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B0AF1">
      <w:pPr>
        <w:ind w:firstLine="0" w:firstLineChars="0"/>
        <w:jc w:val="center"/>
        <w:rPr>
          <w:rFonts w:ascii="黑体" w:hAnsi="黑体" w:eastAsia="黑体"/>
          <w:sz w:val="48"/>
          <w:szCs w:val="48"/>
          <w:highlight w:val="none"/>
        </w:rPr>
      </w:pPr>
    </w:p>
    <w:p w14:paraId="52DED206">
      <w:pPr>
        <w:ind w:firstLine="0" w:firstLineChars="0"/>
        <w:jc w:val="center"/>
        <w:rPr>
          <w:rFonts w:ascii="黑体" w:hAnsi="黑体" w:eastAsia="黑体"/>
          <w:sz w:val="48"/>
          <w:szCs w:val="48"/>
          <w:highlight w:val="none"/>
        </w:rPr>
      </w:pPr>
    </w:p>
    <w:p w14:paraId="626D4175">
      <w:pPr>
        <w:ind w:firstLine="0" w:firstLineChars="0"/>
        <w:jc w:val="center"/>
        <w:rPr>
          <w:rFonts w:ascii="黑体" w:hAnsi="黑体" w:eastAsia="黑体"/>
          <w:sz w:val="52"/>
          <w:szCs w:val="52"/>
          <w:highlight w:val="none"/>
        </w:rPr>
      </w:pPr>
      <w:r>
        <w:rPr>
          <w:rFonts w:hint="eastAsia" w:ascii="黑体" w:hAnsi="黑体" w:eastAsia="黑体"/>
          <w:sz w:val="52"/>
          <w:szCs w:val="52"/>
          <w:highlight w:val="none"/>
        </w:rPr>
        <w:t xml:space="preserve">  </w:t>
      </w:r>
      <w:r>
        <w:rPr>
          <w:rFonts w:ascii="黑体" w:hAnsi="黑体" w:eastAsia="黑体"/>
          <w:sz w:val="52"/>
          <w:szCs w:val="52"/>
          <w:highlight w:val="none"/>
        </w:rPr>
        <w:t>社保运行监测分析建设项目</w:t>
      </w:r>
      <w:r>
        <w:rPr>
          <w:rFonts w:hint="eastAsia" w:ascii="黑体" w:hAnsi="黑体" w:eastAsia="黑体"/>
          <w:sz w:val="52"/>
          <w:szCs w:val="52"/>
          <w:highlight w:val="none"/>
        </w:rPr>
        <w:t>（</w:t>
      </w:r>
      <w:r>
        <w:rPr>
          <w:rFonts w:ascii="黑体" w:hAnsi="黑体" w:eastAsia="黑体"/>
          <w:sz w:val="52"/>
          <w:szCs w:val="52"/>
          <w:highlight w:val="none"/>
        </w:rPr>
        <w:t>2025年升级改造</w:t>
      </w:r>
      <w:r>
        <w:rPr>
          <w:rFonts w:hint="eastAsia" w:ascii="黑体" w:hAnsi="黑体" w:eastAsia="黑体"/>
          <w:sz w:val="52"/>
          <w:szCs w:val="52"/>
          <w:highlight w:val="none"/>
        </w:rPr>
        <w:t>）采购需求</w:t>
      </w:r>
    </w:p>
    <w:p w14:paraId="0567D163">
      <w:pPr>
        <w:ind w:firstLine="0" w:firstLineChars="0"/>
        <w:jc w:val="center"/>
        <w:rPr>
          <w:rFonts w:ascii="黑体" w:hAnsi="黑体" w:eastAsia="黑体"/>
          <w:sz w:val="72"/>
          <w:szCs w:val="72"/>
          <w:highlight w:val="none"/>
        </w:rPr>
      </w:pPr>
    </w:p>
    <w:p w14:paraId="5D88C289">
      <w:pPr>
        <w:ind w:firstLine="0" w:firstLineChars="0"/>
        <w:jc w:val="center"/>
        <w:rPr>
          <w:rFonts w:ascii="黑体" w:hAnsi="黑体" w:eastAsia="黑体"/>
          <w:sz w:val="48"/>
          <w:szCs w:val="48"/>
          <w:highlight w:val="none"/>
        </w:rPr>
      </w:pPr>
    </w:p>
    <w:p w14:paraId="17D9C0E4">
      <w:pPr>
        <w:ind w:firstLine="0" w:firstLineChars="0"/>
        <w:jc w:val="center"/>
        <w:rPr>
          <w:rFonts w:ascii="黑体" w:hAnsi="黑体" w:eastAsia="黑体"/>
          <w:sz w:val="52"/>
          <w:szCs w:val="52"/>
          <w:highlight w:val="none"/>
        </w:rPr>
      </w:pPr>
    </w:p>
    <w:p w14:paraId="50F3761C">
      <w:pPr>
        <w:ind w:firstLine="1040"/>
        <w:rPr>
          <w:rFonts w:ascii="黑体" w:hAnsi="黑体" w:eastAsia="黑体"/>
          <w:sz w:val="52"/>
          <w:szCs w:val="52"/>
          <w:highlight w:val="none"/>
        </w:rPr>
      </w:pPr>
    </w:p>
    <w:p w14:paraId="2BF26C44">
      <w:pPr>
        <w:rPr>
          <w:highlight w:val="none"/>
        </w:rPr>
      </w:pPr>
    </w:p>
    <w:p w14:paraId="3A30B217">
      <w:pPr>
        <w:rPr>
          <w:highlight w:val="none"/>
        </w:rPr>
      </w:pPr>
    </w:p>
    <w:p w14:paraId="1EB37C83">
      <w:pPr>
        <w:rPr>
          <w:highlight w:val="none"/>
        </w:rPr>
      </w:pPr>
    </w:p>
    <w:p w14:paraId="5990A623">
      <w:pPr>
        <w:rPr>
          <w:highlight w:val="none"/>
        </w:rPr>
      </w:pPr>
    </w:p>
    <w:p w14:paraId="38B96E50">
      <w:pPr>
        <w:rPr>
          <w:highlight w:val="none"/>
        </w:rPr>
      </w:pPr>
    </w:p>
    <w:p w14:paraId="4D47B70C">
      <w:pPr>
        <w:ind w:firstLine="1040"/>
        <w:rPr>
          <w:rFonts w:ascii="黑体" w:hAnsi="黑体" w:eastAsia="黑体"/>
          <w:sz w:val="52"/>
          <w:szCs w:val="52"/>
          <w:highlight w:val="none"/>
        </w:rPr>
      </w:pPr>
    </w:p>
    <w:p w14:paraId="0CA97C9D">
      <w:pPr>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134" w:right="1797" w:bottom="1135" w:left="1797" w:header="340" w:footer="7" w:gutter="0"/>
          <w:pgNumType w:start="1"/>
          <w:cols w:space="720" w:num="1"/>
          <w:titlePg/>
          <w:docGrid w:type="linesAndChars" w:linePitch="326" w:charSpace="0"/>
        </w:sectPr>
      </w:pPr>
    </w:p>
    <w:p w14:paraId="4C1046F2">
      <w:pPr>
        <w:pStyle w:val="3"/>
        <w:rPr>
          <w:highlight w:val="none"/>
        </w:rPr>
      </w:pPr>
      <w:bookmarkStart w:id="0" w:name="_Toc63785461"/>
      <w:r>
        <w:rPr>
          <w:rFonts w:hint="eastAsia"/>
          <w:highlight w:val="none"/>
        </w:rPr>
        <w:t>项目</w:t>
      </w:r>
      <w:bookmarkEnd w:id="0"/>
      <w:r>
        <w:rPr>
          <w:rFonts w:hint="eastAsia"/>
          <w:highlight w:val="none"/>
        </w:rPr>
        <w:t>背景</w:t>
      </w:r>
    </w:p>
    <w:p w14:paraId="4CC10784">
      <w:pPr>
        <w:spacing w:line="560" w:lineRule="exact"/>
        <w:rPr>
          <w:rFonts w:cs="Cambria"/>
          <w:highlight w:val="none"/>
        </w:rPr>
      </w:pPr>
      <w:r>
        <w:rPr>
          <w:rFonts w:hint="eastAsia"/>
          <w:highlight w:val="none"/>
        </w:rPr>
        <w:t>为落实国家和人社部关于利用大数据提升社保运行态势感知、优化经办服务、加强风险管控和赋能科学决策能力的要求，上海市</w:t>
      </w:r>
      <w:r>
        <w:rPr>
          <w:highlight w:val="none"/>
        </w:rPr>
        <w:t>社会保险</w:t>
      </w:r>
      <w:r>
        <w:rPr>
          <w:rFonts w:hint="eastAsia"/>
          <w:highlight w:val="none"/>
        </w:rPr>
        <w:t>事业管理中心（以下简称“中心”）</w:t>
      </w:r>
      <w:r>
        <w:rPr>
          <w:rFonts w:hint="eastAsia" w:cs="Cambria"/>
          <w:highlight w:val="none"/>
        </w:rPr>
        <w:t>于2</w:t>
      </w:r>
      <w:r>
        <w:rPr>
          <w:rFonts w:cs="Cambria"/>
          <w:highlight w:val="none"/>
        </w:rPr>
        <w:t>024</w:t>
      </w:r>
      <w:r>
        <w:rPr>
          <w:rFonts w:hint="eastAsia" w:cs="Cambria"/>
          <w:highlight w:val="none"/>
        </w:rPr>
        <w:t>年1</w:t>
      </w:r>
      <w:r>
        <w:rPr>
          <w:rFonts w:cs="Cambria"/>
          <w:highlight w:val="none"/>
        </w:rPr>
        <w:t>0</w:t>
      </w:r>
      <w:r>
        <w:rPr>
          <w:rFonts w:hint="eastAsia" w:cs="Cambria"/>
          <w:highlight w:val="none"/>
        </w:rPr>
        <w:t>月上线“社保运行监测分析子系统”，该系统以业务为导向开展数据建模、分析与可视化，初步实现了</w:t>
      </w:r>
      <w:r>
        <w:rPr>
          <w:rFonts w:cs="Cambria"/>
          <w:highlight w:val="none"/>
        </w:rPr>
        <w:t>养老保险、工伤保险、社保</w:t>
      </w:r>
      <w:r>
        <w:rPr>
          <w:rFonts w:hint="eastAsia" w:cs="Cambria"/>
          <w:highlight w:val="none"/>
        </w:rPr>
        <w:t>相关</w:t>
      </w:r>
      <w:r>
        <w:rPr>
          <w:rFonts w:cs="Cambria"/>
          <w:highlight w:val="none"/>
        </w:rPr>
        <w:t>产业发展</w:t>
      </w:r>
      <w:r>
        <w:rPr>
          <w:rFonts w:hint="eastAsia" w:cs="Cambria"/>
          <w:highlight w:val="none"/>
        </w:rPr>
        <w:t>等关键业务指标数据的在线监测和分析。为进一步利用数据分析政策实施效应、评估经办服务效用、预判社保事业发展趋势，中心计划于2</w:t>
      </w:r>
      <w:r>
        <w:rPr>
          <w:rFonts w:cs="Cambria"/>
          <w:highlight w:val="none"/>
        </w:rPr>
        <w:t>02</w:t>
      </w:r>
      <w:r>
        <w:rPr>
          <w:rFonts w:hint="eastAsia" w:cs="Cambria"/>
          <w:highlight w:val="none"/>
        </w:rPr>
        <w:t>6年启动子系统的升级改造，将各业务部门在长期工作中积累的有代表性、高质量的数据分析案例转换为子系统功能模块，进一步提升数据对业务的支撑力，强化异常数据主动发现能力。</w:t>
      </w:r>
    </w:p>
    <w:p w14:paraId="0A90BB45">
      <w:pPr>
        <w:pStyle w:val="3"/>
        <w:rPr>
          <w:highlight w:val="none"/>
        </w:rPr>
      </w:pPr>
      <w:bookmarkStart w:id="1" w:name="_Toc47536644"/>
      <w:bookmarkEnd w:id="1"/>
      <w:bookmarkStart w:id="2" w:name="_Toc47532891"/>
      <w:bookmarkEnd w:id="2"/>
      <w:bookmarkStart w:id="3" w:name="_Toc47531634"/>
      <w:bookmarkEnd w:id="3"/>
      <w:bookmarkStart w:id="4" w:name="_Toc47532923"/>
      <w:bookmarkEnd w:id="4"/>
      <w:bookmarkStart w:id="5" w:name="_Toc47533288"/>
      <w:bookmarkEnd w:id="5"/>
      <w:bookmarkStart w:id="6" w:name="_Toc47536272"/>
      <w:bookmarkEnd w:id="6"/>
      <w:bookmarkStart w:id="7" w:name="_Toc47533256"/>
      <w:bookmarkEnd w:id="7"/>
      <w:bookmarkStart w:id="8" w:name="_Toc47537134"/>
      <w:bookmarkEnd w:id="8"/>
      <w:bookmarkStart w:id="9" w:name="_Toc47537166"/>
      <w:bookmarkEnd w:id="9"/>
      <w:bookmarkStart w:id="10" w:name="_Toc47539070"/>
      <w:bookmarkEnd w:id="10"/>
      <w:bookmarkStart w:id="11" w:name="_Toc47532255"/>
      <w:bookmarkEnd w:id="11"/>
      <w:bookmarkStart w:id="12" w:name="_Toc47539102"/>
      <w:bookmarkEnd w:id="12"/>
      <w:bookmarkStart w:id="13" w:name="_Toc47536304"/>
      <w:bookmarkEnd w:id="13"/>
      <w:bookmarkStart w:id="14" w:name="_Toc47536676"/>
      <w:bookmarkEnd w:id="14"/>
      <w:r>
        <w:rPr>
          <w:rFonts w:hint="eastAsia"/>
          <w:highlight w:val="none"/>
        </w:rPr>
        <w:t>项目建设要求</w:t>
      </w:r>
    </w:p>
    <w:p w14:paraId="1FF7D763">
      <w:pPr>
        <w:pStyle w:val="4"/>
        <w:ind w:left="480" w:leftChars="200" w:right="240"/>
        <w:rPr>
          <w:rFonts w:ascii="仿宋" w:hAnsi="仿宋" w:eastAsia="仿宋"/>
          <w:highlight w:val="none"/>
        </w:rPr>
      </w:pPr>
      <w:r>
        <w:rPr>
          <w:rFonts w:hint="eastAsia" w:ascii="仿宋" w:hAnsi="仿宋" w:eastAsia="仿宋"/>
          <w:highlight w:val="none"/>
        </w:rPr>
        <w:t>建设目标</w:t>
      </w:r>
    </w:p>
    <w:p w14:paraId="42C979A1">
      <w:pPr>
        <w:rPr>
          <w:highlight w:val="none"/>
        </w:rPr>
      </w:pPr>
      <w:r>
        <w:rPr>
          <w:highlight w:val="none"/>
        </w:rPr>
        <w:t>提升社保数据的全局感知能力</w:t>
      </w:r>
      <w:r>
        <w:rPr>
          <w:rFonts w:hint="eastAsia"/>
          <w:highlight w:val="none"/>
        </w:rPr>
        <w:t>：</w:t>
      </w:r>
      <w:r>
        <w:rPr>
          <w:highlight w:val="none"/>
        </w:rPr>
        <w:t>通过新建社保系统总览模块，整合各类基础数据，集中展示核心指标，强化社保数据的可视化呈现，帮助管理人员精准、迅速地掌握社保全局。通过多维数据融合与图形化呈现，提升市社保工作者对数据的感知与理解能力。</w:t>
      </w:r>
    </w:p>
    <w:p w14:paraId="6D033064">
      <w:pPr>
        <w:rPr>
          <w:highlight w:val="none"/>
        </w:rPr>
      </w:pPr>
      <w:r>
        <w:rPr>
          <w:highlight w:val="none"/>
        </w:rPr>
        <w:t>深化社保数据分析与决策支持能力</w:t>
      </w:r>
      <w:r>
        <w:rPr>
          <w:rFonts w:hint="eastAsia"/>
          <w:highlight w:val="none"/>
        </w:rPr>
        <w:t>：</w:t>
      </w:r>
      <w:r>
        <w:rPr>
          <w:highlight w:val="none"/>
        </w:rPr>
        <w:t>通过扩展监测维度、增加专项指标，建立标准化数据报表体系，提供数据深度分析、历史数据对比与趋势分析能力。提升社保数据在政策评估、风险监控和决策支持方面的分析深度，为各类社保业务提供更具前瞻性的分析支持。</w:t>
      </w:r>
    </w:p>
    <w:p w14:paraId="3290A220">
      <w:pPr>
        <w:rPr>
          <w:highlight w:val="none"/>
        </w:rPr>
      </w:pPr>
      <w:r>
        <w:rPr>
          <w:highlight w:val="none"/>
        </w:rPr>
        <w:t>增强社保业务风险防控能力</w:t>
      </w:r>
      <w:r>
        <w:rPr>
          <w:rFonts w:hint="eastAsia"/>
          <w:highlight w:val="none"/>
        </w:rPr>
        <w:t>：</w:t>
      </w:r>
      <w:r>
        <w:rPr>
          <w:highlight w:val="none"/>
        </w:rPr>
        <w:t>通过实施分级权限管理、智能校验框架、阈值预警和异常波动分析功能，实时监测关键指标。提升对社保运行健康度的监控能力，提升对基金收支平衡、待遇发放合规性等关键业务数据的实时监测能力，提升业务风控的精准度与时效性。</w:t>
      </w:r>
    </w:p>
    <w:p w14:paraId="20866FB8">
      <w:pPr>
        <w:rPr>
          <w:highlight w:val="none"/>
        </w:rPr>
      </w:pPr>
      <w:r>
        <w:rPr>
          <w:highlight w:val="none"/>
        </w:rPr>
        <w:t>提升系统的用户友好度与易用性</w:t>
      </w:r>
      <w:r>
        <w:rPr>
          <w:rFonts w:hint="eastAsia"/>
          <w:highlight w:val="none"/>
        </w:rPr>
        <w:t>：</w:t>
      </w:r>
      <w:r>
        <w:rPr>
          <w:highlight w:val="none"/>
        </w:rPr>
        <w:t>通过优化交互界面、引入快捷登录和简化报表制作流程等功能，提升子系统的可操作性。降低系统的操作复杂度，使系统对业务人员和专业数据分析人员更加友好，从而提升整体用户体验和使用效率</w:t>
      </w:r>
      <w:r>
        <w:rPr>
          <w:rFonts w:hint="eastAsia"/>
          <w:highlight w:val="none"/>
        </w:rPr>
        <w:t>。</w:t>
      </w:r>
    </w:p>
    <w:p w14:paraId="763D207C">
      <w:pPr>
        <w:pStyle w:val="4"/>
        <w:ind w:left="480" w:leftChars="200"/>
        <w:rPr>
          <w:rFonts w:ascii="仿宋" w:hAnsi="仿宋" w:eastAsia="仿宋"/>
          <w:highlight w:val="none"/>
        </w:rPr>
      </w:pPr>
      <w:r>
        <w:rPr>
          <w:rFonts w:hint="eastAsia" w:ascii="仿宋" w:hAnsi="仿宋" w:eastAsia="仿宋"/>
          <w:highlight w:val="none"/>
        </w:rPr>
        <w:t>建设内容</w:t>
      </w:r>
    </w:p>
    <w:p w14:paraId="657FE8E8">
      <w:pPr>
        <w:rPr>
          <w:highlight w:val="none"/>
        </w:rPr>
      </w:pPr>
      <w:r>
        <w:rPr>
          <w:highlight w:val="none"/>
        </w:rPr>
        <w:t>（一）</w:t>
      </w:r>
      <w:r>
        <w:rPr>
          <w:rFonts w:hint="eastAsia"/>
          <w:highlight w:val="none"/>
        </w:rPr>
        <w:t>构建</w:t>
      </w:r>
      <w:r>
        <w:rPr>
          <w:highlight w:val="none"/>
        </w:rPr>
        <w:t>社保系统总览</w:t>
      </w:r>
    </w:p>
    <w:p w14:paraId="3AACA17D">
      <w:pPr>
        <w:rPr>
          <w:highlight w:val="none"/>
        </w:rPr>
      </w:pPr>
      <w:r>
        <w:rPr>
          <w:highlight w:val="none"/>
        </w:rPr>
        <w:t>在子系统首页构建全市社保系统总览模块，集成系统导览、自定义快捷访问菜单、关键数据一屏总览等功能，在首页集中展示五大险种参保规模、基金运行、业务经办等核心指标。通过多维数据融合与图形化呈现，强化系统数据感知能力，实现社保全局态势一屏掌控。</w:t>
      </w:r>
    </w:p>
    <w:p w14:paraId="382593A8">
      <w:pPr>
        <w:rPr>
          <w:highlight w:val="none"/>
        </w:rPr>
      </w:pPr>
      <w:r>
        <w:rPr>
          <w:highlight w:val="none"/>
        </w:rPr>
        <w:t>（二）推动数据应用场景落地</w:t>
      </w:r>
    </w:p>
    <w:p w14:paraId="1F2DBEB9">
      <w:pPr>
        <w:rPr>
          <w:highlight w:val="none"/>
        </w:rPr>
      </w:pPr>
      <w:r>
        <w:rPr>
          <w:highlight w:val="none"/>
        </w:rPr>
        <w:t>基于多部门业务需求扩展监测维度，加强跨部门历史数据对比与趋势分析，新建分中心绩效管理、经办业务异常预警两大数据应用场景，实现管理闭环。新增养老保险实缴、行政复议诉讼与稽核案件追踪、职业伤害保险运行、零工市场参加工伤保险等分析专题，形成覆盖全业务链条的立体化监测网络。</w:t>
      </w:r>
    </w:p>
    <w:p w14:paraId="079B467B">
      <w:pPr>
        <w:rPr>
          <w:highlight w:val="none"/>
        </w:rPr>
      </w:pPr>
      <w:r>
        <w:rPr>
          <w:highlight w:val="none"/>
        </w:rPr>
        <w:t>（三）构建统计数据异常监测与修复闭环</w:t>
      </w:r>
    </w:p>
    <w:p w14:paraId="78400419">
      <w:pPr>
        <w:rPr>
          <w:highlight w:val="none"/>
        </w:rPr>
      </w:pPr>
      <w:r>
        <w:rPr>
          <w:highlight w:val="none"/>
        </w:rPr>
        <w:t>构建智能校验框架，集成关系校验、异常波动分析和指标口径溯源功能，实现指标数据实时监控、异常告警和数据修复。通过动态数据看板与风险预警机制，提升社保业务风险防控的前瞻性与精准度。</w:t>
      </w:r>
    </w:p>
    <w:p w14:paraId="7A0FAEFF">
      <w:pPr>
        <w:rPr>
          <w:highlight w:val="none"/>
        </w:rPr>
      </w:pPr>
      <w:r>
        <w:rPr>
          <w:highlight w:val="none"/>
        </w:rPr>
        <w:t>（四）完善数据与应用支撑能力</w:t>
      </w:r>
    </w:p>
    <w:p w14:paraId="0AF3898D">
      <w:pPr>
        <w:rPr>
          <w:highlight w:val="none"/>
        </w:rPr>
      </w:pPr>
      <w:r>
        <w:rPr>
          <w:highlight w:val="none"/>
        </w:rPr>
        <w:t>通过新增数据标签、计算模型和通用图表模型模块，完善数据质量与安全管理，提升系统对数据应用的支撑能力。新增指标解释口径追溯功能，便于统计人员理解指标变更，避免误解和误用。优化交互设计，支持社保卡扫码登录，并通过需求驱动的界面迭代，降低操作复杂度，提升对业务与数据分析人员的友好性。</w:t>
      </w:r>
    </w:p>
    <w:p w14:paraId="7A2DE8AD">
      <w:pPr>
        <w:rPr>
          <w:highlight w:val="none"/>
        </w:rPr>
      </w:pPr>
      <w:r>
        <w:rPr>
          <w:highlight w:val="none"/>
        </w:rPr>
        <w:t>（五）</w:t>
      </w:r>
      <w:r>
        <w:rPr>
          <w:rFonts w:hint="eastAsia"/>
          <w:highlight w:val="none"/>
        </w:rPr>
        <w:t>实现</w:t>
      </w:r>
      <w:r>
        <w:rPr>
          <w:highlight w:val="none"/>
        </w:rPr>
        <w:t>社保数据移动端联动</w:t>
      </w:r>
    </w:p>
    <w:p w14:paraId="0D1DB53E">
      <w:pPr>
        <w:rPr>
          <w:highlight w:val="none"/>
        </w:rPr>
      </w:pPr>
      <w:r>
        <w:rPr>
          <w:highlight w:val="none"/>
        </w:rPr>
        <w:t>依托随申办政务云平台，搭建面向市社保中心领导班子成员的移动端数据快捷查询应用，与PC端统一数据接口与展示逻辑。其中移动端侧重便捷查询，PC端支撑深度分析，多端数据实时同步更新。构建跨终端协同工作体系，满足不同场景下的数据访问需求，形成全天候、多维度的社保数据服务体系。</w:t>
      </w:r>
    </w:p>
    <w:p w14:paraId="476271BA">
      <w:pPr>
        <w:pStyle w:val="4"/>
        <w:ind w:left="480" w:leftChars="200" w:right="240"/>
        <w:rPr>
          <w:rFonts w:ascii="仿宋" w:hAnsi="仿宋" w:eastAsia="仿宋"/>
          <w:highlight w:val="none"/>
        </w:rPr>
      </w:pPr>
      <w:r>
        <w:rPr>
          <w:rFonts w:hint="eastAsia" w:ascii="仿宋" w:hAnsi="仿宋" w:eastAsia="仿宋"/>
          <w:highlight w:val="none"/>
        </w:rPr>
        <w:t>软件开发清单</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59"/>
        <w:gridCol w:w="1701"/>
        <w:gridCol w:w="4338"/>
      </w:tblGrid>
      <w:tr w14:paraId="22DD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4" w:type="dxa"/>
            <w:vAlign w:val="center"/>
          </w:tcPr>
          <w:p w14:paraId="1294D062">
            <w:pPr>
              <w:spacing w:line="240" w:lineRule="auto"/>
              <w:ind w:firstLine="0" w:firstLineChars="0"/>
              <w:jc w:val="center"/>
              <w:rPr>
                <w:b/>
                <w:bCs/>
                <w:sz w:val="21"/>
                <w:szCs w:val="21"/>
                <w:highlight w:val="none"/>
              </w:rPr>
            </w:pPr>
            <w:r>
              <w:rPr>
                <w:rFonts w:hint="eastAsia"/>
                <w:b/>
                <w:bCs/>
                <w:sz w:val="21"/>
                <w:szCs w:val="21"/>
                <w:highlight w:val="none"/>
              </w:rPr>
              <w:t>序号</w:t>
            </w:r>
          </w:p>
        </w:tc>
        <w:tc>
          <w:tcPr>
            <w:tcW w:w="1559" w:type="dxa"/>
            <w:vAlign w:val="center"/>
          </w:tcPr>
          <w:p w14:paraId="3A26B10D">
            <w:pPr>
              <w:spacing w:line="240" w:lineRule="auto"/>
              <w:ind w:firstLine="0" w:firstLineChars="0"/>
              <w:jc w:val="center"/>
              <w:rPr>
                <w:b/>
                <w:bCs/>
                <w:sz w:val="21"/>
                <w:szCs w:val="21"/>
                <w:highlight w:val="none"/>
              </w:rPr>
            </w:pPr>
            <w:r>
              <w:rPr>
                <w:rFonts w:hint="eastAsia"/>
                <w:b/>
                <w:bCs/>
                <w:sz w:val="21"/>
                <w:szCs w:val="21"/>
                <w:highlight w:val="none"/>
              </w:rPr>
              <w:t>应用系统名称</w:t>
            </w:r>
          </w:p>
        </w:tc>
        <w:tc>
          <w:tcPr>
            <w:tcW w:w="1701" w:type="dxa"/>
          </w:tcPr>
          <w:p w14:paraId="43BF2422">
            <w:pPr>
              <w:spacing w:line="240" w:lineRule="auto"/>
              <w:ind w:firstLine="0" w:firstLineChars="0"/>
              <w:jc w:val="center"/>
              <w:rPr>
                <w:b/>
                <w:bCs/>
                <w:sz w:val="21"/>
                <w:szCs w:val="21"/>
                <w:highlight w:val="none"/>
              </w:rPr>
            </w:pPr>
            <w:r>
              <w:rPr>
                <w:rFonts w:hint="eastAsia"/>
                <w:b/>
                <w:bCs/>
                <w:sz w:val="21"/>
                <w:szCs w:val="21"/>
                <w:highlight w:val="none"/>
              </w:rPr>
              <w:t>模块名称</w:t>
            </w:r>
          </w:p>
        </w:tc>
        <w:tc>
          <w:tcPr>
            <w:tcW w:w="4338" w:type="dxa"/>
          </w:tcPr>
          <w:p w14:paraId="736ABDB2">
            <w:pPr>
              <w:spacing w:line="240" w:lineRule="auto"/>
              <w:ind w:firstLine="0" w:firstLineChars="0"/>
              <w:jc w:val="center"/>
              <w:rPr>
                <w:b/>
                <w:bCs/>
                <w:sz w:val="21"/>
                <w:szCs w:val="21"/>
                <w:highlight w:val="none"/>
              </w:rPr>
            </w:pPr>
            <w:r>
              <w:rPr>
                <w:rFonts w:hint="eastAsia"/>
                <w:b/>
                <w:bCs/>
                <w:sz w:val="21"/>
                <w:szCs w:val="21"/>
                <w:highlight w:val="none"/>
              </w:rPr>
              <w:t>功能要求</w:t>
            </w:r>
          </w:p>
        </w:tc>
      </w:tr>
      <w:tr w14:paraId="1B47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D91385F">
            <w:pPr>
              <w:pStyle w:val="61"/>
              <w:numPr>
                <w:ilvl w:val="0"/>
                <w:numId w:val="3"/>
              </w:numPr>
              <w:spacing w:line="240" w:lineRule="auto"/>
              <w:ind w:firstLineChars="0"/>
              <w:jc w:val="center"/>
              <w:rPr>
                <w:szCs w:val="21"/>
                <w:highlight w:val="none"/>
              </w:rPr>
            </w:pPr>
          </w:p>
        </w:tc>
        <w:tc>
          <w:tcPr>
            <w:tcW w:w="1559" w:type="dxa"/>
            <w:vMerge w:val="restart"/>
            <w:vAlign w:val="center"/>
          </w:tcPr>
          <w:p w14:paraId="2F6A0A26">
            <w:pPr>
              <w:spacing w:line="240" w:lineRule="auto"/>
              <w:ind w:firstLine="0" w:firstLineChars="0"/>
              <w:jc w:val="center"/>
              <w:rPr>
                <w:sz w:val="21"/>
                <w:szCs w:val="21"/>
                <w:highlight w:val="none"/>
              </w:rPr>
            </w:pPr>
            <w:r>
              <w:rPr>
                <w:sz w:val="21"/>
                <w:szCs w:val="21"/>
                <w:highlight w:val="none"/>
              </w:rPr>
              <w:t>社保运行监测分析子系统</w:t>
            </w:r>
          </w:p>
        </w:tc>
        <w:tc>
          <w:tcPr>
            <w:tcW w:w="1701" w:type="dxa"/>
            <w:vAlign w:val="center"/>
          </w:tcPr>
          <w:p w14:paraId="720631DB">
            <w:pPr>
              <w:spacing w:line="240" w:lineRule="auto"/>
              <w:ind w:firstLine="0" w:firstLineChars="0"/>
              <w:rPr>
                <w:sz w:val="21"/>
                <w:szCs w:val="21"/>
                <w:highlight w:val="none"/>
              </w:rPr>
            </w:pPr>
            <w:r>
              <w:rPr>
                <w:rFonts w:hint="eastAsia"/>
                <w:sz w:val="21"/>
                <w:szCs w:val="21"/>
                <w:highlight w:val="none"/>
              </w:rPr>
              <w:t>系统总览（新建）-系统导览</w:t>
            </w:r>
          </w:p>
        </w:tc>
        <w:tc>
          <w:tcPr>
            <w:tcW w:w="4338" w:type="dxa"/>
            <w:vAlign w:val="center"/>
          </w:tcPr>
          <w:p w14:paraId="49D6F17A">
            <w:pPr>
              <w:spacing w:line="240" w:lineRule="auto"/>
              <w:ind w:firstLine="0" w:firstLineChars="0"/>
              <w:rPr>
                <w:sz w:val="21"/>
                <w:szCs w:val="21"/>
                <w:highlight w:val="none"/>
              </w:rPr>
            </w:pPr>
            <w:r>
              <w:rPr>
                <w:rFonts w:hint="eastAsia"/>
                <w:sz w:val="21"/>
                <w:szCs w:val="21"/>
                <w:highlight w:val="none"/>
              </w:rPr>
              <w:t>1）位于系统首页，提供到系统各功能模块的导航功能。</w:t>
            </w:r>
            <w:r>
              <w:rPr>
                <w:rFonts w:hint="eastAsia"/>
                <w:sz w:val="21"/>
                <w:szCs w:val="21"/>
                <w:highlight w:val="none"/>
              </w:rPr>
              <w:br w:type="textWrapping"/>
            </w:r>
            <w:r>
              <w:rPr>
                <w:rFonts w:hint="eastAsia"/>
                <w:sz w:val="21"/>
                <w:szCs w:val="21"/>
                <w:highlight w:val="none"/>
              </w:rPr>
              <w:t>2）用户可自定义需要放置在首页的快捷访问菜单。</w:t>
            </w:r>
          </w:p>
        </w:tc>
      </w:tr>
      <w:tr w14:paraId="1338E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12A8987">
            <w:pPr>
              <w:pStyle w:val="61"/>
              <w:numPr>
                <w:ilvl w:val="0"/>
                <w:numId w:val="3"/>
              </w:numPr>
              <w:spacing w:line="240" w:lineRule="auto"/>
              <w:ind w:firstLineChars="0"/>
              <w:jc w:val="center"/>
              <w:rPr>
                <w:szCs w:val="21"/>
                <w:highlight w:val="none"/>
              </w:rPr>
            </w:pPr>
          </w:p>
        </w:tc>
        <w:tc>
          <w:tcPr>
            <w:tcW w:w="1559" w:type="dxa"/>
            <w:vMerge w:val="continue"/>
            <w:vAlign w:val="center"/>
          </w:tcPr>
          <w:p w14:paraId="71FF2A56">
            <w:pPr>
              <w:spacing w:line="240" w:lineRule="auto"/>
              <w:ind w:firstLine="0" w:firstLineChars="0"/>
              <w:jc w:val="center"/>
              <w:rPr>
                <w:sz w:val="21"/>
                <w:szCs w:val="21"/>
                <w:highlight w:val="none"/>
              </w:rPr>
            </w:pPr>
          </w:p>
        </w:tc>
        <w:tc>
          <w:tcPr>
            <w:tcW w:w="1701" w:type="dxa"/>
            <w:vAlign w:val="center"/>
          </w:tcPr>
          <w:p w14:paraId="6260EC10">
            <w:pPr>
              <w:spacing w:line="240" w:lineRule="auto"/>
              <w:ind w:firstLine="0" w:firstLineChars="0"/>
              <w:rPr>
                <w:sz w:val="21"/>
                <w:szCs w:val="21"/>
                <w:highlight w:val="none"/>
              </w:rPr>
            </w:pPr>
            <w:r>
              <w:rPr>
                <w:rFonts w:hint="eastAsia"/>
                <w:sz w:val="21"/>
                <w:szCs w:val="21"/>
                <w:highlight w:val="none"/>
              </w:rPr>
              <w:t>系统总览（新建）-关键数据一屏总览</w:t>
            </w:r>
          </w:p>
        </w:tc>
        <w:tc>
          <w:tcPr>
            <w:tcW w:w="4338" w:type="dxa"/>
            <w:vAlign w:val="center"/>
          </w:tcPr>
          <w:p w14:paraId="2DBB7CEB">
            <w:pPr>
              <w:spacing w:line="240" w:lineRule="auto"/>
              <w:ind w:firstLine="0" w:firstLineChars="0"/>
              <w:rPr>
                <w:sz w:val="21"/>
                <w:szCs w:val="21"/>
                <w:highlight w:val="none"/>
              </w:rPr>
            </w:pPr>
            <w:r>
              <w:rPr>
                <w:rFonts w:hint="eastAsia"/>
                <w:sz w:val="21"/>
                <w:szCs w:val="21"/>
                <w:highlight w:val="none"/>
              </w:rPr>
              <w:t>1）在页面上集成社保关键指标数据，如基本养老保险、工伤保险、职业年金的参保、缴费、待遇领取情况，经办业务申请、受理和审核工作量，业务档案情况，社会服务情况，稽核案件情况，基金收支分析等。</w:t>
            </w:r>
            <w:r>
              <w:rPr>
                <w:rFonts w:hint="eastAsia"/>
                <w:sz w:val="21"/>
                <w:szCs w:val="21"/>
                <w:highlight w:val="none"/>
              </w:rPr>
              <w:br w:type="textWrapping"/>
            </w:r>
            <w:r>
              <w:rPr>
                <w:rFonts w:hint="eastAsia"/>
                <w:sz w:val="21"/>
                <w:szCs w:val="21"/>
                <w:highlight w:val="none"/>
              </w:rPr>
              <w:t>2）使用GeoJSON数据绘制上海市各区地图图形，用于直观展示分区统计数据，如各区分中心网点、街道网点、社银直联、在编人数等数据。</w:t>
            </w:r>
          </w:p>
        </w:tc>
      </w:tr>
      <w:tr w14:paraId="6226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3CB96B5F">
            <w:pPr>
              <w:pStyle w:val="61"/>
              <w:numPr>
                <w:ilvl w:val="0"/>
                <w:numId w:val="3"/>
              </w:numPr>
              <w:spacing w:line="240" w:lineRule="auto"/>
              <w:ind w:firstLineChars="0"/>
              <w:jc w:val="center"/>
              <w:rPr>
                <w:szCs w:val="21"/>
                <w:highlight w:val="none"/>
              </w:rPr>
            </w:pPr>
          </w:p>
        </w:tc>
        <w:tc>
          <w:tcPr>
            <w:tcW w:w="1559" w:type="dxa"/>
            <w:vMerge w:val="continue"/>
            <w:vAlign w:val="center"/>
          </w:tcPr>
          <w:p w14:paraId="522A1B98">
            <w:pPr>
              <w:spacing w:line="240" w:lineRule="auto"/>
              <w:ind w:firstLine="0" w:firstLineChars="0"/>
              <w:jc w:val="center"/>
              <w:rPr>
                <w:sz w:val="21"/>
                <w:szCs w:val="21"/>
                <w:highlight w:val="none"/>
              </w:rPr>
            </w:pPr>
          </w:p>
        </w:tc>
        <w:tc>
          <w:tcPr>
            <w:tcW w:w="1701" w:type="dxa"/>
            <w:vAlign w:val="center"/>
          </w:tcPr>
          <w:p w14:paraId="714D5249">
            <w:pPr>
              <w:spacing w:line="240" w:lineRule="auto"/>
              <w:ind w:firstLine="0" w:firstLineChars="0"/>
              <w:rPr>
                <w:sz w:val="21"/>
                <w:szCs w:val="21"/>
                <w:highlight w:val="none"/>
              </w:rPr>
            </w:pPr>
            <w:r>
              <w:rPr>
                <w:rFonts w:hint="eastAsia"/>
                <w:sz w:val="21"/>
                <w:szCs w:val="21"/>
                <w:highlight w:val="none"/>
              </w:rPr>
              <w:t>分中心绩效管理（新建）-绩效评价指标体系管理</w:t>
            </w:r>
          </w:p>
        </w:tc>
        <w:tc>
          <w:tcPr>
            <w:tcW w:w="4338" w:type="dxa"/>
            <w:vAlign w:val="center"/>
          </w:tcPr>
          <w:p w14:paraId="08584C42">
            <w:pPr>
              <w:spacing w:line="240" w:lineRule="auto"/>
              <w:ind w:firstLine="0" w:firstLineChars="0"/>
              <w:rPr>
                <w:sz w:val="21"/>
                <w:szCs w:val="21"/>
                <w:highlight w:val="none"/>
              </w:rPr>
            </w:pPr>
            <w:r>
              <w:rPr>
                <w:rFonts w:hint="eastAsia"/>
                <w:sz w:val="21"/>
                <w:szCs w:val="21"/>
                <w:highlight w:val="none"/>
              </w:rPr>
              <w:t>从业务量、业务效率、工作负荷合理程度、业务合规性、服务满意度等维度建立分中心绩效评价体系，用户可在系统中设置多级指标和对应的权重。</w:t>
            </w:r>
            <w:r>
              <w:rPr>
                <w:rFonts w:hint="eastAsia"/>
                <w:sz w:val="21"/>
                <w:szCs w:val="21"/>
                <w:highlight w:val="none"/>
              </w:rPr>
              <w:br w:type="textWrapping"/>
            </w:r>
            <w:r>
              <w:rPr>
                <w:rFonts w:hint="eastAsia"/>
                <w:sz w:val="21"/>
                <w:szCs w:val="21"/>
                <w:highlight w:val="none"/>
              </w:rPr>
              <w:t>按初步构想，业务量包括受理量、审核量2个指标，工作负荷合理程度包含人均受理量、人均审核量2个指标，业务合规性包含稽核案件发生率、行政复议案件发生率、行政诉讼案件发生率3个指标，服务满意度包含负面反馈率、正面反馈率2个指标。绩效评价体系在项目实际开展中可能调整。</w:t>
            </w:r>
          </w:p>
        </w:tc>
      </w:tr>
      <w:tr w14:paraId="2753A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0D0A868">
            <w:pPr>
              <w:pStyle w:val="61"/>
              <w:numPr>
                <w:ilvl w:val="0"/>
                <w:numId w:val="3"/>
              </w:numPr>
              <w:spacing w:line="240" w:lineRule="auto"/>
              <w:ind w:firstLineChars="0"/>
              <w:jc w:val="center"/>
              <w:rPr>
                <w:szCs w:val="21"/>
                <w:highlight w:val="none"/>
              </w:rPr>
            </w:pPr>
          </w:p>
        </w:tc>
        <w:tc>
          <w:tcPr>
            <w:tcW w:w="1559" w:type="dxa"/>
            <w:vMerge w:val="continue"/>
            <w:vAlign w:val="center"/>
          </w:tcPr>
          <w:p w14:paraId="272937A3">
            <w:pPr>
              <w:spacing w:line="240" w:lineRule="auto"/>
              <w:ind w:firstLine="0" w:firstLineChars="0"/>
              <w:jc w:val="center"/>
              <w:rPr>
                <w:sz w:val="21"/>
                <w:szCs w:val="21"/>
                <w:highlight w:val="none"/>
              </w:rPr>
            </w:pPr>
          </w:p>
        </w:tc>
        <w:tc>
          <w:tcPr>
            <w:tcW w:w="1701" w:type="dxa"/>
            <w:vAlign w:val="center"/>
          </w:tcPr>
          <w:p w14:paraId="2B372CAB">
            <w:pPr>
              <w:spacing w:line="240" w:lineRule="auto"/>
              <w:ind w:firstLine="0" w:firstLineChars="0"/>
              <w:rPr>
                <w:sz w:val="21"/>
                <w:szCs w:val="21"/>
                <w:highlight w:val="none"/>
              </w:rPr>
            </w:pPr>
            <w:r>
              <w:rPr>
                <w:rFonts w:hint="eastAsia"/>
                <w:sz w:val="21"/>
                <w:szCs w:val="21"/>
                <w:highlight w:val="none"/>
              </w:rPr>
              <w:t>分中心绩效管理（新建）-绩效评价结果自动生成</w:t>
            </w:r>
          </w:p>
        </w:tc>
        <w:tc>
          <w:tcPr>
            <w:tcW w:w="4338" w:type="dxa"/>
            <w:vAlign w:val="center"/>
          </w:tcPr>
          <w:p w14:paraId="443D13ED">
            <w:pPr>
              <w:spacing w:line="240" w:lineRule="auto"/>
              <w:ind w:firstLine="0" w:firstLineChars="0"/>
              <w:rPr>
                <w:sz w:val="21"/>
                <w:szCs w:val="21"/>
                <w:highlight w:val="none"/>
              </w:rPr>
            </w:pPr>
            <w:r>
              <w:rPr>
                <w:rFonts w:hint="eastAsia"/>
                <w:sz w:val="21"/>
                <w:szCs w:val="21"/>
                <w:highlight w:val="none"/>
              </w:rPr>
              <w:t>系统按照分中心绩效评价指标体系，通过程序定期生成绩效评价结果，记录各项指标得分及测算过程。</w:t>
            </w:r>
          </w:p>
        </w:tc>
      </w:tr>
      <w:tr w14:paraId="3F7D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D84D686">
            <w:pPr>
              <w:pStyle w:val="61"/>
              <w:numPr>
                <w:ilvl w:val="0"/>
                <w:numId w:val="3"/>
              </w:numPr>
              <w:spacing w:line="240" w:lineRule="auto"/>
              <w:ind w:firstLineChars="0"/>
              <w:jc w:val="center"/>
              <w:rPr>
                <w:szCs w:val="21"/>
                <w:highlight w:val="none"/>
              </w:rPr>
            </w:pPr>
          </w:p>
        </w:tc>
        <w:tc>
          <w:tcPr>
            <w:tcW w:w="1559" w:type="dxa"/>
            <w:vMerge w:val="continue"/>
            <w:vAlign w:val="center"/>
          </w:tcPr>
          <w:p w14:paraId="3E67259C">
            <w:pPr>
              <w:spacing w:line="240" w:lineRule="auto"/>
              <w:ind w:firstLine="0" w:firstLineChars="0"/>
              <w:jc w:val="center"/>
              <w:rPr>
                <w:sz w:val="21"/>
                <w:szCs w:val="21"/>
                <w:highlight w:val="none"/>
              </w:rPr>
            </w:pPr>
          </w:p>
        </w:tc>
        <w:tc>
          <w:tcPr>
            <w:tcW w:w="1701" w:type="dxa"/>
            <w:vAlign w:val="center"/>
          </w:tcPr>
          <w:p w14:paraId="7E67582E">
            <w:pPr>
              <w:spacing w:line="240" w:lineRule="auto"/>
              <w:ind w:firstLine="0" w:firstLineChars="0"/>
              <w:rPr>
                <w:sz w:val="21"/>
                <w:szCs w:val="21"/>
                <w:highlight w:val="none"/>
              </w:rPr>
            </w:pPr>
            <w:r>
              <w:rPr>
                <w:rFonts w:hint="eastAsia"/>
                <w:sz w:val="21"/>
                <w:szCs w:val="21"/>
                <w:highlight w:val="none"/>
              </w:rPr>
              <w:t>分中心绩效管理（新建）-分中心绩效排序管理</w:t>
            </w:r>
          </w:p>
        </w:tc>
        <w:tc>
          <w:tcPr>
            <w:tcW w:w="4338" w:type="dxa"/>
            <w:vAlign w:val="center"/>
          </w:tcPr>
          <w:p w14:paraId="0E57F8E0">
            <w:pPr>
              <w:spacing w:line="240" w:lineRule="auto"/>
              <w:ind w:firstLine="0" w:firstLineChars="0"/>
              <w:rPr>
                <w:sz w:val="21"/>
                <w:szCs w:val="21"/>
                <w:highlight w:val="none"/>
              </w:rPr>
            </w:pPr>
            <w:r>
              <w:rPr>
                <w:rFonts w:hint="eastAsia"/>
                <w:sz w:val="21"/>
                <w:szCs w:val="21"/>
                <w:highlight w:val="none"/>
              </w:rPr>
              <w:t>面向相关部门提供分中心绩效排序结果。页面默认按降序展示，点击分中心名称，可查看该分中心在最近一次绩效考核中的各项指标得分（雷达图），点击指标项可进一步查看该分中心在该方面的历史表现。</w:t>
            </w:r>
          </w:p>
        </w:tc>
      </w:tr>
      <w:tr w14:paraId="22B9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0EF702A">
            <w:pPr>
              <w:pStyle w:val="61"/>
              <w:numPr>
                <w:ilvl w:val="0"/>
                <w:numId w:val="3"/>
              </w:numPr>
              <w:spacing w:line="240" w:lineRule="auto"/>
              <w:ind w:firstLineChars="0"/>
              <w:jc w:val="center"/>
              <w:rPr>
                <w:szCs w:val="21"/>
                <w:highlight w:val="none"/>
              </w:rPr>
            </w:pPr>
          </w:p>
        </w:tc>
        <w:tc>
          <w:tcPr>
            <w:tcW w:w="1559" w:type="dxa"/>
            <w:vMerge w:val="continue"/>
            <w:vAlign w:val="center"/>
          </w:tcPr>
          <w:p w14:paraId="1E841F40">
            <w:pPr>
              <w:spacing w:line="240" w:lineRule="auto"/>
              <w:ind w:firstLine="0" w:firstLineChars="0"/>
              <w:jc w:val="center"/>
              <w:rPr>
                <w:sz w:val="21"/>
                <w:szCs w:val="21"/>
                <w:highlight w:val="none"/>
              </w:rPr>
            </w:pPr>
          </w:p>
        </w:tc>
        <w:tc>
          <w:tcPr>
            <w:tcW w:w="1701" w:type="dxa"/>
            <w:vAlign w:val="center"/>
          </w:tcPr>
          <w:p w14:paraId="782966F0">
            <w:pPr>
              <w:spacing w:line="240" w:lineRule="auto"/>
              <w:ind w:firstLine="0" w:firstLineChars="0"/>
              <w:rPr>
                <w:sz w:val="21"/>
                <w:szCs w:val="21"/>
                <w:highlight w:val="none"/>
              </w:rPr>
            </w:pPr>
            <w:r>
              <w:rPr>
                <w:rFonts w:hint="eastAsia"/>
                <w:sz w:val="21"/>
                <w:szCs w:val="21"/>
                <w:highlight w:val="none"/>
              </w:rPr>
              <w:t>经办业务异常预警（新建）-办件临期提醒</w:t>
            </w:r>
          </w:p>
        </w:tc>
        <w:tc>
          <w:tcPr>
            <w:tcW w:w="4338" w:type="dxa"/>
            <w:vAlign w:val="center"/>
          </w:tcPr>
          <w:p w14:paraId="6EEC69B7">
            <w:pPr>
              <w:spacing w:line="240" w:lineRule="auto"/>
              <w:ind w:firstLine="0" w:firstLineChars="0"/>
              <w:rPr>
                <w:sz w:val="21"/>
                <w:szCs w:val="21"/>
                <w:highlight w:val="none"/>
              </w:rPr>
            </w:pPr>
            <w:r>
              <w:rPr>
                <w:rFonts w:hint="eastAsia"/>
                <w:sz w:val="21"/>
                <w:szCs w:val="21"/>
                <w:highlight w:val="none"/>
              </w:rPr>
              <w:t>筛选即将到期的办件，生成临期办件清单，通过系统通知通知各分中心相关责任人。</w:t>
            </w:r>
          </w:p>
        </w:tc>
      </w:tr>
      <w:tr w14:paraId="0839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7D079CAA">
            <w:pPr>
              <w:pStyle w:val="61"/>
              <w:numPr>
                <w:ilvl w:val="0"/>
                <w:numId w:val="3"/>
              </w:numPr>
              <w:spacing w:line="240" w:lineRule="auto"/>
              <w:ind w:firstLineChars="0"/>
              <w:jc w:val="center"/>
              <w:rPr>
                <w:szCs w:val="21"/>
                <w:highlight w:val="none"/>
              </w:rPr>
            </w:pPr>
          </w:p>
        </w:tc>
        <w:tc>
          <w:tcPr>
            <w:tcW w:w="1559" w:type="dxa"/>
            <w:vMerge w:val="continue"/>
            <w:vAlign w:val="center"/>
          </w:tcPr>
          <w:p w14:paraId="2A3F0061">
            <w:pPr>
              <w:spacing w:line="240" w:lineRule="auto"/>
              <w:ind w:firstLine="0" w:firstLineChars="0"/>
              <w:jc w:val="center"/>
              <w:rPr>
                <w:sz w:val="21"/>
                <w:szCs w:val="21"/>
                <w:highlight w:val="none"/>
              </w:rPr>
            </w:pPr>
          </w:p>
        </w:tc>
        <w:tc>
          <w:tcPr>
            <w:tcW w:w="1701" w:type="dxa"/>
            <w:vAlign w:val="center"/>
          </w:tcPr>
          <w:p w14:paraId="3A1D70B7">
            <w:pPr>
              <w:spacing w:line="240" w:lineRule="auto"/>
              <w:ind w:firstLine="0" w:firstLineChars="0"/>
              <w:rPr>
                <w:sz w:val="21"/>
                <w:szCs w:val="21"/>
                <w:highlight w:val="none"/>
              </w:rPr>
            </w:pPr>
            <w:r>
              <w:rPr>
                <w:rFonts w:hint="eastAsia"/>
                <w:sz w:val="21"/>
                <w:szCs w:val="21"/>
                <w:highlight w:val="none"/>
              </w:rPr>
              <w:t>经办业务异常预警（新建）-办件逾期提醒</w:t>
            </w:r>
          </w:p>
        </w:tc>
        <w:tc>
          <w:tcPr>
            <w:tcW w:w="4338" w:type="dxa"/>
            <w:vAlign w:val="center"/>
          </w:tcPr>
          <w:p w14:paraId="79BAD519">
            <w:pPr>
              <w:spacing w:line="240" w:lineRule="auto"/>
              <w:ind w:firstLine="0" w:firstLineChars="0"/>
              <w:rPr>
                <w:sz w:val="21"/>
                <w:szCs w:val="21"/>
                <w:highlight w:val="none"/>
              </w:rPr>
            </w:pPr>
            <w:r>
              <w:rPr>
                <w:rFonts w:hint="eastAsia"/>
                <w:sz w:val="21"/>
                <w:szCs w:val="21"/>
                <w:highlight w:val="none"/>
              </w:rPr>
              <w:t>筛选已经逾期的办件，生成逾期办件清单，通过系统通知通知各分中心相关责任人。</w:t>
            </w:r>
          </w:p>
        </w:tc>
      </w:tr>
      <w:tr w14:paraId="177F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CA1059B">
            <w:pPr>
              <w:pStyle w:val="61"/>
              <w:numPr>
                <w:ilvl w:val="0"/>
                <w:numId w:val="3"/>
              </w:numPr>
              <w:spacing w:line="240" w:lineRule="auto"/>
              <w:ind w:firstLineChars="0"/>
              <w:jc w:val="center"/>
              <w:rPr>
                <w:szCs w:val="21"/>
                <w:highlight w:val="none"/>
              </w:rPr>
            </w:pPr>
          </w:p>
        </w:tc>
        <w:tc>
          <w:tcPr>
            <w:tcW w:w="1559" w:type="dxa"/>
            <w:vMerge w:val="continue"/>
            <w:vAlign w:val="center"/>
          </w:tcPr>
          <w:p w14:paraId="1DB1D4E6">
            <w:pPr>
              <w:spacing w:line="240" w:lineRule="auto"/>
              <w:ind w:firstLine="0" w:firstLineChars="0"/>
              <w:jc w:val="center"/>
              <w:rPr>
                <w:sz w:val="21"/>
                <w:szCs w:val="21"/>
                <w:highlight w:val="none"/>
              </w:rPr>
            </w:pPr>
          </w:p>
        </w:tc>
        <w:tc>
          <w:tcPr>
            <w:tcW w:w="1701" w:type="dxa"/>
            <w:vAlign w:val="center"/>
          </w:tcPr>
          <w:p w14:paraId="676B9B47">
            <w:pPr>
              <w:spacing w:line="240" w:lineRule="auto"/>
              <w:ind w:firstLine="0" w:firstLineChars="0"/>
              <w:rPr>
                <w:sz w:val="21"/>
                <w:szCs w:val="21"/>
                <w:highlight w:val="none"/>
              </w:rPr>
            </w:pPr>
            <w:r>
              <w:rPr>
                <w:rFonts w:hint="eastAsia"/>
                <w:sz w:val="21"/>
                <w:szCs w:val="21"/>
                <w:highlight w:val="none"/>
              </w:rPr>
              <w:t>经办业务异常预警（新建）-受理业务量异常预警</w:t>
            </w:r>
          </w:p>
        </w:tc>
        <w:tc>
          <w:tcPr>
            <w:tcW w:w="4338" w:type="dxa"/>
            <w:vAlign w:val="center"/>
          </w:tcPr>
          <w:p w14:paraId="1015E88F">
            <w:pPr>
              <w:spacing w:line="240" w:lineRule="auto"/>
              <w:ind w:firstLine="0" w:firstLineChars="0"/>
              <w:rPr>
                <w:sz w:val="21"/>
                <w:szCs w:val="21"/>
                <w:highlight w:val="none"/>
              </w:rPr>
            </w:pPr>
            <w:r>
              <w:rPr>
                <w:rFonts w:hint="eastAsia"/>
                <w:sz w:val="21"/>
                <w:szCs w:val="21"/>
                <w:highlight w:val="none"/>
              </w:rPr>
              <w:t>以各分中心过去一段时间的受理业务量为参照，设置业务受理量预警阈值。系统持续监测各分中心业务受理量，当受理量超过阈值时触发预警，通过系统通知通知各分中心相关责任人。</w:t>
            </w:r>
          </w:p>
        </w:tc>
      </w:tr>
      <w:tr w14:paraId="1B895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15BCD69">
            <w:pPr>
              <w:pStyle w:val="61"/>
              <w:numPr>
                <w:ilvl w:val="0"/>
                <w:numId w:val="3"/>
              </w:numPr>
              <w:spacing w:line="240" w:lineRule="auto"/>
              <w:ind w:firstLineChars="0"/>
              <w:jc w:val="center"/>
              <w:rPr>
                <w:szCs w:val="21"/>
                <w:highlight w:val="none"/>
              </w:rPr>
            </w:pPr>
          </w:p>
        </w:tc>
        <w:tc>
          <w:tcPr>
            <w:tcW w:w="1559" w:type="dxa"/>
            <w:vMerge w:val="continue"/>
            <w:vAlign w:val="center"/>
          </w:tcPr>
          <w:p w14:paraId="7215BB66">
            <w:pPr>
              <w:spacing w:line="240" w:lineRule="auto"/>
              <w:ind w:firstLine="0" w:firstLineChars="0"/>
              <w:jc w:val="center"/>
              <w:rPr>
                <w:sz w:val="21"/>
                <w:szCs w:val="21"/>
                <w:highlight w:val="none"/>
              </w:rPr>
            </w:pPr>
          </w:p>
        </w:tc>
        <w:tc>
          <w:tcPr>
            <w:tcW w:w="1701" w:type="dxa"/>
            <w:vAlign w:val="center"/>
          </w:tcPr>
          <w:p w14:paraId="535FEFC5">
            <w:pPr>
              <w:spacing w:line="240" w:lineRule="auto"/>
              <w:ind w:firstLine="0" w:firstLineChars="0"/>
              <w:rPr>
                <w:sz w:val="21"/>
                <w:szCs w:val="21"/>
                <w:highlight w:val="none"/>
              </w:rPr>
            </w:pPr>
            <w:r>
              <w:rPr>
                <w:rFonts w:hint="eastAsia"/>
                <w:sz w:val="21"/>
                <w:szCs w:val="21"/>
                <w:highlight w:val="none"/>
              </w:rPr>
              <w:t>经办业务异常预警（新建）-审核业务量异常预警</w:t>
            </w:r>
          </w:p>
        </w:tc>
        <w:tc>
          <w:tcPr>
            <w:tcW w:w="4338" w:type="dxa"/>
            <w:vAlign w:val="center"/>
          </w:tcPr>
          <w:p w14:paraId="11F2FFFB">
            <w:pPr>
              <w:spacing w:line="240" w:lineRule="auto"/>
              <w:ind w:firstLine="0" w:firstLineChars="0"/>
              <w:rPr>
                <w:sz w:val="21"/>
                <w:szCs w:val="21"/>
                <w:highlight w:val="none"/>
              </w:rPr>
            </w:pPr>
            <w:r>
              <w:rPr>
                <w:rFonts w:hint="eastAsia"/>
                <w:sz w:val="21"/>
                <w:szCs w:val="21"/>
                <w:highlight w:val="none"/>
              </w:rPr>
              <w:t>以各分中心过去一段时间的审核业务量为参照，设置业务审核量预警阈值。系统持续监测各分中心业务审核量，当审核量超过阈值时触发预警，通过系统通知通知各分中心相关责任人。</w:t>
            </w:r>
          </w:p>
        </w:tc>
      </w:tr>
      <w:tr w14:paraId="5166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B34F937">
            <w:pPr>
              <w:pStyle w:val="61"/>
              <w:numPr>
                <w:ilvl w:val="0"/>
                <w:numId w:val="3"/>
              </w:numPr>
              <w:spacing w:line="240" w:lineRule="auto"/>
              <w:ind w:firstLineChars="0"/>
              <w:jc w:val="center"/>
              <w:rPr>
                <w:szCs w:val="21"/>
                <w:highlight w:val="none"/>
              </w:rPr>
            </w:pPr>
          </w:p>
        </w:tc>
        <w:tc>
          <w:tcPr>
            <w:tcW w:w="1559" w:type="dxa"/>
            <w:vMerge w:val="continue"/>
            <w:vAlign w:val="center"/>
          </w:tcPr>
          <w:p w14:paraId="3165CE62">
            <w:pPr>
              <w:spacing w:line="240" w:lineRule="auto"/>
              <w:ind w:firstLine="0" w:firstLineChars="0"/>
              <w:jc w:val="center"/>
              <w:rPr>
                <w:sz w:val="21"/>
                <w:szCs w:val="21"/>
                <w:highlight w:val="none"/>
              </w:rPr>
            </w:pPr>
          </w:p>
        </w:tc>
        <w:tc>
          <w:tcPr>
            <w:tcW w:w="1701" w:type="dxa"/>
            <w:vAlign w:val="center"/>
          </w:tcPr>
          <w:p w14:paraId="1FCBC320">
            <w:pPr>
              <w:spacing w:line="240" w:lineRule="auto"/>
              <w:ind w:firstLine="0" w:firstLineChars="0"/>
              <w:rPr>
                <w:sz w:val="21"/>
                <w:szCs w:val="21"/>
                <w:highlight w:val="none"/>
              </w:rPr>
            </w:pPr>
            <w:r>
              <w:rPr>
                <w:rFonts w:hint="eastAsia"/>
                <w:sz w:val="21"/>
                <w:szCs w:val="21"/>
                <w:highlight w:val="none"/>
              </w:rPr>
              <w:t>制度性报表统计分析（新建二级功能模块）-指标值关系校验规则</w:t>
            </w:r>
          </w:p>
        </w:tc>
        <w:tc>
          <w:tcPr>
            <w:tcW w:w="4338" w:type="dxa"/>
            <w:vAlign w:val="center"/>
          </w:tcPr>
          <w:p w14:paraId="128C87B2">
            <w:pPr>
              <w:spacing w:line="240" w:lineRule="auto"/>
              <w:ind w:firstLine="0" w:firstLineChars="0"/>
              <w:rPr>
                <w:sz w:val="21"/>
                <w:szCs w:val="21"/>
                <w:highlight w:val="none"/>
              </w:rPr>
            </w:pPr>
            <w:r>
              <w:rPr>
                <w:rFonts w:hint="eastAsia"/>
                <w:sz w:val="21"/>
                <w:szCs w:val="21"/>
                <w:highlight w:val="none"/>
              </w:rPr>
              <w:t>支持配置指标项之间的关系校验监控规则，包括逻辑运算、数学运算等运算关系，求和、计数、求平均等统计关系。支持跨报表校验。</w:t>
            </w:r>
          </w:p>
        </w:tc>
      </w:tr>
      <w:tr w14:paraId="3A24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42BD2374">
            <w:pPr>
              <w:pStyle w:val="61"/>
              <w:numPr>
                <w:ilvl w:val="0"/>
                <w:numId w:val="3"/>
              </w:numPr>
              <w:spacing w:line="240" w:lineRule="auto"/>
              <w:ind w:firstLineChars="0"/>
              <w:jc w:val="center"/>
              <w:rPr>
                <w:szCs w:val="21"/>
                <w:highlight w:val="none"/>
              </w:rPr>
            </w:pPr>
          </w:p>
        </w:tc>
        <w:tc>
          <w:tcPr>
            <w:tcW w:w="1559" w:type="dxa"/>
            <w:vMerge w:val="continue"/>
            <w:vAlign w:val="center"/>
          </w:tcPr>
          <w:p w14:paraId="409350FD">
            <w:pPr>
              <w:spacing w:line="240" w:lineRule="auto"/>
              <w:ind w:firstLine="0" w:firstLineChars="0"/>
              <w:jc w:val="center"/>
              <w:rPr>
                <w:sz w:val="21"/>
                <w:szCs w:val="21"/>
                <w:highlight w:val="none"/>
              </w:rPr>
            </w:pPr>
          </w:p>
        </w:tc>
        <w:tc>
          <w:tcPr>
            <w:tcW w:w="1701" w:type="dxa"/>
            <w:vAlign w:val="center"/>
          </w:tcPr>
          <w:p w14:paraId="46B71748">
            <w:pPr>
              <w:spacing w:line="240" w:lineRule="auto"/>
              <w:ind w:firstLine="0" w:firstLineChars="0"/>
              <w:rPr>
                <w:sz w:val="21"/>
                <w:szCs w:val="21"/>
                <w:highlight w:val="none"/>
              </w:rPr>
            </w:pPr>
            <w:r>
              <w:rPr>
                <w:rFonts w:hint="eastAsia"/>
                <w:sz w:val="21"/>
                <w:szCs w:val="21"/>
                <w:highlight w:val="none"/>
              </w:rPr>
              <w:t>制度性报表统计分析（新建二级功能模块）-数据波动校验规则</w:t>
            </w:r>
          </w:p>
        </w:tc>
        <w:tc>
          <w:tcPr>
            <w:tcW w:w="4338" w:type="dxa"/>
            <w:vAlign w:val="center"/>
          </w:tcPr>
          <w:p w14:paraId="75F76F77">
            <w:pPr>
              <w:spacing w:line="240" w:lineRule="auto"/>
              <w:ind w:firstLine="0" w:firstLineChars="0"/>
              <w:rPr>
                <w:sz w:val="21"/>
                <w:szCs w:val="21"/>
                <w:highlight w:val="none"/>
              </w:rPr>
            </w:pPr>
            <w:r>
              <w:rPr>
                <w:rFonts w:hint="eastAsia"/>
                <w:sz w:val="21"/>
                <w:szCs w:val="21"/>
                <w:highlight w:val="none"/>
              </w:rPr>
              <w:t>支持配置对数据波动性进行监控的规则，帮助用户检查数据偏离合理范围的程度是否超过阈值。用户可设置阈值规则，如设置为固定值，设置为历史数据的极值乘以浮动比例等。（此处的历史数据，可以为过去若干个连续的统计周期，也可以是过去若干年的同期数据）</w:t>
            </w:r>
          </w:p>
        </w:tc>
      </w:tr>
      <w:tr w14:paraId="4D90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2359737">
            <w:pPr>
              <w:pStyle w:val="61"/>
              <w:numPr>
                <w:ilvl w:val="0"/>
                <w:numId w:val="3"/>
              </w:numPr>
              <w:spacing w:line="240" w:lineRule="auto"/>
              <w:ind w:firstLineChars="0"/>
              <w:jc w:val="center"/>
              <w:rPr>
                <w:szCs w:val="21"/>
                <w:highlight w:val="none"/>
              </w:rPr>
            </w:pPr>
          </w:p>
        </w:tc>
        <w:tc>
          <w:tcPr>
            <w:tcW w:w="1559" w:type="dxa"/>
            <w:vMerge w:val="continue"/>
            <w:vAlign w:val="center"/>
          </w:tcPr>
          <w:p w14:paraId="15F9BDAB">
            <w:pPr>
              <w:spacing w:line="240" w:lineRule="auto"/>
              <w:ind w:firstLine="0" w:firstLineChars="0"/>
              <w:jc w:val="center"/>
              <w:rPr>
                <w:sz w:val="21"/>
                <w:szCs w:val="21"/>
                <w:highlight w:val="none"/>
              </w:rPr>
            </w:pPr>
          </w:p>
        </w:tc>
        <w:tc>
          <w:tcPr>
            <w:tcW w:w="1701" w:type="dxa"/>
            <w:vAlign w:val="center"/>
          </w:tcPr>
          <w:p w14:paraId="2EECB0D8">
            <w:pPr>
              <w:spacing w:line="240" w:lineRule="auto"/>
              <w:ind w:firstLine="0" w:firstLineChars="0"/>
              <w:rPr>
                <w:sz w:val="21"/>
                <w:szCs w:val="21"/>
                <w:highlight w:val="none"/>
              </w:rPr>
            </w:pPr>
            <w:r>
              <w:rPr>
                <w:rFonts w:hint="eastAsia"/>
                <w:sz w:val="21"/>
                <w:szCs w:val="21"/>
                <w:highlight w:val="none"/>
              </w:rPr>
              <w:t>制度性报表统计分析（新建二级功能模块）-监控任务管理</w:t>
            </w:r>
          </w:p>
        </w:tc>
        <w:tc>
          <w:tcPr>
            <w:tcW w:w="4338" w:type="dxa"/>
            <w:vAlign w:val="center"/>
          </w:tcPr>
          <w:p w14:paraId="425D5804">
            <w:pPr>
              <w:spacing w:line="240" w:lineRule="auto"/>
              <w:ind w:firstLine="0" w:firstLineChars="0"/>
              <w:rPr>
                <w:sz w:val="21"/>
                <w:szCs w:val="21"/>
                <w:highlight w:val="none"/>
              </w:rPr>
            </w:pPr>
            <w:r>
              <w:rPr>
                <w:rFonts w:hint="eastAsia"/>
                <w:sz w:val="21"/>
                <w:szCs w:val="21"/>
                <w:highlight w:val="none"/>
              </w:rPr>
              <w:t>提供监控任务配置功能，通过为报表内的指标绑定一个或多个监控规则，关连监控任务，系统可持续监控报表内的数据是否正常。</w:t>
            </w:r>
          </w:p>
        </w:tc>
      </w:tr>
      <w:tr w14:paraId="1620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0F6301F">
            <w:pPr>
              <w:pStyle w:val="61"/>
              <w:numPr>
                <w:ilvl w:val="0"/>
                <w:numId w:val="3"/>
              </w:numPr>
              <w:spacing w:line="240" w:lineRule="auto"/>
              <w:ind w:firstLineChars="0"/>
              <w:jc w:val="center"/>
              <w:rPr>
                <w:szCs w:val="21"/>
                <w:highlight w:val="none"/>
              </w:rPr>
            </w:pPr>
          </w:p>
        </w:tc>
        <w:tc>
          <w:tcPr>
            <w:tcW w:w="1559" w:type="dxa"/>
            <w:vMerge w:val="continue"/>
            <w:vAlign w:val="center"/>
          </w:tcPr>
          <w:p w14:paraId="2EED771F">
            <w:pPr>
              <w:spacing w:line="240" w:lineRule="auto"/>
              <w:ind w:firstLine="0" w:firstLineChars="0"/>
              <w:jc w:val="center"/>
              <w:rPr>
                <w:sz w:val="21"/>
                <w:szCs w:val="21"/>
                <w:highlight w:val="none"/>
              </w:rPr>
            </w:pPr>
          </w:p>
        </w:tc>
        <w:tc>
          <w:tcPr>
            <w:tcW w:w="1701" w:type="dxa"/>
            <w:vAlign w:val="center"/>
          </w:tcPr>
          <w:p w14:paraId="3517EF87">
            <w:pPr>
              <w:spacing w:line="240" w:lineRule="auto"/>
              <w:ind w:firstLine="0" w:firstLineChars="0"/>
              <w:rPr>
                <w:sz w:val="21"/>
                <w:szCs w:val="21"/>
                <w:highlight w:val="none"/>
              </w:rPr>
            </w:pPr>
            <w:r>
              <w:rPr>
                <w:rFonts w:hint="eastAsia"/>
                <w:sz w:val="21"/>
                <w:szCs w:val="21"/>
                <w:highlight w:val="none"/>
              </w:rPr>
              <w:t>制度性报表统计分析（新建二级功能模块）-报表异常值预警提示</w:t>
            </w:r>
          </w:p>
        </w:tc>
        <w:tc>
          <w:tcPr>
            <w:tcW w:w="4338" w:type="dxa"/>
            <w:vAlign w:val="center"/>
          </w:tcPr>
          <w:p w14:paraId="3DB06508">
            <w:pPr>
              <w:spacing w:line="240" w:lineRule="auto"/>
              <w:ind w:firstLine="0" w:firstLineChars="0"/>
              <w:rPr>
                <w:sz w:val="21"/>
                <w:szCs w:val="21"/>
                <w:highlight w:val="none"/>
              </w:rPr>
            </w:pPr>
            <w:r>
              <w:rPr>
                <w:rFonts w:hint="eastAsia"/>
                <w:sz w:val="21"/>
                <w:szCs w:val="21"/>
                <w:highlight w:val="none"/>
              </w:rPr>
              <w:t>当系统发现报表数据异常时，生成预警提示信息，并通过系统通知告知有权限访问问题报表的用户。用户知悉后，首先判断该异常是否属实，然后可通过“报表数值修正”模块修改数据，此时系统会继续监控修改后的数据，直至校验通过。（系统自动预警的异常值，也可能是由政策调整等外部因素引起，而非系统故障或统计错误引起，此时用户手动标记数值为“正常”，然后进一步分析其背后的业务原因。）</w:t>
            </w:r>
          </w:p>
        </w:tc>
      </w:tr>
      <w:tr w14:paraId="23E6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01CB9BD">
            <w:pPr>
              <w:pStyle w:val="61"/>
              <w:numPr>
                <w:ilvl w:val="0"/>
                <w:numId w:val="3"/>
              </w:numPr>
              <w:spacing w:line="240" w:lineRule="auto"/>
              <w:ind w:firstLineChars="0"/>
              <w:jc w:val="center"/>
              <w:rPr>
                <w:szCs w:val="21"/>
                <w:highlight w:val="none"/>
              </w:rPr>
            </w:pPr>
          </w:p>
        </w:tc>
        <w:tc>
          <w:tcPr>
            <w:tcW w:w="1559" w:type="dxa"/>
            <w:vMerge w:val="continue"/>
            <w:vAlign w:val="center"/>
          </w:tcPr>
          <w:p w14:paraId="64C92525">
            <w:pPr>
              <w:spacing w:line="240" w:lineRule="auto"/>
              <w:ind w:firstLine="0" w:firstLineChars="0"/>
              <w:jc w:val="center"/>
              <w:rPr>
                <w:sz w:val="21"/>
                <w:szCs w:val="21"/>
                <w:highlight w:val="none"/>
              </w:rPr>
            </w:pPr>
          </w:p>
        </w:tc>
        <w:tc>
          <w:tcPr>
            <w:tcW w:w="1701" w:type="dxa"/>
            <w:vAlign w:val="center"/>
          </w:tcPr>
          <w:p w14:paraId="44E22FAB">
            <w:pPr>
              <w:spacing w:line="240" w:lineRule="auto"/>
              <w:ind w:firstLine="0" w:firstLineChars="0"/>
              <w:rPr>
                <w:sz w:val="21"/>
                <w:szCs w:val="21"/>
                <w:highlight w:val="none"/>
              </w:rPr>
            </w:pPr>
            <w:r>
              <w:rPr>
                <w:rFonts w:hint="eastAsia"/>
                <w:sz w:val="21"/>
                <w:szCs w:val="21"/>
                <w:highlight w:val="none"/>
              </w:rPr>
              <w:t>制度性报表统计分析（新建二级功能模块）-报表数值修正</w:t>
            </w:r>
          </w:p>
        </w:tc>
        <w:tc>
          <w:tcPr>
            <w:tcW w:w="4338" w:type="dxa"/>
            <w:vAlign w:val="center"/>
          </w:tcPr>
          <w:p w14:paraId="0C51385A">
            <w:pPr>
              <w:spacing w:line="240" w:lineRule="auto"/>
              <w:ind w:firstLine="0" w:firstLineChars="0"/>
              <w:rPr>
                <w:sz w:val="21"/>
                <w:szCs w:val="21"/>
                <w:highlight w:val="none"/>
              </w:rPr>
            </w:pPr>
            <w:r>
              <w:rPr>
                <w:rFonts w:hint="eastAsia"/>
                <w:sz w:val="21"/>
                <w:szCs w:val="21"/>
                <w:highlight w:val="none"/>
              </w:rPr>
              <w:t>因系统故障、统计错误等原因，用户可能需要主动修正报表内的数据。该模块提供报表数值的多次修正功能，用户可以在一屏内对比修正前后的报表数据。系统通过权限控制使得特定业务部门的用户仅能修改本部门业务报表。</w:t>
            </w:r>
          </w:p>
        </w:tc>
      </w:tr>
      <w:tr w14:paraId="76F5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2FB8AAB4">
            <w:pPr>
              <w:pStyle w:val="61"/>
              <w:numPr>
                <w:ilvl w:val="0"/>
                <w:numId w:val="3"/>
              </w:numPr>
              <w:spacing w:line="240" w:lineRule="auto"/>
              <w:ind w:firstLineChars="0"/>
              <w:jc w:val="center"/>
              <w:rPr>
                <w:szCs w:val="21"/>
                <w:highlight w:val="none"/>
              </w:rPr>
            </w:pPr>
          </w:p>
        </w:tc>
        <w:tc>
          <w:tcPr>
            <w:tcW w:w="1559" w:type="dxa"/>
            <w:vMerge w:val="continue"/>
            <w:vAlign w:val="center"/>
          </w:tcPr>
          <w:p w14:paraId="25AE6E8F">
            <w:pPr>
              <w:spacing w:line="240" w:lineRule="auto"/>
              <w:ind w:firstLine="0" w:firstLineChars="0"/>
              <w:jc w:val="center"/>
              <w:rPr>
                <w:sz w:val="21"/>
                <w:szCs w:val="21"/>
                <w:highlight w:val="none"/>
              </w:rPr>
            </w:pPr>
          </w:p>
        </w:tc>
        <w:tc>
          <w:tcPr>
            <w:tcW w:w="1701" w:type="dxa"/>
            <w:vAlign w:val="center"/>
          </w:tcPr>
          <w:p w14:paraId="38A018E3">
            <w:pPr>
              <w:spacing w:line="240" w:lineRule="auto"/>
              <w:ind w:firstLine="0" w:firstLineChars="0"/>
              <w:rPr>
                <w:sz w:val="21"/>
                <w:szCs w:val="21"/>
                <w:highlight w:val="none"/>
              </w:rPr>
            </w:pPr>
            <w:r>
              <w:rPr>
                <w:rFonts w:hint="eastAsia"/>
                <w:sz w:val="21"/>
                <w:szCs w:val="21"/>
                <w:highlight w:val="none"/>
              </w:rPr>
              <w:t>制度性报表统计分析（新建二级功能模块）-修正轨迹追溯</w:t>
            </w:r>
          </w:p>
        </w:tc>
        <w:tc>
          <w:tcPr>
            <w:tcW w:w="4338" w:type="dxa"/>
            <w:vAlign w:val="center"/>
          </w:tcPr>
          <w:p w14:paraId="32E8DC14">
            <w:pPr>
              <w:spacing w:line="240" w:lineRule="auto"/>
              <w:ind w:firstLine="0" w:firstLineChars="0"/>
              <w:rPr>
                <w:sz w:val="21"/>
                <w:szCs w:val="21"/>
                <w:highlight w:val="none"/>
              </w:rPr>
            </w:pPr>
            <w:r>
              <w:rPr>
                <w:rFonts w:hint="eastAsia"/>
                <w:sz w:val="21"/>
                <w:szCs w:val="21"/>
                <w:highlight w:val="none"/>
              </w:rPr>
              <w:t>系统保留历次数值修改记录，并以时间轴方式展示数据修正轨迹，包括修正时间、修正人员、触发类型（如用户主动修正、系统发现数值异常等）、问题数据产生的原因，修正前的数值、修正后的数值等。</w:t>
            </w:r>
          </w:p>
        </w:tc>
      </w:tr>
      <w:tr w14:paraId="30AE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5DB8DD8">
            <w:pPr>
              <w:pStyle w:val="61"/>
              <w:numPr>
                <w:ilvl w:val="0"/>
                <w:numId w:val="3"/>
              </w:numPr>
              <w:spacing w:line="240" w:lineRule="auto"/>
              <w:ind w:firstLineChars="0"/>
              <w:jc w:val="center"/>
              <w:rPr>
                <w:szCs w:val="21"/>
                <w:highlight w:val="none"/>
              </w:rPr>
            </w:pPr>
          </w:p>
        </w:tc>
        <w:tc>
          <w:tcPr>
            <w:tcW w:w="1559" w:type="dxa"/>
            <w:vMerge w:val="continue"/>
            <w:vAlign w:val="center"/>
          </w:tcPr>
          <w:p w14:paraId="5C166002">
            <w:pPr>
              <w:spacing w:line="240" w:lineRule="auto"/>
              <w:ind w:firstLine="0" w:firstLineChars="0"/>
              <w:jc w:val="center"/>
              <w:rPr>
                <w:sz w:val="21"/>
                <w:szCs w:val="21"/>
                <w:highlight w:val="none"/>
              </w:rPr>
            </w:pPr>
          </w:p>
        </w:tc>
        <w:tc>
          <w:tcPr>
            <w:tcW w:w="1701" w:type="dxa"/>
            <w:vAlign w:val="center"/>
          </w:tcPr>
          <w:p w14:paraId="577673A2">
            <w:pPr>
              <w:spacing w:line="240" w:lineRule="auto"/>
              <w:ind w:firstLine="0" w:firstLineChars="0"/>
              <w:rPr>
                <w:sz w:val="21"/>
                <w:szCs w:val="21"/>
                <w:highlight w:val="none"/>
              </w:rPr>
            </w:pPr>
            <w:r>
              <w:rPr>
                <w:rFonts w:hint="eastAsia"/>
                <w:sz w:val="21"/>
                <w:szCs w:val="21"/>
                <w:highlight w:val="none"/>
              </w:rPr>
              <w:t>指标解释口径管理（新建）-指标解释口径创建</w:t>
            </w:r>
          </w:p>
        </w:tc>
        <w:tc>
          <w:tcPr>
            <w:tcW w:w="4338" w:type="dxa"/>
            <w:vAlign w:val="center"/>
          </w:tcPr>
          <w:p w14:paraId="14E42E81">
            <w:pPr>
              <w:spacing w:line="240" w:lineRule="auto"/>
              <w:ind w:firstLine="0" w:firstLineChars="0"/>
              <w:rPr>
                <w:sz w:val="21"/>
                <w:szCs w:val="21"/>
                <w:highlight w:val="none"/>
              </w:rPr>
            </w:pPr>
            <w:r>
              <w:rPr>
                <w:rFonts w:hint="eastAsia"/>
                <w:sz w:val="21"/>
                <w:szCs w:val="21"/>
                <w:highlight w:val="none"/>
              </w:rPr>
              <w:t>用户选择系统内已存在的指标，录入指标的解释口径，包括指标的文字解释、统计方法、所依据的政策文件等。用户在查看引用该指标的报表、报告或图表时，可通过点击指标名称，查看该指标的解释口径。</w:t>
            </w:r>
          </w:p>
        </w:tc>
      </w:tr>
      <w:tr w14:paraId="1704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F8A1370">
            <w:pPr>
              <w:pStyle w:val="61"/>
              <w:numPr>
                <w:ilvl w:val="0"/>
                <w:numId w:val="3"/>
              </w:numPr>
              <w:spacing w:line="240" w:lineRule="auto"/>
              <w:ind w:firstLineChars="0"/>
              <w:jc w:val="center"/>
              <w:rPr>
                <w:szCs w:val="21"/>
                <w:highlight w:val="none"/>
              </w:rPr>
            </w:pPr>
          </w:p>
        </w:tc>
        <w:tc>
          <w:tcPr>
            <w:tcW w:w="1559" w:type="dxa"/>
            <w:vMerge w:val="continue"/>
            <w:vAlign w:val="center"/>
          </w:tcPr>
          <w:p w14:paraId="42FF0EF3">
            <w:pPr>
              <w:spacing w:line="240" w:lineRule="auto"/>
              <w:ind w:firstLine="0" w:firstLineChars="0"/>
              <w:jc w:val="center"/>
              <w:rPr>
                <w:sz w:val="21"/>
                <w:szCs w:val="21"/>
                <w:highlight w:val="none"/>
              </w:rPr>
            </w:pPr>
          </w:p>
        </w:tc>
        <w:tc>
          <w:tcPr>
            <w:tcW w:w="1701" w:type="dxa"/>
            <w:vAlign w:val="center"/>
          </w:tcPr>
          <w:p w14:paraId="3A614362">
            <w:pPr>
              <w:spacing w:line="240" w:lineRule="auto"/>
              <w:ind w:firstLine="0" w:firstLineChars="0"/>
              <w:rPr>
                <w:sz w:val="21"/>
                <w:szCs w:val="21"/>
                <w:highlight w:val="none"/>
              </w:rPr>
            </w:pPr>
            <w:r>
              <w:rPr>
                <w:rFonts w:hint="eastAsia"/>
                <w:sz w:val="21"/>
                <w:szCs w:val="21"/>
                <w:highlight w:val="none"/>
              </w:rPr>
              <w:t>指标解释口径管理（新建）-指标解释口径变更</w:t>
            </w:r>
          </w:p>
        </w:tc>
        <w:tc>
          <w:tcPr>
            <w:tcW w:w="4338" w:type="dxa"/>
            <w:vAlign w:val="center"/>
          </w:tcPr>
          <w:p w14:paraId="0C1D4659">
            <w:pPr>
              <w:spacing w:line="240" w:lineRule="auto"/>
              <w:ind w:firstLine="0" w:firstLineChars="0"/>
              <w:rPr>
                <w:sz w:val="21"/>
                <w:szCs w:val="21"/>
                <w:highlight w:val="none"/>
              </w:rPr>
            </w:pPr>
            <w:r>
              <w:rPr>
                <w:rFonts w:hint="eastAsia"/>
                <w:sz w:val="21"/>
                <w:szCs w:val="21"/>
                <w:highlight w:val="none"/>
              </w:rPr>
              <w:t>当指标解释口径发生变化时，用户可发起指标解释口径变更流程，录入变更后的指标解释口径信息。</w:t>
            </w:r>
          </w:p>
        </w:tc>
      </w:tr>
      <w:tr w14:paraId="5F55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E538FEB">
            <w:pPr>
              <w:pStyle w:val="61"/>
              <w:numPr>
                <w:ilvl w:val="0"/>
                <w:numId w:val="3"/>
              </w:numPr>
              <w:spacing w:line="240" w:lineRule="auto"/>
              <w:ind w:firstLineChars="0"/>
              <w:jc w:val="center"/>
              <w:rPr>
                <w:szCs w:val="21"/>
                <w:highlight w:val="none"/>
              </w:rPr>
            </w:pPr>
          </w:p>
        </w:tc>
        <w:tc>
          <w:tcPr>
            <w:tcW w:w="1559" w:type="dxa"/>
            <w:vMerge w:val="continue"/>
            <w:vAlign w:val="center"/>
          </w:tcPr>
          <w:p w14:paraId="50464F31">
            <w:pPr>
              <w:spacing w:line="240" w:lineRule="auto"/>
              <w:ind w:firstLine="0" w:firstLineChars="0"/>
              <w:jc w:val="center"/>
              <w:rPr>
                <w:sz w:val="21"/>
                <w:szCs w:val="21"/>
                <w:highlight w:val="none"/>
              </w:rPr>
            </w:pPr>
          </w:p>
        </w:tc>
        <w:tc>
          <w:tcPr>
            <w:tcW w:w="1701" w:type="dxa"/>
            <w:vAlign w:val="center"/>
          </w:tcPr>
          <w:p w14:paraId="2795FC7E">
            <w:pPr>
              <w:spacing w:line="240" w:lineRule="auto"/>
              <w:ind w:firstLine="0" w:firstLineChars="0"/>
              <w:rPr>
                <w:sz w:val="21"/>
                <w:szCs w:val="21"/>
                <w:highlight w:val="none"/>
              </w:rPr>
            </w:pPr>
            <w:r>
              <w:rPr>
                <w:rFonts w:hint="eastAsia"/>
                <w:sz w:val="21"/>
                <w:szCs w:val="21"/>
                <w:highlight w:val="none"/>
              </w:rPr>
              <w:t>指标解释口径管理（新建）-指标解释口径轨迹展示</w:t>
            </w:r>
          </w:p>
        </w:tc>
        <w:tc>
          <w:tcPr>
            <w:tcW w:w="4338" w:type="dxa"/>
            <w:vAlign w:val="center"/>
          </w:tcPr>
          <w:p w14:paraId="5B50D37E">
            <w:pPr>
              <w:spacing w:line="240" w:lineRule="auto"/>
              <w:ind w:firstLine="0" w:firstLineChars="0"/>
              <w:rPr>
                <w:sz w:val="21"/>
                <w:szCs w:val="21"/>
                <w:highlight w:val="none"/>
              </w:rPr>
            </w:pPr>
            <w:r>
              <w:rPr>
                <w:rFonts w:hint="eastAsia"/>
                <w:sz w:val="21"/>
                <w:szCs w:val="21"/>
                <w:highlight w:val="none"/>
              </w:rPr>
              <w:t>以时间轴方式展示同一指标的解释口径随时间的变更轨迹。该功能可以帮助社保统计工作者更好地追踪指标的变更历史，理解数据背后的变动原因，减少因指标解释口径不一致而导致的误解和误用。</w:t>
            </w:r>
          </w:p>
        </w:tc>
      </w:tr>
      <w:tr w14:paraId="2E0D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58607437">
            <w:pPr>
              <w:pStyle w:val="61"/>
              <w:numPr>
                <w:ilvl w:val="0"/>
                <w:numId w:val="3"/>
              </w:numPr>
              <w:spacing w:line="240" w:lineRule="auto"/>
              <w:ind w:firstLineChars="0"/>
              <w:jc w:val="center"/>
              <w:rPr>
                <w:szCs w:val="21"/>
                <w:highlight w:val="none"/>
              </w:rPr>
            </w:pPr>
          </w:p>
        </w:tc>
        <w:tc>
          <w:tcPr>
            <w:tcW w:w="1559" w:type="dxa"/>
            <w:vMerge w:val="continue"/>
            <w:vAlign w:val="center"/>
          </w:tcPr>
          <w:p w14:paraId="37B9F4FA">
            <w:pPr>
              <w:spacing w:line="240" w:lineRule="auto"/>
              <w:ind w:firstLine="0" w:firstLineChars="0"/>
              <w:jc w:val="center"/>
              <w:rPr>
                <w:sz w:val="21"/>
                <w:szCs w:val="21"/>
                <w:highlight w:val="none"/>
              </w:rPr>
            </w:pPr>
          </w:p>
        </w:tc>
        <w:tc>
          <w:tcPr>
            <w:tcW w:w="1701" w:type="dxa"/>
            <w:vAlign w:val="center"/>
          </w:tcPr>
          <w:p w14:paraId="3C051358">
            <w:pPr>
              <w:spacing w:line="240" w:lineRule="auto"/>
              <w:ind w:firstLine="0" w:firstLineChars="0"/>
              <w:rPr>
                <w:sz w:val="21"/>
                <w:szCs w:val="21"/>
                <w:highlight w:val="none"/>
              </w:rPr>
            </w:pPr>
            <w:r>
              <w:rPr>
                <w:rFonts w:hint="eastAsia"/>
                <w:sz w:val="21"/>
                <w:szCs w:val="21"/>
                <w:highlight w:val="none"/>
              </w:rPr>
              <w:t>指标解释口径管理（新建）-关联政策文件依据管理</w:t>
            </w:r>
          </w:p>
        </w:tc>
        <w:tc>
          <w:tcPr>
            <w:tcW w:w="4338" w:type="dxa"/>
            <w:vAlign w:val="center"/>
          </w:tcPr>
          <w:p w14:paraId="31119609">
            <w:pPr>
              <w:spacing w:line="240" w:lineRule="auto"/>
              <w:ind w:firstLine="0" w:firstLineChars="0"/>
              <w:rPr>
                <w:sz w:val="21"/>
                <w:szCs w:val="21"/>
                <w:highlight w:val="none"/>
              </w:rPr>
            </w:pPr>
            <w:r>
              <w:rPr>
                <w:rFonts w:hint="eastAsia"/>
                <w:sz w:val="21"/>
                <w:szCs w:val="21"/>
                <w:highlight w:val="none"/>
              </w:rPr>
              <w:t>提供与指标解释口径相关的政策文件等依据的上传功能，用户在创建或修改指标解释口径时，在界面上直接上传依据文件，或者选择已经存在的依据文件。</w:t>
            </w:r>
          </w:p>
        </w:tc>
      </w:tr>
      <w:tr w14:paraId="4C97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92F3630">
            <w:pPr>
              <w:pStyle w:val="61"/>
              <w:numPr>
                <w:ilvl w:val="0"/>
                <w:numId w:val="3"/>
              </w:numPr>
              <w:spacing w:line="240" w:lineRule="auto"/>
              <w:ind w:firstLineChars="0"/>
              <w:jc w:val="center"/>
              <w:rPr>
                <w:szCs w:val="21"/>
                <w:highlight w:val="none"/>
              </w:rPr>
            </w:pPr>
          </w:p>
        </w:tc>
        <w:tc>
          <w:tcPr>
            <w:tcW w:w="1559" w:type="dxa"/>
            <w:vMerge w:val="continue"/>
            <w:vAlign w:val="center"/>
          </w:tcPr>
          <w:p w14:paraId="1492699F">
            <w:pPr>
              <w:spacing w:line="240" w:lineRule="auto"/>
              <w:ind w:firstLine="0" w:firstLineChars="0"/>
              <w:jc w:val="center"/>
              <w:rPr>
                <w:sz w:val="21"/>
                <w:szCs w:val="21"/>
                <w:highlight w:val="none"/>
              </w:rPr>
            </w:pPr>
          </w:p>
        </w:tc>
        <w:tc>
          <w:tcPr>
            <w:tcW w:w="1701" w:type="dxa"/>
            <w:vAlign w:val="center"/>
          </w:tcPr>
          <w:p w14:paraId="68A54BCB">
            <w:pPr>
              <w:spacing w:line="240" w:lineRule="auto"/>
              <w:ind w:firstLine="0" w:firstLineChars="0"/>
              <w:rPr>
                <w:sz w:val="21"/>
                <w:szCs w:val="21"/>
                <w:highlight w:val="none"/>
              </w:rPr>
            </w:pPr>
            <w:r>
              <w:rPr>
                <w:rFonts w:hint="eastAsia"/>
                <w:sz w:val="21"/>
                <w:szCs w:val="21"/>
                <w:highlight w:val="none"/>
              </w:rPr>
              <w:t>关键指标运行监测（新建二级功能模块）-养老保险实缴情况</w:t>
            </w:r>
          </w:p>
        </w:tc>
        <w:tc>
          <w:tcPr>
            <w:tcW w:w="4338" w:type="dxa"/>
            <w:vAlign w:val="center"/>
          </w:tcPr>
          <w:p w14:paraId="60A4F9A7">
            <w:pPr>
              <w:spacing w:line="240" w:lineRule="auto"/>
              <w:ind w:firstLine="0" w:firstLineChars="0"/>
              <w:rPr>
                <w:sz w:val="21"/>
                <w:szCs w:val="21"/>
                <w:highlight w:val="none"/>
              </w:rPr>
            </w:pPr>
            <w:r>
              <w:rPr>
                <w:rFonts w:hint="eastAsia"/>
                <w:sz w:val="21"/>
                <w:szCs w:val="21"/>
                <w:highlight w:val="none"/>
              </w:rPr>
              <w:t>按月、按年度统计本市基本养老保险实缴情况，统计指标项包括：期末缴费人数（期末数、趋势、增幅、同比、环比）、新增缴费人数（期间数、趋势、增幅、同比、环比）。</w:t>
            </w:r>
            <w:r>
              <w:rPr>
                <w:rFonts w:hint="eastAsia"/>
                <w:sz w:val="21"/>
                <w:szCs w:val="21"/>
                <w:highlight w:val="none"/>
              </w:rPr>
              <w:br w:type="textWrapping"/>
            </w:r>
            <w:r>
              <w:rPr>
                <w:rFonts w:hint="eastAsia"/>
                <w:sz w:val="21"/>
                <w:szCs w:val="21"/>
                <w:highlight w:val="none"/>
              </w:rPr>
              <w:t>按缴费人员类别（企业职工、灵活就业人员、机关单位人员）分页面展示统计结果。用户可选择统计的时间区间。</w:t>
            </w:r>
          </w:p>
        </w:tc>
      </w:tr>
      <w:tr w14:paraId="0DCB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E1578AB">
            <w:pPr>
              <w:pStyle w:val="61"/>
              <w:numPr>
                <w:ilvl w:val="0"/>
                <w:numId w:val="3"/>
              </w:numPr>
              <w:spacing w:line="240" w:lineRule="auto"/>
              <w:ind w:firstLineChars="0"/>
              <w:jc w:val="center"/>
              <w:rPr>
                <w:szCs w:val="21"/>
                <w:highlight w:val="none"/>
              </w:rPr>
            </w:pPr>
          </w:p>
        </w:tc>
        <w:tc>
          <w:tcPr>
            <w:tcW w:w="1559" w:type="dxa"/>
            <w:vMerge w:val="continue"/>
            <w:vAlign w:val="center"/>
          </w:tcPr>
          <w:p w14:paraId="7398B44C">
            <w:pPr>
              <w:spacing w:line="240" w:lineRule="auto"/>
              <w:ind w:firstLine="0" w:firstLineChars="0"/>
              <w:jc w:val="center"/>
              <w:rPr>
                <w:sz w:val="21"/>
                <w:szCs w:val="21"/>
                <w:highlight w:val="none"/>
              </w:rPr>
            </w:pPr>
          </w:p>
        </w:tc>
        <w:tc>
          <w:tcPr>
            <w:tcW w:w="1701" w:type="dxa"/>
            <w:vAlign w:val="center"/>
          </w:tcPr>
          <w:p w14:paraId="1572A508">
            <w:pPr>
              <w:spacing w:line="240" w:lineRule="auto"/>
              <w:ind w:firstLine="0" w:firstLineChars="0"/>
              <w:rPr>
                <w:sz w:val="21"/>
                <w:szCs w:val="21"/>
                <w:highlight w:val="none"/>
              </w:rPr>
            </w:pPr>
            <w:r>
              <w:rPr>
                <w:rFonts w:hint="eastAsia"/>
                <w:sz w:val="21"/>
                <w:szCs w:val="21"/>
                <w:highlight w:val="none"/>
              </w:rPr>
              <w:t>关键指标运行监测（新建二级功能模块）-稽核案件情况</w:t>
            </w:r>
          </w:p>
        </w:tc>
        <w:tc>
          <w:tcPr>
            <w:tcW w:w="4338" w:type="dxa"/>
            <w:vAlign w:val="center"/>
          </w:tcPr>
          <w:p w14:paraId="0351A234">
            <w:pPr>
              <w:spacing w:line="240" w:lineRule="auto"/>
              <w:ind w:firstLine="0" w:firstLineChars="0"/>
              <w:rPr>
                <w:sz w:val="21"/>
                <w:szCs w:val="21"/>
                <w:highlight w:val="none"/>
              </w:rPr>
            </w:pPr>
            <w:r>
              <w:rPr>
                <w:rFonts w:hint="eastAsia"/>
                <w:sz w:val="21"/>
                <w:szCs w:val="21"/>
                <w:highlight w:val="none"/>
              </w:rPr>
              <w:t>按月统计本市、各分中心稽核案件受理、立案和结案情况，统计指标项包括：</w:t>
            </w:r>
            <w:r>
              <w:rPr>
                <w:rFonts w:hint="eastAsia"/>
                <w:sz w:val="21"/>
                <w:szCs w:val="21"/>
                <w:highlight w:val="none"/>
              </w:rPr>
              <w:br w:type="textWrapping"/>
            </w:r>
            <w:r>
              <w:rPr>
                <w:rFonts w:hint="eastAsia"/>
                <w:sz w:val="21"/>
                <w:szCs w:val="21"/>
                <w:highlight w:val="none"/>
              </w:rPr>
              <w:t>1）受理类：当月受理数、其中工单分流数、当年累计受理数、其中工单分流数，以及同比、环比情况。</w:t>
            </w:r>
            <w:r>
              <w:rPr>
                <w:rFonts w:hint="eastAsia"/>
                <w:sz w:val="21"/>
                <w:szCs w:val="21"/>
                <w:highlight w:val="none"/>
              </w:rPr>
              <w:br w:type="textWrapping"/>
            </w:r>
            <w:r>
              <w:rPr>
                <w:rFonts w:hint="eastAsia"/>
                <w:sz w:val="21"/>
                <w:szCs w:val="21"/>
                <w:highlight w:val="none"/>
              </w:rPr>
              <w:t>2）立案类：当月立案数、当年累计立案数、未结案的历史（非当年）案件累计数，以及同比、环比情况。</w:t>
            </w:r>
            <w:r>
              <w:rPr>
                <w:rFonts w:hint="eastAsia"/>
                <w:sz w:val="21"/>
                <w:szCs w:val="21"/>
                <w:highlight w:val="none"/>
              </w:rPr>
              <w:br w:type="textWrapping"/>
            </w:r>
            <w:r>
              <w:rPr>
                <w:rFonts w:hint="eastAsia"/>
                <w:sz w:val="21"/>
                <w:szCs w:val="21"/>
                <w:highlight w:val="none"/>
              </w:rPr>
              <w:t>3）结案类：当月结案数、当年累计结案数、结案率，以及同比、环比情况。</w:t>
            </w:r>
            <w:r>
              <w:rPr>
                <w:rFonts w:hint="eastAsia"/>
                <w:sz w:val="21"/>
                <w:szCs w:val="21"/>
                <w:highlight w:val="none"/>
              </w:rPr>
              <w:br w:type="textWrapping"/>
            </w:r>
            <w:r>
              <w:rPr>
                <w:rFonts w:hint="eastAsia"/>
                <w:sz w:val="21"/>
                <w:szCs w:val="21"/>
                <w:highlight w:val="none"/>
              </w:rPr>
              <w:t>支持按当月/当年累计受理数、当月/当年累计立案数、当月/当年累计结案数对各分中心数据进行降序排列展示。用户可选择统计的区域范围（全市、各分中心）和时间区间。</w:t>
            </w:r>
          </w:p>
        </w:tc>
      </w:tr>
      <w:tr w14:paraId="240B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C3E46D4">
            <w:pPr>
              <w:pStyle w:val="61"/>
              <w:numPr>
                <w:ilvl w:val="0"/>
                <w:numId w:val="3"/>
              </w:numPr>
              <w:spacing w:line="240" w:lineRule="auto"/>
              <w:ind w:firstLineChars="0"/>
              <w:jc w:val="center"/>
              <w:rPr>
                <w:szCs w:val="21"/>
                <w:highlight w:val="none"/>
              </w:rPr>
            </w:pPr>
          </w:p>
        </w:tc>
        <w:tc>
          <w:tcPr>
            <w:tcW w:w="1559" w:type="dxa"/>
            <w:vMerge w:val="continue"/>
            <w:vAlign w:val="center"/>
          </w:tcPr>
          <w:p w14:paraId="17F9CFCA">
            <w:pPr>
              <w:spacing w:line="240" w:lineRule="auto"/>
              <w:ind w:firstLine="0" w:firstLineChars="0"/>
              <w:jc w:val="center"/>
              <w:rPr>
                <w:sz w:val="21"/>
                <w:szCs w:val="21"/>
                <w:highlight w:val="none"/>
              </w:rPr>
            </w:pPr>
          </w:p>
        </w:tc>
        <w:tc>
          <w:tcPr>
            <w:tcW w:w="1701" w:type="dxa"/>
            <w:vAlign w:val="center"/>
          </w:tcPr>
          <w:p w14:paraId="2DA3017A">
            <w:pPr>
              <w:spacing w:line="240" w:lineRule="auto"/>
              <w:ind w:firstLine="0" w:firstLineChars="0"/>
              <w:rPr>
                <w:sz w:val="21"/>
                <w:szCs w:val="21"/>
                <w:highlight w:val="none"/>
              </w:rPr>
            </w:pPr>
            <w:r>
              <w:rPr>
                <w:rFonts w:hint="eastAsia"/>
                <w:sz w:val="21"/>
                <w:szCs w:val="21"/>
                <w:highlight w:val="none"/>
              </w:rPr>
              <w:t>关键指标运行监测（新建二级功能模块）-行政复议与行政诉讼情况</w:t>
            </w:r>
          </w:p>
        </w:tc>
        <w:tc>
          <w:tcPr>
            <w:tcW w:w="4338" w:type="dxa"/>
            <w:vAlign w:val="center"/>
          </w:tcPr>
          <w:p w14:paraId="49E6B559">
            <w:pPr>
              <w:spacing w:line="240" w:lineRule="auto"/>
              <w:ind w:firstLine="0" w:firstLineChars="0"/>
              <w:rPr>
                <w:sz w:val="21"/>
                <w:szCs w:val="21"/>
                <w:highlight w:val="none"/>
              </w:rPr>
            </w:pPr>
            <w:r>
              <w:rPr>
                <w:rFonts w:hint="eastAsia"/>
                <w:sz w:val="21"/>
                <w:szCs w:val="21"/>
                <w:highlight w:val="none"/>
              </w:rPr>
              <w:t>按月统计本市、各分中心行政复议、行政诉讼一审、行政诉讼二审的收案数和趋势、结案数和趋势、案由分布、结案类型分布，支持按案由占比对复议、一审、二审事项进行降序排列展示。用户可选择统计的区域范围（全市、各分中心）和时间区间。</w:t>
            </w:r>
          </w:p>
        </w:tc>
      </w:tr>
      <w:tr w14:paraId="1A2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64701CBC">
            <w:pPr>
              <w:pStyle w:val="61"/>
              <w:numPr>
                <w:ilvl w:val="0"/>
                <w:numId w:val="3"/>
              </w:numPr>
              <w:spacing w:line="240" w:lineRule="auto"/>
              <w:ind w:firstLineChars="0"/>
              <w:jc w:val="center"/>
              <w:rPr>
                <w:szCs w:val="21"/>
                <w:highlight w:val="none"/>
              </w:rPr>
            </w:pPr>
          </w:p>
        </w:tc>
        <w:tc>
          <w:tcPr>
            <w:tcW w:w="1559" w:type="dxa"/>
            <w:vMerge w:val="continue"/>
            <w:vAlign w:val="center"/>
          </w:tcPr>
          <w:p w14:paraId="6C2EFCD3">
            <w:pPr>
              <w:spacing w:line="240" w:lineRule="auto"/>
              <w:ind w:firstLine="0" w:firstLineChars="0"/>
              <w:jc w:val="center"/>
              <w:rPr>
                <w:sz w:val="21"/>
                <w:szCs w:val="21"/>
                <w:highlight w:val="none"/>
              </w:rPr>
            </w:pPr>
          </w:p>
        </w:tc>
        <w:tc>
          <w:tcPr>
            <w:tcW w:w="1701" w:type="dxa"/>
            <w:vAlign w:val="center"/>
          </w:tcPr>
          <w:p w14:paraId="34DF5C1D">
            <w:pPr>
              <w:spacing w:line="240" w:lineRule="auto"/>
              <w:ind w:firstLine="0" w:firstLineChars="0"/>
              <w:rPr>
                <w:sz w:val="21"/>
                <w:szCs w:val="21"/>
                <w:highlight w:val="none"/>
              </w:rPr>
            </w:pPr>
            <w:r>
              <w:rPr>
                <w:rFonts w:hint="eastAsia"/>
                <w:sz w:val="21"/>
                <w:szCs w:val="21"/>
                <w:highlight w:val="none"/>
              </w:rPr>
              <w:t>关键指标运行监测（新建二级功能模块）-社会保险待遇清算处理情况</w:t>
            </w:r>
          </w:p>
        </w:tc>
        <w:tc>
          <w:tcPr>
            <w:tcW w:w="4338" w:type="dxa"/>
            <w:vAlign w:val="center"/>
          </w:tcPr>
          <w:p w14:paraId="6D0DF9E8">
            <w:pPr>
              <w:spacing w:line="240" w:lineRule="auto"/>
              <w:ind w:firstLine="0" w:firstLineChars="0"/>
              <w:rPr>
                <w:sz w:val="21"/>
                <w:szCs w:val="21"/>
                <w:highlight w:val="none"/>
              </w:rPr>
            </w:pPr>
            <w:r>
              <w:rPr>
                <w:rFonts w:hint="eastAsia"/>
                <w:sz w:val="21"/>
                <w:szCs w:val="21"/>
                <w:highlight w:val="none"/>
              </w:rPr>
              <w:t>包括期末应清算金额、期末已清算额、期末未清算金额、期末清算比例，清算趋势、清算状态趋势、险种分布、用户可选择统计的区域范围（全市、各分中心）和时间区间。</w:t>
            </w:r>
          </w:p>
        </w:tc>
      </w:tr>
      <w:tr w14:paraId="6C66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2F4F85D">
            <w:pPr>
              <w:pStyle w:val="61"/>
              <w:numPr>
                <w:ilvl w:val="0"/>
                <w:numId w:val="3"/>
              </w:numPr>
              <w:spacing w:line="240" w:lineRule="auto"/>
              <w:ind w:firstLineChars="0"/>
              <w:jc w:val="center"/>
              <w:rPr>
                <w:szCs w:val="21"/>
                <w:highlight w:val="none"/>
              </w:rPr>
            </w:pPr>
          </w:p>
        </w:tc>
        <w:tc>
          <w:tcPr>
            <w:tcW w:w="1559" w:type="dxa"/>
            <w:vMerge w:val="continue"/>
            <w:vAlign w:val="center"/>
          </w:tcPr>
          <w:p w14:paraId="54F032FB">
            <w:pPr>
              <w:spacing w:line="240" w:lineRule="auto"/>
              <w:ind w:firstLine="0" w:firstLineChars="0"/>
              <w:jc w:val="center"/>
              <w:rPr>
                <w:sz w:val="21"/>
                <w:szCs w:val="21"/>
                <w:highlight w:val="none"/>
              </w:rPr>
            </w:pPr>
          </w:p>
        </w:tc>
        <w:tc>
          <w:tcPr>
            <w:tcW w:w="1701" w:type="dxa"/>
            <w:vAlign w:val="center"/>
          </w:tcPr>
          <w:p w14:paraId="6EFFDA45">
            <w:pPr>
              <w:spacing w:line="240" w:lineRule="auto"/>
              <w:ind w:firstLine="0" w:firstLineChars="0"/>
              <w:rPr>
                <w:sz w:val="21"/>
                <w:szCs w:val="21"/>
                <w:highlight w:val="none"/>
              </w:rPr>
            </w:pPr>
            <w:r>
              <w:rPr>
                <w:rFonts w:hint="eastAsia"/>
                <w:sz w:val="21"/>
                <w:szCs w:val="21"/>
                <w:highlight w:val="none"/>
              </w:rPr>
              <w:t>关键指标运行监测（新建二级功能模块）-待遇资格认证通过情况</w:t>
            </w:r>
          </w:p>
        </w:tc>
        <w:tc>
          <w:tcPr>
            <w:tcW w:w="4338" w:type="dxa"/>
            <w:vAlign w:val="center"/>
          </w:tcPr>
          <w:p w14:paraId="77FEA010">
            <w:pPr>
              <w:spacing w:line="240" w:lineRule="auto"/>
              <w:ind w:firstLine="0" w:firstLineChars="0"/>
              <w:rPr>
                <w:sz w:val="21"/>
                <w:szCs w:val="21"/>
                <w:highlight w:val="none"/>
              </w:rPr>
            </w:pPr>
            <w:r>
              <w:rPr>
                <w:rFonts w:hint="eastAsia"/>
                <w:sz w:val="21"/>
                <w:szCs w:val="21"/>
                <w:highlight w:val="none"/>
              </w:rPr>
              <w:t>按月统计本市、各分中心养老保险、工伤保险待遇资格认证通过情况，包括通过认证的人数（按认证方式、数据来源分别统计）、未通过认证的人数（按未通过情形、是否停发待遇分别统计）。用户可选择统计的区域范围（全市、各分中心）和时间区间。</w:t>
            </w:r>
          </w:p>
        </w:tc>
      </w:tr>
      <w:tr w14:paraId="3A4C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9337F6F">
            <w:pPr>
              <w:pStyle w:val="61"/>
              <w:numPr>
                <w:ilvl w:val="0"/>
                <w:numId w:val="3"/>
              </w:numPr>
              <w:spacing w:line="240" w:lineRule="auto"/>
              <w:ind w:firstLineChars="0"/>
              <w:jc w:val="center"/>
              <w:rPr>
                <w:szCs w:val="21"/>
                <w:highlight w:val="none"/>
              </w:rPr>
            </w:pPr>
          </w:p>
        </w:tc>
        <w:tc>
          <w:tcPr>
            <w:tcW w:w="1559" w:type="dxa"/>
            <w:vMerge w:val="continue"/>
            <w:vAlign w:val="center"/>
          </w:tcPr>
          <w:p w14:paraId="04DFBB5C">
            <w:pPr>
              <w:spacing w:line="240" w:lineRule="auto"/>
              <w:ind w:firstLine="0" w:firstLineChars="0"/>
              <w:jc w:val="center"/>
              <w:rPr>
                <w:sz w:val="21"/>
                <w:szCs w:val="21"/>
                <w:highlight w:val="none"/>
              </w:rPr>
            </w:pPr>
          </w:p>
        </w:tc>
        <w:tc>
          <w:tcPr>
            <w:tcW w:w="1701" w:type="dxa"/>
            <w:vAlign w:val="center"/>
          </w:tcPr>
          <w:p w14:paraId="6E47A829">
            <w:pPr>
              <w:spacing w:line="240" w:lineRule="auto"/>
              <w:ind w:firstLine="0" w:firstLineChars="0"/>
              <w:rPr>
                <w:sz w:val="21"/>
                <w:szCs w:val="21"/>
                <w:highlight w:val="none"/>
              </w:rPr>
            </w:pPr>
            <w:r>
              <w:rPr>
                <w:rFonts w:hint="eastAsia"/>
                <w:sz w:val="21"/>
                <w:szCs w:val="21"/>
                <w:highlight w:val="none"/>
              </w:rPr>
              <w:t>关键指标运行监测（新建二级功能模块）-政风行风情况</w:t>
            </w:r>
          </w:p>
        </w:tc>
        <w:tc>
          <w:tcPr>
            <w:tcW w:w="4338" w:type="dxa"/>
            <w:vAlign w:val="center"/>
          </w:tcPr>
          <w:p w14:paraId="701805C5">
            <w:pPr>
              <w:spacing w:line="240" w:lineRule="auto"/>
              <w:ind w:firstLine="0" w:firstLineChars="0"/>
              <w:rPr>
                <w:sz w:val="21"/>
                <w:szCs w:val="21"/>
                <w:highlight w:val="none"/>
              </w:rPr>
            </w:pPr>
            <w:r>
              <w:rPr>
                <w:rFonts w:hint="eastAsia"/>
                <w:sz w:val="21"/>
                <w:szCs w:val="21"/>
                <w:highlight w:val="none"/>
              </w:rPr>
              <w:t>1）差评件和投诉件。统计本市、各分中心差评、上级下发投诉件、驻点处置投诉件、问题件的当月总数、当年累计数，以及同比、环比情况。支持按当月数、当年累计数对各分中心数据进行降序排列展示，支持在地图上展示各项指标数据。用户可选择统计的时间区间。</w:t>
            </w:r>
            <w:r>
              <w:rPr>
                <w:rFonts w:hint="eastAsia"/>
                <w:sz w:val="21"/>
                <w:szCs w:val="21"/>
                <w:highlight w:val="none"/>
              </w:rPr>
              <w:br w:type="textWrapping"/>
            </w:r>
            <w:r>
              <w:rPr>
                <w:rFonts w:hint="eastAsia"/>
                <w:sz w:val="21"/>
                <w:szCs w:val="21"/>
                <w:highlight w:val="none"/>
              </w:rPr>
              <w:t>2）办不成事反映件。统计本市、各分中心线上、线下办不成事反映件的当月总数、当年累计数，以及同比、环比情况。支持按当月数、当年累计数对各分中心数据进行降序排列展示，支持在地图上展示各项指标数据。用户可选择统计的时间区间。</w:t>
            </w:r>
            <w:r>
              <w:rPr>
                <w:rFonts w:hint="eastAsia"/>
                <w:sz w:val="21"/>
                <w:szCs w:val="21"/>
                <w:highlight w:val="none"/>
              </w:rPr>
              <w:br w:type="textWrapping"/>
            </w:r>
            <w:r>
              <w:rPr>
                <w:rFonts w:hint="eastAsia"/>
                <w:sz w:val="21"/>
                <w:szCs w:val="21"/>
                <w:highlight w:val="none"/>
              </w:rPr>
              <w:t>3）表扬件。统计本市、各分中心表扬件的当月总数、当年累计数，以及同比、环比情况。支持按当月数、当年累计数对各分中心数据进行降序排列展示，支持在地图上展示各项指标数据。用户可选择统计的时间区间。</w:t>
            </w:r>
          </w:p>
        </w:tc>
      </w:tr>
      <w:tr w14:paraId="42E81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FF82ABC">
            <w:pPr>
              <w:pStyle w:val="61"/>
              <w:numPr>
                <w:ilvl w:val="0"/>
                <w:numId w:val="3"/>
              </w:numPr>
              <w:spacing w:line="240" w:lineRule="auto"/>
              <w:ind w:firstLineChars="0"/>
              <w:jc w:val="center"/>
              <w:rPr>
                <w:szCs w:val="21"/>
                <w:highlight w:val="none"/>
              </w:rPr>
            </w:pPr>
          </w:p>
        </w:tc>
        <w:tc>
          <w:tcPr>
            <w:tcW w:w="1559" w:type="dxa"/>
            <w:vMerge w:val="continue"/>
            <w:vAlign w:val="center"/>
          </w:tcPr>
          <w:p w14:paraId="44510F77">
            <w:pPr>
              <w:spacing w:line="240" w:lineRule="auto"/>
              <w:ind w:firstLine="0" w:firstLineChars="0"/>
              <w:jc w:val="center"/>
              <w:rPr>
                <w:sz w:val="21"/>
                <w:szCs w:val="21"/>
                <w:highlight w:val="none"/>
              </w:rPr>
            </w:pPr>
          </w:p>
        </w:tc>
        <w:tc>
          <w:tcPr>
            <w:tcW w:w="1701" w:type="dxa"/>
            <w:vAlign w:val="center"/>
          </w:tcPr>
          <w:p w14:paraId="2B42A5A3">
            <w:pPr>
              <w:spacing w:line="240" w:lineRule="auto"/>
              <w:ind w:firstLine="0" w:firstLineChars="0"/>
              <w:rPr>
                <w:sz w:val="21"/>
                <w:szCs w:val="21"/>
                <w:highlight w:val="none"/>
              </w:rPr>
            </w:pPr>
            <w:r>
              <w:rPr>
                <w:rFonts w:hint="eastAsia"/>
                <w:sz w:val="21"/>
                <w:szCs w:val="21"/>
                <w:highlight w:val="none"/>
              </w:rPr>
              <w:t>关键指标运行监测（新建二级功能模块）-信、电、网、访情况</w:t>
            </w:r>
          </w:p>
        </w:tc>
        <w:tc>
          <w:tcPr>
            <w:tcW w:w="4338" w:type="dxa"/>
            <w:vAlign w:val="center"/>
          </w:tcPr>
          <w:p w14:paraId="2EE2BF3F">
            <w:pPr>
              <w:spacing w:line="240" w:lineRule="auto"/>
              <w:ind w:firstLine="0" w:firstLineChars="0"/>
              <w:rPr>
                <w:sz w:val="21"/>
                <w:szCs w:val="21"/>
                <w:highlight w:val="none"/>
              </w:rPr>
            </w:pPr>
            <w:r>
              <w:rPr>
                <w:rFonts w:hint="eastAsia"/>
                <w:sz w:val="21"/>
                <w:szCs w:val="21"/>
                <w:highlight w:val="none"/>
              </w:rPr>
              <w:t>统计本市、各分中心信访件、交互平台件、网上评议件、12345工单的当月总数、当年累计数，以及同比、环比情况。支持按当月数、当年累计数对各分中心数据进行降序排列展示，支持在地图上展示各项指标数据。用户可选择统计的时间区间。</w:t>
            </w:r>
          </w:p>
        </w:tc>
      </w:tr>
      <w:tr w14:paraId="0E9B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344D668F">
            <w:pPr>
              <w:pStyle w:val="61"/>
              <w:numPr>
                <w:ilvl w:val="0"/>
                <w:numId w:val="3"/>
              </w:numPr>
              <w:spacing w:line="240" w:lineRule="auto"/>
              <w:ind w:firstLineChars="0"/>
              <w:jc w:val="center"/>
              <w:rPr>
                <w:szCs w:val="21"/>
                <w:highlight w:val="none"/>
              </w:rPr>
            </w:pPr>
          </w:p>
        </w:tc>
        <w:tc>
          <w:tcPr>
            <w:tcW w:w="1559" w:type="dxa"/>
            <w:vMerge w:val="continue"/>
            <w:vAlign w:val="center"/>
          </w:tcPr>
          <w:p w14:paraId="35C076D0">
            <w:pPr>
              <w:spacing w:line="240" w:lineRule="auto"/>
              <w:ind w:firstLine="0" w:firstLineChars="0"/>
              <w:jc w:val="center"/>
              <w:rPr>
                <w:sz w:val="21"/>
                <w:szCs w:val="21"/>
                <w:highlight w:val="none"/>
              </w:rPr>
            </w:pPr>
          </w:p>
        </w:tc>
        <w:tc>
          <w:tcPr>
            <w:tcW w:w="1701" w:type="dxa"/>
            <w:vAlign w:val="center"/>
          </w:tcPr>
          <w:p w14:paraId="5CA08B67">
            <w:pPr>
              <w:spacing w:line="240" w:lineRule="auto"/>
              <w:ind w:firstLine="0" w:firstLineChars="0"/>
              <w:rPr>
                <w:sz w:val="21"/>
                <w:szCs w:val="21"/>
                <w:highlight w:val="none"/>
              </w:rPr>
            </w:pPr>
            <w:r>
              <w:rPr>
                <w:rFonts w:hint="eastAsia"/>
                <w:sz w:val="21"/>
                <w:szCs w:val="21"/>
                <w:highlight w:val="none"/>
              </w:rPr>
              <w:t>关键指标运行监测（新建二级功能模块）-档案数据展示</w:t>
            </w:r>
          </w:p>
        </w:tc>
        <w:tc>
          <w:tcPr>
            <w:tcW w:w="4338" w:type="dxa"/>
            <w:vAlign w:val="center"/>
          </w:tcPr>
          <w:p w14:paraId="23F6078E">
            <w:pPr>
              <w:spacing w:line="240" w:lineRule="auto"/>
              <w:ind w:firstLine="0" w:firstLineChars="0"/>
              <w:rPr>
                <w:sz w:val="21"/>
                <w:szCs w:val="21"/>
                <w:highlight w:val="none"/>
              </w:rPr>
            </w:pPr>
            <w:r>
              <w:rPr>
                <w:rFonts w:hint="eastAsia"/>
                <w:sz w:val="21"/>
                <w:szCs w:val="21"/>
                <w:highlight w:val="none"/>
              </w:rPr>
              <w:t>1）业务档案。按月统计本市社保电子档案、纸质档案存量、增量、趋势，档案保管期限分布情况、案卷类型分布情况、档案查询频次和电子影像查询频次。用户可选择统计的区域范围（全市、各分中心）和时间区间。</w:t>
            </w:r>
            <w:r>
              <w:rPr>
                <w:rFonts w:hint="eastAsia"/>
                <w:sz w:val="21"/>
                <w:szCs w:val="21"/>
                <w:highlight w:val="none"/>
              </w:rPr>
              <w:br w:type="textWrapping"/>
            </w:r>
            <w:r>
              <w:rPr>
                <w:rFonts w:hint="eastAsia"/>
                <w:sz w:val="21"/>
                <w:szCs w:val="21"/>
                <w:highlight w:val="none"/>
              </w:rPr>
              <w:t>2）档案库房。按月统计市级、区级、社会化三类档案库房存量。在地图上展示库房名称、地址和档案存量，展示各库房档案存量排行。用户可选择统计的时间区间。</w:t>
            </w:r>
          </w:p>
        </w:tc>
      </w:tr>
      <w:tr w14:paraId="3B32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376B7EC">
            <w:pPr>
              <w:pStyle w:val="61"/>
              <w:numPr>
                <w:ilvl w:val="0"/>
                <w:numId w:val="3"/>
              </w:numPr>
              <w:spacing w:line="240" w:lineRule="auto"/>
              <w:ind w:firstLineChars="0"/>
              <w:jc w:val="center"/>
              <w:rPr>
                <w:szCs w:val="21"/>
                <w:highlight w:val="none"/>
              </w:rPr>
            </w:pPr>
          </w:p>
        </w:tc>
        <w:tc>
          <w:tcPr>
            <w:tcW w:w="1559" w:type="dxa"/>
            <w:vMerge w:val="continue"/>
            <w:vAlign w:val="center"/>
          </w:tcPr>
          <w:p w14:paraId="1D0044D4">
            <w:pPr>
              <w:spacing w:line="240" w:lineRule="auto"/>
              <w:ind w:firstLine="0" w:firstLineChars="0"/>
              <w:jc w:val="center"/>
              <w:rPr>
                <w:sz w:val="21"/>
                <w:szCs w:val="21"/>
                <w:highlight w:val="none"/>
              </w:rPr>
            </w:pPr>
          </w:p>
        </w:tc>
        <w:tc>
          <w:tcPr>
            <w:tcW w:w="1701" w:type="dxa"/>
            <w:vAlign w:val="center"/>
          </w:tcPr>
          <w:p w14:paraId="14BD998D">
            <w:pPr>
              <w:spacing w:line="240" w:lineRule="auto"/>
              <w:ind w:firstLine="0" w:firstLineChars="0"/>
              <w:rPr>
                <w:sz w:val="21"/>
                <w:szCs w:val="21"/>
                <w:highlight w:val="none"/>
              </w:rPr>
            </w:pPr>
            <w:r>
              <w:rPr>
                <w:rFonts w:hint="eastAsia"/>
                <w:sz w:val="21"/>
                <w:szCs w:val="21"/>
                <w:highlight w:val="none"/>
              </w:rPr>
              <w:t>社保健康洞察（新建二级功能模块）-延退调度情况（每日）</w:t>
            </w:r>
          </w:p>
        </w:tc>
        <w:tc>
          <w:tcPr>
            <w:tcW w:w="4338" w:type="dxa"/>
            <w:vAlign w:val="center"/>
          </w:tcPr>
          <w:p w14:paraId="67A2A560">
            <w:pPr>
              <w:spacing w:line="240" w:lineRule="auto"/>
              <w:ind w:firstLine="0" w:firstLineChars="0"/>
              <w:rPr>
                <w:sz w:val="21"/>
                <w:szCs w:val="21"/>
                <w:highlight w:val="none"/>
              </w:rPr>
            </w:pPr>
            <w:r>
              <w:rPr>
                <w:rFonts w:hint="eastAsia"/>
                <w:sz w:val="21"/>
                <w:szCs w:val="21"/>
                <w:highlight w:val="none"/>
              </w:rPr>
              <w:t>根据人社部养老司、部社保中心要求，按日统计如下数据：</w:t>
            </w:r>
            <w:r>
              <w:rPr>
                <w:rFonts w:hint="eastAsia"/>
                <w:sz w:val="21"/>
                <w:szCs w:val="21"/>
                <w:highlight w:val="none"/>
              </w:rPr>
              <w:br w:type="textWrapping"/>
            </w:r>
            <w:r>
              <w:rPr>
                <w:rFonts w:hint="eastAsia"/>
                <w:sz w:val="21"/>
                <w:szCs w:val="21"/>
                <w:highlight w:val="none"/>
              </w:rPr>
              <w:t>1）全市当日延迟退休业务申请情况，涉及个人退休、企业退休、机关事业退休、病残津贴申请等4个业务事项，分析内容包括各事项当日申请数、相较于前一天环比上升/下降情况、近30日趋势。</w:t>
            </w:r>
            <w:r>
              <w:rPr>
                <w:rFonts w:hint="eastAsia"/>
                <w:sz w:val="21"/>
                <w:szCs w:val="21"/>
                <w:highlight w:val="none"/>
              </w:rPr>
              <w:br w:type="textWrapping"/>
            </w:r>
            <w:r>
              <w:rPr>
                <w:rFonts w:hint="eastAsia"/>
                <w:sz w:val="21"/>
                <w:szCs w:val="21"/>
                <w:highlight w:val="none"/>
              </w:rPr>
              <w:t>2）全市当日新增待遇人员情况，涉及弹性提前退休人数、弹性延迟退休人员、未弹性人数、不适用弹性人数、病残待遇享受人数等5个待遇类型，分析内容包括各待遇类型当日新增人员数，相较于前一天环比上升/下降情况、近30日趋势。</w:t>
            </w:r>
          </w:p>
        </w:tc>
      </w:tr>
      <w:tr w14:paraId="59C8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657A83A">
            <w:pPr>
              <w:pStyle w:val="61"/>
              <w:numPr>
                <w:ilvl w:val="0"/>
                <w:numId w:val="3"/>
              </w:numPr>
              <w:spacing w:line="240" w:lineRule="auto"/>
              <w:ind w:firstLineChars="0"/>
              <w:jc w:val="center"/>
              <w:rPr>
                <w:szCs w:val="21"/>
                <w:highlight w:val="none"/>
              </w:rPr>
            </w:pPr>
          </w:p>
        </w:tc>
        <w:tc>
          <w:tcPr>
            <w:tcW w:w="1559" w:type="dxa"/>
            <w:vMerge w:val="continue"/>
            <w:vAlign w:val="center"/>
          </w:tcPr>
          <w:p w14:paraId="725880A8">
            <w:pPr>
              <w:spacing w:line="240" w:lineRule="auto"/>
              <w:ind w:firstLine="0" w:firstLineChars="0"/>
              <w:jc w:val="center"/>
              <w:rPr>
                <w:sz w:val="21"/>
                <w:szCs w:val="21"/>
                <w:highlight w:val="none"/>
              </w:rPr>
            </w:pPr>
          </w:p>
        </w:tc>
        <w:tc>
          <w:tcPr>
            <w:tcW w:w="1701" w:type="dxa"/>
            <w:vAlign w:val="center"/>
          </w:tcPr>
          <w:p w14:paraId="2869DBB3">
            <w:pPr>
              <w:spacing w:line="240" w:lineRule="auto"/>
              <w:ind w:firstLine="0" w:firstLineChars="0"/>
              <w:rPr>
                <w:sz w:val="21"/>
                <w:szCs w:val="21"/>
                <w:highlight w:val="none"/>
              </w:rPr>
            </w:pPr>
            <w:r>
              <w:rPr>
                <w:rFonts w:hint="eastAsia"/>
                <w:sz w:val="21"/>
                <w:szCs w:val="21"/>
                <w:highlight w:val="none"/>
              </w:rPr>
              <w:t>社保健康洞察（新建二级功能模块）-延迟退休情况（按月）</w:t>
            </w:r>
          </w:p>
        </w:tc>
        <w:tc>
          <w:tcPr>
            <w:tcW w:w="4338" w:type="dxa"/>
            <w:vAlign w:val="center"/>
          </w:tcPr>
          <w:p w14:paraId="59CB521B">
            <w:pPr>
              <w:spacing w:line="240" w:lineRule="auto"/>
              <w:ind w:firstLine="0" w:firstLineChars="0"/>
              <w:rPr>
                <w:sz w:val="21"/>
                <w:szCs w:val="21"/>
                <w:highlight w:val="none"/>
              </w:rPr>
            </w:pPr>
            <w:r>
              <w:rPr>
                <w:rFonts w:hint="eastAsia"/>
                <w:sz w:val="21"/>
                <w:szCs w:val="21"/>
                <w:highlight w:val="none"/>
              </w:rPr>
              <w:t>统计企业保、机关事业保参保人员中，提前退休、正常退休、弹性提前退休、未弹性退休、弹性延迟退休的人员数。支持按退休类型、户籍类型、人员性别分类统计。</w:t>
            </w:r>
          </w:p>
        </w:tc>
      </w:tr>
      <w:tr w14:paraId="13B82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44F7726">
            <w:pPr>
              <w:pStyle w:val="61"/>
              <w:numPr>
                <w:ilvl w:val="0"/>
                <w:numId w:val="3"/>
              </w:numPr>
              <w:spacing w:line="240" w:lineRule="auto"/>
              <w:ind w:firstLineChars="0"/>
              <w:jc w:val="center"/>
              <w:rPr>
                <w:szCs w:val="21"/>
                <w:highlight w:val="none"/>
              </w:rPr>
            </w:pPr>
          </w:p>
        </w:tc>
        <w:tc>
          <w:tcPr>
            <w:tcW w:w="1559" w:type="dxa"/>
            <w:vMerge w:val="continue"/>
            <w:vAlign w:val="center"/>
          </w:tcPr>
          <w:p w14:paraId="25FBB471">
            <w:pPr>
              <w:spacing w:line="240" w:lineRule="auto"/>
              <w:ind w:firstLine="0" w:firstLineChars="0"/>
              <w:jc w:val="center"/>
              <w:rPr>
                <w:sz w:val="21"/>
                <w:szCs w:val="21"/>
                <w:highlight w:val="none"/>
              </w:rPr>
            </w:pPr>
          </w:p>
        </w:tc>
        <w:tc>
          <w:tcPr>
            <w:tcW w:w="1701" w:type="dxa"/>
            <w:vAlign w:val="center"/>
          </w:tcPr>
          <w:p w14:paraId="31FC9FFD">
            <w:pPr>
              <w:spacing w:line="240" w:lineRule="auto"/>
              <w:ind w:firstLine="0" w:firstLineChars="0"/>
              <w:rPr>
                <w:sz w:val="21"/>
                <w:szCs w:val="21"/>
                <w:highlight w:val="none"/>
              </w:rPr>
            </w:pPr>
            <w:r>
              <w:rPr>
                <w:rFonts w:hint="eastAsia"/>
                <w:sz w:val="21"/>
                <w:szCs w:val="21"/>
                <w:highlight w:val="none"/>
              </w:rPr>
              <w:t>社保健康洞察（新建二级功能模块）-零工市场参加工伤保险情况</w:t>
            </w:r>
          </w:p>
        </w:tc>
        <w:tc>
          <w:tcPr>
            <w:tcW w:w="4338" w:type="dxa"/>
            <w:vAlign w:val="center"/>
          </w:tcPr>
          <w:p w14:paraId="6ACE0023">
            <w:pPr>
              <w:spacing w:line="240" w:lineRule="auto"/>
              <w:ind w:firstLine="0" w:firstLineChars="0"/>
              <w:rPr>
                <w:sz w:val="21"/>
                <w:szCs w:val="21"/>
                <w:highlight w:val="none"/>
              </w:rPr>
            </w:pPr>
            <w:r>
              <w:rPr>
                <w:rFonts w:hint="eastAsia"/>
                <w:sz w:val="21"/>
                <w:szCs w:val="21"/>
                <w:highlight w:val="none"/>
              </w:rPr>
              <w:t>按月统计以零工身份参加本市工伤保险的单位、人员情况，分析内容包括参保户清单、参保人员户籍分布、参保人员性别分布、参保人员年龄分布、参保来源分布等情况。</w:t>
            </w:r>
          </w:p>
        </w:tc>
      </w:tr>
      <w:tr w14:paraId="32D2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0044413E">
            <w:pPr>
              <w:pStyle w:val="61"/>
              <w:numPr>
                <w:ilvl w:val="0"/>
                <w:numId w:val="3"/>
              </w:numPr>
              <w:spacing w:line="240" w:lineRule="auto"/>
              <w:ind w:firstLineChars="0"/>
              <w:jc w:val="center"/>
              <w:rPr>
                <w:szCs w:val="21"/>
                <w:highlight w:val="none"/>
              </w:rPr>
            </w:pPr>
          </w:p>
        </w:tc>
        <w:tc>
          <w:tcPr>
            <w:tcW w:w="1559" w:type="dxa"/>
            <w:vMerge w:val="continue"/>
            <w:vAlign w:val="center"/>
          </w:tcPr>
          <w:p w14:paraId="66C39BF8">
            <w:pPr>
              <w:spacing w:line="240" w:lineRule="auto"/>
              <w:ind w:firstLine="0" w:firstLineChars="0"/>
              <w:jc w:val="center"/>
              <w:rPr>
                <w:sz w:val="21"/>
                <w:szCs w:val="21"/>
                <w:highlight w:val="none"/>
              </w:rPr>
            </w:pPr>
          </w:p>
        </w:tc>
        <w:tc>
          <w:tcPr>
            <w:tcW w:w="1701" w:type="dxa"/>
            <w:vAlign w:val="center"/>
          </w:tcPr>
          <w:p w14:paraId="4F24A4F7">
            <w:pPr>
              <w:spacing w:line="240" w:lineRule="auto"/>
              <w:ind w:firstLine="0" w:firstLineChars="0"/>
              <w:rPr>
                <w:sz w:val="21"/>
                <w:szCs w:val="21"/>
                <w:highlight w:val="none"/>
              </w:rPr>
            </w:pPr>
            <w:r>
              <w:rPr>
                <w:rFonts w:hint="eastAsia"/>
                <w:sz w:val="21"/>
                <w:szCs w:val="21"/>
                <w:highlight w:val="none"/>
              </w:rPr>
              <w:t>社保健康洞察（新建二级功能模块）-基金运行情况</w:t>
            </w:r>
          </w:p>
        </w:tc>
        <w:tc>
          <w:tcPr>
            <w:tcW w:w="4338" w:type="dxa"/>
            <w:vAlign w:val="center"/>
          </w:tcPr>
          <w:p w14:paraId="20875213">
            <w:pPr>
              <w:spacing w:line="240" w:lineRule="auto"/>
              <w:ind w:firstLine="0" w:firstLineChars="0"/>
              <w:rPr>
                <w:sz w:val="21"/>
                <w:szCs w:val="21"/>
                <w:highlight w:val="none"/>
              </w:rPr>
            </w:pPr>
            <w:r>
              <w:rPr>
                <w:rFonts w:hint="eastAsia"/>
                <w:sz w:val="21"/>
                <w:szCs w:val="21"/>
                <w:highlight w:val="none"/>
              </w:rPr>
              <w:t>按年度统计企业养老保险、居民养老保险、机关事业养老保险、工伤保险、职业年金等5类社保基金运行情况，分析内容包括基金收入、基金支出、基金结余、预算执行进度（按收入项目分别统计）、可支付月数、基金收支构成、期末资产构成、历年收入趋势、历年支出趋势、历年结余趋势。用户可选择统计的时间区间。</w:t>
            </w:r>
          </w:p>
        </w:tc>
      </w:tr>
      <w:tr w14:paraId="4BB2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914150D">
            <w:pPr>
              <w:pStyle w:val="61"/>
              <w:numPr>
                <w:ilvl w:val="0"/>
                <w:numId w:val="3"/>
              </w:numPr>
              <w:spacing w:line="240" w:lineRule="auto"/>
              <w:ind w:firstLineChars="0"/>
              <w:jc w:val="center"/>
              <w:rPr>
                <w:szCs w:val="21"/>
                <w:highlight w:val="none"/>
              </w:rPr>
            </w:pPr>
          </w:p>
        </w:tc>
        <w:tc>
          <w:tcPr>
            <w:tcW w:w="1559" w:type="dxa"/>
            <w:vMerge w:val="continue"/>
            <w:vAlign w:val="center"/>
          </w:tcPr>
          <w:p w14:paraId="711E6145">
            <w:pPr>
              <w:spacing w:line="240" w:lineRule="auto"/>
              <w:ind w:firstLine="0" w:firstLineChars="0"/>
              <w:jc w:val="center"/>
              <w:rPr>
                <w:sz w:val="21"/>
                <w:szCs w:val="21"/>
                <w:highlight w:val="none"/>
              </w:rPr>
            </w:pPr>
          </w:p>
        </w:tc>
        <w:tc>
          <w:tcPr>
            <w:tcW w:w="1701" w:type="dxa"/>
            <w:vAlign w:val="center"/>
          </w:tcPr>
          <w:p w14:paraId="07BB2E97">
            <w:pPr>
              <w:spacing w:line="240" w:lineRule="auto"/>
              <w:ind w:firstLine="0" w:firstLineChars="0"/>
              <w:rPr>
                <w:sz w:val="21"/>
                <w:szCs w:val="21"/>
                <w:highlight w:val="none"/>
              </w:rPr>
            </w:pPr>
            <w:r>
              <w:rPr>
                <w:rFonts w:hint="eastAsia"/>
                <w:sz w:val="21"/>
                <w:szCs w:val="21"/>
                <w:highlight w:val="none"/>
              </w:rPr>
              <w:t>数据标签管理（新建）-标签图谱</w:t>
            </w:r>
          </w:p>
        </w:tc>
        <w:tc>
          <w:tcPr>
            <w:tcW w:w="4338" w:type="dxa"/>
            <w:vAlign w:val="center"/>
          </w:tcPr>
          <w:p w14:paraId="382FA578">
            <w:pPr>
              <w:spacing w:line="240" w:lineRule="auto"/>
              <w:ind w:firstLine="0" w:firstLineChars="0"/>
              <w:rPr>
                <w:sz w:val="21"/>
                <w:szCs w:val="21"/>
                <w:highlight w:val="none"/>
              </w:rPr>
            </w:pPr>
            <w:r>
              <w:rPr>
                <w:rFonts w:hint="eastAsia"/>
                <w:sz w:val="21"/>
                <w:szCs w:val="21"/>
                <w:highlight w:val="none"/>
              </w:rPr>
              <w:t>提供标签体系管理功能。支持创建、编辑和删除标签，支持为标签设置分组。以图谱方式展示各类标签之间的层级、关联关系。支持逐级展开或收起图谱。支持通过关键词检索指标。</w:t>
            </w:r>
          </w:p>
        </w:tc>
      </w:tr>
      <w:tr w14:paraId="52D1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E6AB490">
            <w:pPr>
              <w:pStyle w:val="61"/>
              <w:numPr>
                <w:ilvl w:val="0"/>
                <w:numId w:val="3"/>
              </w:numPr>
              <w:spacing w:line="240" w:lineRule="auto"/>
              <w:ind w:firstLineChars="0"/>
              <w:jc w:val="center"/>
              <w:rPr>
                <w:szCs w:val="21"/>
                <w:highlight w:val="none"/>
              </w:rPr>
            </w:pPr>
          </w:p>
        </w:tc>
        <w:tc>
          <w:tcPr>
            <w:tcW w:w="1559" w:type="dxa"/>
            <w:vMerge w:val="continue"/>
            <w:vAlign w:val="center"/>
          </w:tcPr>
          <w:p w14:paraId="26E2858A">
            <w:pPr>
              <w:spacing w:line="240" w:lineRule="auto"/>
              <w:ind w:firstLine="0" w:firstLineChars="0"/>
              <w:jc w:val="center"/>
              <w:rPr>
                <w:sz w:val="21"/>
                <w:szCs w:val="21"/>
                <w:highlight w:val="none"/>
              </w:rPr>
            </w:pPr>
          </w:p>
        </w:tc>
        <w:tc>
          <w:tcPr>
            <w:tcW w:w="1701" w:type="dxa"/>
            <w:vAlign w:val="center"/>
          </w:tcPr>
          <w:p w14:paraId="70C76EB3">
            <w:pPr>
              <w:spacing w:line="240" w:lineRule="auto"/>
              <w:ind w:firstLine="0" w:firstLineChars="0"/>
              <w:rPr>
                <w:sz w:val="21"/>
                <w:szCs w:val="21"/>
                <w:highlight w:val="none"/>
              </w:rPr>
            </w:pPr>
            <w:r>
              <w:rPr>
                <w:rFonts w:hint="eastAsia"/>
                <w:sz w:val="21"/>
                <w:szCs w:val="21"/>
                <w:highlight w:val="none"/>
              </w:rPr>
              <w:t>数据标签管理（新建）-打标规则管理</w:t>
            </w:r>
          </w:p>
        </w:tc>
        <w:tc>
          <w:tcPr>
            <w:tcW w:w="4338" w:type="dxa"/>
            <w:vAlign w:val="center"/>
          </w:tcPr>
          <w:p w14:paraId="5FB14DCA">
            <w:pPr>
              <w:spacing w:line="240" w:lineRule="auto"/>
              <w:ind w:firstLine="0" w:firstLineChars="0"/>
              <w:rPr>
                <w:sz w:val="21"/>
                <w:szCs w:val="21"/>
                <w:highlight w:val="none"/>
              </w:rPr>
            </w:pPr>
            <w:r>
              <w:rPr>
                <w:rFonts w:hint="eastAsia"/>
                <w:sz w:val="21"/>
                <w:szCs w:val="21"/>
                <w:highlight w:val="none"/>
              </w:rPr>
              <w:t>用于创建、编辑和维护自动化打标规则，包括设置打标条件、逻辑和标签内容，以支持数据的标准化分类与识别。</w:t>
            </w:r>
          </w:p>
        </w:tc>
      </w:tr>
      <w:tr w14:paraId="0D2C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B3E754E">
            <w:pPr>
              <w:pStyle w:val="61"/>
              <w:numPr>
                <w:ilvl w:val="0"/>
                <w:numId w:val="3"/>
              </w:numPr>
              <w:spacing w:line="240" w:lineRule="auto"/>
              <w:ind w:firstLineChars="0"/>
              <w:jc w:val="center"/>
              <w:rPr>
                <w:szCs w:val="21"/>
                <w:highlight w:val="none"/>
              </w:rPr>
            </w:pPr>
          </w:p>
        </w:tc>
        <w:tc>
          <w:tcPr>
            <w:tcW w:w="1559" w:type="dxa"/>
            <w:vMerge w:val="continue"/>
            <w:vAlign w:val="center"/>
          </w:tcPr>
          <w:p w14:paraId="422B40F4">
            <w:pPr>
              <w:spacing w:line="240" w:lineRule="auto"/>
              <w:ind w:firstLine="0" w:firstLineChars="0"/>
              <w:jc w:val="center"/>
              <w:rPr>
                <w:sz w:val="21"/>
                <w:szCs w:val="21"/>
                <w:highlight w:val="none"/>
              </w:rPr>
            </w:pPr>
          </w:p>
        </w:tc>
        <w:tc>
          <w:tcPr>
            <w:tcW w:w="1701" w:type="dxa"/>
            <w:vAlign w:val="center"/>
          </w:tcPr>
          <w:p w14:paraId="002B25EE">
            <w:pPr>
              <w:spacing w:line="240" w:lineRule="auto"/>
              <w:ind w:firstLine="0" w:firstLineChars="0"/>
              <w:rPr>
                <w:sz w:val="21"/>
                <w:szCs w:val="21"/>
                <w:highlight w:val="none"/>
              </w:rPr>
            </w:pPr>
            <w:r>
              <w:rPr>
                <w:rFonts w:hint="eastAsia"/>
                <w:sz w:val="21"/>
                <w:szCs w:val="21"/>
                <w:highlight w:val="none"/>
              </w:rPr>
              <w:t>数据标签管理（新建）-打标任务管理</w:t>
            </w:r>
          </w:p>
        </w:tc>
        <w:tc>
          <w:tcPr>
            <w:tcW w:w="4338" w:type="dxa"/>
            <w:vAlign w:val="center"/>
          </w:tcPr>
          <w:p w14:paraId="33AE7C1D">
            <w:pPr>
              <w:spacing w:line="240" w:lineRule="auto"/>
              <w:ind w:firstLine="0" w:firstLineChars="0"/>
              <w:rPr>
                <w:sz w:val="21"/>
                <w:szCs w:val="21"/>
                <w:highlight w:val="none"/>
              </w:rPr>
            </w:pPr>
            <w:r>
              <w:rPr>
                <w:rFonts w:hint="eastAsia"/>
                <w:sz w:val="21"/>
                <w:szCs w:val="21"/>
                <w:highlight w:val="none"/>
              </w:rPr>
              <w:t>用于创建、调度和管理自动化打标任务，支持按规则批量对数据进行打标，并可查看任务状态和执行结果。</w:t>
            </w:r>
          </w:p>
        </w:tc>
      </w:tr>
      <w:tr w14:paraId="2D53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01DCDA91">
            <w:pPr>
              <w:pStyle w:val="61"/>
              <w:numPr>
                <w:ilvl w:val="0"/>
                <w:numId w:val="3"/>
              </w:numPr>
              <w:spacing w:line="240" w:lineRule="auto"/>
              <w:ind w:firstLineChars="0"/>
              <w:jc w:val="center"/>
              <w:rPr>
                <w:szCs w:val="21"/>
                <w:highlight w:val="none"/>
              </w:rPr>
            </w:pPr>
          </w:p>
        </w:tc>
        <w:tc>
          <w:tcPr>
            <w:tcW w:w="1559" w:type="dxa"/>
            <w:vMerge w:val="continue"/>
            <w:vAlign w:val="center"/>
          </w:tcPr>
          <w:p w14:paraId="47EEB71C">
            <w:pPr>
              <w:spacing w:line="240" w:lineRule="auto"/>
              <w:ind w:firstLine="0" w:firstLineChars="0"/>
              <w:jc w:val="center"/>
              <w:rPr>
                <w:sz w:val="21"/>
                <w:szCs w:val="21"/>
                <w:highlight w:val="none"/>
              </w:rPr>
            </w:pPr>
          </w:p>
        </w:tc>
        <w:tc>
          <w:tcPr>
            <w:tcW w:w="1701" w:type="dxa"/>
            <w:vAlign w:val="center"/>
          </w:tcPr>
          <w:p w14:paraId="626E00D5">
            <w:pPr>
              <w:spacing w:line="240" w:lineRule="auto"/>
              <w:ind w:firstLine="0" w:firstLineChars="0"/>
              <w:rPr>
                <w:sz w:val="21"/>
                <w:szCs w:val="21"/>
                <w:highlight w:val="none"/>
              </w:rPr>
            </w:pPr>
            <w:r>
              <w:rPr>
                <w:rFonts w:hint="eastAsia"/>
                <w:sz w:val="21"/>
                <w:szCs w:val="21"/>
                <w:highlight w:val="none"/>
              </w:rPr>
              <w:t>数据标签管理（新建）-手动打标支持</w:t>
            </w:r>
          </w:p>
        </w:tc>
        <w:tc>
          <w:tcPr>
            <w:tcW w:w="4338" w:type="dxa"/>
            <w:vAlign w:val="center"/>
          </w:tcPr>
          <w:p w14:paraId="29697FD0">
            <w:pPr>
              <w:spacing w:line="240" w:lineRule="auto"/>
              <w:ind w:firstLine="0" w:firstLineChars="0"/>
              <w:rPr>
                <w:sz w:val="21"/>
                <w:szCs w:val="21"/>
                <w:highlight w:val="none"/>
              </w:rPr>
            </w:pPr>
            <w:r>
              <w:rPr>
                <w:rFonts w:hint="eastAsia"/>
                <w:sz w:val="21"/>
                <w:szCs w:val="21"/>
                <w:highlight w:val="none"/>
              </w:rPr>
              <w:t>用户可以通过图形化界面为报表、报告、图表、字段、数值等对象添加标签。</w:t>
            </w:r>
          </w:p>
        </w:tc>
      </w:tr>
      <w:tr w14:paraId="7BCE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303B9FA">
            <w:pPr>
              <w:pStyle w:val="61"/>
              <w:numPr>
                <w:ilvl w:val="0"/>
                <w:numId w:val="3"/>
              </w:numPr>
              <w:spacing w:line="240" w:lineRule="auto"/>
              <w:ind w:firstLineChars="0"/>
              <w:jc w:val="center"/>
              <w:rPr>
                <w:szCs w:val="21"/>
                <w:highlight w:val="none"/>
              </w:rPr>
            </w:pPr>
          </w:p>
        </w:tc>
        <w:tc>
          <w:tcPr>
            <w:tcW w:w="1559" w:type="dxa"/>
            <w:vMerge w:val="continue"/>
            <w:vAlign w:val="center"/>
          </w:tcPr>
          <w:p w14:paraId="2FDFBE1F">
            <w:pPr>
              <w:spacing w:line="240" w:lineRule="auto"/>
              <w:ind w:firstLine="0" w:firstLineChars="0"/>
              <w:jc w:val="center"/>
              <w:rPr>
                <w:sz w:val="21"/>
                <w:szCs w:val="21"/>
                <w:highlight w:val="none"/>
              </w:rPr>
            </w:pPr>
          </w:p>
        </w:tc>
        <w:tc>
          <w:tcPr>
            <w:tcW w:w="1701" w:type="dxa"/>
            <w:vAlign w:val="center"/>
          </w:tcPr>
          <w:p w14:paraId="7885737A">
            <w:pPr>
              <w:spacing w:line="240" w:lineRule="auto"/>
              <w:ind w:firstLine="0" w:firstLineChars="0"/>
              <w:rPr>
                <w:sz w:val="21"/>
                <w:szCs w:val="21"/>
                <w:highlight w:val="none"/>
              </w:rPr>
            </w:pPr>
            <w:r>
              <w:rPr>
                <w:rFonts w:hint="eastAsia"/>
                <w:sz w:val="21"/>
                <w:szCs w:val="21"/>
                <w:highlight w:val="none"/>
              </w:rPr>
              <w:t>数据报表管理（新建二级功能模块）-计算模型管理</w:t>
            </w:r>
          </w:p>
        </w:tc>
        <w:tc>
          <w:tcPr>
            <w:tcW w:w="4338" w:type="dxa"/>
            <w:vAlign w:val="center"/>
          </w:tcPr>
          <w:p w14:paraId="6BD4667C">
            <w:pPr>
              <w:spacing w:line="240" w:lineRule="auto"/>
              <w:ind w:firstLine="0" w:firstLineChars="0"/>
              <w:rPr>
                <w:sz w:val="21"/>
                <w:szCs w:val="21"/>
                <w:highlight w:val="none"/>
              </w:rPr>
            </w:pPr>
            <w:r>
              <w:rPr>
                <w:rFonts w:hint="eastAsia"/>
                <w:sz w:val="21"/>
                <w:szCs w:val="21"/>
                <w:highlight w:val="none"/>
              </w:rPr>
              <w:t>为业务人员提供适用于社保业务场景的通用报表导入功能，支持通过配置计算模型，自动分析源报表结构，包括统计日期、统计指标、统计维度和统计数据等要素的坐标定位与计算；支持配置数据预处理程序及数据解析与存储处理程序；支持自定义配置数据的存储位置；支持对解析出的报表指标和维度进行系统指标关联，或在指标库中自动生成新指标。</w:t>
            </w:r>
          </w:p>
        </w:tc>
      </w:tr>
      <w:tr w14:paraId="04B9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FD9881A">
            <w:pPr>
              <w:pStyle w:val="61"/>
              <w:numPr>
                <w:ilvl w:val="0"/>
                <w:numId w:val="3"/>
              </w:numPr>
              <w:spacing w:line="240" w:lineRule="auto"/>
              <w:ind w:firstLineChars="0"/>
              <w:jc w:val="center"/>
              <w:rPr>
                <w:szCs w:val="21"/>
                <w:highlight w:val="none"/>
              </w:rPr>
            </w:pPr>
          </w:p>
        </w:tc>
        <w:tc>
          <w:tcPr>
            <w:tcW w:w="1559" w:type="dxa"/>
            <w:vMerge w:val="continue"/>
            <w:vAlign w:val="center"/>
          </w:tcPr>
          <w:p w14:paraId="2D019F89">
            <w:pPr>
              <w:spacing w:line="240" w:lineRule="auto"/>
              <w:ind w:firstLine="0" w:firstLineChars="0"/>
              <w:jc w:val="center"/>
              <w:rPr>
                <w:sz w:val="21"/>
                <w:szCs w:val="21"/>
                <w:highlight w:val="none"/>
              </w:rPr>
            </w:pPr>
          </w:p>
        </w:tc>
        <w:tc>
          <w:tcPr>
            <w:tcW w:w="1701" w:type="dxa"/>
            <w:vAlign w:val="center"/>
          </w:tcPr>
          <w:p w14:paraId="2F039A83">
            <w:pPr>
              <w:spacing w:line="240" w:lineRule="auto"/>
              <w:ind w:firstLine="0" w:firstLineChars="0"/>
              <w:rPr>
                <w:sz w:val="21"/>
                <w:szCs w:val="21"/>
                <w:highlight w:val="none"/>
              </w:rPr>
            </w:pPr>
            <w:r>
              <w:rPr>
                <w:rFonts w:hint="eastAsia"/>
                <w:sz w:val="21"/>
                <w:szCs w:val="21"/>
                <w:highlight w:val="none"/>
              </w:rPr>
              <w:t>数据报表管理（新建二级功能模块）-通用图表模型管理</w:t>
            </w:r>
          </w:p>
        </w:tc>
        <w:tc>
          <w:tcPr>
            <w:tcW w:w="4338" w:type="dxa"/>
            <w:vAlign w:val="center"/>
          </w:tcPr>
          <w:p w14:paraId="503AEAD1">
            <w:pPr>
              <w:spacing w:line="240" w:lineRule="auto"/>
              <w:ind w:firstLine="0" w:firstLineChars="0"/>
              <w:rPr>
                <w:sz w:val="21"/>
                <w:szCs w:val="21"/>
                <w:highlight w:val="none"/>
              </w:rPr>
            </w:pPr>
            <w:r>
              <w:rPr>
                <w:rFonts w:hint="eastAsia"/>
                <w:sz w:val="21"/>
                <w:szCs w:val="21"/>
                <w:highlight w:val="none"/>
              </w:rPr>
              <w:t>基于系统指标体系，支持用户在各类可视化图表界面直接配置指标的物理结构和逻辑结构。支持配置分析指标的属性信息，如指标来源、口径说明等；支持配置分析指标与其对应数据报表（即指标数据来源）之间的跳转关联关系；支持设置统计数据的全局筛选与过滤条件。</w:t>
            </w:r>
          </w:p>
        </w:tc>
      </w:tr>
      <w:tr w14:paraId="58B8A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19DCF139">
            <w:pPr>
              <w:pStyle w:val="61"/>
              <w:numPr>
                <w:ilvl w:val="0"/>
                <w:numId w:val="3"/>
              </w:numPr>
              <w:spacing w:line="240" w:lineRule="auto"/>
              <w:ind w:firstLineChars="0"/>
              <w:jc w:val="center"/>
              <w:rPr>
                <w:szCs w:val="21"/>
                <w:highlight w:val="none"/>
              </w:rPr>
            </w:pPr>
          </w:p>
        </w:tc>
        <w:tc>
          <w:tcPr>
            <w:tcW w:w="1559" w:type="dxa"/>
            <w:vMerge w:val="continue"/>
            <w:vAlign w:val="center"/>
          </w:tcPr>
          <w:p w14:paraId="5EC7E099">
            <w:pPr>
              <w:spacing w:line="240" w:lineRule="auto"/>
              <w:ind w:firstLine="0" w:firstLineChars="0"/>
              <w:jc w:val="center"/>
              <w:rPr>
                <w:sz w:val="21"/>
                <w:szCs w:val="21"/>
                <w:highlight w:val="none"/>
              </w:rPr>
            </w:pPr>
          </w:p>
        </w:tc>
        <w:tc>
          <w:tcPr>
            <w:tcW w:w="1701" w:type="dxa"/>
            <w:vAlign w:val="center"/>
          </w:tcPr>
          <w:p w14:paraId="0F4B060D">
            <w:pPr>
              <w:spacing w:line="240" w:lineRule="auto"/>
              <w:ind w:firstLine="0" w:firstLineChars="0"/>
              <w:rPr>
                <w:sz w:val="21"/>
                <w:szCs w:val="21"/>
                <w:highlight w:val="none"/>
              </w:rPr>
            </w:pPr>
            <w:r>
              <w:rPr>
                <w:rFonts w:hint="eastAsia"/>
                <w:sz w:val="21"/>
                <w:szCs w:val="21"/>
                <w:highlight w:val="none"/>
              </w:rPr>
              <w:t>移动端（随申办政务云）应用（新建）-经办服务运行情况（实时）</w:t>
            </w:r>
          </w:p>
        </w:tc>
        <w:tc>
          <w:tcPr>
            <w:tcW w:w="4338" w:type="dxa"/>
            <w:vAlign w:val="center"/>
          </w:tcPr>
          <w:p w14:paraId="4DCEBF3A">
            <w:pPr>
              <w:spacing w:line="240" w:lineRule="auto"/>
              <w:ind w:firstLine="0" w:firstLineChars="0"/>
              <w:rPr>
                <w:sz w:val="21"/>
                <w:szCs w:val="21"/>
                <w:highlight w:val="none"/>
              </w:rPr>
            </w:pPr>
            <w:r>
              <w:rPr>
                <w:rFonts w:hint="eastAsia"/>
                <w:sz w:val="21"/>
                <w:szCs w:val="21"/>
                <w:highlight w:val="none"/>
              </w:rPr>
              <w:t>提供各分中心经办服务运行数据在移动端的查询和展示，包括线下受理、线上申请、排队叫号、业务审核、延迟退休、病残津贴等数据。</w:t>
            </w:r>
          </w:p>
        </w:tc>
      </w:tr>
      <w:tr w14:paraId="6BF5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32E21BAF">
            <w:pPr>
              <w:pStyle w:val="61"/>
              <w:numPr>
                <w:ilvl w:val="0"/>
                <w:numId w:val="3"/>
              </w:numPr>
              <w:spacing w:line="240" w:lineRule="auto"/>
              <w:ind w:firstLineChars="0"/>
              <w:jc w:val="center"/>
              <w:rPr>
                <w:szCs w:val="21"/>
                <w:highlight w:val="none"/>
              </w:rPr>
            </w:pPr>
          </w:p>
        </w:tc>
        <w:tc>
          <w:tcPr>
            <w:tcW w:w="1559" w:type="dxa"/>
            <w:vMerge w:val="continue"/>
            <w:vAlign w:val="center"/>
          </w:tcPr>
          <w:p w14:paraId="1ADC44A8">
            <w:pPr>
              <w:spacing w:line="240" w:lineRule="auto"/>
              <w:ind w:firstLine="0" w:firstLineChars="0"/>
              <w:jc w:val="center"/>
              <w:rPr>
                <w:sz w:val="21"/>
                <w:szCs w:val="21"/>
                <w:highlight w:val="none"/>
              </w:rPr>
            </w:pPr>
          </w:p>
        </w:tc>
        <w:tc>
          <w:tcPr>
            <w:tcW w:w="1701" w:type="dxa"/>
            <w:vAlign w:val="center"/>
          </w:tcPr>
          <w:p w14:paraId="53CA2E62">
            <w:pPr>
              <w:spacing w:line="240" w:lineRule="auto"/>
              <w:ind w:firstLine="0" w:firstLineChars="0"/>
              <w:rPr>
                <w:sz w:val="21"/>
                <w:szCs w:val="21"/>
                <w:highlight w:val="none"/>
              </w:rPr>
            </w:pPr>
            <w:r>
              <w:rPr>
                <w:rFonts w:hint="eastAsia"/>
                <w:sz w:val="21"/>
                <w:szCs w:val="21"/>
                <w:highlight w:val="none"/>
              </w:rPr>
              <w:t>移动端（随申办政务云）应用（新建）-新政执行情况</w:t>
            </w:r>
          </w:p>
        </w:tc>
        <w:tc>
          <w:tcPr>
            <w:tcW w:w="4338" w:type="dxa"/>
            <w:vAlign w:val="center"/>
          </w:tcPr>
          <w:p w14:paraId="27D2F6DA">
            <w:pPr>
              <w:spacing w:line="240" w:lineRule="auto"/>
              <w:ind w:firstLine="0" w:firstLineChars="0"/>
              <w:rPr>
                <w:sz w:val="21"/>
                <w:szCs w:val="21"/>
                <w:highlight w:val="none"/>
              </w:rPr>
            </w:pPr>
            <w:r>
              <w:rPr>
                <w:rFonts w:hint="eastAsia"/>
                <w:sz w:val="21"/>
                <w:szCs w:val="21"/>
                <w:highlight w:val="none"/>
              </w:rPr>
              <w:t>以新政快报形式，提供社保新政策执行情况在移动端的查询和展示，包括灵活就业、延迟退休、零工市场等新政快报。</w:t>
            </w:r>
          </w:p>
        </w:tc>
      </w:tr>
      <w:tr w14:paraId="1B6D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45AAE47">
            <w:pPr>
              <w:pStyle w:val="61"/>
              <w:numPr>
                <w:ilvl w:val="0"/>
                <w:numId w:val="3"/>
              </w:numPr>
              <w:spacing w:line="240" w:lineRule="auto"/>
              <w:ind w:firstLineChars="0"/>
              <w:jc w:val="center"/>
              <w:rPr>
                <w:szCs w:val="21"/>
                <w:highlight w:val="none"/>
              </w:rPr>
            </w:pPr>
          </w:p>
        </w:tc>
        <w:tc>
          <w:tcPr>
            <w:tcW w:w="1559" w:type="dxa"/>
            <w:vMerge w:val="continue"/>
            <w:vAlign w:val="center"/>
          </w:tcPr>
          <w:p w14:paraId="5A5FBC89">
            <w:pPr>
              <w:spacing w:line="240" w:lineRule="auto"/>
              <w:ind w:firstLine="0" w:firstLineChars="0"/>
              <w:jc w:val="center"/>
              <w:rPr>
                <w:sz w:val="21"/>
                <w:szCs w:val="21"/>
                <w:highlight w:val="none"/>
              </w:rPr>
            </w:pPr>
          </w:p>
        </w:tc>
        <w:tc>
          <w:tcPr>
            <w:tcW w:w="1701" w:type="dxa"/>
            <w:vAlign w:val="center"/>
          </w:tcPr>
          <w:p w14:paraId="3B5DAC8C">
            <w:pPr>
              <w:spacing w:line="240" w:lineRule="auto"/>
              <w:ind w:firstLine="0" w:firstLineChars="0"/>
              <w:rPr>
                <w:sz w:val="21"/>
                <w:szCs w:val="21"/>
                <w:highlight w:val="none"/>
              </w:rPr>
            </w:pPr>
            <w:r>
              <w:rPr>
                <w:rFonts w:hint="eastAsia"/>
                <w:sz w:val="21"/>
                <w:szCs w:val="21"/>
                <w:highlight w:val="none"/>
              </w:rPr>
              <w:t>移动端（随申办政务云）应用（新建）-养老保险关键指标</w:t>
            </w:r>
          </w:p>
        </w:tc>
        <w:tc>
          <w:tcPr>
            <w:tcW w:w="4338" w:type="dxa"/>
            <w:vAlign w:val="center"/>
          </w:tcPr>
          <w:p w14:paraId="54C109EA">
            <w:pPr>
              <w:spacing w:line="240" w:lineRule="auto"/>
              <w:ind w:firstLine="0" w:firstLineChars="0"/>
              <w:rPr>
                <w:sz w:val="21"/>
                <w:szCs w:val="21"/>
                <w:highlight w:val="none"/>
              </w:rPr>
            </w:pPr>
            <w:r>
              <w:rPr>
                <w:rFonts w:hint="eastAsia"/>
                <w:sz w:val="21"/>
                <w:szCs w:val="21"/>
                <w:highlight w:val="none"/>
              </w:rPr>
              <w:t>提供养老保险关键指标数据在移动端的查询和展示，包括养老保险缴费（含灵活就业）、养老保险待遇领取等数据。</w:t>
            </w:r>
          </w:p>
        </w:tc>
      </w:tr>
      <w:tr w14:paraId="2365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3AB9D855">
            <w:pPr>
              <w:pStyle w:val="61"/>
              <w:numPr>
                <w:ilvl w:val="0"/>
                <w:numId w:val="3"/>
              </w:numPr>
              <w:spacing w:line="240" w:lineRule="auto"/>
              <w:ind w:firstLineChars="0"/>
              <w:jc w:val="center"/>
              <w:rPr>
                <w:szCs w:val="21"/>
                <w:highlight w:val="none"/>
              </w:rPr>
            </w:pPr>
          </w:p>
        </w:tc>
        <w:tc>
          <w:tcPr>
            <w:tcW w:w="1559" w:type="dxa"/>
            <w:vMerge w:val="continue"/>
            <w:vAlign w:val="center"/>
          </w:tcPr>
          <w:p w14:paraId="405EACDE">
            <w:pPr>
              <w:spacing w:line="240" w:lineRule="auto"/>
              <w:ind w:firstLine="0" w:firstLineChars="0"/>
              <w:jc w:val="center"/>
              <w:rPr>
                <w:sz w:val="21"/>
                <w:szCs w:val="21"/>
                <w:highlight w:val="none"/>
              </w:rPr>
            </w:pPr>
          </w:p>
        </w:tc>
        <w:tc>
          <w:tcPr>
            <w:tcW w:w="1701" w:type="dxa"/>
            <w:vAlign w:val="center"/>
          </w:tcPr>
          <w:p w14:paraId="3DB1C7CB">
            <w:pPr>
              <w:spacing w:line="240" w:lineRule="auto"/>
              <w:ind w:firstLine="0" w:firstLineChars="0"/>
              <w:rPr>
                <w:sz w:val="21"/>
                <w:szCs w:val="21"/>
                <w:highlight w:val="none"/>
              </w:rPr>
            </w:pPr>
            <w:r>
              <w:rPr>
                <w:rFonts w:hint="eastAsia"/>
                <w:sz w:val="21"/>
                <w:szCs w:val="21"/>
                <w:highlight w:val="none"/>
              </w:rPr>
              <w:t>移动端（随申办政务云）应用（新建）-职业伤害保险运行情况</w:t>
            </w:r>
          </w:p>
        </w:tc>
        <w:tc>
          <w:tcPr>
            <w:tcW w:w="4338" w:type="dxa"/>
            <w:vAlign w:val="center"/>
          </w:tcPr>
          <w:p w14:paraId="7667B2C8">
            <w:pPr>
              <w:spacing w:line="240" w:lineRule="auto"/>
              <w:ind w:firstLine="0" w:firstLineChars="0"/>
              <w:rPr>
                <w:sz w:val="21"/>
                <w:szCs w:val="21"/>
                <w:highlight w:val="none"/>
              </w:rPr>
            </w:pPr>
            <w:r>
              <w:rPr>
                <w:rFonts w:hint="eastAsia"/>
                <w:sz w:val="21"/>
                <w:szCs w:val="21"/>
                <w:highlight w:val="none"/>
              </w:rPr>
              <w:t>提供职业伤害保险运行情况在移动端的查询和展示，包括职业伤害参保、职业伤害缴费、职业伤害待遇支出等数据。</w:t>
            </w:r>
          </w:p>
        </w:tc>
      </w:tr>
      <w:tr w14:paraId="024A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BF2C987">
            <w:pPr>
              <w:pStyle w:val="61"/>
              <w:numPr>
                <w:ilvl w:val="0"/>
                <w:numId w:val="3"/>
              </w:numPr>
              <w:spacing w:line="240" w:lineRule="auto"/>
              <w:ind w:firstLineChars="0"/>
              <w:jc w:val="center"/>
              <w:rPr>
                <w:szCs w:val="21"/>
                <w:highlight w:val="none"/>
              </w:rPr>
            </w:pPr>
          </w:p>
        </w:tc>
        <w:tc>
          <w:tcPr>
            <w:tcW w:w="1559" w:type="dxa"/>
            <w:vMerge w:val="continue"/>
            <w:vAlign w:val="center"/>
          </w:tcPr>
          <w:p w14:paraId="683DF9AB">
            <w:pPr>
              <w:spacing w:line="240" w:lineRule="auto"/>
              <w:ind w:firstLine="0" w:firstLineChars="0"/>
              <w:jc w:val="center"/>
              <w:rPr>
                <w:sz w:val="21"/>
                <w:szCs w:val="21"/>
                <w:highlight w:val="none"/>
              </w:rPr>
            </w:pPr>
          </w:p>
        </w:tc>
        <w:tc>
          <w:tcPr>
            <w:tcW w:w="1701" w:type="dxa"/>
            <w:vAlign w:val="center"/>
          </w:tcPr>
          <w:p w14:paraId="53E61BDB">
            <w:pPr>
              <w:spacing w:line="240" w:lineRule="auto"/>
              <w:ind w:firstLine="0" w:firstLineChars="0"/>
              <w:rPr>
                <w:sz w:val="21"/>
                <w:szCs w:val="21"/>
                <w:highlight w:val="none"/>
              </w:rPr>
            </w:pPr>
            <w:r>
              <w:rPr>
                <w:rFonts w:hint="eastAsia"/>
                <w:sz w:val="21"/>
                <w:szCs w:val="21"/>
                <w:highlight w:val="none"/>
              </w:rPr>
              <w:t>移动端（随申办政务云）应用（新建）-社保基金运行情况</w:t>
            </w:r>
          </w:p>
        </w:tc>
        <w:tc>
          <w:tcPr>
            <w:tcW w:w="4338" w:type="dxa"/>
            <w:vAlign w:val="center"/>
          </w:tcPr>
          <w:p w14:paraId="28A2D1CD">
            <w:pPr>
              <w:spacing w:line="240" w:lineRule="auto"/>
              <w:ind w:firstLine="0" w:firstLineChars="0"/>
              <w:rPr>
                <w:sz w:val="21"/>
                <w:szCs w:val="21"/>
                <w:highlight w:val="none"/>
              </w:rPr>
            </w:pPr>
            <w:r>
              <w:rPr>
                <w:rFonts w:hint="eastAsia"/>
                <w:sz w:val="21"/>
                <w:szCs w:val="21"/>
                <w:highlight w:val="none"/>
              </w:rPr>
              <w:t>提供社保基金运行情况在移动端的查询和展示，包括当月征收、财政收入、当月支出、基金结余等数据。</w:t>
            </w:r>
          </w:p>
        </w:tc>
      </w:tr>
      <w:tr w14:paraId="53FC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3D970E43">
            <w:pPr>
              <w:pStyle w:val="61"/>
              <w:numPr>
                <w:ilvl w:val="0"/>
                <w:numId w:val="3"/>
              </w:numPr>
              <w:spacing w:line="240" w:lineRule="auto"/>
              <w:ind w:firstLineChars="0"/>
              <w:jc w:val="center"/>
              <w:rPr>
                <w:szCs w:val="21"/>
                <w:highlight w:val="none"/>
              </w:rPr>
            </w:pPr>
          </w:p>
        </w:tc>
        <w:tc>
          <w:tcPr>
            <w:tcW w:w="1559" w:type="dxa"/>
            <w:vMerge w:val="continue"/>
            <w:vAlign w:val="center"/>
          </w:tcPr>
          <w:p w14:paraId="4C71A8AD">
            <w:pPr>
              <w:spacing w:line="240" w:lineRule="auto"/>
              <w:ind w:firstLine="0" w:firstLineChars="0"/>
              <w:jc w:val="center"/>
              <w:rPr>
                <w:sz w:val="21"/>
                <w:szCs w:val="21"/>
                <w:highlight w:val="none"/>
              </w:rPr>
            </w:pPr>
          </w:p>
        </w:tc>
        <w:tc>
          <w:tcPr>
            <w:tcW w:w="1701" w:type="dxa"/>
            <w:vAlign w:val="center"/>
          </w:tcPr>
          <w:p w14:paraId="54EFB792">
            <w:pPr>
              <w:spacing w:line="240" w:lineRule="auto"/>
              <w:ind w:firstLine="0" w:firstLineChars="0"/>
              <w:rPr>
                <w:sz w:val="21"/>
                <w:szCs w:val="21"/>
                <w:highlight w:val="none"/>
              </w:rPr>
            </w:pPr>
            <w:r>
              <w:rPr>
                <w:rFonts w:hint="eastAsia"/>
                <w:sz w:val="21"/>
                <w:szCs w:val="21"/>
                <w:highlight w:val="none"/>
              </w:rPr>
              <w:t>移动端（随申办政务云）应用（新建）-移动端指标脱敏</w:t>
            </w:r>
          </w:p>
        </w:tc>
        <w:tc>
          <w:tcPr>
            <w:tcW w:w="4338" w:type="dxa"/>
            <w:vAlign w:val="center"/>
          </w:tcPr>
          <w:p w14:paraId="73A77413">
            <w:pPr>
              <w:spacing w:line="240" w:lineRule="auto"/>
              <w:ind w:firstLine="0" w:firstLineChars="0"/>
              <w:rPr>
                <w:sz w:val="21"/>
                <w:szCs w:val="21"/>
                <w:highlight w:val="none"/>
              </w:rPr>
            </w:pPr>
            <w:r>
              <w:rPr>
                <w:rFonts w:hint="eastAsia"/>
                <w:sz w:val="21"/>
                <w:szCs w:val="21"/>
                <w:highlight w:val="none"/>
              </w:rPr>
              <w:t>为降低数据泄漏风险，基于数据安全管理模块已配置的脱敏规则，在移动端对展示的数据指标名称或内容进行脱敏。一方面以代码替换指标名称（如用AA1表示养老保险实缴金额），另一方面默认遮蔽敏感数据，用户点击“显示”按钮后数据变为可见。数据在打开页面时加载，不在设备中留存。</w:t>
            </w:r>
          </w:p>
        </w:tc>
      </w:tr>
      <w:tr w14:paraId="18C9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1854D39">
            <w:pPr>
              <w:pStyle w:val="61"/>
              <w:numPr>
                <w:ilvl w:val="0"/>
                <w:numId w:val="3"/>
              </w:numPr>
              <w:spacing w:line="240" w:lineRule="auto"/>
              <w:ind w:firstLineChars="0"/>
              <w:jc w:val="center"/>
              <w:rPr>
                <w:szCs w:val="21"/>
                <w:highlight w:val="none"/>
              </w:rPr>
            </w:pPr>
          </w:p>
        </w:tc>
        <w:tc>
          <w:tcPr>
            <w:tcW w:w="1559" w:type="dxa"/>
            <w:vMerge w:val="continue"/>
            <w:vAlign w:val="center"/>
          </w:tcPr>
          <w:p w14:paraId="43AE4113">
            <w:pPr>
              <w:spacing w:line="240" w:lineRule="auto"/>
              <w:ind w:firstLine="0" w:firstLineChars="0"/>
              <w:jc w:val="center"/>
              <w:rPr>
                <w:sz w:val="21"/>
                <w:szCs w:val="21"/>
                <w:highlight w:val="none"/>
              </w:rPr>
            </w:pPr>
          </w:p>
        </w:tc>
        <w:tc>
          <w:tcPr>
            <w:tcW w:w="1701" w:type="dxa"/>
            <w:vAlign w:val="center"/>
          </w:tcPr>
          <w:p w14:paraId="00FDD594">
            <w:pPr>
              <w:spacing w:line="240" w:lineRule="auto"/>
              <w:ind w:firstLine="0" w:firstLineChars="0"/>
              <w:rPr>
                <w:sz w:val="21"/>
                <w:szCs w:val="21"/>
                <w:highlight w:val="none"/>
              </w:rPr>
            </w:pPr>
            <w:r>
              <w:rPr>
                <w:rFonts w:hint="eastAsia"/>
                <w:sz w:val="21"/>
                <w:szCs w:val="21"/>
                <w:highlight w:val="none"/>
              </w:rPr>
              <w:t>社保卡登录集成（新建）-二维码生成</w:t>
            </w:r>
          </w:p>
        </w:tc>
        <w:tc>
          <w:tcPr>
            <w:tcW w:w="4338" w:type="dxa"/>
            <w:vAlign w:val="center"/>
          </w:tcPr>
          <w:p w14:paraId="1CF4ED93">
            <w:pPr>
              <w:spacing w:line="240" w:lineRule="auto"/>
              <w:ind w:firstLine="0" w:firstLineChars="0"/>
              <w:rPr>
                <w:sz w:val="21"/>
                <w:szCs w:val="21"/>
                <w:highlight w:val="none"/>
              </w:rPr>
            </w:pPr>
            <w:r>
              <w:rPr>
                <w:rFonts w:hint="eastAsia"/>
                <w:sz w:val="21"/>
                <w:szCs w:val="21"/>
                <w:highlight w:val="none"/>
              </w:rPr>
              <w:t>在现有单点登录体系中集成社保卡登录方式，支持基于社保卡信息的二维码扫描登录。通过对接人社局社保卡二维码生成接口，创建二维码。</w:t>
            </w:r>
          </w:p>
        </w:tc>
      </w:tr>
      <w:tr w14:paraId="5AD3B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537EA9A">
            <w:pPr>
              <w:pStyle w:val="61"/>
              <w:numPr>
                <w:ilvl w:val="0"/>
                <w:numId w:val="3"/>
              </w:numPr>
              <w:spacing w:line="240" w:lineRule="auto"/>
              <w:ind w:firstLineChars="0"/>
              <w:jc w:val="center"/>
              <w:rPr>
                <w:szCs w:val="21"/>
                <w:highlight w:val="none"/>
              </w:rPr>
            </w:pPr>
          </w:p>
        </w:tc>
        <w:tc>
          <w:tcPr>
            <w:tcW w:w="1559" w:type="dxa"/>
            <w:vMerge w:val="continue"/>
            <w:vAlign w:val="center"/>
          </w:tcPr>
          <w:p w14:paraId="06E79C6F">
            <w:pPr>
              <w:spacing w:line="240" w:lineRule="auto"/>
              <w:ind w:firstLine="0" w:firstLineChars="0"/>
              <w:jc w:val="center"/>
              <w:rPr>
                <w:sz w:val="21"/>
                <w:szCs w:val="21"/>
                <w:highlight w:val="none"/>
              </w:rPr>
            </w:pPr>
          </w:p>
        </w:tc>
        <w:tc>
          <w:tcPr>
            <w:tcW w:w="1701" w:type="dxa"/>
            <w:vAlign w:val="center"/>
          </w:tcPr>
          <w:p w14:paraId="5AB25E65">
            <w:pPr>
              <w:spacing w:line="240" w:lineRule="auto"/>
              <w:ind w:firstLine="0" w:firstLineChars="0"/>
              <w:rPr>
                <w:sz w:val="21"/>
                <w:szCs w:val="21"/>
                <w:highlight w:val="none"/>
              </w:rPr>
            </w:pPr>
            <w:r>
              <w:rPr>
                <w:rFonts w:hint="eastAsia"/>
                <w:sz w:val="21"/>
                <w:szCs w:val="21"/>
                <w:highlight w:val="none"/>
              </w:rPr>
              <w:t>社保卡登录集成（新建）-二维码扫描</w:t>
            </w:r>
          </w:p>
        </w:tc>
        <w:tc>
          <w:tcPr>
            <w:tcW w:w="4338" w:type="dxa"/>
            <w:vAlign w:val="center"/>
          </w:tcPr>
          <w:p w14:paraId="72F8CB8B">
            <w:pPr>
              <w:spacing w:line="240" w:lineRule="auto"/>
              <w:ind w:firstLine="0" w:firstLineChars="0"/>
              <w:rPr>
                <w:sz w:val="21"/>
                <w:szCs w:val="21"/>
                <w:highlight w:val="none"/>
              </w:rPr>
            </w:pPr>
            <w:r>
              <w:rPr>
                <w:rFonts w:hint="eastAsia"/>
                <w:sz w:val="21"/>
                <w:szCs w:val="21"/>
                <w:highlight w:val="none"/>
              </w:rPr>
              <w:t>用户通过电子社保卡扫描生成后的二维码，完成身份认证。</w:t>
            </w:r>
          </w:p>
        </w:tc>
      </w:tr>
      <w:tr w14:paraId="2CC3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28892E43">
            <w:pPr>
              <w:pStyle w:val="61"/>
              <w:numPr>
                <w:ilvl w:val="0"/>
                <w:numId w:val="3"/>
              </w:numPr>
              <w:spacing w:line="240" w:lineRule="auto"/>
              <w:ind w:firstLineChars="0"/>
              <w:jc w:val="center"/>
              <w:rPr>
                <w:szCs w:val="21"/>
                <w:highlight w:val="none"/>
              </w:rPr>
            </w:pPr>
          </w:p>
        </w:tc>
        <w:tc>
          <w:tcPr>
            <w:tcW w:w="1559" w:type="dxa"/>
            <w:vMerge w:val="continue"/>
            <w:vAlign w:val="center"/>
          </w:tcPr>
          <w:p w14:paraId="3673A48B">
            <w:pPr>
              <w:spacing w:line="240" w:lineRule="auto"/>
              <w:ind w:firstLine="0" w:firstLineChars="0"/>
              <w:jc w:val="center"/>
              <w:rPr>
                <w:sz w:val="21"/>
                <w:szCs w:val="21"/>
                <w:highlight w:val="none"/>
              </w:rPr>
            </w:pPr>
          </w:p>
        </w:tc>
        <w:tc>
          <w:tcPr>
            <w:tcW w:w="1701" w:type="dxa"/>
            <w:vAlign w:val="center"/>
          </w:tcPr>
          <w:p w14:paraId="4268E3EE">
            <w:pPr>
              <w:spacing w:line="240" w:lineRule="auto"/>
              <w:ind w:firstLine="0" w:firstLineChars="0"/>
              <w:rPr>
                <w:sz w:val="21"/>
                <w:szCs w:val="21"/>
                <w:highlight w:val="none"/>
              </w:rPr>
            </w:pPr>
            <w:r>
              <w:rPr>
                <w:rFonts w:hint="eastAsia"/>
                <w:sz w:val="21"/>
                <w:szCs w:val="21"/>
                <w:highlight w:val="none"/>
              </w:rPr>
              <w:t>数据开发管理（新建二级功能模块）-数据质量管理-数据交换断点监测</w:t>
            </w:r>
          </w:p>
        </w:tc>
        <w:tc>
          <w:tcPr>
            <w:tcW w:w="4338" w:type="dxa"/>
            <w:vAlign w:val="center"/>
          </w:tcPr>
          <w:p w14:paraId="3BC87CA9">
            <w:pPr>
              <w:spacing w:line="240" w:lineRule="auto"/>
              <w:ind w:firstLine="0" w:firstLineChars="0"/>
              <w:rPr>
                <w:sz w:val="21"/>
                <w:szCs w:val="21"/>
                <w:highlight w:val="none"/>
              </w:rPr>
            </w:pPr>
            <w:r>
              <w:rPr>
                <w:rFonts w:hint="eastAsia"/>
                <w:sz w:val="21"/>
                <w:szCs w:val="21"/>
                <w:highlight w:val="none"/>
              </w:rPr>
              <w:t>通过程序监控与金保二期社保子系统、“数字社保”大厅治理子系统的数据交换情况，发现数据传输中断时自动预警，通知系统管理人员处理。</w:t>
            </w:r>
          </w:p>
        </w:tc>
      </w:tr>
      <w:tr w14:paraId="5695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vAlign w:val="center"/>
          </w:tcPr>
          <w:p w14:paraId="01DD1B3F">
            <w:pPr>
              <w:pStyle w:val="61"/>
              <w:numPr>
                <w:ilvl w:val="0"/>
                <w:numId w:val="3"/>
              </w:numPr>
              <w:spacing w:line="240" w:lineRule="auto"/>
              <w:ind w:firstLineChars="0"/>
              <w:jc w:val="center"/>
              <w:rPr>
                <w:szCs w:val="21"/>
                <w:highlight w:val="none"/>
              </w:rPr>
            </w:pPr>
          </w:p>
        </w:tc>
        <w:tc>
          <w:tcPr>
            <w:tcW w:w="1559" w:type="dxa"/>
            <w:vMerge w:val="continue"/>
            <w:vAlign w:val="center"/>
          </w:tcPr>
          <w:p w14:paraId="64766D58">
            <w:pPr>
              <w:spacing w:line="240" w:lineRule="auto"/>
              <w:ind w:firstLine="0" w:firstLineChars="0"/>
              <w:jc w:val="center"/>
              <w:rPr>
                <w:sz w:val="21"/>
                <w:szCs w:val="21"/>
                <w:highlight w:val="none"/>
              </w:rPr>
            </w:pPr>
          </w:p>
        </w:tc>
        <w:tc>
          <w:tcPr>
            <w:tcW w:w="1701" w:type="dxa"/>
            <w:vAlign w:val="center"/>
          </w:tcPr>
          <w:p w14:paraId="3AFF12EB">
            <w:pPr>
              <w:spacing w:line="240" w:lineRule="auto"/>
              <w:ind w:firstLine="0" w:firstLineChars="0"/>
              <w:rPr>
                <w:sz w:val="21"/>
                <w:szCs w:val="21"/>
                <w:highlight w:val="none"/>
              </w:rPr>
            </w:pPr>
            <w:r>
              <w:rPr>
                <w:rFonts w:hint="eastAsia"/>
                <w:sz w:val="21"/>
                <w:szCs w:val="21"/>
                <w:highlight w:val="none"/>
              </w:rPr>
              <w:t>数据开发管理（新建二级功能模块）-数据质量管理-数据交换量异常告警</w:t>
            </w:r>
          </w:p>
        </w:tc>
        <w:tc>
          <w:tcPr>
            <w:tcW w:w="4338" w:type="dxa"/>
            <w:vAlign w:val="center"/>
          </w:tcPr>
          <w:p w14:paraId="71200A1F">
            <w:pPr>
              <w:spacing w:line="240" w:lineRule="auto"/>
              <w:ind w:firstLine="0" w:firstLineChars="0"/>
              <w:rPr>
                <w:sz w:val="21"/>
                <w:szCs w:val="21"/>
                <w:highlight w:val="none"/>
              </w:rPr>
            </w:pPr>
            <w:r>
              <w:rPr>
                <w:rFonts w:hint="eastAsia"/>
                <w:sz w:val="21"/>
                <w:szCs w:val="21"/>
                <w:highlight w:val="none"/>
              </w:rPr>
              <w:t>通过程序监控与金保二期社保子系统、“数字社保”大厅治理子系统的数据交换情况，发现数据传输量异常大或异常小时，通知系统管理人员处理。</w:t>
            </w:r>
          </w:p>
        </w:tc>
      </w:tr>
      <w:tr w14:paraId="7BA8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D5E5F63">
            <w:pPr>
              <w:pStyle w:val="61"/>
              <w:numPr>
                <w:ilvl w:val="0"/>
                <w:numId w:val="3"/>
              </w:numPr>
              <w:spacing w:line="240" w:lineRule="auto"/>
              <w:ind w:firstLineChars="0"/>
              <w:jc w:val="center"/>
              <w:rPr>
                <w:szCs w:val="21"/>
                <w:highlight w:val="none"/>
              </w:rPr>
            </w:pPr>
          </w:p>
        </w:tc>
        <w:tc>
          <w:tcPr>
            <w:tcW w:w="1559" w:type="dxa"/>
            <w:vMerge w:val="continue"/>
            <w:vAlign w:val="center"/>
          </w:tcPr>
          <w:p w14:paraId="203A13A4">
            <w:pPr>
              <w:spacing w:line="240" w:lineRule="auto"/>
              <w:ind w:firstLine="0" w:firstLineChars="0"/>
              <w:jc w:val="center"/>
              <w:rPr>
                <w:sz w:val="21"/>
                <w:szCs w:val="21"/>
                <w:highlight w:val="none"/>
              </w:rPr>
            </w:pPr>
          </w:p>
        </w:tc>
        <w:tc>
          <w:tcPr>
            <w:tcW w:w="1701" w:type="dxa"/>
            <w:vAlign w:val="center"/>
          </w:tcPr>
          <w:p w14:paraId="35CE579B">
            <w:pPr>
              <w:spacing w:line="240" w:lineRule="auto"/>
              <w:ind w:firstLine="0" w:firstLineChars="0"/>
              <w:rPr>
                <w:sz w:val="21"/>
                <w:szCs w:val="21"/>
                <w:highlight w:val="none"/>
              </w:rPr>
            </w:pPr>
            <w:r>
              <w:rPr>
                <w:rFonts w:hint="eastAsia"/>
                <w:sz w:val="21"/>
                <w:szCs w:val="21"/>
                <w:highlight w:val="none"/>
              </w:rPr>
              <w:t>数据开发管理（新建二级功能模块）-数据安全管理</w:t>
            </w:r>
          </w:p>
        </w:tc>
        <w:tc>
          <w:tcPr>
            <w:tcW w:w="4338" w:type="dxa"/>
            <w:vAlign w:val="center"/>
          </w:tcPr>
          <w:p w14:paraId="38D22D8C">
            <w:pPr>
              <w:spacing w:line="240" w:lineRule="auto"/>
              <w:ind w:firstLine="0" w:firstLineChars="0"/>
              <w:rPr>
                <w:sz w:val="21"/>
                <w:szCs w:val="21"/>
                <w:highlight w:val="none"/>
              </w:rPr>
            </w:pPr>
            <w:r>
              <w:rPr>
                <w:rFonts w:hint="eastAsia"/>
                <w:sz w:val="21"/>
                <w:szCs w:val="21"/>
                <w:highlight w:val="none"/>
              </w:rPr>
              <w:t>提供系统内数据安全分类分级识别和打标功能。系统按照分类分级结果筛选出需要进行脱敏、加密等处理的字段，用户可为这些字段设置脱敏、加密策略。</w:t>
            </w:r>
          </w:p>
        </w:tc>
      </w:tr>
    </w:tbl>
    <w:p w14:paraId="3C02A54E">
      <w:pPr>
        <w:ind w:firstLine="0" w:firstLineChars="0"/>
        <w:rPr>
          <w:highlight w:val="none"/>
        </w:rPr>
      </w:pPr>
    </w:p>
    <w:p w14:paraId="26DC793C">
      <w:pPr>
        <w:pStyle w:val="4"/>
        <w:ind w:left="480" w:leftChars="200" w:right="240"/>
        <w:rPr>
          <w:rFonts w:ascii="仿宋" w:hAnsi="仿宋" w:eastAsia="仿宋"/>
          <w:highlight w:val="none"/>
        </w:rPr>
      </w:pPr>
      <w:r>
        <w:rPr>
          <w:rFonts w:hint="eastAsia" w:ascii="仿宋" w:hAnsi="仿宋" w:eastAsia="仿宋"/>
          <w:highlight w:val="none"/>
        </w:rPr>
        <w:t>数据服务需求</w:t>
      </w:r>
    </w:p>
    <w:p w14:paraId="3E295A21">
      <w:pPr>
        <w:rPr>
          <w:highlight w:val="none"/>
        </w:rPr>
      </w:pPr>
      <w:r>
        <w:rPr>
          <w:highlight w:val="none"/>
        </w:rPr>
        <w:t>投标人需紧密围绕本项目的应用场景与业务目标，结合社保运行监测、风险防控、统计分析与管理决策等实际需求，系统设计数据服务整体方案。方案应体现体系化思维、结构化设计能力与落地实施可行性，内容包括但不限于数据标签体系设计、指标体系设计、数据质量监控机制设计、移动端数据脱敏策略设计等，形成完整的数据治理与数据服务支撑框架。</w:t>
      </w:r>
    </w:p>
    <w:p w14:paraId="1D41F94C">
      <w:pPr>
        <w:ind w:firstLine="489"/>
        <w:rPr>
          <w:b/>
          <w:bCs/>
          <w:highlight w:val="none"/>
        </w:rPr>
      </w:pPr>
      <w:r>
        <w:rPr>
          <w:rFonts w:hint="eastAsia"/>
          <w:b/>
          <w:bCs/>
          <w:highlight w:val="none"/>
        </w:rPr>
        <w:t>（一）数据标签体系设计</w:t>
      </w:r>
    </w:p>
    <w:p w14:paraId="069826E0">
      <w:pPr>
        <w:rPr>
          <w:highlight w:val="none"/>
        </w:rPr>
      </w:pPr>
      <w:r>
        <w:rPr>
          <w:highlight w:val="none"/>
        </w:rPr>
        <w:t>以支持场景应用为核心目标，围绕社保运行监测、风险识别、政策执行分析、报表管理、数据治理等业务方向，设计结构清晰、逻辑严谨、可扩展的数据标签体系。</w:t>
      </w:r>
    </w:p>
    <w:p w14:paraId="657C6A42">
      <w:pPr>
        <w:rPr>
          <w:highlight w:val="none"/>
        </w:rPr>
      </w:pPr>
      <w:r>
        <w:rPr>
          <w:highlight w:val="none"/>
        </w:rPr>
        <w:t>投标人需说明：</w:t>
      </w:r>
      <w:r>
        <w:rPr>
          <w:rFonts w:hint="eastAsia"/>
          <w:highlight w:val="none"/>
        </w:rPr>
        <w:t>标签分类分层架构设计、标签与业务对象的适配关系、打标策略设计思路、标签生命周期管理机制、具体标签设计示例等。</w:t>
      </w:r>
    </w:p>
    <w:p w14:paraId="721B3293">
      <w:pPr>
        <w:ind w:firstLine="489"/>
        <w:rPr>
          <w:b/>
          <w:bCs/>
          <w:highlight w:val="none"/>
        </w:rPr>
      </w:pPr>
      <w:r>
        <w:rPr>
          <w:rFonts w:hint="eastAsia"/>
          <w:b/>
          <w:bCs/>
          <w:highlight w:val="none"/>
        </w:rPr>
        <w:t>（二）指标体系设计</w:t>
      </w:r>
    </w:p>
    <w:p w14:paraId="00653D44">
      <w:pPr>
        <w:rPr>
          <w:highlight w:val="none"/>
        </w:rPr>
      </w:pPr>
      <w:r>
        <w:rPr>
          <w:highlight w:val="none"/>
        </w:rPr>
        <w:t>以支撑高质量统计工作为目标，围绕社保运行主要业务域，构建结构完整、逻辑清晰、口径统一的指标体系。</w:t>
      </w:r>
    </w:p>
    <w:p w14:paraId="2AABB254">
      <w:pPr>
        <w:rPr>
          <w:highlight w:val="none"/>
        </w:rPr>
      </w:pPr>
      <w:r>
        <w:rPr>
          <w:highlight w:val="none"/>
        </w:rPr>
        <w:t>投标人需说明：</w:t>
      </w:r>
      <w:r>
        <w:rPr>
          <w:rFonts w:hint="eastAsia"/>
          <w:highlight w:val="none"/>
        </w:rPr>
        <w:t>指标体系分类分层架构设计、具体指标设计示例、指标扩展与版本管理机制等。</w:t>
      </w:r>
    </w:p>
    <w:p w14:paraId="26EF7842">
      <w:pPr>
        <w:ind w:firstLine="489"/>
        <w:rPr>
          <w:b/>
          <w:bCs/>
          <w:highlight w:val="none"/>
        </w:rPr>
      </w:pPr>
      <w:r>
        <w:rPr>
          <w:rFonts w:hint="eastAsia"/>
          <w:b/>
          <w:bCs/>
          <w:highlight w:val="none"/>
        </w:rPr>
        <w:t>（三）数据质量监控机制设计</w:t>
      </w:r>
    </w:p>
    <w:p w14:paraId="6E17ED26">
      <w:pPr>
        <w:rPr>
          <w:highlight w:val="none"/>
        </w:rPr>
      </w:pPr>
      <w:r>
        <w:rPr>
          <w:highlight w:val="none"/>
        </w:rPr>
        <w:t>以保障数据完整性、准确性、时效性、一致性和规范性为目标，设计适用于本项目的数据质量监控方案，构建覆盖数据采集、处理、存储、使用全过程的质量控制体系。</w:t>
      </w:r>
    </w:p>
    <w:p w14:paraId="46A0ECD6">
      <w:pPr>
        <w:rPr>
          <w:highlight w:val="none"/>
        </w:rPr>
      </w:pPr>
      <w:r>
        <w:rPr>
          <w:highlight w:val="none"/>
        </w:rPr>
        <w:t>投标人需说明：</w:t>
      </w:r>
      <w:r>
        <w:rPr>
          <w:rFonts w:hint="eastAsia"/>
          <w:highlight w:val="none"/>
        </w:rPr>
        <w:t>数据质量管理框架、数据质量监控维度与规则、数据质量自动化校验与</w:t>
      </w:r>
      <w:r>
        <w:rPr>
          <w:rFonts w:hint="eastAsia" w:ascii="Cambria" w:hAnsi="Cambria" w:cs="Cambria"/>
          <w:highlight w:val="none"/>
        </w:rPr>
        <w:t>异常识别机制、质量问题闭环整改机制。</w:t>
      </w:r>
    </w:p>
    <w:p w14:paraId="498D5286">
      <w:pPr>
        <w:ind w:firstLine="489"/>
        <w:rPr>
          <w:b/>
          <w:bCs/>
          <w:highlight w:val="none"/>
        </w:rPr>
      </w:pPr>
      <w:r>
        <w:rPr>
          <w:rFonts w:hint="eastAsia"/>
          <w:b/>
          <w:bCs/>
          <w:highlight w:val="none"/>
        </w:rPr>
        <w:t>（四）移动端数据脱敏策略设计</w:t>
      </w:r>
    </w:p>
    <w:p w14:paraId="08EB8B04">
      <w:pPr>
        <w:rPr>
          <w:highlight w:val="none"/>
        </w:rPr>
      </w:pPr>
      <w:r>
        <w:rPr>
          <w:highlight w:val="none"/>
        </w:rPr>
        <w:t>以保障数据安全为主要目标，在确保合规与安全可控前提下，兼顾移动端查询与展示的便捷性，设计移动端数据脱敏方案。</w:t>
      </w:r>
    </w:p>
    <w:p w14:paraId="64DED26A">
      <w:pPr>
        <w:rPr>
          <w:highlight w:val="none"/>
        </w:rPr>
      </w:pPr>
      <w:r>
        <w:rPr>
          <w:highlight w:val="none"/>
        </w:rPr>
        <w:t>投标人需说明：</w:t>
      </w:r>
      <w:r>
        <w:rPr>
          <w:rFonts w:hint="eastAsia"/>
          <w:highlight w:val="none"/>
        </w:rPr>
        <w:t>移动端数据安全控制总体策略、数据脱敏对象范围、数据脱敏方法、权限控制与访问审计机制等。</w:t>
      </w:r>
    </w:p>
    <w:p w14:paraId="09D74B09">
      <w:pPr>
        <w:pStyle w:val="4"/>
        <w:ind w:left="480" w:leftChars="200" w:right="240"/>
        <w:rPr>
          <w:rFonts w:ascii="仿宋" w:hAnsi="仿宋" w:eastAsia="仿宋"/>
          <w:highlight w:val="none"/>
        </w:rPr>
      </w:pPr>
      <w:r>
        <w:rPr>
          <w:rFonts w:hint="eastAsia" w:ascii="仿宋" w:hAnsi="仿宋" w:eastAsia="仿宋"/>
          <w:highlight w:val="none"/>
        </w:rPr>
        <w:t>与“数字社保”大厅治理子系统对接需求</w:t>
      </w:r>
    </w:p>
    <w:p w14:paraId="23665DBB">
      <w:pPr>
        <w:rPr>
          <w:highlight w:val="none"/>
        </w:rPr>
      </w:pPr>
      <w:r>
        <w:rPr>
          <w:rFonts w:hint="eastAsia"/>
          <w:highlight w:val="none"/>
        </w:rPr>
        <w:t>本项目需通过对接“</w:t>
      </w:r>
      <w:r>
        <w:rPr>
          <w:highlight w:val="none"/>
        </w:rPr>
        <w:t>数字社保”大厅治理</w:t>
      </w:r>
      <w:r>
        <w:rPr>
          <w:rFonts w:hint="eastAsia"/>
          <w:highlight w:val="none"/>
        </w:rPr>
        <w:t>子系统获取各分中心业务经办数据，数据的实时性、稳定性要求较高。投标人应提供相关对接承诺函，保证数据</w:t>
      </w:r>
      <w:r>
        <w:rPr>
          <w:highlight w:val="none"/>
        </w:rPr>
        <w:t>采集的高效、准确</w:t>
      </w:r>
      <w:r>
        <w:rPr>
          <w:rFonts w:hint="eastAsia"/>
          <w:highlight w:val="none"/>
        </w:rPr>
        <w:t>。</w:t>
      </w:r>
    </w:p>
    <w:p w14:paraId="2EBC025B">
      <w:pPr>
        <w:rPr>
          <w:highlight w:val="none"/>
        </w:rPr>
      </w:pPr>
      <w:r>
        <w:rPr>
          <w:rFonts w:hint="eastAsia"/>
          <w:highlight w:val="none"/>
        </w:rPr>
        <w:t>说明：</w:t>
      </w:r>
      <w:r>
        <w:rPr>
          <w:highlight w:val="none"/>
        </w:rPr>
        <w:t>“数字社保”大厅治理子系统</w:t>
      </w:r>
      <w:r>
        <w:rPr>
          <w:rFonts w:hint="eastAsia"/>
          <w:highlight w:val="none"/>
        </w:rPr>
        <w:t>是面向社保经办业务管理者建设的数据分析系统，通过打通排</w:t>
      </w:r>
      <w:r>
        <w:rPr>
          <w:highlight w:val="none"/>
        </w:rPr>
        <w:t>队叫号、业务经办与好差评等系统数据，形成覆盖预约、受理、审核、办结及评价全流程的数据链条</w:t>
      </w:r>
      <w:r>
        <w:rPr>
          <w:rFonts w:hint="eastAsia"/>
          <w:highlight w:val="none"/>
        </w:rPr>
        <w:t>。</w:t>
      </w:r>
    </w:p>
    <w:p w14:paraId="59987C58">
      <w:pPr>
        <w:pStyle w:val="4"/>
        <w:ind w:left="480" w:leftChars="200" w:right="240"/>
        <w:rPr>
          <w:rFonts w:ascii="仿宋" w:hAnsi="仿宋" w:eastAsia="仿宋"/>
          <w:highlight w:val="none"/>
        </w:rPr>
      </w:pPr>
      <w:bookmarkStart w:id="15" w:name="_Toc63785502"/>
      <w:r>
        <w:rPr>
          <w:rFonts w:hint="eastAsia" w:ascii="仿宋" w:hAnsi="仿宋" w:eastAsia="仿宋"/>
          <w:highlight w:val="none"/>
        </w:rPr>
        <w:t>工具产品</w:t>
      </w:r>
    </w:p>
    <w:p w14:paraId="09AEFCE0">
      <w:pPr>
        <w:rPr>
          <w:highlight w:val="none"/>
        </w:rPr>
      </w:pPr>
      <w:r>
        <w:rPr>
          <w:rFonts w:hint="eastAsia"/>
          <w:highlight w:val="none"/>
        </w:rPr>
        <w:t>投标人需提供与本项目需求高度适配、专业针对数据服务的工具产品，包括但不限于数据可视化分析工具，以更好地满足开发需求，支撑数据应用场景。数据可视化分析工具宜具备的功能包括但不限于：工作空间和项目管理、数据视图管理、可视化组件管理、数据面板管理等。</w:t>
      </w:r>
    </w:p>
    <w:p w14:paraId="3DA2924E">
      <w:pPr>
        <w:rPr>
          <w:highlight w:val="none"/>
        </w:rPr>
      </w:pPr>
      <w:r>
        <w:rPr>
          <w:rFonts w:hint="eastAsia"/>
          <w:highlight w:val="none"/>
        </w:rPr>
        <w:t>投标人所提供的工具产品应完全兼容本项目部署所依托的政务云环境及现有系统架构，能够在不影响现有系统稳定运行的前提下，实现平滑部署、对接与集成。</w:t>
      </w:r>
    </w:p>
    <w:p w14:paraId="6CD9D745">
      <w:pPr>
        <w:rPr>
          <w:highlight w:val="none"/>
        </w:rPr>
      </w:pPr>
      <w:r>
        <w:rPr>
          <w:rFonts w:hint="eastAsia"/>
          <w:highlight w:val="none"/>
        </w:rPr>
        <w:t>投标人</w:t>
      </w:r>
      <w:r>
        <w:rPr>
          <w:highlight w:val="none"/>
        </w:rPr>
        <w:t>所提供的工具产品应具备合法、完整的知识产权。投标人应确保相关产品在本项目实施及使用过程中不存在知识产权纠纷或侵权风险，并承担由此产生的全部法律责任</w:t>
      </w:r>
      <w:r>
        <w:rPr>
          <w:rFonts w:hint="eastAsia"/>
          <w:highlight w:val="none"/>
        </w:rPr>
        <w:t>。</w:t>
      </w:r>
    </w:p>
    <w:p w14:paraId="5ED45D9F">
      <w:pPr>
        <w:pStyle w:val="2"/>
        <w:numPr>
          <w:ilvl w:val="255"/>
          <w:numId w:val="0"/>
        </w:numPr>
        <w:rPr>
          <w:highlight w:val="none"/>
        </w:rPr>
      </w:pPr>
      <w:r>
        <w:rPr>
          <w:rFonts w:hint="eastAsia"/>
          <w:highlight w:val="none"/>
        </w:rPr>
        <w:t xml:space="preserve">    数据工具产品具备软件著作权证书的优先考虑。</w:t>
      </w:r>
    </w:p>
    <w:p w14:paraId="02B3A62D">
      <w:pPr>
        <w:pStyle w:val="4"/>
        <w:ind w:left="480" w:leftChars="200" w:right="240"/>
        <w:rPr>
          <w:rFonts w:ascii="仿宋" w:hAnsi="仿宋" w:eastAsia="仿宋"/>
          <w:highlight w:val="none"/>
        </w:rPr>
      </w:pPr>
      <w:r>
        <w:rPr>
          <w:rFonts w:hint="eastAsia" w:ascii="仿宋" w:hAnsi="仿宋" w:eastAsia="仿宋"/>
          <w:highlight w:val="none"/>
        </w:rPr>
        <w:t>运行环境</w:t>
      </w:r>
    </w:p>
    <w:p w14:paraId="0839782B">
      <w:pPr>
        <w:pStyle w:val="64"/>
        <w:ind w:firstLine="480"/>
        <w:rPr>
          <w:highlight w:val="none"/>
        </w:rPr>
      </w:pPr>
      <w:r>
        <w:rPr>
          <w:highlight w:val="none"/>
        </w:rPr>
        <w:t>项目部署于上海市电子政务云，</w:t>
      </w:r>
      <w:r>
        <w:rPr>
          <w:rFonts w:hint="eastAsia"/>
          <w:highlight w:val="none"/>
        </w:rPr>
        <w:t>能够在xc环境下运行。</w:t>
      </w:r>
    </w:p>
    <w:p w14:paraId="46641589">
      <w:pPr>
        <w:pStyle w:val="64"/>
        <w:ind w:firstLine="480"/>
        <w:rPr>
          <w:highlight w:val="none"/>
        </w:rPr>
      </w:pPr>
      <w:r>
        <w:rPr>
          <w:rFonts w:hint="eastAsia"/>
          <w:highlight w:val="none"/>
        </w:rPr>
        <w:t>除</w:t>
      </w:r>
      <w:r>
        <w:rPr>
          <w:highlight w:val="none"/>
        </w:rPr>
        <w:t>项目</w:t>
      </w:r>
      <w:r>
        <w:rPr>
          <w:rFonts w:hint="eastAsia"/>
          <w:highlight w:val="none"/>
        </w:rPr>
        <w:t>中特殊需求外，主</w:t>
      </w:r>
      <w:r>
        <w:rPr>
          <w:highlight w:val="none"/>
        </w:rPr>
        <w:t>要将采用国产数据库系统，</w:t>
      </w:r>
      <w:r>
        <w:rPr>
          <w:rFonts w:hint="eastAsia"/>
          <w:highlight w:val="none"/>
        </w:rPr>
        <w:t>如达梦7及以上版本数据库，也支持其他类型的数据库。</w:t>
      </w:r>
    </w:p>
    <w:p w14:paraId="7244747E">
      <w:pPr>
        <w:pStyle w:val="64"/>
        <w:ind w:firstLine="480"/>
        <w:rPr>
          <w:highlight w:val="none"/>
        </w:rPr>
      </w:pPr>
      <w:r>
        <w:rPr>
          <w:highlight w:val="none"/>
        </w:rPr>
        <w:t>项目应兼容各种版本的主流国产化浏览器。</w:t>
      </w:r>
    </w:p>
    <w:bookmarkEnd w:id="15"/>
    <w:p w14:paraId="05EA9123">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项目计算和存储资源充分利旧，见下表：</w:t>
      </w:r>
    </w:p>
    <w:tbl>
      <w:tblPr>
        <w:tblStyle w:val="35"/>
        <w:tblW w:w="5000" w:type="pct"/>
        <w:tblInd w:w="0" w:type="dxa"/>
        <w:tblLayout w:type="fixed"/>
        <w:tblCellMar>
          <w:top w:w="0" w:type="dxa"/>
          <w:left w:w="57" w:type="dxa"/>
          <w:bottom w:w="0" w:type="dxa"/>
          <w:right w:w="57" w:type="dxa"/>
        </w:tblCellMar>
      </w:tblPr>
      <w:tblGrid>
        <w:gridCol w:w="429"/>
        <w:gridCol w:w="1005"/>
        <w:gridCol w:w="1437"/>
        <w:gridCol w:w="1441"/>
        <w:gridCol w:w="1006"/>
        <w:gridCol w:w="1006"/>
        <w:gridCol w:w="1010"/>
        <w:gridCol w:w="1092"/>
      </w:tblGrid>
      <w:tr w14:paraId="014F2D91">
        <w:tblPrEx>
          <w:tblCellMar>
            <w:top w:w="0" w:type="dxa"/>
            <w:left w:w="57" w:type="dxa"/>
            <w:bottom w:w="0" w:type="dxa"/>
            <w:right w:w="57" w:type="dxa"/>
          </w:tblCellMar>
        </w:tblPrEx>
        <w:trPr>
          <w:trHeight w:val="480" w:hRule="atLeast"/>
          <w:tblHeader/>
        </w:trPr>
        <w:tc>
          <w:tcPr>
            <w:tcW w:w="255" w:type="pct"/>
            <w:tcBorders>
              <w:top w:val="single" w:color="000000" w:sz="4" w:space="0"/>
              <w:left w:val="single" w:color="000000" w:sz="4" w:space="0"/>
              <w:bottom w:val="single" w:color="000000" w:sz="4" w:space="0"/>
              <w:right w:val="single" w:color="000000" w:sz="4" w:space="0"/>
            </w:tcBorders>
            <w:vAlign w:val="center"/>
          </w:tcPr>
          <w:p w14:paraId="5B1B58C2">
            <w:pPr>
              <w:pStyle w:val="135"/>
              <w:jc w:val="center"/>
              <w:rPr>
                <w:rFonts w:ascii="宋体" w:hAnsi="宋体" w:eastAsia="宋体"/>
                <w:b/>
                <w:bCs/>
                <w:highlight w:val="none"/>
              </w:rPr>
            </w:pPr>
            <w:r>
              <w:rPr>
                <w:rFonts w:hint="eastAsia" w:ascii="宋体" w:hAnsi="宋体" w:eastAsia="宋体"/>
                <w:b/>
                <w:bCs/>
                <w:highlight w:val="none"/>
              </w:rPr>
              <w:t>序号</w:t>
            </w:r>
          </w:p>
        </w:tc>
        <w:tc>
          <w:tcPr>
            <w:tcW w:w="596" w:type="pct"/>
            <w:tcBorders>
              <w:top w:val="single" w:color="000000" w:sz="4" w:space="0"/>
              <w:left w:val="single" w:color="000000" w:sz="4" w:space="0"/>
              <w:bottom w:val="single" w:color="000000" w:sz="4" w:space="0"/>
              <w:right w:val="single" w:color="000000" w:sz="4" w:space="0"/>
            </w:tcBorders>
            <w:noWrap/>
            <w:vAlign w:val="center"/>
          </w:tcPr>
          <w:p w14:paraId="77D97786">
            <w:pPr>
              <w:pStyle w:val="135"/>
              <w:jc w:val="center"/>
              <w:rPr>
                <w:rFonts w:ascii="宋体" w:hAnsi="宋体" w:eastAsia="宋体"/>
                <w:b/>
                <w:bCs/>
                <w:highlight w:val="none"/>
              </w:rPr>
            </w:pPr>
            <w:r>
              <w:rPr>
                <w:rFonts w:hint="eastAsia" w:ascii="宋体" w:hAnsi="宋体" w:eastAsia="宋体"/>
                <w:b/>
                <w:bCs/>
                <w:highlight w:val="none"/>
              </w:rPr>
              <w:t>资源类型</w:t>
            </w:r>
          </w:p>
        </w:tc>
        <w:tc>
          <w:tcPr>
            <w:tcW w:w="853" w:type="pct"/>
            <w:tcBorders>
              <w:top w:val="single" w:color="000000" w:sz="4" w:space="0"/>
              <w:left w:val="single" w:color="000000" w:sz="4" w:space="0"/>
              <w:bottom w:val="single" w:color="000000" w:sz="4" w:space="0"/>
              <w:right w:val="single" w:color="000000" w:sz="4" w:space="0"/>
            </w:tcBorders>
            <w:noWrap/>
            <w:vAlign w:val="center"/>
          </w:tcPr>
          <w:p w14:paraId="45100ADE">
            <w:pPr>
              <w:pStyle w:val="135"/>
              <w:jc w:val="center"/>
              <w:rPr>
                <w:rFonts w:ascii="宋体" w:hAnsi="宋体" w:eastAsia="宋体"/>
                <w:b/>
                <w:bCs/>
                <w:highlight w:val="none"/>
              </w:rPr>
            </w:pPr>
            <w:r>
              <w:rPr>
                <w:rFonts w:hint="eastAsia" w:ascii="宋体" w:hAnsi="宋体" w:eastAsia="宋体"/>
                <w:b/>
                <w:bCs/>
                <w:highlight w:val="none"/>
              </w:rPr>
              <w:t>资源名称</w:t>
            </w:r>
          </w:p>
        </w:tc>
        <w:tc>
          <w:tcPr>
            <w:tcW w:w="855" w:type="pct"/>
            <w:tcBorders>
              <w:top w:val="single" w:color="000000" w:sz="4" w:space="0"/>
              <w:left w:val="single" w:color="000000" w:sz="4" w:space="0"/>
              <w:bottom w:val="single" w:color="000000" w:sz="4" w:space="0"/>
              <w:right w:val="single" w:color="000000" w:sz="4" w:space="0"/>
            </w:tcBorders>
            <w:noWrap/>
            <w:vAlign w:val="center"/>
          </w:tcPr>
          <w:p w14:paraId="292B8F02">
            <w:pPr>
              <w:pStyle w:val="135"/>
              <w:jc w:val="center"/>
              <w:rPr>
                <w:rFonts w:ascii="宋体" w:hAnsi="宋体" w:eastAsia="宋体"/>
                <w:b/>
                <w:bCs/>
                <w:highlight w:val="none"/>
              </w:rPr>
            </w:pPr>
            <w:r>
              <w:rPr>
                <w:rFonts w:hint="eastAsia" w:ascii="宋体" w:hAnsi="宋体" w:eastAsia="宋体"/>
                <w:b/>
                <w:bCs/>
                <w:highlight w:val="none"/>
              </w:rPr>
              <w:t>资源说明</w:t>
            </w:r>
          </w:p>
        </w:tc>
        <w:tc>
          <w:tcPr>
            <w:tcW w:w="597" w:type="pct"/>
            <w:tcBorders>
              <w:top w:val="single" w:color="000000" w:sz="4" w:space="0"/>
              <w:left w:val="single" w:color="000000" w:sz="4" w:space="0"/>
              <w:bottom w:val="single" w:color="000000" w:sz="4" w:space="0"/>
              <w:right w:val="single" w:color="000000" w:sz="4" w:space="0"/>
            </w:tcBorders>
            <w:vAlign w:val="center"/>
          </w:tcPr>
          <w:p w14:paraId="3A877E7B">
            <w:pPr>
              <w:pStyle w:val="135"/>
              <w:jc w:val="center"/>
              <w:rPr>
                <w:rFonts w:ascii="宋体" w:hAnsi="宋体" w:eastAsia="宋体"/>
                <w:b/>
                <w:bCs/>
                <w:highlight w:val="none"/>
              </w:rPr>
            </w:pPr>
            <w:r>
              <w:rPr>
                <w:rFonts w:hint="eastAsia" w:ascii="宋体" w:hAnsi="宋体" w:eastAsia="宋体"/>
                <w:b/>
                <w:bCs/>
                <w:highlight w:val="none"/>
              </w:rPr>
              <w:t>资源核心</w:t>
            </w:r>
          </w:p>
          <w:p w14:paraId="3CBD20D7">
            <w:pPr>
              <w:pStyle w:val="135"/>
              <w:jc w:val="center"/>
              <w:rPr>
                <w:rFonts w:ascii="宋体" w:hAnsi="宋体" w:eastAsia="宋体"/>
                <w:b/>
                <w:bCs/>
                <w:highlight w:val="none"/>
              </w:rPr>
            </w:pPr>
            <w:r>
              <w:rPr>
                <w:rFonts w:hint="eastAsia" w:ascii="宋体" w:hAnsi="宋体" w:eastAsia="宋体"/>
                <w:b/>
                <w:bCs/>
                <w:highlight w:val="none"/>
              </w:rPr>
              <w:t>（核）</w:t>
            </w:r>
          </w:p>
        </w:tc>
        <w:tc>
          <w:tcPr>
            <w:tcW w:w="597" w:type="pct"/>
            <w:tcBorders>
              <w:top w:val="single" w:color="000000" w:sz="4" w:space="0"/>
              <w:left w:val="single" w:color="000000" w:sz="4" w:space="0"/>
              <w:bottom w:val="single" w:color="000000" w:sz="4" w:space="0"/>
              <w:right w:val="single" w:color="000000" w:sz="4" w:space="0"/>
            </w:tcBorders>
            <w:noWrap/>
            <w:vAlign w:val="center"/>
          </w:tcPr>
          <w:p w14:paraId="4058BD64">
            <w:pPr>
              <w:pStyle w:val="135"/>
              <w:jc w:val="center"/>
              <w:rPr>
                <w:rFonts w:ascii="宋体" w:hAnsi="宋体" w:eastAsia="宋体"/>
                <w:b/>
                <w:bCs/>
                <w:highlight w:val="none"/>
              </w:rPr>
            </w:pPr>
            <w:r>
              <w:rPr>
                <w:rFonts w:hint="eastAsia" w:ascii="宋体" w:hAnsi="宋体" w:eastAsia="宋体"/>
                <w:b/>
                <w:bCs/>
                <w:highlight w:val="none"/>
              </w:rPr>
              <w:t>资源内存</w:t>
            </w:r>
          </w:p>
          <w:p w14:paraId="25DAFE7F">
            <w:pPr>
              <w:pStyle w:val="135"/>
              <w:jc w:val="center"/>
              <w:rPr>
                <w:rFonts w:ascii="宋体" w:hAnsi="宋体" w:eastAsia="宋体"/>
                <w:b/>
                <w:bCs/>
                <w:highlight w:val="none"/>
              </w:rPr>
            </w:pPr>
            <w:r>
              <w:rPr>
                <w:rFonts w:hint="eastAsia" w:ascii="宋体" w:hAnsi="宋体" w:eastAsia="宋体"/>
                <w:b/>
                <w:bCs/>
                <w:highlight w:val="none"/>
              </w:rPr>
              <w:t>（GB）</w:t>
            </w:r>
          </w:p>
        </w:tc>
        <w:tc>
          <w:tcPr>
            <w:tcW w:w="599" w:type="pct"/>
            <w:tcBorders>
              <w:top w:val="single" w:color="000000" w:sz="4" w:space="0"/>
              <w:left w:val="single" w:color="000000" w:sz="4" w:space="0"/>
              <w:bottom w:val="single" w:color="000000" w:sz="4" w:space="0"/>
              <w:right w:val="single" w:color="000000" w:sz="4" w:space="0"/>
            </w:tcBorders>
            <w:vAlign w:val="center"/>
          </w:tcPr>
          <w:p w14:paraId="4B35D2AC">
            <w:pPr>
              <w:pStyle w:val="135"/>
              <w:jc w:val="center"/>
              <w:rPr>
                <w:rFonts w:ascii="宋体" w:hAnsi="宋体" w:eastAsia="宋体"/>
                <w:b/>
                <w:bCs/>
                <w:highlight w:val="none"/>
              </w:rPr>
            </w:pPr>
            <w:r>
              <w:rPr>
                <w:rFonts w:hint="eastAsia" w:ascii="宋体" w:hAnsi="宋体" w:eastAsia="宋体"/>
                <w:b/>
                <w:bCs/>
                <w:highlight w:val="none"/>
              </w:rPr>
              <w:t>存储数量（GB）</w:t>
            </w:r>
          </w:p>
        </w:tc>
        <w:tc>
          <w:tcPr>
            <w:tcW w:w="648" w:type="pct"/>
            <w:tcBorders>
              <w:top w:val="single" w:color="000000" w:sz="4" w:space="0"/>
              <w:left w:val="single" w:color="000000" w:sz="4" w:space="0"/>
              <w:bottom w:val="single" w:color="000000" w:sz="4" w:space="0"/>
              <w:right w:val="single" w:color="000000" w:sz="4" w:space="0"/>
            </w:tcBorders>
            <w:noWrap/>
            <w:vAlign w:val="center"/>
          </w:tcPr>
          <w:p w14:paraId="717F36F3">
            <w:pPr>
              <w:pStyle w:val="135"/>
              <w:jc w:val="center"/>
              <w:rPr>
                <w:rFonts w:ascii="宋体" w:hAnsi="宋体" w:eastAsia="宋体"/>
                <w:b/>
                <w:bCs/>
                <w:highlight w:val="none"/>
              </w:rPr>
            </w:pPr>
            <w:r>
              <w:rPr>
                <w:rFonts w:hint="eastAsia" w:ascii="宋体" w:hAnsi="宋体" w:eastAsia="宋体"/>
                <w:b/>
                <w:bCs/>
                <w:highlight w:val="none"/>
              </w:rPr>
              <w:t>资源数量</w:t>
            </w:r>
          </w:p>
          <w:p w14:paraId="345E3C1B">
            <w:pPr>
              <w:pStyle w:val="135"/>
              <w:jc w:val="center"/>
              <w:rPr>
                <w:rFonts w:ascii="宋体" w:hAnsi="宋体" w:eastAsia="宋体"/>
                <w:b/>
                <w:bCs/>
                <w:highlight w:val="none"/>
              </w:rPr>
            </w:pPr>
            <w:r>
              <w:rPr>
                <w:rFonts w:hint="eastAsia" w:ascii="宋体" w:hAnsi="宋体" w:eastAsia="宋体"/>
                <w:b/>
                <w:bCs/>
                <w:highlight w:val="none"/>
              </w:rPr>
              <w:t>（台）</w:t>
            </w:r>
          </w:p>
        </w:tc>
      </w:tr>
      <w:tr w14:paraId="74A4A11D">
        <w:tblPrEx>
          <w:tblCellMar>
            <w:top w:w="0" w:type="dxa"/>
            <w:left w:w="57" w:type="dxa"/>
            <w:bottom w:w="0" w:type="dxa"/>
            <w:right w:w="57" w:type="dxa"/>
          </w:tblCellMar>
        </w:tblPrEx>
        <w:trPr>
          <w:trHeight w:val="555" w:hRule="atLeast"/>
        </w:trPr>
        <w:tc>
          <w:tcPr>
            <w:tcW w:w="255" w:type="pct"/>
            <w:tcBorders>
              <w:top w:val="single" w:color="000000" w:sz="4" w:space="0"/>
              <w:left w:val="single" w:color="000000" w:sz="4" w:space="0"/>
              <w:bottom w:val="single" w:color="000000" w:sz="4" w:space="0"/>
              <w:right w:val="single" w:color="000000" w:sz="4" w:space="0"/>
            </w:tcBorders>
            <w:vAlign w:val="center"/>
          </w:tcPr>
          <w:p w14:paraId="20FB7EF0">
            <w:pPr>
              <w:pStyle w:val="135"/>
              <w:numPr>
                <w:ilvl w:val="0"/>
                <w:numId w:val="4"/>
              </w:numPr>
              <w:rPr>
                <w:rFonts w:ascii="宋体" w:hAnsi="宋体" w:eastAsia="宋体"/>
                <w:highlight w:val="none"/>
              </w:rPr>
            </w:pPr>
          </w:p>
        </w:tc>
        <w:tc>
          <w:tcPr>
            <w:tcW w:w="596" w:type="pct"/>
            <w:tcBorders>
              <w:top w:val="single" w:color="000000" w:sz="4" w:space="0"/>
              <w:left w:val="single" w:color="000000" w:sz="4" w:space="0"/>
              <w:bottom w:val="single" w:color="000000" w:sz="4" w:space="0"/>
              <w:right w:val="single" w:color="000000" w:sz="4" w:space="0"/>
            </w:tcBorders>
            <w:vAlign w:val="center"/>
          </w:tcPr>
          <w:p w14:paraId="57E6EFE1">
            <w:pPr>
              <w:pStyle w:val="135"/>
              <w:jc w:val="center"/>
              <w:rPr>
                <w:rFonts w:ascii="宋体" w:hAnsi="宋体" w:eastAsia="宋体"/>
                <w:highlight w:val="none"/>
              </w:rPr>
            </w:pPr>
            <w:r>
              <w:rPr>
                <w:rFonts w:hint="eastAsia" w:ascii="宋体" w:hAnsi="宋体" w:eastAsia="宋体"/>
                <w:highlight w:val="none"/>
              </w:rPr>
              <w:t>虚拟机</w:t>
            </w:r>
          </w:p>
        </w:tc>
        <w:tc>
          <w:tcPr>
            <w:tcW w:w="853" w:type="pct"/>
            <w:tcBorders>
              <w:top w:val="single" w:color="000000" w:sz="4" w:space="0"/>
              <w:left w:val="single" w:color="000000" w:sz="4" w:space="0"/>
              <w:bottom w:val="single" w:color="000000" w:sz="4" w:space="0"/>
              <w:right w:val="single" w:color="000000" w:sz="4" w:space="0"/>
            </w:tcBorders>
            <w:vAlign w:val="center"/>
          </w:tcPr>
          <w:p w14:paraId="77F9B0CA">
            <w:pPr>
              <w:pStyle w:val="135"/>
              <w:jc w:val="center"/>
              <w:rPr>
                <w:rFonts w:ascii="宋体" w:hAnsi="宋体" w:eastAsia="宋体"/>
                <w:highlight w:val="none"/>
              </w:rPr>
            </w:pPr>
            <w:r>
              <w:rPr>
                <w:rFonts w:ascii="宋体" w:hAnsi="宋体" w:eastAsia="宋体"/>
                <w:highlight w:val="none"/>
              </w:rPr>
              <w:t>Web应用服务器</w:t>
            </w:r>
          </w:p>
        </w:tc>
        <w:tc>
          <w:tcPr>
            <w:tcW w:w="855" w:type="pct"/>
            <w:tcBorders>
              <w:top w:val="single" w:color="000000" w:sz="4" w:space="0"/>
              <w:left w:val="single" w:color="000000" w:sz="4" w:space="0"/>
              <w:bottom w:val="single" w:color="000000" w:sz="4" w:space="0"/>
              <w:right w:val="single" w:color="000000" w:sz="4" w:space="0"/>
            </w:tcBorders>
            <w:vAlign w:val="center"/>
          </w:tcPr>
          <w:p w14:paraId="5D7624AF">
            <w:pPr>
              <w:pStyle w:val="135"/>
              <w:jc w:val="center"/>
              <w:rPr>
                <w:rFonts w:ascii="宋体" w:hAnsi="宋体" w:eastAsia="宋体"/>
                <w:highlight w:val="none"/>
              </w:rPr>
            </w:pPr>
            <w:r>
              <w:rPr>
                <w:rFonts w:ascii="宋体" w:hAnsi="宋体" w:eastAsia="宋体"/>
                <w:highlight w:val="none"/>
              </w:rPr>
              <w:t>Web应用服务器</w:t>
            </w:r>
          </w:p>
        </w:tc>
        <w:tc>
          <w:tcPr>
            <w:tcW w:w="597" w:type="pct"/>
            <w:tcBorders>
              <w:top w:val="single" w:color="000000" w:sz="4" w:space="0"/>
              <w:left w:val="single" w:color="000000" w:sz="4" w:space="0"/>
              <w:bottom w:val="single" w:color="000000" w:sz="4" w:space="0"/>
              <w:right w:val="single" w:color="000000" w:sz="4" w:space="0"/>
            </w:tcBorders>
            <w:vAlign w:val="center"/>
          </w:tcPr>
          <w:p w14:paraId="7F127E5B">
            <w:pPr>
              <w:pStyle w:val="135"/>
              <w:jc w:val="center"/>
              <w:rPr>
                <w:rFonts w:ascii="宋体" w:hAnsi="宋体" w:eastAsia="宋体"/>
                <w:highlight w:val="none"/>
              </w:rPr>
            </w:pPr>
            <w:r>
              <w:rPr>
                <w:rFonts w:hint="eastAsia" w:ascii="宋体" w:hAnsi="宋体" w:eastAsia="宋体"/>
                <w:highlight w:val="none"/>
              </w:rPr>
              <w:t>4</w:t>
            </w:r>
          </w:p>
        </w:tc>
        <w:tc>
          <w:tcPr>
            <w:tcW w:w="597" w:type="pct"/>
            <w:tcBorders>
              <w:top w:val="single" w:color="000000" w:sz="4" w:space="0"/>
              <w:left w:val="single" w:color="000000" w:sz="4" w:space="0"/>
              <w:bottom w:val="single" w:color="000000" w:sz="4" w:space="0"/>
              <w:right w:val="single" w:color="000000" w:sz="4" w:space="0"/>
            </w:tcBorders>
            <w:vAlign w:val="center"/>
          </w:tcPr>
          <w:p w14:paraId="28AF0B7E">
            <w:pPr>
              <w:pStyle w:val="135"/>
              <w:jc w:val="center"/>
              <w:rPr>
                <w:rFonts w:ascii="宋体" w:hAnsi="宋体" w:eastAsia="宋体"/>
                <w:highlight w:val="none"/>
              </w:rPr>
            </w:pPr>
            <w:r>
              <w:rPr>
                <w:rFonts w:hint="eastAsia" w:ascii="宋体" w:hAnsi="宋体" w:eastAsia="宋体"/>
                <w:highlight w:val="none"/>
              </w:rPr>
              <w:t>16</w:t>
            </w:r>
          </w:p>
        </w:tc>
        <w:tc>
          <w:tcPr>
            <w:tcW w:w="599" w:type="pct"/>
            <w:tcBorders>
              <w:top w:val="single" w:color="000000" w:sz="4" w:space="0"/>
              <w:left w:val="single" w:color="000000" w:sz="4" w:space="0"/>
              <w:bottom w:val="single" w:color="000000" w:sz="4" w:space="0"/>
              <w:right w:val="single" w:color="000000" w:sz="4" w:space="0"/>
            </w:tcBorders>
            <w:vAlign w:val="center"/>
          </w:tcPr>
          <w:p w14:paraId="3D706543">
            <w:pPr>
              <w:pStyle w:val="135"/>
              <w:jc w:val="center"/>
              <w:rPr>
                <w:rFonts w:ascii="宋体" w:hAnsi="宋体" w:eastAsia="宋体"/>
                <w:highlight w:val="none"/>
              </w:rPr>
            </w:pPr>
            <w:r>
              <w:rPr>
                <w:rFonts w:hint="eastAsia" w:ascii="宋体" w:hAnsi="宋体" w:eastAsia="宋体"/>
                <w:highlight w:val="none"/>
              </w:rPr>
              <w:t>350</w:t>
            </w:r>
          </w:p>
        </w:tc>
        <w:tc>
          <w:tcPr>
            <w:tcW w:w="648" w:type="pct"/>
            <w:tcBorders>
              <w:top w:val="single" w:color="000000" w:sz="4" w:space="0"/>
              <w:left w:val="single" w:color="000000" w:sz="4" w:space="0"/>
              <w:bottom w:val="single" w:color="000000" w:sz="4" w:space="0"/>
              <w:right w:val="single" w:color="000000" w:sz="4" w:space="0"/>
            </w:tcBorders>
            <w:vAlign w:val="center"/>
          </w:tcPr>
          <w:p w14:paraId="119F3C45">
            <w:pPr>
              <w:pStyle w:val="135"/>
              <w:jc w:val="center"/>
              <w:rPr>
                <w:rFonts w:ascii="宋体" w:hAnsi="宋体" w:eastAsia="宋体"/>
                <w:highlight w:val="none"/>
              </w:rPr>
            </w:pPr>
            <w:r>
              <w:rPr>
                <w:rFonts w:hint="eastAsia" w:ascii="宋体" w:hAnsi="宋体" w:eastAsia="宋体"/>
                <w:highlight w:val="none"/>
              </w:rPr>
              <w:t>2</w:t>
            </w:r>
          </w:p>
        </w:tc>
      </w:tr>
      <w:tr w14:paraId="1165C8ED">
        <w:tblPrEx>
          <w:tblCellMar>
            <w:top w:w="0" w:type="dxa"/>
            <w:left w:w="57" w:type="dxa"/>
            <w:bottom w:w="0" w:type="dxa"/>
            <w:right w:w="57" w:type="dxa"/>
          </w:tblCellMar>
        </w:tblPrEx>
        <w:trPr>
          <w:trHeight w:val="555" w:hRule="atLeast"/>
        </w:trPr>
        <w:tc>
          <w:tcPr>
            <w:tcW w:w="255" w:type="pct"/>
            <w:tcBorders>
              <w:top w:val="single" w:color="000000" w:sz="4" w:space="0"/>
              <w:left w:val="single" w:color="000000" w:sz="4" w:space="0"/>
              <w:bottom w:val="single" w:color="000000" w:sz="4" w:space="0"/>
              <w:right w:val="single" w:color="000000" w:sz="4" w:space="0"/>
            </w:tcBorders>
            <w:vAlign w:val="center"/>
          </w:tcPr>
          <w:p w14:paraId="44A54322">
            <w:pPr>
              <w:pStyle w:val="135"/>
              <w:numPr>
                <w:ilvl w:val="0"/>
                <w:numId w:val="4"/>
              </w:numPr>
              <w:rPr>
                <w:rFonts w:ascii="宋体" w:hAnsi="宋体" w:eastAsia="宋体"/>
                <w:highlight w:val="none"/>
              </w:rPr>
            </w:pPr>
          </w:p>
        </w:tc>
        <w:tc>
          <w:tcPr>
            <w:tcW w:w="596" w:type="pct"/>
            <w:tcBorders>
              <w:top w:val="single" w:color="000000" w:sz="4" w:space="0"/>
              <w:left w:val="single" w:color="000000" w:sz="4" w:space="0"/>
              <w:bottom w:val="single" w:color="000000" w:sz="4" w:space="0"/>
              <w:right w:val="single" w:color="000000" w:sz="4" w:space="0"/>
            </w:tcBorders>
            <w:vAlign w:val="center"/>
          </w:tcPr>
          <w:p w14:paraId="13885253">
            <w:pPr>
              <w:pStyle w:val="135"/>
              <w:jc w:val="center"/>
              <w:rPr>
                <w:rFonts w:ascii="宋体" w:hAnsi="宋体" w:eastAsia="宋体"/>
                <w:highlight w:val="none"/>
              </w:rPr>
            </w:pPr>
            <w:r>
              <w:rPr>
                <w:rFonts w:hint="eastAsia" w:ascii="宋体" w:hAnsi="宋体" w:eastAsia="宋体"/>
                <w:highlight w:val="none"/>
              </w:rPr>
              <w:t>虚拟机</w:t>
            </w:r>
          </w:p>
        </w:tc>
        <w:tc>
          <w:tcPr>
            <w:tcW w:w="853" w:type="pct"/>
            <w:tcBorders>
              <w:top w:val="single" w:color="000000" w:sz="4" w:space="0"/>
              <w:left w:val="single" w:color="000000" w:sz="4" w:space="0"/>
              <w:bottom w:val="single" w:color="000000" w:sz="4" w:space="0"/>
              <w:right w:val="single" w:color="000000" w:sz="4" w:space="0"/>
            </w:tcBorders>
            <w:vAlign w:val="center"/>
          </w:tcPr>
          <w:p w14:paraId="7D66CD5C">
            <w:pPr>
              <w:pStyle w:val="135"/>
              <w:jc w:val="center"/>
              <w:rPr>
                <w:rFonts w:ascii="宋体" w:hAnsi="宋体" w:eastAsia="宋体"/>
                <w:highlight w:val="none"/>
              </w:rPr>
            </w:pPr>
            <w:r>
              <w:rPr>
                <w:rFonts w:ascii="宋体" w:hAnsi="宋体" w:eastAsia="宋体"/>
                <w:highlight w:val="none"/>
              </w:rPr>
              <w:t>关系型数据库服务器</w:t>
            </w:r>
          </w:p>
        </w:tc>
        <w:tc>
          <w:tcPr>
            <w:tcW w:w="855" w:type="pct"/>
            <w:tcBorders>
              <w:top w:val="single" w:color="000000" w:sz="4" w:space="0"/>
              <w:left w:val="single" w:color="000000" w:sz="4" w:space="0"/>
              <w:bottom w:val="single" w:color="000000" w:sz="4" w:space="0"/>
              <w:right w:val="single" w:color="000000" w:sz="4" w:space="0"/>
            </w:tcBorders>
            <w:vAlign w:val="center"/>
          </w:tcPr>
          <w:p w14:paraId="557B9A5B">
            <w:pPr>
              <w:pStyle w:val="135"/>
              <w:jc w:val="center"/>
              <w:rPr>
                <w:rFonts w:ascii="宋体" w:hAnsi="宋体" w:eastAsia="宋体"/>
                <w:highlight w:val="none"/>
              </w:rPr>
            </w:pPr>
            <w:r>
              <w:rPr>
                <w:rFonts w:ascii="宋体" w:hAnsi="宋体" w:eastAsia="宋体"/>
                <w:highlight w:val="none"/>
              </w:rPr>
              <w:t>关系型数据库服务器</w:t>
            </w:r>
          </w:p>
        </w:tc>
        <w:tc>
          <w:tcPr>
            <w:tcW w:w="597" w:type="pct"/>
            <w:tcBorders>
              <w:top w:val="single" w:color="000000" w:sz="4" w:space="0"/>
              <w:left w:val="single" w:color="000000" w:sz="4" w:space="0"/>
              <w:bottom w:val="single" w:color="000000" w:sz="4" w:space="0"/>
              <w:right w:val="single" w:color="000000" w:sz="4" w:space="0"/>
            </w:tcBorders>
            <w:vAlign w:val="center"/>
          </w:tcPr>
          <w:p w14:paraId="76C8D43A">
            <w:pPr>
              <w:pStyle w:val="135"/>
              <w:jc w:val="center"/>
              <w:rPr>
                <w:rFonts w:ascii="宋体" w:hAnsi="宋体" w:eastAsia="宋体"/>
                <w:highlight w:val="none"/>
              </w:rPr>
            </w:pPr>
            <w:r>
              <w:rPr>
                <w:rFonts w:hint="eastAsia" w:ascii="宋体" w:hAnsi="宋体" w:eastAsia="宋体"/>
                <w:highlight w:val="none"/>
              </w:rPr>
              <w:t>16</w:t>
            </w:r>
          </w:p>
        </w:tc>
        <w:tc>
          <w:tcPr>
            <w:tcW w:w="597" w:type="pct"/>
            <w:tcBorders>
              <w:top w:val="single" w:color="000000" w:sz="4" w:space="0"/>
              <w:left w:val="single" w:color="000000" w:sz="4" w:space="0"/>
              <w:bottom w:val="single" w:color="000000" w:sz="4" w:space="0"/>
              <w:right w:val="single" w:color="000000" w:sz="4" w:space="0"/>
            </w:tcBorders>
            <w:vAlign w:val="center"/>
          </w:tcPr>
          <w:p w14:paraId="0812FC5A">
            <w:pPr>
              <w:pStyle w:val="135"/>
              <w:jc w:val="center"/>
              <w:rPr>
                <w:rFonts w:ascii="宋体" w:hAnsi="宋体" w:eastAsia="宋体"/>
                <w:highlight w:val="none"/>
              </w:rPr>
            </w:pPr>
            <w:r>
              <w:rPr>
                <w:rFonts w:hint="eastAsia" w:ascii="宋体" w:hAnsi="宋体" w:eastAsia="宋体"/>
                <w:highlight w:val="none"/>
              </w:rPr>
              <w:t>64</w:t>
            </w:r>
          </w:p>
        </w:tc>
        <w:tc>
          <w:tcPr>
            <w:tcW w:w="599" w:type="pct"/>
            <w:tcBorders>
              <w:top w:val="single" w:color="000000" w:sz="4" w:space="0"/>
              <w:left w:val="single" w:color="000000" w:sz="4" w:space="0"/>
              <w:bottom w:val="single" w:color="000000" w:sz="4" w:space="0"/>
              <w:right w:val="single" w:color="000000" w:sz="4" w:space="0"/>
            </w:tcBorders>
            <w:vAlign w:val="center"/>
          </w:tcPr>
          <w:p w14:paraId="59567055">
            <w:pPr>
              <w:pStyle w:val="135"/>
              <w:jc w:val="center"/>
              <w:rPr>
                <w:rFonts w:ascii="宋体" w:hAnsi="宋体" w:eastAsia="宋体"/>
                <w:highlight w:val="none"/>
              </w:rPr>
            </w:pPr>
            <w:r>
              <w:rPr>
                <w:rFonts w:hint="eastAsia" w:ascii="宋体" w:hAnsi="宋体" w:eastAsia="宋体"/>
                <w:highlight w:val="none"/>
              </w:rPr>
              <w:t>2100</w:t>
            </w:r>
          </w:p>
        </w:tc>
        <w:tc>
          <w:tcPr>
            <w:tcW w:w="648" w:type="pct"/>
            <w:tcBorders>
              <w:top w:val="single" w:color="000000" w:sz="4" w:space="0"/>
              <w:left w:val="single" w:color="000000" w:sz="4" w:space="0"/>
              <w:bottom w:val="single" w:color="000000" w:sz="4" w:space="0"/>
              <w:right w:val="single" w:color="000000" w:sz="4" w:space="0"/>
            </w:tcBorders>
            <w:vAlign w:val="center"/>
          </w:tcPr>
          <w:p w14:paraId="1206BA6E">
            <w:pPr>
              <w:pStyle w:val="135"/>
              <w:jc w:val="center"/>
              <w:rPr>
                <w:rFonts w:ascii="宋体" w:hAnsi="宋体" w:eastAsia="宋体"/>
                <w:highlight w:val="none"/>
              </w:rPr>
            </w:pPr>
            <w:r>
              <w:rPr>
                <w:rFonts w:hint="eastAsia" w:ascii="宋体" w:hAnsi="宋体" w:eastAsia="宋体"/>
                <w:highlight w:val="none"/>
              </w:rPr>
              <w:t>3</w:t>
            </w:r>
          </w:p>
        </w:tc>
      </w:tr>
      <w:tr w14:paraId="096F7260">
        <w:tblPrEx>
          <w:tblCellMar>
            <w:top w:w="0" w:type="dxa"/>
            <w:left w:w="57" w:type="dxa"/>
            <w:bottom w:w="0" w:type="dxa"/>
            <w:right w:w="57" w:type="dxa"/>
          </w:tblCellMar>
        </w:tblPrEx>
        <w:trPr>
          <w:trHeight w:val="555" w:hRule="atLeast"/>
        </w:trPr>
        <w:tc>
          <w:tcPr>
            <w:tcW w:w="255" w:type="pct"/>
            <w:tcBorders>
              <w:top w:val="single" w:color="000000" w:sz="4" w:space="0"/>
              <w:left w:val="single" w:color="000000" w:sz="4" w:space="0"/>
              <w:bottom w:val="single" w:color="000000" w:sz="4" w:space="0"/>
              <w:right w:val="single" w:color="000000" w:sz="4" w:space="0"/>
            </w:tcBorders>
            <w:vAlign w:val="center"/>
          </w:tcPr>
          <w:p w14:paraId="657E5F06">
            <w:pPr>
              <w:pStyle w:val="135"/>
              <w:numPr>
                <w:ilvl w:val="0"/>
                <w:numId w:val="4"/>
              </w:numPr>
              <w:rPr>
                <w:rFonts w:ascii="宋体" w:hAnsi="宋体" w:eastAsia="宋体"/>
                <w:highlight w:val="none"/>
              </w:rPr>
            </w:pPr>
          </w:p>
        </w:tc>
        <w:tc>
          <w:tcPr>
            <w:tcW w:w="596" w:type="pct"/>
            <w:tcBorders>
              <w:top w:val="single" w:color="000000" w:sz="4" w:space="0"/>
              <w:left w:val="single" w:color="000000" w:sz="4" w:space="0"/>
              <w:bottom w:val="single" w:color="000000" w:sz="4" w:space="0"/>
              <w:right w:val="single" w:color="000000" w:sz="4" w:space="0"/>
            </w:tcBorders>
            <w:vAlign w:val="center"/>
          </w:tcPr>
          <w:p w14:paraId="0B0FDCB7">
            <w:pPr>
              <w:pStyle w:val="135"/>
              <w:jc w:val="center"/>
              <w:rPr>
                <w:rFonts w:ascii="宋体" w:hAnsi="宋体" w:eastAsia="宋体"/>
                <w:highlight w:val="none"/>
              </w:rPr>
            </w:pPr>
            <w:r>
              <w:rPr>
                <w:rFonts w:hint="eastAsia" w:ascii="宋体" w:hAnsi="宋体" w:eastAsia="宋体"/>
                <w:highlight w:val="none"/>
              </w:rPr>
              <w:t>虚拟机</w:t>
            </w:r>
          </w:p>
        </w:tc>
        <w:tc>
          <w:tcPr>
            <w:tcW w:w="853" w:type="pct"/>
            <w:tcBorders>
              <w:top w:val="single" w:color="000000" w:sz="4" w:space="0"/>
              <w:left w:val="single" w:color="000000" w:sz="4" w:space="0"/>
              <w:bottom w:val="single" w:color="000000" w:sz="4" w:space="0"/>
              <w:right w:val="single" w:color="000000" w:sz="4" w:space="0"/>
            </w:tcBorders>
            <w:vAlign w:val="center"/>
          </w:tcPr>
          <w:p w14:paraId="1238CB21">
            <w:pPr>
              <w:pStyle w:val="135"/>
              <w:jc w:val="center"/>
              <w:rPr>
                <w:rFonts w:ascii="宋体" w:hAnsi="宋体" w:eastAsia="宋体"/>
                <w:highlight w:val="none"/>
              </w:rPr>
            </w:pPr>
            <w:r>
              <w:rPr>
                <w:rFonts w:hint="eastAsia" w:ascii="宋体" w:hAnsi="宋体" w:eastAsia="宋体"/>
                <w:highlight w:val="none"/>
              </w:rPr>
              <w:t>中间件服务器</w:t>
            </w:r>
          </w:p>
        </w:tc>
        <w:tc>
          <w:tcPr>
            <w:tcW w:w="855" w:type="pct"/>
            <w:tcBorders>
              <w:top w:val="single" w:color="000000" w:sz="4" w:space="0"/>
              <w:left w:val="single" w:color="000000" w:sz="4" w:space="0"/>
              <w:bottom w:val="single" w:color="000000" w:sz="4" w:space="0"/>
              <w:right w:val="single" w:color="000000" w:sz="4" w:space="0"/>
            </w:tcBorders>
            <w:vAlign w:val="center"/>
          </w:tcPr>
          <w:p w14:paraId="439568BF">
            <w:pPr>
              <w:pStyle w:val="135"/>
              <w:jc w:val="center"/>
              <w:rPr>
                <w:rFonts w:ascii="宋体" w:hAnsi="宋体" w:eastAsia="宋体"/>
                <w:highlight w:val="none"/>
              </w:rPr>
            </w:pPr>
            <w:r>
              <w:rPr>
                <w:rFonts w:hint="eastAsia" w:ascii="宋体" w:hAnsi="宋体" w:eastAsia="宋体"/>
                <w:highlight w:val="none"/>
              </w:rPr>
              <w:t>中间件服务器</w:t>
            </w:r>
          </w:p>
        </w:tc>
        <w:tc>
          <w:tcPr>
            <w:tcW w:w="597" w:type="pct"/>
            <w:tcBorders>
              <w:top w:val="single" w:color="000000" w:sz="4" w:space="0"/>
              <w:left w:val="single" w:color="000000" w:sz="4" w:space="0"/>
              <w:bottom w:val="single" w:color="000000" w:sz="4" w:space="0"/>
              <w:right w:val="single" w:color="000000" w:sz="4" w:space="0"/>
            </w:tcBorders>
            <w:vAlign w:val="center"/>
          </w:tcPr>
          <w:p w14:paraId="580958E3">
            <w:pPr>
              <w:pStyle w:val="135"/>
              <w:jc w:val="center"/>
              <w:rPr>
                <w:rFonts w:ascii="宋体" w:hAnsi="宋体" w:eastAsia="宋体"/>
                <w:highlight w:val="none"/>
              </w:rPr>
            </w:pPr>
            <w:r>
              <w:rPr>
                <w:rFonts w:hint="eastAsia" w:ascii="宋体" w:hAnsi="宋体" w:eastAsia="宋体"/>
                <w:highlight w:val="none"/>
              </w:rPr>
              <w:t>16</w:t>
            </w:r>
          </w:p>
        </w:tc>
        <w:tc>
          <w:tcPr>
            <w:tcW w:w="597" w:type="pct"/>
            <w:tcBorders>
              <w:top w:val="single" w:color="000000" w:sz="4" w:space="0"/>
              <w:left w:val="single" w:color="000000" w:sz="4" w:space="0"/>
              <w:bottom w:val="single" w:color="000000" w:sz="4" w:space="0"/>
              <w:right w:val="single" w:color="000000" w:sz="4" w:space="0"/>
            </w:tcBorders>
            <w:vAlign w:val="center"/>
          </w:tcPr>
          <w:p w14:paraId="0551C48C">
            <w:pPr>
              <w:pStyle w:val="135"/>
              <w:jc w:val="center"/>
              <w:rPr>
                <w:rFonts w:ascii="宋体" w:hAnsi="宋体" w:eastAsia="宋体"/>
                <w:highlight w:val="none"/>
              </w:rPr>
            </w:pPr>
            <w:r>
              <w:rPr>
                <w:rFonts w:hint="eastAsia" w:ascii="宋体" w:hAnsi="宋体" w:eastAsia="宋体"/>
                <w:highlight w:val="none"/>
              </w:rPr>
              <w:t>64</w:t>
            </w:r>
          </w:p>
        </w:tc>
        <w:tc>
          <w:tcPr>
            <w:tcW w:w="599" w:type="pct"/>
            <w:tcBorders>
              <w:top w:val="single" w:color="000000" w:sz="4" w:space="0"/>
              <w:left w:val="single" w:color="000000" w:sz="4" w:space="0"/>
              <w:bottom w:val="single" w:color="000000" w:sz="4" w:space="0"/>
              <w:right w:val="single" w:color="000000" w:sz="4" w:space="0"/>
            </w:tcBorders>
            <w:vAlign w:val="center"/>
          </w:tcPr>
          <w:p w14:paraId="665B6F3C">
            <w:pPr>
              <w:pStyle w:val="135"/>
              <w:jc w:val="center"/>
              <w:rPr>
                <w:rFonts w:ascii="宋体" w:hAnsi="宋体" w:eastAsia="宋体"/>
                <w:highlight w:val="none"/>
              </w:rPr>
            </w:pPr>
            <w:r>
              <w:rPr>
                <w:rFonts w:hint="eastAsia" w:ascii="宋体" w:hAnsi="宋体" w:eastAsia="宋体"/>
                <w:highlight w:val="none"/>
              </w:rPr>
              <w:t>600</w:t>
            </w:r>
          </w:p>
        </w:tc>
        <w:tc>
          <w:tcPr>
            <w:tcW w:w="648" w:type="pct"/>
            <w:tcBorders>
              <w:top w:val="single" w:color="000000" w:sz="4" w:space="0"/>
              <w:left w:val="single" w:color="000000" w:sz="4" w:space="0"/>
              <w:bottom w:val="single" w:color="000000" w:sz="4" w:space="0"/>
              <w:right w:val="single" w:color="000000" w:sz="4" w:space="0"/>
            </w:tcBorders>
            <w:vAlign w:val="center"/>
          </w:tcPr>
          <w:p w14:paraId="4C578F20">
            <w:pPr>
              <w:pStyle w:val="135"/>
              <w:jc w:val="center"/>
              <w:rPr>
                <w:rFonts w:ascii="宋体" w:hAnsi="宋体" w:eastAsia="宋体"/>
                <w:highlight w:val="none"/>
              </w:rPr>
            </w:pPr>
            <w:r>
              <w:rPr>
                <w:rFonts w:hint="eastAsia" w:ascii="宋体" w:hAnsi="宋体" w:eastAsia="宋体"/>
                <w:highlight w:val="none"/>
              </w:rPr>
              <w:t>2</w:t>
            </w:r>
          </w:p>
        </w:tc>
      </w:tr>
      <w:tr w14:paraId="24B9FA01">
        <w:tblPrEx>
          <w:tblCellMar>
            <w:top w:w="0" w:type="dxa"/>
            <w:left w:w="57" w:type="dxa"/>
            <w:bottom w:w="0" w:type="dxa"/>
            <w:right w:w="57" w:type="dxa"/>
          </w:tblCellMar>
        </w:tblPrEx>
        <w:trPr>
          <w:trHeight w:val="555" w:hRule="atLeast"/>
        </w:trPr>
        <w:tc>
          <w:tcPr>
            <w:tcW w:w="255" w:type="pct"/>
            <w:tcBorders>
              <w:top w:val="single" w:color="000000" w:sz="4" w:space="0"/>
              <w:left w:val="single" w:color="000000" w:sz="4" w:space="0"/>
              <w:bottom w:val="single" w:color="000000" w:sz="4" w:space="0"/>
              <w:right w:val="single" w:color="000000" w:sz="4" w:space="0"/>
            </w:tcBorders>
            <w:vAlign w:val="center"/>
          </w:tcPr>
          <w:p w14:paraId="30C967CD">
            <w:pPr>
              <w:pStyle w:val="135"/>
              <w:numPr>
                <w:ilvl w:val="0"/>
                <w:numId w:val="4"/>
              </w:numPr>
              <w:rPr>
                <w:rFonts w:ascii="宋体" w:hAnsi="宋体" w:eastAsia="宋体"/>
                <w:highlight w:val="none"/>
              </w:rPr>
            </w:pPr>
          </w:p>
        </w:tc>
        <w:tc>
          <w:tcPr>
            <w:tcW w:w="596" w:type="pct"/>
            <w:tcBorders>
              <w:top w:val="single" w:color="000000" w:sz="4" w:space="0"/>
              <w:left w:val="single" w:color="000000" w:sz="4" w:space="0"/>
              <w:bottom w:val="single" w:color="000000" w:sz="4" w:space="0"/>
              <w:right w:val="single" w:color="000000" w:sz="4" w:space="0"/>
            </w:tcBorders>
            <w:vAlign w:val="center"/>
          </w:tcPr>
          <w:p w14:paraId="7B4F3DF4">
            <w:pPr>
              <w:pStyle w:val="135"/>
              <w:jc w:val="center"/>
              <w:rPr>
                <w:rFonts w:ascii="宋体" w:hAnsi="宋体" w:eastAsia="宋体"/>
                <w:highlight w:val="none"/>
              </w:rPr>
            </w:pPr>
            <w:r>
              <w:rPr>
                <w:rFonts w:hint="eastAsia" w:ascii="宋体" w:hAnsi="宋体" w:eastAsia="宋体"/>
                <w:highlight w:val="none"/>
              </w:rPr>
              <w:t>虚拟机</w:t>
            </w:r>
          </w:p>
        </w:tc>
        <w:tc>
          <w:tcPr>
            <w:tcW w:w="853" w:type="pct"/>
            <w:tcBorders>
              <w:top w:val="single" w:color="000000" w:sz="4" w:space="0"/>
              <w:left w:val="single" w:color="000000" w:sz="4" w:space="0"/>
              <w:bottom w:val="single" w:color="000000" w:sz="4" w:space="0"/>
              <w:right w:val="single" w:color="000000" w:sz="4" w:space="0"/>
            </w:tcBorders>
            <w:vAlign w:val="center"/>
          </w:tcPr>
          <w:p w14:paraId="46A8DFB9">
            <w:pPr>
              <w:pStyle w:val="135"/>
              <w:jc w:val="center"/>
              <w:rPr>
                <w:rFonts w:ascii="宋体" w:hAnsi="宋体" w:eastAsia="宋体"/>
                <w:highlight w:val="none"/>
              </w:rPr>
            </w:pPr>
            <w:r>
              <w:rPr>
                <w:rFonts w:hint="eastAsia" w:ascii="宋体" w:hAnsi="宋体" w:eastAsia="宋体"/>
                <w:highlight w:val="none"/>
              </w:rPr>
              <w:t>中间件服务器</w:t>
            </w:r>
          </w:p>
        </w:tc>
        <w:tc>
          <w:tcPr>
            <w:tcW w:w="855" w:type="pct"/>
            <w:tcBorders>
              <w:top w:val="single" w:color="000000" w:sz="4" w:space="0"/>
              <w:left w:val="single" w:color="000000" w:sz="4" w:space="0"/>
              <w:bottom w:val="single" w:color="000000" w:sz="4" w:space="0"/>
              <w:right w:val="single" w:color="000000" w:sz="4" w:space="0"/>
            </w:tcBorders>
            <w:vAlign w:val="center"/>
          </w:tcPr>
          <w:p w14:paraId="1D9F16D7">
            <w:pPr>
              <w:pStyle w:val="135"/>
              <w:jc w:val="center"/>
              <w:rPr>
                <w:rFonts w:ascii="宋体" w:hAnsi="宋体" w:eastAsia="宋体"/>
                <w:highlight w:val="none"/>
              </w:rPr>
            </w:pPr>
            <w:r>
              <w:rPr>
                <w:rFonts w:hint="eastAsia" w:ascii="宋体" w:hAnsi="宋体" w:eastAsia="宋体"/>
                <w:highlight w:val="none"/>
              </w:rPr>
              <w:t>中间件服务器</w:t>
            </w:r>
          </w:p>
        </w:tc>
        <w:tc>
          <w:tcPr>
            <w:tcW w:w="597" w:type="pct"/>
            <w:tcBorders>
              <w:top w:val="single" w:color="000000" w:sz="4" w:space="0"/>
              <w:left w:val="single" w:color="000000" w:sz="4" w:space="0"/>
              <w:bottom w:val="single" w:color="000000" w:sz="4" w:space="0"/>
              <w:right w:val="single" w:color="000000" w:sz="4" w:space="0"/>
            </w:tcBorders>
            <w:vAlign w:val="center"/>
          </w:tcPr>
          <w:p w14:paraId="0470D9CE">
            <w:pPr>
              <w:pStyle w:val="135"/>
              <w:jc w:val="center"/>
              <w:rPr>
                <w:rFonts w:ascii="宋体" w:hAnsi="宋体" w:eastAsia="宋体"/>
                <w:highlight w:val="none"/>
              </w:rPr>
            </w:pPr>
            <w:r>
              <w:rPr>
                <w:rFonts w:hint="eastAsia" w:ascii="宋体" w:hAnsi="宋体" w:eastAsia="宋体"/>
                <w:highlight w:val="none"/>
              </w:rPr>
              <w:t>4</w:t>
            </w:r>
          </w:p>
        </w:tc>
        <w:tc>
          <w:tcPr>
            <w:tcW w:w="597" w:type="pct"/>
            <w:tcBorders>
              <w:top w:val="single" w:color="000000" w:sz="4" w:space="0"/>
              <w:left w:val="single" w:color="000000" w:sz="4" w:space="0"/>
              <w:bottom w:val="single" w:color="000000" w:sz="4" w:space="0"/>
              <w:right w:val="single" w:color="000000" w:sz="4" w:space="0"/>
            </w:tcBorders>
            <w:vAlign w:val="center"/>
          </w:tcPr>
          <w:p w14:paraId="3F4F483F">
            <w:pPr>
              <w:pStyle w:val="135"/>
              <w:jc w:val="center"/>
              <w:rPr>
                <w:rFonts w:ascii="宋体" w:hAnsi="宋体" w:eastAsia="宋体"/>
                <w:highlight w:val="none"/>
              </w:rPr>
            </w:pPr>
            <w:r>
              <w:rPr>
                <w:rFonts w:hint="eastAsia" w:ascii="宋体" w:hAnsi="宋体" w:eastAsia="宋体"/>
                <w:highlight w:val="none"/>
              </w:rPr>
              <w:t>16</w:t>
            </w:r>
          </w:p>
        </w:tc>
        <w:tc>
          <w:tcPr>
            <w:tcW w:w="599" w:type="pct"/>
            <w:tcBorders>
              <w:top w:val="single" w:color="000000" w:sz="4" w:space="0"/>
              <w:left w:val="single" w:color="000000" w:sz="4" w:space="0"/>
              <w:bottom w:val="single" w:color="000000" w:sz="4" w:space="0"/>
              <w:right w:val="single" w:color="000000" w:sz="4" w:space="0"/>
            </w:tcBorders>
            <w:vAlign w:val="center"/>
          </w:tcPr>
          <w:p w14:paraId="4DE4CE3B">
            <w:pPr>
              <w:pStyle w:val="135"/>
              <w:jc w:val="center"/>
              <w:rPr>
                <w:rFonts w:ascii="宋体" w:hAnsi="宋体" w:eastAsia="宋体"/>
                <w:highlight w:val="none"/>
              </w:rPr>
            </w:pPr>
            <w:r>
              <w:rPr>
                <w:rFonts w:hint="eastAsia" w:ascii="宋体" w:hAnsi="宋体" w:eastAsia="宋体"/>
                <w:highlight w:val="none"/>
              </w:rPr>
              <w:t>600</w:t>
            </w:r>
          </w:p>
        </w:tc>
        <w:tc>
          <w:tcPr>
            <w:tcW w:w="648" w:type="pct"/>
            <w:tcBorders>
              <w:top w:val="single" w:color="000000" w:sz="4" w:space="0"/>
              <w:left w:val="single" w:color="000000" w:sz="4" w:space="0"/>
              <w:bottom w:val="single" w:color="000000" w:sz="4" w:space="0"/>
              <w:right w:val="single" w:color="000000" w:sz="4" w:space="0"/>
            </w:tcBorders>
            <w:vAlign w:val="center"/>
          </w:tcPr>
          <w:p w14:paraId="6EE63E2E">
            <w:pPr>
              <w:pStyle w:val="135"/>
              <w:jc w:val="center"/>
              <w:rPr>
                <w:rFonts w:ascii="宋体" w:hAnsi="宋体" w:eastAsia="宋体"/>
                <w:highlight w:val="none"/>
              </w:rPr>
            </w:pPr>
            <w:r>
              <w:rPr>
                <w:rFonts w:hint="eastAsia" w:ascii="宋体" w:hAnsi="宋体" w:eastAsia="宋体"/>
                <w:highlight w:val="none"/>
              </w:rPr>
              <w:t>1</w:t>
            </w:r>
          </w:p>
        </w:tc>
      </w:tr>
      <w:tr w14:paraId="472BA0E4">
        <w:tblPrEx>
          <w:tblCellMar>
            <w:top w:w="0" w:type="dxa"/>
            <w:left w:w="57" w:type="dxa"/>
            <w:bottom w:w="0" w:type="dxa"/>
            <w:right w:w="57" w:type="dxa"/>
          </w:tblCellMar>
        </w:tblPrEx>
        <w:trPr>
          <w:trHeight w:val="555" w:hRule="atLeast"/>
        </w:trPr>
        <w:tc>
          <w:tcPr>
            <w:tcW w:w="255" w:type="pct"/>
            <w:tcBorders>
              <w:top w:val="single" w:color="000000" w:sz="4" w:space="0"/>
              <w:left w:val="single" w:color="000000" w:sz="4" w:space="0"/>
              <w:bottom w:val="single" w:color="000000" w:sz="4" w:space="0"/>
              <w:right w:val="single" w:color="000000" w:sz="4" w:space="0"/>
            </w:tcBorders>
            <w:vAlign w:val="center"/>
          </w:tcPr>
          <w:p w14:paraId="19C84C06">
            <w:pPr>
              <w:pStyle w:val="135"/>
              <w:numPr>
                <w:ilvl w:val="0"/>
                <w:numId w:val="4"/>
              </w:numPr>
              <w:rPr>
                <w:rFonts w:ascii="宋体" w:hAnsi="宋体" w:eastAsia="宋体"/>
                <w:highlight w:val="none"/>
              </w:rPr>
            </w:pPr>
          </w:p>
        </w:tc>
        <w:tc>
          <w:tcPr>
            <w:tcW w:w="596" w:type="pct"/>
            <w:tcBorders>
              <w:top w:val="single" w:color="000000" w:sz="4" w:space="0"/>
              <w:left w:val="single" w:color="000000" w:sz="4" w:space="0"/>
              <w:bottom w:val="single" w:color="000000" w:sz="4" w:space="0"/>
              <w:right w:val="single" w:color="000000" w:sz="4" w:space="0"/>
            </w:tcBorders>
            <w:vAlign w:val="center"/>
          </w:tcPr>
          <w:p w14:paraId="7BB0D606">
            <w:pPr>
              <w:pStyle w:val="135"/>
              <w:jc w:val="center"/>
              <w:rPr>
                <w:rFonts w:ascii="宋体" w:hAnsi="宋体" w:eastAsia="宋体"/>
                <w:highlight w:val="none"/>
              </w:rPr>
            </w:pPr>
            <w:r>
              <w:rPr>
                <w:rFonts w:hint="eastAsia" w:ascii="宋体" w:hAnsi="宋体" w:eastAsia="宋体"/>
                <w:highlight w:val="none"/>
              </w:rPr>
              <w:t>虚拟机</w:t>
            </w:r>
          </w:p>
        </w:tc>
        <w:tc>
          <w:tcPr>
            <w:tcW w:w="853" w:type="pct"/>
            <w:tcBorders>
              <w:top w:val="single" w:color="000000" w:sz="4" w:space="0"/>
              <w:left w:val="single" w:color="000000" w:sz="4" w:space="0"/>
              <w:bottom w:val="single" w:color="000000" w:sz="4" w:space="0"/>
              <w:right w:val="single" w:color="000000" w:sz="4" w:space="0"/>
            </w:tcBorders>
            <w:vAlign w:val="center"/>
          </w:tcPr>
          <w:p w14:paraId="2200E6E5">
            <w:pPr>
              <w:pStyle w:val="135"/>
              <w:jc w:val="center"/>
              <w:rPr>
                <w:rFonts w:ascii="宋体" w:hAnsi="宋体" w:eastAsia="宋体"/>
                <w:highlight w:val="none"/>
              </w:rPr>
            </w:pPr>
            <w:r>
              <w:rPr>
                <w:rFonts w:hint="eastAsia" w:ascii="宋体" w:hAnsi="宋体" w:eastAsia="宋体"/>
                <w:highlight w:val="none"/>
              </w:rPr>
              <w:t>中间件服务器</w:t>
            </w:r>
          </w:p>
        </w:tc>
        <w:tc>
          <w:tcPr>
            <w:tcW w:w="855" w:type="pct"/>
            <w:tcBorders>
              <w:top w:val="single" w:color="000000" w:sz="4" w:space="0"/>
              <w:left w:val="single" w:color="000000" w:sz="4" w:space="0"/>
              <w:bottom w:val="single" w:color="000000" w:sz="4" w:space="0"/>
              <w:right w:val="single" w:color="000000" w:sz="4" w:space="0"/>
            </w:tcBorders>
            <w:vAlign w:val="center"/>
          </w:tcPr>
          <w:p w14:paraId="58709654">
            <w:pPr>
              <w:pStyle w:val="135"/>
              <w:jc w:val="center"/>
              <w:rPr>
                <w:rFonts w:ascii="宋体" w:hAnsi="宋体" w:eastAsia="宋体"/>
                <w:highlight w:val="none"/>
              </w:rPr>
            </w:pPr>
            <w:r>
              <w:rPr>
                <w:rFonts w:hint="eastAsia" w:ascii="宋体" w:hAnsi="宋体" w:eastAsia="宋体"/>
                <w:highlight w:val="none"/>
              </w:rPr>
              <w:t>中间件服务器</w:t>
            </w:r>
          </w:p>
        </w:tc>
        <w:tc>
          <w:tcPr>
            <w:tcW w:w="597" w:type="pct"/>
            <w:tcBorders>
              <w:top w:val="single" w:color="000000" w:sz="4" w:space="0"/>
              <w:left w:val="single" w:color="000000" w:sz="4" w:space="0"/>
              <w:bottom w:val="single" w:color="000000" w:sz="4" w:space="0"/>
              <w:right w:val="single" w:color="000000" w:sz="4" w:space="0"/>
            </w:tcBorders>
            <w:vAlign w:val="center"/>
          </w:tcPr>
          <w:p w14:paraId="4FE4955A">
            <w:pPr>
              <w:pStyle w:val="135"/>
              <w:jc w:val="center"/>
              <w:rPr>
                <w:rFonts w:ascii="宋体" w:hAnsi="宋体" w:eastAsia="宋体"/>
                <w:highlight w:val="none"/>
              </w:rPr>
            </w:pPr>
            <w:r>
              <w:rPr>
                <w:rFonts w:hint="eastAsia" w:ascii="宋体" w:hAnsi="宋体" w:eastAsia="宋体"/>
                <w:highlight w:val="none"/>
              </w:rPr>
              <w:t>4</w:t>
            </w:r>
          </w:p>
        </w:tc>
        <w:tc>
          <w:tcPr>
            <w:tcW w:w="597" w:type="pct"/>
            <w:tcBorders>
              <w:top w:val="single" w:color="000000" w:sz="4" w:space="0"/>
              <w:left w:val="single" w:color="000000" w:sz="4" w:space="0"/>
              <w:bottom w:val="single" w:color="000000" w:sz="4" w:space="0"/>
              <w:right w:val="single" w:color="000000" w:sz="4" w:space="0"/>
            </w:tcBorders>
            <w:vAlign w:val="center"/>
          </w:tcPr>
          <w:p w14:paraId="7FC21BC1">
            <w:pPr>
              <w:pStyle w:val="135"/>
              <w:jc w:val="center"/>
              <w:rPr>
                <w:rFonts w:ascii="宋体" w:hAnsi="宋体" w:eastAsia="宋体"/>
                <w:highlight w:val="none"/>
              </w:rPr>
            </w:pPr>
            <w:r>
              <w:rPr>
                <w:rFonts w:hint="eastAsia" w:ascii="宋体" w:hAnsi="宋体" w:eastAsia="宋体"/>
                <w:highlight w:val="none"/>
              </w:rPr>
              <w:t>16</w:t>
            </w:r>
          </w:p>
        </w:tc>
        <w:tc>
          <w:tcPr>
            <w:tcW w:w="599" w:type="pct"/>
            <w:tcBorders>
              <w:top w:val="single" w:color="000000" w:sz="4" w:space="0"/>
              <w:left w:val="single" w:color="000000" w:sz="4" w:space="0"/>
              <w:bottom w:val="single" w:color="000000" w:sz="4" w:space="0"/>
              <w:right w:val="single" w:color="000000" w:sz="4" w:space="0"/>
            </w:tcBorders>
            <w:vAlign w:val="center"/>
          </w:tcPr>
          <w:p w14:paraId="6A0AE44D">
            <w:pPr>
              <w:pStyle w:val="135"/>
              <w:jc w:val="center"/>
              <w:rPr>
                <w:rFonts w:ascii="宋体" w:hAnsi="宋体" w:eastAsia="宋体"/>
                <w:highlight w:val="none"/>
              </w:rPr>
            </w:pPr>
            <w:r>
              <w:rPr>
                <w:rFonts w:hint="eastAsia" w:ascii="宋体" w:hAnsi="宋体" w:eastAsia="宋体"/>
                <w:highlight w:val="none"/>
              </w:rPr>
              <w:t>350</w:t>
            </w:r>
          </w:p>
        </w:tc>
        <w:tc>
          <w:tcPr>
            <w:tcW w:w="648" w:type="pct"/>
            <w:tcBorders>
              <w:top w:val="single" w:color="000000" w:sz="4" w:space="0"/>
              <w:left w:val="single" w:color="000000" w:sz="4" w:space="0"/>
              <w:bottom w:val="single" w:color="000000" w:sz="4" w:space="0"/>
              <w:right w:val="single" w:color="000000" w:sz="4" w:space="0"/>
            </w:tcBorders>
            <w:vAlign w:val="center"/>
          </w:tcPr>
          <w:p w14:paraId="58B63187">
            <w:pPr>
              <w:pStyle w:val="135"/>
              <w:jc w:val="center"/>
              <w:rPr>
                <w:rFonts w:ascii="宋体" w:hAnsi="宋体" w:eastAsia="宋体"/>
                <w:highlight w:val="none"/>
              </w:rPr>
            </w:pPr>
            <w:r>
              <w:rPr>
                <w:rFonts w:hint="eastAsia" w:ascii="宋体" w:hAnsi="宋体" w:eastAsia="宋体"/>
                <w:highlight w:val="none"/>
              </w:rPr>
              <w:t>2</w:t>
            </w:r>
          </w:p>
        </w:tc>
      </w:tr>
    </w:tbl>
    <w:p w14:paraId="2BFEF6ED">
      <w:pPr>
        <w:pStyle w:val="4"/>
        <w:ind w:left="480" w:leftChars="200" w:right="240"/>
        <w:rPr>
          <w:rFonts w:ascii="仿宋" w:hAnsi="仿宋" w:eastAsia="仿宋"/>
          <w:highlight w:val="none"/>
        </w:rPr>
      </w:pPr>
      <w:r>
        <w:rPr>
          <w:rFonts w:hint="eastAsia" w:ascii="仿宋" w:hAnsi="仿宋" w:eastAsia="仿宋"/>
          <w:highlight w:val="none"/>
        </w:rPr>
        <w:t>性能要求</w:t>
      </w:r>
    </w:p>
    <w:p w14:paraId="23C1C983">
      <w:pPr>
        <w:rPr>
          <w:rFonts w:eastAsia="仿宋"/>
          <w:highlight w:val="none"/>
        </w:rPr>
      </w:pPr>
      <w:r>
        <w:rPr>
          <w:rFonts w:hint="eastAsia" w:ascii="仿宋" w:hAnsi="仿宋" w:eastAsia="仿宋"/>
          <w:highlight w:val="none"/>
        </w:rPr>
        <w:t>通用指标：</w:t>
      </w:r>
    </w:p>
    <w:tbl>
      <w:tblPr>
        <w:tblStyle w:val="35"/>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28" w:type="dxa"/>
        </w:tblCellMar>
      </w:tblPr>
      <w:tblGrid>
        <w:gridCol w:w="596"/>
        <w:gridCol w:w="994"/>
        <w:gridCol w:w="992"/>
        <w:gridCol w:w="1133"/>
        <w:gridCol w:w="2843"/>
        <w:gridCol w:w="1796"/>
        <w:gridCol w:w="14"/>
      </w:tblGrid>
      <w:tr w14:paraId="07EB54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88" w:hRule="atLeast"/>
          <w:jc w:val="center"/>
        </w:trPr>
        <w:tc>
          <w:tcPr>
            <w:tcW w:w="950" w:type="pct"/>
            <w:gridSpan w:val="2"/>
          </w:tcPr>
          <w:p w14:paraId="2E87B123">
            <w:pPr>
              <w:pStyle w:val="137"/>
              <w:jc w:val="center"/>
              <w:rPr>
                <w:highlight w:val="none"/>
              </w:rPr>
            </w:pPr>
            <w:r>
              <w:rPr>
                <w:rFonts w:hint="eastAsia"/>
                <w:highlight w:val="none"/>
              </w:rPr>
              <w:t>业务指标</w:t>
            </w:r>
          </w:p>
        </w:tc>
        <w:tc>
          <w:tcPr>
            <w:tcW w:w="4050" w:type="pct"/>
            <w:gridSpan w:val="5"/>
          </w:tcPr>
          <w:p w14:paraId="1AA12179">
            <w:pPr>
              <w:pStyle w:val="137"/>
              <w:widowControl w:val="0"/>
              <w:jc w:val="center"/>
              <w:rPr>
                <w:highlight w:val="none"/>
              </w:rPr>
            </w:pPr>
            <w:r>
              <w:rPr>
                <w:rFonts w:hint="eastAsia"/>
                <w:highlight w:val="none"/>
              </w:rPr>
              <w:t>具体指标</w:t>
            </w:r>
          </w:p>
        </w:tc>
      </w:tr>
      <w:tr w14:paraId="1E314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tcPr>
          <w:p w14:paraId="6C84A6BA">
            <w:pPr>
              <w:pStyle w:val="137"/>
              <w:widowControl w:val="0"/>
              <w:jc w:val="center"/>
              <w:rPr>
                <w:highlight w:val="none"/>
              </w:rPr>
            </w:pPr>
            <w:r>
              <w:rPr>
                <w:rFonts w:hint="eastAsia"/>
                <w:highlight w:val="none"/>
              </w:rPr>
              <w:t>序号</w:t>
            </w:r>
          </w:p>
        </w:tc>
        <w:tc>
          <w:tcPr>
            <w:tcW w:w="594" w:type="pct"/>
          </w:tcPr>
          <w:p w14:paraId="1A00BA03">
            <w:pPr>
              <w:pStyle w:val="137"/>
              <w:widowControl w:val="0"/>
              <w:jc w:val="center"/>
              <w:rPr>
                <w:highlight w:val="none"/>
              </w:rPr>
            </w:pPr>
            <w:r>
              <w:rPr>
                <w:rFonts w:hint="eastAsia"/>
                <w:highlight w:val="none"/>
              </w:rPr>
              <w:t>一级指标</w:t>
            </w:r>
          </w:p>
        </w:tc>
        <w:tc>
          <w:tcPr>
            <w:tcW w:w="593" w:type="pct"/>
          </w:tcPr>
          <w:p w14:paraId="1AC4FCDE">
            <w:pPr>
              <w:pStyle w:val="137"/>
              <w:widowControl w:val="0"/>
              <w:jc w:val="center"/>
              <w:rPr>
                <w:highlight w:val="none"/>
              </w:rPr>
            </w:pPr>
            <w:r>
              <w:rPr>
                <w:rFonts w:hint="eastAsia"/>
                <w:highlight w:val="none"/>
              </w:rPr>
              <w:t>二级指标</w:t>
            </w:r>
          </w:p>
        </w:tc>
        <w:tc>
          <w:tcPr>
            <w:tcW w:w="677" w:type="pct"/>
          </w:tcPr>
          <w:p w14:paraId="75CFE9E5">
            <w:pPr>
              <w:pStyle w:val="137"/>
              <w:widowControl w:val="0"/>
              <w:jc w:val="center"/>
              <w:rPr>
                <w:highlight w:val="none"/>
              </w:rPr>
            </w:pPr>
            <w:r>
              <w:rPr>
                <w:rFonts w:hint="eastAsia"/>
                <w:highlight w:val="none"/>
              </w:rPr>
              <w:t>三级指标</w:t>
            </w:r>
          </w:p>
        </w:tc>
        <w:tc>
          <w:tcPr>
            <w:tcW w:w="1699" w:type="pct"/>
          </w:tcPr>
          <w:p w14:paraId="479EA641">
            <w:pPr>
              <w:pStyle w:val="137"/>
              <w:widowControl w:val="0"/>
              <w:jc w:val="center"/>
              <w:rPr>
                <w:highlight w:val="none"/>
              </w:rPr>
            </w:pPr>
            <w:r>
              <w:rPr>
                <w:rFonts w:hint="eastAsia"/>
                <w:highlight w:val="none"/>
              </w:rPr>
              <w:t>四级指标</w:t>
            </w:r>
          </w:p>
        </w:tc>
        <w:tc>
          <w:tcPr>
            <w:tcW w:w="1073" w:type="pct"/>
          </w:tcPr>
          <w:p w14:paraId="73B714BA">
            <w:pPr>
              <w:pStyle w:val="137"/>
              <w:widowControl w:val="0"/>
              <w:jc w:val="center"/>
              <w:rPr>
                <w:highlight w:val="none"/>
              </w:rPr>
            </w:pPr>
            <w:r>
              <w:rPr>
                <w:rFonts w:hint="eastAsia"/>
                <w:highlight w:val="none"/>
              </w:rPr>
              <w:t>指标值</w:t>
            </w:r>
          </w:p>
        </w:tc>
      </w:tr>
      <w:tr w14:paraId="567DD0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0DAF6D70">
            <w:pPr>
              <w:pStyle w:val="137"/>
              <w:widowControl w:val="0"/>
              <w:jc w:val="center"/>
              <w:rPr>
                <w:rFonts w:eastAsia="DengXian" w:cs="Times New Roman"/>
                <w:highlight w:val="none"/>
              </w:rPr>
            </w:pPr>
            <w:r>
              <w:rPr>
                <w:rFonts w:eastAsia="DengXian" w:cs="Times New Roman"/>
                <w:highlight w:val="none"/>
              </w:rPr>
              <w:t>1</w:t>
            </w:r>
          </w:p>
        </w:tc>
        <w:tc>
          <w:tcPr>
            <w:tcW w:w="594" w:type="pct"/>
            <w:vMerge w:val="restart"/>
            <w:vAlign w:val="center"/>
          </w:tcPr>
          <w:p w14:paraId="7D25F6C9">
            <w:pPr>
              <w:pStyle w:val="137"/>
              <w:widowControl w:val="0"/>
              <w:jc w:val="center"/>
              <w:rPr>
                <w:highlight w:val="none"/>
              </w:rPr>
            </w:pPr>
            <w:r>
              <w:rPr>
                <w:rFonts w:hint="eastAsia"/>
                <w:highlight w:val="none"/>
              </w:rPr>
              <w:t>通用指标</w:t>
            </w:r>
          </w:p>
        </w:tc>
        <w:tc>
          <w:tcPr>
            <w:tcW w:w="593" w:type="pct"/>
            <w:vMerge w:val="restart"/>
            <w:vAlign w:val="center"/>
          </w:tcPr>
          <w:p w14:paraId="0D79C17C">
            <w:pPr>
              <w:pStyle w:val="137"/>
              <w:widowControl w:val="0"/>
              <w:jc w:val="center"/>
              <w:rPr>
                <w:highlight w:val="none"/>
              </w:rPr>
            </w:pPr>
            <w:r>
              <w:rPr>
                <w:rFonts w:hint="eastAsia"/>
                <w:highlight w:val="none"/>
              </w:rPr>
              <w:t>产出指标</w:t>
            </w:r>
          </w:p>
        </w:tc>
        <w:tc>
          <w:tcPr>
            <w:tcW w:w="677" w:type="pct"/>
            <w:vAlign w:val="center"/>
          </w:tcPr>
          <w:p w14:paraId="275D443B">
            <w:pPr>
              <w:pStyle w:val="137"/>
              <w:widowControl w:val="0"/>
              <w:jc w:val="center"/>
              <w:rPr>
                <w:highlight w:val="none"/>
              </w:rPr>
            </w:pPr>
            <w:r>
              <w:rPr>
                <w:rFonts w:hint="eastAsia"/>
                <w:highlight w:val="none"/>
              </w:rPr>
              <w:t>产出数量</w:t>
            </w:r>
          </w:p>
        </w:tc>
        <w:tc>
          <w:tcPr>
            <w:tcW w:w="1699" w:type="pct"/>
            <w:vAlign w:val="center"/>
          </w:tcPr>
          <w:p w14:paraId="7099DEAE">
            <w:pPr>
              <w:pStyle w:val="137"/>
              <w:widowControl w:val="0"/>
              <w:jc w:val="center"/>
              <w:rPr>
                <w:highlight w:val="none"/>
              </w:rPr>
            </w:pPr>
            <w:r>
              <w:rPr>
                <w:rFonts w:hint="eastAsia" w:ascii="仿宋" w:hAnsi="仿宋"/>
                <w:color w:val="000000"/>
                <w:szCs w:val="21"/>
                <w:highlight w:val="none"/>
              </w:rPr>
              <w:t>软件开发完成率</w:t>
            </w:r>
          </w:p>
        </w:tc>
        <w:tc>
          <w:tcPr>
            <w:tcW w:w="1073" w:type="pct"/>
            <w:vAlign w:val="center"/>
          </w:tcPr>
          <w:p w14:paraId="11036F77">
            <w:pPr>
              <w:pStyle w:val="137"/>
              <w:widowControl w:val="0"/>
              <w:jc w:val="center"/>
              <w:rPr>
                <w:highlight w:val="none"/>
              </w:rPr>
            </w:pPr>
            <w:r>
              <w:rPr>
                <w:rFonts w:hint="eastAsia" w:ascii="仿宋" w:hAnsi="仿宋"/>
                <w:color w:val="000000"/>
                <w:szCs w:val="21"/>
                <w:highlight w:val="none"/>
              </w:rPr>
              <w:t>100%</w:t>
            </w:r>
          </w:p>
        </w:tc>
      </w:tr>
      <w:tr w14:paraId="6ABE2A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5DEAD372">
            <w:pPr>
              <w:pStyle w:val="137"/>
              <w:widowControl w:val="0"/>
              <w:jc w:val="center"/>
              <w:rPr>
                <w:rFonts w:eastAsia="DengXian" w:cs="Times New Roman"/>
                <w:highlight w:val="none"/>
              </w:rPr>
            </w:pPr>
            <w:r>
              <w:rPr>
                <w:rFonts w:hint="eastAsia" w:eastAsia="DengXian" w:cs="Times New Roman"/>
                <w:highlight w:val="none"/>
              </w:rPr>
              <w:t>2</w:t>
            </w:r>
          </w:p>
        </w:tc>
        <w:tc>
          <w:tcPr>
            <w:tcW w:w="594" w:type="pct"/>
            <w:vMerge w:val="continue"/>
            <w:vAlign w:val="center"/>
          </w:tcPr>
          <w:p w14:paraId="4491A1B6">
            <w:pPr>
              <w:pStyle w:val="137"/>
              <w:widowControl w:val="0"/>
              <w:jc w:val="center"/>
              <w:rPr>
                <w:highlight w:val="none"/>
              </w:rPr>
            </w:pPr>
          </w:p>
        </w:tc>
        <w:tc>
          <w:tcPr>
            <w:tcW w:w="593" w:type="pct"/>
            <w:vMerge w:val="continue"/>
            <w:vAlign w:val="center"/>
          </w:tcPr>
          <w:p w14:paraId="37C1ED48">
            <w:pPr>
              <w:pStyle w:val="137"/>
              <w:widowControl w:val="0"/>
              <w:jc w:val="center"/>
              <w:rPr>
                <w:highlight w:val="none"/>
              </w:rPr>
            </w:pPr>
          </w:p>
        </w:tc>
        <w:tc>
          <w:tcPr>
            <w:tcW w:w="677" w:type="pct"/>
            <w:vMerge w:val="restart"/>
            <w:vAlign w:val="center"/>
          </w:tcPr>
          <w:p w14:paraId="007B6F77">
            <w:pPr>
              <w:pStyle w:val="137"/>
              <w:widowControl w:val="0"/>
              <w:jc w:val="center"/>
              <w:rPr>
                <w:highlight w:val="none"/>
              </w:rPr>
            </w:pPr>
            <w:r>
              <w:rPr>
                <w:rFonts w:hint="eastAsia"/>
                <w:highlight w:val="none"/>
              </w:rPr>
              <w:t>产出质量</w:t>
            </w:r>
          </w:p>
        </w:tc>
        <w:tc>
          <w:tcPr>
            <w:tcW w:w="1699" w:type="pct"/>
            <w:vAlign w:val="center"/>
          </w:tcPr>
          <w:p w14:paraId="618D4C3C">
            <w:pPr>
              <w:pStyle w:val="137"/>
              <w:widowControl w:val="0"/>
              <w:jc w:val="center"/>
              <w:rPr>
                <w:rFonts w:eastAsia="DengXian" w:cs="Times New Roman"/>
                <w:highlight w:val="none"/>
              </w:rPr>
            </w:pPr>
            <w:r>
              <w:rPr>
                <w:rFonts w:hint="eastAsia" w:ascii="仿宋" w:hAnsi="仿宋"/>
                <w:color w:val="000000"/>
                <w:szCs w:val="21"/>
                <w:highlight w:val="none"/>
              </w:rPr>
              <w:t>一次性验收合格率</w:t>
            </w:r>
          </w:p>
        </w:tc>
        <w:tc>
          <w:tcPr>
            <w:tcW w:w="1073" w:type="pct"/>
            <w:vAlign w:val="center"/>
          </w:tcPr>
          <w:p w14:paraId="04E755DA">
            <w:pPr>
              <w:pStyle w:val="137"/>
              <w:widowControl w:val="0"/>
              <w:jc w:val="center"/>
              <w:rPr>
                <w:rFonts w:eastAsia="DengXian" w:cs="Times New Roman"/>
                <w:highlight w:val="none"/>
              </w:rPr>
            </w:pPr>
            <w:r>
              <w:rPr>
                <w:rFonts w:hint="eastAsia" w:ascii="仿宋" w:hAnsi="仿宋"/>
                <w:color w:val="000000"/>
                <w:szCs w:val="21"/>
                <w:highlight w:val="none"/>
              </w:rPr>
              <w:t>100%</w:t>
            </w:r>
          </w:p>
        </w:tc>
      </w:tr>
      <w:tr w14:paraId="4FA152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5FE331B5">
            <w:pPr>
              <w:pStyle w:val="137"/>
              <w:widowControl w:val="0"/>
              <w:jc w:val="center"/>
              <w:rPr>
                <w:rFonts w:eastAsia="DengXian" w:cs="Times New Roman"/>
                <w:highlight w:val="none"/>
              </w:rPr>
            </w:pPr>
            <w:r>
              <w:rPr>
                <w:rFonts w:hint="eastAsia" w:eastAsia="DengXian" w:cs="Times New Roman"/>
                <w:highlight w:val="none"/>
              </w:rPr>
              <w:t>3</w:t>
            </w:r>
          </w:p>
        </w:tc>
        <w:tc>
          <w:tcPr>
            <w:tcW w:w="594" w:type="pct"/>
            <w:vMerge w:val="continue"/>
            <w:vAlign w:val="center"/>
          </w:tcPr>
          <w:p w14:paraId="37EC9AC5">
            <w:pPr>
              <w:pStyle w:val="137"/>
              <w:widowControl w:val="0"/>
              <w:jc w:val="center"/>
              <w:rPr>
                <w:highlight w:val="none"/>
              </w:rPr>
            </w:pPr>
          </w:p>
        </w:tc>
        <w:tc>
          <w:tcPr>
            <w:tcW w:w="593" w:type="pct"/>
            <w:vMerge w:val="continue"/>
            <w:vAlign w:val="center"/>
          </w:tcPr>
          <w:p w14:paraId="75466493">
            <w:pPr>
              <w:pStyle w:val="137"/>
              <w:widowControl w:val="0"/>
              <w:jc w:val="center"/>
              <w:rPr>
                <w:highlight w:val="none"/>
              </w:rPr>
            </w:pPr>
          </w:p>
        </w:tc>
        <w:tc>
          <w:tcPr>
            <w:tcW w:w="677" w:type="pct"/>
            <w:vMerge w:val="continue"/>
            <w:vAlign w:val="center"/>
          </w:tcPr>
          <w:p w14:paraId="5D7683F4">
            <w:pPr>
              <w:pStyle w:val="137"/>
              <w:widowControl w:val="0"/>
              <w:jc w:val="center"/>
              <w:rPr>
                <w:highlight w:val="none"/>
              </w:rPr>
            </w:pPr>
          </w:p>
        </w:tc>
        <w:tc>
          <w:tcPr>
            <w:tcW w:w="1699" w:type="pct"/>
            <w:vAlign w:val="center"/>
          </w:tcPr>
          <w:p w14:paraId="6BE8278E">
            <w:pPr>
              <w:pStyle w:val="137"/>
              <w:widowControl w:val="0"/>
              <w:jc w:val="center"/>
              <w:rPr>
                <w:highlight w:val="none"/>
              </w:rPr>
            </w:pPr>
            <w:r>
              <w:rPr>
                <w:rFonts w:hint="eastAsia" w:ascii="仿宋" w:hAnsi="仿宋"/>
                <w:color w:val="000000"/>
                <w:szCs w:val="21"/>
                <w:highlight w:val="none"/>
              </w:rPr>
              <w:t>建设期内安全事件发生次数</w:t>
            </w:r>
          </w:p>
        </w:tc>
        <w:tc>
          <w:tcPr>
            <w:tcW w:w="1073" w:type="pct"/>
            <w:vAlign w:val="center"/>
          </w:tcPr>
          <w:p w14:paraId="23697B6C">
            <w:pPr>
              <w:pStyle w:val="137"/>
              <w:widowControl w:val="0"/>
              <w:jc w:val="center"/>
              <w:rPr>
                <w:rFonts w:eastAsia="DengXian" w:cs="Times New Roman"/>
                <w:highlight w:val="none"/>
              </w:rPr>
            </w:pPr>
            <w:r>
              <w:rPr>
                <w:rFonts w:hint="eastAsia" w:ascii="仿宋" w:hAnsi="仿宋"/>
                <w:color w:val="000000"/>
                <w:szCs w:val="21"/>
                <w:highlight w:val="none"/>
              </w:rPr>
              <w:t>达到三级等保标准</w:t>
            </w:r>
          </w:p>
        </w:tc>
      </w:tr>
      <w:tr w14:paraId="749121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27E73F14">
            <w:pPr>
              <w:pStyle w:val="137"/>
              <w:widowControl w:val="0"/>
              <w:jc w:val="center"/>
              <w:rPr>
                <w:rFonts w:eastAsia="DengXian" w:cs="Times New Roman"/>
                <w:highlight w:val="none"/>
              </w:rPr>
            </w:pPr>
            <w:r>
              <w:rPr>
                <w:rFonts w:hint="eastAsia" w:eastAsia="DengXian" w:cs="Times New Roman"/>
                <w:highlight w:val="none"/>
              </w:rPr>
              <w:t>4</w:t>
            </w:r>
          </w:p>
        </w:tc>
        <w:tc>
          <w:tcPr>
            <w:tcW w:w="594" w:type="pct"/>
            <w:vMerge w:val="continue"/>
            <w:vAlign w:val="center"/>
          </w:tcPr>
          <w:p w14:paraId="18B87943">
            <w:pPr>
              <w:pStyle w:val="137"/>
              <w:widowControl w:val="0"/>
              <w:jc w:val="center"/>
              <w:rPr>
                <w:highlight w:val="none"/>
              </w:rPr>
            </w:pPr>
          </w:p>
        </w:tc>
        <w:tc>
          <w:tcPr>
            <w:tcW w:w="593" w:type="pct"/>
            <w:vMerge w:val="continue"/>
            <w:vAlign w:val="center"/>
          </w:tcPr>
          <w:p w14:paraId="45414EC1">
            <w:pPr>
              <w:pStyle w:val="137"/>
              <w:widowControl w:val="0"/>
              <w:jc w:val="center"/>
              <w:rPr>
                <w:highlight w:val="none"/>
              </w:rPr>
            </w:pPr>
          </w:p>
        </w:tc>
        <w:tc>
          <w:tcPr>
            <w:tcW w:w="677" w:type="pct"/>
            <w:vMerge w:val="continue"/>
            <w:vAlign w:val="center"/>
          </w:tcPr>
          <w:p w14:paraId="4BB993FE">
            <w:pPr>
              <w:pStyle w:val="137"/>
              <w:widowControl w:val="0"/>
              <w:jc w:val="center"/>
              <w:rPr>
                <w:highlight w:val="none"/>
              </w:rPr>
            </w:pPr>
          </w:p>
        </w:tc>
        <w:tc>
          <w:tcPr>
            <w:tcW w:w="1699" w:type="pct"/>
            <w:vAlign w:val="center"/>
          </w:tcPr>
          <w:p w14:paraId="10B5076F">
            <w:pPr>
              <w:pStyle w:val="137"/>
              <w:widowControl w:val="0"/>
              <w:jc w:val="center"/>
              <w:rPr>
                <w:highlight w:val="none"/>
              </w:rPr>
            </w:pPr>
            <w:r>
              <w:rPr>
                <w:rFonts w:hint="eastAsia" w:ascii="仿宋" w:hAnsi="仿宋"/>
                <w:color w:val="000000"/>
                <w:szCs w:val="21"/>
                <w:highlight w:val="none"/>
              </w:rPr>
              <w:t>网络安全等级达标</w:t>
            </w:r>
          </w:p>
        </w:tc>
        <w:tc>
          <w:tcPr>
            <w:tcW w:w="1073" w:type="pct"/>
            <w:vAlign w:val="center"/>
          </w:tcPr>
          <w:p w14:paraId="3E4F0231">
            <w:pPr>
              <w:pStyle w:val="137"/>
              <w:widowControl w:val="0"/>
              <w:jc w:val="center"/>
              <w:rPr>
                <w:rFonts w:eastAsia="DengXian" w:cs="Times New Roman"/>
                <w:highlight w:val="none"/>
              </w:rPr>
            </w:pPr>
            <w:r>
              <w:rPr>
                <w:rFonts w:hint="eastAsia" w:ascii="仿宋" w:hAnsi="仿宋"/>
                <w:color w:val="000000"/>
                <w:szCs w:val="21"/>
                <w:highlight w:val="none"/>
              </w:rPr>
              <w:t>通过</w:t>
            </w:r>
          </w:p>
        </w:tc>
      </w:tr>
      <w:tr w14:paraId="011AA6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7A7695B7">
            <w:pPr>
              <w:pStyle w:val="137"/>
              <w:widowControl w:val="0"/>
              <w:jc w:val="center"/>
              <w:rPr>
                <w:rFonts w:eastAsia="DengXian" w:cs="Times New Roman"/>
                <w:highlight w:val="none"/>
              </w:rPr>
            </w:pPr>
            <w:r>
              <w:rPr>
                <w:rFonts w:hint="eastAsia" w:eastAsia="DengXian" w:cs="Times New Roman"/>
                <w:highlight w:val="none"/>
              </w:rPr>
              <w:t>5</w:t>
            </w:r>
          </w:p>
        </w:tc>
        <w:tc>
          <w:tcPr>
            <w:tcW w:w="594" w:type="pct"/>
            <w:vMerge w:val="continue"/>
            <w:vAlign w:val="center"/>
          </w:tcPr>
          <w:p w14:paraId="449C98A1">
            <w:pPr>
              <w:pStyle w:val="137"/>
              <w:widowControl w:val="0"/>
              <w:jc w:val="center"/>
              <w:rPr>
                <w:highlight w:val="none"/>
              </w:rPr>
            </w:pPr>
          </w:p>
        </w:tc>
        <w:tc>
          <w:tcPr>
            <w:tcW w:w="593" w:type="pct"/>
            <w:vMerge w:val="continue"/>
            <w:vAlign w:val="center"/>
          </w:tcPr>
          <w:p w14:paraId="6667DB44">
            <w:pPr>
              <w:pStyle w:val="137"/>
              <w:widowControl w:val="0"/>
              <w:jc w:val="center"/>
              <w:rPr>
                <w:highlight w:val="none"/>
              </w:rPr>
            </w:pPr>
          </w:p>
        </w:tc>
        <w:tc>
          <w:tcPr>
            <w:tcW w:w="677" w:type="pct"/>
            <w:vMerge w:val="continue"/>
            <w:vAlign w:val="center"/>
          </w:tcPr>
          <w:p w14:paraId="2ADFBF90">
            <w:pPr>
              <w:pStyle w:val="137"/>
              <w:widowControl w:val="0"/>
              <w:jc w:val="center"/>
              <w:rPr>
                <w:highlight w:val="none"/>
              </w:rPr>
            </w:pPr>
          </w:p>
        </w:tc>
        <w:tc>
          <w:tcPr>
            <w:tcW w:w="1699" w:type="pct"/>
            <w:vAlign w:val="center"/>
          </w:tcPr>
          <w:p w14:paraId="19CFC7DD">
            <w:pPr>
              <w:pStyle w:val="137"/>
              <w:widowControl w:val="0"/>
              <w:jc w:val="center"/>
              <w:rPr>
                <w:highlight w:val="none"/>
              </w:rPr>
            </w:pPr>
            <w:r>
              <w:rPr>
                <w:rFonts w:hint="eastAsia" w:ascii="仿宋" w:hAnsi="仿宋"/>
                <w:color w:val="000000"/>
                <w:szCs w:val="21"/>
                <w:highlight w:val="none"/>
              </w:rPr>
              <w:t>软件测试达标</w:t>
            </w:r>
          </w:p>
        </w:tc>
        <w:tc>
          <w:tcPr>
            <w:tcW w:w="1073" w:type="pct"/>
            <w:vAlign w:val="center"/>
          </w:tcPr>
          <w:p w14:paraId="58465DE3">
            <w:pPr>
              <w:pStyle w:val="137"/>
              <w:widowControl w:val="0"/>
              <w:jc w:val="center"/>
              <w:rPr>
                <w:rFonts w:eastAsia="DengXian" w:cs="Times New Roman"/>
                <w:highlight w:val="none"/>
              </w:rPr>
            </w:pPr>
            <w:r>
              <w:rPr>
                <w:rFonts w:hint="eastAsia" w:ascii="仿宋" w:hAnsi="仿宋"/>
                <w:color w:val="000000"/>
                <w:szCs w:val="21"/>
                <w:highlight w:val="none"/>
              </w:rPr>
              <w:t>通过</w:t>
            </w:r>
          </w:p>
        </w:tc>
      </w:tr>
      <w:tr w14:paraId="2E64C0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318BBC61">
            <w:pPr>
              <w:pStyle w:val="137"/>
              <w:widowControl w:val="0"/>
              <w:jc w:val="center"/>
              <w:rPr>
                <w:rFonts w:eastAsia="DengXian" w:cs="Times New Roman"/>
                <w:highlight w:val="none"/>
              </w:rPr>
            </w:pPr>
            <w:r>
              <w:rPr>
                <w:rFonts w:eastAsia="DengXian" w:cs="Times New Roman"/>
                <w:highlight w:val="none"/>
              </w:rPr>
              <w:t>6</w:t>
            </w:r>
          </w:p>
        </w:tc>
        <w:tc>
          <w:tcPr>
            <w:tcW w:w="594" w:type="pct"/>
            <w:vMerge w:val="continue"/>
            <w:vAlign w:val="center"/>
          </w:tcPr>
          <w:p w14:paraId="1738A970">
            <w:pPr>
              <w:pStyle w:val="137"/>
              <w:widowControl w:val="0"/>
              <w:jc w:val="center"/>
              <w:rPr>
                <w:highlight w:val="none"/>
              </w:rPr>
            </w:pPr>
          </w:p>
        </w:tc>
        <w:tc>
          <w:tcPr>
            <w:tcW w:w="593" w:type="pct"/>
            <w:vMerge w:val="continue"/>
            <w:vAlign w:val="center"/>
          </w:tcPr>
          <w:p w14:paraId="66F43E8C">
            <w:pPr>
              <w:pStyle w:val="137"/>
              <w:widowControl w:val="0"/>
              <w:jc w:val="center"/>
              <w:rPr>
                <w:highlight w:val="none"/>
              </w:rPr>
            </w:pPr>
          </w:p>
        </w:tc>
        <w:tc>
          <w:tcPr>
            <w:tcW w:w="677" w:type="pct"/>
            <w:vMerge w:val="continue"/>
            <w:vAlign w:val="center"/>
          </w:tcPr>
          <w:p w14:paraId="1ED71DD5">
            <w:pPr>
              <w:pStyle w:val="137"/>
              <w:widowControl w:val="0"/>
              <w:jc w:val="center"/>
              <w:rPr>
                <w:highlight w:val="none"/>
              </w:rPr>
            </w:pPr>
          </w:p>
        </w:tc>
        <w:tc>
          <w:tcPr>
            <w:tcW w:w="1699" w:type="pct"/>
            <w:vAlign w:val="center"/>
          </w:tcPr>
          <w:p w14:paraId="28D34892">
            <w:pPr>
              <w:pStyle w:val="137"/>
              <w:widowControl w:val="0"/>
              <w:jc w:val="center"/>
              <w:rPr>
                <w:highlight w:val="none"/>
              </w:rPr>
            </w:pPr>
            <w:r>
              <w:rPr>
                <w:rFonts w:hint="eastAsia" w:ascii="仿宋" w:hAnsi="仿宋"/>
                <w:color w:val="000000"/>
                <w:szCs w:val="21"/>
                <w:highlight w:val="none"/>
              </w:rPr>
              <w:t>安全测试达标</w:t>
            </w:r>
          </w:p>
        </w:tc>
        <w:tc>
          <w:tcPr>
            <w:tcW w:w="1073" w:type="pct"/>
            <w:vAlign w:val="center"/>
          </w:tcPr>
          <w:p w14:paraId="7FA03F43">
            <w:pPr>
              <w:pStyle w:val="137"/>
              <w:widowControl w:val="0"/>
              <w:jc w:val="center"/>
              <w:rPr>
                <w:highlight w:val="none"/>
              </w:rPr>
            </w:pPr>
            <w:r>
              <w:rPr>
                <w:rFonts w:hint="eastAsia" w:ascii="仿宋" w:hAnsi="仿宋"/>
                <w:color w:val="000000"/>
                <w:szCs w:val="21"/>
                <w:highlight w:val="none"/>
              </w:rPr>
              <w:t>通过</w:t>
            </w:r>
          </w:p>
        </w:tc>
      </w:tr>
      <w:tr w14:paraId="2AA6FA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gridAfter w:val="1"/>
          <w:wAfter w:w="7" w:type="pct"/>
          <w:trHeight w:val="288" w:hRule="atLeast"/>
          <w:jc w:val="center"/>
        </w:trPr>
        <w:tc>
          <w:tcPr>
            <w:tcW w:w="356" w:type="pct"/>
            <w:vAlign w:val="center"/>
          </w:tcPr>
          <w:p w14:paraId="3FCCF1CB">
            <w:pPr>
              <w:pStyle w:val="137"/>
              <w:widowControl w:val="0"/>
              <w:jc w:val="center"/>
              <w:rPr>
                <w:rFonts w:eastAsia="DengXian" w:cs="Times New Roman"/>
                <w:highlight w:val="none"/>
              </w:rPr>
            </w:pPr>
            <w:r>
              <w:rPr>
                <w:rFonts w:hint="eastAsia" w:eastAsia="DengXian" w:cs="Times New Roman"/>
                <w:highlight w:val="none"/>
              </w:rPr>
              <w:t>7</w:t>
            </w:r>
          </w:p>
        </w:tc>
        <w:tc>
          <w:tcPr>
            <w:tcW w:w="594" w:type="pct"/>
            <w:vMerge w:val="continue"/>
            <w:vAlign w:val="center"/>
          </w:tcPr>
          <w:p w14:paraId="5EB64B09">
            <w:pPr>
              <w:pStyle w:val="137"/>
              <w:widowControl w:val="0"/>
              <w:jc w:val="center"/>
              <w:rPr>
                <w:highlight w:val="none"/>
              </w:rPr>
            </w:pPr>
          </w:p>
        </w:tc>
        <w:tc>
          <w:tcPr>
            <w:tcW w:w="593" w:type="pct"/>
            <w:vMerge w:val="continue"/>
            <w:vAlign w:val="center"/>
          </w:tcPr>
          <w:p w14:paraId="3B0B783D">
            <w:pPr>
              <w:pStyle w:val="137"/>
              <w:widowControl w:val="0"/>
              <w:jc w:val="center"/>
              <w:rPr>
                <w:highlight w:val="none"/>
              </w:rPr>
            </w:pPr>
          </w:p>
        </w:tc>
        <w:tc>
          <w:tcPr>
            <w:tcW w:w="677" w:type="pct"/>
            <w:vAlign w:val="center"/>
          </w:tcPr>
          <w:p w14:paraId="7AA312A3">
            <w:pPr>
              <w:pStyle w:val="137"/>
              <w:widowControl w:val="0"/>
              <w:jc w:val="center"/>
              <w:rPr>
                <w:highlight w:val="none"/>
              </w:rPr>
            </w:pPr>
            <w:r>
              <w:rPr>
                <w:rFonts w:hint="eastAsia"/>
                <w:highlight w:val="none"/>
              </w:rPr>
              <w:t>产出时效</w:t>
            </w:r>
          </w:p>
        </w:tc>
        <w:tc>
          <w:tcPr>
            <w:tcW w:w="1699" w:type="pct"/>
            <w:vAlign w:val="center"/>
          </w:tcPr>
          <w:p w14:paraId="41F34574">
            <w:pPr>
              <w:pStyle w:val="137"/>
              <w:widowControl w:val="0"/>
              <w:jc w:val="center"/>
              <w:rPr>
                <w:highlight w:val="none"/>
              </w:rPr>
            </w:pPr>
            <w:r>
              <w:rPr>
                <w:rFonts w:hint="eastAsia" w:ascii="仿宋" w:hAnsi="仿宋"/>
                <w:color w:val="000000"/>
                <w:szCs w:val="21"/>
                <w:highlight w:val="none"/>
              </w:rPr>
              <w:t>项目建设周期</w:t>
            </w:r>
          </w:p>
        </w:tc>
        <w:tc>
          <w:tcPr>
            <w:tcW w:w="1073" w:type="pct"/>
            <w:vAlign w:val="center"/>
          </w:tcPr>
          <w:p w14:paraId="23239454">
            <w:pPr>
              <w:pStyle w:val="137"/>
              <w:widowControl w:val="0"/>
              <w:jc w:val="center"/>
              <w:rPr>
                <w:highlight w:val="none"/>
              </w:rPr>
            </w:pPr>
            <w:r>
              <w:rPr>
                <w:rFonts w:hint="eastAsia" w:ascii="仿宋" w:hAnsi="仿宋"/>
                <w:color w:val="000000"/>
                <w:szCs w:val="21"/>
                <w:highlight w:val="none"/>
              </w:rPr>
              <w:t>6个月内</w:t>
            </w:r>
          </w:p>
        </w:tc>
      </w:tr>
    </w:tbl>
    <w:p w14:paraId="3F44D39D">
      <w:pPr>
        <w:rPr>
          <w:rFonts w:ascii="仿宋" w:hAnsi="仿宋" w:eastAsia="仿宋"/>
          <w:highlight w:val="none"/>
        </w:rPr>
      </w:pPr>
      <w:r>
        <w:rPr>
          <w:rFonts w:hint="eastAsia" w:ascii="仿宋" w:hAnsi="仿宋" w:eastAsia="仿宋"/>
          <w:highlight w:val="none"/>
        </w:rPr>
        <w:t>具体指标：</w:t>
      </w:r>
    </w:p>
    <w:p w14:paraId="7E7DAAC8">
      <w:pPr>
        <w:ind w:firstLine="489"/>
        <w:rPr>
          <w:b/>
          <w:bCs/>
          <w:highlight w:val="none"/>
        </w:rPr>
      </w:pPr>
      <w:r>
        <w:rPr>
          <w:b/>
          <w:bCs/>
          <w:highlight w:val="none"/>
        </w:rPr>
        <w:t>1</w:t>
      </w:r>
      <w:r>
        <w:rPr>
          <w:rFonts w:hint="eastAsia"/>
          <w:b/>
          <w:bCs/>
          <w:highlight w:val="none"/>
        </w:rPr>
        <w:t>、</w:t>
      </w:r>
      <w:r>
        <w:rPr>
          <w:b/>
          <w:bCs/>
          <w:highlight w:val="none"/>
        </w:rPr>
        <w:t>访问性能要求</w:t>
      </w:r>
    </w:p>
    <w:p w14:paraId="3E6599EE">
      <w:pPr>
        <w:rPr>
          <w:highlight w:val="none"/>
        </w:rPr>
      </w:pPr>
      <w:r>
        <w:rPr>
          <w:highlight w:val="none"/>
        </w:rPr>
        <w:t>高峰时段并发用户数：≥200</w:t>
      </w:r>
    </w:p>
    <w:p w14:paraId="1CDA5A37">
      <w:pPr>
        <w:rPr>
          <w:highlight w:val="none"/>
        </w:rPr>
      </w:pPr>
      <w:r>
        <w:rPr>
          <w:highlight w:val="none"/>
        </w:rPr>
        <w:t>每天每个用户平均执行操作数：≥100</w:t>
      </w:r>
    </w:p>
    <w:p w14:paraId="577C3828">
      <w:pPr>
        <w:rPr>
          <w:highlight w:val="none"/>
        </w:rPr>
      </w:pPr>
      <w:r>
        <w:rPr>
          <w:highlight w:val="none"/>
        </w:rPr>
        <w:t>每个操作的业务连接数：≥3</w:t>
      </w:r>
    </w:p>
    <w:p w14:paraId="286CCC4C">
      <w:pPr>
        <w:rPr>
          <w:highlight w:val="none"/>
        </w:rPr>
      </w:pPr>
      <w:r>
        <w:rPr>
          <w:highlight w:val="none"/>
        </w:rPr>
        <w:t>高峰时段交互量百分比：≥80%</w:t>
      </w:r>
    </w:p>
    <w:p w14:paraId="3D634783">
      <w:pPr>
        <w:rPr>
          <w:highlight w:val="none"/>
        </w:rPr>
      </w:pPr>
      <w:r>
        <w:rPr>
          <w:highlight w:val="none"/>
        </w:rPr>
        <w:t>高峰时段持续时间：</w:t>
      </w:r>
      <w:r>
        <w:rPr>
          <w:rFonts w:hint="eastAsia"/>
          <w:highlight w:val="none"/>
        </w:rPr>
        <w:t>≥</w:t>
      </w:r>
      <w:r>
        <w:rPr>
          <w:highlight w:val="none"/>
        </w:rPr>
        <w:t>8个小时</w:t>
      </w:r>
    </w:p>
    <w:p w14:paraId="66769103">
      <w:pPr>
        <w:rPr>
          <w:highlight w:val="none"/>
        </w:rPr>
      </w:pPr>
      <w:r>
        <w:rPr>
          <w:highlight w:val="none"/>
        </w:rPr>
        <w:t>平均每秒每个用户流量：≥10KB</w:t>
      </w:r>
    </w:p>
    <w:p w14:paraId="09C63653">
      <w:pPr>
        <w:ind w:firstLine="489"/>
        <w:rPr>
          <w:b/>
          <w:bCs/>
          <w:highlight w:val="none"/>
        </w:rPr>
      </w:pPr>
      <w:r>
        <w:rPr>
          <w:b/>
          <w:bCs/>
          <w:highlight w:val="none"/>
        </w:rPr>
        <w:t>2</w:t>
      </w:r>
      <w:r>
        <w:rPr>
          <w:rFonts w:hint="eastAsia"/>
          <w:b/>
          <w:bCs/>
          <w:highlight w:val="none"/>
        </w:rPr>
        <w:t>、</w:t>
      </w:r>
      <w:r>
        <w:rPr>
          <w:b/>
          <w:bCs/>
          <w:highlight w:val="none"/>
        </w:rPr>
        <w:t>数据视图查询性能要求</w:t>
      </w:r>
    </w:p>
    <w:p w14:paraId="460FC9AF">
      <w:pPr>
        <w:rPr>
          <w:highlight w:val="none"/>
        </w:rPr>
      </w:pPr>
      <w:r>
        <w:rPr>
          <w:highlight w:val="none"/>
        </w:rPr>
        <w:t>根据报表的复杂程度，应在1</w:t>
      </w:r>
      <w:r>
        <w:rPr>
          <w:rFonts w:hint="eastAsia"/>
          <w:highlight w:val="none"/>
        </w:rPr>
        <w:t>～</w:t>
      </w:r>
      <w:r>
        <w:rPr>
          <w:highlight w:val="none"/>
        </w:rPr>
        <w:t>5秒内响应，并显示报表统计分析结果</w:t>
      </w:r>
      <w:r>
        <w:rPr>
          <w:rFonts w:hint="eastAsia"/>
          <w:highlight w:val="none"/>
        </w:rPr>
        <w:t>。</w:t>
      </w:r>
    </w:p>
    <w:p w14:paraId="6008BE36">
      <w:pPr>
        <w:rPr>
          <w:highlight w:val="none"/>
        </w:rPr>
      </w:pPr>
      <w:r>
        <w:rPr>
          <w:highlight w:val="none"/>
        </w:rPr>
        <w:t>根据查询条件的复杂程度，查询结果应在1</w:t>
      </w:r>
      <w:r>
        <w:rPr>
          <w:rFonts w:hint="eastAsia"/>
          <w:highlight w:val="none"/>
        </w:rPr>
        <w:t>～</w:t>
      </w:r>
      <w:r>
        <w:rPr>
          <w:highlight w:val="none"/>
        </w:rPr>
        <w:t>3秒内响应并显示结果。</w:t>
      </w:r>
    </w:p>
    <w:p w14:paraId="50D3FF19">
      <w:pPr>
        <w:pStyle w:val="4"/>
        <w:ind w:left="480" w:leftChars="200" w:right="240"/>
        <w:rPr>
          <w:rFonts w:ascii="仿宋" w:hAnsi="仿宋" w:eastAsia="仿宋" w:cs="仿宋"/>
          <w:highlight w:val="none"/>
        </w:rPr>
      </w:pPr>
      <w:r>
        <w:rPr>
          <w:rFonts w:hint="eastAsia" w:ascii="仿宋" w:hAnsi="仿宋" w:eastAsia="仿宋" w:cs="仿宋"/>
          <w:highlight w:val="none"/>
        </w:rPr>
        <w:t>软件质量、安全及密码需求</w:t>
      </w:r>
    </w:p>
    <w:p w14:paraId="5B9B94F6">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本项目需完成招标需求中软件功能开发要求，并通过第三方软测机构的软件测评，取得合格测评报告。</w:t>
      </w:r>
    </w:p>
    <w:p w14:paraId="714B4D14">
      <w:pPr>
        <w:rPr>
          <w:highlight w:val="none"/>
        </w:rPr>
      </w:pPr>
      <w:r>
        <w:rPr>
          <w:rFonts w:hint="eastAsia" w:asciiTheme="minorEastAsia" w:hAnsiTheme="minorEastAsia" w:eastAsiaTheme="minorEastAsia" w:cstheme="minorEastAsia"/>
          <w:highlight w:val="none"/>
        </w:rPr>
        <w:t>本项目需符合《信息安全技术 网络安全等级保护基本要求》（GB/T 22239-2019）中第三级（监督保护级）要求，并通过第三方安全测评机构的安全测评、等级保护测评机构的等保测评，取得合格测评报告。</w:t>
      </w:r>
    </w:p>
    <w:p w14:paraId="18713EE7">
      <w:pPr>
        <w:rPr>
          <w:rFonts w:asciiTheme="minorEastAsia" w:hAnsiTheme="minorEastAsia" w:cstheme="minorEastAsia"/>
          <w:highlight w:val="none"/>
        </w:rPr>
      </w:pPr>
      <w:r>
        <w:rPr>
          <w:rFonts w:hint="eastAsia"/>
          <w:highlight w:val="none"/>
        </w:rPr>
        <w:t>本项目基于电子政务云平台提供的安全认证网关、签名验签、数据库加密等密码服务以及系统的应用功能，需开发适配若干密码应用功能模块，以实现网络和通信、设备和计算、应用和数据等层面的各密码应用功能。</w:t>
      </w:r>
      <w:r>
        <w:rPr>
          <w:rFonts w:asciiTheme="minorEastAsia" w:hAnsiTheme="minorEastAsia" w:eastAsiaTheme="minorEastAsia" w:cstheme="minorEastAsia"/>
          <w:highlight w:val="none"/>
        </w:rPr>
        <w:t>本项目需</w:t>
      </w:r>
      <w:r>
        <w:rPr>
          <w:rFonts w:hint="eastAsia" w:asciiTheme="minorEastAsia" w:hAnsiTheme="minorEastAsia" w:eastAsiaTheme="minorEastAsia" w:cstheme="minorEastAsia"/>
          <w:highlight w:val="none"/>
        </w:rPr>
        <w:t>符合《信息安全技术 信息系统密码应用基本要求》（GB/T 39786-2021）</w:t>
      </w:r>
      <w:r>
        <w:rPr>
          <w:rFonts w:asciiTheme="minorEastAsia" w:hAnsiTheme="minorEastAsia" w:eastAsiaTheme="minorEastAsia" w:cstheme="minorEastAsia"/>
          <w:highlight w:val="none"/>
        </w:rPr>
        <w:t>中</w:t>
      </w:r>
      <w:r>
        <w:rPr>
          <w:rFonts w:hint="eastAsia" w:asciiTheme="minorEastAsia" w:hAnsiTheme="minorEastAsia" w:eastAsiaTheme="minorEastAsia" w:cstheme="minorEastAsia"/>
          <w:highlight w:val="none"/>
        </w:rPr>
        <w:t>三</w:t>
      </w:r>
      <w:r>
        <w:rPr>
          <w:rFonts w:asciiTheme="minorEastAsia" w:hAnsiTheme="minorEastAsia" w:eastAsiaTheme="minorEastAsia" w:cstheme="minorEastAsia"/>
          <w:highlight w:val="none"/>
        </w:rPr>
        <w:t>级指标要求</w:t>
      </w:r>
      <w:r>
        <w:rPr>
          <w:rFonts w:hint="eastAsia" w:asciiTheme="minorEastAsia" w:hAnsiTheme="minorEastAsia" w:eastAsiaTheme="minorEastAsia" w:cstheme="minorEastAsia"/>
          <w:highlight w:val="none"/>
        </w:rPr>
        <w:t>，</w:t>
      </w:r>
      <w:r>
        <w:rPr>
          <w:highlight w:val="none"/>
        </w:rPr>
        <w:t>并通过第三方密评机构的密码应用测评</w:t>
      </w:r>
      <w:r>
        <w:rPr>
          <w:rFonts w:hint="eastAsia"/>
          <w:highlight w:val="none"/>
        </w:rPr>
        <w:t>，</w:t>
      </w:r>
      <w:r>
        <w:rPr>
          <w:rFonts w:hint="eastAsia" w:asciiTheme="minorEastAsia" w:hAnsiTheme="minorEastAsia" w:eastAsiaTheme="minorEastAsia" w:cstheme="minorEastAsia"/>
          <w:highlight w:val="none"/>
        </w:rPr>
        <w:t>取得合格测评报告。</w:t>
      </w:r>
      <w:r>
        <w:rPr>
          <w:rFonts w:hint="eastAsia"/>
          <w:highlight w:val="none"/>
        </w:rPr>
        <w:t xml:space="preserve"> </w:t>
      </w:r>
    </w:p>
    <w:p w14:paraId="569BB012">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本项目需符合</w:t>
      </w:r>
      <w:r>
        <w:rPr>
          <w:rFonts w:asciiTheme="minorEastAsia" w:hAnsiTheme="minorEastAsia" w:eastAsiaTheme="minorEastAsia" w:cstheme="minorEastAsia"/>
          <w:highlight w:val="none"/>
        </w:rPr>
        <w:t>数据安全要求，实现数据完整、保密，支持数据备份及恢复等功能。</w:t>
      </w:r>
    </w:p>
    <w:p w14:paraId="789B9ACA">
      <w:pPr>
        <w:pStyle w:val="3"/>
        <w:rPr>
          <w:highlight w:val="none"/>
        </w:rPr>
      </w:pPr>
      <w:bookmarkStart w:id="16" w:name="_Toc63785503"/>
      <w:r>
        <w:rPr>
          <w:rFonts w:hint="eastAsia"/>
          <w:highlight w:val="none"/>
        </w:rPr>
        <w:t>其他工作要求</w:t>
      </w:r>
      <w:bookmarkEnd w:id="16"/>
    </w:p>
    <w:p w14:paraId="58BD882D">
      <w:pPr>
        <w:pStyle w:val="4"/>
        <w:ind w:left="480" w:leftChars="200" w:right="240"/>
        <w:rPr>
          <w:rFonts w:ascii="仿宋" w:hAnsi="仿宋" w:eastAsia="仿宋"/>
          <w:highlight w:val="none"/>
        </w:rPr>
      </w:pPr>
      <w:bookmarkStart w:id="17" w:name="_Toc63785505"/>
      <w:bookmarkStart w:id="18" w:name="_Toc63785509"/>
      <w:r>
        <w:rPr>
          <w:rFonts w:hint="eastAsia" w:ascii="仿宋" w:hAnsi="仿宋" w:eastAsia="仿宋"/>
          <w:highlight w:val="none"/>
        </w:rPr>
        <w:t>进度要求</w:t>
      </w:r>
    </w:p>
    <w:p w14:paraId="6EE69A2A">
      <w:pPr>
        <w:rPr>
          <w:highlight w:val="none"/>
        </w:rPr>
      </w:pPr>
      <w:r>
        <w:rPr>
          <w:rFonts w:hint="eastAsia"/>
          <w:highlight w:val="none"/>
        </w:rPr>
        <w:t>自合同签订之日起</w:t>
      </w:r>
      <w:r>
        <w:rPr>
          <w:highlight w:val="none"/>
        </w:rPr>
        <w:t>5</w:t>
      </w:r>
      <w:r>
        <w:rPr>
          <w:rFonts w:hint="eastAsia"/>
          <w:highlight w:val="none"/>
        </w:rPr>
        <w:t>个月内完成项目的开发与实施、上线试运行并通过最终验收（其中试运行不少于1个月）。</w:t>
      </w:r>
    </w:p>
    <w:p w14:paraId="6C2434E3">
      <w:pPr>
        <w:rPr>
          <w:highlight w:val="none"/>
        </w:rPr>
      </w:pPr>
      <w:r>
        <w:rPr>
          <w:rFonts w:hint="eastAsia"/>
          <w:highlight w:val="none"/>
        </w:rPr>
        <w:t>投标人</w:t>
      </w:r>
      <w:r>
        <w:rPr>
          <w:highlight w:val="none"/>
        </w:rPr>
        <w:t>应根据建设内容，分阶段制定合理的时间进度，并且应根据采购方要求进行调整和细化</w:t>
      </w:r>
      <w:r>
        <w:rPr>
          <w:rFonts w:hint="eastAsia"/>
          <w:highlight w:val="none"/>
        </w:rPr>
        <w:t>。</w:t>
      </w:r>
    </w:p>
    <w:p w14:paraId="1C4AC735">
      <w:pPr>
        <w:pStyle w:val="4"/>
        <w:ind w:left="480" w:leftChars="200" w:right="240"/>
        <w:rPr>
          <w:rFonts w:ascii="仿宋" w:hAnsi="仿宋" w:eastAsia="仿宋"/>
          <w:highlight w:val="none"/>
        </w:rPr>
      </w:pPr>
      <w:bookmarkStart w:id="19" w:name="_Toc63785510"/>
      <w:r>
        <w:rPr>
          <w:rFonts w:hint="eastAsia" w:ascii="仿宋" w:hAnsi="仿宋" w:eastAsia="仿宋"/>
          <w:highlight w:val="none"/>
        </w:rPr>
        <w:t>项目团队及驻场人员要求</w:t>
      </w:r>
      <w:bookmarkEnd w:id="19"/>
    </w:p>
    <w:p w14:paraId="4263CA11">
      <w:pPr>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投标人须具有稳定的在职技术保障力量，能够提供及时的技术支援或服务。投标人应充分考虑本项目的复杂程度及实施要求，合理配置项目实施团队，明确组织结构、项目负责人、组成人员及分工职责，并提供人员简历、资质证书、社保（最近一个季度任意一个月依法缴纳社保费的证明）等材料。</w:t>
      </w:r>
    </w:p>
    <w:p w14:paraId="39EAF187">
      <w:pPr>
        <w:rPr>
          <w:rFonts w:cs="微软雅黑"/>
          <w:highlight w:val="none"/>
        </w:rPr>
      </w:pPr>
      <w:r>
        <w:rPr>
          <w:rFonts w:cs="微软雅黑"/>
          <w:highlight w:val="none"/>
        </w:rPr>
        <w:t>2</w:t>
      </w:r>
      <w:r>
        <w:rPr>
          <w:rFonts w:hint="eastAsia" w:cs="微软雅黑"/>
          <w:highlight w:val="none"/>
        </w:rPr>
        <w:t>）项目实施过程中，应为本项目配备1名项目经理，项目经理需具有计算机类或人工智能类相关高级职称并有10年以上相关工作经历，并提供不少于</w:t>
      </w:r>
      <w:r>
        <w:rPr>
          <w:rFonts w:cs="微软雅黑"/>
          <w:highlight w:val="none"/>
        </w:rPr>
        <w:t>16</w:t>
      </w:r>
      <w:r>
        <w:rPr>
          <w:rFonts w:hint="eastAsia" w:cs="微软雅黑"/>
          <w:highlight w:val="none"/>
        </w:rPr>
        <w:t>名技术人员</w:t>
      </w:r>
      <w:r>
        <w:rPr>
          <w:rFonts w:hint="eastAsia" w:cs="微软雅黑"/>
          <w:highlight w:val="none"/>
          <w:lang w:eastAsia="zh-CN"/>
        </w:rPr>
        <w:t>（不包含项目经理和技术负责人）</w:t>
      </w:r>
      <w:r>
        <w:rPr>
          <w:rFonts w:hint="eastAsia" w:cs="微软雅黑"/>
          <w:highlight w:val="none"/>
        </w:rPr>
        <w:t>的项目服务团队（其中驻场人员不少于3人）。技术负责人需具备计算机技术与软件专业技术资格——系统集成项目管理工程师证书，其他团队</w:t>
      </w:r>
      <w:r>
        <w:rPr>
          <w:rFonts w:hint="eastAsia" w:cs="微软雅黑"/>
          <w:highlight w:val="none"/>
          <w:lang w:eastAsia="zh-CN"/>
        </w:rPr>
        <w:t>成员</w:t>
      </w:r>
      <w:bookmarkStart w:id="23" w:name="_GoBack"/>
      <w:bookmarkEnd w:id="23"/>
      <w:r>
        <w:rPr>
          <w:rFonts w:hint="eastAsia" w:cs="微软雅黑"/>
          <w:highlight w:val="none"/>
        </w:rPr>
        <w:t>中应包含具有</w:t>
      </w:r>
      <w:r>
        <w:rPr>
          <w:rFonts w:hint="eastAsia" w:ascii="Calibri" w:hAnsi="Calibri"/>
          <w:highlight w:val="none"/>
        </w:rPr>
        <w:t>大数据分析师、数据安全工程师、</w:t>
      </w:r>
      <w:r>
        <w:rPr>
          <w:rFonts w:hint="eastAsia"/>
          <w:highlight w:val="none"/>
        </w:rPr>
        <w:t>计算机技术与软件专业技术资格——</w:t>
      </w:r>
      <w:r>
        <w:rPr>
          <w:rFonts w:hint="eastAsia" w:ascii="Calibri" w:hAnsi="Calibri"/>
          <w:highlight w:val="none"/>
        </w:rPr>
        <w:t>软件设计师</w:t>
      </w:r>
      <w:r>
        <w:rPr>
          <w:rFonts w:hint="eastAsia" w:cs="微软雅黑"/>
          <w:highlight w:val="none"/>
        </w:rPr>
        <w:t>等资质的人员。</w:t>
      </w:r>
    </w:p>
    <w:p w14:paraId="594CBC58">
      <w:pPr>
        <w:pStyle w:val="4"/>
        <w:ind w:left="480" w:leftChars="200" w:right="240"/>
        <w:rPr>
          <w:rFonts w:ascii="仿宋" w:hAnsi="仿宋" w:eastAsia="仿宋"/>
          <w:highlight w:val="none"/>
        </w:rPr>
      </w:pPr>
      <w:bookmarkStart w:id="20" w:name="_Toc63785507"/>
      <w:r>
        <w:rPr>
          <w:rFonts w:hint="eastAsia" w:ascii="仿宋" w:hAnsi="仿宋" w:eastAsia="仿宋"/>
          <w:highlight w:val="none"/>
        </w:rPr>
        <w:t>培训要求</w:t>
      </w:r>
      <w:bookmarkEnd w:id="20"/>
    </w:p>
    <w:p w14:paraId="6CAEB2BF">
      <w:pPr>
        <w:rPr>
          <w:rFonts w:asciiTheme="minorEastAsia" w:hAnsiTheme="minorEastAsia" w:eastAsiaTheme="minorEastAsia" w:cstheme="minorEastAsia"/>
          <w:highlight w:val="none"/>
        </w:rPr>
      </w:pPr>
      <w:r>
        <w:rPr>
          <w:rFonts w:hint="eastAsia" w:cs="微软雅黑"/>
          <w:highlight w:val="none"/>
        </w:rPr>
        <w:t>投标人应具有完善的培训体系，结合本项目的实际情况，制定全面、合理、符合项目情况的培训方案，需从培训目标、内容、地点、方式、课程安排、培训计划等方面进行详细的描述说明，确保系统上线后，采购人能熟练、准确地使用、管理、维护系统成果。</w:t>
      </w:r>
    </w:p>
    <w:p w14:paraId="1EA2BE53">
      <w:pPr>
        <w:pStyle w:val="4"/>
        <w:ind w:left="480" w:leftChars="200" w:right="240"/>
        <w:rPr>
          <w:rFonts w:ascii="仿宋" w:hAnsi="仿宋" w:eastAsia="仿宋"/>
          <w:highlight w:val="none"/>
        </w:rPr>
      </w:pPr>
      <w:bookmarkStart w:id="21" w:name="_Toc63785508"/>
      <w:r>
        <w:rPr>
          <w:rFonts w:hint="eastAsia" w:ascii="仿宋" w:hAnsi="仿宋" w:eastAsia="仿宋"/>
          <w:highlight w:val="none"/>
        </w:rPr>
        <w:t>验收要求</w:t>
      </w:r>
      <w:bookmarkEnd w:id="21"/>
    </w:p>
    <w:p w14:paraId="78914887">
      <w:pPr>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本项目按下述方式开展验收。</w:t>
      </w:r>
    </w:p>
    <w:p w14:paraId="73946B32">
      <w:pPr>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（1）成交投标人应对平台进行完善的测试和自验收，配合采购人完成项目的测评工作，测评通过后完成验收。</w:t>
      </w:r>
    </w:p>
    <w:p w14:paraId="30593D63">
      <w:pPr>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2）验收合格的条件必须至少满足以下要求：已完成项目要求的全部软件开发和应用功能；试运行时性能满足合同要求；性能测试和试运行验收时出现的问题已被解决；通过经用户指定的第三方测评机构进行的功能、性能</w:t>
      </w:r>
      <w:r>
        <w:rPr>
          <w:rFonts w:hint="eastAsia" w:asciiTheme="minorEastAsia" w:hAnsiTheme="minorEastAsia" w:eastAsiaTheme="minorEastAsia" w:cstheme="minorEastAsia"/>
          <w:highlight w:val="none"/>
        </w:rPr>
        <w:t>、</w:t>
      </w:r>
      <w:r>
        <w:rPr>
          <w:rFonts w:asciiTheme="minorEastAsia" w:hAnsiTheme="minorEastAsia" w:eastAsiaTheme="minorEastAsia" w:cstheme="minorEastAsia"/>
          <w:highlight w:val="none"/>
        </w:rPr>
        <w:t>安全</w:t>
      </w:r>
      <w:r>
        <w:rPr>
          <w:rFonts w:hint="eastAsia" w:asciiTheme="minorEastAsia" w:hAnsiTheme="minorEastAsia" w:eastAsiaTheme="minorEastAsia" w:cstheme="minorEastAsia"/>
          <w:highlight w:val="none"/>
        </w:rPr>
        <w:t>和密码应用</w:t>
      </w:r>
      <w:r>
        <w:rPr>
          <w:rFonts w:asciiTheme="minorEastAsia" w:hAnsiTheme="minorEastAsia" w:eastAsiaTheme="minorEastAsia" w:cstheme="minorEastAsia"/>
          <w:highlight w:val="none"/>
        </w:rPr>
        <w:t>测评。</w:t>
      </w:r>
    </w:p>
    <w:p w14:paraId="457AFC1A">
      <w:pPr>
        <w:pStyle w:val="4"/>
        <w:ind w:left="480" w:leftChars="200" w:right="240"/>
        <w:rPr>
          <w:rFonts w:ascii="仿宋" w:hAnsi="仿宋" w:eastAsia="仿宋"/>
          <w:highlight w:val="none"/>
        </w:rPr>
      </w:pPr>
      <w:r>
        <w:rPr>
          <w:rFonts w:hint="eastAsia" w:ascii="仿宋" w:hAnsi="仿宋" w:eastAsia="仿宋"/>
          <w:highlight w:val="none"/>
        </w:rPr>
        <w:t>售后服务要求</w:t>
      </w:r>
      <w:bookmarkEnd w:id="17"/>
    </w:p>
    <w:p w14:paraId="783B6389">
      <w:pPr>
        <w:rPr>
          <w:rFonts w:cs="微软雅黑"/>
          <w:highlight w:val="none"/>
        </w:rPr>
      </w:pPr>
      <w:r>
        <w:rPr>
          <w:rFonts w:hint="eastAsia" w:cs="微软雅黑"/>
          <w:highlight w:val="none"/>
        </w:rPr>
        <w:t>免费维护期限：本项目从系统验收通过之日起1年内提供免费技术支持和售后服务，1年后进入有偿维护期。</w:t>
      </w:r>
    </w:p>
    <w:p w14:paraId="1FC97F17">
      <w:pPr>
        <w:rPr>
          <w:rFonts w:cs="微软雅黑"/>
          <w:highlight w:val="none"/>
        </w:rPr>
      </w:pPr>
      <w:r>
        <w:rPr>
          <w:rFonts w:hint="eastAsia" w:cs="微软雅黑"/>
          <w:highlight w:val="none"/>
        </w:rPr>
        <w:t>系统维护方式：在系统维护期内投标人须提供电话支持、应急响应服务等，确保系统的正常运行。</w:t>
      </w:r>
    </w:p>
    <w:p w14:paraId="03D0D108">
      <w:pPr>
        <w:rPr>
          <w:rFonts w:asciiTheme="minorEastAsia" w:hAnsiTheme="minorEastAsia" w:eastAsiaTheme="minorEastAsia" w:cstheme="minorEastAsia"/>
          <w:highlight w:val="none"/>
        </w:rPr>
      </w:pPr>
      <w:r>
        <w:rPr>
          <w:rFonts w:hint="eastAsia"/>
          <w:highlight w:val="none"/>
        </w:rPr>
        <w:t>投标人</w:t>
      </w:r>
      <w:r>
        <w:rPr>
          <w:rFonts w:hint="eastAsia" w:cs="微软雅黑"/>
          <w:highlight w:val="none"/>
        </w:rPr>
        <w:t>须作出无推诿承诺。即提供特殊措施，无论由于哪一方产生的问题而使系统发生不正常情况时，并在得到采购人通知后，须立即派工程师到场，全力协助采购人和其他供应商，使系统尽快恢复正常。</w:t>
      </w:r>
    </w:p>
    <w:p w14:paraId="2D14E6DF">
      <w:pPr>
        <w:pStyle w:val="4"/>
        <w:ind w:left="480" w:leftChars="200" w:right="240"/>
        <w:rPr>
          <w:rFonts w:ascii="仿宋" w:hAnsi="仿宋" w:eastAsia="仿宋"/>
          <w:highlight w:val="none"/>
        </w:rPr>
      </w:pPr>
      <w:bookmarkStart w:id="22" w:name="_Toc63785506"/>
      <w:r>
        <w:rPr>
          <w:rFonts w:hint="eastAsia" w:ascii="仿宋" w:hAnsi="仿宋" w:eastAsia="仿宋"/>
          <w:highlight w:val="none"/>
        </w:rPr>
        <w:t>应急响应要求</w:t>
      </w:r>
      <w:bookmarkEnd w:id="22"/>
    </w:p>
    <w:p w14:paraId="7253496E">
      <w:pPr>
        <w:pStyle w:val="106"/>
        <w:snapToGrid w:val="0"/>
        <w:spacing w:line="360" w:lineRule="auto"/>
        <w:ind w:firstLine="480"/>
        <w:rPr>
          <w:rFonts w:ascii="宋体" w:hAnsi="宋体"/>
          <w:sz w:val="24"/>
          <w:szCs w:val="24"/>
          <w:highlight w:val="none"/>
        </w:rPr>
      </w:pPr>
      <w:r>
        <w:rPr>
          <w:rFonts w:hint="eastAsia" w:ascii="宋体" w:hAnsi="宋体"/>
          <w:sz w:val="24"/>
          <w:szCs w:val="24"/>
          <w:highlight w:val="none"/>
        </w:rPr>
        <w:t>投标人应</w:t>
      </w:r>
      <w:r>
        <w:rPr>
          <w:rFonts w:hint="eastAsia" w:ascii="宋体" w:hAnsi="宋体" w:cs="微软雅黑"/>
          <w:sz w:val="24"/>
          <w:szCs w:val="24"/>
          <w:highlight w:val="none"/>
        </w:rPr>
        <w:t>提供5*8小时本地语言（中文）支持。</w:t>
      </w:r>
      <w:r>
        <w:rPr>
          <w:rFonts w:hint="eastAsia" w:ascii="宋体" w:hAnsi="宋体"/>
          <w:sz w:val="24"/>
          <w:szCs w:val="24"/>
          <w:highlight w:val="none"/>
        </w:rPr>
        <w:t>若系统发生故障，接到通知后</w:t>
      </w:r>
      <w:r>
        <w:rPr>
          <w:rFonts w:ascii="宋体" w:hAnsi="宋体"/>
          <w:sz w:val="24"/>
          <w:szCs w:val="24"/>
          <w:highlight w:val="none"/>
        </w:rPr>
        <w:t>30分钟之内响应，专业工程师2小时内到达现场</w:t>
      </w:r>
      <w:r>
        <w:rPr>
          <w:rFonts w:hint="eastAsia" w:ascii="宋体" w:hAnsi="宋体"/>
          <w:sz w:val="24"/>
          <w:szCs w:val="24"/>
          <w:highlight w:val="none"/>
        </w:rPr>
        <w:t>。特殊故障与客户沟通协商后，按照协商的方式制定解决方案并进行处理。</w:t>
      </w:r>
    </w:p>
    <w:p w14:paraId="3C95B3B7">
      <w:pPr>
        <w:pStyle w:val="106"/>
        <w:snapToGrid w:val="0"/>
        <w:spacing w:line="360" w:lineRule="auto"/>
        <w:ind w:firstLine="480"/>
        <w:rPr>
          <w:rFonts w:ascii="宋体" w:hAnsi="宋体"/>
          <w:sz w:val="24"/>
          <w:szCs w:val="24"/>
          <w:highlight w:val="none"/>
        </w:rPr>
      </w:pPr>
      <w:r>
        <w:rPr>
          <w:rFonts w:hint="eastAsia" w:ascii="宋体" w:hAnsi="宋体"/>
          <w:sz w:val="24"/>
          <w:szCs w:val="24"/>
          <w:highlight w:val="none"/>
        </w:rPr>
        <w:t>具体故障级别及对应的应急响应要求如下：</w:t>
      </w:r>
    </w:p>
    <w:p w14:paraId="4B8FF46E">
      <w:pPr>
        <w:pStyle w:val="106"/>
        <w:snapToGrid w:val="0"/>
        <w:spacing w:line="360" w:lineRule="auto"/>
        <w:ind w:firstLine="480"/>
        <w:rPr>
          <w:rFonts w:ascii="宋体" w:hAnsi="宋体"/>
          <w:sz w:val="24"/>
          <w:szCs w:val="24"/>
          <w:highlight w:val="none"/>
        </w:rPr>
      </w:pPr>
      <w:r>
        <w:rPr>
          <w:rFonts w:hint="eastAsia" w:ascii="宋体" w:hAnsi="宋体"/>
          <w:sz w:val="24"/>
          <w:szCs w:val="24"/>
          <w:highlight w:val="none"/>
        </w:rPr>
        <w:t>一级故障：在</w:t>
      </w:r>
      <w:r>
        <w:rPr>
          <w:rFonts w:ascii="宋体" w:hAnsi="宋体"/>
          <w:sz w:val="24"/>
          <w:szCs w:val="24"/>
          <w:highlight w:val="none"/>
        </w:rPr>
        <w:t>2小时内确诊，总故障解决时间不超过8小时。</w:t>
      </w:r>
    </w:p>
    <w:p w14:paraId="6FD428A5">
      <w:pPr>
        <w:pStyle w:val="106"/>
        <w:snapToGrid w:val="0"/>
        <w:spacing w:line="360" w:lineRule="auto"/>
        <w:ind w:firstLine="480"/>
        <w:rPr>
          <w:rFonts w:ascii="宋体" w:hAnsi="宋体"/>
          <w:sz w:val="24"/>
          <w:szCs w:val="24"/>
          <w:highlight w:val="none"/>
        </w:rPr>
      </w:pPr>
      <w:r>
        <w:rPr>
          <w:rFonts w:hint="eastAsia" w:ascii="宋体" w:hAnsi="宋体"/>
          <w:sz w:val="24"/>
          <w:szCs w:val="24"/>
          <w:highlight w:val="none"/>
        </w:rPr>
        <w:t>二级故障：在</w:t>
      </w:r>
      <w:r>
        <w:rPr>
          <w:rFonts w:ascii="宋体" w:hAnsi="宋体"/>
          <w:sz w:val="24"/>
          <w:szCs w:val="24"/>
          <w:highlight w:val="none"/>
        </w:rPr>
        <w:t>4小时内确诊，并在6小时内由</w:t>
      </w:r>
      <w:r>
        <w:rPr>
          <w:rFonts w:hint="eastAsia" w:ascii="宋体" w:hAnsi="宋体"/>
          <w:sz w:val="24"/>
          <w:szCs w:val="24"/>
          <w:highlight w:val="none"/>
        </w:rPr>
        <w:t>专业工程师</w:t>
      </w:r>
      <w:r>
        <w:rPr>
          <w:rFonts w:ascii="宋体" w:hAnsi="宋体"/>
          <w:sz w:val="24"/>
          <w:szCs w:val="24"/>
          <w:highlight w:val="none"/>
        </w:rPr>
        <w:t>到达现场确诊并解决，总故障解决时间不超过24小时；</w:t>
      </w:r>
    </w:p>
    <w:p w14:paraId="34F0E056">
      <w:pPr>
        <w:rPr>
          <w:highlight w:val="none"/>
        </w:rPr>
      </w:pPr>
      <w:r>
        <w:rPr>
          <w:rFonts w:hint="eastAsia"/>
          <w:highlight w:val="none"/>
        </w:rPr>
        <w:t>三、四级故障：在</w:t>
      </w:r>
      <w:r>
        <w:rPr>
          <w:highlight w:val="none"/>
        </w:rPr>
        <w:t>8小时内确诊故障，总故障解决时间不超过48小时。</w:t>
      </w:r>
    </w:p>
    <w:p w14:paraId="4031A221">
      <w:pPr>
        <w:pStyle w:val="4"/>
        <w:ind w:left="480" w:leftChars="200" w:right="240"/>
        <w:rPr>
          <w:rFonts w:ascii="仿宋" w:hAnsi="仿宋" w:eastAsia="仿宋"/>
          <w:highlight w:val="none"/>
        </w:rPr>
      </w:pPr>
      <w:r>
        <w:rPr>
          <w:rFonts w:hint="eastAsia" w:ascii="仿宋" w:hAnsi="仿宋" w:eastAsia="仿宋"/>
          <w:highlight w:val="none"/>
        </w:rPr>
        <w:t>其他要求</w:t>
      </w:r>
    </w:p>
    <w:p w14:paraId="4D58564D">
      <w:pPr>
        <w:numPr>
          <w:ilvl w:val="0"/>
          <w:numId w:val="5"/>
        </w:numPr>
        <w:rPr>
          <w:rFonts w:cs="微软雅黑"/>
          <w:highlight w:val="none"/>
        </w:rPr>
      </w:pPr>
      <w:r>
        <w:rPr>
          <w:rFonts w:hint="eastAsia" w:cs="微软雅黑"/>
          <w:highlight w:val="none"/>
        </w:rPr>
        <w:t>投标人具有ISO9001质量管理体系认证证书、DCMM数据管理能力成熟度证书的优先考虑。</w:t>
      </w:r>
    </w:p>
    <w:p w14:paraId="1BE3E409">
      <w:pPr>
        <w:numPr>
          <w:ilvl w:val="0"/>
          <w:numId w:val="5"/>
        </w:numPr>
        <w:rPr>
          <w:rFonts w:cs="微软雅黑"/>
          <w:highlight w:val="none"/>
        </w:rPr>
      </w:pPr>
      <w:r>
        <w:rPr>
          <w:rFonts w:hint="eastAsia" w:cs="微软雅黑"/>
          <w:highlight w:val="none"/>
        </w:rPr>
        <w:t>投标人具有近三年类似项目业绩的优先考虑。</w:t>
      </w:r>
    </w:p>
    <w:bookmarkEnd w:id="18"/>
    <w:p w14:paraId="0622B761">
      <w:pPr>
        <w:ind w:firstLine="0" w:firstLineChars="0"/>
        <w:jc w:val="left"/>
        <w:rPr>
          <w:b/>
          <w:bCs/>
          <w:highlight w:val="none"/>
        </w:rPr>
      </w:pPr>
    </w:p>
    <w:sectPr>
      <w:footerReference r:id="rId11" w:type="first"/>
      <w:pgSz w:w="11906" w:h="16838"/>
      <w:pgMar w:top="1134" w:right="1797" w:bottom="1135" w:left="1797" w:header="340" w:footer="7" w:gutter="0"/>
      <w:pgNumType w:start="1"/>
      <w:cols w:space="720" w:num="1"/>
      <w:titlePg/>
      <w:docGrid w:type="linesAndChar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方正黑体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DengXian">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Calibri Light">
    <w:altName w:val="DejaVu Sans"/>
    <w:panose1 w:val="020F0302020204030204"/>
    <w:charset w:val="00"/>
    <w:family w:val="swiss"/>
    <w:pitch w:val="default"/>
    <w:sig w:usb0="00000000" w:usb1="00000000" w:usb2="00000009" w:usb3="00000000" w:csb0="000001FF" w:csb1="00000000"/>
  </w:font>
  <w:font w:name="Arial Unicode MS">
    <w:altName w:val="DejaVu Sans"/>
    <w:panose1 w:val="020B0604020202020204"/>
    <w:charset w:val="80"/>
    <w:family w:val="swiss"/>
    <w:pitch w:val="default"/>
    <w:sig w:usb0="00000000" w:usb1="00000000" w:usb2="0000003F" w:usb3="00000000" w:csb0="003F01FF" w:csb1="00000000"/>
  </w:font>
  <w:font w:name="DengXian Light">
    <w:altName w:val="汉仪中圆B5"/>
    <w:panose1 w:val="02010600030101010101"/>
    <w:charset w:val="86"/>
    <w:family w:val="auto"/>
    <w:pitch w:val="default"/>
    <w:sig w:usb0="00000000" w:usb1="00000000" w:usb2="00000016" w:usb3="00000000" w:csb0="0004000F" w:csb1="00000000"/>
  </w:font>
  <w:font w:name="time">
    <w:altName w:val="文泉驿微米黑"/>
    <w:panose1 w:val="020B0604020202020204"/>
    <w:charset w:val="00"/>
    <w:family w:val="roman"/>
    <w:pitch w:val="default"/>
    <w:sig w:usb0="00000000" w:usb1="00000000" w:usb2="00000000" w:usb3="00000000" w:csb0="00040001" w:csb1="00000000"/>
  </w:font>
  <w:font w:name="文泉驿微米黑">
    <w:panose1 w:val="020B0606030804020204"/>
    <w:charset w:val="86"/>
    <w:family w:val="auto"/>
    <w:pitch w:val="default"/>
    <w:sig w:usb0="E10002EF" w:usb1="6BDFFCFB" w:usb2="00800036" w:usb3="00000000" w:csb0="603E019F" w:csb1="DFD70000"/>
  </w:font>
  <w:font w:name="Microsoft YaHei UI">
    <w:altName w:val="文泉驿微米黑"/>
    <w:panose1 w:val="020B0503020204020204"/>
    <w:charset w:val="86"/>
    <w:family w:val="swiss"/>
    <w:pitch w:val="default"/>
    <w:sig w:usb0="00000000" w:usb1="00000000" w:usb2="00000016" w:usb3="00000000" w:csb0="0004001F" w:csb1="00000000"/>
  </w:font>
  <w:font w:name="Microsoft Sans Serif">
    <w:altName w:val="Liberation Sans"/>
    <w:panose1 w:val="020B0604020202020204"/>
    <w:charset w:val="00"/>
    <w:family w:val="swiss"/>
    <w:pitch w:val="default"/>
    <w:sig w:usb0="00000000" w:usb1="00000000" w:usb2="00000008" w:usb3="00000000" w:csb0="000101FF" w:csb1="00000000"/>
  </w:font>
  <w:font w:name="Liberation Sans">
    <w:panose1 w:val="020B0604020202020204"/>
    <w:charset w:val="00"/>
    <w:family w:val="auto"/>
    <w:pitch w:val="default"/>
    <w:sig w:usb0="A00002AF" w:usb1="500078FB" w:usb2="00000000" w:usb3="00000000" w:csb0="6000009F" w:csb1="DFD70000"/>
  </w:font>
  <w:font w:name="楷体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3043A">
    <w:pPr>
      <w:ind w:firstLine="0" w:firstLineChars="0"/>
      <w:jc w:val="center"/>
    </w:pPr>
    <w:r>
      <w:fldChar w:fldCharType="begin"/>
    </w:r>
    <w:r>
      <w:instrText xml:space="preserve">PAGE   \* MERGEFORMAT</w:instrText>
    </w:r>
    <w:r>
      <w:fldChar w:fldCharType="separate"/>
    </w:r>
    <w:r>
      <w:rPr>
        <w:lang w:val="zh-CN"/>
      </w:rPr>
      <w:t>11</w:t>
    </w:r>
    <w:r>
      <w:rPr>
        <w:lang w:val="zh-CN"/>
      </w:rPr>
      <w:fldChar w:fldCharType="end"/>
    </w:r>
  </w:p>
  <w:p w14:paraId="6C58AE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2934A"/>
  <w:p w14:paraId="7CC180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83732">
    <w:pPr>
      <w:ind w:firstLine="0" w:firstLineChars="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02628">
    <w:pPr>
      <w:ind w:firstLine="0" w:firstLineChars="0"/>
      <w:jc w:val="center"/>
      <w:rPr>
        <w:lang w:val="zh-CN"/>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p w14:paraId="59CC33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635CB">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8298B"/>
  <w:p w14:paraId="0596840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AD759">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77C964"/>
    <w:multiLevelType w:val="singleLevel"/>
    <w:tmpl w:val="F777C964"/>
    <w:lvl w:ilvl="0" w:tentative="0">
      <w:start w:val="1"/>
      <w:numFmt w:val="decimal"/>
      <w:lvlText w:val="%1."/>
      <w:lvlJc w:val="left"/>
      <w:pPr>
        <w:tabs>
          <w:tab w:val="left" w:pos="312"/>
        </w:tabs>
      </w:pPr>
    </w:lvl>
  </w:abstractNum>
  <w:abstractNum w:abstractNumId="1">
    <w:nsid w:val="17E026CA"/>
    <w:multiLevelType w:val="multilevel"/>
    <w:tmpl w:val="17E026C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E395B53"/>
    <w:multiLevelType w:val="multilevel"/>
    <w:tmpl w:val="3E395B53"/>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6350366A"/>
    <w:multiLevelType w:val="multilevel"/>
    <w:tmpl w:val="6350366A"/>
    <w:lvl w:ilvl="0" w:tentative="0">
      <w:start w:val="1"/>
      <w:numFmt w:val="none"/>
      <w:pStyle w:val="112"/>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A2F4AB3"/>
    <w:multiLevelType w:val="multilevel"/>
    <w:tmpl w:val="6A2F4AB3"/>
    <w:lvl w:ilvl="0" w:tentative="0">
      <w:start w:val="1"/>
      <w:numFmt w:val="chineseCountingThousand"/>
      <w:pStyle w:val="3"/>
      <w:suff w:val="nothing"/>
      <w:lvlText w:val="%1、"/>
      <w:lvlJc w:val="left"/>
      <w:pPr>
        <w:ind w:left="425" w:hanging="425"/>
      </w:pPr>
      <w:rPr>
        <w:rFonts w:hint="eastAsia"/>
        <w:sz w:val="32"/>
        <w:szCs w:val="32"/>
      </w:rPr>
    </w:lvl>
    <w:lvl w:ilvl="1" w:tentative="0">
      <w:start w:val="1"/>
      <w:numFmt w:val="decimal"/>
      <w:pStyle w:val="4"/>
      <w:isLgl/>
      <w:suff w:val="nothing"/>
      <w:lvlText w:val="%1.%2、"/>
      <w:lvlJc w:val="left"/>
      <w:pPr>
        <w:ind w:left="1135" w:hanging="567"/>
      </w:pPr>
    </w:lvl>
    <w:lvl w:ilvl="2" w:tentative="0">
      <w:start w:val="1"/>
      <w:numFmt w:val="decimal"/>
      <w:pStyle w:val="5"/>
      <w:isLgl/>
      <w:suff w:val="nothing"/>
      <w:lvlText w:val="%1.%2.%3、"/>
      <w:lvlJc w:val="left"/>
      <w:pPr>
        <w:ind w:left="1069" w:hanging="1069"/>
      </w:pPr>
      <w:rPr>
        <w:rFonts w:hint="default" w:ascii="宋体" w:hAnsi="宋体" w:eastAsia="宋体" w:cs="Arial"/>
      </w:rPr>
    </w:lvl>
    <w:lvl w:ilvl="3" w:tentative="0">
      <w:start w:val="1"/>
      <w:numFmt w:val="decimal"/>
      <w:pStyle w:val="6"/>
      <w:isLgl/>
      <w:suff w:val="nothing"/>
      <w:lvlText w:val="%1.%2.%3.%4、"/>
      <w:lvlJc w:val="left"/>
      <w:pPr>
        <w:ind w:left="3403" w:hanging="851"/>
      </w:pPr>
    </w:lvl>
    <w:lvl w:ilvl="4" w:tentative="0">
      <w:start w:val="1"/>
      <w:numFmt w:val="decimal"/>
      <w:pStyle w:val="7"/>
      <w:isLgl/>
      <w:suff w:val="nothing"/>
      <w:lvlText w:val="%1.%2.%3.%4.%5、"/>
      <w:lvlJc w:val="left"/>
      <w:pPr>
        <w:ind w:left="3544" w:hanging="992"/>
      </w:pPr>
      <w:rPr>
        <w:rFonts w:hint="eastAsia"/>
      </w:rPr>
    </w:lvl>
    <w:lvl w:ilvl="5" w:tentative="0">
      <w:start w:val="1"/>
      <w:numFmt w:val="decimal"/>
      <w:pStyle w:val="2"/>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0YWRlNGQyYWIyYzU5OTk0ODQ3ZmIzMWEwOTdmYzIifQ=="/>
  </w:docVars>
  <w:rsids>
    <w:rsidRoot w:val="006910C0"/>
    <w:rsid w:val="0000005A"/>
    <w:rsid w:val="00000AED"/>
    <w:rsid w:val="00000E01"/>
    <w:rsid w:val="00003516"/>
    <w:rsid w:val="0000380E"/>
    <w:rsid w:val="00004CDF"/>
    <w:rsid w:val="00005AFD"/>
    <w:rsid w:val="00005D2C"/>
    <w:rsid w:val="00006563"/>
    <w:rsid w:val="0000747B"/>
    <w:rsid w:val="000074F1"/>
    <w:rsid w:val="00007A41"/>
    <w:rsid w:val="00007DA7"/>
    <w:rsid w:val="00011681"/>
    <w:rsid w:val="000116B1"/>
    <w:rsid w:val="00012EF0"/>
    <w:rsid w:val="000156DE"/>
    <w:rsid w:val="000165AD"/>
    <w:rsid w:val="000179E9"/>
    <w:rsid w:val="000208CE"/>
    <w:rsid w:val="00020C18"/>
    <w:rsid w:val="0002177B"/>
    <w:rsid w:val="00021EE6"/>
    <w:rsid w:val="0002280E"/>
    <w:rsid w:val="00022C74"/>
    <w:rsid w:val="00023B6D"/>
    <w:rsid w:val="00025122"/>
    <w:rsid w:val="000252D5"/>
    <w:rsid w:val="00026997"/>
    <w:rsid w:val="00027A64"/>
    <w:rsid w:val="00032D27"/>
    <w:rsid w:val="00035325"/>
    <w:rsid w:val="00035D5B"/>
    <w:rsid w:val="00035DE3"/>
    <w:rsid w:val="000378D0"/>
    <w:rsid w:val="00037AE1"/>
    <w:rsid w:val="00037F2C"/>
    <w:rsid w:val="00042C2A"/>
    <w:rsid w:val="000430EC"/>
    <w:rsid w:val="000447CB"/>
    <w:rsid w:val="00047915"/>
    <w:rsid w:val="00047D06"/>
    <w:rsid w:val="00050FBD"/>
    <w:rsid w:val="0005107A"/>
    <w:rsid w:val="0005192C"/>
    <w:rsid w:val="0005276C"/>
    <w:rsid w:val="00052929"/>
    <w:rsid w:val="0005299F"/>
    <w:rsid w:val="0005348B"/>
    <w:rsid w:val="000541D7"/>
    <w:rsid w:val="000545C0"/>
    <w:rsid w:val="00054A07"/>
    <w:rsid w:val="0005586D"/>
    <w:rsid w:val="00056C0E"/>
    <w:rsid w:val="000574A8"/>
    <w:rsid w:val="000574F8"/>
    <w:rsid w:val="00057A49"/>
    <w:rsid w:val="00057AC2"/>
    <w:rsid w:val="0006088A"/>
    <w:rsid w:val="0006227F"/>
    <w:rsid w:val="0006231F"/>
    <w:rsid w:val="00062A05"/>
    <w:rsid w:val="00062A88"/>
    <w:rsid w:val="00062EE6"/>
    <w:rsid w:val="0006344E"/>
    <w:rsid w:val="000649E6"/>
    <w:rsid w:val="00066217"/>
    <w:rsid w:val="00066A3E"/>
    <w:rsid w:val="0006794B"/>
    <w:rsid w:val="00067DCA"/>
    <w:rsid w:val="00067E37"/>
    <w:rsid w:val="00070063"/>
    <w:rsid w:val="0007087A"/>
    <w:rsid w:val="000710EC"/>
    <w:rsid w:val="00071527"/>
    <w:rsid w:val="00071F0C"/>
    <w:rsid w:val="00072237"/>
    <w:rsid w:val="00072ABE"/>
    <w:rsid w:val="00073E84"/>
    <w:rsid w:val="00080B39"/>
    <w:rsid w:val="00083950"/>
    <w:rsid w:val="0008452F"/>
    <w:rsid w:val="00084E8E"/>
    <w:rsid w:val="00085A68"/>
    <w:rsid w:val="00087836"/>
    <w:rsid w:val="00087E23"/>
    <w:rsid w:val="0009001F"/>
    <w:rsid w:val="00090535"/>
    <w:rsid w:val="00090625"/>
    <w:rsid w:val="000908B1"/>
    <w:rsid w:val="00090948"/>
    <w:rsid w:val="00090D3E"/>
    <w:rsid w:val="00091CD1"/>
    <w:rsid w:val="00092DA6"/>
    <w:rsid w:val="0009460E"/>
    <w:rsid w:val="000951D4"/>
    <w:rsid w:val="00097A6A"/>
    <w:rsid w:val="00097BA0"/>
    <w:rsid w:val="000A2146"/>
    <w:rsid w:val="000A2930"/>
    <w:rsid w:val="000A2BF2"/>
    <w:rsid w:val="000A3276"/>
    <w:rsid w:val="000A3AD6"/>
    <w:rsid w:val="000A3C35"/>
    <w:rsid w:val="000A3E30"/>
    <w:rsid w:val="000A5876"/>
    <w:rsid w:val="000A61D0"/>
    <w:rsid w:val="000A6C67"/>
    <w:rsid w:val="000A6DB8"/>
    <w:rsid w:val="000A7596"/>
    <w:rsid w:val="000B11A8"/>
    <w:rsid w:val="000B182E"/>
    <w:rsid w:val="000B1959"/>
    <w:rsid w:val="000B2E1C"/>
    <w:rsid w:val="000B4459"/>
    <w:rsid w:val="000B4B46"/>
    <w:rsid w:val="000B4E9B"/>
    <w:rsid w:val="000B5363"/>
    <w:rsid w:val="000B53BA"/>
    <w:rsid w:val="000B642F"/>
    <w:rsid w:val="000B6519"/>
    <w:rsid w:val="000B6C99"/>
    <w:rsid w:val="000C0912"/>
    <w:rsid w:val="000C15CA"/>
    <w:rsid w:val="000C3683"/>
    <w:rsid w:val="000C378C"/>
    <w:rsid w:val="000C3F3C"/>
    <w:rsid w:val="000C413D"/>
    <w:rsid w:val="000C56FC"/>
    <w:rsid w:val="000C5A75"/>
    <w:rsid w:val="000C6599"/>
    <w:rsid w:val="000C75F7"/>
    <w:rsid w:val="000D0AB2"/>
    <w:rsid w:val="000D0E21"/>
    <w:rsid w:val="000D225C"/>
    <w:rsid w:val="000D22DB"/>
    <w:rsid w:val="000D36F2"/>
    <w:rsid w:val="000D4B26"/>
    <w:rsid w:val="000D58F6"/>
    <w:rsid w:val="000D74DB"/>
    <w:rsid w:val="000E18B9"/>
    <w:rsid w:val="000E24D6"/>
    <w:rsid w:val="000E2E89"/>
    <w:rsid w:val="000E6072"/>
    <w:rsid w:val="000E680B"/>
    <w:rsid w:val="000E6D61"/>
    <w:rsid w:val="000E7A23"/>
    <w:rsid w:val="000F07B9"/>
    <w:rsid w:val="000F1C29"/>
    <w:rsid w:val="000F1E9E"/>
    <w:rsid w:val="000F2B10"/>
    <w:rsid w:val="000F2CC4"/>
    <w:rsid w:val="000F37AC"/>
    <w:rsid w:val="000F3F72"/>
    <w:rsid w:val="00100E53"/>
    <w:rsid w:val="001023E5"/>
    <w:rsid w:val="001055B2"/>
    <w:rsid w:val="001068F0"/>
    <w:rsid w:val="00106AB8"/>
    <w:rsid w:val="00106C9E"/>
    <w:rsid w:val="00106E16"/>
    <w:rsid w:val="0010768B"/>
    <w:rsid w:val="00111701"/>
    <w:rsid w:val="00111AFB"/>
    <w:rsid w:val="00112A29"/>
    <w:rsid w:val="0011358A"/>
    <w:rsid w:val="001167F6"/>
    <w:rsid w:val="00116C86"/>
    <w:rsid w:val="00121ACF"/>
    <w:rsid w:val="00121D8F"/>
    <w:rsid w:val="00122037"/>
    <w:rsid w:val="0012210C"/>
    <w:rsid w:val="001223E0"/>
    <w:rsid w:val="00122646"/>
    <w:rsid w:val="00122A7F"/>
    <w:rsid w:val="00123F98"/>
    <w:rsid w:val="001242A5"/>
    <w:rsid w:val="00124531"/>
    <w:rsid w:val="00126EDF"/>
    <w:rsid w:val="00127BBE"/>
    <w:rsid w:val="001318BF"/>
    <w:rsid w:val="0013194F"/>
    <w:rsid w:val="00131D52"/>
    <w:rsid w:val="001329C1"/>
    <w:rsid w:val="00132C16"/>
    <w:rsid w:val="0013484D"/>
    <w:rsid w:val="00136320"/>
    <w:rsid w:val="00136FFA"/>
    <w:rsid w:val="00137AC6"/>
    <w:rsid w:val="00142E5B"/>
    <w:rsid w:val="00143FD7"/>
    <w:rsid w:val="00145512"/>
    <w:rsid w:val="001465BD"/>
    <w:rsid w:val="00146A05"/>
    <w:rsid w:val="001473EC"/>
    <w:rsid w:val="00147B45"/>
    <w:rsid w:val="00147BC5"/>
    <w:rsid w:val="00150803"/>
    <w:rsid w:val="00151D83"/>
    <w:rsid w:val="00153636"/>
    <w:rsid w:val="001546C9"/>
    <w:rsid w:val="00154FAE"/>
    <w:rsid w:val="00155E77"/>
    <w:rsid w:val="00156A70"/>
    <w:rsid w:val="00157F2F"/>
    <w:rsid w:val="00160A61"/>
    <w:rsid w:val="00160FC0"/>
    <w:rsid w:val="00162F37"/>
    <w:rsid w:val="00163151"/>
    <w:rsid w:val="0016429B"/>
    <w:rsid w:val="00164525"/>
    <w:rsid w:val="00164C50"/>
    <w:rsid w:val="00165CB2"/>
    <w:rsid w:val="00166203"/>
    <w:rsid w:val="00166767"/>
    <w:rsid w:val="001707CB"/>
    <w:rsid w:val="00171234"/>
    <w:rsid w:val="00171477"/>
    <w:rsid w:val="00172A1A"/>
    <w:rsid w:val="00173251"/>
    <w:rsid w:val="001754E2"/>
    <w:rsid w:val="00176BED"/>
    <w:rsid w:val="001773F7"/>
    <w:rsid w:val="0017759D"/>
    <w:rsid w:val="001804A5"/>
    <w:rsid w:val="00180A0D"/>
    <w:rsid w:val="00181C94"/>
    <w:rsid w:val="00182C84"/>
    <w:rsid w:val="00184836"/>
    <w:rsid w:val="00184D91"/>
    <w:rsid w:val="00185091"/>
    <w:rsid w:val="00185502"/>
    <w:rsid w:val="00185F1F"/>
    <w:rsid w:val="00187031"/>
    <w:rsid w:val="00191EA4"/>
    <w:rsid w:val="001929BB"/>
    <w:rsid w:val="00192B6C"/>
    <w:rsid w:val="00192C30"/>
    <w:rsid w:val="0019381E"/>
    <w:rsid w:val="00194CF5"/>
    <w:rsid w:val="0019503C"/>
    <w:rsid w:val="00195329"/>
    <w:rsid w:val="00195D94"/>
    <w:rsid w:val="001963A4"/>
    <w:rsid w:val="00196F7B"/>
    <w:rsid w:val="001971CB"/>
    <w:rsid w:val="0019795C"/>
    <w:rsid w:val="001A053A"/>
    <w:rsid w:val="001A22A2"/>
    <w:rsid w:val="001A2971"/>
    <w:rsid w:val="001A3D52"/>
    <w:rsid w:val="001A460A"/>
    <w:rsid w:val="001A4A4C"/>
    <w:rsid w:val="001B0230"/>
    <w:rsid w:val="001B13AB"/>
    <w:rsid w:val="001B3907"/>
    <w:rsid w:val="001B3B49"/>
    <w:rsid w:val="001B4907"/>
    <w:rsid w:val="001B4DC5"/>
    <w:rsid w:val="001B5505"/>
    <w:rsid w:val="001B55D0"/>
    <w:rsid w:val="001C2180"/>
    <w:rsid w:val="001C29CC"/>
    <w:rsid w:val="001C2B7A"/>
    <w:rsid w:val="001C3217"/>
    <w:rsid w:val="001C3A87"/>
    <w:rsid w:val="001C3B98"/>
    <w:rsid w:val="001C539E"/>
    <w:rsid w:val="001C6028"/>
    <w:rsid w:val="001C6209"/>
    <w:rsid w:val="001C6365"/>
    <w:rsid w:val="001C7F57"/>
    <w:rsid w:val="001D0E79"/>
    <w:rsid w:val="001D0E93"/>
    <w:rsid w:val="001D1ECC"/>
    <w:rsid w:val="001D2600"/>
    <w:rsid w:val="001D4DCA"/>
    <w:rsid w:val="001D6049"/>
    <w:rsid w:val="001D7339"/>
    <w:rsid w:val="001E209D"/>
    <w:rsid w:val="001E2750"/>
    <w:rsid w:val="001E4343"/>
    <w:rsid w:val="001E52BB"/>
    <w:rsid w:val="001E660A"/>
    <w:rsid w:val="001F05D6"/>
    <w:rsid w:val="001F14C6"/>
    <w:rsid w:val="001F5B0A"/>
    <w:rsid w:val="001F640F"/>
    <w:rsid w:val="001F6794"/>
    <w:rsid w:val="001F6F65"/>
    <w:rsid w:val="0020004C"/>
    <w:rsid w:val="002002DF"/>
    <w:rsid w:val="00200BEB"/>
    <w:rsid w:val="00203A6F"/>
    <w:rsid w:val="00204083"/>
    <w:rsid w:val="00205646"/>
    <w:rsid w:val="002063F7"/>
    <w:rsid w:val="002116E8"/>
    <w:rsid w:val="002129E5"/>
    <w:rsid w:val="00212AA4"/>
    <w:rsid w:val="00212E13"/>
    <w:rsid w:val="0021503C"/>
    <w:rsid w:val="002151EE"/>
    <w:rsid w:val="002163C8"/>
    <w:rsid w:val="002179FE"/>
    <w:rsid w:val="002205BA"/>
    <w:rsid w:val="00220CC0"/>
    <w:rsid w:val="00221A36"/>
    <w:rsid w:val="00223296"/>
    <w:rsid w:val="0022329B"/>
    <w:rsid w:val="002240F7"/>
    <w:rsid w:val="0022486F"/>
    <w:rsid w:val="00225314"/>
    <w:rsid w:val="00225DF4"/>
    <w:rsid w:val="00226C70"/>
    <w:rsid w:val="00230C8A"/>
    <w:rsid w:val="002317EB"/>
    <w:rsid w:val="00231F98"/>
    <w:rsid w:val="002324F8"/>
    <w:rsid w:val="00232CD8"/>
    <w:rsid w:val="002330C2"/>
    <w:rsid w:val="002348B0"/>
    <w:rsid w:val="00235328"/>
    <w:rsid w:val="00235CDC"/>
    <w:rsid w:val="00235E36"/>
    <w:rsid w:val="00237681"/>
    <w:rsid w:val="00237E76"/>
    <w:rsid w:val="00240BBE"/>
    <w:rsid w:val="00241525"/>
    <w:rsid w:val="00241D87"/>
    <w:rsid w:val="002430DE"/>
    <w:rsid w:val="00243C55"/>
    <w:rsid w:val="00243D5E"/>
    <w:rsid w:val="002451EC"/>
    <w:rsid w:val="00245ED4"/>
    <w:rsid w:val="00246B41"/>
    <w:rsid w:val="0025002B"/>
    <w:rsid w:val="002500DE"/>
    <w:rsid w:val="00252457"/>
    <w:rsid w:val="00252581"/>
    <w:rsid w:val="002535B5"/>
    <w:rsid w:val="002538CB"/>
    <w:rsid w:val="002542BD"/>
    <w:rsid w:val="00255C86"/>
    <w:rsid w:val="0025774E"/>
    <w:rsid w:val="00257D64"/>
    <w:rsid w:val="00262584"/>
    <w:rsid w:val="0026340A"/>
    <w:rsid w:val="002654EA"/>
    <w:rsid w:val="002704EA"/>
    <w:rsid w:val="0027061A"/>
    <w:rsid w:val="002719CC"/>
    <w:rsid w:val="002730C5"/>
    <w:rsid w:val="0027337C"/>
    <w:rsid w:val="0027602B"/>
    <w:rsid w:val="0027641A"/>
    <w:rsid w:val="00277F5E"/>
    <w:rsid w:val="00280084"/>
    <w:rsid w:val="00280490"/>
    <w:rsid w:val="002860B8"/>
    <w:rsid w:val="0029206E"/>
    <w:rsid w:val="00292421"/>
    <w:rsid w:val="00292C21"/>
    <w:rsid w:val="00293382"/>
    <w:rsid w:val="00294F51"/>
    <w:rsid w:val="00297DE7"/>
    <w:rsid w:val="002A222D"/>
    <w:rsid w:val="002A2342"/>
    <w:rsid w:val="002A279E"/>
    <w:rsid w:val="002A3E9F"/>
    <w:rsid w:val="002A4FA3"/>
    <w:rsid w:val="002B1772"/>
    <w:rsid w:val="002B231C"/>
    <w:rsid w:val="002B3606"/>
    <w:rsid w:val="002B3D80"/>
    <w:rsid w:val="002B4402"/>
    <w:rsid w:val="002B4946"/>
    <w:rsid w:val="002B4C41"/>
    <w:rsid w:val="002B588D"/>
    <w:rsid w:val="002B7B69"/>
    <w:rsid w:val="002C1839"/>
    <w:rsid w:val="002C214A"/>
    <w:rsid w:val="002C28E8"/>
    <w:rsid w:val="002C3027"/>
    <w:rsid w:val="002C57D3"/>
    <w:rsid w:val="002C674D"/>
    <w:rsid w:val="002C7648"/>
    <w:rsid w:val="002C7DC4"/>
    <w:rsid w:val="002D0821"/>
    <w:rsid w:val="002D1929"/>
    <w:rsid w:val="002D1B73"/>
    <w:rsid w:val="002D1C0C"/>
    <w:rsid w:val="002D3CB0"/>
    <w:rsid w:val="002D4800"/>
    <w:rsid w:val="002D5B21"/>
    <w:rsid w:val="002D6F6D"/>
    <w:rsid w:val="002E1FE6"/>
    <w:rsid w:val="002E21F7"/>
    <w:rsid w:val="002E2EA7"/>
    <w:rsid w:val="002E36D2"/>
    <w:rsid w:val="002E4012"/>
    <w:rsid w:val="002E42B5"/>
    <w:rsid w:val="002E65B4"/>
    <w:rsid w:val="002E748B"/>
    <w:rsid w:val="002F043A"/>
    <w:rsid w:val="002F09FE"/>
    <w:rsid w:val="002F0A72"/>
    <w:rsid w:val="002F2002"/>
    <w:rsid w:val="002F335D"/>
    <w:rsid w:val="002F4E32"/>
    <w:rsid w:val="002F503F"/>
    <w:rsid w:val="002F51DD"/>
    <w:rsid w:val="002F55CD"/>
    <w:rsid w:val="002F5D08"/>
    <w:rsid w:val="002F6895"/>
    <w:rsid w:val="002F6D13"/>
    <w:rsid w:val="00300BF3"/>
    <w:rsid w:val="003038D3"/>
    <w:rsid w:val="003049C7"/>
    <w:rsid w:val="00304BF7"/>
    <w:rsid w:val="00305F0E"/>
    <w:rsid w:val="0030667A"/>
    <w:rsid w:val="003106DE"/>
    <w:rsid w:val="00310E8E"/>
    <w:rsid w:val="00311530"/>
    <w:rsid w:val="003119F7"/>
    <w:rsid w:val="00312D31"/>
    <w:rsid w:val="00315216"/>
    <w:rsid w:val="00315B85"/>
    <w:rsid w:val="00315C87"/>
    <w:rsid w:val="0031691C"/>
    <w:rsid w:val="00317AEF"/>
    <w:rsid w:val="00317F49"/>
    <w:rsid w:val="0032089B"/>
    <w:rsid w:val="00323450"/>
    <w:rsid w:val="00323D93"/>
    <w:rsid w:val="0032489B"/>
    <w:rsid w:val="0032525B"/>
    <w:rsid w:val="00326A7A"/>
    <w:rsid w:val="00326FEE"/>
    <w:rsid w:val="003279E6"/>
    <w:rsid w:val="003315D7"/>
    <w:rsid w:val="00333B8C"/>
    <w:rsid w:val="00334DE6"/>
    <w:rsid w:val="0033536D"/>
    <w:rsid w:val="003353FF"/>
    <w:rsid w:val="00335AAE"/>
    <w:rsid w:val="003366D2"/>
    <w:rsid w:val="00337009"/>
    <w:rsid w:val="00337C79"/>
    <w:rsid w:val="00337FEF"/>
    <w:rsid w:val="0034084C"/>
    <w:rsid w:val="00340D5E"/>
    <w:rsid w:val="003420B5"/>
    <w:rsid w:val="00343646"/>
    <w:rsid w:val="00344CCB"/>
    <w:rsid w:val="00345897"/>
    <w:rsid w:val="00351314"/>
    <w:rsid w:val="00351BFC"/>
    <w:rsid w:val="00354BD2"/>
    <w:rsid w:val="0035575E"/>
    <w:rsid w:val="00356076"/>
    <w:rsid w:val="003565B4"/>
    <w:rsid w:val="00356BE7"/>
    <w:rsid w:val="003618BD"/>
    <w:rsid w:val="00362E75"/>
    <w:rsid w:val="003631AA"/>
    <w:rsid w:val="003632D5"/>
    <w:rsid w:val="00363575"/>
    <w:rsid w:val="00364EF9"/>
    <w:rsid w:val="00367579"/>
    <w:rsid w:val="0036795B"/>
    <w:rsid w:val="00370A29"/>
    <w:rsid w:val="003722F9"/>
    <w:rsid w:val="00372349"/>
    <w:rsid w:val="00372CBC"/>
    <w:rsid w:val="00373A61"/>
    <w:rsid w:val="00374BDE"/>
    <w:rsid w:val="00376B39"/>
    <w:rsid w:val="003772C0"/>
    <w:rsid w:val="00377BAC"/>
    <w:rsid w:val="00380142"/>
    <w:rsid w:val="00380558"/>
    <w:rsid w:val="00381D3C"/>
    <w:rsid w:val="0038223E"/>
    <w:rsid w:val="003824C2"/>
    <w:rsid w:val="00382D92"/>
    <w:rsid w:val="00384FA8"/>
    <w:rsid w:val="00385AEF"/>
    <w:rsid w:val="003860EA"/>
    <w:rsid w:val="003861D0"/>
    <w:rsid w:val="00386A4A"/>
    <w:rsid w:val="00387793"/>
    <w:rsid w:val="0038781A"/>
    <w:rsid w:val="0039080B"/>
    <w:rsid w:val="00393021"/>
    <w:rsid w:val="0039326E"/>
    <w:rsid w:val="00394E22"/>
    <w:rsid w:val="003967A4"/>
    <w:rsid w:val="00397FA3"/>
    <w:rsid w:val="003A0DDA"/>
    <w:rsid w:val="003A1596"/>
    <w:rsid w:val="003A317E"/>
    <w:rsid w:val="003A345B"/>
    <w:rsid w:val="003A49EE"/>
    <w:rsid w:val="003A674D"/>
    <w:rsid w:val="003A7123"/>
    <w:rsid w:val="003A744B"/>
    <w:rsid w:val="003A760A"/>
    <w:rsid w:val="003B102E"/>
    <w:rsid w:val="003B2167"/>
    <w:rsid w:val="003B5F5D"/>
    <w:rsid w:val="003B62C8"/>
    <w:rsid w:val="003B74EC"/>
    <w:rsid w:val="003B769D"/>
    <w:rsid w:val="003B7971"/>
    <w:rsid w:val="003B7FD1"/>
    <w:rsid w:val="003C0C62"/>
    <w:rsid w:val="003C0E96"/>
    <w:rsid w:val="003C12DC"/>
    <w:rsid w:val="003C2CDA"/>
    <w:rsid w:val="003C379D"/>
    <w:rsid w:val="003C65E1"/>
    <w:rsid w:val="003C6A40"/>
    <w:rsid w:val="003D000A"/>
    <w:rsid w:val="003D31E9"/>
    <w:rsid w:val="003D4C2C"/>
    <w:rsid w:val="003D544E"/>
    <w:rsid w:val="003D575A"/>
    <w:rsid w:val="003D5980"/>
    <w:rsid w:val="003D6273"/>
    <w:rsid w:val="003E0842"/>
    <w:rsid w:val="003E13B0"/>
    <w:rsid w:val="003E2580"/>
    <w:rsid w:val="003E2EFC"/>
    <w:rsid w:val="003E3DEE"/>
    <w:rsid w:val="003E3EBB"/>
    <w:rsid w:val="003E4A4C"/>
    <w:rsid w:val="003E4CBA"/>
    <w:rsid w:val="003E4D2F"/>
    <w:rsid w:val="003E4EDC"/>
    <w:rsid w:val="003E599D"/>
    <w:rsid w:val="003E5C81"/>
    <w:rsid w:val="003E6965"/>
    <w:rsid w:val="003F00E8"/>
    <w:rsid w:val="003F18E3"/>
    <w:rsid w:val="003F1936"/>
    <w:rsid w:val="003F1BDD"/>
    <w:rsid w:val="003F3BA3"/>
    <w:rsid w:val="003F3BD5"/>
    <w:rsid w:val="003F400E"/>
    <w:rsid w:val="003F49B8"/>
    <w:rsid w:val="003F6F35"/>
    <w:rsid w:val="003F7768"/>
    <w:rsid w:val="00400E8C"/>
    <w:rsid w:val="004011CB"/>
    <w:rsid w:val="004017DC"/>
    <w:rsid w:val="00401B53"/>
    <w:rsid w:val="00402668"/>
    <w:rsid w:val="00404FEC"/>
    <w:rsid w:val="0040534D"/>
    <w:rsid w:val="00405FAD"/>
    <w:rsid w:val="00410B47"/>
    <w:rsid w:val="004117AB"/>
    <w:rsid w:val="00411ED8"/>
    <w:rsid w:val="00412B2F"/>
    <w:rsid w:val="00415281"/>
    <w:rsid w:val="00415716"/>
    <w:rsid w:val="0041604D"/>
    <w:rsid w:val="00417842"/>
    <w:rsid w:val="00417A6E"/>
    <w:rsid w:val="0042285D"/>
    <w:rsid w:val="00422CD6"/>
    <w:rsid w:val="00424F47"/>
    <w:rsid w:val="00427D2B"/>
    <w:rsid w:val="00430B13"/>
    <w:rsid w:val="00430CE5"/>
    <w:rsid w:val="0043153C"/>
    <w:rsid w:val="00431D0F"/>
    <w:rsid w:val="00433B01"/>
    <w:rsid w:val="0043481C"/>
    <w:rsid w:val="00440BBC"/>
    <w:rsid w:val="00444307"/>
    <w:rsid w:val="0044436F"/>
    <w:rsid w:val="004443EB"/>
    <w:rsid w:val="00444432"/>
    <w:rsid w:val="00444673"/>
    <w:rsid w:val="0044621E"/>
    <w:rsid w:val="00446C82"/>
    <w:rsid w:val="00447BF1"/>
    <w:rsid w:val="00450BA4"/>
    <w:rsid w:val="004511FC"/>
    <w:rsid w:val="00453BE9"/>
    <w:rsid w:val="00456784"/>
    <w:rsid w:val="00456DCA"/>
    <w:rsid w:val="00460DBD"/>
    <w:rsid w:val="00461140"/>
    <w:rsid w:val="004611DB"/>
    <w:rsid w:val="00462BD8"/>
    <w:rsid w:val="004633D7"/>
    <w:rsid w:val="00463834"/>
    <w:rsid w:val="0046515F"/>
    <w:rsid w:val="004658B0"/>
    <w:rsid w:val="0046614B"/>
    <w:rsid w:val="00466B20"/>
    <w:rsid w:val="00467FD7"/>
    <w:rsid w:val="00470073"/>
    <w:rsid w:val="004703DC"/>
    <w:rsid w:val="004730F8"/>
    <w:rsid w:val="00473F6E"/>
    <w:rsid w:val="00474353"/>
    <w:rsid w:val="00474555"/>
    <w:rsid w:val="004750F4"/>
    <w:rsid w:val="004763D3"/>
    <w:rsid w:val="00476CB1"/>
    <w:rsid w:val="00477364"/>
    <w:rsid w:val="00477F45"/>
    <w:rsid w:val="00480614"/>
    <w:rsid w:val="00480A48"/>
    <w:rsid w:val="00482501"/>
    <w:rsid w:val="00482E7D"/>
    <w:rsid w:val="00484395"/>
    <w:rsid w:val="00485A09"/>
    <w:rsid w:val="00485D3C"/>
    <w:rsid w:val="004865FB"/>
    <w:rsid w:val="00486C03"/>
    <w:rsid w:val="004901C2"/>
    <w:rsid w:val="00491AB3"/>
    <w:rsid w:val="00492B4B"/>
    <w:rsid w:val="0049330B"/>
    <w:rsid w:val="00496612"/>
    <w:rsid w:val="00497A33"/>
    <w:rsid w:val="004A020D"/>
    <w:rsid w:val="004A1112"/>
    <w:rsid w:val="004A1DA0"/>
    <w:rsid w:val="004A1F20"/>
    <w:rsid w:val="004A2138"/>
    <w:rsid w:val="004A2393"/>
    <w:rsid w:val="004A2989"/>
    <w:rsid w:val="004A3569"/>
    <w:rsid w:val="004A452A"/>
    <w:rsid w:val="004A46DD"/>
    <w:rsid w:val="004A5F2C"/>
    <w:rsid w:val="004A6E4F"/>
    <w:rsid w:val="004A720D"/>
    <w:rsid w:val="004A7489"/>
    <w:rsid w:val="004A7B7C"/>
    <w:rsid w:val="004B00D0"/>
    <w:rsid w:val="004B5B47"/>
    <w:rsid w:val="004B6084"/>
    <w:rsid w:val="004B7AE0"/>
    <w:rsid w:val="004B7DF7"/>
    <w:rsid w:val="004C0BC4"/>
    <w:rsid w:val="004C260D"/>
    <w:rsid w:val="004C2D47"/>
    <w:rsid w:val="004C4357"/>
    <w:rsid w:val="004C4477"/>
    <w:rsid w:val="004C4BE1"/>
    <w:rsid w:val="004C5730"/>
    <w:rsid w:val="004C6397"/>
    <w:rsid w:val="004C668F"/>
    <w:rsid w:val="004C682B"/>
    <w:rsid w:val="004C6C0F"/>
    <w:rsid w:val="004C77C7"/>
    <w:rsid w:val="004C791D"/>
    <w:rsid w:val="004D06A4"/>
    <w:rsid w:val="004D142C"/>
    <w:rsid w:val="004D29F7"/>
    <w:rsid w:val="004D2F88"/>
    <w:rsid w:val="004D3216"/>
    <w:rsid w:val="004D36D8"/>
    <w:rsid w:val="004D4C5C"/>
    <w:rsid w:val="004D514C"/>
    <w:rsid w:val="004D5AB0"/>
    <w:rsid w:val="004D5EAE"/>
    <w:rsid w:val="004D7A0E"/>
    <w:rsid w:val="004E06E7"/>
    <w:rsid w:val="004E0AE3"/>
    <w:rsid w:val="004E20D3"/>
    <w:rsid w:val="004E27DB"/>
    <w:rsid w:val="004E2C82"/>
    <w:rsid w:val="004E3A6B"/>
    <w:rsid w:val="004E43BE"/>
    <w:rsid w:val="004E4FAE"/>
    <w:rsid w:val="004E62C7"/>
    <w:rsid w:val="004E68FF"/>
    <w:rsid w:val="004E7A1B"/>
    <w:rsid w:val="004E7BE9"/>
    <w:rsid w:val="004F0B7F"/>
    <w:rsid w:val="004F1193"/>
    <w:rsid w:val="004F11DC"/>
    <w:rsid w:val="004F2124"/>
    <w:rsid w:val="004F271B"/>
    <w:rsid w:val="004F381B"/>
    <w:rsid w:val="004F3A52"/>
    <w:rsid w:val="004F406B"/>
    <w:rsid w:val="004F449F"/>
    <w:rsid w:val="004F4E7E"/>
    <w:rsid w:val="004F5559"/>
    <w:rsid w:val="004F63AB"/>
    <w:rsid w:val="004F6B76"/>
    <w:rsid w:val="004F6C7C"/>
    <w:rsid w:val="004F7F1A"/>
    <w:rsid w:val="004F7FBB"/>
    <w:rsid w:val="005038DE"/>
    <w:rsid w:val="005042B3"/>
    <w:rsid w:val="005045AB"/>
    <w:rsid w:val="00507139"/>
    <w:rsid w:val="00507D43"/>
    <w:rsid w:val="005103F2"/>
    <w:rsid w:val="00510E2C"/>
    <w:rsid w:val="00511FDC"/>
    <w:rsid w:val="005124C6"/>
    <w:rsid w:val="00513EBC"/>
    <w:rsid w:val="00514CE1"/>
    <w:rsid w:val="00515CD4"/>
    <w:rsid w:val="00517155"/>
    <w:rsid w:val="00517DB3"/>
    <w:rsid w:val="005200DC"/>
    <w:rsid w:val="005200F2"/>
    <w:rsid w:val="005217BD"/>
    <w:rsid w:val="0052369D"/>
    <w:rsid w:val="0052543C"/>
    <w:rsid w:val="00526F2E"/>
    <w:rsid w:val="005270CE"/>
    <w:rsid w:val="005271DB"/>
    <w:rsid w:val="00530D2F"/>
    <w:rsid w:val="005345FE"/>
    <w:rsid w:val="0053487C"/>
    <w:rsid w:val="005356E1"/>
    <w:rsid w:val="00536A8B"/>
    <w:rsid w:val="00540418"/>
    <w:rsid w:val="00541A96"/>
    <w:rsid w:val="00541AD9"/>
    <w:rsid w:val="00541C6A"/>
    <w:rsid w:val="00542966"/>
    <w:rsid w:val="00542C54"/>
    <w:rsid w:val="00543C04"/>
    <w:rsid w:val="0054418C"/>
    <w:rsid w:val="00546A43"/>
    <w:rsid w:val="00546C70"/>
    <w:rsid w:val="00546DEA"/>
    <w:rsid w:val="00547258"/>
    <w:rsid w:val="00550CF0"/>
    <w:rsid w:val="00552271"/>
    <w:rsid w:val="00553B0D"/>
    <w:rsid w:val="005559FE"/>
    <w:rsid w:val="005560D6"/>
    <w:rsid w:val="00556D07"/>
    <w:rsid w:val="005607CE"/>
    <w:rsid w:val="00560EAB"/>
    <w:rsid w:val="005611F2"/>
    <w:rsid w:val="00561734"/>
    <w:rsid w:val="00561952"/>
    <w:rsid w:val="0056394F"/>
    <w:rsid w:val="00563E7C"/>
    <w:rsid w:val="00564B9A"/>
    <w:rsid w:val="00565694"/>
    <w:rsid w:val="00566DD6"/>
    <w:rsid w:val="00567372"/>
    <w:rsid w:val="005714EF"/>
    <w:rsid w:val="005717D6"/>
    <w:rsid w:val="00571CEC"/>
    <w:rsid w:val="00572FCE"/>
    <w:rsid w:val="00574761"/>
    <w:rsid w:val="005750DB"/>
    <w:rsid w:val="005759FC"/>
    <w:rsid w:val="00575B85"/>
    <w:rsid w:val="00576009"/>
    <w:rsid w:val="00576DB9"/>
    <w:rsid w:val="0057738F"/>
    <w:rsid w:val="005805E4"/>
    <w:rsid w:val="0058202F"/>
    <w:rsid w:val="00583287"/>
    <w:rsid w:val="0058362D"/>
    <w:rsid w:val="00583663"/>
    <w:rsid w:val="00584221"/>
    <w:rsid w:val="00584EB6"/>
    <w:rsid w:val="00586B68"/>
    <w:rsid w:val="00586FE2"/>
    <w:rsid w:val="0058774E"/>
    <w:rsid w:val="005878CF"/>
    <w:rsid w:val="00590215"/>
    <w:rsid w:val="00590CA0"/>
    <w:rsid w:val="00592AF8"/>
    <w:rsid w:val="00595B01"/>
    <w:rsid w:val="00596D98"/>
    <w:rsid w:val="005979A5"/>
    <w:rsid w:val="005A0021"/>
    <w:rsid w:val="005A017B"/>
    <w:rsid w:val="005A12F3"/>
    <w:rsid w:val="005A2AEC"/>
    <w:rsid w:val="005A3CE3"/>
    <w:rsid w:val="005A412D"/>
    <w:rsid w:val="005A5212"/>
    <w:rsid w:val="005A6FCE"/>
    <w:rsid w:val="005B002D"/>
    <w:rsid w:val="005B0FFF"/>
    <w:rsid w:val="005B19AF"/>
    <w:rsid w:val="005B258C"/>
    <w:rsid w:val="005B61DD"/>
    <w:rsid w:val="005B6735"/>
    <w:rsid w:val="005B7831"/>
    <w:rsid w:val="005C0CD6"/>
    <w:rsid w:val="005C12D9"/>
    <w:rsid w:val="005C2146"/>
    <w:rsid w:val="005C309D"/>
    <w:rsid w:val="005C4A3B"/>
    <w:rsid w:val="005C510E"/>
    <w:rsid w:val="005C544B"/>
    <w:rsid w:val="005C57D7"/>
    <w:rsid w:val="005C5916"/>
    <w:rsid w:val="005C5AEE"/>
    <w:rsid w:val="005C5CE6"/>
    <w:rsid w:val="005C774A"/>
    <w:rsid w:val="005D0164"/>
    <w:rsid w:val="005D0FD3"/>
    <w:rsid w:val="005D3734"/>
    <w:rsid w:val="005D4408"/>
    <w:rsid w:val="005D4F16"/>
    <w:rsid w:val="005D5A53"/>
    <w:rsid w:val="005D5DA0"/>
    <w:rsid w:val="005D7FBD"/>
    <w:rsid w:val="005D7FFB"/>
    <w:rsid w:val="005E19B4"/>
    <w:rsid w:val="005E1D6B"/>
    <w:rsid w:val="005E227A"/>
    <w:rsid w:val="005E2CF8"/>
    <w:rsid w:val="005E2FFE"/>
    <w:rsid w:val="005E3126"/>
    <w:rsid w:val="005E7075"/>
    <w:rsid w:val="005E75A7"/>
    <w:rsid w:val="005F0491"/>
    <w:rsid w:val="005F194F"/>
    <w:rsid w:val="005F38E2"/>
    <w:rsid w:val="005F3EE6"/>
    <w:rsid w:val="005F56E0"/>
    <w:rsid w:val="005F6736"/>
    <w:rsid w:val="005F6EE2"/>
    <w:rsid w:val="005F7C69"/>
    <w:rsid w:val="0060284A"/>
    <w:rsid w:val="00602C10"/>
    <w:rsid w:val="00602EBD"/>
    <w:rsid w:val="00603288"/>
    <w:rsid w:val="00604CF2"/>
    <w:rsid w:val="006069E7"/>
    <w:rsid w:val="00606DFF"/>
    <w:rsid w:val="00606FB7"/>
    <w:rsid w:val="00610533"/>
    <w:rsid w:val="006110F6"/>
    <w:rsid w:val="00611FA1"/>
    <w:rsid w:val="00612522"/>
    <w:rsid w:val="00612DA6"/>
    <w:rsid w:val="0061365B"/>
    <w:rsid w:val="006138B6"/>
    <w:rsid w:val="00614BC6"/>
    <w:rsid w:val="00614E33"/>
    <w:rsid w:val="00615497"/>
    <w:rsid w:val="006158B8"/>
    <w:rsid w:val="00616300"/>
    <w:rsid w:val="0061706D"/>
    <w:rsid w:val="006173DA"/>
    <w:rsid w:val="00617EF9"/>
    <w:rsid w:val="00620295"/>
    <w:rsid w:val="0062166E"/>
    <w:rsid w:val="00622F8E"/>
    <w:rsid w:val="006237B4"/>
    <w:rsid w:val="00626AC8"/>
    <w:rsid w:val="0062738C"/>
    <w:rsid w:val="00627912"/>
    <w:rsid w:val="0063108E"/>
    <w:rsid w:val="0063195F"/>
    <w:rsid w:val="006339EC"/>
    <w:rsid w:val="00636C0A"/>
    <w:rsid w:val="00637721"/>
    <w:rsid w:val="00637EC6"/>
    <w:rsid w:val="0064072A"/>
    <w:rsid w:val="0064240C"/>
    <w:rsid w:val="00642FF5"/>
    <w:rsid w:val="006430FB"/>
    <w:rsid w:val="00643992"/>
    <w:rsid w:val="00644DBC"/>
    <w:rsid w:val="00646FE6"/>
    <w:rsid w:val="006474CD"/>
    <w:rsid w:val="00647744"/>
    <w:rsid w:val="006479A0"/>
    <w:rsid w:val="006500D9"/>
    <w:rsid w:val="00651346"/>
    <w:rsid w:val="00653441"/>
    <w:rsid w:val="00653B54"/>
    <w:rsid w:val="00653E70"/>
    <w:rsid w:val="00653EDF"/>
    <w:rsid w:val="006541A3"/>
    <w:rsid w:val="00654FAD"/>
    <w:rsid w:val="00655A2E"/>
    <w:rsid w:val="00655C9F"/>
    <w:rsid w:val="006567FF"/>
    <w:rsid w:val="00656867"/>
    <w:rsid w:val="0065741D"/>
    <w:rsid w:val="0066109F"/>
    <w:rsid w:val="00664B26"/>
    <w:rsid w:val="0066596B"/>
    <w:rsid w:val="00665FD2"/>
    <w:rsid w:val="00666328"/>
    <w:rsid w:val="00666A42"/>
    <w:rsid w:val="00670295"/>
    <w:rsid w:val="006704F5"/>
    <w:rsid w:val="006722FB"/>
    <w:rsid w:val="00672894"/>
    <w:rsid w:val="00672E13"/>
    <w:rsid w:val="006733F4"/>
    <w:rsid w:val="00674B47"/>
    <w:rsid w:val="0067571D"/>
    <w:rsid w:val="00675820"/>
    <w:rsid w:val="0067609E"/>
    <w:rsid w:val="00677749"/>
    <w:rsid w:val="00680E07"/>
    <w:rsid w:val="00682B9D"/>
    <w:rsid w:val="00683806"/>
    <w:rsid w:val="00686AF9"/>
    <w:rsid w:val="006910C0"/>
    <w:rsid w:val="00691954"/>
    <w:rsid w:val="0069320E"/>
    <w:rsid w:val="00693D13"/>
    <w:rsid w:val="00694F58"/>
    <w:rsid w:val="006955BC"/>
    <w:rsid w:val="006959E2"/>
    <w:rsid w:val="00696920"/>
    <w:rsid w:val="00697229"/>
    <w:rsid w:val="006975DC"/>
    <w:rsid w:val="00697882"/>
    <w:rsid w:val="00697EB9"/>
    <w:rsid w:val="006A08BE"/>
    <w:rsid w:val="006A1359"/>
    <w:rsid w:val="006A20D4"/>
    <w:rsid w:val="006A268D"/>
    <w:rsid w:val="006A350F"/>
    <w:rsid w:val="006A3957"/>
    <w:rsid w:val="006A39A4"/>
    <w:rsid w:val="006A41D6"/>
    <w:rsid w:val="006A669D"/>
    <w:rsid w:val="006A6E41"/>
    <w:rsid w:val="006A7E9B"/>
    <w:rsid w:val="006B012F"/>
    <w:rsid w:val="006B27CF"/>
    <w:rsid w:val="006B41BD"/>
    <w:rsid w:val="006B5678"/>
    <w:rsid w:val="006B62B2"/>
    <w:rsid w:val="006C1C57"/>
    <w:rsid w:val="006C3065"/>
    <w:rsid w:val="006C44E0"/>
    <w:rsid w:val="006C460F"/>
    <w:rsid w:val="006C5760"/>
    <w:rsid w:val="006C6D6F"/>
    <w:rsid w:val="006D0D78"/>
    <w:rsid w:val="006D1128"/>
    <w:rsid w:val="006D2848"/>
    <w:rsid w:val="006D30E0"/>
    <w:rsid w:val="006D48F4"/>
    <w:rsid w:val="006D52C4"/>
    <w:rsid w:val="006D5521"/>
    <w:rsid w:val="006D5FE9"/>
    <w:rsid w:val="006D6879"/>
    <w:rsid w:val="006D6CBB"/>
    <w:rsid w:val="006D76A9"/>
    <w:rsid w:val="006D77F4"/>
    <w:rsid w:val="006E0898"/>
    <w:rsid w:val="006E41CD"/>
    <w:rsid w:val="006E467C"/>
    <w:rsid w:val="006E5874"/>
    <w:rsid w:val="006E7972"/>
    <w:rsid w:val="006E7BDA"/>
    <w:rsid w:val="006F13DF"/>
    <w:rsid w:val="006F3BEC"/>
    <w:rsid w:val="006F4BDE"/>
    <w:rsid w:val="006F54E9"/>
    <w:rsid w:val="006F6AA1"/>
    <w:rsid w:val="006F6E99"/>
    <w:rsid w:val="00701A6D"/>
    <w:rsid w:val="00702C5E"/>
    <w:rsid w:val="00703C00"/>
    <w:rsid w:val="007057CC"/>
    <w:rsid w:val="007066F2"/>
    <w:rsid w:val="00706AE5"/>
    <w:rsid w:val="00706FC4"/>
    <w:rsid w:val="0070740A"/>
    <w:rsid w:val="00711F93"/>
    <w:rsid w:val="00712940"/>
    <w:rsid w:val="0071428C"/>
    <w:rsid w:val="00715487"/>
    <w:rsid w:val="00715A16"/>
    <w:rsid w:val="00715AA6"/>
    <w:rsid w:val="007164B0"/>
    <w:rsid w:val="007166FF"/>
    <w:rsid w:val="00725235"/>
    <w:rsid w:val="007260CC"/>
    <w:rsid w:val="00726543"/>
    <w:rsid w:val="007277FD"/>
    <w:rsid w:val="00727F47"/>
    <w:rsid w:val="00731E78"/>
    <w:rsid w:val="0073353E"/>
    <w:rsid w:val="007351E5"/>
    <w:rsid w:val="00736633"/>
    <w:rsid w:val="00736D5D"/>
    <w:rsid w:val="0073700E"/>
    <w:rsid w:val="00737BAB"/>
    <w:rsid w:val="0074063F"/>
    <w:rsid w:val="00741EE7"/>
    <w:rsid w:val="00743A79"/>
    <w:rsid w:val="007444D4"/>
    <w:rsid w:val="0074594D"/>
    <w:rsid w:val="007459F3"/>
    <w:rsid w:val="00746E35"/>
    <w:rsid w:val="007470E2"/>
    <w:rsid w:val="00751E00"/>
    <w:rsid w:val="0075232F"/>
    <w:rsid w:val="00753132"/>
    <w:rsid w:val="007550B3"/>
    <w:rsid w:val="00760033"/>
    <w:rsid w:val="00760451"/>
    <w:rsid w:val="007626CC"/>
    <w:rsid w:val="00762FC5"/>
    <w:rsid w:val="00765B35"/>
    <w:rsid w:val="00767DA6"/>
    <w:rsid w:val="007711B8"/>
    <w:rsid w:val="0077182A"/>
    <w:rsid w:val="00771913"/>
    <w:rsid w:val="00772718"/>
    <w:rsid w:val="007743BD"/>
    <w:rsid w:val="00775BCF"/>
    <w:rsid w:val="0077614B"/>
    <w:rsid w:val="00777191"/>
    <w:rsid w:val="007818AA"/>
    <w:rsid w:val="00783140"/>
    <w:rsid w:val="007838B6"/>
    <w:rsid w:val="00783E77"/>
    <w:rsid w:val="007906F1"/>
    <w:rsid w:val="0079243D"/>
    <w:rsid w:val="00794A9B"/>
    <w:rsid w:val="00794EE6"/>
    <w:rsid w:val="0079583B"/>
    <w:rsid w:val="00796602"/>
    <w:rsid w:val="00797185"/>
    <w:rsid w:val="007976B7"/>
    <w:rsid w:val="00797A7E"/>
    <w:rsid w:val="00797D6F"/>
    <w:rsid w:val="007B001B"/>
    <w:rsid w:val="007B014B"/>
    <w:rsid w:val="007B0D88"/>
    <w:rsid w:val="007B306F"/>
    <w:rsid w:val="007B33FD"/>
    <w:rsid w:val="007B3819"/>
    <w:rsid w:val="007B4714"/>
    <w:rsid w:val="007B4E82"/>
    <w:rsid w:val="007B560C"/>
    <w:rsid w:val="007C1996"/>
    <w:rsid w:val="007C3773"/>
    <w:rsid w:val="007C3F1F"/>
    <w:rsid w:val="007D1F99"/>
    <w:rsid w:val="007D2D0D"/>
    <w:rsid w:val="007D3325"/>
    <w:rsid w:val="007D364F"/>
    <w:rsid w:val="007D3818"/>
    <w:rsid w:val="007D61BF"/>
    <w:rsid w:val="007D6DC5"/>
    <w:rsid w:val="007D7425"/>
    <w:rsid w:val="007E320E"/>
    <w:rsid w:val="007E3280"/>
    <w:rsid w:val="007E409F"/>
    <w:rsid w:val="007E4A02"/>
    <w:rsid w:val="007E5327"/>
    <w:rsid w:val="007E595C"/>
    <w:rsid w:val="007E59A5"/>
    <w:rsid w:val="007E634B"/>
    <w:rsid w:val="007F3B8C"/>
    <w:rsid w:val="007F41D0"/>
    <w:rsid w:val="007F4B8B"/>
    <w:rsid w:val="007F5957"/>
    <w:rsid w:val="007F70B6"/>
    <w:rsid w:val="007F74CA"/>
    <w:rsid w:val="00800F1E"/>
    <w:rsid w:val="0080195A"/>
    <w:rsid w:val="0080239C"/>
    <w:rsid w:val="00802841"/>
    <w:rsid w:val="008037D5"/>
    <w:rsid w:val="00805447"/>
    <w:rsid w:val="008054FA"/>
    <w:rsid w:val="00805FD4"/>
    <w:rsid w:val="0080717A"/>
    <w:rsid w:val="00807DFA"/>
    <w:rsid w:val="0081009F"/>
    <w:rsid w:val="00810152"/>
    <w:rsid w:val="008108C3"/>
    <w:rsid w:val="008115AB"/>
    <w:rsid w:val="0081203B"/>
    <w:rsid w:val="00812D2C"/>
    <w:rsid w:val="008159F4"/>
    <w:rsid w:val="008167C1"/>
    <w:rsid w:val="008167C6"/>
    <w:rsid w:val="00816B8F"/>
    <w:rsid w:val="00820331"/>
    <w:rsid w:val="00820BF5"/>
    <w:rsid w:val="008212B1"/>
    <w:rsid w:val="0082155A"/>
    <w:rsid w:val="0082209F"/>
    <w:rsid w:val="008223C2"/>
    <w:rsid w:val="00823D66"/>
    <w:rsid w:val="008250A2"/>
    <w:rsid w:val="00825D64"/>
    <w:rsid w:val="0082650B"/>
    <w:rsid w:val="008301CE"/>
    <w:rsid w:val="008305B0"/>
    <w:rsid w:val="008312E3"/>
    <w:rsid w:val="00831D5B"/>
    <w:rsid w:val="008324AA"/>
    <w:rsid w:val="00832DD6"/>
    <w:rsid w:val="00832F0C"/>
    <w:rsid w:val="008336F2"/>
    <w:rsid w:val="008345D9"/>
    <w:rsid w:val="008347CB"/>
    <w:rsid w:val="00835647"/>
    <w:rsid w:val="008356A3"/>
    <w:rsid w:val="00837A2E"/>
    <w:rsid w:val="00841558"/>
    <w:rsid w:val="00842A68"/>
    <w:rsid w:val="008435BA"/>
    <w:rsid w:val="0084558B"/>
    <w:rsid w:val="0084654A"/>
    <w:rsid w:val="00847654"/>
    <w:rsid w:val="00847EB8"/>
    <w:rsid w:val="00851064"/>
    <w:rsid w:val="00852B3F"/>
    <w:rsid w:val="00855338"/>
    <w:rsid w:val="00855543"/>
    <w:rsid w:val="00856049"/>
    <w:rsid w:val="0085615C"/>
    <w:rsid w:val="008566B3"/>
    <w:rsid w:val="00856DAC"/>
    <w:rsid w:val="008576B7"/>
    <w:rsid w:val="00857F7B"/>
    <w:rsid w:val="00863DA1"/>
    <w:rsid w:val="008654A6"/>
    <w:rsid w:val="00865D86"/>
    <w:rsid w:val="00870495"/>
    <w:rsid w:val="00870EA1"/>
    <w:rsid w:val="008710C5"/>
    <w:rsid w:val="00871DDC"/>
    <w:rsid w:val="008722A9"/>
    <w:rsid w:val="008737AC"/>
    <w:rsid w:val="00873889"/>
    <w:rsid w:val="00874438"/>
    <w:rsid w:val="00874E75"/>
    <w:rsid w:val="008767F3"/>
    <w:rsid w:val="00876CEF"/>
    <w:rsid w:val="00877342"/>
    <w:rsid w:val="008803C3"/>
    <w:rsid w:val="00881450"/>
    <w:rsid w:val="008817C7"/>
    <w:rsid w:val="00881875"/>
    <w:rsid w:val="00883BBB"/>
    <w:rsid w:val="008848A3"/>
    <w:rsid w:val="00884AF1"/>
    <w:rsid w:val="00885F7A"/>
    <w:rsid w:val="00890279"/>
    <w:rsid w:val="00890712"/>
    <w:rsid w:val="00890D81"/>
    <w:rsid w:val="00891FBE"/>
    <w:rsid w:val="00892955"/>
    <w:rsid w:val="00893628"/>
    <w:rsid w:val="008941EB"/>
    <w:rsid w:val="008943E9"/>
    <w:rsid w:val="0089545A"/>
    <w:rsid w:val="00895A02"/>
    <w:rsid w:val="00897C23"/>
    <w:rsid w:val="008A01EE"/>
    <w:rsid w:val="008A0DAC"/>
    <w:rsid w:val="008A32C8"/>
    <w:rsid w:val="008A3B78"/>
    <w:rsid w:val="008A4166"/>
    <w:rsid w:val="008A62A4"/>
    <w:rsid w:val="008A7DBF"/>
    <w:rsid w:val="008B136C"/>
    <w:rsid w:val="008B1565"/>
    <w:rsid w:val="008B55EF"/>
    <w:rsid w:val="008B58CC"/>
    <w:rsid w:val="008B5A1D"/>
    <w:rsid w:val="008B66DD"/>
    <w:rsid w:val="008B6910"/>
    <w:rsid w:val="008B74B5"/>
    <w:rsid w:val="008C0B5C"/>
    <w:rsid w:val="008C1343"/>
    <w:rsid w:val="008C1950"/>
    <w:rsid w:val="008C3912"/>
    <w:rsid w:val="008C5598"/>
    <w:rsid w:val="008C5FFC"/>
    <w:rsid w:val="008C69EA"/>
    <w:rsid w:val="008C6F8B"/>
    <w:rsid w:val="008C7AB7"/>
    <w:rsid w:val="008C7FB4"/>
    <w:rsid w:val="008D2C8C"/>
    <w:rsid w:val="008D3040"/>
    <w:rsid w:val="008D3ECD"/>
    <w:rsid w:val="008D55B6"/>
    <w:rsid w:val="008D5C03"/>
    <w:rsid w:val="008D60BF"/>
    <w:rsid w:val="008D7580"/>
    <w:rsid w:val="008D7C35"/>
    <w:rsid w:val="008E5698"/>
    <w:rsid w:val="008E5733"/>
    <w:rsid w:val="008E77D2"/>
    <w:rsid w:val="008E78FD"/>
    <w:rsid w:val="008E7BE8"/>
    <w:rsid w:val="008F199D"/>
    <w:rsid w:val="008F38A0"/>
    <w:rsid w:val="008F39C9"/>
    <w:rsid w:val="008F5EB5"/>
    <w:rsid w:val="008F678C"/>
    <w:rsid w:val="008F7395"/>
    <w:rsid w:val="008F75A7"/>
    <w:rsid w:val="008F7E5A"/>
    <w:rsid w:val="00900A7F"/>
    <w:rsid w:val="009036EE"/>
    <w:rsid w:val="00905815"/>
    <w:rsid w:val="00905D1D"/>
    <w:rsid w:val="0091016D"/>
    <w:rsid w:val="00910C98"/>
    <w:rsid w:val="0091177A"/>
    <w:rsid w:val="00911910"/>
    <w:rsid w:val="009123F3"/>
    <w:rsid w:val="00912A58"/>
    <w:rsid w:val="009137C8"/>
    <w:rsid w:val="00913908"/>
    <w:rsid w:val="00913D26"/>
    <w:rsid w:val="0091438B"/>
    <w:rsid w:val="009147E3"/>
    <w:rsid w:val="00917FEC"/>
    <w:rsid w:val="0092066A"/>
    <w:rsid w:val="00920FD2"/>
    <w:rsid w:val="00921F5D"/>
    <w:rsid w:val="00923A43"/>
    <w:rsid w:val="0092439C"/>
    <w:rsid w:val="0092498E"/>
    <w:rsid w:val="00925B91"/>
    <w:rsid w:val="0093131A"/>
    <w:rsid w:val="00934461"/>
    <w:rsid w:val="0093468D"/>
    <w:rsid w:val="00934F7E"/>
    <w:rsid w:val="009357D5"/>
    <w:rsid w:val="00936A1C"/>
    <w:rsid w:val="00943E35"/>
    <w:rsid w:val="00945278"/>
    <w:rsid w:val="0094658D"/>
    <w:rsid w:val="00946BAA"/>
    <w:rsid w:val="00947678"/>
    <w:rsid w:val="00947878"/>
    <w:rsid w:val="009504C2"/>
    <w:rsid w:val="0095254A"/>
    <w:rsid w:val="009525BE"/>
    <w:rsid w:val="0095273B"/>
    <w:rsid w:val="009543C4"/>
    <w:rsid w:val="009559E1"/>
    <w:rsid w:val="009568D5"/>
    <w:rsid w:val="00956DF8"/>
    <w:rsid w:val="0095735B"/>
    <w:rsid w:val="00957CD3"/>
    <w:rsid w:val="00960419"/>
    <w:rsid w:val="0096269B"/>
    <w:rsid w:val="00963FB0"/>
    <w:rsid w:val="00964C86"/>
    <w:rsid w:val="00965E82"/>
    <w:rsid w:val="009664BB"/>
    <w:rsid w:val="009669F8"/>
    <w:rsid w:val="00966F89"/>
    <w:rsid w:val="009678E9"/>
    <w:rsid w:val="0097019A"/>
    <w:rsid w:val="00973B2E"/>
    <w:rsid w:val="00973B5D"/>
    <w:rsid w:val="00974964"/>
    <w:rsid w:val="0097755E"/>
    <w:rsid w:val="009804E5"/>
    <w:rsid w:val="00981467"/>
    <w:rsid w:val="00981C24"/>
    <w:rsid w:val="009852F6"/>
    <w:rsid w:val="00985DE5"/>
    <w:rsid w:val="00986254"/>
    <w:rsid w:val="009863FF"/>
    <w:rsid w:val="0098729E"/>
    <w:rsid w:val="00990067"/>
    <w:rsid w:val="009920C4"/>
    <w:rsid w:val="00992977"/>
    <w:rsid w:val="009937D4"/>
    <w:rsid w:val="00993C78"/>
    <w:rsid w:val="009948C7"/>
    <w:rsid w:val="00995850"/>
    <w:rsid w:val="00997536"/>
    <w:rsid w:val="00997688"/>
    <w:rsid w:val="0099796C"/>
    <w:rsid w:val="009A194E"/>
    <w:rsid w:val="009A1EA2"/>
    <w:rsid w:val="009A209E"/>
    <w:rsid w:val="009A3D90"/>
    <w:rsid w:val="009A3FD7"/>
    <w:rsid w:val="009A6652"/>
    <w:rsid w:val="009A74FD"/>
    <w:rsid w:val="009B0B4B"/>
    <w:rsid w:val="009B25D8"/>
    <w:rsid w:val="009B26FA"/>
    <w:rsid w:val="009B42E3"/>
    <w:rsid w:val="009B4C26"/>
    <w:rsid w:val="009B52C8"/>
    <w:rsid w:val="009B5859"/>
    <w:rsid w:val="009C330A"/>
    <w:rsid w:val="009C5F0F"/>
    <w:rsid w:val="009C6D07"/>
    <w:rsid w:val="009C7CEC"/>
    <w:rsid w:val="009D154D"/>
    <w:rsid w:val="009D18EF"/>
    <w:rsid w:val="009D3BE8"/>
    <w:rsid w:val="009D44E0"/>
    <w:rsid w:val="009D5708"/>
    <w:rsid w:val="009D573B"/>
    <w:rsid w:val="009D59A0"/>
    <w:rsid w:val="009D716A"/>
    <w:rsid w:val="009E1AC4"/>
    <w:rsid w:val="009E20B8"/>
    <w:rsid w:val="009E29A0"/>
    <w:rsid w:val="009E41B5"/>
    <w:rsid w:val="009E4F73"/>
    <w:rsid w:val="009E55D7"/>
    <w:rsid w:val="009E627C"/>
    <w:rsid w:val="009F110B"/>
    <w:rsid w:val="009F1498"/>
    <w:rsid w:val="009F1E9F"/>
    <w:rsid w:val="009F32EB"/>
    <w:rsid w:val="009F3793"/>
    <w:rsid w:val="009F3C01"/>
    <w:rsid w:val="009F54F2"/>
    <w:rsid w:val="009F65D5"/>
    <w:rsid w:val="00A0056B"/>
    <w:rsid w:val="00A01657"/>
    <w:rsid w:val="00A01C65"/>
    <w:rsid w:val="00A0213D"/>
    <w:rsid w:val="00A04C73"/>
    <w:rsid w:val="00A0623A"/>
    <w:rsid w:val="00A0679A"/>
    <w:rsid w:val="00A07A2B"/>
    <w:rsid w:val="00A07DF8"/>
    <w:rsid w:val="00A107AA"/>
    <w:rsid w:val="00A11879"/>
    <w:rsid w:val="00A11E2B"/>
    <w:rsid w:val="00A12023"/>
    <w:rsid w:val="00A12375"/>
    <w:rsid w:val="00A125B8"/>
    <w:rsid w:val="00A13124"/>
    <w:rsid w:val="00A15370"/>
    <w:rsid w:val="00A156AB"/>
    <w:rsid w:val="00A16B8D"/>
    <w:rsid w:val="00A16CBF"/>
    <w:rsid w:val="00A21293"/>
    <w:rsid w:val="00A2134B"/>
    <w:rsid w:val="00A21623"/>
    <w:rsid w:val="00A220EB"/>
    <w:rsid w:val="00A22302"/>
    <w:rsid w:val="00A252C8"/>
    <w:rsid w:val="00A25F1B"/>
    <w:rsid w:val="00A27136"/>
    <w:rsid w:val="00A27D4F"/>
    <w:rsid w:val="00A27D8A"/>
    <w:rsid w:val="00A30AEC"/>
    <w:rsid w:val="00A325F3"/>
    <w:rsid w:val="00A33103"/>
    <w:rsid w:val="00A33294"/>
    <w:rsid w:val="00A34072"/>
    <w:rsid w:val="00A35DCB"/>
    <w:rsid w:val="00A3690E"/>
    <w:rsid w:val="00A37751"/>
    <w:rsid w:val="00A406B1"/>
    <w:rsid w:val="00A4113E"/>
    <w:rsid w:val="00A418C7"/>
    <w:rsid w:val="00A42435"/>
    <w:rsid w:val="00A438BA"/>
    <w:rsid w:val="00A446FD"/>
    <w:rsid w:val="00A44964"/>
    <w:rsid w:val="00A46F46"/>
    <w:rsid w:val="00A479A2"/>
    <w:rsid w:val="00A52279"/>
    <w:rsid w:val="00A52CB6"/>
    <w:rsid w:val="00A52F99"/>
    <w:rsid w:val="00A538BB"/>
    <w:rsid w:val="00A54164"/>
    <w:rsid w:val="00A56580"/>
    <w:rsid w:val="00A56737"/>
    <w:rsid w:val="00A567DE"/>
    <w:rsid w:val="00A56AD6"/>
    <w:rsid w:val="00A60002"/>
    <w:rsid w:val="00A603D8"/>
    <w:rsid w:val="00A60AE2"/>
    <w:rsid w:val="00A61834"/>
    <w:rsid w:val="00A618B0"/>
    <w:rsid w:val="00A62790"/>
    <w:rsid w:val="00A6291F"/>
    <w:rsid w:val="00A63F53"/>
    <w:rsid w:val="00A66E1D"/>
    <w:rsid w:val="00A7111E"/>
    <w:rsid w:val="00A72401"/>
    <w:rsid w:val="00A755B6"/>
    <w:rsid w:val="00A75B1A"/>
    <w:rsid w:val="00A763E5"/>
    <w:rsid w:val="00A77404"/>
    <w:rsid w:val="00A80AA9"/>
    <w:rsid w:val="00A80ED4"/>
    <w:rsid w:val="00A816C4"/>
    <w:rsid w:val="00A82981"/>
    <w:rsid w:val="00A86F10"/>
    <w:rsid w:val="00A87AF2"/>
    <w:rsid w:val="00A90B23"/>
    <w:rsid w:val="00A93193"/>
    <w:rsid w:val="00A93C2B"/>
    <w:rsid w:val="00A94556"/>
    <w:rsid w:val="00A94AE1"/>
    <w:rsid w:val="00A95A3D"/>
    <w:rsid w:val="00A96493"/>
    <w:rsid w:val="00A974CB"/>
    <w:rsid w:val="00AA1EAC"/>
    <w:rsid w:val="00AA45E2"/>
    <w:rsid w:val="00AA7AC1"/>
    <w:rsid w:val="00AB0463"/>
    <w:rsid w:val="00AB1B9D"/>
    <w:rsid w:val="00AB4E11"/>
    <w:rsid w:val="00AB6327"/>
    <w:rsid w:val="00AB6B8F"/>
    <w:rsid w:val="00AC0C65"/>
    <w:rsid w:val="00AC0FB2"/>
    <w:rsid w:val="00AC22ED"/>
    <w:rsid w:val="00AC3721"/>
    <w:rsid w:val="00AC41C6"/>
    <w:rsid w:val="00AC70C7"/>
    <w:rsid w:val="00AC76B7"/>
    <w:rsid w:val="00AD014C"/>
    <w:rsid w:val="00AD0223"/>
    <w:rsid w:val="00AD123A"/>
    <w:rsid w:val="00AD15FF"/>
    <w:rsid w:val="00AD1AA5"/>
    <w:rsid w:val="00AD2920"/>
    <w:rsid w:val="00AD2CD5"/>
    <w:rsid w:val="00AD2DFC"/>
    <w:rsid w:val="00AD38C4"/>
    <w:rsid w:val="00AD5A4A"/>
    <w:rsid w:val="00AD60EE"/>
    <w:rsid w:val="00AD6A2B"/>
    <w:rsid w:val="00AD73D4"/>
    <w:rsid w:val="00AE1EA2"/>
    <w:rsid w:val="00AE2874"/>
    <w:rsid w:val="00AE2BA2"/>
    <w:rsid w:val="00AE2F98"/>
    <w:rsid w:val="00AE3602"/>
    <w:rsid w:val="00AE4AC0"/>
    <w:rsid w:val="00AE5342"/>
    <w:rsid w:val="00AE5987"/>
    <w:rsid w:val="00AE6472"/>
    <w:rsid w:val="00AF1345"/>
    <w:rsid w:val="00AF38A8"/>
    <w:rsid w:val="00AF3F4A"/>
    <w:rsid w:val="00AF4A6D"/>
    <w:rsid w:val="00AF4DDC"/>
    <w:rsid w:val="00AF5329"/>
    <w:rsid w:val="00AF63EB"/>
    <w:rsid w:val="00AF6DC8"/>
    <w:rsid w:val="00B016D2"/>
    <w:rsid w:val="00B018EC"/>
    <w:rsid w:val="00B060C7"/>
    <w:rsid w:val="00B06923"/>
    <w:rsid w:val="00B11AB7"/>
    <w:rsid w:val="00B12213"/>
    <w:rsid w:val="00B13710"/>
    <w:rsid w:val="00B14EA2"/>
    <w:rsid w:val="00B1581C"/>
    <w:rsid w:val="00B17606"/>
    <w:rsid w:val="00B1778E"/>
    <w:rsid w:val="00B22881"/>
    <w:rsid w:val="00B23EFC"/>
    <w:rsid w:val="00B24B72"/>
    <w:rsid w:val="00B25DB8"/>
    <w:rsid w:val="00B260B7"/>
    <w:rsid w:val="00B2656C"/>
    <w:rsid w:val="00B266E6"/>
    <w:rsid w:val="00B276D1"/>
    <w:rsid w:val="00B3094D"/>
    <w:rsid w:val="00B30B04"/>
    <w:rsid w:val="00B311BC"/>
    <w:rsid w:val="00B31810"/>
    <w:rsid w:val="00B31C10"/>
    <w:rsid w:val="00B32B71"/>
    <w:rsid w:val="00B33D60"/>
    <w:rsid w:val="00B3446D"/>
    <w:rsid w:val="00B34652"/>
    <w:rsid w:val="00B34F89"/>
    <w:rsid w:val="00B3568F"/>
    <w:rsid w:val="00B358C8"/>
    <w:rsid w:val="00B36185"/>
    <w:rsid w:val="00B3662F"/>
    <w:rsid w:val="00B36770"/>
    <w:rsid w:val="00B373CD"/>
    <w:rsid w:val="00B377C8"/>
    <w:rsid w:val="00B400B8"/>
    <w:rsid w:val="00B404DE"/>
    <w:rsid w:val="00B40765"/>
    <w:rsid w:val="00B4232D"/>
    <w:rsid w:val="00B42340"/>
    <w:rsid w:val="00B42682"/>
    <w:rsid w:val="00B43065"/>
    <w:rsid w:val="00B44784"/>
    <w:rsid w:val="00B449D0"/>
    <w:rsid w:val="00B456AB"/>
    <w:rsid w:val="00B46C2A"/>
    <w:rsid w:val="00B474FC"/>
    <w:rsid w:val="00B47E8B"/>
    <w:rsid w:val="00B51C67"/>
    <w:rsid w:val="00B53F86"/>
    <w:rsid w:val="00B53FDC"/>
    <w:rsid w:val="00B55431"/>
    <w:rsid w:val="00B558AC"/>
    <w:rsid w:val="00B55CAE"/>
    <w:rsid w:val="00B576C6"/>
    <w:rsid w:val="00B605DF"/>
    <w:rsid w:val="00B615F2"/>
    <w:rsid w:val="00B61A28"/>
    <w:rsid w:val="00B63AD5"/>
    <w:rsid w:val="00B640A6"/>
    <w:rsid w:val="00B65C6D"/>
    <w:rsid w:val="00B66B06"/>
    <w:rsid w:val="00B67862"/>
    <w:rsid w:val="00B70576"/>
    <w:rsid w:val="00B70634"/>
    <w:rsid w:val="00B70BE4"/>
    <w:rsid w:val="00B71A7B"/>
    <w:rsid w:val="00B72B27"/>
    <w:rsid w:val="00B73880"/>
    <w:rsid w:val="00B73CF1"/>
    <w:rsid w:val="00B745B3"/>
    <w:rsid w:val="00B74A5E"/>
    <w:rsid w:val="00B7599D"/>
    <w:rsid w:val="00B7648F"/>
    <w:rsid w:val="00B76E13"/>
    <w:rsid w:val="00B7706A"/>
    <w:rsid w:val="00B771EE"/>
    <w:rsid w:val="00B7765B"/>
    <w:rsid w:val="00B777D9"/>
    <w:rsid w:val="00B77B4B"/>
    <w:rsid w:val="00B80ABC"/>
    <w:rsid w:val="00B814C2"/>
    <w:rsid w:val="00B852FB"/>
    <w:rsid w:val="00B87120"/>
    <w:rsid w:val="00B900FE"/>
    <w:rsid w:val="00B9064C"/>
    <w:rsid w:val="00B921F3"/>
    <w:rsid w:val="00B92E83"/>
    <w:rsid w:val="00B93698"/>
    <w:rsid w:val="00B937F4"/>
    <w:rsid w:val="00B9433B"/>
    <w:rsid w:val="00B96330"/>
    <w:rsid w:val="00B96D91"/>
    <w:rsid w:val="00BA0A14"/>
    <w:rsid w:val="00BA228D"/>
    <w:rsid w:val="00BA398D"/>
    <w:rsid w:val="00BA39D3"/>
    <w:rsid w:val="00BA5C56"/>
    <w:rsid w:val="00BA651E"/>
    <w:rsid w:val="00BA776F"/>
    <w:rsid w:val="00BB0118"/>
    <w:rsid w:val="00BB0C0D"/>
    <w:rsid w:val="00BB0D69"/>
    <w:rsid w:val="00BB1D9F"/>
    <w:rsid w:val="00BB2601"/>
    <w:rsid w:val="00BB366E"/>
    <w:rsid w:val="00BB3AF0"/>
    <w:rsid w:val="00BB4F70"/>
    <w:rsid w:val="00BB53AF"/>
    <w:rsid w:val="00BB67FF"/>
    <w:rsid w:val="00BC11B9"/>
    <w:rsid w:val="00BC138C"/>
    <w:rsid w:val="00BC14CF"/>
    <w:rsid w:val="00BC1659"/>
    <w:rsid w:val="00BC2C91"/>
    <w:rsid w:val="00BC3A9C"/>
    <w:rsid w:val="00BC4D12"/>
    <w:rsid w:val="00BC5288"/>
    <w:rsid w:val="00BC6A4F"/>
    <w:rsid w:val="00BC6A71"/>
    <w:rsid w:val="00BC6B2F"/>
    <w:rsid w:val="00BD0637"/>
    <w:rsid w:val="00BD08A8"/>
    <w:rsid w:val="00BD1BAC"/>
    <w:rsid w:val="00BD1FA8"/>
    <w:rsid w:val="00BD2049"/>
    <w:rsid w:val="00BD25A6"/>
    <w:rsid w:val="00BD3059"/>
    <w:rsid w:val="00BD46CE"/>
    <w:rsid w:val="00BD4C95"/>
    <w:rsid w:val="00BD65FC"/>
    <w:rsid w:val="00BD7660"/>
    <w:rsid w:val="00BE0666"/>
    <w:rsid w:val="00BE202B"/>
    <w:rsid w:val="00BE24B9"/>
    <w:rsid w:val="00BE2689"/>
    <w:rsid w:val="00BE2AE8"/>
    <w:rsid w:val="00BE2D55"/>
    <w:rsid w:val="00BE38DD"/>
    <w:rsid w:val="00BE3E0A"/>
    <w:rsid w:val="00BE4AB1"/>
    <w:rsid w:val="00BF16C3"/>
    <w:rsid w:val="00BF38E0"/>
    <w:rsid w:val="00BF44FA"/>
    <w:rsid w:val="00BF57E1"/>
    <w:rsid w:val="00BF587B"/>
    <w:rsid w:val="00BF6671"/>
    <w:rsid w:val="00C003B4"/>
    <w:rsid w:val="00C00A5F"/>
    <w:rsid w:val="00C01E60"/>
    <w:rsid w:val="00C042E0"/>
    <w:rsid w:val="00C045CA"/>
    <w:rsid w:val="00C05059"/>
    <w:rsid w:val="00C051D9"/>
    <w:rsid w:val="00C06333"/>
    <w:rsid w:val="00C06F68"/>
    <w:rsid w:val="00C075BA"/>
    <w:rsid w:val="00C10A3A"/>
    <w:rsid w:val="00C10FB1"/>
    <w:rsid w:val="00C11E20"/>
    <w:rsid w:val="00C15D16"/>
    <w:rsid w:val="00C16E2C"/>
    <w:rsid w:val="00C17550"/>
    <w:rsid w:val="00C20015"/>
    <w:rsid w:val="00C247DD"/>
    <w:rsid w:val="00C25800"/>
    <w:rsid w:val="00C25B43"/>
    <w:rsid w:val="00C26A54"/>
    <w:rsid w:val="00C31760"/>
    <w:rsid w:val="00C3261C"/>
    <w:rsid w:val="00C3318B"/>
    <w:rsid w:val="00C33C20"/>
    <w:rsid w:val="00C33E62"/>
    <w:rsid w:val="00C35362"/>
    <w:rsid w:val="00C357EA"/>
    <w:rsid w:val="00C35AB0"/>
    <w:rsid w:val="00C379F8"/>
    <w:rsid w:val="00C37A1C"/>
    <w:rsid w:val="00C42323"/>
    <w:rsid w:val="00C4316E"/>
    <w:rsid w:val="00C453A9"/>
    <w:rsid w:val="00C465D5"/>
    <w:rsid w:val="00C4756A"/>
    <w:rsid w:val="00C47C39"/>
    <w:rsid w:val="00C50649"/>
    <w:rsid w:val="00C50E1F"/>
    <w:rsid w:val="00C51C09"/>
    <w:rsid w:val="00C52209"/>
    <w:rsid w:val="00C52BB6"/>
    <w:rsid w:val="00C53471"/>
    <w:rsid w:val="00C55143"/>
    <w:rsid w:val="00C56012"/>
    <w:rsid w:val="00C5611B"/>
    <w:rsid w:val="00C5695E"/>
    <w:rsid w:val="00C56F68"/>
    <w:rsid w:val="00C60C74"/>
    <w:rsid w:val="00C61528"/>
    <w:rsid w:val="00C63457"/>
    <w:rsid w:val="00C63810"/>
    <w:rsid w:val="00C64964"/>
    <w:rsid w:val="00C6631E"/>
    <w:rsid w:val="00C67473"/>
    <w:rsid w:val="00C679AD"/>
    <w:rsid w:val="00C67AA4"/>
    <w:rsid w:val="00C7148C"/>
    <w:rsid w:val="00C72192"/>
    <w:rsid w:val="00C732E5"/>
    <w:rsid w:val="00C73D0B"/>
    <w:rsid w:val="00C75017"/>
    <w:rsid w:val="00C765B4"/>
    <w:rsid w:val="00C766FD"/>
    <w:rsid w:val="00C813EA"/>
    <w:rsid w:val="00C81403"/>
    <w:rsid w:val="00C81496"/>
    <w:rsid w:val="00C82CE6"/>
    <w:rsid w:val="00C82E22"/>
    <w:rsid w:val="00C85144"/>
    <w:rsid w:val="00C86585"/>
    <w:rsid w:val="00C86738"/>
    <w:rsid w:val="00C86A27"/>
    <w:rsid w:val="00C876B5"/>
    <w:rsid w:val="00C91517"/>
    <w:rsid w:val="00C9236E"/>
    <w:rsid w:val="00C929BD"/>
    <w:rsid w:val="00C931A2"/>
    <w:rsid w:val="00C9415A"/>
    <w:rsid w:val="00C95DE6"/>
    <w:rsid w:val="00CA02E1"/>
    <w:rsid w:val="00CA15DA"/>
    <w:rsid w:val="00CA224E"/>
    <w:rsid w:val="00CA2C51"/>
    <w:rsid w:val="00CA41C5"/>
    <w:rsid w:val="00CA42B7"/>
    <w:rsid w:val="00CA4A53"/>
    <w:rsid w:val="00CA4A84"/>
    <w:rsid w:val="00CA51F5"/>
    <w:rsid w:val="00CB218A"/>
    <w:rsid w:val="00CB225A"/>
    <w:rsid w:val="00CB3072"/>
    <w:rsid w:val="00CB3E28"/>
    <w:rsid w:val="00CB4B0D"/>
    <w:rsid w:val="00CB54E9"/>
    <w:rsid w:val="00CB693B"/>
    <w:rsid w:val="00CB69E6"/>
    <w:rsid w:val="00CB761B"/>
    <w:rsid w:val="00CB7E33"/>
    <w:rsid w:val="00CC13DF"/>
    <w:rsid w:val="00CC1EEE"/>
    <w:rsid w:val="00CC562B"/>
    <w:rsid w:val="00CC6C15"/>
    <w:rsid w:val="00CC7FCF"/>
    <w:rsid w:val="00CD088F"/>
    <w:rsid w:val="00CD2317"/>
    <w:rsid w:val="00CD2749"/>
    <w:rsid w:val="00CD2779"/>
    <w:rsid w:val="00CD2A60"/>
    <w:rsid w:val="00CD306F"/>
    <w:rsid w:val="00CD333A"/>
    <w:rsid w:val="00CD3971"/>
    <w:rsid w:val="00CD3DAB"/>
    <w:rsid w:val="00CD43ED"/>
    <w:rsid w:val="00CE0DF1"/>
    <w:rsid w:val="00CE3786"/>
    <w:rsid w:val="00CE380D"/>
    <w:rsid w:val="00CE3CA4"/>
    <w:rsid w:val="00CE4027"/>
    <w:rsid w:val="00CE47CC"/>
    <w:rsid w:val="00CE5A27"/>
    <w:rsid w:val="00CE68F6"/>
    <w:rsid w:val="00CE7E27"/>
    <w:rsid w:val="00CF22AC"/>
    <w:rsid w:val="00CF2F0A"/>
    <w:rsid w:val="00CF6604"/>
    <w:rsid w:val="00CF71B8"/>
    <w:rsid w:val="00CF79E8"/>
    <w:rsid w:val="00D015AA"/>
    <w:rsid w:val="00D021B8"/>
    <w:rsid w:val="00D02A6A"/>
    <w:rsid w:val="00D03D90"/>
    <w:rsid w:val="00D04024"/>
    <w:rsid w:val="00D043EB"/>
    <w:rsid w:val="00D047C4"/>
    <w:rsid w:val="00D06705"/>
    <w:rsid w:val="00D06A9B"/>
    <w:rsid w:val="00D0750D"/>
    <w:rsid w:val="00D07DD8"/>
    <w:rsid w:val="00D1038F"/>
    <w:rsid w:val="00D10BF7"/>
    <w:rsid w:val="00D10FEB"/>
    <w:rsid w:val="00D12124"/>
    <w:rsid w:val="00D140A0"/>
    <w:rsid w:val="00D16F39"/>
    <w:rsid w:val="00D16F58"/>
    <w:rsid w:val="00D203D1"/>
    <w:rsid w:val="00D2057A"/>
    <w:rsid w:val="00D20D20"/>
    <w:rsid w:val="00D2193E"/>
    <w:rsid w:val="00D21D98"/>
    <w:rsid w:val="00D228A0"/>
    <w:rsid w:val="00D2317F"/>
    <w:rsid w:val="00D231A9"/>
    <w:rsid w:val="00D24391"/>
    <w:rsid w:val="00D2472B"/>
    <w:rsid w:val="00D253DD"/>
    <w:rsid w:val="00D26FFA"/>
    <w:rsid w:val="00D3215D"/>
    <w:rsid w:val="00D33352"/>
    <w:rsid w:val="00D347D9"/>
    <w:rsid w:val="00D35565"/>
    <w:rsid w:val="00D36A19"/>
    <w:rsid w:val="00D40DCF"/>
    <w:rsid w:val="00D41075"/>
    <w:rsid w:val="00D41C76"/>
    <w:rsid w:val="00D41DD8"/>
    <w:rsid w:val="00D4222C"/>
    <w:rsid w:val="00D425CE"/>
    <w:rsid w:val="00D42F40"/>
    <w:rsid w:val="00D4396C"/>
    <w:rsid w:val="00D4446F"/>
    <w:rsid w:val="00D44B55"/>
    <w:rsid w:val="00D45490"/>
    <w:rsid w:val="00D45780"/>
    <w:rsid w:val="00D457B8"/>
    <w:rsid w:val="00D457E1"/>
    <w:rsid w:val="00D47747"/>
    <w:rsid w:val="00D47BEB"/>
    <w:rsid w:val="00D502E8"/>
    <w:rsid w:val="00D50487"/>
    <w:rsid w:val="00D50563"/>
    <w:rsid w:val="00D50F50"/>
    <w:rsid w:val="00D51728"/>
    <w:rsid w:val="00D5235F"/>
    <w:rsid w:val="00D52F50"/>
    <w:rsid w:val="00D55A98"/>
    <w:rsid w:val="00D56B49"/>
    <w:rsid w:val="00D6053F"/>
    <w:rsid w:val="00D6073D"/>
    <w:rsid w:val="00D60D60"/>
    <w:rsid w:val="00D618D6"/>
    <w:rsid w:val="00D620C6"/>
    <w:rsid w:val="00D62426"/>
    <w:rsid w:val="00D62804"/>
    <w:rsid w:val="00D62BAB"/>
    <w:rsid w:val="00D64646"/>
    <w:rsid w:val="00D6650D"/>
    <w:rsid w:val="00D67A2D"/>
    <w:rsid w:val="00D70F55"/>
    <w:rsid w:val="00D70FA5"/>
    <w:rsid w:val="00D74171"/>
    <w:rsid w:val="00D7474C"/>
    <w:rsid w:val="00D752F4"/>
    <w:rsid w:val="00D8032C"/>
    <w:rsid w:val="00D80CE2"/>
    <w:rsid w:val="00D83080"/>
    <w:rsid w:val="00D83C06"/>
    <w:rsid w:val="00D84D5F"/>
    <w:rsid w:val="00D851E2"/>
    <w:rsid w:val="00D87FFA"/>
    <w:rsid w:val="00D91419"/>
    <w:rsid w:val="00D92A09"/>
    <w:rsid w:val="00D92D2A"/>
    <w:rsid w:val="00D92EEC"/>
    <w:rsid w:val="00D93470"/>
    <w:rsid w:val="00D937B9"/>
    <w:rsid w:val="00D9395F"/>
    <w:rsid w:val="00D93D55"/>
    <w:rsid w:val="00D941FA"/>
    <w:rsid w:val="00D94917"/>
    <w:rsid w:val="00D94B59"/>
    <w:rsid w:val="00D95315"/>
    <w:rsid w:val="00D95EAB"/>
    <w:rsid w:val="00DA0B39"/>
    <w:rsid w:val="00DA1203"/>
    <w:rsid w:val="00DA2316"/>
    <w:rsid w:val="00DA25E0"/>
    <w:rsid w:val="00DA2700"/>
    <w:rsid w:val="00DA3001"/>
    <w:rsid w:val="00DA3C5D"/>
    <w:rsid w:val="00DA3EFF"/>
    <w:rsid w:val="00DA6FB4"/>
    <w:rsid w:val="00DA7769"/>
    <w:rsid w:val="00DB06D6"/>
    <w:rsid w:val="00DB08C6"/>
    <w:rsid w:val="00DB15CA"/>
    <w:rsid w:val="00DB170C"/>
    <w:rsid w:val="00DB1BC2"/>
    <w:rsid w:val="00DB1CBB"/>
    <w:rsid w:val="00DB31ED"/>
    <w:rsid w:val="00DB4124"/>
    <w:rsid w:val="00DB4511"/>
    <w:rsid w:val="00DB4F0C"/>
    <w:rsid w:val="00DC0176"/>
    <w:rsid w:val="00DC043F"/>
    <w:rsid w:val="00DC093E"/>
    <w:rsid w:val="00DC0E29"/>
    <w:rsid w:val="00DC0E7A"/>
    <w:rsid w:val="00DC2A65"/>
    <w:rsid w:val="00DC2A86"/>
    <w:rsid w:val="00DC3631"/>
    <w:rsid w:val="00DC37F7"/>
    <w:rsid w:val="00DC4626"/>
    <w:rsid w:val="00DC6F54"/>
    <w:rsid w:val="00DC7AB2"/>
    <w:rsid w:val="00DD0C00"/>
    <w:rsid w:val="00DD0F8C"/>
    <w:rsid w:val="00DD116C"/>
    <w:rsid w:val="00DD23D5"/>
    <w:rsid w:val="00DD2AF1"/>
    <w:rsid w:val="00DD46DA"/>
    <w:rsid w:val="00DD5B8B"/>
    <w:rsid w:val="00DD6072"/>
    <w:rsid w:val="00DD62BE"/>
    <w:rsid w:val="00DD77D9"/>
    <w:rsid w:val="00DD7CA4"/>
    <w:rsid w:val="00DE167C"/>
    <w:rsid w:val="00DE3B70"/>
    <w:rsid w:val="00DE43C9"/>
    <w:rsid w:val="00DE46C5"/>
    <w:rsid w:val="00DE5813"/>
    <w:rsid w:val="00DE5896"/>
    <w:rsid w:val="00DE6D8A"/>
    <w:rsid w:val="00DF10B1"/>
    <w:rsid w:val="00DF1FDA"/>
    <w:rsid w:val="00DF3DD0"/>
    <w:rsid w:val="00DF4D50"/>
    <w:rsid w:val="00DF538C"/>
    <w:rsid w:val="00DF7D07"/>
    <w:rsid w:val="00E021C2"/>
    <w:rsid w:val="00E024A3"/>
    <w:rsid w:val="00E0423D"/>
    <w:rsid w:val="00E057B5"/>
    <w:rsid w:val="00E0581E"/>
    <w:rsid w:val="00E079C5"/>
    <w:rsid w:val="00E07CBD"/>
    <w:rsid w:val="00E07F56"/>
    <w:rsid w:val="00E10A16"/>
    <w:rsid w:val="00E1112F"/>
    <w:rsid w:val="00E1318F"/>
    <w:rsid w:val="00E137B9"/>
    <w:rsid w:val="00E13B3B"/>
    <w:rsid w:val="00E13E29"/>
    <w:rsid w:val="00E16857"/>
    <w:rsid w:val="00E16C3A"/>
    <w:rsid w:val="00E20651"/>
    <w:rsid w:val="00E2107C"/>
    <w:rsid w:val="00E21B94"/>
    <w:rsid w:val="00E21E70"/>
    <w:rsid w:val="00E224DE"/>
    <w:rsid w:val="00E238F7"/>
    <w:rsid w:val="00E23DCE"/>
    <w:rsid w:val="00E2566A"/>
    <w:rsid w:val="00E26363"/>
    <w:rsid w:val="00E272A4"/>
    <w:rsid w:val="00E305F9"/>
    <w:rsid w:val="00E306AC"/>
    <w:rsid w:val="00E34446"/>
    <w:rsid w:val="00E3633B"/>
    <w:rsid w:val="00E36870"/>
    <w:rsid w:val="00E374E1"/>
    <w:rsid w:val="00E40077"/>
    <w:rsid w:val="00E417AB"/>
    <w:rsid w:val="00E43D48"/>
    <w:rsid w:val="00E4542D"/>
    <w:rsid w:val="00E45BE0"/>
    <w:rsid w:val="00E46CAD"/>
    <w:rsid w:val="00E47521"/>
    <w:rsid w:val="00E4760C"/>
    <w:rsid w:val="00E507A6"/>
    <w:rsid w:val="00E5375C"/>
    <w:rsid w:val="00E53FF5"/>
    <w:rsid w:val="00E561AD"/>
    <w:rsid w:val="00E579E6"/>
    <w:rsid w:val="00E57FAF"/>
    <w:rsid w:val="00E60BA9"/>
    <w:rsid w:val="00E63510"/>
    <w:rsid w:val="00E635EA"/>
    <w:rsid w:val="00E655E5"/>
    <w:rsid w:val="00E65F4E"/>
    <w:rsid w:val="00E662E0"/>
    <w:rsid w:val="00E6664D"/>
    <w:rsid w:val="00E67D5D"/>
    <w:rsid w:val="00E67E62"/>
    <w:rsid w:val="00E71C7A"/>
    <w:rsid w:val="00E72B42"/>
    <w:rsid w:val="00E73119"/>
    <w:rsid w:val="00E73E1E"/>
    <w:rsid w:val="00E75AF1"/>
    <w:rsid w:val="00E767FF"/>
    <w:rsid w:val="00E8462C"/>
    <w:rsid w:val="00E84C91"/>
    <w:rsid w:val="00E84E60"/>
    <w:rsid w:val="00E8556E"/>
    <w:rsid w:val="00E86B2D"/>
    <w:rsid w:val="00E86F4D"/>
    <w:rsid w:val="00E87D08"/>
    <w:rsid w:val="00E90D0E"/>
    <w:rsid w:val="00E91B2D"/>
    <w:rsid w:val="00E92FCA"/>
    <w:rsid w:val="00E95CAA"/>
    <w:rsid w:val="00EA0A39"/>
    <w:rsid w:val="00EA0EB2"/>
    <w:rsid w:val="00EA236F"/>
    <w:rsid w:val="00EA3023"/>
    <w:rsid w:val="00EA3E49"/>
    <w:rsid w:val="00EA3FC8"/>
    <w:rsid w:val="00EA5B8C"/>
    <w:rsid w:val="00EA5DE1"/>
    <w:rsid w:val="00EB0DC9"/>
    <w:rsid w:val="00EB1383"/>
    <w:rsid w:val="00EB252D"/>
    <w:rsid w:val="00EB29FA"/>
    <w:rsid w:val="00EB2CCE"/>
    <w:rsid w:val="00EB385F"/>
    <w:rsid w:val="00EB3DD8"/>
    <w:rsid w:val="00EB3E49"/>
    <w:rsid w:val="00EB53D5"/>
    <w:rsid w:val="00EB5FC3"/>
    <w:rsid w:val="00EB6DA9"/>
    <w:rsid w:val="00EB7F60"/>
    <w:rsid w:val="00EC132C"/>
    <w:rsid w:val="00EC1561"/>
    <w:rsid w:val="00EC462E"/>
    <w:rsid w:val="00EC6CD8"/>
    <w:rsid w:val="00EC786F"/>
    <w:rsid w:val="00ED1866"/>
    <w:rsid w:val="00ED3134"/>
    <w:rsid w:val="00ED38E2"/>
    <w:rsid w:val="00ED5C44"/>
    <w:rsid w:val="00ED635B"/>
    <w:rsid w:val="00EE21F5"/>
    <w:rsid w:val="00EE43B3"/>
    <w:rsid w:val="00EE4F56"/>
    <w:rsid w:val="00EE578C"/>
    <w:rsid w:val="00EE742D"/>
    <w:rsid w:val="00EF0A22"/>
    <w:rsid w:val="00EF1267"/>
    <w:rsid w:val="00EF180C"/>
    <w:rsid w:val="00EF3B6B"/>
    <w:rsid w:val="00EF3EF4"/>
    <w:rsid w:val="00EF4B43"/>
    <w:rsid w:val="00EF6750"/>
    <w:rsid w:val="00EF770B"/>
    <w:rsid w:val="00F00D41"/>
    <w:rsid w:val="00F02836"/>
    <w:rsid w:val="00F02FB5"/>
    <w:rsid w:val="00F0534E"/>
    <w:rsid w:val="00F05C30"/>
    <w:rsid w:val="00F1075B"/>
    <w:rsid w:val="00F10F1B"/>
    <w:rsid w:val="00F14179"/>
    <w:rsid w:val="00F15786"/>
    <w:rsid w:val="00F15A00"/>
    <w:rsid w:val="00F163E5"/>
    <w:rsid w:val="00F167C5"/>
    <w:rsid w:val="00F207C3"/>
    <w:rsid w:val="00F20B5A"/>
    <w:rsid w:val="00F21F0B"/>
    <w:rsid w:val="00F236AB"/>
    <w:rsid w:val="00F24EA4"/>
    <w:rsid w:val="00F27087"/>
    <w:rsid w:val="00F2773C"/>
    <w:rsid w:val="00F27B8D"/>
    <w:rsid w:val="00F300B3"/>
    <w:rsid w:val="00F301CD"/>
    <w:rsid w:val="00F30DB9"/>
    <w:rsid w:val="00F30FB8"/>
    <w:rsid w:val="00F31609"/>
    <w:rsid w:val="00F3164C"/>
    <w:rsid w:val="00F31D68"/>
    <w:rsid w:val="00F33152"/>
    <w:rsid w:val="00F338F2"/>
    <w:rsid w:val="00F349D3"/>
    <w:rsid w:val="00F3533E"/>
    <w:rsid w:val="00F35B84"/>
    <w:rsid w:val="00F36C9E"/>
    <w:rsid w:val="00F402B5"/>
    <w:rsid w:val="00F4072F"/>
    <w:rsid w:val="00F40DFD"/>
    <w:rsid w:val="00F413F7"/>
    <w:rsid w:val="00F42839"/>
    <w:rsid w:val="00F43F69"/>
    <w:rsid w:val="00F44235"/>
    <w:rsid w:val="00F44CC0"/>
    <w:rsid w:val="00F450BA"/>
    <w:rsid w:val="00F4684B"/>
    <w:rsid w:val="00F46BE9"/>
    <w:rsid w:val="00F47C3B"/>
    <w:rsid w:val="00F506CA"/>
    <w:rsid w:val="00F50707"/>
    <w:rsid w:val="00F519AA"/>
    <w:rsid w:val="00F5391B"/>
    <w:rsid w:val="00F53A7A"/>
    <w:rsid w:val="00F54FCD"/>
    <w:rsid w:val="00F559C1"/>
    <w:rsid w:val="00F5785C"/>
    <w:rsid w:val="00F62EDF"/>
    <w:rsid w:val="00F65E3C"/>
    <w:rsid w:val="00F66A7D"/>
    <w:rsid w:val="00F67076"/>
    <w:rsid w:val="00F677FA"/>
    <w:rsid w:val="00F7115A"/>
    <w:rsid w:val="00F717AA"/>
    <w:rsid w:val="00F72714"/>
    <w:rsid w:val="00F73F1D"/>
    <w:rsid w:val="00F744C3"/>
    <w:rsid w:val="00F75EE2"/>
    <w:rsid w:val="00F75F69"/>
    <w:rsid w:val="00F76014"/>
    <w:rsid w:val="00F7661C"/>
    <w:rsid w:val="00F77D47"/>
    <w:rsid w:val="00F802D3"/>
    <w:rsid w:val="00F80F94"/>
    <w:rsid w:val="00F81003"/>
    <w:rsid w:val="00F81BA2"/>
    <w:rsid w:val="00F82025"/>
    <w:rsid w:val="00F823A4"/>
    <w:rsid w:val="00F829D8"/>
    <w:rsid w:val="00F8412F"/>
    <w:rsid w:val="00F84791"/>
    <w:rsid w:val="00F85995"/>
    <w:rsid w:val="00F85FC5"/>
    <w:rsid w:val="00F86C22"/>
    <w:rsid w:val="00F87EB5"/>
    <w:rsid w:val="00F90CB3"/>
    <w:rsid w:val="00F912A2"/>
    <w:rsid w:val="00F913A3"/>
    <w:rsid w:val="00F91D29"/>
    <w:rsid w:val="00F925C3"/>
    <w:rsid w:val="00FA0109"/>
    <w:rsid w:val="00FA135D"/>
    <w:rsid w:val="00FA1A62"/>
    <w:rsid w:val="00FA3CAE"/>
    <w:rsid w:val="00FA458B"/>
    <w:rsid w:val="00FA5EC5"/>
    <w:rsid w:val="00FA7016"/>
    <w:rsid w:val="00FA7174"/>
    <w:rsid w:val="00FA793D"/>
    <w:rsid w:val="00FB020E"/>
    <w:rsid w:val="00FB0F17"/>
    <w:rsid w:val="00FB3B6C"/>
    <w:rsid w:val="00FB4B9D"/>
    <w:rsid w:val="00FB50ED"/>
    <w:rsid w:val="00FB5A35"/>
    <w:rsid w:val="00FB6E18"/>
    <w:rsid w:val="00FC144B"/>
    <w:rsid w:val="00FC2169"/>
    <w:rsid w:val="00FC28E2"/>
    <w:rsid w:val="00FC3BF6"/>
    <w:rsid w:val="00FC3D22"/>
    <w:rsid w:val="00FC6FE1"/>
    <w:rsid w:val="00FD00AF"/>
    <w:rsid w:val="00FD0C3D"/>
    <w:rsid w:val="00FD2F6B"/>
    <w:rsid w:val="00FD50E3"/>
    <w:rsid w:val="00FD622D"/>
    <w:rsid w:val="00FE064A"/>
    <w:rsid w:val="00FE0B3E"/>
    <w:rsid w:val="00FE0B55"/>
    <w:rsid w:val="00FE1815"/>
    <w:rsid w:val="00FE1E98"/>
    <w:rsid w:val="00FE2256"/>
    <w:rsid w:val="00FE2452"/>
    <w:rsid w:val="00FE2999"/>
    <w:rsid w:val="00FE4A0F"/>
    <w:rsid w:val="00FE5469"/>
    <w:rsid w:val="00FE5E95"/>
    <w:rsid w:val="00FE66C2"/>
    <w:rsid w:val="00FE684A"/>
    <w:rsid w:val="00FE6F23"/>
    <w:rsid w:val="00FF065C"/>
    <w:rsid w:val="00FF0F8C"/>
    <w:rsid w:val="00FF19C9"/>
    <w:rsid w:val="00FF308E"/>
    <w:rsid w:val="00FF408B"/>
    <w:rsid w:val="00FF43E1"/>
    <w:rsid w:val="03430854"/>
    <w:rsid w:val="039F5FA6"/>
    <w:rsid w:val="042D40AF"/>
    <w:rsid w:val="09305ADA"/>
    <w:rsid w:val="0C1749AD"/>
    <w:rsid w:val="0D192A91"/>
    <w:rsid w:val="0E79147A"/>
    <w:rsid w:val="0E8013B7"/>
    <w:rsid w:val="10D604C6"/>
    <w:rsid w:val="114D5D42"/>
    <w:rsid w:val="11B515E0"/>
    <w:rsid w:val="13A53267"/>
    <w:rsid w:val="13F970D2"/>
    <w:rsid w:val="14AA4136"/>
    <w:rsid w:val="15513ED4"/>
    <w:rsid w:val="163A420B"/>
    <w:rsid w:val="19050531"/>
    <w:rsid w:val="19413B26"/>
    <w:rsid w:val="1C6D3688"/>
    <w:rsid w:val="1CC63D0A"/>
    <w:rsid w:val="1DC2081A"/>
    <w:rsid w:val="1DD94266"/>
    <w:rsid w:val="1F9D0947"/>
    <w:rsid w:val="1FFB29C6"/>
    <w:rsid w:val="22AF3620"/>
    <w:rsid w:val="22E70AD4"/>
    <w:rsid w:val="240D4452"/>
    <w:rsid w:val="24F1508D"/>
    <w:rsid w:val="266F634F"/>
    <w:rsid w:val="26B66697"/>
    <w:rsid w:val="291059EA"/>
    <w:rsid w:val="2BBF12EC"/>
    <w:rsid w:val="2BC649D9"/>
    <w:rsid w:val="2BEB2C82"/>
    <w:rsid w:val="2F3450A3"/>
    <w:rsid w:val="3515160D"/>
    <w:rsid w:val="35687FF5"/>
    <w:rsid w:val="35776039"/>
    <w:rsid w:val="3C7D00D8"/>
    <w:rsid w:val="3CA06C0C"/>
    <w:rsid w:val="3E7DD881"/>
    <w:rsid w:val="3EA25851"/>
    <w:rsid w:val="3F6C3757"/>
    <w:rsid w:val="3FB06705"/>
    <w:rsid w:val="405D6A10"/>
    <w:rsid w:val="41DA6594"/>
    <w:rsid w:val="444C1A75"/>
    <w:rsid w:val="44A3526F"/>
    <w:rsid w:val="44B032F4"/>
    <w:rsid w:val="457D25F7"/>
    <w:rsid w:val="468341CD"/>
    <w:rsid w:val="46DB3005"/>
    <w:rsid w:val="472C2589"/>
    <w:rsid w:val="4A760AEB"/>
    <w:rsid w:val="4BAB45A4"/>
    <w:rsid w:val="4D87491C"/>
    <w:rsid w:val="4E1425AF"/>
    <w:rsid w:val="4F3162CA"/>
    <w:rsid w:val="50D95873"/>
    <w:rsid w:val="51431F7C"/>
    <w:rsid w:val="526102AF"/>
    <w:rsid w:val="528444DA"/>
    <w:rsid w:val="537745D5"/>
    <w:rsid w:val="552306F6"/>
    <w:rsid w:val="56E352D5"/>
    <w:rsid w:val="57E435FE"/>
    <w:rsid w:val="582D0655"/>
    <w:rsid w:val="5951205C"/>
    <w:rsid w:val="59D079E8"/>
    <w:rsid w:val="59D40847"/>
    <w:rsid w:val="5AE37F25"/>
    <w:rsid w:val="5CB23D47"/>
    <w:rsid w:val="5F3F893C"/>
    <w:rsid w:val="5F576407"/>
    <w:rsid w:val="5FAF09C4"/>
    <w:rsid w:val="5FDFE310"/>
    <w:rsid w:val="608C4642"/>
    <w:rsid w:val="62795572"/>
    <w:rsid w:val="64DD6417"/>
    <w:rsid w:val="66004745"/>
    <w:rsid w:val="660F123E"/>
    <w:rsid w:val="68A004A3"/>
    <w:rsid w:val="6A567F20"/>
    <w:rsid w:val="6CAB4337"/>
    <w:rsid w:val="6CD97953"/>
    <w:rsid w:val="6ED30FD7"/>
    <w:rsid w:val="6FCA3204"/>
    <w:rsid w:val="727D78FD"/>
    <w:rsid w:val="73CC655F"/>
    <w:rsid w:val="75957445"/>
    <w:rsid w:val="75D01AE1"/>
    <w:rsid w:val="7635274E"/>
    <w:rsid w:val="77524363"/>
    <w:rsid w:val="77B917B5"/>
    <w:rsid w:val="78703975"/>
    <w:rsid w:val="7BE420FD"/>
    <w:rsid w:val="7D0D296B"/>
    <w:rsid w:val="7D4E0B54"/>
    <w:rsid w:val="7D503E78"/>
    <w:rsid w:val="7E0160D4"/>
    <w:rsid w:val="7FEDD52D"/>
    <w:rsid w:val="D7FF0BC1"/>
    <w:rsid w:val="F6FFDCB8"/>
    <w:rsid w:val="F85F8E7D"/>
    <w:rsid w:val="FCBED621"/>
    <w:rsid w:val="FE8FFCFC"/>
    <w:rsid w:val="FFF5A8B6"/>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paragraph" w:styleId="3">
    <w:name w:val="heading 1"/>
    <w:basedOn w:val="1"/>
    <w:next w:val="1"/>
    <w:link w:val="75"/>
    <w:qFormat/>
    <w:uiPriority w:val="0"/>
    <w:pPr>
      <w:keepNext/>
      <w:keepLines/>
      <w:numPr>
        <w:ilvl w:val="0"/>
        <w:numId w:val="1"/>
      </w:numPr>
      <w:spacing w:before="120" w:after="120"/>
      <w:ind w:firstLine="0" w:firstLineChars="0"/>
      <w:outlineLvl w:val="0"/>
    </w:pPr>
    <w:rPr>
      <w:rFonts w:eastAsia="黑体"/>
      <w:b/>
      <w:bCs/>
      <w:kern w:val="44"/>
      <w:sz w:val="32"/>
      <w:szCs w:val="28"/>
    </w:rPr>
  </w:style>
  <w:style w:type="paragraph" w:styleId="4">
    <w:name w:val="heading 2"/>
    <w:basedOn w:val="1"/>
    <w:next w:val="1"/>
    <w:link w:val="88"/>
    <w:qFormat/>
    <w:uiPriority w:val="9"/>
    <w:pPr>
      <w:keepNext/>
      <w:keepLines/>
      <w:numPr>
        <w:ilvl w:val="1"/>
        <w:numId w:val="1"/>
      </w:numPr>
      <w:spacing w:before="120" w:after="120"/>
      <w:ind w:firstLine="0" w:firstLineChars="0"/>
      <w:outlineLvl w:val="1"/>
    </w:pPr>
    <w:rPr>
      <w:b/>
      <w:bCs/>
      <w:sz w:val="30"/>
      <w:szCs w:val="32"/>
    </w:rPr>
  </w:style>
  <w:style w:type="paragraph" w:styleId="5">
    <w:name w:val="heading 3"/>
    <w:basedOn w:val="1"/>
    <w:next w:val="1"/>
    <w:link w:val="81"/>
    <w:qFormat/>
    <w:uiPriority w:val="0"/>
    <w:pPr>
      <w:keepNext/>
      <w:keepLines/>
      <w:numPr>
        <w:ilvl w:val="2"/>
        <w:numId w:val="1"/>
      </w:numPr>
      <w:spacing w:before="120" w:after="120"/>
      <w:ind w:firstLine="0" w:firstLineChars="0"/>
      <w:outlineLvl w:val="2"/>
    </w:pPr>
    <w:rPr>
      <w:b/>
      <w:bCs/>
      <w:sz w:val="28"/>
      <w:szCs w:val="28"/>
    </w:rPr>
  </w:style>
  <w:style w:type="paragraph" w:styleId="6">
    <w:name w:val="heading 4"/>
    <w:basedOn w:val="1"/>
    <w:next w:val="1"/>
    <w:link w:val="58"/>
    <w:qFormat/>
    <w:uiPriority w:val="0"/>
    <w:pPr>
      <w:keepNext/>
      <w:keepLines/>
      <w:numPr>
        <w:ilvl w:val="3"/>
        <w:numId w:val="1"/>
      </w:numPr>
      <w:spacing w:before="120" w:after="120"/>
      <w:ind w:firstLine="0" w:firstLineChars="0"/>
      <w:outlineLvl w:val="3"/>
    </w:pPr>
    <w:rPr>
      <w:b/>
      <w:bCs/>
      <w:sz w:val="30"/>
      <w:szCs w:val="30"/>
    </w:rPr>
  </w:style>
  <w:style w:type="paragraph" w:styleId="7">
    <w:name w:val="heading 5"/>
    <w:basedOn w:val="1"/>
    <w:next w:val="1"/>
    <w:link w:val="86"/>
    <w:qFormat/>
    <w:uiPriority w:val="0"/>
    <w:pPr>
      <w:keepNext/>
      <w:keepLines/>
      <w:numPr>
        <w:ilvl w:val="4"/>
        <w:numId w:val="1"/>
      </w:numPr>
      <w:spacing w:before="120" w:after="120"/>
      <w:ind w:firstLine="0" w:firstLineChars="0"/>
      <w:outlineLvl w:val="4"/>
    </w:pPr>
    <w:rPr>
      <w:b/>
      <w:bCs/>
      <w:szCs w:val="28"/>
    </w:rPr>
  </w:style>
  <w:style w:type="paragraph" w:styleId="2">
    <w:name w:val="heading 6"/>
    <w:basedOn w:val="1"/>
    <w:next w:val="1"/>
    <w:link w:val="99"/>
    <w:qFormat/>
    <w:uiPriority w:val="0"/>
    <w:pPr>
      <w:keepNext/>
      <w:keepLines/>
      <w:numPr>
        <w:ilvl w:val="5"/>
        <w:numId w:val="1"/>
      </w:numPr>
      <w:spacing w:before="120" w:after="120"/>
      <w:ind w:firstLine="0" w:firstLineChars="0"/>
      <w:outlineLvl w:val="5"/>
    </w:pPr>
    <w:rPr>
      <w:rFonts w:ascii="Cambria" w:hAnsi="Cambria"/>
      <w:b/>
      <w:bCs/>
    </w:rPr>
  </w:style>
  <w:style w:type="paragraph" w:styleId="8">
    <w:name w:val="heading 7"/>
    <w:basedOn w:val="1"/>
    <w:next w:val="1"/>
    <w:link w:val="72"/>
    <w:qFormat/>
    <w:uiPriority w:val="9"/>
    <w:pPr>
      <w:keepNext/>
      <w:keepLines/>
      <w:spacing w:before="240" w:after="64" w:line="319" w:lineRule="auto"/>
      <w:ind w:firstLine="0" w:firstLineChars="0"/>
      <w:outlineLvl w:val="6"/>
    </w:pPr>
    <w:rPr>
      <w:rFonts w:ascii="Times New Roman" w:hAnsi="Times New Roman"/>
      <w:b/>
      <w:bCs/>
      <w:sz w:val="21"/>
    </w:rPr>
  </w:style>
  <w:style w:type="paragraph" w:styleId="9">
    <w:name w:val="heading 8"/>
    <w:basedOn w:val="1"/>
    <w:next w:val="1"/>
    <w:link w:val="98"/>
    <w:qFormat/>
    <w:uiPriority w:val="9"/>
    <w:pPr>
      <w:keepNext/>
      <w:keepLines/>
      <w:spacing w:before="240" w:after="64" w:line="319" w:lineRule="auto"/>
      <w:ind w:firstLine="0" w:firstLineChars="0"/>
      <w:outlineLvl w:val="7"/>
    </w:pPr>
    <w:rPr>
      <w:rFonts w:ascii="Cambria" w:hAnsi="Cambria"/>
      <w:sz w:val="21"/>
    </w:rPr>
  </w:style>
  <w:style w:type="paragraph" w:styleId="10">
    <w:name w:val="heading 9"/>
    <w:basedOn w:val="1"/>
    <w:next w:val="1"/>
    <w:link w:val="48"/>
    <w:qFormat/>
    <w:uiPriority w:val="9"/>
    <w:pPr>
      <w:keepNext/>
      <w:keepLines/>
      <w:spacing w:before="240" w:after="64" w:line="319" w:lineRule="auto"/>
      <w:ind w:firstLine="0" w:firstLineChars="0"/>
      <w:outlineLvl w:val="8"/>
    </w:pPr>
    <w:rPr>
      <w:rFonts w:ascii="Cambria" w:hAnsi="Cambria"/>
      <w:sz w:val="21"/>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DengXian" w:hAnsi="DengXian" w:eastAsia="DengXian"/>
      <w:szCs w:val="22"/>
    </w:rPr>
  </w:style>
  <w:style w:type="paragraph" w:styleId="12">
    <w:name w:val="Normal Indent"/>
    <w:basedOn w:val="1"/>
    <w:unhideWhenUsed/>
    <w:qFormat/>
    <w:uiPriority w:val="99"/>
    <w:pPr>
      <w:spacing w:line="240" w:lineRule="auto"/>
      <w:ind w:firstLine="420"/>
    </w:pPr>
    <w:rPr>
      <w:rFonts w:ascii="Calibri" w:hAnsi="Calibri"/>
      <w:sz w:val="21"/>
    </w:rPr>
  </w:style>
  <w:style w:type="paragraph" w:styleId="13">
    <w:name w:val="caption"/>
    <w:basedOn w:val="1"/>
    <w:next w:val="1"/>
    <w:link w:val="54"/>
    <w:qFormat/>
    <w:uiPriority w:val="0"/>
    <w:pPr>
      <w:spacing w:afterLines="50"/>
      <w:ind w:firstLine="200"/>
    </w:pPr>
    <w:rPr>
      <w:rFonts w:ascii="Arial" w:hAnsi="Arial" w:eastAsia="黑体"/>
      <w:sz w:val="20"/>
      <w:szCs w:val="20"/>
    </w:rPr>
  </w:style>
  <w:style w:type="paragraph" w:styleId="14">
    <w:name w:val="Document Map"/>
    <w:basedOn w:val="1"/>
    <w:link w:val="91"/>
    <w:qFormat/>
    <w:uiPriority w:val="0"/>
    <w:rPr>
      <w:rFonts w:hAnsi="Times New Roman"/>
      <w:sz w:val="18"/>
      <w:szCs w:val="18"/>
    </w:rPr>
  </w:style>
  <w:style w:type="paragraph" w:styleId="15">
    <w:name w:val="annotation text"/>
    <w:basedOn w:val="1"/>
    <w:link w:val="45"/>
    <w:qFormat/>
    <w:uiPriority w:val="99"/>
    <w:pPr>
      <w:jc w:val="left"/>
    </w:pPr>
    <w:rPr>
      <w:rFonts w:ascii="Times New Roman" w:hAnsi="Times New Roman" w:eastAsia="仿宋"/>
      <w:sz w:val="28"/>
    </w:rPr>
  </w:style>
  <w:style w:type="paragraph" w:styleId="16">
    <w:name w:val="Body Text"/>
    <w:basedOn w:val="1"/>
    <w:link w:val="59"/>
    <w:unhideWhenUsed/>
    <w:qFormat/>
    <w:uiPriority w:val="0"/>
    <w:pPr>
      <w:spacing w:after="120" w:line="240" w:lineRule="auto"/>
      <w:ind w:firstLine="0" w:firstLineChars="0"/>
    </w:pPr>
    <w:rPr>
      <w:rFonts w:ascii="Times New Roman" w:hAnsi="Times New Roman"/>
      <w:sz w:val="21"/>
    </w:rPr>
  </w:style>
  <w:style w:type="paragraph" w:styleId="17">
    <w:name w:val="Body Text Indent"/>
    <w:basedOn w:val="1"/>
    <w:link w:val="85"/>
    <w:qFormat/>
    <w:uiPriority w:val="0"/>
    <w:pPr>
      <w:spacing w:after="120"/>
      <w:ind w:firstLine="200"/>
    </w:pPr>
    <w:rPr>
      <w:rFonts w:ascii="Times New Roman" w:hAnsi="Times New Roman"/>
      <w:sz w:val="21"/>
      <w:szCs w:val="20"/>
    </w:rPr>
  </w:style>
  <w:style w:type="paragraph" w:styleId="18">
    <w:name w:val="toc 5"/>
    <w:basedOn w:val="1"/>
    <w:next w:val="1"/>
    <w:unhideWhenUsed/>
    <w:qFormat/>
    <w:uiPriority w:val="39"/>
    <w:pPr>
      <w:ind w:left="1680" w:leftChars="800"/>
    </w:pPr>
    <w:rPr>
      <w:rFonts w:ascii="DengXian" w:hAnsi="DengXian" w:eastAsia="DengXian"/>
      <w:szCs w:val="22"/>
    </w:rPr>
  </w:style>
  <w:style w:type="paragraph" w:styleId="19">
    <w:name w:val="toc 3"/>
    <w:basedOn w:val="1"/>
    <w:next w:val="1"/>
    <w:qFormat/>
    <w:uiPriority w:val="39"/>
    <w:pPr>
      <w:tabs>
        <w:tab w:val="right" w:leader="dot" w:pos="8302"/>
      </w:tabs>
      <w:ind w:left="840" w:leftChars="400"/>
    </w:pPr>
  </w:style>
  <w:style w:type="paragraph" w:styleId="20">
    <w:name w:val="Plain Text"/>
    <w:basedOn w:val="1"/>
    <w:link w:val="66"/>
    <w:qFormat/>
    <w:uiPriority w:val="0"/>
    <w:pPr>
      <w:spacing w:line="240" w:lineRule="auto"/>
      <w:ind w:firstLine="0" w:firstLineChars="0"/>
    </w:pPr>
    <w:rPr>
      <w:rFonts w:hAnsi="Courier New"/>
      <w:sz w:val="21"/>
      <w:szCs w:val="20"/>
    </w:rPr>
  </w:style>
  <w:style w:type="paragraph" w:styleId="21">
    <w:name w:val="toc 8"/>
    <w:basedOn w:val="1"/>
    <w:next w:val="1"/>
    <w:unhideWhenUsed/>
    <w:qFormat/>
    <w:uiPriority w:val="39"/>
    <w:pPr>
      <w:ind w:left="2940" w:leftChars="1400"/>
    </w:pPr>
    <w:rPr>
      <w:rFonts w:ascii="DengXian" w:hAnsi="DengXian" w:eastAsia="DengXian"/>
      <w:szCs w:val="22"/>
    </w:rPr>
  </w:style>
  <w:style w:type="paragraph" w:styleId="22">
    <w:name w:val="Date"/>
    <w:basedOn w:val="1"/>
    <w:next w:val="1"/>
    <w:link w:val="47"/>
    <w:qFormat/>
    <w:uiPriority w:val="0"/>
    <w:pPr>
      <w:ind w:left="100" w:leftChars="2500"/>
    </w:pPr>
    <w:rPr>
      <w:rFonts w:ascii="Times New Roman" w:hAnsi="Times New Roman"/>
      <w:sz w:val="21"/>
    </w:rPr>
  </w:style>
  <w:style w:type="paragraph" w:styleId="23">
    <w:name w:val="Balloon Text"/>
    <w:basedOn w:val="1"/>
    <w:link w:val="96"/>
    <w:qFormat/>
    <w:uiPriority w:val="0"/>
    <w:rPr>
      <w:rFonts w:ascii="Times New Roman" w:hAnsi="Times New Roman"/>
      <w:sz w:val="18"/>
      <w:szCs w:val="18"/>
    </w:rPr>
  </w:style>
  <w:style w:type="paragraph" w:styleId="24">
    <w:name w:val="footer"/>
    <w:basedOn w:val="1"/>
    <w:link w:val="89"/>
    <w:qFormat/>
    <w:uiPriority w:val="99"/>
    <w:pPr>
      <w:tabs>
        <w:tab w:val="center" w:pos="4153"/>
        <w:tab w:val="right" w:pos="8306"/>
      </w:tabs>
      <w:snapToGrid w:val="0"/>
      <w:jc w:val="center"/>
    </w:pPr>
    <w:rPr>
      <w:rFonts w:ascii="Times New Roman" w:hAnsi="Times New Roman"/>
      <w:sz w:val="18"/>
      <w:szCs w:val="18"/>
    </w:rPr>
  </w:style>
  <w:style w:type="paragraph" w:styleId="25">
    <w:name w:val="header"/>
    <w:basedOn w:val="1"/>
    <w:link w:val="97"/>
    <w:qFormat/>
    <w:uiPriority w:val="99"/>
    <w:pPr>
      <w:pBdr>
        <w:bottom w:val="single" w:color="auto" w:sz="4" w:space="0"/>
      </w:pBdr>
      <w:tabs>
        <w:tab w:val="center" w:pos="4153"/>
        <w:tab w:val="right" w:pos="8306"/>
      </w:tabs>
      <w:snapToGrid w:val="0"/>
      <w:jc w:val="center"/>
    </w:pPr>
    <w:rPr>
      <w:rFonts w:ascii="Times New Roman" w:hAnsi="Times New Roman"/>
      <w:sz w:val="18"/>
      <w:szCs w:val="18"/>
    </w:rPr>
  </w:style>
  <w:style w:type="paragraph" w:styleId="26">
    <w:name w:val="toc 1"/>
    <w:basedOn w:val="1"/>
    <w:next w:val="1"/>
    <w:qFormat/>
    <w:uiPriority w:val="39"/>
  </w:style>
  <w:style w:type="paragraph" w:styleId="27">
    <w:name w:val="toc 4"/>
    <w:basedOn w:val="1"/>
    <w:next w:val="1"/>
    <w:unhideWhenUsed/>
    <w:qFormat/>
    <w:uiPriority w:val="39"/>
    <w:pPr>
      <w:ind w:left="1260" w:leftChars="600"/>
    </w:pPr>
    <w:rPr>
      <w:rFonts w:ascii="DengXian" w:hAnsi="DengXian" w:eastAsia="DengXian"/>
      <w:szCs w:val="22"/>
    </w:rPr>
  </w:style>
  <w:style w:type="paragraph" w:styleId="28">
    <w:name w:val="Subtitle"/>
    <w:basedOn w:val="1"/>
    <w:next w:val="1"/>
    <w:link w:val="87"/>
    <w:qFormat/>
    <w:uiPriority w:val="0"/>
    <w:pPr>
      <w:spacing w:before="240" w:after="60" w:line="312" w:lineRule="auto"/>
      <w:jc w:val="center"/>
      <w:outlineLvl w:val="1"/>
    </w:pPr>
    <w:rPr>
      <w:rFonts w:ascii="Calibri Light" w:hAnsi="Calibri Light"/>
      <w:b/>
      <w:bCs/>
      <w:kern w:val="28"/>
      <w:sz w:val="32"/>
      <w:szCs w:val="32"/>
    </w:rPr>
  </w:style>
  <w:style w:type="paragraph" w:styleId="29">
    <w:name w:val="toc 6"/>
    <w:basedOn w:val="1"/>
    <w:next w:val="1"/>
    <w:unhideWhenUsed/>
    <w:qFormat/>
    <w:uiPriority w:val="39"/>
    <w:pPr>
      <w:ind w:left="2100" w:leftChars="1000"/>
    </w:pPr>
    <w:rPr>
      <w:rFonts w:ascii="DengXian" w:hAnsi="DengXian" w:eastAsia="DengXian"/>
      <w:szCs w:val="22"/>
    </w:rPr>
  </w:style>
  <w:style w:type="paragraph" w:styleId="30">
    <w:name w:val="toc 2"/>
    <w:basedOn w:val="1"/>
    <w:next w:val="1"/>
    <w:qFormat/>
    <w:uiPriority w:val="39"/>
    <w:pPr>
      <w:tabs>
        <w:tab w:val="right" w:leader="dot" w:pos="8302"/>
      </w:tabs>
      <w:ind w:left="420" w:leftChars="200"/>
    </w:pPr>
  </w:style>
  <w:style w:type="paragraph" w:styleId="31">
    <w:name w:val="toc 9"/>
    <w:basedOn w:val="1"/>
    <w:next w:val="1"/>
    <w:unhideWhenUsed/>
    <w:qFormat/>
    <w:uiPriority w:val="39"/>
    <w:pPr>
      <w:ind w:left="3360" w:leftChars="1600"/>
    </w:pPr>
    <w:rPr>
      <w:rFonts w:ascii="DengXian" w:hAnsi="DengXian" w:eastAsia="DengXian"/>
      <w:szCs w:val="22"/>
    </w:rPr>
  </w:style>
  <w:style w:type="paragraph" w:styleId="32">
    <w:name w:val="Normal (Web)"/>
    <w:basedOn w:val="1"/>
    <w:qFormat/>
    <w:uiPriority w:val="99"/>
    <w:pPr>
      <w:widowControl/>
      <w:spacing w:before="100" w:after="100"/>
      <w:jc w:val="left"/>
    </w:pPr>
    <w:rPr>
      <w:rFonts w:hint="eastAsia" w:ascii="Arial Unicode MS" w:hAnsi="Arial Unicode MS" w:eastAsia="Arial Unicode MS"/>
      <w:kern w:val="0"/>
    </w:rPr>
  </w:style>
  <w:style w:type="paragraph" w:styleId="33">
    <w:name w:val="Title"/>
    <w:basedOn w:val="1"/>
    <w:next w:val="1"/>
    <w:link w:val="95"/>
    <w:qFormat/>
    <w:uiPriority w:val="0"/>
    <w:pPr>
      <w:spacing w:before="240" w:after="60" w:line="960" w:lineRule="auto"/>
      <w:jc w:val="center"/>
    </w:pPr>
    <w:rPr>
      <w:rFonts w:ascii="Cambria" w:hAnsi="Cambria" w:eastAsia="黑体"/>
      <w:b/>
      <w:bCs/>
      <w:sz w:val="52"/>
      <w:szCs w:val="32"/>
    </w:rPr>
  </w:style>
  <w:style w:type="paragraph" w:styleId="34">
    <w:name w:val="annotation subject"/>
    <w:basedOn w:val="15"/>
    <w:next w:val="15"/>
    <w:link w:val="83"/>
    <w:qFormat/>
    <w:uiPriority w:val="0"/>
    <w:rPr>
      <w:b/>
      <w:bCs/>
      <w:sz w:val="21"/>
    </w:rPr>
  </w:style>
  <w:style w:type="table" w:styleId="36">
    <w:name w:val="Table Grid"/>
    <w:basedOn w:val="35"/>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unhideWhenUsed/>
    <w:qFormat/>
    <w:uiPriority w:val="99"/>
    <w:rPr>
      <w:color w:val="954F72"/>
      <w:u w:val="single"/>
    </w:rPr>
  </w:style>
  <w:style w:type="character" w:styleId="40">
    <w:name w:val="Hyperlink"/>
    <w:qFormat/>
    <w:uiPriority w:val="99"/>
    <w:rPr>
      <w:color w:val="0000FF"/>
      <w:u w:val="single"/>
    </w:rPr>
  </w:style>
  <w:style w:type="character" w:styleId="41">
    <w:name w:val="annotation reference"/>
    <w:qFormat/>
    <w:uiPriority w:val="99"/>
    <w:rPr>
      <w:sz w:val="21"/>
      <w:szCs w:val="21"/>
    </w:rPr>
  </w:style>
  <w:style w:type="character" w:customStyle="1" w:styleId="42">
    <w:name w:val="标题 3 字符1"/>
    <w:qFormat/>
    <w:uiPriority w:val="0"/>
    <w:rPr>
      <w:rFonts w:ascii="宋体" w:hAnsi="宋体"/>
      <w:b/>
      <w:bCs/>
      <w:kern w:val="2"/>
      <w:sz w:val="28"/>
      <w:szCs w:val="28"/>
    </w:rPr>
  </w:style>
  <w:style w:type="character" w:customStyle="1" w:styleId="43">
    <w:name w:val="首行缩进正文 Char"/>
    <w:link w:val="44"/>
    <w:qFormat/>
    <w:uiPriority w:val="0"/>
    <w:rPr>
      <w:kern w:val="2"/>
      <w:sz w:val="24"/>
    </w:rPr>
  </w:style>
  <w:style w:type="paragraph" w:customStyle="1" w:styleId="44">
    <w:name w:val="首行缩进正文"/>
    <w:basedOn w:val="1"/>
    <w:link w:val="43"/>
    <w:qFormat/>
    <w:uiPriority w:val="0"/>
    <w:pPr>
      <w:widowControl/>
      <w:adjustRightInd w:val="0"/>
      <w:snapToGrid w:val="0"/>
      <w:spacing w:afterLines="50" w:line="276" w:lineRule="auto"/>
      <w:ind w:firstLine="420" w:firstLineChars="0"/>
      <w:jc w:val="left"/>
    </w:pPr>
    <w:rPr>
      <w:rFonts w:ascii="Times New Roman" w:hAnsi="Times New Roman"/>
      <w:szCs w:val="20"/>
    </w:rPr>
  </w:style>
  <w:style w:type="character" w:customStyle="1" w:styleId="45">
    <w:name w:val="批注文字 字符1"/>
    <w:link w:val="15"/>
    <w:qFormat/>
    <w:uiPriority w:val="99"/>
    <w:rPr>
      <w:rFonts w:eastAsia="仿宋"/>
      <w:kern w:val="2"/>
      <w:sz w:val="28"/>
      <w:szCs w:val="24"/>
    </w:rPr>
  </w:style>
  <w:style w:type="character" w:customStyle="1" w:styleId="46">
    <w:name w:val="日期 字符"/>
    <w:semiHidden/>
    <w:qFormat/>
    <w:uiPriority w:val="99"/>
    <w:rPr>
      <w:rFonts w:ascii="宋体" w:hAnsi="宋体"/>
      <w:kern w:val="2"/>
      <w:sz w:val="24"/>
      <w:szCs w:val="24"/>
    </w:rPr>
  </w:style>
  <w:style w:type="character" w:customStyle="1" w:styleId="47">
    <w:name w:val="日期 字符1"/>
    <w:link w:val="22"/>
    <w:qFormat/>
    <w:uiPriority w:val="0"/>
    <w:rPr>
      <w:kern w:val="2"/>
      <w:sz w:val="21"/>
      <w:szCs w:val="24"/>
    </w:rPr>
  </w:style>
  <w:style w:type="character" w:customStyle="1" w:styleId="48">
    <w:name w:val="标题 9 字符"/>
    <w:link w:val="10"/>
    <w:qFormat/>
    <w:uiPriority w:val="9"/>
    <w:rPr>
      <w:rFonts w:ascii="Cambria" w:hAnsi="Cambria"/>
      <w:kern w:val="2"/>
      <w:sz w:val="21"/>
      <w:szCs w:val="21"/>
    </w:rPr>
  </w:style>
  <w:style w:type="character" w:customStyle="1" w:styleId="49">
    <w:name w:val="未处理的提及1"/>
    <w:unhideWhenUsed/>
    <w:qFormat/>
    <w:uiPriority w:val="99"/>
    <w:rPr>
      <w:color w:val="605E5C"/>
      <w:shd w:val="clear" w:color="auto" w:fill="E1DFDD"/>
    </w:rPr>
  </w:style>
  <w:style w:type="character" w:customStyle="1" w:styleId="50">
    <w:name w:val="标题 1 字符"/>
    <w:qFormat/>
    <w:uiPriority w:val="9"/>
    <w:rPr>
      <w:rFonts w:ascii="宋体" w:hAnsi="宋体"/>
      <w:b/>
      <w:bCs/>
      <w:kern w:val="44"/>
      <w:sz w:val="44"/>
      <w:szCs w:val="44"/>
    </w:rPr>
  </w:style>
  <w:style w:type="character" w:customStyle="1" w:styleId="51">
    <w:name w:val="标题 3 字符"/>
    <w:semiHidden/>
    <w:qFormat/>
    <w:uiPriority w:val="9"/>
    <w:rPr>
      <w:rFonts w:ascii="宋体" w:hAnsi="宋体"/>
      <w:b/>
      <w:bCs/>
      <w:kern w:val="2"/>
      <w:sz w:val="32"/>
      <w:szCs w:val="32"/>
    </w:rPr>
  </w:style>
  <w:style w:type="character" w:customStyle="1" w:styleId="52">
    <w:name w:val="页脚 字符"/>
    <w:qFormat/>
    <w:uiPriority w:val="99"/>
  </w:style>
  <w:style w:type="character" w:customStyle="1" w:styleId="53">
    <w:name w:val="标题 5 字符"/>
    <w:semiHidden/>
    <w:qFormat/>
    <w:uiPriority w:val="9"/>
    <w:rPr>
      <w:rFonts w:ascii="宋体" w:hAnsi="宋体"/>
      <w:b/>
      <w:bCs/>
      <w:kern w:val="2"/>
      <w:sz w:val="28"/>
      <w:szCs w:val="28"/>
    </w:rPr>
  </w:style>
  <w:style w:type="character" w:customStyle="1" w:styleId="54">
    <w:name w:val="题注 字符"/>
    <w:link w:val="13"/>
    <w:qFormat/>
    <w:locked/>
    <w:uiPriority w:val="0"/>
    <w:rPr>
      <w:rFonts w:ascii="Arial" w:hAnsi="Arial" w:eastAsia="黑体"/>
      <w:kern w:val="2"/>
    </w:rPr>
  </w:style>
  <w:style w:type="character" w:customStyle="1" w:styleId="55">
    <w:name w:val="标题 2 字符"/>
    <w:semiHidden/>
    <w:qFormat/>
    <w:uiPriority w:val="9"/>
    <w:rPr>
      <w:rFonts w:ascii="DengXian Light" w:hAnsi="DengXian Light" w:eastAsia="DengXian Light" w:cs="Times New Roman"/>
      <w:b/>
      <w:bCs/>
      <w:kern w:val="2"/>
      <w:sz w:val="32"/>
      <w:szCs w:val="32"/>
    </w:rPr>
  </w:style>
  <w:style w:type="character" w:customStyle="1" w:styleId="56">
    <w:name w:val="纯文本 字符"/>
    <w:qFormat/>
    <w:uiPriority w:val="0"/>
    <w:rPr>
      <w:rFonts w:ascii="宋体" w:hAnsi="Courier New" w:cs="Courier New"/>
      <w:kern w:val="2"/>
      <w:sz w:val="21"/>
      <w:szCs w:val="21"/>
    </w:rPr>
  </w:style>
  <w:style w:type="character" w:customStyle="1" w:styleId="57">
    <w:name w:val="列表段落 字符"/>
    <w:qFormat/>
    <w:uiPriority w:val="34"/>
    <w:rPr>
      <w:kern w:val="2"/>
      <w:sz w:val="21"/>
      <w:szCs w:val="22"/>
    </w:rPr>
  </w:style>
  <w:style w:type="character" w:customStyle="1" w:styleId="58">
    <w:name w:val="标题 4 字符1"/>
    <w:link w:val="6"/>
    <w:qFormat/>
    <w:uiPriority w:val="0"/>
    <w:rPr>
      <w:rFonts w:ascii="宋体" w:hAnsi="宋体"/>
      <w:b/>
      <w:bCs/>
      <w:kern w:val="2"/>
      <w:sz w:val="30"/>
      <w:szCs w:val="30"/>
    </w:rPr>
  </w:style>
  <w:style w:type="character" w:customStyle="1" w:styleId="59">
    <w:name w:val="正文文本 字符"/>
    <w:link w:val="16"/>
    <w:qFormat/>
    <w:uiPriority w:val="0"/>
    <w:rPr>
      <w:kern w:val="2"/>
      <w:sz w:val="21"/>
      <w:szCs w:val="24"/>
    </w:rPr>
  </w:style>
  <w:style w:type="character" w:customStyle="1" w:styleId="60">
    <w:name w:val="列表段落 字符1"/>
    <w:link w:val="61"/>
    <w:qFormat/>
    <w:uiPriority w:val="34"/>
    <w:rPr>
      <w:kern w:val="2"/>
      <w:sz w:val="21"/>
      <w:szCs w:val="24"/>
    </w:rPr>
  </w:style>
  <w:style w:type="paragraph" w:styleId="61">
    <w:name w:val="List Paragraph"/>
    <w:basedOn w:val="1"/>
    <w:link w:val="60"/>
    <w:qFormat/>
    <w:uiPriority w:val="34"/>
    <w:pPr>
      <w:ind w:firstLine="420"/>
    </w:pPr>
    <w:rPr>
      <w:rFonts w:ascii="Times New Roman" w:hAnsi="Times New Roman"/>
      <w:sz w:val="21"/>
    </w:rPr>
  </w:style>
  <w:style w:type="character" w:customStyle="1" w:styleId="62">
    <w:name w:val="font21"/>
    <w:basedOn w:val="37"/>
    <w:qFormat/>
    <w:uiPriority w:val="0"/>
    <w:rPr>
      <w:rFonts w:ascii="Calibri" w:hAnsi="Calibri" w:cs="Calibri"/>
      <w:color w:val="000000"/>
      <w:sz w:val="21"/>
      <w:szCs w:val="21"/>
      <w:u w:val="none"/>
    </w:rPr>
  </w:style>
  <w:style w:type="character" w:customStyle="1" w:styleId="63">
    <w:name w:val="*正文 Char"/>
    <w:link w:val="64"/>
    <w:qFormat/>
    <w:uiPriority w:val="0"/>
    <w:rPr>
      <w:rFonts w:ascii="time" w:hAnsi="time"/>
      <w:sz w:val="24"/>
      <w:szCs w:val="24"/>
      <w:lang w:bidi="en-US"/>
    </w:rPr>
  </w:style>
  <w:style w:type="paragraph" w:customStyle="1" w:styleId="64">
    <w:name w:val="*正文"/>
    <w:basedOn w:val="1"/>
    <w:link w:val="63"/>
    <w:qFormat/>
    <w:uiPriority w:val="0"/>
    <w:pPr>
      <w:widowControl/>
      <w:ind w:firstLine="200"/>
      <w:contextualSpacing/>
    </w:pPr>
    <w:rPr>
      <w:rFonts w:ascii="time" w:hAnsi="time"/>
      <w:kern w:val="0"/>
      <w:lang w:bidi="en-US"/>
    </w:rPr>
  </w:style>
  <w:style w:type="character" w:customStyle="1" w:styleId="65">
    <w:name w:val="正文文本缩进 字符"/>
    <w:semiHidden/>
    <w:qFormat/>
    <w:uiPriority w:val="99"/>
    <w:rPr>
      <w:rFonts w:ascii="宋体" w:hAnsi="宋体"/>
      <w:kern w:val="2"/>
      <w:sz w:val="24"/>
      <w:szCs w:val="24"/>
    </w:rPr>
  </w:style>
  <w:style w:type="character" w:customStyle="1" w:styleId="66">
    <w:name w:val="纯文本 字符1"/>
    <w:link w:val="20"/>
    <w:qFormat/>
    <w:locked/>
    <w:uiPriority w:val="0"/>
    <w:rPr>
      <w:rFonts w:ascii="宋体" w:hAnsi="Courier New"/>
      <w:kern w:val="2"/>
      <w:sz w:val="21"/>
    </w:rPr>
  </w:style>
  <w:style w:type="character" w:customStyle="1" w:styleId="67">
    <w:name w:val="my正文 Char"/>
    <w:link w:val="68"/>
    <w:qFormat/>
    <w:uiPriority w:val="0"/>
    <w:rPr>
      <w:kern w:val="2"/>
      <w:sz w:val="21"/>
      <w:szCs w:val="24"/>
    </w:rPr>
  </w:style>
  <w:style w:type="paragraph" w:customStyle="1" w:styleId="68">
    <w:name w:val="my正文"/>
    <w:basedOn w:val="1"/>
    <w:link w:val="67"/>
    <w:qFormat/>
    <w:uiPriority w:val="0"/>
    <w:pPr>
      <w:spacing w:line="240" w:lineRule="auto"/>
      <w:ind w:firstLine="0" w:firstLineChars="0"/>
    </w:pPr>
    <w:rPr>
      <w:rFonts w:ascii="Times New Roman" w:hAnsi="Times New Roman"/>
      <w:sz w:val="21"/>
    </w:rPr>
  </w:style>
  <w:style w:type="character" w:customStyle="1" w:styleId="69">
    <w:name w:val="正文2 字符"/>
    <w:link w:val="70"/>
    <w:qFormat/>
    <w:uiPriority w:val="0"/>
    <w:rPr>
      <w:kern w:val="2"/>
      <w:sz w:val="21"/>
      <w:szCs w:val="24"/>
    </w:rPr>
  </w:style>
  <w:style w:type="paragraph" w:customStyle="1" w:styleId="70">
    <w:name w:val="正文2"/>
    <w:basedOn w:val="1"/>
    <w:link w:val="69"/>
    <w:qFormat/>
    <w:uiPriority w:val="0"/>
    <w:pPr>
      <w:ind w:firstLine="420"/>
    </w:pPr>
    <w:rPr>
      <w:rFonts w:ascii="Times New Roman" w:hAnsi="Times New Roman"/>
      <w:sz w:val="21"/>
    </w:rPr>
  </w:style>
  <w:style w:type="character" w:customStyle="1" w:styleId="71">
    <w:name w:val="font41"/>
    <w:qFormat/>
    <w:uiPriority w:val="0"/>
    <w:rPr>
      <w:rFonts w:hint="eastAsia" w:ascii="宋体" w:hAnsi="宋体" w:eastAsia="宋体" w:cs="宋体"/>
      <w:color w:val="000000"/>
      <w:sz w:val="21"/>
      <w:szCs w:val="21"/>
      <w:u w:val="none"/>
    </w:rPr>
  </w:style>
  <w:style w:type="character" w:customStyle="1" w:styleId="72">
    <w:name w:val="标题 7 字符"/>
    <w:link w:val="8"/>
    <w:qFormat/>
    <w:uiPriority w:val="9"/>
    <w:rPr>
      <w:b/>
      <w:bCs/>
      <w:kern w:val="2"/>
      <w:sz w:val="21"/>
      <w:szCs w:val="24"/>
    </w:rPr>
  </w:style>
  <w:style w:type="character" w:customStyle="1" w:styleId="73">
    <w:name w:val="批注框文本 字符"/>
    <w:semiHidden/>
    <w:qFormat/>
    <w:uiPriority w:val="99"/>
    <w:rPr>
      <w:rFonts w:ascii="宋体" w:hAnsi="宋体"/>
      <w:kern w:val="2"/>
      <w:sz w:val="18"/>
      <w:szCs w:val="18"/>
    </w:rPr>
  </w:style>
  <w:style w:type="character" w:customStyle="1" w:styleId="74">
    <w:name w:val="副标题 Char1"/>
    <w:qFormat/>
    <w:uiPriority w:val="0"/>
    <w:rPr>
      <w:rFonts w:ascii="Calibri Light" w:hAnsi="Calibri Light" w:cs="Times New Roman"/>
      <w:b/>
      <w:bCs/>
      <w:kern w:val="28"/>
      <w:sz w:val="32"/>
      <w:szCs w:val="32"/>
    </w:rPr>
  </w:style>
  <w:style w:type="character" w:customStyle="1" w:styleId="75">
    <w:name w:val="标题 1 字符1"/>
    <w:link w:val="3"/>
    <w:qFormat/>
    <w:uiPriority w:val="0"/>
    <w:rPr>
      <w:rFonts w:ascii="宋体" w:hAnsi="宋体" w:eastAsia="黑体"/>
      <w:b/>
      <w:bCs/>
      <w:kern w:val="44"/>
      <w:sz w:val="32"/>
      <w:szCs w:val="28"/>
    </w:rPr>
  </w:style>
  <w:style w:type="character" w:customStyle="1" w:styleId="76">
    <w:name w:val="批注文字 字符"/>
    <w:qFormat/>
    <w:uiPriority w:val="99"/>
    <w:rPr>
      <w:rFonts w:ascii="宋体" w:hAnsi="宋体"/>
      <w:kern w:val="2"/>
      <w:sz w:val="24"/>
      <w:szCs w:val="24"/>
    </w:rPr>
  </w:style>
  <w:style w:type="character" w:customStyle="1" w:styleId="77">
    <w:name w:val="文档结构图 字符"/>
    <w:semiHidden/>
    <w:qFormat/>
    <w:uiPriority w:val="99"/>
    <w:rPr>
      <w:rFonts w:ascii="Microsoft YaHei UI" w:hAnsi="宋体" w:eastAsia="Microsoft YaHei UI"/>
      <w:kern w:val="2"/>
      <w:sz w:val="18"/>
      <w:szCs w:val="18"/>
    </w:rPr>
  </w:style>
  <w:style w:type="character" w:customStyle="1" w:styleId="78">
    <w:name w:val="标题 6 字符"/>
    <w:semiHidden/>
    <w:qFormat/>
    <w:uiPriority w:val="9"/>
    <w:rPr>
      <w:rFonts w:ascii="DengXian Light" w:hAnsi="DengXian Light" w:eastAsia="DengXian Light" w:cs="Times New Roman"/>
      <w:b/>
      <w:bCs/>
      <w:kern w:val="2"/>
      <w:sz w:val="24"/>
      <w:szCs w:val="24"/>
    </w:rPr>
  </w:style>
  <w:style w:type="character" w:customStyle="1" w:styleId="79">
    <w:name w:val="正文正文2 Char"/>
    <w:link w:val="80"/>
    <w:qFormat/>
    <w:uiPriority w:val="0"/>
    <w:rPr>
      <w:rFonts w:ascii="宋体" w:hAnsi="宋体"/>
      <w:kern w:val="2"/>
      <w:sz w:val="21"/>
      <w:szCs w:val="21"/>
    </w:rPr>
  </w:style>
  <w:style w:type="paragraph" w:customStyle="1" w:styleId="80">
    <w:name w:val="正文正文2"/>
    <w:basedOn w:val="1"/>
    <w:link w:val="79"/>
    <w:qFormat/>
    <w:uiPriority w:val="0"/>
    <w:pPr>
      <w:ind w:firstLine="460"/>
    </w:pPr>
    <w:rPr>
      <w:sz w:val="21"/>
      <w:szCs w:val="21"/>
    </w:rPr>
  </w:style>
  <w:style w:type="character" w:customStyle="1" w:styleId="81">
    <w:name w:val="标题 3 字符2"/>
    <w:link w:val="5"/>
    <w:qFormat/>
    <w:uiPriority w:val="0"/>
    <w:rPr>
      <w:rFonts w:ascii="宋体" w:hAnsi="宋体"/>
      <w:b/>
      <w:bCs/>
      <w:kern w:val="2"/>
      <w:sz w:val="28"/>
      <w:szCs w:val="28"/>
    </w:rPr>
  </w:style>
  <w:style w:type="character" w:customStyle="1" w:styleId="82">
    <w:name w:val="标题 4 字符"/>
    <w:semiHidden/>
    <w:qFormat/>
    <w:uiPriority w:val="9"/>
    <w:rPr>
      <w:rFonts w:ascii="DengXian Light" w:hAnsi="DengXian Light" w:eastAsia="DengXian Light" w:cs="Times New Roman"/>
      <w:b/>
      <w:bCs/>
      <w:kern w:val="2"/>
      <w:sz w:val="28"/>
      <w:szCs w:val="28"/>
    </w:rPr>
  </w:style>
  <w:style w:type="character" w:customStyle="1" w:styleId="83">
    <w:name w:val="批注主题 字符1"/>
    <w:link w:val="34"/>
    <w:qFormat/>
    <w:uiPriority w:val="0"/>
    <w:rPr>
      <w:rFonts w:eastAsia="仿宋"/>
      <w:b/>
      <w:bCs/>
      <w:kern w:val="2"/>
      <w:sz w:val="21"/>
      <w:szCs w:val="24"/>
    </w:rPr>
  </w:style>
  <w:style w:type="character" w:customStyle="1" w:styleId="84">
    <w:name w:val="页眉 字符"/>
    <w:semiHidden/>
    <w:qFormat/>
    <w:uiPriority w:val="99"/>
    <w:rPr>
      <w:rFonts w:ascii="宋体" w:hAnsi="宋体"/>
      <w:kern w:val="2"/>
      <w:sz w:val="18"/>
      <w:szCs w:val="18"/>
    </w:rPr>
  </w:style>
  <w:style w:type="character" w:customStyle="1" w:styleId="85">
    <w:name w:val="正文文本缩进 字符1"/>
    <w:link w:val="17"/>
    <w:qFormat/>
    <w:uiPriority w:val="0"/>
    <w:rPr>
      <w:kern w:val="2"/>
      <w:sz w:val="21"/>
    </w:rPr>
  </w:style>
  <w:style w:type="character" w:customStyle="1" w:styleId="86">
    <w:name w:val="标题 5 字符1"/>
    <w:link w:val="7"/>
    <w:qFormat/>
    <w:uiPriority w:val="0"/>
    <w:rPr>
      <w:rFonts w:ascii="宋体" w:hAnsi="宋体"/>
      <w:b/>
      <w:bCs/>
      <w:kern w:val="2"/>
      <w:sz w:val="24"/>
      <w:szCs w:val="28"/>
    </w:rPr>
  </w:style>
  <w:style w:type="character" w:customStyle="1" w:styleId="87">
    <w:name w:val="副标题 字符1"/>
    <w:link w:val="28"/>
    <w:qFormat/>
    <w:uiPriority w:val="0"/>
    <w:rPr>
      <w:rFonts w:ascii="Calibri Light" w:hAnsi="Calibri Light"/>
      <w:b/>
      <w:bCs/>
      <w:kern w:val="28"/>
      <w:sz w:val="32"/>
      <w:szCs w:val="32"/>
    </w:rPr>
  </w:style>
  <w:style w:type="character" w:customStyle="1" w:styleId="88">
    <w:name w:val="标题 2 字符1"/>
    <w:link w:val="4"/>
    <w:qFormat/>
    <w:uiPriority w:val="9"/>
    <w:rPr>
      <w:rFonts w:ascii="宋体" w:hAnsi="宋体"/>
      <w:b/>
      <w:bCs/>
      <w:kern w:val="2"/>
      <w:sz w:val="30"/>
      <w:szCs w:val="32"/>
    </w:rPr>
  </w:style>
  <w:style w:type="character" w:customStyle="1" w:styleId="89">
    <w:name w:val="页脚 字符1"/>
    <w:link w:val="24"/>
    <w:qFormat/>
    <w:uiPriority w:val="99"/>
    <w:rPr>
      <w:kern w:val="2"/>
      <w:sz w:val="18"/>
      <w:szCs w:val="18"/>
    </w:rPr>
  </w:style>
  <w:style w:type="character" w:customStyle="1" w:styleId="90">
    <w:name w:val="批注主题 字符"/>
    <w:semiHidden/>
    <w:qFormat/>
    <w:uiPriority w:val="99"/>
    <w:rPr>
      <w:rFonts w:ascii="宋体" w:hAnsi="宋体"/>
      <w:b/>
      <w:bCs/>
      <w:kern w:val="2"/>
      <w:sz w:val="24"/>
      <w:szCs w:val="24"/>
    </w:rPr>
  </w:style>
  <w:style w:type="character" w:customStyle="1" w:styleId="91">
    <w:name w:val="文档结构图 字符1"/>
    <w:link w:val="14"/>
    <w:qFormat/>
    <w:uiPriority w:val="0"/>
    <w:rPr>
      <w:rFonts w:ascii="宋体"/>
      <w:kern w:val="2"/>
      <w:sz w:val="18"/>
      <w:szCs w:val="18"/>
    </w:rPr>
  </w:style>
  <w:style w:type="character" w:customStyle="1" w:styleId="92">
    <w:name w:val="font31"/>
    <w:qFormat/>
    <w:uiPriority w:val="0"/>
    <w:rPr>
      <w:rFonts w:hint="eastAsia" w:ascii="宋体" w:hAnsi="宋体" w:eastAsia="宋体" w:cs="宋体"/>
      <w:color w:val="000000"/>
      <w:sz w:val="21"/>
      <w:szCs w:val="21"/>
      <w:u w:val="none"/>
    </w:rPr>
  </w:style>
  <w:style w:type="character" w:customStyle="1" w:styleId="93">
    <w:name w:val="标准正文 Char"/>
    <w:link w:val="94"/>
    <w:qFormat/>
    <w:uiPriority w:val="0"/>
    <w:rPr>
      <w:rFonts w:ascii="Arial" w:hAnsi="Arial"/>
      <w:kern w:val="2"/>
      <w:sz w:val="24"/>
    </w:rPr>
  </w:style>
  <w:style w:type="paragraph" w:customStyle="1" w:styleId="94">
    <w:name w:val="标准正文"/>
    <w:basedOn w:val="17"/>
    <w:link w:val="93"/>
    <w:qFormat/>
    <w:uiPriority w:val="0"/>
    <w:pPr>
      <w:spacing w:before="60" w:after="60"/>
      <w:ind w:firstLine="482" w:firstLineChars="0"/>
    </w:pPr>
    <w:rPr>
      <w:rFonts w:ascii="Arial" w:hAnsi="Arial"/>
      <w:sz w:val="24"/>
    </w:rPr>
  </w:style>
  <w:style w:type="character" w:customStyle="1" w:styleId="95">
    <w:name w:val="标题 字符1"/>
    <w:link w:val="33"/>
    <w:qFormat/>
    <w:uiPriority w:val="0"/>
    <w:rPr>
      <w:rFonts w:ascii="Cambria" w:hAnsi="Cambria" w:eastAsia="黑体"/>
      <w:b/>
      <w:bCs/>
      <w:kern w:val="2"/>
      <w:sz w:val="52"/>
      <w:szCs w:val="32"/>
    </w:rPr>
  </w:style>
  <w:style w:type="character" w:customStyle="1" w:styleId="96">
    <w:name w:val="批注框文本 字符1"/>
    <w:link w:val="23"/>
    <w:qFormat/>
    <w:uiPriority w:val="0"/>
    <w:rPr>
      <w:kern w:val="2"/>
      <w:sz w:val="18"/>
      <w:szCs w:val="18"/>
    </w:rPr>
  </w:style>
  <w:style w:type="character" w:customStyle="1" w:styleId="97">
    <w:name w:val="页眉 字符1"/>
    <w:link w:val="25"/>
    <w:qFormat/>
    <w:uiPriority w:val="99"/>
    <w:rPr>
      <w:kern w:val="2"/>
      <w:sz w:val="18"/>
      <w:szCs w:val="18"/>
    </w:rPr>
  </w:style>
  <w:style w:type="character" w:customStyle="1" w:styleId="98">
    <w:name w:val="标题 8 字符"/>
    <w:link w:val="9"/>
    <w:qFormat/>
    <w:uiPriority w:val="9"/>
    <w:rPr>
      <w:rFonts w:ascii="Cambria" w:hAnsi="Cambria"/>
      <w:kern w:val="2"/>
      <w:sz w:val="21"/>
      <w:szCs w:val="24"/>
    </w:rPr>
  </w:style>
  <w:style w:type="character" w:customStyle="1" w:styleId="99">
    <w:name w:val="标题 6 字符1"/>
    <w:link w:val="2"/>
    <w:qFormat/>
    <w:uiPriority w:val="0"/>
    <w:rPr>
      <w:rFonts w:ascii="Cambria" w:hAnsi="Cambria"/>
      <w:b/>
      <w:bCs/>
      <w:kern w:val="2"/>
      <w:sz w:val="24"/>
      <w:szCs w:val="24"/>
    </w:rPr>
  </w:style>
  <w:style w:type="character" w:customStyle="1" w:styleId="100">
    <w:name w:val="标题 字符"/>
    <w:qFormat/>
    <w:uiPriority w:val="10"/>
    <w:rPr>
      <w:rFonts w:ascii="DengXian Light" w:hAnsi="DengXian Light" w:eastAsia="DengXian Light" w:cs="Times New Roman"/>
      <w:b/>
      <w:bCs/>
      <w:kern w:val="2"/>
      <w:sz w:val="32"/>
      <w:szCs w:val="32"/>
    </w:rPr>
  </w:style>
  <w:style w:type="character" w:customStyle="1" w:styleId="101">
    <w:name w:val="副标题 字符"/>
    <w:qFormat/>
    <w:uiPriority w:val="11"/>
    <w:rPr>
      <w:rFonts w:ascii="DengXian" w:hAnsi="DengXian" w:eastAsia="DengXian" w:cs="Times New Roman"/>
      <w:b/>
      <w:bCs/>
      <w:kern w:val="28"/>
      <w:sz w:val="32"/>
      <w:szCs w:val="32"/>
    </w:rPr>
  </w:style>
  <w:style w:type="paragraph" w:customStyle="1" w:styleId="102">
    <w:name w:val="xl72"/>
    <w:basedOn w:val="1"/>
    <w:qFormat/>
    <w:uiPriority w:val="0"/>
    <w:pPr>
      <w:widowControl/>
      <w:spacing w:before="100" w:beforeAutospacing="1" w:after="100" w:afterAutospacing="1" w:line="240" w:lineRule="auto"/>
      <w:ind w:firstLine="0" w:firstLineChars="0"/>
      <w:jc w:val="center"/>
    </w:pPr>
    <w:rPr>
      <w:rFonts w:cs="宋体"/>
      <w:kern w:val="0"/>
    </w:rPr>
  </w:style>
  <w:style w:type="paragraph" w:customStyle="1" w:styleId="103">
    <w:name w:val="正文（深信服）"/>
    <w:qFormat/>
    <w:uiPriority w:val="0"/>
    <w:pPr>
      <w:spacing w:line="360" w:lineRule="auto"/>
      <w:ind w:firstLine="420"/>
    </w:pPr>
    <w:rPr>
      <w:rFonts w:ascii="Arial" w:hAnsi="Arial" w:eastAsia="宋体" w:cs="Times New Roman"/>
      <w:sz w:val="24"/>
      <w:szCs w:val="21"/>
      <w:shd w:val="clear" w:color="auto" w:fill="FFFFFF"/>
      <w:lang w:val="en-US" w:eastAsia="zh-CN" w:bidi="ar-SA"/>
    </w:rPr>
  </w:style>
  <w:style w:type="paragraph" w:customStyle="1" w:styleId="104">
    <w:name w:val="xl70"/>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05">
    <w:name w:val="_Style 2"/>
    <w:basedOn w:val="3"/>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paragraph" w:customStyle="1" w:styleId="106">
    <w:name w:val="正文缩进1"/>
    <w:basedOn w:val="1"/>
    <w:qFormat/>
    <w:uiPriority w:val="0"/>
    <w:pPr>
      <w:spacing w:line="240" w:lineRule="auto"/>
      <w:ind w:firstLine="420"/>
    </w:pPr>
    <w:rPr>
      <w:rFonts w:ascii="Times New Roman" w:hAnsi="Times New Roman"/>
      <w:sz w:val="21"/>
      <w:szCs w:val="20"/>
    </w:rPr>
  </w:style>
  <w:style w:type="paragraph" w:customStyle="1" w:styleId="107">
    <w:name w:val="xl68"/>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08">
    <w:name w:val="前言、引言标题"/>
    <w:next w:val="1"/>
    <w:qFormat/>
    <w:uiPriority w:val="99"/>
    <w:pPr>
      <w:shd w:val="clear" w:color="FFFFFF" w:fill="FFFFFF"/>
      <w:tabs>
        <w:tab w:val="left" w:pos="425"/>
      </w:tabs>
      <w:spacing w:before="640" w:after="560"/>
      <w:jc w:val="center"/>
      <w:outlineLvl w:val="0"/>
    </w:pPr>
    <w:rPr>
      <w:rFonts w:ascii="黑体" w:hAnsi="Times New Roman" w:eastAsia="黑体" w:cs="Times New Roman"/>
      <w:sz w:val="32"/>
      <w:lang w:val="en-US" w:eastAsia="zh-CN" w:bidi="ar-SA"/>
    </w:rPr>
  </w:style>
  <w:style w:type="paragraph" w:customStyle="1" w:styleId="109">
    <w:name w:val="Indent Normal"/>
    <w:basedOn w:val="1"/>
    <w:qFormat/>
    <w:uiPriority w:val="0"/>
    <w:pPr>
      <w:ind w:firstLine="150" w:firstLineChars="150"/>
    </w:pPr>
  </w:style>
  <w:style w:type="paragraph" w:customStyle="1" w:styleId="110">
    <w:name w:val="msonormal"/>
    <w:basedOn w:val="1"/>
    <w:qFormat/>
    <w:uiPriority w:val="0"/>
    <w:pPr>
      <w:widowControl/>
      <w:spacing w:before="100" w:beforeAutospacing="1" w:after="100" w:afterAutospacing="1" w:line="240" w:lineRule="auto"/>
      <w:ind w:firstLine="0" w:firstLineChars="0"/>
      <w:jc w:val="left"/>
    </w:pPr>
    <w:rPr>
      <w:rFonts w:cs="宋体"/>
      <w:kern w:val="0"/>
    </w:rPr>
  </w:style>
  <w:style w:type="paragraph" w:customStyle="1" w:styleId="111">
    <w:name w:val="正文 缩进2字符"/>
    <w:basedOn w:val="1"/>
    <w:qFormat/>
    <w:uiPriority w:val="0"/>
    <w:pPr>
      <w:spacing w:afterLines="50" w:line="240" w:lineRule="auto"/>
      <w:ind w:firstLine="0" w:firstLineChars="0"/>
    </w:pPr>
    <w:rPr>
      <w:rFonts w:ascii="Times New Roman" w:hAnsi="Times New Roman" w:cs="宋体"/>
      <w:sz w:val="21"/>
      <w:szCs w:val="20"/>
    </w:rPr>
  </w:style>
  <w:style w:type="paragraph" w:customStyle="1" w:styleId="112">
    <w:name w:val="列项●（二级）"/>
    <w:qFormat/>
    <w:uiPriority w:val="0"/>
    <w:pPr>
      <w:numPr>
        <w:ilvl w:val="0"/>
        <w:numId w:val="2"/>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113">
    <w:name w:val="助手文本"/>
    <w:basedOn w:val="1"/>
    <w:qFormat/>
    <w:uiPriority w:val="0"/>
    <w:pPr>
      <w:autoSpaceDE w:val="0"/>
      <w:autoSpaceDN w:val="0"/>
      <w:adjustRightInd w:val="0"/>
      <w:spacing w:beforeLines="50" w:afterLines="50"/>
      <w:ind w:left="14" w:firstLine="434"/>
      <w:textAlignment w:val="baseline"/>
    </w:pPr>
    <w:rPr>
      <w:rFonts w:ascii="楷体_GB2312" w:eastAsia="楷体_GB2312"/>
      <w:kern w:val="0"/>
      <w:szCs w:val="20"/>
      <w:u w:val="single"/>
    </w:rPr>
  </w:style>
  <w:style w:type="paragraph" w:customStyle="1" w:styleId="114">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15">
    <w:name w:val="段"/>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11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cs="宋体"/>
      <w:kern w:val="0"/>
    </w:rPr>
  </w:style>
  <w:style w:type="paragraph" w:customStyle="1" w:styleId="117">
    <w:name w:val="Char Char Char Char Char Char1 Char"/>
    <w:basedOn w:val="1"/>
    <w:qFormat/>
    <w:uiPriority w:val="0"/>
    <w:pPr>
      <w:widowControl/>
      <w:spacing w:after="160" w:line="240" w:lineRule="exact"/>
      <w:jc w:val="left"/>
    </w:pPr>
  </w:style>
  <w:style w:type="paragraph" w:customStyle="1" w:styleId="118">
    <w:name w:val="PM_Body"/>
    <w:basedOn w:val="1"/>
    <w:qFormat/>
    <w:locked/>
    <w:uiPriority w:val="0"/>
    <w:rPr>
      <w:szCs w:val="21"/>
    </w:rPr>
  </w:style>
  <w:style w:type="paragraph" w:customStyle="1" w:styleId="119">
    <w:name w:val="Char Char1"/>
    <w:basedOn w:val="1"/>
    <w:qFormat/>
    <w:uiPriority w:val="0"/>
    <w:pPr>
      <w:widowControl/>
      <w:spacing w:before="120" w:after="120"/>
    </w:pPr>
    <w:rPr>
      <w:rFonts w:ascii="Times New Roman" w:hAnsi="Times New Roman" w:cs="宋体"/>
    </w:rPr>
  </w:style>
  <w:style w:type="paragraph" w:customStyle="1" w:styleId="120">
    <w:name w:val="xl71"/>
    <w:basedOn w:val="1"/>
    <w:qFormat/>
    <w:uiPriority w:val="0"/>
    <w:pPr>
      <w:widowControl/>
      <w:spacing w:before="100" w:beforeAutospacing="1" w:after="100" w:afterAutospacing="1" w:line="240" w:lineRule="auto"/>
      <w:ind w:firstLine="0" w:firstLineChars="0"/>
      <w:jc w:val="right"/>
      <w:textAlignment w:val="center"/>
    </w:pPr>
    <w:rPr>
      <w:rFonts w:ascii="Microsoft Sans Serif" w:hAnsi="Microsoft Sans Serif" w:cs="Microsoft Sans Serif"/>
      <w:kern w:val="0"/>
      <w:sz w:val="18"/>
      <w:szCs w:val="18"/>
    </w:rPr>
  </w:style>
  <w:style w:type="paragraph" w:customStyle="1" w:styleId="121">
    <w:name w:val="修订1"/>
    <w:unhideWhenUsed/>
    <w:qFormat/>
    <w:uiPriority w:val="99"/>
    <w:rPr>
      <w:rFonts w:ascii="宋体" w:hAnsi="宋体" w:eastAsia="宋体" w:cs="Times New Roman"/>
      <w:kern w:val="2"/>
      <w:sz w:val="24"/>
      <w:szCs w:val="24"/>
      <w:lang w:val="en-US" w:eastAsia="zh-CN" w:bidi="ar-SA"/>
    </w:rPr>
  </w:style>
  <w:style w:type="paragraph" w:customStyle="1" w:styleId="122">
    <w:name w:val="列出段落2"/>
    <w:basedOn w:val="1"/>
    <w:qFormat/>
    <w:uiPriority w:val="0"/>
    <w:pPr>
      <w:spacing w:line="240" w:lineRule="auto"/>
      <w:ind w:firstLine="420"/>
    </w:pPr>
    <w:rPr>
      <w:rFonts w:ascii="DengXian" w:hAnsi="DengXian" w:eastAsia="DengXian" w:cs="DengXian"/>
      <w:sz w:val="21"/>
      <w:szCs w:val="21"/>
    </w:rPr>
  </w:style>
  <w:style w:type="paragraph" w:customStyle="1" w:styleId="123">
    <w:name w:val="xl69"/>
    <w:basedOn w:val="1"/>
    <w:qFormat/>
    <w:uiPriority w:val="0"/>
    <w:pPr>
      <w:widowControl/>
      <w:pBdr>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kern w:val="0"/>
      <w:sz w:val="18"/>
      <w:szCs w:val="18"/>
    </w:rPr>
  </w:style>
  <w:style w:type="paragraph" w:customStyle="1" w:styleId="12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Microsoft Sans Serif" w:hAnsi="Microsoft Sans Serif" w:cs="Microsoft Sans Serif"/>
      <w:b/>
      <w:bCs/>
      <w:kern w:val="0"/>
      <w:sz w:val="18"/>
      <w:szCs w:val="18"/>
    </w:rPr>
  </w:style>
  <w:style w:type="paragraph" w:customStyle="1" w:styleId="125">
    <w:name w:val="文档正文文本（中安网脉）"/>
    <w:basedOn w:val="1"/>
    <w:qFormat/>
    <w:uiPriority w:val="0"/>
    <w:pPr>
      <w:ind w:firstLine="200"/>
    </w:pPr>
    <w:rPr>
      <w:rFonts w:ascii="Times New Roman" w:hAnsi="Times New Roman" w:eastAsia="仿宋_GB2312"/>
      <w:color w:val="000000"/>
      <w:szCs w:val="28"/>
    </w:rPr>
  </w:style>
  <w:style w:type="paragraph" w:customStyle="1" w:styleId="126">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Microsoft Sans Serif" w:hAnsi="Microsoft Sans Serif" w:cs="Microsoft Sans Serif"/>
      <w:kern w:val="0"/>
      <w:sz w:val="18"/>
      <w:szCs w:val="18"/>
    </w:rPr>
  </w:style>
  <w:style w:type="paragraph" w:customStyle="1" w:styleId="127">
    <w:name w:val="正文样式"/>
    <w:unhideWhenUsed/>
    <w:qFormat/>
    <w:uiPriority w:val="0"/>
    <w:pPr>
      <w:widowControl w:val="0"/>
      <w:adjustRightInd w:val="0"/>
      <w:snapToGrid w:val="0"/>
      <w:spacing w:line="360" w:lineRule="auto"/>
      <w:ind w:firstLine="200" w:firstLineChars="200"/>
      <w:jc w:val="both"/>
    </w:pPr>
    <w:rPr>
      <w:rFonts w:ascii="Times New Roman" w:hAnsi="Times New Roman" w:eastAsia="宋体" w:cs="Times New Roman"/>
      <w:bCs/>
      <w:snapToGrid w:val="0"/>
      <w:sz w:val="24"/>
      <w:szCs w:val="44"/>
      <w:lang w:val="en-US" w:eastAsia="zh-CN" w:bidi="ar-SA"/>
    </w:rPr>
  </w:style>
  <w:style w:type="paragraph" w:customStyle="1" w:styleId="128">
    <w:name w:val="样式 行距: 1.5 倍行距 首行缩进:  2 字符"/>
    <w:basedOn w:val="1"/>
    <w:qFormat/>
    <w:uiPriority w:val="0"/>
    <w:pPr>
      <w:ind w:firstLine="560"/>
      <w:jc w:val="left"/>
    </w:pPr>
    <w:rPr>
      <w:rFonts w:ascii="仿宋" w:hAnsi="仿宋" w:eastAsia="仿宋" w:cs="宋体"/>
      <w:sz w:val="28"/>
      <w:szCs w:val="20"/>
    </w:rPr>
  </w:style>
  <w:style w:type="paragraph" w:customStyle="1" w:styleId="129">
    <w:name w:val="TOC 标题1"/>
    <w:basedOn w:val="3"/>
    <w:next w:val="1"/>
    <w:qFormat/>
    <w:uiPriority w:val="39"/>
    <w:pPr>
      <w:widowControl/>
      <w:numPr>
        <w:numId w:val="0"/>
      </w:numPr>
      <w:spacing w:before="480" w:after="0" w:line="276" w:lineRule="auto"/>
      <w:jc w:val="left"/>
      <w:outlineLvl w:val="9"/>
    </w:pPr>
    <w:rPr>
      <w:rFonts w:ascii="Cambria" w:hAnsi="Cambria" w:eastAsia="宋体"/>
      <w:color w:val="365F91"/>
      <w:kern w:val="0"/>
      <w:sz w:val="28"/>
    </w:rPr>
  </w:style>
  <w:style w:type="table" w:customStyle="1" w:styleId="130">
    <w:name w:val="!我的表格1"/>
    <w:basedOn w:val="3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
    <w:name w:val="网格型1"/>
    <w:basedOn w:val="35"/>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标题 1 Char"/>
    <w:qFormat/>
    <w:uiPriority w:val="0"/>
    <w:rPr>
      <w:rFonts w:ascii="宋体" w:hAnsi="宋体" w:eastAsia="黑体"/>
      <w:b/>
      <w:bCs/>
      <w:kern w:val="44"/>
      <w:sz w:val="32"/>
      <w:szCs w:val="28"/>
    </w:rPr>
  </w:style>
  <w:style w:type="character" w:customStyle="1" w:styleId="133">
    <w:name w:val="纯文本 Char2"/>
    <w:qFormat/>
    <w:uiPriority w:val="0"/>
    <w:rPr>
      <w:rFonts w:ascii="宋体" w:hAnsi="宋体" w:eastAsia="宋体" w:cs="Times New Roman"/>
      <w:color w:val="000000"/>
      <w:kern w:val="0"/>
      <w:sz w:val="24"/>
      <w:szCs w:val="24"/>
    </w:rPr>
  </w:style>
  <w:style w:type="paragraph" w:customStyle="1" w:styleId="134">
    <w:name w:val="表题注"/>
    <w:next w:val="1"/>
    <w:qFormat/>
    <w:uiPriority w:val="0"/>
    <w:pPr>
      <w:spacing w:before="100" w:beforeAutospacing="1" w:line="240" w:lineRule="atLeast"/>
      <w:jc w:val="center"/>
    </w:pPr>
    <w:rPr>
      <w:rFonts w:ascii="Times New Roman" w:hAnsi="Times New Roman" w:eastAsia="仿宋" w:cs="Times New Roman"/>
      <w:b/>
      <w:kern w:val="2"/>
      <w:sz w:val="21"/>
      <w:szCs w:val="44"/>
      <w:lang w:val="en-US" w:eastAsia="zh-CN" w:bidi="ar-SA"/>
    </w:rPr>
  </w:style>
  <w:style w:type="paragraph" w:customStyle="1" w:styleId="135">
    <w:name w:val="表正文"/>
    <w:qFormat/>
    <w:uiPriority w:val="0"/>
    <w:rPr>
      <w:rFonts w:ascii="Times New Roman" w:hAnsi="Times New Roman" w:eastAsia="仿宋" w:cstheme="minorBidi"/>
      <w:kern w:val="2"/>
      <w:sz w:val="21"/>
      <w:szCs w:val="24"/>
      <w:lang w:val="en-US" w:eastAsia="zh-CN" w:bidi="ar-SA"/>
    </w:rPr>
  </w:style>
  <w:style w:type="paragraph" w:customStyle="1" w:styleId="136">
    <w:name w:val="修订2"/>
    <w:hidden/>
    <w:semiHidden/>
    <w:qFormat/>
    <w:uiPriority w:val="99"/>
    <w:rPr>
      <w:rFonts w:ascii="宋体" w:hAnsi="宋体" w:eastAsia="宋体" w:cs="Times New Roman"/>
      <w:kern w:val="2"/>
      <w:sz w:val="24"/>
      <w:szCs w:val="24"/>
      <w:lang w:val="en-US" w:eastAsia="zh-CN" w:bidi="ar-SA"/>
    </w:rPr>
  </w:style>
  <w:style w:type="paragraph" w:customStyle="1" w:styleId="137">
    <w:name w:val="B-表正文"/>
    <w:qFormat/>
    <w:uiPriority w:val="0"/>
    <w:rPr>
      <w:rFonts w:ascii="Times New Roman" w:hAnsi="Times New Roman" w:eastAsia="仿宋" w:cstheme="minorBidi"/>
      <w:kern w:val="2"/>
      <w:sz w:val="21"/>
      <w:szCs w:val="24"/>
      <w:lang w:val="en-US" w:eastAsia="zh-CN" w:bidi="ar-SA"/>
    </w:rPr>
  </w:style>
  <w:style w:type="paragraph" w:customStyle="1" w:styleId="138">
    <w:name w:val="样式2"/>
    <w:basedOn w:val="1"/>
    <w:qFormat/>
    <w:uiPriority w:val="0"/>
    <w:pPr>
      <w:adjustRightInd w:val="0"/>
    </w:pPr>
    <w:rPr>
      <w:lang w:eastAsia="en-US"/>
    </w:rPr>
  </w:style>
  <w:style w:type="paragraph" w:customStyle="1" w:styleId="139">
    <w:name w:val="修订3"/>
    <w:hidden/>
    <w:unhideWhenUsed/>
    <w:qFormat/>
    <w:uiPriority w:val="99"/>
    <w:rPr>
      <w:rFonts w:ascii="宋体" w:hAnsi="宋体" w:eastAsia="宋体" w:cs="Times New Roman"/>
      <w:kern w:val="2"/>
      <w:sz w:val="24"/>
      <w:szCs w:val="24"/>
      <w:lang w:val="en-US" w:eastAsia="zh-CN" w:bidi="ar-SA"/>
    </w:rPr>
  </w:style>
  <w:style w:type="paragraph" w:customStyle="1" w:styleId="140">
    <w:name w:val="修订4"/>
    <w:hidden/>
    <w:unhideWhenUsed/>
    <w:qFormat/>
    <w:uiPriority w:val="99"/>
    <w:rPr>
      <w:rFonts w:ascii="宋体" w:hAnsi="宋体" w:eastAsia="宋体" w:cs="Times New Roman"/>
      <w:kern w:val="2"/>
      <w:sz w:val="24"/>
      <w:szCs w:val="24"/>
      <w:lang w:val="en-US" w:eastAsia="zh-CN" w:bidi="ar-SA"/>
    </w:rPr>
  </w:style>
  <w:style w:type="paragraph" w:customStyle="1" w:styleId="141">
    <w:name w:val="Revision"/>
    <w:hidden/>
    <w:unhideWhenUsed/>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1D9AD641-0B16-48B9-B81A-C11DF304B1BF}">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1661</Words>
  <Characters>9469</Characters>
  <Lines>78</Lines>
  <Paragraphs>22</Paragraphs>
  <TotalTime>19</TotalTime>
  <ScaleCrop>false</ScaleCrop>
  <LinksUpToDate>false</LinksUpToDate>
  <CharactersWithSpaces>11108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2026-03-01T01:56:00Z</dcterms:created>
  <dc:creator>ommoc</dc:creator>
  <cp:lastModifiedBy>张姝雅</cp:lastModifiedBy>
  <cp:lastPrinted>2026-03-01T09:49:00Z</cp:lastPrinted>
  <dcterms:modified xsi:type="dcterms:W3CDTF">2026-03-04T09:07:46Z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46EF86A0D1913E66FF83A769F2860A27_43</vt:lpwstr>
  </property>
  <property fmtid="{D5CDD505-2E9C-101B-9397-08002B2CF9AE}" pid="4" name="KSOTemplateDocerSaveRecord">
    <vt:lpwstr>eyJoZGlkIjoiNGJiNTJjYWM1NjAxMTRkZjlmM2YzZWE2MGY3NDE3NDIiLCJ1c2VySWQiOiIxNjgyNjkzMDc0In0=</vt:lpwstr>
  </property>
</Properties>
</file>