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38828E">
      <w:pPr>
        <w:jc w:val="center"/>
        <w:rPr>
          <w:rFonts w:hint="eastAsia"/>
          <w:b/>
          <w:bCs/>
          <w:sz w:val="36"/>
          <w:highlight w:val="none"/>
        </w:rPr>
      </w:pPr>
      <w:bookmarkStart w:id="0" w:name="_Toc63785461"/>
      <w:r>
        <w:rPr>
          <w:rFonts w:hint="eastAsia"/>
          <w:b/>
          <w:bCs/>
          <w:sz w:val="36"/>
          <w:highlight w:val="none"/>
        </w:rPr>
        <w:t>上海社会科学院“尚网办”一网通办</w:t>
      </w:r>
    </w:p>
    <w:p w14:paraId="3FBBEABD">
      <w:pPr>
        <w:jc w:val="center"/>
        <w:rPr>
          <w:b/>
          <w:bCs/>
          <w:highlight w:val="none"/>
        </w:rPr>
      </w:pPr>
      <w:r>
        <w:rPr>
          <w:rFonts w:hint="eastAsia"/>
          <w:b/>
          <w:bCs/>
          <w:sz w:val="36"/>
          <w:highlight w:val="none"/>
        </w:rPr>
        <w:t>信息子系统建设项目采购需求</w:t>
      </w:r>
    </w:p>
    <w:p w14:paraId="412B8B41">
      <w:pPr>
        <w:pStyle w:val="2"/>
        <w:widowControl w:val="0"/>
        <w:spacing w:line="360" w:lineRule="auto"/>
        <w:jc w:val="both"/>
        <w:rPr>
          <w:rFonts w:hint="eastAsia" w:cs="Times New Roman"/>
          <w:highlight w:val="none"/>
        </w:rPr>
      </w:pPr>
      <w:r>
        <w:rPr>
          <w:rFonts w:hint="eastAsia" w:cs="Times New Roman"/>
          <w:highlight w:val="none"/>
        </w:rPr>
        <w:t>项目概况</w:t>
      </w:r>
      <w:bookmarkEnd w:id="0"/>
    </w:p>
    <w:p w14:paraId="5ED18A59">
      <w:pPr>
        <w:widowControl w:val="0"/>
        <w:spacing w:line="560" w:lineRule="exact"/>
        <w:ind w:firstLine="480" w:firstLineChars="200"/>
        <w:jc w:val="both"/>
        <w:rPr>
          <w:rFonts w:hint="eastAsia" w:cs="Times New Roman"/>
          <w:highlight w:val="none"/>
        </w:rPr>
      </w:pPr>
      <w:r>
        <w:rPr>
          <w:rFonts w:hint="eastAsia" w:cs="Times New Roman"/>
          <w:highlight w:val="none"/>
        </w:rPr>
        <w:t>项目背景及现状：</w:t>
      </w:r>
      <w:r>
        <w:rPr>
          <w:rFonts w:hint="eastAsia" w:cs="Times New Roman"/>
          <w:highlight w:val="none"/>
          <w:lang w:eastAsia="zh-CN"/>
        </w:rPr>
        <w:t>上海社会科学院</w:t>
      </w:r>
      <w:r>
        <w:rPr>
          <w:rFonts w:hint="eastAsia" w:cs="Times New Roman"/>
          <w:highlight w:val="none"/>
        </w:rPr>
        <w:t>“尚网办”平台建设以推动治理体系数字化转型为核心目标，通过构建统一融合服务门户，实现跨层级、跨部门业务协同与资源整合，全面打通信息壁垒，提升决策科学化、服务精准化、管理精细化水平。其聚焦业务流程重构与机制创新，强化数据赋能驱动治理现代化，打造标准化、模块化、可持续演进的智慧治理生态，助力社科领域实现全局统筹、动态感知、智能预警与高效处置的一体化治理能力跃升。</w:t>
      </w:r>
    </w:p>
    <w:p w14:paraId="389E7468">
      <w:pPr>
        <w:widowControl w:val="0"/>
        <w:spacing w:line="560" w:lineRule="exact"/>
        <w:ind w:firstLine="480" w:firstLineChars="200"/>
        <w:jc w:val="both"/>
        <w:rPr>
          <w:rFonts w:hint="eastAsia" w:cs="Times New Roman"/>
          <w:highlight w:val="none"/>
        </w:rPr>
      </w:pPr>
      <w:r>
        <w:rPr>
          <w:rFonts w:hint="eastAsia" w:cs="Times New Roman"/>
          <w:highlight w:val="none"/>
        </w:rPr>
        <w:t>是否按</w:t>
      </w:r>
      <w:r>
        <w:rPr>
          <w:rFonts w:hint="eastAsia" w:cs="Times New Roman"/>
          <w:highlight w:val="none"/>
          <w:lang w:eastAsia="zh-CN"/>
        </w:rPr>
        <w:t>X</w:t>
      </w:r>
      <w:r>
        <w:rPr>
          <w:rFonts w:hint="eastAsia" w:cs="Times New Roman"/>
          <w:highlight w:val="none"/>
          <w:lang w:val="en-US" w:eastAsia="zh-CN"/>
        </w:rPr>
        <w:t>C</w:t>
      </w:r>
      <w:r>
        <w:rPr>
          <w:rFonts w:hint="eastAsia" w:cs="Times New Roman"/>
          <w:highlight w:val="none"/>
        </w:rPr>
        <w:t>要求建设：是</w:t>
      </w:r>
    </w:p>
    <w:p w14:paraId="025F9E54">
      <w:pPr>
        <w:pStyle w:val="2"/>
        <w:widowControl w:val="0"/>
        <w:spacing w:line="360" w:lineRule="auto"/>
        <w:jc w:val="both"/>
        <w:rPr>
          <w:rFonts w:hint="eastAsia" w:ascii="宋体" w:hAnsi="宋体" w:cs="Times New Roman"/>
          <w:highlight w:val="none"/>
        </w:rPr>
      </w:pPr>
      <w:bookmarkStart w:id="1" w:name="_Toc47532255"/>
      <w:bookmarkEnd w:id="1"/>
      <w:bookmarkStart w:id="2" w:name="_Toc47533256"/>
      <w:bookmarkEnd w:id="2"/>
      <w:bookmarkStart w:id="3" w:name="_Toc47537134"/>
      <w:bookmarkEnd w:id="3"/>
      <w:bookmarkStart w:id="4" w:name="_Toc47536272"/>
      <w:bookmarkEnd w:id="4"/>
      <w:bookmarkStart w:id="5" w:name="_Toc47536644"/>
      <w:bookmarkEnd w:id="5"/>
      <w:bookmarkStart w:id="6" w:name="_Toc47531634"/>
      <w:bookmarkEnd w:id="6"/>
      <w:bookmarkStart w:id="7" w:name="_Toc47539070"/>
      <w:bookmarkEnd w:id="7"/>
      <w:bookmarkStart w:id="8" w:name="_Toc47532891"/>
      <w:bookmarkEnd w:id="8"/>
      <w:bookmarkStart w:id="9" w:name="_Toc48223882"/>
      <w:bookmarkStart w:id="10" w:name="_Toc63785463"/>
      <w:r>
        <w:rPr>
          <w:rFonts w:hint="eastAsia" w:ascii="宋体" w:hAnsi="宋体" w:cs="Times New Roman"/>
          <w:highlight w:val="none"/>
        </w:rPr>
        <w:t>建设目标</w:t>
      </w:r>
      <w:bookmarkEnd w:id="9"/>
      <w:bookmarkEnd w:id="10"/>
    </w:p>
    <w:p w14:paraId="65025B9F">
      <w:pPr>
        <w:widowControl w:val="0"/>
        <w:spacing w:line="560" w:lineRule="exact"/>
        <w:ind w:firstLine="480" w:firstLineChars="200"/>
        <w:jc w:val="both"/>
        <w:rPr>
          <w:rFonts w:hint="eastAsia" w:ascii="宋体" w:hAnsi="宋体" w:eastAsia="宋体" w:cs="Times New Roman"/>
          <w:highlight w:val="none"/>
        </w:rPr>
      </w:pPr>
      <w:r>
        <w:rPr>
          <w:rFonts w:hint="eastAsia" w:ascii="宋体" w:hAnsi="宋体" w:eastAsia="宋体" w:cs="Times New Roman"/>
          <w:b w:val="0"/>
          <w:highlight w:val="none"/>
        </w:rPr>
        <w:t>融合门户：</w:t>
      </w:r>
      <w:r>
        <w:rPr>
          <w:rFonts w:hint="eastAsia" w:ascii="宋体" w:hAnsi="宋体" w:eastAsia="宋体" w:cs="Times New Roman"/>
          <w:highlight w:val="none"/>
        </w:rPr>
        <w:t>提供生活、科研、管理、各业务系统等各方面应用的统一访问入口，整合各个角色不同的业务场景应用，提供定制化、个性化、智能化的院内服务体系。整合</w:t>
      </w:r>
      <w:r>
        <w:rPr>
          <w:rFonts w:hint="eastAsia" w:ascii="宋体" w:hAnsi="宋体" w:eastAsia="宋体" w:cs="Times New Roman"/>
          <w:highlight w:val="none"/>
          <w:lang w:eastAsia="zh-CN"/>
        </w:rPr>
        <w:t>上海社会科学院</w:t>
      </w:r>
      <w:r>
        <w:rPr>
          <w:rFonts w:hint="eastAsia" w:ascii="宋体" w:hAnsi="宋体" w:eastAsia="宋体" w:cs="Times New Roman"/>
          <w:highlight w:val="none"/>
        </w:rPr>
        <w:t>所有相关的新闻资讯、通知公告等有价值的信息会第一时间推送到各个相关角色，并且用户可自主订阅感兴趣的资讯。</w:t>
      </w:r>
    </w:p>
    <w:p w14:paraId="7AA776A2">
      <w:pPr>
        <w:widowControl w:val="0"/>
        <w:spacing w:line="560" w:lineRule="exact"/>
        <w:ind w:firstLine="480" w:firstLineChars="200"/>
        <w:jc w:val="both"/>
        <w:rPr>
          <w:rFonts w:hint="eastAsia" w:ascii="宋体" w:hAnsi="宋体" w:eastAsia="宋体" w:cs="Times New Roman"/>
          <w:highlight w:val="none"/>
        </w:rPr>
      </w:pPr>
      <w:r>
        <w:rPr>
          <w:rFonts w:hint="eastAsia" w:ascii="宋体" w:hAnsi="宋体" w:eastAsia="宋体" w:cs="Times New Roman"/>
          <w:b w:val="0"/>
          <w:highlight w:val="none"/>
        </w:rPr>
        <w:t>业务中台：</w:t>
      </w:r>
      <w:r>
        <w:rPr>
          <w:rFonts w:hint="eastAsia" w:ascii="宋体" w:hAnsi="宋体" w:eastAsia="宋体" w:cs="Times New Roman"/>
          <w:highlight w:val="none"/>
        </w:rPr>
        <w:t>院级业务中台是根据</w:t>
      </w:r>
      <w:r>
        <w:rPr>
          <w:rFonts w:hint="eastAsia" w:ascii="宋体" w:hAnsi="宋体" w:eastAsia="宋体" w:cs="Times New Roman"/>
          <w:highlight w:val="none"/>
          <w:lang w:eastAsia="zh-CN"/>
        </w:rPr>
        <w:t>上海社会科学院</w:t>
      </w:r>
      <w:r>
        <w:rPr>
          <w:rFonts w:hint="eastAsia" w:ascii="宋体" w:hAnsi="宋体" w:eastAsia="宋体" w:cs="Times New Roman"/>
          <w:highlight w:val="none"/>
        </w:rPr>
        <w:t>业务，抽取出各业务中通用的能力，进行解耦重构，形成院级通用公共服务中心，其他新建的系统或应用不用再单独建设这些能力，只需调用公共服务即可快速建设，减少重复造轮子。</w:t>
      </w:r>
    </w:p>
    <w:p w14:paraId="3387825A">
      <w:pPr>
        <w:widowControl w:val="0"/>
        <w:spacing w:line="560" w:lineRule="exact"/>
        <w:ind w:firstLine="480" w:firstLineChars="200"/>
        <w:jc w:val="both"/>
        <w:rPr>
          <w:rFonts w:hint="eastAsia" w:ascii="宋体" w:hAnsi="宋体" w:eastAsia="宋体" w:cs="Times New Roman"/>
          <w:highlight w:val="none"/>
        </w:rPr>
      </w:pPr>
      <w:r>
        <w:rPr>
          <w:rFonts w:hint="eastAsia" w:ascii="宋体" w:hAnsi="宋体" w:eastAsia="宋体" w:cs="Times New Roman"/>
          <w:b w:val="0"/>
          <w:highlight w:val="none"/>
        </w:rPr>
        <w:t>业务流程建设：</w:t>
      </w:r>
      <w:r>
        <w:rPr>
          <w:rFonts w:hint="eastAsia" w:ascii="宋体" w:hAnsi="宋体" w:eastAsia="宋体" w:cs="Times New Roman"/>
          <w:highlight w:val="none"/>
        </w:rPr>
        <w:t>根据</w:t>
      </w:r>
      <w:r>
        <w:rPr>
          <w:rFonts w:hint="eastAsia" w:ascii="宋体" w:hAnsi="宋体" w:eastAsia="宋体" w:cs="Times New Roman"/>
          <w:highlight w:val="none"/>
          <w:lang w:eastAsia="zh-CN"/>
        </w:rPr>
        <w:t>上海社会科学院</w:t>
      </w:r>
      <w:r>
        <w:rPr>
          <w:rFonts w:hint="eastAsia" w:ascii="宋体" w:hAnsi="宋体" w:eastAsia="宋体" w:cs="Times New Roman"/>
          <w:highlight w:val="none"/>
        </w:rPr>
        <w:t>情况及各部门业务需求，梳理符合</w:t>
      </w:r>
      <w:r>
        <w:rPr>
          <w:rFonts w:hint="eastAsia" w:ascii="宋体" w:hAnsi="宋体" w:eastAsia="宋体" w:cs="Times New Roman"/>
          <w:highlight w:val="none"/>
          <w:lang w:eastAsia="zh-CN"/>
        </w:rPr>
        <w:t>上海社会科学院</w:t>
      </w:r>
      <w:r>
        <w:rPr>
          <w:rFonts w:hint="eastAsia" w:ascii="宋体" w:hAnsi="宋体" w:eastAsia="宋体" w:cs="Times New Roman"/>
          <w:highlight w:val="none"/>
        </w:rPr>
        <w:t>实际场景的服务清单，促进</w:t>
      </w:r>
      <w:r>
        <w:rPr>
          <w:rFonts w:hint="eastAsia" w:ascii="宋体" w:hAnsi="宋体" w:eastAsia="宋体" w:cs="Times New Roman"/>
          <w:highlight w:val="none"/>
          <w:lang w:eastAsia="zh-CN"/>
        </w:rPr>
        <w:t>上海社会科学院</w:t>
      </w:r>
      <w:r>
        <w:rPr>
          <w:rFonts w:hint="eastAsia" w:ascii="宋体" w:hAnsi="宋体" w:eastAsia="宋体" w:cs="Times New Roman"/>
          <w:highlight w:val="none"/>
        </w:rPr>
        <w:t>服务流程优化、管理效能提升，并且基于前面流程再造管理的条件构造，新建人事管理、信息化管理等业务流程，同时将已有业务流程与“尚网办”平台进行对接，形成相关的依赖、关联，让服务牵一发而动全身。管理员在后台可以调整和控制其耦合的程度，以强化流程关联，通过流程约束加速和带动相关服务的再造和上线使用。</w:t>
      </w:r>
    </w:p>
    <w:p w14:paraId="1DA0FBCA">
      <w:pPr>
        <w:widowControl w:val="0"/>
        <w:spacing w:line="560" w:lineRule="exact"/>
        <w:ind w:firstLine="480" w:firstLineChars="200"/>
        <w:jc w:val="both"/>
        <w:rPr>
          <w:rFonts w:hint="eastAsia" w:ascii="宋体" w:hAnsi="宋体" w:eastAsia="宋体" w:cs="Times New Roman"/>
          <w:highlight w:val="none"/>
        </w:rPr>
      </w:pPr>
      <w:r>
        <w:rPr>
          <w:rFonts w:hint="eastAsia" w:ascii="宋体" w:hAnsi="宋体" w:eastAsia="宋体" w:cs="Times New Roman"/>
          <w:b w:val="0"/>
          <w:highlight w:val="none"/>
        </w:rPr>
        <w:t>数据仓库：</w:t>
      </w:r>
      <w:r>
        <w:rPr>
          <w:rFonts w:hint="eastAsia" w:ascii="宋体" w:hAnsi="宋体" w:eastAsia="宋体" w:cs="Times New Roman"/>
          <w:highlight w:val="none"/>
        </w:rPr>
        <w:t>立足</w:t>
      </w:r>
      <w:r>
        <w:rPr>
          <w:rFonts w:hint="eastAsia" w:ascii="宋体" w:hAnsi="宋体" w:eastAsia="宋体" w:cs="Times New Roman"/>
          <w:highlight w:val="none"/>
          <w:lang w:eastAsia="zh-CN"/>
        </w:rPr>
        <w:t>上海社会科学院</w:t>
      </w:r>
      <w:r>
        <w:rPr>
          <w:rFonts w:hint="eastAsia" w:ascii="宋体" w:hAnsi="宋体" w:eastAsia="宋体" w:cs="Times New Roman"/>
          <w:highlight w:val="none"/>
        </w:rPr>
        <w:t>现状，以需求为引领，以数据为根基，以治理为手段，打造多元数据深度融合的数据仓库。</w:t>
      </w:r>
    </w:p>
    <w:p w14:paraId="357A81D4">
      <w:pPr>
        <w:widowControl w:val="0"/>
        <w:spacing w:line="560" w:lineRule="exact"/>
        <w:ind w:firstLine="480" w:firstLineChars="200"/>
        <w:jc w:val="both"/>
        <w:rPr>
          <w:rFonts w:hint="eastAsia" w:ascii="宋体" w:hAnsi="宋体" w:eastAsia="宋体" w:cs="Times New Roman"/>
          <w:highlight w:val="none"/>
        </w:rPr>
      </w:pPr>
      <w:r>
        <w:rPr>
          <w:rFonts w:hint="eastAsia" w:ascii="宋体" w:hAnsi="宋体" w:eastAsia="宋体" w:cs="Times New Roman"/>
          <w:b w:val="0"/>
          <w:highlight w:val="none"/>
        </w:rPr>
        <w:t>数据服务门户：</w:t>
      </w:r>
      <w:r>
        <w:rPr>
          <w:rFonts w:hint="eastAsia" w:ascii="宋体" w:hAnsi="宋体" w:eastAsia="宋体" w:cs="Times New Roman"/>
          <w:highlight w:val="none"/>
        </w:rPr>
        <w:t>基于数据仓库整合后的全量数据，针对当前数据资产底数不清、属性不明、使用低效、治理缺失的短板，数据服务门户建设将实现数据资产全量编目，明确各类资产的责任部门与属性信息，搭建便捷的数据查询与访问机制，建立常态化资产跟踪维护体系。这一建设可解决数据资产“找不着、管不住、用不好”的问题，推动数据资产治理从零散应对转向规范长效，让用户能快速定位所需数据，提升数据资产的管理效率与使用价值。</w:t>
      </w:r>
    </w:p>
    <w:p w14:paraId="272AD27E">
      <w:pPr>
        <w:widowControl w:val="0"/>
        <w:spacing w:line="560" w:lineRule="exact"/>
        <w:ind w:firstLine="480" w:firstLineChars="200"/>
        <w:jc w:val="both"/>
        <w:rPr>
          <w:rFonts w:hint="eastAsia" w:ascii="宋体" w:hAnsi="宋体" w:eastAsia="宋体" w:cs="Times New Roman"/>
          <w:highlight w:val="none"/>
        </w:rPr>
      </w:pPr>
      <w:r>
        <w:rPr>
          <w:rFonts w:hint="eastAsia" w:ascii="宋体" w:hAnsi="宋体" w:eastAsia="宋体" w:cs="Times New Roman"/>
          <w:b w:val="0"/>
          <w:highlight w:val="none"/>
        </w:rPr>
        <w:t>数据可视化：</w:t>
      </w:r>
      <w:r>
        <w:rPr>
          <w:rFonts w:hint="eastAsia" w:ascii="宋体" w:hAnsi="宋体" w:eastAsia="宋体" w:cs="Times New Roman"/>
          <w:highlight w:val="none"/>
        </w:rPr>
        <w:t>构建跨业务域的数据共享分析与可视化决策体系，打造集动态监测、智能分析、预测预警于一体的可视化驾驶舱，构建交互式决策看板，集成实时数据仪表盘、动态趋势图等可视化组件，形成 "数据监测-规律洞察-决策推演"的闭环支持体系。</w:t>
      </w:r>
    </w:p>
    <w:p w14:paraId="1521FCC3">
      <w:pPr>
        <w:widowControl w:val="0"/>
        <w:spacing w:line="560" w:lineRule="exact"/>
        <w:ind w:firstLine="480" w:firstLineChars="200"/>
        <w:jc w:val="both"/>
        <w:rPr>
          <w:rFonts w:hint="eastAsia" w:ascii="宋体" w:hAnsi="宋体" w:eastAsia="宋体" w:cs="Times New Roman"/>
          <w:highlight w:val="none"/>
        </w:rPr>
      </w:pPr>
      <w:r>
        <w:rPr>
          <w:rFonts w:hint="eastAsia" w:ascii="宋体" w:hAnsi="宋体" w:eastAsia="宋体" w:cs="Times New Roman"/>
          <w:b w:val="0"/>
          <w:highlight w:val="none"/>
        </w:rPr>
        <w:t>智能填报：</w:t>
      </w:r>
      <w:r>
        <w:rPr>
          <w:rFonts w:hint="eastAsia" w:ascii="宋体" w:hAnsi="宋体" w:eastAsia="宋体" w:cs="Times New Roman"/>
          <w:highlight w:val="none"/>
        </w:rPr>
        <w:t>构建智能化数据填报平台，以表单自助配置与智能数据校验为核心机制。通过打造 "一次录入、多端复用" 的数据采集模式，实现业务信息在科研服务、行政办公等多场景的高效流转与共享应用。</w:t>
      </w:r>
    </w:p>
    <w:p w14:paraId="694BC9CA">
      <w:pPr>
        <w:widowControl w:val="0"/>
        <w:spacing w:line="560" w:lineRule="exact"/>
        <w:ind w:firstLine="480" w:firstLineChars="200"/>
        <w:jc w:val="both"/>
        <w:rPr>
          <w:rFonts w:hint="eastAsia" w:ascii="宋体" w:hAnsi="宋体" w:eastAsia="宋体" w:cs="Times New Roman"/>
          <w:highlight w:val="none"/>
        </w:rPr>
      </w:pPr>
      <w:r>
        <w:rPr>
          <w:rFonts w:hint="eastAsia" w:ascii="宋体" w:hAnsi="宋体" w:eastAsia="宋体" w:cs="Times New Roman"/>
          <w:b w:val="0"/>
          <w:highlight w:val="none"/>
        </w:rPr>
        <w:t>多维画像中心：</w:t>
      </w:r>
      <w:r>
        <w:rPr>
          <w:rFonts w:hint="eastAsia" w:ascii="宋体" w:hAnsi="宋体" w:eastAsia="宋体" w:cs="Times New Roman"/>
          <w:highlight w:val="none"/>
        </w:rPr>
        <w:t>整合</w:t>
      </w:r>
      <w:r>
        <w:rPr>
          <w:rFonts w:hint="eastAsia" w:ascii="宋体" w:hAnsi="宋体" w:eastAsia="宋体" w:cs="Times New Roman"/>
          <w:highlight w:val="none"/>
          <w:lang w:eastAsia="zh-CN"/>
        </w:rPr>
        <w:t>上海社会科学院</w:t>
      </w:r>
      <w:r>
        <w:rPr>
          <w:rFonts w:hint="eastAsia" w:ascii="宋体" w:hAnsi="宋体" w:eastAsia="宋体" w:cs="Times New Roman"/>
          <w:highlight w:val="none"/>
        </w:rPr>
        <w:t>各层级数据资源，构建统一的数据管理体系，支撑跨系统数据自动填充与智能分析，为科研管理、行政决策等场景提供标准化数据支撑，推动</w:t>
      </w:r>
      <w:r>
        <w:rPr>
          <w:rFonts w:hint="eastAsia" w:ascii="宋体" w:hAnsi="宋体" w:eastAsia="宋体" w:cs="Times New Roman"/>
          <w:highlight w:val="none"/>
          <w:lang w:eastAsia="zh-CN"/>
        </w:rPr>
        <w:t>上海社会科学院</w:t>
      </w:r>
      <w:r>
        <w:rPr>
          <w:rFonts w:hint="eastAsia" w:ascii="宋体" w:hAnsi="宋体" w:eastAsia="宋体" w:cs="Times New Roman"/>
          <w:highlight w:val="none"/>
        </w:rPr>
        <w:t>数字化转型与智慧化服务升级。</w:t>
      </w:r>
    </w:p>
    <w:p w14:paraId="3D5A7F45">
      <w:pPr>
        <w:widowControl w:val="0"/>
        <w:spacing w:line="560" w:lineRule="exact"/>
        <w:ind w:firstLine="480" w:firstLineChars="200"/>
        <w:jc w:val="both"/>
        <w:rPr>
          <w:rFonts w:hint="eastAsia" w:ascii="宋体" w:hAnsi="宋体" w:eastAsia="宋体" w:cs="Times New Roman"/>
          <w:highlight w:val="none"/>
        </w:rPr>
      </w:pPr>
      <w:r>
        <w:rPr>
          <w:rFonts w:hint="eastAsia" w:ascii="宋体" w:hAnsi="宋体" w:eastAsia="宋体" w:cs="Times New Roman"/>
          <w:highlight w:val="none"/>
        </w:rPr>
        <w:t>数据融合服务：构建 "标准规范、质量管控、安全保障" 三位一体的数据治理体系，夯实数据治理底座：制定覆盖数据采集、清洗、存储、应用全生命周期的业务数据标准规范，建立元数据驱动的动态资产目录管理机制。最终实现科研创新、财务管理、办公效率、人力资源、外事服务等核心业务域的数据资源资产化运营，为</w:t>
      </w:r>
      <w:r>
        <w:rPr>
          <w:rFonts w:hint="eastAsia" w:ascii="宋体" w:hAnsi="宋体" w:eastAsia="宋体" w:cs="Times New Roman"/>
          <w:highlight w:val="none"/>
          <w:lang w:eastAsia="zh-CN"/>
        </w:rPr>
        <w:t>上海社会科学院</w:t>
      </w:r>
      <w:r>
        <w:rPr>
          <w:rFonts w:hint="eastAsia" w:ascii="宋体" w:hAnsi="宋体" w:eastAsia="宋体" w:cs="Times New Roman"/>
          <w:highlight w:val="none"/>
        </w:rPr>
        <w:t>数据治理能力现代化提供坚实支撑。</w:t>
      </w:r>
    </w:p>
    <w:p w14:paraId="70C910B9">
      <w:pPr>
        <w:widowControl w:val="0"/>
        <w:spacing w:line="560" w:lineRule="exact"/>
        <w:ind w:firstLine="480" w:firstLineChars="200"/>
        <w:jc w:val="both"/>
        <w:rPr>
          <w:rFonts w:hint="eastAsia" w:ascii="宋体" w:hAnsi="宋体" w:eastAsia="宋体" w:cs="Times New Roman"/>
          <w:highlight w:val="none"/>
        </w:rPr>
      </w:pPr>
      <w:r>
        <w:rPr>
          <w:rFonts w:hint="eastAsia" w:ascii="宋体" w:hAnsi="宋体" w:eastAsia="宋体" w:cs="Times New Roman"/>
          <w:highlight w:val="none"/>
        </w:rPr>
        <w:t>通过Web VPN，在提供科学、安全的应用审核、上线机制的基础上，提供开放的环境，让学生、老师成为平台持续更新的源动力。</w:t>
      </w:r>
    </w:p>
    <w:p w14:paraId="0E27404C">
      <w:pPr>
        <w:pStyle w:val="2"/>
        <w:rPr>
          <w:highlight w:val="none"/>
        </w:rPr>
      </w:pPr>
      <w:bookmarkStart w:id="11" w:name="_Toc47536676"/>
      <w:bookmarkEnd w:id="11"/>
      <w:bookmarkStart w:id="12" w:name="_Toc47536304"/>
      <w:bookmarkEnd w:id="12"/>
      <w:bookmarkStart w:id="13" w:name="_Toc47533288"/>
      <w:bookmarkEnd w:id="13"/>
      <w:bookmarkStart w:id="14" w:name="_Toc47537166"/>
      <w:bookmarkEnd w:id="14"/>
      <w:bookmarkStart w:id="15" w:name="_Toc47539102"/>
      <w:bookmarkEnd w:id="15"/>
      <w:bookmarkStart w:id="16" w:name="_Toc47532923"/>
      <w:bookmarkEnd w:id="16"/>
      <w:r>
        <w:rPr>
          <w:rFonts w:hint="eastAsia"/>
          <w:highlight w:val="none"/>
        </w:rPr>
        <w:t>项目建设内容</w:t>
      </w:r>
    </w:p>
    <w:p w14:paraId="1D1AB004">
      <w:pPr>
        <w:widowControl w:val="0"/>
        <w:spacing w:line="560" w:lineRule="exact"/>
        <w:ind w:firstLine="480" w:firstLineChars="200"/>
        <w:jc w:val="both"/>
        <w:rPr>
          <w:rFonts w:hint="eastAsia" w:ascii="宋体" w:hAnsi="宋体" w:eastAsia="宋体" w:cs="Times New Roman"/>
          <w:highlight w:val="none"/>
        </w:rPr>
      </w:pPr>
      <w:r>
        <w:rPr>
          <w:rFonts w:hint="eastAsia" w:ascii="宋体" w:hAnsi="宋体" w:eastAsia="宋体" w:cs="Times New Roman"/>
          <w:highlight w:val="none"/>
        </w:rPr>
        <w:t>充分利用</w:t>
      </w:r>
      <w:r>
        <w:rPr>
          <w:rFonts w:hint="eastAsia" w:ascii="宋体" w:hAnsi="宋体" w:eastAsia="宋体" w:cs="Times New Roman"/>
          <w:highlight w:val="none"/>
          <w:lang w:eastAsia="zh-CN"/>
        </w:rPr>
        <w:t>上海社会科学院</w:t>
      </w:r>
      <w:r>
        <w:rPr>
          <w:rFonts w:hint="eastAsia" w:ascii="宋体" w:hAnsi="宋体" w:eastAsia="宋体" w:cs="Times New Roman"/>
          <w:highlight w:val="none"/>
        </w:rPr>
        <w:t>信息化公共服务平台，遵循</w:t>
      </w:r>
      <w:r>
        <w:rPr>
          <w:rFonts w:hint="eastAsia" w:ascii="宋体" w:hAnsi="宋体" w:eastAsia="宋体" w:cs="Times New Roman"/>
          <w:highlight w:val="none"/>
          <w:lang w:eastAsia="zh-CN"/>
        </w:rPr>
        <w:t>上海社会科学院</w:t>
      </w:r>
      <w:r>
        <w:rPr>
          <w:rFonts w:hint="eastAsia" w:ascii="宋体" w:hAnsi="宋体" w:eastAsia="宋体" w:cs="Times New Roman"/>
          <w:highlight w:val="none"/>
        </w:rPr>
        <w:t>信息化标准规范（如数据规范、安全规范）所要求的内容，符合</w:t>
      </w:r>
      <w:r>
        <w:rPr>
          <w:rFonts w:hint="eastAsia" w:ascii="宋体" w:hAnsi="宋体" w:eastAsia="宋体" w:cs="Times New Roman"/>
          <w:highlight w:val="none"/>
          <w:lang w:eastAsia="zh-CN"/>
        </w:rPr>
        <w:t>上海社会科学院</w:t>
      </w:r>
      <w:r>
        <w:rPr>
          <w:rFonts w:hint="eastAsia" w:ascii="宋体" w:hAnsi="宋体" w:eastAsia="宋体" w:cs="Times New Roman"/>
          <w:highlight w:val="none"/>
        </w:rPr>
        <w:t>信息化统一规划、统一管理、统一服务等指导思想。包括系统的体系结构、系统部署、关键技术等方案。</w:t>
      </w:r>
    </w:p>
    <w:p w14:paraId="4FFA6644">
      <w:pPr>
        <w:widowControl w:val="0"/>
        <w:spacing w:line="560" w:lineRule="exact"/>
        <w:ind w:firstLine="480" w:firstLineChars="200"/>
        <w:jc w:val="both"/>
        <w:rPr>
          <w:rFonts w:hint="eastAsia" w:ascii="宋体" w:hAnsi="宋体" w:eastAsia="宋体" w:cs="Times New Roman"/>
          <w:highlight w:val="none"/>
        </w:rPr>
      </w:pPr>
      <w:r>
        <w:rPr>
          <w:rFonts w:hint="eastAsia" w:ascii="宋体" w:hAnsi="宋体" w:eastAsia="宋体" w:cs="Times New Roman"/>
          <w:highlight w:val="none"/>
        </w:rPr>
        <w:t>采用开放式统一架构，具有良好的开放性、扩展性、安全性、稳定性、实用性以及先进性，支持各方基于Web式在线平台开发、维护、发布和上架服务，降低开发平台使用门槛，凝聚更多开发者共建共享。</w:t>
      </w:r>
    </w:p>
    <w:p w14:paraId="1F6EA7CD">
      <w:pPr>
        <w:widowControl w:val="0"/>
        <w:spacing w:line="560" w:lineRule="exact"/>
        <w:ind w:firstLine="480" w:firstLineChars="200"/>
        <w:jc w:val="both"/>
        <w:rPr>
          <w:rFonts w:hint="eastAsia" w:ascii="宋体" w:hAnsi="宋体" w:eastAsia="宋体" w:cs="Times New Roman"/>
          <w:highlight w:val="none"/>
        </w:rPr>
      </w:pPr>
      <w:r>
        <w:rPr>
          <w:rFonts w:hint="eastAsia" w:ascii="宋体" w:hAnsi="宋体" w:eastAsia="宋体" w:cs="Times New Roman"/>
          <w:highlight w:val="none"/>
        </w:rPr>
        <w:t>采用统一的、完备的权限分级、审查体系、角色体系，系统管理员可依规定进行权限的定制、发放和收回操作，支持二级部门、业务负责人独立维护其所管辖的应用。</w:t>
      </w:r>
    </w:p>
    <w:p w14:paraId="0073DC4C">
      <w:pPr>
        <w:widowControl w:val="0"/>
        <w:spacing w:line="560" w:lineRule="exact"/>
        <w:ind w:firstLine="480" w:firstLineChars="200"/>
        <w:jc w:val="both"/>
        <w:rPr>
          <w:rFonts w:hint="eastAsia" w:ascii="宋体" w:hAnsi="宋体" w:eastAsia="宋体" w:cs="Times New Roman"/>
          <w:highlight w:val="none"/>
        </w:rPr>
      </w:pPr>
      <w:r>
        <w:rPr>
          <w:rFonts w:hint="eastAsia" w:ascii="宋体" w:hAnsi="宋体" w:eastAsia="宋体" w:cs="Times New Roman"/>
          <w:highlight w:val="none"/>
        </w:rPr>
        <w:t>移动端采用H5响应式，基于移动端建设，方便推广和业务对接，缩短用户触达路径。</w:t>
      </w:r>
    </w:p>
    <w:p w14:paraId="732A7648">
      <w:pPr>
        <w:widowControl w:val="0"/>
        <w:spacing w:line="560" w:lineRule="exact"/>
        <w:ind w:firstLine="480" w:firstLineChars="200"/>
        <w:jc w:val="both"/>
        <w:rPr>
          <w:rFonts w:hint="eastAsia" w:ascii="宋体" w:hAnsi="宋体" w:eastAsia="宋体" w:cs="Times New Roman"/>
          <w:highlight w:val="none"/>
        </w:rPr>
      </w:pPr>
      <w:r>
        <w:rPr>
          <w:rFonts w:hint="eastAsia" w:ascii="宋体" w:hAnsi="宋体" w:eastAsia="宋体" w:cs="Times New Roman"/>
          <w:highlight w:val="none"/>
        </w:rPr>
        <w:t>针对院级通用业务能力，能够通过开放平台提供针对第三方系统的Web service接口支持，也支持第三方的能力接入，确保通用能力开放共享、共建共治，营造技术生态。</w:t>
      </w:r>
    </w:p>
    <w:p w14:paraId="6B728DF6">
      <w:pPr>
        <w:widowControl w:val="0"/>
        <w:spacing w:line="560" w:lineRule="exact"/>
        <w:ind w:firstLine="480" w:firstLineChars="200"/>
        <w:jc w:val="both"/>
        <w:rPr>
          <w:rFonts w:hint="eastAsia" w:ascii="宋体" w:hAnsi="宋体" w:eastAsia="宋体" w:cs="Times New Roman"/>
          <w:highlight w:val="none"/>
        </w:rPr>
      </w:pPr>
      <w:r>
        <w:rPr>
          <w:rFonts w:hint="eastAsia" w:ascii="宋体" w:hAnsi="宋体" w:eastAsia="宋体" w:cs="Times New Roman"/>
          <w:highlight w:val="none"/>
        </w:rPr>
        <w:t>系统能与</w:t>
      </w:r>
      <w:r>
        <w:rPr>
          <w:rFonts w:hint="eastAsia" w:ascii="宋体" w:hAnsi="宋体" w:eastAsia="宋体" w:cs="Times New Roman"/>
          <w:highlight w:val="none"/>
          <w:lang w:eastAsia="zh-CN"/>
        </w:rPr>
        <w:t>上海社会科学院</w:t>
      </w:r>
      <w:r>
        <w:rPr>
          <w:rFonts w:hint="eastAsia" w:ascii="宋体" w:hAnsi="宋体" w:eastAsia="宋体" w:cs="Times New Roman"/>
          <w:highlight w:val="none"/>
        </w:rPr>
        <w:t>现有公共服务平台（如统一身份认证、数据中心等）等进行平滑对接，支持业务对接与扩展。</w:t>
      </w:r>
    </w:p>
    <w:p w14:paraId="60674E98">
      <w:pPr>
        <w:widowControl w:val="0"/>
        <w:spacing w:line="560" w:lineRule="exact"/>
        <w:ind w:firstLine="480" w:firstLineChars="200"/>
        <w:jc w:val="both"/>
        <w:rPr>
          <w:rFonts w:hint="eastAsia" w:ascii="宋体" w:hAnsi="宋体" w:eastAsia="宋体" w:cs="Times New Roman"/>
          <w:highlight w:val="none"/>
        </w:rPr>
      </w:pPr>
      <w:r>
        <w:rPr>
          <w:rFonts w:hint="eastAsia" w:ascii="宋体" w:hAnsi="宋体" w:eastAsia="宋体" w:cs="Times New Roman"/>
          <w:highlight w:val="none"/>
        </w:rPr>
        <w:t>具备必要的网络安全和数据安全保障，在保证系统的安全稳定运行和数据的安全使用时，还要确保系统运行的高性能、高可靠，采用统一运管平台部署、监控、管理，实现运行支撑资源的统一调度与计算资源、存储资源的最大化利用。</w:t>
      </w:r>
    </w:p>
    <w:p w14:paraId="1B43D16B">
      <w:pPr>
        <w:widowControl w:val="0"/>
        <w:spacing w:line="560" w:lineRule="exact"/>
        <w:ind w:firstLine="480" w:firstLineChars="200"/>
        <w:jc w:val="both"/>
        <w:rPr>
          <w:rFonts w:hint="eastAsia" w:ascii="宋体" w:hAnsi="宋体" w:eastAsia="宋体" w:cs="Times New Roman"/>
          <w:highlight w:val="none"/>
        </w:rPr>
      </w:pPr>
      <w:r>
        <w:rPr>
          <w:rFonts w:hint="eastAsia" w:ascii="宋体" w:hAnsi="宋体" w:eastAsia="宋体" w:cs="Times New Roman"/>
          <w:highlight w:val="none"/>
        </w:rPr>
        <w:t>总之，项目建设须遵循整体的、院级的、开放的、生态的、交互的理念，在技术实现时考虑先进性与成熟度的平衡，并且根据产品和功能定位、所处的系统架构来针对性设计和实现，应做好框架融合而非缝合。</w:t>
      </w:r>
    </w:p>
    <w:p w14:paraId="5870AC24">
      <w:pPr>
        <w:ind w:firstLine="0" w:firstLineChars="0"/>
        <w:jc w:val="center"/>
        <w:rPr>
          <w:rFonts w:hint="eastAsia" w:ascii="宋体" w:hAnsi="宋体" w:eastAsia="宋体" w:cs="Times New Roman"/>
          <w:b/>
          <w:bCs/>
          <w:highlight w:val="none"/>
          <w:lang w:eastAsia="zh-CN"/>
        </w:rPr>
      </w:pPr>
      <w:r>
        <w:rPr>
          <w:rFonts w:hint="eastAsia" w:ascii="宋体" w:hAnsi="宋体" w:eastAsia="宋体" w:cs="Times New Roman"/>
          <w:b/>
          <w:bCs/>
          <w:highlight w:val="none"/>
          <w:lang w:eastAsia="zh-CN"/>
        </w:rPr>
        <w:t>系统架构</w:t>
      </w:r>
    </w:p>
    <w:p w14:paraId="310F6512">
      <w:pPr>
        <w:rPr>
          <w:highlight w:val="none"/>
        </w:rPr>
      </w:pPr>
      <w:r>
        <w:rPr>
          <w:highlight w:val="none"/>
        </w:rPr>
        <w:drawing>
          <wp:inline distT="0" distB="0" distL="114300" distR="114300">
            <wp:extent cx="5277485" cy="4925695"/>
            <wp:effectExtent l="0" t="0" r="10795" b="12065"/>
            <wp:docPr id="10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Picture 1"/>
                    <pic:cNvPicPr>
                      <a:picLocks noChangeAspect="1"/>
                    </pic:cNvPicPr>
                  </pic:nvPicPr>
                  <pic:blipFill>
                    <a:blip r:embed="rId5"/>
                    <a:stretch>
                      <a:fillRect/>
                    </a:stretch>
                  </pic:blipFill>
                  <pic:spPr>
                    <a:xfrm>
                      <a:off x="0" y="0"/>
                      <a:ext cx="5277485" cy="4925695"/>
                    </a:xfrm>
                    <a:prstGeom prst="rect">
                      <a:avLst/>
                    </a:prstGeom>
                    <a:noFill/>
                    <a:ln w="9525">
                      <a:noFill/>
                    </a:ln>
                  </pic:spPr>
                </pic:pic>
              </a:graphicData>
            </a:graphic>
          </wp:inline>
        </w:drawing>
      </w:r>
      <w:bookmarkStart w:id="35" w:name="_GoBack"/>
      <w:bookmarkEnd w:id="35"/>
    </w:p>
    <w:p w14:paraId="30D61F5D">
      <w:pPr>
        <w:jc w:val="center"/>
        <w:rPr>
          <w:rFonts w:hint="eastAsia"/>
          <w:b/>
          <w:bCs/>
          <w:sz w:val="24"/>
          <w:szCs w:val="24"/>
          <w:highlight w:val="none"/>
        </w:rPr>
      </w:pPr>
    </w:p>
    <w:p w14:paraId="257D24E3">
      <w:pPr>
        <w:jc w:val="center"/>
        <w:rPr>
          <w:b/>
          <w:bCs/>
          <w:sz w:val="28"/>
          <w:szCs w:val="28"/>
          <w:highlight w:val="none"/>
        </w:rPr>
      </w:pPr>
      <w:r>
        <w:rPr>
          <w:rFonts w:hint="eastAsia"/>
          <w:b/>
          <w:bCs/>
          <w:highlight w:val="none"/>
        </w:rPr>
        <w:t>软件开发清单</w:t>
      </w:r>
    </w:p>
    <w:tbl>
      <w:tblPr>
        <w:tblStyle w:val="7"/>
        <w:tblW w:w="5000" w:type="pct"/>
        <w:jc w:val="center"/>
        <w:tblLayout w:type="autofit"/>
        <w:tblCellMar>
          <w:top w:w="0" w:type="dxa"/>
          <w:left w:w="108" w:type="dxa"/>
          <w:bottom w:w="0" w:type="dxa"/>
          <w:right w:w="108" w:type="dxa"/>
        </w:tblCellMar>
      </w:tblPr>
      <w:tblGrid>
        <w:gridCol w:w="716"/>
        <w:gridCol w:w="1700"/>
        <w:gridCol w:w="3056"/>
        <w:gridCol w:w="3056"/>
      </w:tblGrid>
      <w:tr w14:paraId="7130A6D5">
        <w:tblPrEx>
          <w:tblCellMar>
            <w:top w:w="0" w:type="dxa"/>
            <w:left w:w="108" w:type="dxa"/>
            <w:bottom w:w="0" w:type="dxa"/>
            <w:right w:w="108" w:type="dxa"/>
          </w:tblCellMar>
        </w:tblPrEx>
        <w:trPr>
          <w:trHeight w:val="270" w:hRule="atLeast"/>
          <w:jc w:val="center"/>
        </w:trPr>
        <w:tc>
          <w:tcPr>
            <w:tcW w:w="420" w:type="pct"/>
            <w:tcBorders>
              <w:top w:val="single" w:color="auto" w:sz="4" w:space="0"/>
              <w:left w:val="single" w:color="auto" w:sz="4" w:space="0"/>
              <w:bottom w:val="single" w:color="auto" w:sz="4" w:space="0"/>
              <w:right w:val="single" w:color="auto" w:sz="4" w:space="0"/>
            </w:tcBorders>
            <w:shd w:val="clear" w:color="000000" w:fill="F3F8FC"/>
            <w:noWrap/>
            <w:vAlign w:val="center"/>
          </w:tcPr>
          <w:p w14:paraId="79B56157">
            <w:pPr>
              <w:rPr>
                <w:highlight w:val="none"/>
              </w:rPr>
            </w:pPr>
            <w:r>
              <w:rPr>
                <w:rFonts w:hint="eastAsia"/>
                <w:highlight w:val="none"/>
              </w:rPr>
              <w:t>序号</w:t>
            </w:r>
          </w:p>
        </w:tc>
        <w:tc>
          <w:tcPr>
            <w:tcW w:w="997" w:type="pct"/>
            <w:tcBorders>
              <w:top w:val="single" w:color="auto" w:sz="4" w:space="0"/>
              <w:left w:val="nil"/>
              <w:bottom w:val="single" w:color="auto" w:sz="4" w:space="0"/>
              <w:right w:val="single" w:color="auto" w:sz="4" w:space="0"/>
            </w:tcBorders>
            <w:shd w:val="clear" w:color="000000" w:fill="F3F8FC"/>
            <w:noWrap/>
            <w:vAlign w:val="center"/>
          </w:tcPr>
          <w:p w14:paraId="26C15401">
            <w:pPr>
              <w:rPr>
                <w:highlight w:val="none"/>
              </w:rPr>
            </w:pPr>
            <w:r>
              <w:rPr>
                <w:rFonts w:hint="eastAsia"/>
                <w:highlight w:val="none"/>
              </w:rPr>
              <w:t>应用系统名称</w:t>
            </w:r>
          </w:p>
        </w:tc>
        <w:tc>
          <w:tcPr>
            <w:tcW w:w="1792" w:type="pct"/>
            <w:tcBorders>
              <w:top w:val="single" w:color="auto" w:sz="4" w:space="0"/>
              <w:left w:val="nil"/>
              <w:bottom w:val="single" w:color="auto" w:sz="4" w:space="0"/>
              <w:right w:val="single" w:color="auto" w:sz="4" w:space="0"/>
            </w:tcBorders>
            <w:shd w:val="clear" w:color="000000" w:fill="F3F8FC"/>
            <w:noWrap/>
            <w:vAlign w:val="center"/>
          </w:tcPr>
          <w:p w14:paraId="2CA84D4F">
            <w:pPr>
              <w:rPr>
                <w:highlight w:val="none"/>
              </w:rPr>
            </w:pPr>
            <w:r>
              <w:rPr>
                <w:rFonts w:hint="eastAsia"/>
                <w:highlight w:val="none"/>
              </w:rPr>
              <w:t>模块名称</w:t>
            </w:r>
          </w:p>
        </w:tc>
        <w:tc>
          <w:tcPr>
            <w:tcW w:w="1791" w:type="pct"/>
            <w:tcBorders>
              <w:top w:val="single" w:color="auto" w:sz="4" w:space="0"/>
              <w:left w:val="nil"/>
              <w:bottom w:val="single" w:color="auto" w:sz="4" w:space="0"/>
              <w:right w:val="single" w:color="auto" w:sz="4" w:space="0"/>
            </w:tcBorders>
            <w:shd w:val="clear" w:color="000000" w:fill="F3F8FC"/>
          </w:tcPr>
          <w:p w14:paraId="16221766">
            <w:pPr>
              <w:rPr>
                <w:highlight w:val="none"/>
              </w:rPr>
            </w:pPr>
            <w:r>
              <w:rPr>
                <w:rFonts w:hint="eastAsia"/>
                <w:highlight w:val="none"/>
              </w:rPr>
              <w:t>模块描述</w:t>
            </w:r>
          </w:p>
        </w:tc>
      </w:tr>
      <w:tr w14:paraId="5EDD852F">
        <w:tblPrEx>
          <w:tblCellMar>
            <w:top w:w="0" w:type="dxa"/>
            <w:left w:w="108" w:type="dxa"/>
            <w:bottom w:w="0" w:type="dxa"/>
            <w:right w:w="108" w:type="dxa"/>
          </w:tblCellMar>
        </w:tblPrEx>
        <w:trPr>
          <w:trHeight w:val="1140" w:hRule="atLeast"/>
          <w:jc w:val="center"/>
        </w:trPr>
        <w:tc>
          <w:tcPr>
            <w:tcW w:w="420" w:type="pct"/>
            <w:tcBorders>
              <w:top w:val="single" w:color="auto" w:sz="4" w:space="0"/>
              <w:left w:val="single" w:color="auto" w:sz="4" w:space="0"/>
              <w:bottom w:val="single" w:color="auto" w:sz="4" w:space="0"/>
              <w:right w:val="single" w:color="auto" w:sz="4" w:space="0"/>
            </w:tcBorders>
            <w:shd w:val="clear" w:color="auto" w:fill="FFFFFF"/>
            <w:vAlign w:val="center"/>
          </w:tcPr>
          <w:p w14:paraId="79F8F72D">
            <w:pPr>
              <w:rPr>
                <w:highlight w:val="none"/>
              </w:rPr>
            </w:pPr>
            <w:r>
              <w:rPr>
                <w:highlight w:val="none"/>
              </w:rPr>
              <w:t>1</w:t>
            </w:r>
          </w:p>
        </w:tc>
        <w:tc>
          <w:tcPr>
            <w:tcW w:w="997" w:type="pct"/>
            <w:tcBorders>
              <w:top w:val="single" w:color="auto" w:sz="4" w:space="0"/>
              <w:left w:val="nil"/>
              <w:bottom w:val="single" w:color="auto" w:sz="4" w:space="0"/>
              <w:right w:val="single" w:color="auto" w:sz="4" w:space="0"/>
            </w:tcBorders>
            <w:shd w:val="clear" w:color="auto" w:fill="FFFFFF"/>
            <w:vAlign w:val="center"/>
          </w:tcPr>
          <w:p w14:paraId="3C00C6A3">
            <w:pPr>
              <w:rPr>
                <w:highlight w:val="none"/>
              </w:rPr>
            </w:pPr>
            <w:r>
              <w:rPr>
                <w:rFonts w:hint="eastAsia"/>
                <w:highlight w:val="none"/>
              </w:rPr>
              <w:t>“尚网办”融合门户</w:t>
            </w:r>
          </w:p>
        </w:tc>
        <w:tc>
          <w:tcPr>
            <w:tcW w:w="1792" w:type="pct"/>
            <w:tcBorders>
              <w:top w:val="single" w:color="auto" w:sz="4" w:space="0"/>
              <w:left w:val="nil"/>
              <w:bottom w:val="single" w:color="auto" w:sz="4" w:space="0"/>
              <w:right w:val="single" w:color="auto" w:sz="4" w:space="0"/>
            </w:tcBorders>
            <w:shd w:val="clear" w:color="auto" w:fill="FFFFFF"/>
            <w:vAlign w:val="center"/>
          </w:tcPr>
          <w:p w14:paraId="2B1A67E5">
            <w:pPr>
              <w:rPr>
                <w:highlight w:val="none"/>
              </w:rPr>
            </w:pPr>
            <w:r>
              <w:rPr>
                <w:rFonts w:hint="eastAsia"/>
                <w:highlight w:val="none"/>
              </w:rPr>
              <w:t>融合服务PC门户</w:t>
            </w:r>
          </w:p>
        </w:tc>
        <w:tc>
          <w:tcPr>
            <w:tcW w:w="1791" w:type="pct"/>
            <w:tcBorders>
              <w:top w:val="single" w:color="auto" w:sz="4" w:space="0"/>
              <w:left w:val="nil"/>
              <w:bottom w:val="single" w:color="auto" w:sz="4" w:space="0"/>
              <w:right w:val="single" w:color="auto" w:sz="4" w:space="0"/>
            </w:tcBorders>
            <w:shd w:val="clear" w:color="auto" w:fill="FFFFFF"/>
            <w:vAlign w:val="center"/>
          </w:tcPr>
          <w:p w14:paraId="575197D9">
            <w:pPr>
              <w:rPr>
                <w:highlight w:val="none"/>
              </w:rPr>
            </w:pPr>
            <w:r>
              <w:rPr>
                <w:rFonts w:hint="eastAsia"/>
                <w:highlight w:val="none"/>
              </w:rPr>
              <w:t>门户平台支持定制化功能，用户界面能够根据</w:t>
            </w:r>
            <w:r>
              <w:rPr>
                <w:rFonts w:hint="eastAsia"/>
                <w:highlight w:val="none"/>
                <w:lang w:eastAsia="zh-CN"/>
              </w:rPr>
              <w:t>上海社会科学院</w:t>
            </w:r>
            <w:r>
              <w:rPr>
                <w:rFonts w:hint="eastAsia"/>
                <w:highlight w:val="none"/>
              </w:rPr>
              <w:t>需求、</w:t>
            </w:r>
            <w:r>
              <w:rPr>
                <w:rFonts w:hint="eastAsia"/>
                <w:highlight w:val="none"/>
                <w:lang w:eastAsia="zh-CN"/>
              </w:rPr>
              <w:t>上海社会科学院</w:t>
            </w:r>
            <w:r>
              <w:rPr>
                <w:rFonts w:hint="eastAsia"/>
                <w:highlight w:val="none"/>
              </w:rPr>
              <w:t>人文、院徽院训等</w:t>
            </w:r>
            <w:r>
              <w:rPr>
                <w:rFonts w:hint="eastAsia"/>
                <w:highlight w:val="none"/>
                <w:lang w:eastAsia="zh-CN"/>
              </w:rPr>
              <w:t>上海社会科学院</w:t>
            </w:r>
            <w:r>
              <w:rPr>
                <w:rFonts w:hint="eastAsia"/>
                <w:highlight w:val="none"/>
              </w:rPr>
              <w:t>特色进行个性化定制。从整体UI、UE出发考虑，设计界面具有良好的视觉效果，并能体现现代风格与</w:t>
            </w:r>
            <w:r>
              <w:rPr>
                <w:rFonts w:hint="eastAsia"/>
                <w:highlight w:val="none"/>
                <w:lang w:eastAsia="zh-CN"/>
              </w:rPr>
              <w:t>上海社会科学院</w:t>
            </w:r>
            <w:r>
              <w:rPr>
                <w:rFonts w:hint="eastAsia"/>
                <w:highlight w:val="none"/>
              </w:rPr>
              <w:t>特色，充分体现</w:t>
            </w:r>
            <w:r>
              <w:rPr>
                <w:rFonts w:hint="eastAsia"/>
                <w:highlight w:val="none"/>
                <w:lang w:eastAsia="zh-CN"/>
              </w:rPr>
              <w:t>上海社会科学院</w:t>
            </w:r>
            <w:r>
              <w:rPr>
                <w:rFonts w:hint="eastAsia"/>
                <w:highlight w:val="none"/>
              </w:rPr>
              <w:t>形象。</w:t>
            </w:r>
          </w:p>
        </w:tc>
      </w:tr>
      <w:tr w14:paraId="58970680">
        <w:tblPrEx>
          <w:tblCellMar>
            <w:top w:w="0" w:type="dxa"/>
            <w:left w:w="108" w:type="dxa"/>
            <w:bottom w:w="0" w:type="dxa"/>
            <w:right w:w="108" w:type="dxa"/>
          </w:tblCellMar>
        </w:tblPrEx>
        <w:trPr>
          <w:trHeight w:val="699" w:hRule="atLeast"/>
          <w:jc w:val="center"/>
        </w:trPr>
        <w:tc>
          <w:tcPr>
            <w:tcW w:w="420" w:type="pct"/>
            <w:tcBorders>
              <w:top w:val="single" w:color="auto" w:sz="4" w:space="0"/>
              <w:left w:val="single" w:color="auto" w:sz="4" w:space="0"/>
              <w:bottom w:val="single" w:color="auto" w:sz="4" w:space="0"/>
              <w:right w:val="single" w:color="auto" w:sz="4" w:space="0"/>
            </w:tcBorders>
            <w:shd w:val="clear" w:color="auto" w:fill="FFFFFF"/>
            <w:vAlign w:val="center"/>
          </w:tcPr>
          <w:p w14:paraId="5F781E82">
            <w:pPr>
              <w:rPr>
                <w:highlight w:val="none"/>
              </w:rPr>
            </w:pPr>
            <w:r>
              <w:rPr>
                <w:highlight w:val="none"/>
              </w:rPr>
              <w:t>2</w:t>
            </w:r>
          </w:p>
        </w:tc>
        <w:tc>
          <w:tcPr>
            <w:tcW w:w="997" w:type="pct"/>
            <w:tcBorders>
              <w:top w:val="single" w:color="auto" w:sz="4" w:space="0"/>
              <w:left w:val="nil"/>
              <w:bottom w:val="single" w:color="auto" w:sz="4" w:space="0"/>
              <w:right w:val="single" w:color="auto" w:sz="4" w:space="0"/>
            </w:tcBorders>
            <w:shd w:val="clear" w:color="auto" w:fill="FFFFFF"/>
            <w:vAlign w:val="center"/>
          </w:tcPr>
          <w:p w14:paraId="28AD1D75">
            <w:pPr>
              <w:rPr>
                <w:highlight w:val="none"/>
              </w:rPr>
            </w:pPr>
            <w:r>
              <w:rPr>
                <w:rFonts w:hint="eastAsia"/>
                <w:highlight w:val="none"/>
              </w:rPr>
              <w:t>“尚网办”融合门户</w:t>
            </w:r>
          </w:p>
        </w:tc>
        <w:tc>
          <w:tcPr>
            <w:tcW w:w="1792" w:type="pct"/>
            <w:tcBorders>
              <w:top w:val="single" w:color="auto" w:sz="4" w:space="0"/>
              <w:left w:val="nil"/>
              <w:bottom w:val="single" w:color="auto" w:sz="4" w:space="0"/>
              <w:right w:val="single" w:color="auto" w:sz="4" w:space="0"/>
            </w:tcBorders>
            <w:shd w:val="clear" w:color="auto" w:fill="FFFFFF"/>
            <w:vAlign w:val="center"/>
          </w:tcPr>
          <w:p w14:paraId="3E0A7EEB">
            <w:pPr>
              <w:rPr>
                <w:highlight w:val="none"/>
              </w:rPr>
            </w:pPr>
            <w:r>
              <w:rPr>
                <w:rFonts w:hint="eastAsia"/>
                <w:highlight w:val="none"/>
              </w:rPr>
              <w:t>办事服务中心</w:t>
            </w:r>
          </w:p>
        </w:tc>
        <w:tc>
          <w:tcPr>
            <w:tcW w:w="1791" w:type="pct"/>
            <w:tcBorders>
              <w:top w:val="single" w:color="auto" w:sz="4" w:space="0"/>
              <w:left w:val="nil"/>
              <w:bottom w:val="single" w:color="auto" w:sz="4" w:space="0"/>
              <w:right w:val="single" w:color="auto" w:sz="4" w:space="0"/>
            </w:tcBorders>
            <w:shd w:val="clear" w:color="auto" w:fill="FFFFFF"/>
            <w:vAlign w:val="center"/>
          </w:tcPr>
          <w:p w14:paraId="628ECD88">
            <w:pPr>
              <w:rPr>
                <w:highlight w:val="none"/>
              </w:rPr>
            </w:pPr>
            <w:r>
              <w:rPr>
                <w:rFonts w:hint="eastAsia"/>
                <w:highlight w:val="none"/>
              </w:rPr>
              <w:t>服务中心面向全院用户，为用户提供一站式办事服务。形成唯一品牌服务入口的专属定制化智能办公、沟通与协同的平台。“以人为本、融合服务”，统筹</w:t>
            </w:r>
            <w:r>
              <w:rPr>
                <w:rFonts w:hint="eastAsia"/>
                <w:highlight w:val="none"/>
                <w:lang w:eastAsia="zh-CN"/>
              </w:rPr>
              <w:t>上海社会科学院</w:t>
            </w:r>
            <w:r>
              <w:rPr>
                <w:rFonts w:hint="eastAsia"/>
                <w:highlight w:val="none"/>
              </w:rPr>
              <w:t>各类服务资源，促进服务模式建设创新，为向“服务型”科学院转变打下坚实的信息化基础。</w:t>
            </w:r>
          </w:p>
        </w:tc>
      </w:tr>
      <w:tr w14:paraId="15AE85E6">
        <w:tblPrEx>
          <w:tblCellMar>
            <w:top w:w="0" w:type="dxa"/>
            <w:left w:w="108" w:type="dxa"/>
            <w:bottom w:w="0" w:type="dxa"/>
            <w:right w:w="108" w:type="dxa"/>
          </w:tblCellMar>
        </w:tblPrEx>
        <w:trPr>
          <w:trHeight w:val="1710" w:hRule="atLeast"/>
          <w:jc w:val="center"/>
        </w:trPr>
        <w:tc>
          <w:tcPr>
            <w:tcW w:w="420" w:type="pct"/>
            <w:tcBorders>
              <w:top w:val="single" w:color="auto" w:sz="4" w:space="0"/>
              <w:left w:val="single" w:color="auto" w:sz="4" w:space="0"/>
              <w:bottom w:val="single" w:color="auto" w:sz="4" w:space="0"/>
              <w:right w:val="single" w:color="auto" w:sz="4" w:space="0"/>
            </w:tcBorders>
            <w:shd w:val="clear" w:color="auto" w:fill="FFFFFF"/>
            <w:vAlign w:val="center"/>
          </w:tcPr>
          <w:p w14:paraId="54FB5CC4">
            <w:pPr>
              <w:rPr>
                <w:highlight w:val="none"/>
              </w:rPr>
            </w:pPr>
            <w:r>
              <w:rPr>
                <w:rFonts w:hint="eastAsia"/>
                <w:highlight w:val="none"/>
              </w:rPr>
              <w:t>3</w:t>
            </w:r>
          </w:p>
        </w:tc>
        <w:tc>
          <w:tcPr>
            <w:tcW w:w="997" w:type="pct"/>
            <w:tcBorders>
              <w:top w:val="single" w:color="auto" w:sz="4" w:space="0"/>
              <w:left w:val="nil"/>
              <w:bottom w:val="single" w:color="auto" w:sz="4" w:space="0"/>
              <w:right w:val="single" w:color="auto" w:sz="4" w:space="0"/>
            </w:tcBorders>
            <w:shd w:val="clear" w:color="auto" w:fill="FFFFFF"/>
            <w:vAlign w:val="center"/>
          </w:tcPr>
          <w:p w14:paraId="70B1D137">
            <w:pPr>
              <w:rPr>
                <w:highlight w:val="none"/>
              </w:rPr>
            </w:pPr>
            <w:r>
              <w:rPr>
                <w:rFonts w:hint="eastAsia"/>
                <w:highlight w:val="none"/>
              </w:rPr>
              <w:t>“尚网办”融合门户</w:t>
            </w:r>
          </w:p>
        </w:tc>
        <w:tc>
          <w:tcPr>
            <w:tcW w:w="1792" w:type="pct"/>
            <w:tcBorders>
              <w:top w:val="single" w:color="auto" w:sz="4" w:space="0"/>
              <w:left w:val="nil"/>
              <w:bottom w:val="single" w:color="auto" w:sz="4" w:space="0"/>
              <w:right w:val="single" w:color="auto" w:sz="4" w:space="0"/>
            </w:tcBorders>
            <w:shd w:val="clear" w:color="auto" w:fill="FFFFFF"/>
            <w:vAlign w:val="center"/>
          </w:tcPr>
          <w:p w14:paraId="7D30E97B">
            <w:pPr>
              <w:rPr>
                <w:highlight w:val="none"/>
              </w:rPr>
            </w:pPr>
            <w:r>
              <w:rPr>
                <w:rFonts w:hint="eastAsia"/>
                <w:highlight w:val="none"/>
              </w:rPr>
              <w:t>企微移动门户</w:t>
            </w:r>
          </w:p>
        </w:tc>
        <w:tc>
          <w:tcPr>
            <w:tcW w:w="1791" w:type="pct"/>
            <w:tcBorders>
              <w:top w:val="single" w:color="auto" w:sz="4" w:space="0"/>
              <w:left w:val="nil"/>
              <w:bottom w:val="single" w:color="auto" w:sz="4" w:space="0"/>
              <w:right w:val="single" w:color="auto" w:sz="4" w:space="0"/>
            </w:tcBorders>
            <w:shd w:val="clear" w:color="auto" w:fill="FFFFFF"/>
            <w:vAlign w:val="center"/>
          </w:tcPr>
          <w:p w14:paraId="5E92009F">
            <w:pPr>
              <w:rPr>
                <w:highlight w:val="none"/>
              </w:rPr>
            </w:pPr>
            <w:r>
              <w:rPr>
                <w:rFonts w:hint="eastAsia"/>
                <w:highlight w:val="none"/>
              </w:rPr>
              <w:t>基于企业微信打造移动门户，自动关联企业微信用户信息，保持与PC端的功能一致，提供移动端的综合信息展示、事务申请、审批、资讯浏览等功能</w:t>
            </w:r>
          </w:p>
        </w:tc>
      </w:tr>
      <w:tr w14:paraId="6B2B173D">
        <w:tblPrEx>
          <w:tblCellMar>
            <w:top w:w="0" w:type="dxa"/>
            <w:left w:w="108" w:type="dxa"/>
            <w:bottom w:w="0" w:type="dxa"/>
            <w:right w:w="108" w:type="dxa"/>
          </w:tblCellMar>
        </w:tblPrEx>
        <w:trPr>
          <w:trHeight w:val="1710" w:hRule="atLeast"/>
          <w:jc w:val="center"/>
        </w:trPr>
        <w:tc>
          <w:tcPr>
            <w:tcW w:w="420" w:type="pct"/>
            <w:tcBorders>
              <w:top w:val="single" w:color="auto" w:sz="4" w:space="0"/>
              <w:left w:val="single" w:color="auto" w:sz="4" w:space="0"/>
              <w:bottom w:val="single" w:color="auto" w:sz="4" w:space="0"/>
              <w:right w:val="single" w:color="auto" w:sz="4" w:space="0"/>
            </w:tcBorders>
            <w:shd w:val="clear" w:color="auto" w:fill="FFFFFF"/>
            <w:vAlign w:val="center"/>
          </w:tcPr>
          <w:p w14:paraId="6CC68B25">
            <w:pPr>
              <w:rPr>
                <w:highlight w:val="none"/>
              </w:rPr>
            </w:pPr>
            <w:r>
              <w:rPr>
                <w:rFonts w:hint="eastAsia"/>
                <w:highlight w:val="none"/>
              </w:rPr>
              <w:t>4</w:t>
            </w:r>
          </w:p>
        </w:tc>
        <w:tc>
          <w:tcPr>
            <w:tcW w:w="997" w:type="pct"/>
            <w:tcBorders>
              <w:top w:val="single" w:color="auto" w:sz="4" w:space="0"/>
              <w:left w:val="nil"/>
              <w:bottom w:val="single" w:color="auto" w:sz="4" w:space="0"/>
              <w:right w:val="single" w:color="auto" w:sz="4" w:space="0"/>
            </w:tcBorders>
            <w:shd w:val="clear" w:color="auto" w:fill="FFFFFF"/>
            <w:vAlign w:val="center"/>
          </w:tcPr>
          <w:p w14:paraId="5F0E0130">
            <w:pPr>
              <w:rPr>
                <w:highlight w:val="none"/>
              </w:rPr>
            </w:pPr>
            <w:r>
              <w:rPr>
                <w:rFonts w:hint="eastAsia"/>
                <w:highlight w:val="none"/>
              </w:rPr>
              <w:t>“尚网办”融合门户</w:t>
            </w:r>
          </w:p>
        </w:tc>
        <w:tc>
          <w:tcPr>
            <w:tcW w:w="1792" w:type="pct"/>
            <w:tcBorders>
              <w:top w:val="single" w:color="auto" w:sz="4" w:space="0"/>
              <w:left w:val="nil"/>
              <w:bottom w:val="single" w:color="auto" w:sz="4" w:space="0"/>
              <w:right w:val="single" w:color="auto" w:sz="4" w:space="0"/>
            </w:tcBorders>
            <w:shd w:val="clear" w:color="auto" w:fill="FFFFFF"/>
            <w:vAlign w:val="center"/>
          </w:tcPr>
          <w:p w14:paraId="51008D01">
            <w:pPr>
              <w:rPr>
                <w:highlight w:val="none"/>
              </w:rPr>
            </w:pPr>
            <w:r>
              <w:rPr>
                <w:rFonts w:hint="eastAsia"/>
                <w:highlight w:val="none"/>
              </w:rPr>
              <w:t>H5移动门户</w:t>
            </w:r>
          </w:p>
        </w:tc>
        <w:tc>
          <w:tcPr>
            <w:tcW w:w="1791" w:type="pct"/>
            <w:tcBorders>
              <w:top w:val="single" w:color="auto" w:sz="4" w:space="0"/>
              <w:left w:val="nil"/>
              <w:bottom w:val="single" w:color="auto" w:sz="4" w:space="0"/>
              <w:right w:val="single" w:color="auto" w:sz="4" w:space="0"/>
            </w:tcBorders>
            <w:shd w:val="clear" w:color="auto" w:fill="FFFFFF"/>
            <w:vAlign w:val="center"/>
          </w:tcPr>
          <w:p w14:paraId="40058B1A">
            <w:pPr>
              <w:rPr>
                <w:highlight w:val="none"/>
              </w:rPr>
            </w:pPr>
            <w:r>
              <w:rPr>
                <w:rFonts w:hint="eastAsia"/>
                <w:highlight w:val="none"/>
              </w:rPr>
              <w:t>基于HTML5技术开发的轻量化移动端入口，适配手机、平板等设备，提供响应式布局和流畅的触控操作体验。无须下载即可查询课表、成绩、校园卡消费、图书馆借阅等信息，同时支持消息推送和移动办公功能，满足随时随地便捷使用的需求。</w:t>
            </w:r>
          </w:p>
        </w:tc>
      </w:tr>
      <w:tr w14:paraId="6C9AE569">
        <w:tblPrEx>
          <w:tblCellMar>
            <w:top w:w="0" w:type="dxa"/>
            <w:left w:w="108" w:type="dxa"/>
            <w:bottom w:w="0" w:type="dxa"/>
            <w:right w:w="108" w:type="dxa"/>
          </w:tblCellMar>
        </w:tblPrEx>
        <w:trPr>
          <w:trHeight w:val="1710" w:hRule="atLeast"/>
          <w:jc w:val="center"/>
        </w:trPr>
        <w:tc>
          <w:tcPr>
            <w:tcW w:w="420" w:type="pct"/>
            <w:tcBorders>
              <w:top w:val="single" w:color="auto" w:sz="4" w:space="0"/>
              <w:left w:val="single" w:color="auto" w:sz="4" w:space="0"/>
              <w:bottom w:val="single" w:color="auto" w:sz="4" w:space="0"/>
              <w:right w:val="single" w:color="auto" w:sz="4" w:space="0"/>
            </w:tcBorders>
            <w:shd w:val="clear" w:color="auto" w:fill="FFFFFF"/>
            <w:vAlign w:val="center"/>
          </w:tcPr>
          <w:p w14:paraId="61A8524D">
            <w:pPr>
              <w:rPr>
                <w:highlight w:val="none"/>
              </w:rPr>
            </w:pPr>
            <w:r>
              <w:rPr>
                <w:rFonts w:hint="eastAsia"/>
                <w:highlight w:val="none"/>
              </w:rPr>
              <w:t>5</w:t>
            </w:r>
          </w:p>
        </w:tc>
        <w:tc>
          <w:tcPr>
            <w:tcW w:w="997" w:type="pct"/>
            <w:tcBorders>
              <w:top w:val="single" w:color="auto" w:sz="4" w:space="0"/>
              <w:left w:val="nil"/>
              <w:bottom w:val="single" w:color="auto" w:sz="4" w:space="0"/>
              <w:right w:val="single" w:color="auto" w:sz="4" w:space="0"/>
            </w:tcBorders>
            <w:shd w:val="clear" w:color="auto" w:fill="FFFFFF"/>
            <w:vAlign w:val="center"/>
          </w:tcPr>
          <w:p w14:paraId="5BED1E26">
            <w:pPr>
              <w:rPr>
                <w:highlight w:val="none"/>
              </w:rPr>
            </w:pPr>
            <w:r>
              <w:rPr>
                <w:rFonts w:hint="eastAsia"/>
                <w:highlight w:val="none"/>
              </w:rPr>
              <w:t>“尚网办”融合门户</w:t>
            </w:r>
          </w:p>
        </w:tc>
        <w:tc>
          <w:tcPr>
            <w:tcW w:w="1792" w:type="pct"/>
            <w:tcBorders>
              <w:top w:val="single" w:color="auto" w:sz="4" w:space="0"/>
              <w:left w:val="nil"/>
              <w:bottom w:val="single" w:color="auto" w:sz="4" w:space="0"/>
              <w:right w:val="single" w:color="auto" w:sz="4" w:space="0"/>
            </w:tcBorders>
            <w:shd w:val="clear" w:color="auto" w:fill="FFFFFF"/>
            <w:vAlign w:val="center"/>
          </w:tcPr>
          <w:p w14:paraId="2DC4A889">
            <w:pPr>
              <w:rPr>
                <w:highlight w:val="none"/>
              </w:rPr>
            </w:pPr>
            <w:r>
              <w:rPr>
                <w:rFonts w:hint="eastAsia"/>
                <w:highlight w:val="none"/>
              </w:rPr>
              <w:t>门户定制设计</w:t>
            </w:r>
          </w:p>
        </w:tc>
        <w:tc>
          <w:tcPr>
            <w:tcW w:w="1791" w:type="pct"/>
            <w:tcBorders>
              <w:top w:val="single" w:color="auto" w:sz="4" w:space="0"/>
              <w:left w:val="nil"/>
              <w:bottom w:val="single" w:color="auto" w:sz="4" w:space="0"/>
              <w:right w:val="single" w:color="auto" w:sz="4" w:space="0"/>
            </w:tcBorders>
            <w:shd w:val="clear" w:color="auto" w:fill="FFFFFF"/>
            <w:vAlign w:val="center"/>
          </w:tcPr>
          <w:p w14:paraId="6A62D131">
            <w:pPr>
              <w:rPr>
                <w:highlight w:val="none"/>
              </w:rPr>
            </w:pPr>
            <w:r>
              <w:rPr>
                <w:rFonts w:hint="eastAsia"/>
                <w:highlight w:val="none"/>
              </w:rPr>
              <w:t>基于</w:t>
            </w:r>
            <w:r>
              <w:rPr>
                <w:rFonts w:hint="eastAsia"/>
                <w:highlight w:val="none"/>
                <w:lang w:eastAsia="zh-CN"/>
              </w:rPr>
              <w:t>上海社会科学院</w:t>
            </w:r>
            <w:r>
              <w:rPr>
                <w:rFonts w:hint="eastAsia"/>
                <w:highlight w:val="none"/>
              </w:rPr>
              <w:t>的文化特色、UI标准，安排高级设计师提供PC+移动两端门户个性化设计，包括交互设计、校园元素设计、网页动效设计。</w:t>
            </w:r>
          </w:p>
        </w:tc>
      </w:tr>
      <w:tr w14:paraId="1CA462A9">
        <w:tblPrEx>
          <w:tblCellMar>
            <w:top w:w="0" w:type="dxa"/>
            <w:left w:w="108" w:type="dxa"/>
            <w:bottom w:w="0" w:type="dxa"/>
            <w:right w:w="108" w:type="dxa"/>
          </w:tblCellMar>
        </w:tblPrEx>
        <w:trPr>
          <w:trHeight w:val="1710" w:hRule="atLeast"/>
          <w:jc w:val="center"/>
        </w:trPr>
        <w:tc>
          <w:tcPr>
            <w:tcW w:w="420" w:type="pct"/>
            <w:tcBorders>
              <w:top w:val="single" w:color="auto" w:sz="4" w:space="0"/>
              <w:left w:val="single" w:color="auto" w:sz="4" w:space="0"/>
              <w:bottom w:val="single" w:color="auto" w:sz="4" w:space="0"/>
              <w:right w:val="single" w:color="auto" w:sz="4" w:space="0"/>
            </w:tcBorders>
            <w:shd w:val="clear" w:color="auto" w:fill="FFFFFF"/>
            <w:vAlign w:val="center"/>
          </w:tcPr>
          <w:p w14:paraId="543815C0">
            <w:pPr>
              <w:rPr>
                <w:highlight w:val="none"/>
              </w:rPr>
            </w:pPr>
            <w:r>
              <w:rPr>
                <w:rFonts w:hint="eastAsia"/>
                <w:highlight w:val="none"/>
              </w:rPr>
              <w:t>6</w:t>
            </w:r>
          </w:p>
        </w:tc>
        <w:tc>
          <w:tcPr>
            <w:tcW w:w="997" w:type="pct"/>
            <w:tcBorders>
              <w:top w:val="single" w:color="auto" w:sz="4" w:space="0"/>
              <w:left w:val="nil"/>
              <w:bottom w:val="single" w:color="auto" w:sz="4" w:space="0"/>
              <w:right w:val="single" w:color="auto" w:sz="4" w:space="0"/>
            </w:tcBorders>
            <w:shd w:val="clear" w:color="auto" w:fill="FFFFFF"/>
            <w:vAlign w:val="center"/>
          </w:tcPr>
          <w:p w14:paraId="615B95C2">
            <w:pPr>
              <w:rPr>
                <w:highlight w:val="none"/>
              </w:rPr>
            </w:pPr>
            <w:r>
              <w:rPr>
                <w:rFonts w:hint="eastAsia"/>
                <w:highlight w:val="none"/>
              </w:rPr>
              <w:t>院级业务中台</w:t>
            </w:r>
          </w:p>
        </w:tc>
        <w:tc>
          <w:tcPr>
            <w:tcW w:w="1792" w:type="pct"/>
            <w:tcBorders>
              <w:top w:val="single" w:color="auto" w:sz="4" w:space="0"/>
              <w:left w:val="nil"/>
              <w:bottom w:val="single" w:color="auto" w:sz="4" w:space="0"/>
              <w:right w:val="single" w:color="auto" w:sz="4" w:space="0"/>
            </w:tcBorders>
            <w:shd w:val="clear" w:color="auto" w:fill="FFFFFF"/>
            <w:vAlign w:val="center"/>
          </w:tcPr>
          <w:p w14:paraId="7728A7FB">
            <w:pPr>
              <w:rPr>
                <w:highlight w:val="none"/>
              </w:rPr>
            </w:pPr>
            <w:r>
              <w:rPr>
                <w:rFonts w:hint="eastAsia"/>
                <w:highlight w:val="none"/>
              </w:rPr>
              <w:t>用户通讯录</w:t>
            </w:r>
          </w:p>
        </w:tc>
        <w:tc>
          <w:tcPr>
            <w:tcW w:w="1791" w:type="pct"/>
            <w:tcBorders>
              <w:top w:val="single" w:color="auto" w:sz="4" w:space="0"/>
              <w:left w:val="nil"/>
              <w:bottom w:val="single" w:color="auto" w:sz="4" w:space="0"/>
              <w:right w:val="single" w:color="auto" w:sz="4" w:space="0"/>
            </w:tcBorders>
            <w:shd w:val="clear" w:color="auto" w:fill="FFFFFF"/>
            <w:vAlign w:val="center"/>
          </w:tcPr>
          <w:p w14:paraId="277ADAFE">
            <w:pPr>
              <w:rPr>
                <w:highlight w:val="none"/>
              </w:rPr>
            </w:pPr>
            <w:r>
              <w:rPr>
                <w:rFonts w:hint="eastAsia"/>
                <w:highlight w:val="none"/>
              </w:rPr>
              <w:t>根据数据中台梳理的各业务系统内的组织机构树、人员信息及组织关系的数据，形成全院的统一通讯录数据及标准。</w:t>
            </w:r>
          </w:p>
        </w:tc>
      </w:tr>
      <w:tr w14:paraId="6BADF017">
        <w:tblPrEx>
          <w:tblCellMar>
            <w:top w:w="0" w:type="dxa"/>
            <w:left w:w="108" w:type="dxa"/>
            <w:bottom w:w="0" w:type="dxa"/>
            <w:right w:w="108" w:type="dxa"/>
          </w:tblCellMar>
        </w:tblPrEx>
        <w:trPr>
          <w:trHeight w:val="711" w:hRule="atLeast"/>
          <w:jc w:val="center"/>
        </w:trPr>
        <w:tc>
          <w:tcPr>
            <w:tcW w:w="420" w:type="pct"/>
            <w:tcBorders>
              <w:top w:val="single" w:color="auto" w:sz="4" w:space="0"/>
              <w:left w:val="single" w:color="auto" w:sz="4" w:space="0"/>
              <w:bottom w:val="single" w:color="auto" w:sz="4" w:space="0"/>
              <w:right w:val="single" w:color="auto" w:sz="4" w:space="0"/>
            </w:tcBorders>
            <w:shd w:val="clear" w:color="auto" w:fill="FFFFFF"/>
            <w:vAlign w:val="center"/>
          </w:tcPr>
          <w:p w14:paraId="00241695">
            <w:pPr>
              <w:rPr>
                <w:highlight w:val="none"/>
              </w:rPr>
            </w:pPr>
            <w:r>
              <w:rPr>
                <w:rFonts w:hint="eastAsia"/>
                <w:highlight w:val="none"/>
              </w:rPr>
              <w:t>7</w:t>
            </w:r>
          </w:p>
        </w:tc>
        <w:tc>
          <w:tcPr>
            <w:tcW w:w="997" w:type="pct"/>
            <w:tcBorders>
              <w:top w:val="single" w:color="auto" w:sz="4" w:space="0"/>
              <w:left w:val="nil"/>
              <w:bottom w:val="single" w:color="auto" w:sz="4" w:space="0"/>
              <w:right w:val="single" w:color="auto" w:sz="4" w:space="0"/>
            </w:tcBorders>
            <w:shd w:val="clear" w:color="auto" w:fill="FFFFFF"/>
            <w:vAlign w:val="center"/>
          </w:tcPr>
          <w:p w14:paraId="298458FA">
            <w:pPr>
              <w:rPr>
                <w:highlight w:val="none"/>
              </w:rPr>
            </w:pPr>
            <w:r>
              <w:rPr>
                <w:rFonts w:hint="eastAsia"/>
                <w:highlight w:val="none"/>
              </w:rPr>
              <w:t>院级业务中台</w:t>
            </w:r>
          </w:p>
        </w:tc>
        <w:tc>
          <w:tcPr>
            <w:tcW w:w="1792" w:type="pct"/>
            <w:tcBorders>
              <w:top w:val="single" w:color="auto" w:sz="4" w:space="0"/>
              <w:left w:val="nil"/>
              <w:bottom w:val="single" w:color="auto" w:sz="4" w:space="0"/>
              <w:right w:val="single" w:color="auto" w:sz="4" w:space="0"/>
            </w:tcBorders>
            <w:shd w:val="clear" w:color="auto" w:fill="FFFFFF"/>
            <w:vAlign w:val="center"/>
          </w:tcPr>
          <w:p w14:paraId="1962BAEB">
            <w:pPr>
              <w:rPr>
                <w:highlight w:val="none"/>
              </w:rPr>
            </w:pPr>
            <w:r>
              <w:rPr>
                <w:rFonts w:hint="eastAsia"/>
                <w:highlight w:val="none"/>
              </w:rPr>
              <w:t>应用管理中心</w:t>
            </w:r>
          </w:p>
        </w:tc>
        <w:tc>
          <w:tcPr>
            <w:tcW w:w="1791" w:type="pct"/>
            <w:tcBorders>
              <w:top w:val="single" w:color="auto" w:sz="4" w:space="0"/>
              <w:left w:val="nil"/>
              <w:bottom w:val="single" w:color="auto" w:sz="4" w:space="0"/>
              <w:right w:val="single" w:color="auto" w:sz="4" w:space="0"/>
            </w:tcBorders>
            <w:shd w:val="clear" w:color="auto" w:fill="FFFFFF"/>
            <w:vAlign w:val="center"/>
          </w:tcPr>
          <w:p w14:paraId="3C5BF710">
            <w:pPr>
              <w:rPr>
                <w:highlight w:val="none"/>
              </w:rPr>
            </w:pPr>
            <w:r>
              <w:rPr>
                <w:rFonts w:hint="eastAsia"/>
                <w:highlight w:val="none"/>
              </w:rPr>
              <w:t>本项目建设的融合门户具备应用统一管理与分发能力，应用管理中心支持统一管理PC、移动APP、微信门户等多终端应用的注册、上架、下架、版本管理、应用分类管理、应用设置、应用审核、访问统计与行为分析等基础功能。通过同一个管理后台，能实现对门户管理、移动客户端APP管理、微信公众号管理；并开放应用注册接口，允许第三方应用对校园提供统一服务。</w:t>
            </w:r>
          </w:p>
        </w:tc>
      </w:tr>
      <w:tr w14:paraId="0EBFE20E">
        <w:tblPrEx>
          <w:tblCellMar>
            <w:top w:w="0" w:type="dxa"/>
            <w:left w:w="108" w:type="dxa"/>
            <w:bottom w:w="0" w:type="dxa"/>
            <w:right w:w="108" w:type="dxa"/>
          </w:tblCellMar>
        </w:tblPrEx>
        <w:trPr>
          <w:trHeight w:val="1710" w:hRule="atLeast"/>
          <w:jc w:val="center"/>
        </w:trPr>
        <w:tc>
          <w:tcPr>
            <w:tcW w:w="420" w:type="pct"/>
            <w:tcBorders>
              <w:top w:val="single" w:color="auto" w:sz="4" w:space="0"/>
              <w:left w:val="single" w:color="auto" w:sz="4" w:space="0"/>
              <w:bottom w:val="single" w:color="auto" w:sz="4" w:space="0"/>
              <w:right w:val="single" w:color="auto" w:sz="4" w:space="0"/>
            </w:tcBorders>
            <w:shd w:val="clear" w:color="auto" w:fill="FFFFFF"/>
            <w:vAlign w:val="center"/>
          </w:tcPr>
          <w:p w14:paraId="2D97241E">
            <w:pPr>
              <w:rPr>
                <w:highlight w:val="none"/>
              </w:rPr>
            </w:pPr>
            <w:r>
              <w:rPr>
                <w:rFonts w:hint="eastAsia"/>
                <w:highlight w:val="none"/>
              </w:rPr>
              <w:t>8</w:t>
            </w:r>
          </w:p>
        </w:tc>
        <w:tc>
          <w:tcPr>
            <w:tcW w:w="997" w:type="pct"/>
            <w:tcBorders>
              <w:top w:val="single" w:color="auto" w:sz="4" w:space="0"/>
              <w:left w:val="nil"/>
              <w:bottom w:val="single" w:color="auto" w:sz="4" w:space="0"/>
              <w:right w:val="single" w:color="auto" w:sz="4" w:space="0"/>
            </w:tcBorders>
            <w:shd w:val="clear" w:color="auto" w:fill="FFFFFF"/>
            <w:vAlign w:val="center"/>
          </w:tcPr>
          <w:p w14:paraId="07DEFA65">
            <w:pPr>
              <w:rPr>
                <w:highlight w:val="none"/>
              </w:rPr>
            </w:pPr>
            <w:r>
              <w:rPr>
                <w:rFonts w:hint="eastAsia"/>
                <w:highlight w:val="none"/>
              </w:rPr>
              <w:t>院级业务中台</w:t>
            </w:r>
          </w:p>
        </w:tc>
        <w:tc>
          <w:tcPr>
            <w:tcW w:w="1792" w:type="pct"/>
            <w:tcBorders>
              <w:top w:val="single" w:color="auto" w:sz="4" w:space="0"/>
              <w:left w:val="nil"/>
              <w:bottom w:val="single" w:color="auto" w:sz="4" w:space="0"/>
              <w:right w:val="single" w:color="auto" w:sz="4" w:space="0"/>
            </w:tcBorders>
            <w:shd w:val="clear" w:color="auto" w:fill="FFFFFF"/>
            <w:vAlign w:val="center"/>
          </w:tcPr>
          <w:p w14:paraId="32BECC14">
            <w:pPr>
              <w:rPr>
                <w:highlight w:val="none"/>
              </w:rPr>
            </w:pPr>
            <w:r>
              <w:rPr>
                <w:rFonts w:hint="eastAsia"/>
                <w:highlight w:val="none"/>
              </w:rPr>
              <w:t>消息中心</w:t>
            </w:r>
          </w:p>
        </w:tc>
        <w:tc>
          <w:tcPr>
            <w:tcW w:w="1791" w:type="pct"/>
            <w:tcBorders>
              <w:top w:val="single" w:color="auto" w:sz="4" w:space="0"/>
              <w:left w:val="nil"/>
              <w:bottom w:val="single" w:color="auto" w:sz="4" w:space="0"/>
              <w:right w:val="single" w:color="auto" w:sz="4" w:space="0"/>
            </w:tcBorders>
            <w:shd w:val="clear" w:color="auto" w:fill="FFFFFF"/>
            <w:vAlign w:val="center"/>
          </w:tcPr>
          <w:p w14:paraId="063E57B4">
            <w:pPr>
              <w:rPr>
                <w:highlight w:val="none"/>
              </w:rPr>
            </w:pPr>
            <w:r>
              <w:rPr>
                <w:rFonts w:hint="eastAsia"/>
                <w:highlight w:val="none"/>
              </w:rPr>
              <w:t>支持与统一通信平台对接，提供站内app、短信、微信和邮件的消息提醒功能；微信端、pc端、app端推送的消息支持待办办理链接的关联，实现消息驱办和个性化催办。</w:t>
            </w:r>
          </w:p>
        </w:tc>
      </w:tr>
      <w:tr w14:paraId="65F793EA">
        <w:tblPrEx>
          <w:tblCellMar>
            <w:top w:w="0" w:type="dxa"/>
            <w:left w:w="108" w:type="dxa"/>
            <w:bottom w:w="0" w:type="dxa"/>
            <w:right w:w="108" w:type="dxa"/>
          </w:tblCellMar>
        </w:tblPrEx>
        <w:trPr>
          <w:trHeight w:val="1710" w:hRule="atLeast"/>
          <w:jc w:val="center"/>
        </w:trPr>
        <w:tc>
          <w:tcPr>
            <w:tcW w:w="420" w:type="pct"/>
            <w:tcBorders>
              <w:top w:val="single" w:color="auto" w:sz="4" w:space="0"/>
              <w:left w:val="single" w:color="auto" w:sz="4" w:space="0"/>
              <w:bottom w:val="single" w:color="auto" w:sz="4" w:space="0"/>
              <w:right w:val="single" w:color="auto" w:sz="4" w:space="0"/>
            </w:tcBorders>
            <w:shd w:val="clear" w:color="auto" w:fill="FFFFFF"/>
            <w:vAlign w:val="center"/>
          </w:tcPr>
          <w:p w14:paraId="7A1C5B73">
            <w:pPr>
              <w:rPr>
                <w:highlight w:val="none"/>
              </w:rPr>
            </w:pPr>
            <w:r>
              <w:rPr>
                <w:rFonts w:hint="eastAsia"/>
                <w:highlight w:val="none"/>
              </w:rPr>
              <w:t>9</w:t>
            </w:r>
          </w:p>
        </w:tc>
        <w:tc>
          <w:tcPr>
            <w:tcW w:w="997" w:type="pct"/>
            <w:tcBorders>
              <w:top w:val="single" w:color="auto" w:sz="4" w:space="0"/>
              <w:left w:val="nil"/>
              <w:bottom w:val="single" w:color="auto" w:sz="4" w:space="0"/>
              <w:right w:val="single" w:color="auto" w:sz="4" w:space="0"/>
            </w:tcBorders>
            <w:shd w:val="clear" w:color="auto" w:fill="FFFFFF"/>
            <w:vAlign w:val="center"/>
          </w:tcPr>
          <w:p w14:paraId="2A08206E">
            <w:pPr>
              <w:rPr>
                <w:highlight w:val="none"/>
              </w:rPr>
            </w:pPr>
            <w:r>
              <w:rPr>
                <w:rFonts w:hint="eastAsia"/>
                <w:highlight w:val="none"/>
              </w:rPr>
              <w:t>院级业务中台</w:t>
            </w:r>
          </w:p>
        </w:tc>
        <w:tc>
          <w:tcPr>
            <w:tcW w:w="1792" w:type="pct"/>
            <w:tcBorders>
              <w:top w:val="single" w:color="auto" w:sz="4" w:space="0"/>
              <w:left w:val="nil"/>
              <w:bottom w:val="single" w:color="auto" w:sz="4" w:space="0"/>
              <w:right w:val="single" w:color="auto" w:sz="4" w:space="0"/>
            </w:tcBorders>
            <w:shd w:val="clear" w:color="auto" w:fill="FFFFFF"/>
            <w:vAlign w:val="center"/>
          </w:tcPr>
          <w:p w14:paraId="514B7942">
            <w:pPr>
              <w:rPr>
                <w:highlight w:val="none"/>
              </w:rPr>
            </w:pPr>
            <w:r>
              <w:rPr>
                <w:rFonts w:hint="eastAsia"/>
                <w:highlight w:val="none"/>
              </w:rPr>
              <w:t>待办中心</w:t>
            </w:r>
          </w:p>
        </w:tc>
        <w:tc>
          <w:tcPr>
            <w:tcW w:w="1791" w:type="pct"/>
            <w:tcBorders>
              <w:top w:val="single" w:color="auto" w:sz="4" w:space="0"/>
              <w:left w:val="nil"/>
              <w:bottom w:val="single" w:color="auto" w:sz="4" w:space="0"/>
              <w:right w:val="single" w:color="auto" w:sz="4" w:space="0"/>
            </w:tcBorders>
            <w:shd w:val="clear" w:color="auto" w:fill="FFFFFF"/>
            <w:vAlign w:val="center"/>
          </w:tcPr>
          <w:p w14:paraId="64760F49">
            <w:pPr>
              <w:rPr>
                <w:highlight w:val="none"/>
              </w:rPr>
            </w:pPr>
            <w:r>
              <w:rPr>
                <w:rFonts w:hint="eastAsia"/>
                <w:highlight w:val="none"/>
              </w:rPr>
              <w:t>待办中心可将分散在服务平台各个模块或者各类业务系统中的待办事项在融合门户中分类集中展示，帮助用户实现一站式待办处理，这些事项包括但不限于待办流程、工作任务、待审阅的公文、待阅读的通知等。</w:t>
            </w:r>
          </w:p>
        </w:tc>
      </w:tr>
      <w:tr w14:paraId="08C39C07">
        <w:tblPrEx>
          <w:tblCellMar>
            <w:top w:w="0" w:type="dxa"/>
            <w:left w:w="108" w:type="dxa"/>
            <w:bottom w:w="0" w:type="dxa"/>
            <w:right w:w="108" w:type="dxa"/>
          </w:tblCellMar>
        </w:tblPrEx>
        <w:trPr>
          <w:trHeight w:val="1710" w:hRule="atLeast"/>
          <w:jc w:val="center"/>
        </w:trPr>
        <w:tc>
          <w:tcPr>
            <w:tcW w:w="420" w:type="pct"/>
            <w:tcBorders>
              <w:top w:val="single" w:color="auto" w:sz="4" w:space="0"/>
              <w:left w:val="single" w:color="auto" w:sz="4" w:space="0"/>
              <w:bottom w:val="single" w:color="auto" w:sz="4" w:space="0"/>
              <w:right w:val="single" w:color="auto" w:sz="4" w:space="0"/>
            </w:tcBorders>
            <w:shd w:val="clear" w:color="auto" w:fill="FFFFFF"/>
            <w:vAlign w:val="center"/>
          </w:tcPr>
          <w:p w14:paraId="190A7F13">
            <w:pPr>
              <w:rPr>
                <w:highlight w:val="none"/>
              </w:rPr>
            </w:pPr>
            <w:r>
              <w:rPr>
                <w:rFonts w:hint="eastAsia"/>
                <w:highlight w:val="none"/>
              </w:rPr>
              <w:t>1</w:t>
            </w:r>
            <w:r>
              <w:rPr>
                <w:highlight w:val="none"/>
              </w:rPr>
              <w:t>0</w:t>
            </w:r>
          </w:p>
        </w:tc>
        <w:tc>
          <w:tcPr>
            <w:tcW w:w="997" w:type="pct"/>
            <w:tcBorders>
              <w:top w:val="single" w:color="auto" w:sz="4" w:space="0"/>
              <w:left w:val="nil"/>
              <w:bottom w:val="single" w:color="auto" w:sz="4" w:space="0"/>
              <w:right w:val="single" w:color="auto" w:sz="4" w:space="0"/>
            </w:tcBorders>
            <w:shd w:val="clear" w:color="auto" w:fill="FFFFFF"/>
            <w:vAlign w:val="center"/>
          </w:tcPr>
          <w:p w14:paraId="6141B407">
            <w:pPr>
              <w:rPr>
                <w:highlight w:val="none"/>
              </w:rPr>
            </w:pPr>
            <w:r>
              <w:rPr>
                <w:rFonts w:hint="eastAsia"/>
                <w:highlight w:val="none"/>
              </w:rPr>
              <w:t>院级业务中台</w:t>
            </w:r>
          </w:p>
        </w:tc>
        <w:tc>
          <w:tcPr>
            <w:tcW w:w="1792" w:type="pct"/>
            <w:tcBorders>
              <w:top w:val="single" w:color="auto" w:sz="4" w:space="0"/>
              <w:left w:val="nil"/>
              <w:bottom w:val="single" w:color="auto" w:sz="4" w:space="0"/>
              <w:right w:val="single" w:color="auto" w:sz="4" w:space="0"/>
            </w:tcBorders>
            <w:shd w:val="clear" w:color="auto" w:fill="FFFFFF"/>
            <w:vAlign w:val="center"/>
          </w:tcPr>
          <w:p w14:paraId="67EAA515">
            <w:pPr>
              <w:rPr>
                <w:highlight w:val="none"/>
              </w:rPr>
            </w:pPr>
            <w:r>
              <w:rPr>
                <w:rFonts w:hint="eastAsia"/>
                <w:highlight w:val="none"/>
              </w:rPr>
              <w:t>日程中心</w:t>
            </w:r>
          </w:p>
        </w:tc>
        <w:tc>
          <w:tcPr>
            <w:tcW w:w="1791" w:type="pct"/>
            <w:tcBorders>
              <w:top w:val="single" w:color="auto" w:sz="4" w:space="0"/>
              <w:left w:val="nil"/>
              <w:bottom w:val="single" w:color="auto" w:sz="4" w:space="0"/>
              <w:right w:val="single" w:color="auto" w:sz="4" w:space="0"/>
            </w:tcBorders>
            <w:shd w:val="clear" w:color="auto" w:fill="FFFFFF"/>
            <w:vAlign w:val="center"/>
          </w:tcPr>
          <w:p w14:paraId="22E49384">
            <w:pPr>
              <w:rPr>
                <w:highlight w:val="none"/>
              </w:rPr>
            </w:pPr>
            <w:r>
              <w:rPr>
                <w:rFonts w:hint="eastAsia"/>
                <w:highlight w:val="none"/>
              </w:rPr>
              <w:t>系统提供为个人服务的统一日程中心，支持对OA系统、教务系统等，支持以月历、周历和日历方式展示个人相关的行程安排，支持集成各业务系统行程安排，通过日程中心中进行展示，比如校历、校部会议安排、课程表、工作安排和活动等，同时支持个人添加日程功能。</w:t>
            </w:r>
          </w:p>
        </w:tc>
      </w:tr>
      <w:tr w14:paraId="646A0BD1">
        <w:tblPrEx>
          <w:tblCellMar>
            <w:top w:w="0" w:type="dxa"/>
            <w:left w:w="108" w:type="dxa"/>
            <w:bottom w:w="0" w:type="dxa"/>
            <w:right w:w="108" w:type="dxa"/>
          </w:tblCellMar>
        </w:tblPrEx>
        <w:trPr>
          <w:trHeight w:val="1710" w:hRule="atLeast"/>
          <w:jc w:val="center"/>
        </w:trPr>
        <w:tc>
          <w:tcPr>
            <w:tcW w:w="420" w:type="pct"/>
            <w:tcBorders>
              <w:top w:val="single" w:color="auto" w:sz="4" w:space="0"/>
              <w:left w:val="single" w:color="auto" w:sz="4" w:space="0"/>
              <w:bottom w:val="single" w:color="auto" w:sz="4" w:space="0"/>
              <w:right w:val="single" w:color="auto" w:sz="4" w:space="0"/>
            </w:tcBorders>
            <w:shd w:val="clear" w:color="auto" w:fill="FFFFFF"/>
            <w:vAlign w:val="center"/>
          </w:tcPr>
          <w:p w14:paraId="1AFA32F0">
            <w:pPr>
              <w:rPr>
                <w:highlight w:val="none"/>
              </w:rPr>
            </w:pPr>
            <w:r>
              <w:rPr>
                <w:rFonts w:hint="eastAsia"/>
                <w:highlight w:val="none"/>
              </w:rPr>
              <w:t>1</w:t>
            </w:r>
            <w:r>
              <w:rPr>
                <w:highlight w:val="none"/>
              </w:rPr>
              <w:t>1</w:t>
            </w:r>
          </w:p>
        </w:tc>
        <w:tc>
          <w:tcPr>
            <w:tcW w:w="997" w:type="pct"/>
            <w:tcBorders>
              <w:top w:val="single" w:color="auto" w:sz="4" w:space="0"/>
              <w:left w:val="nil"/>
              <w:bottom w:val="single" w:color="auto" w:sz="4" w:space="0"/>
              <w:right w:val="single" w:color="auto" w:sz="4" w:space="0"/>
            </w:tcBorders>
            <w:shd w:val="clear" w:color="auto" w:fill="FFFFFF"/>
            <w:vAlign w:val="center"/>
          </w:tcPr>
          <w:p w14:paraId="5D8D9022">
            <w:pPr>
              <w:rPr>
                <w:highlight w:val="none"/>
              </w:rPr>
            </w:pPr>
            <w:r>
              <w:rPr>
                <w:rFonts w:hint="eastAsia"/>
                <w:highlight w:val="none"/>
              </w:rPr>
              <w:t>院级业务中台</w:t>
            </w:r>
          </w:p>
        </w:tc>
        <w:tc>
          <w:tcPr>
            <w:tcW w:w="1792" w:type="pct"/>
            <w:tcBorders>
              <w:top w:val="single" w:color="auto" w:sz="4" w:space="0"/>
              <w:left w:val="nil"/>
              <w:bottom w:val="single" w:color="auto" w:sz="4" w:space="0"/>
              <w:right w:val="single" w:color="auto" w:sz="4" w:space="0"/>
            </w:tcBorders>
            <w:shd w:val="clear" w:color="auto" w:fill="FFFFFF"/>
            <w:vAlign w:val="center"/>
          </w:tcPr>
          <w:p w14:paraId="7463D5EB">
            <w:pPr>
              <w:rPr>
                <w:highlight w:val="none"/>
              </w:rPr>
            </w:pPr>
            <w:r>
              <w:rPr>
                <w:rFonts w:hint="eastAsia"/>
                <w:highlight w:val="none"/>
              </w:rPr>
              <w:t>资讯中心</w:t>
            </w:r>
          </w:p>
        </w:tc>
        <w:tc>
          <w:tcPr>
            <w:tcW w:w="1791" w:type="pct"/>
            <w:tcBorders>
              <w:top w:val="single" w:color="auto" w:sz="4" w:space="0"/>
              <w:left w:val="nil"/>
              <w:bottom w:val="single" w:color="auto" w:sz="4" w:space="0"/>
              <w:right w:val="single" w:color="auto" w:sz="4" w:space="0"/>
            </w:tcBorders>
            <w:shd w:val="clear" w:color="auto" w:fill="FFFFFF"/>
            <w:vAlign w:val="center"/>
          </w:tcPr>
          <w:p w14:paraId="3A411328">
            <w:pPr>
              <w:rPr>
                <w:highlight w:val="none"/>
              </w:rPr>
            </w:pPr>
            <w:r>
              <w:rPr>
                <w:rFonts w:hint="eastAsia"/>
                <w:highlight w:val="none"/>
                <w:lang w:eastAsia="zh-CN"/>
              </w:rPr>
              <w:t>上海社会科学院</w:t>
            </w:r>
            <w:r>
              <w:rPr>
                <w:rFonts w:hint="eastAsia"/>
                <w:highlight w:val="none"/>
              </w:rPr>
              <w:t>已建“尚网办”平台，资讯中心能够聚合“尚网办”平台数据、内部智慧院区相关平台或其他业务系统的数据来构建院级统一的移动资讯库，实现全院资讯跨站点数据交换，确保统一资讯信息数据源。通过资讯服务实现资讯信息的准确性、一致性、可订阅、可推荐。为领导和教职工提供</w:t>
            </w:r>
            <w:r>
              <w:rPr>
                <w:rFonts w:hint="eastAsia"/>
                <w:highlight w:val="none"/>
                <w:lang w:eastAsia="zh-CN"/>
              </w:rPr>
              <w:t>上海社会科学院</w:t>
            </w:r>
            <w:r>
              <w:rPr>
                <w:rFonts w:hint="eastAsia"/>
                <w:highlight w:val="none"/>
              </w:rPr>
              <w:t>和部门发文、通知公告，为学生提供院系公告、教务和学工资讯。同时支持重点资讯提示和资讯订阅</w:t>
            </w:r>
          </w:p>
        </w:tc>
      </w:tr>
      <w:tr w14:paraId="25C92C46">
        <w:tblPrEx>
          <w:tblCellMar>
            <w:top w:w="0" w:type="dxa"/>
            <w:left w:w="108" w:type="dxa"/>
            <w:bottom w:w="0" w:type="dxa"/>
            <w:right w:w="108" w:type="dxa"/>
          </w:tblCellMar>
        </w:tblPrEx>
        <w:trPr>
          <w:trHeight w:val="1710" w:hRule="atLeast"/>
          <w:jc w:val="center"/>
        </w:trPr>
        <w:tc>
          <w:tcPr>
            <w:tcW w:w="420" w:type="pct"/>
            <w:tcBorders>
              <w:top w:val="single" w:color="auto" w:sz="4" w:space="0"/>
              <w:left w:val="single" w:color="auto" w:sz="4" w:space="0"/>
              <w:bottom w:val="single" w:color="auto" w:sz="4" w:space="0"/>
              <w:right w:val="single" w:color="auto" w:sz="4" w:space="0"/>
            </w:tcBorders>
            <w:shd w:val="clear" w:color="auto" w:fill="FFFFFF"/>
            <w:vAlign w:val="center"/>
          </w:tcPr>
          <w:p w14:paraId="1F6B5B20">
            <w:pPr>
              <w:rPr>
                <w:highlight w:val="none"/>
              </w:rPr>
            </w:pPr>
            <w:r>
              <w:rPr>
                <w:rFonts w:hint="eastAsia"/>
                <w:highlight w:val="none"/>
              </w:rPr>
              <w:t>1</w:t>
            </w:r>
            <w:r>
              <w:rPr>
                <w:highlight w:val="none"/>
              </w:rPr>
              <w:t>2</w:t>
            </w:r>
          </w:p>
        </w:tc>
        <w:tc>
          <w:tcPr>
            <w:tcW w:w="997" w:type="pct"/>
            <w:tcBorders>
              <w:top w:val="single" w:color="auto" w:sz="4" w:space="0"/>
              <w:left w:val="nil"/>
              <w:bottom w:val="single" w:color="auto" w:sz="4" w:space="0"/>
              <w:right w:val="single" w:color="auto" w:sz="4" w:space="0"/>
            </w:tcBorders>
            <w:shd w:val="clear" w:color="auto" w:fill="FFFFFF"/>
            <w:vAlign w:val="center"/>
          </w:tcPr>
          <w:p w14:paraId="60B12A9C">
            <w:pPr>
              <w:rPr>
                <w:highlight w:val="none"/>
              </w:rPr>
            </w:pPr>
            <w:r>
              <w:rPr>
                <w:rFonts w:hint="eastAsia"/>
                <w:highlight w:val="none"/>
              </w:rPr>
              <w:t>院级业务中台</w:t>
            </w:r>
          </w:p>
        </w:tc>
        <w:tc>
          <w:tcPr>
            <w:tcW w:w="1792" w:type="pct"/>
            <w:tcBorders>
              <w:top w:val="single" w:color="auto" w:sz="4" w:space="0"/>
              <w:left w:val="nil"/>
              <w:bottom w:val="single" w:color="auto" w:sz="4" w:space="0"/>
              <w:right w:val="single" w:color="auto" w:sz="4" w:space="0"/>
            </w:tcBorders>
            <w:shd w:val="clear" w:color="auto" w:fill="FFFFFF"/>
            <w:vAlign w:val="center"/>
          </w:tcPr>
          <w:p w14:paraId="4CF3DB7C">
            <w:pPr>
              <w:rPr>
                <w:highlight w:val="none"/>
              </w:rPr>
            </w:pPr>
            <w:r>
              <w:rPr>
                <w:rFonts w:hint="eastAsia"/>
                <w:highlight w:val="none"/>
              </w:rPr>
              <w:t>检索中心</w:t>
            </w:r>
          </w:p>
        </w:tc>
        <w:tc>
          <w:tcPr>
            <w:tcW w:w="1791" w:type="pct"/>
            <w:tcBorders>
              <w:top w:val="single" w:color="auto" w:sz="4" w:space="0"/>
              <w:left w:val="nil"/>
              <w:bottom w:val="single" w:color="auto" w:sz="4" w:space="0"/>
              <w:right w:val="single" w:color="auto" w:sz="4" w:space="0"/>
            </w:tcBorders>
            <w:shd w:val="clear" w:color="auto" w:fill="FFFFFF"/>
            <w:vAlign w:val="center"/>
          </w:tcPr>
          <w:p w14:paraId="27A104FB">
            <w:pPr>
              <w:rPr>
                <w:highlight w:val="none"/>
              </w:rPr>
            </w:pPr>
            <w:r>
              <w:rPr>
                <w:rFonts w:hint="eastAsia"/>
                <w:highlight w:val="none"/>
              </w:rPr>
              <w:t>本系统支持全量、全域、全局搜索，可按分类、时间等二次筛选，支持搜索内容分权限展示。搜索结果按元数据定义格式展示，保证整体页面的美观性。</w:t>
            </w:r>
          </w:p>
        </w:tc>
      </w:tr>
      <w:tr w14:paraId="5F568E99">
        <w:tblPrEx>
          <w:tblCellMar>
            <w:top w:w="0" w:type="dxa"/>
            <w:left w:w="108" w:type="dxa"/>
            <w:bottom w:w="0" w:type="dxa"/>
            <w:right w:w="108" w:type="dxa"/>
          </w:tblCellMar>
        </w:tblPrEx>
        <w:trPr>
          <w:trHeight w:val="1710" w:hRule="atLeast"/>
          <w:jc w:val="center"/>
        </w:trPr>
        <w:tc>
          <w:tcPr>
            <w:tcW w:w="420" w:type="pct"/>
            <w:tcBorders>
              <w:top w:val="single" w:color="auto" w:sz="4" w:space="0"/>
              <w:left w:val="single" w:color="auto" w:sz="4" w:space="0"/>
              <w:bottom w:val="single" w:color="auto" w:sz="4" w:space="0"/>
              <w:right w:val="single" w:color="auto" w:sz="4" w:space="0"/>
            </w:tcBorders>
            <w:shd w:val="clear" w:color="auto" w:fill="FFFFFF"/>
            <w:vAlign w:val="center"/>
          </w:tcPr>
          <w:p w14:paraId="2522D404">
            <w:pPr>
              <w:rPr>
                <w:highlight w:val="none"/>
              </w:rPr>
            </w:pPr>
            <w:r>
              <w:rPr>
                <w:rFonts w:hint="eastAsia"/>
                <w:highlight w:val="none"/>
              </w:rPr>
              <w:t>1</w:t>
            </w:r>
            <w:r>
              <w:rPr>
                <w:highlight w:val="none"/>
              </w:rPr>
              <w:t>3</w:t>
            </w:r>
          </w:p>
        </w:tc>
        <w:tc>
          <w:tcPr>
            <w:tcW w:w="997" w:type="pct"/>
            <w:tcBorders>
              <w:top w:val="single" w:color="auto" w:sz="4" w:space="0"/>
              <w:left w:val="nil"/>
              <w:bottom w:val="single" w:color="auto" w:sz="4" w:space="0"/>
              <w:right w:val="single" w:color="auto" w:sz="4" w:space="0"/>
            </w:tcBorders>
            <w:shd w:val="clear" w:color="auto" w:fill="FFFFFF"/>
            <w:vAlign w:val="center"/>
          </w:tcPr>
          <w:p w14:paraId="70BAEACB">
            <w:pPr>
              <w:rPr>
                <w:highlight w:val="none"/>
              </w:rPr>
            </w:pPr>
            <w:r>
              <w:rPr>
                <w:rFonts w:hint="eastAsia"/>
                <w:highlight w:val="none"/>
              </w:rPr>
              <w:t>业务流程建设</w:t>
            </w:r>
          </w:p>
        </w:tc>
        <w:tc>
          <w:tcPr>
            <w:tcW w:w="1792" w:type="pct"/>
            <w:tcBorders>
              <w:top w:val="single" w:color="auto" w:sz="4" w:space="0"/>
              <w:left w:val="nil"/>
              <w:bottom w:val="single" w:color="auto" w:sz="4" w:space="0"/>
              <w:right w:val="single" w:color="auto" w:sz="4" w:space="0"/>
            </w:tcBorders>
            <w:shd w:val="clear" w:color="auto" w:fill="FFFFFF"/>
            <w:vAlign w:val="center"/>
          </w:tcPr>
          <w:p w14:paraId="1040628E">
            <w:pPr>
              <w:rPr>
                <w:highlight w:val="none"/>
              </w:rPr>
            </w:pPr>
            <w:r>
              <w:rPr>
                <w:rFonts w:hint="eastAsia"/>
                <w:highlight w:val="none"/>
              </w:rPr>
              <w:t>已有业务流程对接</w:t>
            </w:r>
          </w:p>
        </w:tc>
        <w:tc>
          <w:tcPr>
            <w:tcW w:w="1791" w:type="pct"/>
            <w:tcBorders>
              <w:top w:val="single" w:color="auto" w:sz="4" w:space="0"/>
              <w:left w:val="nil"/>
              <w:bottom w:val="single" w:color="auto" w:sz="4" w:space="0"/>
              <w:right w:val="single" w:color="auto" w:sz="4" w:space="0"/>
            </w:tcBorders>
            <w:shd w:val="clear" w:color="auto" w:fill="FFFFFF"/>
            <w:vAlign w:val="center"/>
          </w:tcPr>
          <w:p w14:paraId="0CED419B">
            <w:pPr>
              <w:rPr>
                <w:highlight w:val="none"/>
              </w:rPr>
            </w:pPr>
            <w:r>
              <w:rPr>
                <w:rFonts w:hint="eastAsia"/>
                <w:highlight w:val="none"/>
              </w:rPr>
              <w:t>将</w:t>
            </w:r>
            <w:r>
              <w:rPr>
                <w:rFonts w:hint="eastAsia"/>
                <w:highlight w:val="none"/>
                <w:lang w:eastAsia="zh-CN"/>
              </w:rPr>
              <w:t>上海社会科学院</w:t>
            </w:r>
            <w:r>
              <w:rPr>
                <w:rFonts w:hint="eastAsia"/>
                <w:highlight w:val="none"/>
              </w:rPr>
              <w:t>已建成的科研管理系统、教学管理系统、研究生管理系统、财务管理系统、外事管理信息、一卡通系统等平台的碎片化业务流程，通过统一封装进行整合，纳入门户平台</w:t>
            </w:r>
          </w:p>
        </w:tc>
      </w:tr>
      <w:tr w14:paraId="57511653">
        <w:tblPrEx>
          <w:tblCellMar>
            <w:top w:w="0" w:type="dxa"/>
            <w:left w:w="108" w:type="dxa"/>
            <w:bottom w:w="0" w:type="dxa"/>
            <w:right w:w="108" w:type="dxa"/>
          </w:tblCellMar>
        </w:tblPrEx>
        <w:trPr>
          <w:trHeight w:val="1710" w:hRule="atLeast"/>
          <w:jc w:val="center"/>
        </w:trPr>
        <w:tc>
          <w:tcPr>
            <w:tcW w:w="420" w:type="pct"/>
            <w:tcBorders>
              <w:top w:val="single" w:color="auto" w:sz="4" w:space="0"/>
              <w:left w:val="single" w:color="auto" w:sz="4" w:space="0"/>
              <w:bottom w:val="single" w:color="auto" w:sz="4" w:space="0"/>
              <w:right w:val="single" w:color="auto" w:sz="4" w:space="0"/>
            </w:tcBorders>
            <w:shd w:val="clear" w:color="auto" w:fill="FFFFFF"/>
            <w:vAlign w:val="center"/>
          </w:tcPr>
          <w:p w14:paraId="2D931919">
            <w:pPr>
              <w:rPr>
                <w:highlight w:val="none"/>
              </w:rPr>
            </w:pPr>
            <w:r>
              <w:rPr>
                <w:rFonts w:hint="eastAsia"/>
                <w:highlight w:val="none"/>
              </w:rPr>
              <w:t>1</w:t>
            </w:r>
            <w:r>
              <w:rPr>
                <w:highlight w:val="none"/>
              </w:rPr>
              <w:t>4</w:t>
            </w:r>
          </w:p>
        </w:tc>
        <w:tc>
          <w:tcPr>
            <w:tcW w:w="997" w:type="pct"/>
            <w:tcBorders>
              <w:top w:val="single" w:color="auto" w:sz="4" w:space="0"/>
              <w:left w:val="nil"/>
              <w:bottom w:val="single" w:color="auto" w:sz="4" w:space="0"/>
              <w:right w:val="single" w:color="auto" w:sz="4" w:space="0"/>
            </w:tcBorders>
            <w:shd w:val="clear" w:color="auto" w:fill="FFFFFF"/>
            <w:vAlign w:val="center"/>
          </w:tcPr>
          <w:p w14:paraId="779C687B">
            <w:pPr>
              <w:rPr>
                <w:highlight w:val="none"/>
              </w:rPr>
            </w:pPr>
            <w:r>
              <w:rPr>
                <w:rFonts w:hint="eastAsia"/>
                <w:highlight w:val="none"/>
              </w:rPr>
              <w:t>业务流程建设</w:t>
            </w:r>
          </w:p>
        </w:tc>
        <w:tc>
          <w:tcPr>
            <w:tcW w:w="1792" w:type="pct"/>
            <w:tcBorders>
              <w:top w:val="single" w:color="auto" w:sz="4" w:space="0"/>
              <w:left w:val="nil"/>
              <w:bottom w:val="single" w:color="auto" w:sz="4" w:space="0"/>
              <w:right w:val="single" w:color="auto" w:sz="4" w:space="0"/>
            </w:tcBorders>
            <w:shd w:val="clear" w:color="auto" w:fill="FFFFFF"/>
            <w:vAlign w:val="center"/>
          </w:tcPr>
          <w:p w14:paraId="24736F5D">
            <w:pPr>
              <w:rPr>
                <w:highlight w:val="none"/>
              </w:rPr>
            </w:pPr>
            <w:r>
              <w:rPr>
                <w:rFonts w:hint="eastAsia"/>
                <w:highlight w:val="none"/>
              </w:rPr>
              <w:t>一事一办流程建设</w:t>
            </w:r>
          </w:p>
        </w:tc>
        <w:tc>
          <w:tcPr>
            <w:tcW w:w="1791" w:type="pct"/>
            <w:tcBorders>
              <w:top w:val="single" w:color="auto" w:sz="4" w:space="0"/>
              <w:left w:val="nil"/>
              <w:bottom w:val="single" w:color="auto" w:sz="4" w:space="0"/>
              <w:right w:val="single" w:color="auto" w:sz="4" w:space="0"/>
            </w:tcBorders>
            <w:shd w:val="clear" w:color="auto" w:fill="FFFFFF"/>
            <w:vAlign w:val="center"/>
          </w:tcPr>
          <w:p w14:paraId="24726AA0">
            <w:pPr>
              <w:rPr>
                <w:highlight w:val="none"/>
              </w:rPr>
            </w:pPr>
            <w:r>
              <w:rPr>
                <w:rFonts w:hint="eastAsia"/>
                <w:highlight w:val="none"/>
              </w:rPr>
              <w:t>按 “一事一办” 新建包括信息办、人事处、党政办等部门共 29 个流程；按复杂度（普通、复杂）分类实施</w:t>
            </w:r>
          </w:p>
        </w:tc>
      </w:tr>
      <w:tr w14:paraId="1C79871C">
        <w:tblPrEx>
          <w:tblCellMar>
            <w:top w:w="0" w:type="dxa"/>
            <w:left w:w="108" w:type="dxa"/>
            <w:bottom w:w="0" w:type="dxa"/>
            <w:right w:w="108" w:type="dxa"/>
          </w:tblCellMar>
        </w:tblPrEx>
        <w:trPr>
          <w:trHeight w:val="1710" w:hRule="atLeast"/>
          <w:jc w:val="center"/>
        </w:trPr>
        <w:tc>
          <w:tcPr>
            <w:tcW w:w="420" w:type="pct"/>
            <w:tcBorders>
              <w:top w:val="single" w:color="auto" w:sz="4" w:space="0"/>
              <w:left w:val="single" w:color="auto" w:sz="4" w:space="0"/>
              <w:bottom w:val="single" w:color="auto" w:sz="4" w:space="0"/>
              <w:right w:val="single" w:color="auto" w:sz="4" w:space="0"/>
            </w:tcBorders>
            <w:shd w:val="clear" w:color="auto" w:fill="FFFFFF"/>
            <w:vAlign w:val="center"/>
          </w:tcPr>
          <w:p w14:paraId="287E20E4">
            <w:pPr>
              <w:rPr>
                <w:highlight w:val="none"/>
              </w:rPr>
            </w:pPr>
            <w:r>
              <w:rPr>
                <w:rFonts w:hint="eastAsia"/>
                <w:highlight w:val="none"/>
              </w:rPr>
              <w:t>1</w:t>
            </w:r>
            <w:r>
              <w:rPr>
                <w:highlight w:val="none"/>
              </w:rPr>
              <w:t>5</w:t>
            </w:r>
          </w:p>
        </w:tc>
        <w:tc>
          <w:tcPr>
            <w:tcW w:w="997" w:type="pct"/>
            <w:tcBorders>
              <w:top w:val="single" w:color="auto" w:sz="4" w:space="0"/>
              <w:left w:val="nil"/>
              <w:bottom w:val="single" w:color="auto" w:sz="4" w:space="0"/>
              <w:right w:val="single" w:color="auto" w:sz="4" w:space="0"/>
            </w:tcBorders>
            <w:shd w:val="clear" w:color="auto" w:fill="FFFFFF"/>
            <w:vAlign w:val="center"/>
          </w:tcPr>
          <w:p w14:paraId="7698C1EE">
            <w:pPr>
              <w:rPr>
                <w:highlight w:val="none"/>
              </w:rPr>
            </w:pPr>
            <w:r>
              <w:rPr>
                <w:rFonts w:hint="eastAsia"/>
                <w:highlight w:val="none"/>
              </w:rPr>
              <w:t>数据仓库</w:t>
            </w:r>
          </w:p>
        </w:tc>
        <w:tc>
          <w:tcPr>
            <w:tcW w:w="1792" w:type="pct"/>
            <w:tcBorders>
              <w:top w:val="single" w:color="auto" w:sz="4" w:space="0"/>
              <w:left w:val="nil"/>
              <w:bottom w:val="single" w:color="auto" w:sz="4" w:space="0"/>
              <w:right w:val="single" w:color="auto" w:sz="4" w:space="0"/>
            </w:tcBorders>
            <w:shd w:val="clear" w:color="auto" w:fill="FFFFFF"/>
            <w:vAlign w:val="center"/>
          </w:tcPr>
          <w:p w14:paraId="7E15E8DB">
            <w:pPr>
              <w:rPr>
                <w:highlight w:val="none"/>
              </w:rPr>
            </w:pPr>
            <w:r>
              <w:rPr>
                <w:rFonts w:hint="eastAsia"/>
                <w:highlight w:val="none"/>
              </w:rPr>
              <w:t>数据源管理</w:t>
            </w:r>
          </w:p>
        </w:tc>
        <w:tc>
          <w:tcPr>
            <w:tcW w:w="1791" w:type="pct"/>
            <w:tcBorders>
              <w:top w:val="single" w:color="auto" w:sz="4" w:space="0"/>
              <w:left w:val="nil"/>
              <w:bottom w:val="single" w:color="auto" w:sz="4" w:space="0"/>
              <w:right w:val="single" w:color="auto" w:sz="4" w:space="0"/>
            </w:tcBorders>
            <w:shd w:val="clear" w:color="auto" w:fill="FFFFFF"/>
            <w:vAlign w:val="center"/>
          </w:tcPr>
          <w:p w14:paraId="0E45251A">
            <w:pPr>
              <w:rPr>
                <w:highlight w:val="none"/>
              </w:rPr>
            </w:pPr>
            <w:r>
              <w:rPr>
                <w:rFonts w:hint="eastAsia"/>
                <w:highlight w:val="none"/>
              </w:rPr>
              <w:t>支持连接十余种数据库，包括关系型数据库、MPP数据库和分布式数据库，涵盖Mysql、Oracle、DB2、SQLserver、PostgreSQL、Greenplum、Hive、达梦、GaussDB等数据库，同时支持添加推送接口（API）数据源及CSV数据源。</w:t>
            </w:r>
          </w:p>
        </w:tc>
      </w:tr>
      <w:tr w14:paraId="70BC0085">
        <w:tblPrEx>
          <w:tblCellMar>
            <w:top w:w="0" w:type="dxa"/>
            <w:left w:w="108" w:type="dxa"/>
            <w:bottom w:w="0" w:type="dxa"/>
            <w:right w:w="108" w:type="dxa"/>
          </w:tblCellMar>
        </w:tblPrEx>
        <w:trPr>
          <w:trHeight w:val="1710" w:hRule="atLeast"/>
          <w:jc w:val="center"/>
        </w:trPr>
        <w:tc>
          <w:tcPr>
            <w:tcW w:w="420" w:type="pct"/>
            <w:tcBorders>
              <w:top w:val="single" w:color="auto" w:sz="4" w:space="0"/>
              <w:left w:val="single" w:color="auto" w:sz="4" w:space="0"/>
              <w:bottom w:val="single" w:color="auto" w:sz="4" w:space="0"/>
              <w:right w:val="single" w:color="auto" w:sz="4" w:space="0"/>
            </w:tcBorders>
            <w:shd w:val="clear" w:color="auto" w:fill="FFFFFF"/>
            <w:vAlign w:val="center"/>
          </w:tcPr>
          <w:p w14:paraId="1D1B79AF">
            <w:pPr>
              <w:rPr>
                <w:highlight w:val="none"/>
              </w:rPr>
            </w:pPr>
            <w:r>
              <w:rPr>
                <w:rFonts w:hint="eastAsia"/>
                <w:highlight w:val="none"/>
              </w:rPr>
              <w:t>1</w:t>
            </w:r>
            <w:r>
              <w:rPr>
                <w:highlight w:val="none"/>
              </w:rPr>
              <w:t>6</w:t>
            </w:r>
          </w:p>
        </w:tc>
        <w:tc>
          <w:tcPr>
            <w:tcW w:w="997" w:type="pct"/>
            <w:tcBorders>
              <w:top w:val="single" w:color="auto" w:sz="4" w:space="0"/>
              <w:left w:val="nil"/>
              <w:bottom w:val="single" w:color="auto" w:sz="4" w:space="0"/>
              <w:right w:val="single" w:color="auto" w:sz="4" w:space="0"/>
            </w:tcBorders>
            <w:shd w:val="clear" w:color="auto" w:fill="FFFFFF"/>
            <w:vAlign w:val="center"/>
          </w:tcPr>
          <w:p w14:paraId="5E8D09E6">
            <w:pPr>
              <w:rPr>
                <w:highlight w:val="none"/>
              </w:rPr>
            </w:pPr>
            <w:r>
              <w:rPr>
                <w:rFonts w:hint="eastAsia"/>
                <w:highlight w:val="none"/>
              </w:rPr>
              <w:t>数据仓库</w:t>
            </w:r>
          </w:p>
        </w:tc>
        <w:tc>
          <w:tcPr>
            <w:tcW w:w="1792" w:type="pct"/>
            <w:tcBorders>
              <w:top w:val="single" w:color="auto" w:sz="4" w:space="0"/>
              <w:left w:val="nil"/>
              <w:bottom w:val="single" w:color="auto" w:sz="4" w:space="0"/>
              <w:right w:val="single" w:color="auto" w:sz="4" w:space="0"/>
            </w:tcBorders>
            <w:shd w:val="clear" w:color="auto" w:fill="FFFFFF"/>
            <w:vAlign w:val="center"/>
          </w:tcPr>
          <w:p w14:paraId="7B77DFEA">
            <w:pPr>
              <w:rPr>
                <w:highlight w:val="none"/>
              </w:rPr>
            </w:pPr>
            <w:r>
              <w:rPr>
                <w:rFonts w:hint="eastAsia"/>
                <w:highlight w:val="none"/>
              </w:rPr>
              <w:t>离线数据采集</w:t>
            </w:r>
          </w:p>
        </w:tc>
        <w:tc>
          <w:tcPr>
            <w:tcW w:w="1791" w:type="pct"/>
            <w:tcBorders>
              <w:top w:val="single" w:color="auto" w:sz="4" w:space="0"/>
              <w:left w:val="nil"/>
              <w:bottom w:val="single" w:color="auto" w:sz="4" w:space="0"/>
              <w:right w:val="single" w:color="auto" w:sz="4" w:space="0"/>
            </w:tcBorders>
            <w:shd w:val="clear" w:color="auto" w:fill="FFFFFF"/>
            <w:vAlign w:val="center"/>
          </w:tcPr>
          <w:p w14:paraId="6284B7C4">
            <w:pPr>
              <w:rPr>
                <w:highlight w:val="none"/>
              </w:rPr>
            </w:pPr>
            <w:r>
              <w:rPr>
                <w:rFonts w:hint="eastAsia"/>
                <w:highlight w:val="none"/>
              </w:rPr>
              <w:t>离线数据集成支持Mysql、Oracle、DB2、SQLserver、PostgreSQL、达梦、Hive、MongoDb、Kingbase、openGauss、GBASE，并支持可视化向导模式和自定义脚本模式两种任务配置方式。根据设置的采集策略（全量/增量）及数据入库策略（覆盖/追加/更新），结合配置的调度策略，周期性的自动采集（也支持手动执行）。支持对单表采集、批量采集和自定义采集成功的任务进行数据量的一致性校验。</w:t>
            </w:r>
          </w:p>
        </w:tc>
      </w:tr>
      <w:tr w14:paraId="141AF534">
        <w:tblPrEx>
          <w:tblCellMar>
            <w:top w:w="0" w:type="dxa"/>
            <w:left w:w="108" w:type="dxa"/>
            <w:bottom w:w="0" w:type="dxa"/>
            <w:right w:w="108" w:type="dxa"/>
          </w:tblCellMar>
        </w:tblPrEx>
        <w:trPr>
          <w:trHeight w:val="1710" w:hRule="atLeast"/>
          <w:jc w:val="center"/>
        </w:trPr>
        <w:tc>
          <w:tcPr>
            <w:tcW w:w="420" w:type="pct"/>
            <w:tcBorders>
              <w:top w:val="single" w:color="auto" w:sz="4" w:space="0"/>
              <w:left w:val="single" w:color="auto" w:sz="4" w:space="0"/>
              <w:bottom w:val="single" w:color="auto" w:sz="4" w:space="0"/>
              <w:right w:val="single" w:color="auto" w:sz="4" w:space="0"/>
            </w:tcBorders>
            <w:shd w:val="clear" w:color="auto" w:fill="FFFFFF"/>
            <w:vAlign w:val="center"/>
          </w:tcPr>
          <w:p w14:paraId="585DC9AA">
            <w:pPr>
              <w:rPr>
                <w:highlight w:val="none"/>
              </w:rPr>
            </w:pPr>
            <w:r>
              <w:rPr>
                <w:rFonts w:hint="eastAsia"/>
                <w:highlight w:val="none"/>
              </w:rPr>
              <w:t>1</w:t>
            </w:r>
            <w:r>
              <w:rPr>
                <w:highlight w:val="none"/>
              </w:rPr>
              <w:t>7</w:t>
            </w:r>
          </w:p>
        </w:tc>
        <w:tc>
          <w:tcPr>
            <w:tcW w:w="997" w:type="pct"/>
            <w:tcBorders>
              <w:top w:val="single" w:color="auto" w:sz="4" w:space="0"/>
              <w:left w:val="nil"/>
              <w:bottom w:val="single" w:color="auto" w:sz="4" w:space="0"/>
              <w:right w:val="single" w:color="auto" w:sz="4" w:space="0"/>
            </w:tcBorders>
            <w:shd w:val="clear" w:color="auto" w:fill="FFFFFF"/>
            <w:vAlign w:val="center"/>
          </w:tcPr>
          <w:p w14:paraId="63490409">
            <w:pPr>
              <w:rPr>
                <w:highlight w:val="none"/>
              </w:rPr>
            </w:pPr>
            <w:r>
              <w:rPr>
                <w:rFonts w:hint="eastAsia"/>
                <w:highlight w:val="none"/>
              </w:rPr>
              <w:t>数据仓库</w:t>
            </w:r>
          </w:p>
        </w:tc>
        <w:tc>
          <w:tcPr>
            <w:tcW w:w="1792" w:type="pct"/>
            <w:tcBorders>
              <w:top w:val="single" w:color="auto" w:sz="4" w:space="0"/>
              <w:left w:val="nil"/>
              <w:bottom w:val="single" w:color="auto" w:sz="4" w:space="0"/>
              <w:right w:val="single" w:color="auto" w:sz="4" w:space="0"/>
            </w:tcBorders>
            <w:shd w:val="clear" w:color="auto" w:fill="FFFFFF"/>
            <w:vAlign w:val="center"/>
          </w:tcPr>
          <w:p w14:paraId="285AAF4C">
            <w:pPr>
              <w:rPr>
                <w:highlight w:val="none"/>
              </w:rPr>
            </w:pPr>
            <w:r>
              <w:rPr>
                <w:rFonts w:hint="eastAsia"/>
                <w:highlight w:val="none"/>
              </w:rPr>
              <w:t>实时数据集成</w:t>
            </w:r>
          </w:p>
        </w:tc>
        <w:tc>
          <w:tcPr>
            <w:tcW w:w="1791" w:type="pct"/>
            <w:tcBorders>
              <w:top w:val="single" w:color="auto" w:sz="4" w:space="0"/>
              <w:left w:val="nil"/>
              <w:bottom w:val="single" w:color="auto" w:sz="4" w:space="0"/>
              <w:right w:val="single" w:color="auto" w:sz="4" w:space="0"/>
            </w:tcBorders>
            <w:shd w:val="clear" w:color="auto" w:fill="FFFFFF"/>
            <w:vAlign w:val="center"/>
          </w:tcPr>
          <w:p w14:paraId="4B399898">
            <w:pPr>
              <w:rPr>
                <w:highlight w:val="none"/>
              </w:rPr>
            </w:pPr>
            <w:r>
              <w:rPr>
                <w:rFonts w:hint="eastAsia"/>
                <w:highlight w:val="none"/>
              </w:rPr>
              <w:t>实时任务支持通过高频数据同步的手段，以此达成数据的实时增量同步，从而确保数据的及时性与准确性能够满足相关业务流程的需求，并为后续的实时数据处理与分析奠定坚实基础。</w:t>
            </w:r>
          </w:p>
        </w:tc>
      </w:tr>
      <w:tr w14:paraId="18164C5C">
        <w:tblPrEx>
          <w:tblCellMar>
            <w:top w:w="0" w:type="dxa"/>
            <w:left w:w="108" w:type="dxa"/>
            <w:bottom w:w="0" w:type="dxa"/>
            <w:right w:w="108" w:type="dxa"/>
          </w:tblCellMar>
        </w:tblPrEx>
        <w:trPr>
          <w:trHeight w:val="1710" w:hRule="atLeast"/>
          <w:jc w:val="center"/>
        </w:trPr>
        <w:tc>
          <w:tcPr>
            <w:tcW w:w="420" w:type="pct"/>
            <w:tcBorders>
              <w:top w:val="single" w:color="auto" w:sz="4" w:space="0"/>
              <w:left w:val="single" w:color="auto" w:sz="4" w:space="0"/>
              <w:bottom w:val="single" w:color="auto" w:sz="4" w:space="0"/>
              <w:right w:val="single" w:color="auto" w:sz="4" w:space="0"/>
            </w:tcBorders>
            <w:shd w:val="clear" w:color="auto" w:fill="FFFFFF"/>
            <w:vAlign w:val="center"/>
          </w:tcPr>
          <w:p w14:paraId="392C4450">
            <w:pPr>
              <w:rPr>
                <w:highlight w:val="none"/>
              </w:rPr>
            </w:pPr>
            <w:r>
              <w:rPr>
                <w:rFonts w:hint="eastAsia"/>
                <w:highlight w:val="none"/>
              </w:rPr>
              <w:t>1</w:t>
            </w:r>
            <w:r>
              <w:rPr>
                <w:highlight w:val="none"/>
              </w:rPr>
              <w:t>8</w:t>
            </w:r>
          </w:p>
        </w:tc>
        <w:tc>
          <w:tcPr>
            <w:tcW w:w="997" w:type="pct"/>
            <w:tcBorders>
              <w:top w:val="single" w:color="auto" w:sz="4" w:space="0"/>
              <w:left w:val="nil"/>
              <w:bottom w:val="single" w:color="auto" w:sz="4" w:space="0"/>
              <w:right w:val="single" w:color="auto" w:sz="4" w:space="0"/>
            </w:tcBorders>
            <w:shd w:val="clear" w:color="auto" w:fill="FFFFFF"/>
            <w:vAlign w:val="center"/>
          </w:tcPr>
          <w:p w14:paraId="1ACC12EB">
            <w:pPr>
              <w:rPr>
                <w:highlight w:val="none"/>
              </w:rPr>
            </w:pPr>
            <w:r>
              <w:rPr>
                <w:rFonts w:hint="eastAsia"/>
                <w:highlight w:val="none"/>
              </w:rPr>
              <w:t>数据仓库</w:t>
            </w:r>
          </w:p>
        </w:tc>
        <w:tc>
          <w:tcPr>
            <w:tcW w:w="1792" w:type="pct"/>
            <w:tcBorders>
              <w:top w:val="single" w:color="auto" w:sz="4" w:space="0"/>
              <w:left w:val="nil"/>
              <w:bottom w:val="single" w:color="auto" w:sz="4" w:space="0"/>
              <w:right w:val="single" w:color="auto" w:sz="4" w:space="0"/>
            </w:tcBorders>
            <w:shd w:val="clear" w:color="auto" w:fill="FFFFFF"/>
            <w:vAlign w:val="center"/>
          </w:tcPr>
          <w:p w14:paraId="1D536F86">
            <w:pPr>
              <w:rPr>
                <w:highlight w:val="none"/>
              </w:rPr>
            </w:pPr>
            <w:r>
              <w:rPr>
                <w:rFonts w:hint="eastAsia"/>
                <w:highlight w:val="none"/>
              </w:rPr>
              <w:t>接口数据采集</w:t>
            </w:r>
          </w:p>
        </w:tc>
        <w:tc>
          <w:tcPr>
            <w:tcW w:w="1791" w:type="pct"/>
            <w:tcBorders>
              <w:top w:val="single" w:color="auto" w:sz="4" w:space="0"/>
              <w:left w:val="nil"/>
              <w:bottom w:val="single" w:color="auto" w:sz="4" w:space="0"/>
              <w:right w:val="single" w:color="auto" w:sz="4" w:space="0"/>
            </w:tcBorders>
            <w:shd w:val="clear" w:color="auto" w:fill="FFFFFF"/>
            <w:vAlign w:val="center"/>
          </w:tcPr>
          <w:p w14:paraId="6D365AC2">
            <w:pPr>
              <w:rPr>
                <w:highlight w:val="none"/>
              </w:rPr>
            </w:pPr>
            <w:r>
              <w:rPr>
                <w:rFonts w:hint="eastAsia"/>
                <w:highlight w:val="none"/>
              </w:rPr>
              <w:t>支持HTTP/消息资源的集成工具, 支持通过界面化操作，对组件进行托拉拽即可生成一个资源的集成服务，用户可通过界面拖拽组件（如数据抓取、定义变量、注释等）并连线配置流程，直观构建集成逻辑。</w:t>
            </w:r>
          </w:p>
        </w:tc>
      </w:tr>
      <w:tr w14:paraId="2BA13E58">
        <w:tblPrEx>
          <w:tblCellMar>
            <w:top w:w="0" w:type="dxa"/>
            <w:left w:w="108" w:type="dxa"/>
            <w:bottom w:w="0" w:type="dxa"/>
            <w:right w:w="108" w:type="dxa"/>
          </w:tblCellMar>
        </w:tblPrEx>
        <w:trPr>
          <w:trHeight w:val="1710" w:hRule="atLeast"/>
          <w:jc w:val="center"/>
        </w:trPr>
        <w:tc>
          <w:tcPr>
            <w:tcW w:w="420" w:type="pct"/>
            <w:tcBorders>
              <w:top w:val="single" w:color="auto" w:sz="4" w:space="0"/>
              <w:left w:val="single" w:color="auto" w:sz="4" w:space="0"/>
              <w:bottom w:val="single" w:color="auto" w:sz="4" w:space="0"/>
              <w:right w:val="single" w:color="auto" w:sz="4" w:space="0"/>
            </w:tcBorders>
            <w:shd w:val="clear" w:color="auto" w:fill="FFFFFF"/>
            <w:vAlign w:val="center"/>
          </w:tcPr>
          <w:p w14:paraId="115557F1">
            <w:pPr>
              <w:rPr>
                <w:highlight w:val="none"/>
              </w:rPr>
            </w:pPr>
            <w:r>
              <w:rPr>
                <w:rFonts w:hint="eastAsia"/>
                <w:highlight w:val="none"/>
              </w:rPr>
              <w:t>1</w:t>
            </w:r>
            <w:r>
              <w:rPr>
                <w:highlight w:val="none"/>
              </w:rPr>
              <w:t>9</w:t>
            </w:r>
          </w:p>
        </w:tc>
        <w:tc>
          <w:tcPr>
            <w:tcW w:w="997" w:type="pct"/>
            <w:tcBorders>
              <w:top w:val="single" w:color="auto" w:sz="4" w:space="0"/>
              <w:left w:val="nil"/>
              <w:bottom w:val="single" w:color="auto" w:sz="4" w:space="0"/>
              <w:right w:val="single" w:color="auto" w:sz="4" w:space="0"/>
            </w:tcBorders>
            <w:shd w:val="clear" w:color="auto" w:fill="FFFFFF"/>
            <w:vAlign w:val="center"/>
          </w:tcPr>
          <w:p w14:paraId="35186EEE">
            <w:pPr>
              <w:rPr>
                <w:highlight w:val="none"/>
              </w:rPr>
            </w:pPr>
            <w:r>
              <w:rPr>
                <w:rFonts w:hint="eastAsia"/>
                <w:highlight w:val="none"/>
              </w:rPr>
              <w:t>数据仓库</w:t>
            </w:r>
          </w:p>
        </w:tc>
        <w:tc>
          <w:tcPr>
            <w:tcW w:w="1792" w:type="pct"/>
            <w:tcBorders>
              <w:top w:val="single" w:color="auto" w:sz="4" w:space="0"/>
              <w:left w:val="nil"/>
              <w:bottom w:val="single" w:color="auto" w:sz="4" w:space="0"/>
              <w:right w:val="single" w:color="auto" w:sz="4" w:space="0"/>
            </w:tcBorders>
            <w:shd w:val="clear" w:color="auto" w:fill="FFFFFF"/>
            <w:vAlign w:val="center"/>
          </w:tcPr>
          <w:p w14:paraId="311EA2EB">
            <w:pPr>
              <w:rPr>
                <w:highlight w:val="none"/>
              </w:rPr>
            </w:pPr>
            <w:r>
              <w:rPr>
                <w:rFonts w:hint="eastAsia"/>
                <w:highlight w:val="none"/>
              </w:rPr>
              <w:t>数据标准</w:t>
            </w:r>
          </w:p>
        </w:tc>
        <w:tc>
          <w:tcPr>
            <w:tcW w:w="1791" w:type="pct"/>
            <w:tcBorders>
              <w:top w:val="single" w:color="auto" w:sz="4" w:space="0"/>
              <w:left w:val="nil"/>
              <w:bottom w:val="single" w:color="auto" w:sz="4" w:space="0"/>
              <w:right w:val="single" w:color="auto" w:sz="4" w:space="0"/>
            </w:tcBorders>
            <w:shd w:val="clear" w:color="auto" w:fill="FFFFFF"/>
            <w:vAlign w:val="center"/>
          </w:tcPr>
          <w:p w14:paraId="28EC5FFD">
            <w:pPr>
              <w:rPr>
                <w:highlight w:val="none"/>
              </w:rPr>
            </w:pPr>
            <w:r>
              <w:rPr>
                <w:rFonts w:hint="eastAsia"/>
                <w:highlight w:val="none"/>
              </w:rPr>
              <w:t>支持数据标准的参照标准和执行标准进行预览、版本比较、编辑、云端同步和新增功能。</w:t>
            </w:r>
            <w:r>
              <w:rPr>
                <w:rFonts w:hint="eastAsia"/>
                <w:highlight w:val="none"/>
              </w:rPr>
              <w:br w:type="textWrapping"/>
            </w:r>
            <w:r>
              <w:rPr>
                <w:rFonts w:hint="eastAsia"/>
                <w:highlight w:val="none"/>
              </w:rPr>
              <w:t>支持执行标准的新增、导入、导出、查看、编辑、版本比较、删除、发布</w:t>
            </w:r>
          </w:p>
        </w:tc>
      </w:tr>
      <w:tr w14:paraId="2F037BD1">
        <w:tblPrEx>
          <w:tblCellMar>
            <w:top w:w="0" w:type="dxa"/>
            <w:left w:w="108" w:type="dxa"/>
            <w:bottom w:w="0" w:type="dxa"/>
            <w:right w:w="108" w:type="dxa"/>
          </w:tblCellMar>
        </w:tblPrEx>
        <w:trPr>
          <w:trHeight w:val="1710" w:hRule="atLeast"/>
          <w:jc w:val="center"/>
        </w:trPr>
        <w:tc>
          <w:tcPr>
            <w:tcW w:w="420" w:type="pct"/>
            <w:tcBorders>
              <w:top w:val="single" w:color="auto" w:sz="4" w:space="0"/>
              <w:left w:val="single" w:color="auto" w:sz="4" w:space="0"/>
              <w:bottom w:val="single" w:color="auto" w:sz="4" w:space="0"/>
              <w:right w:val="single" w:color="auto" w:sz="4" w:space="0"/>
            </w:tcBorders>
            <w:shd w:val="clear" w:color="auto" w:fill="FFFFFF"/>
            <w:vAlign w:val="center"/>
          </w:tcPr>
          <w:p w14:paraId="5C8D4C36">
            <w:pPr>
              <w:rPr>
                <w:highlight w:val="none"/>
              </w:rPr>
            </w:pPr>
            <w:r>
              <w:rPr>
                <w:rFonts w:hint="eastAsia"/>
                <w:highlight w:val="none"/>
              </w:rPr>
              <w:t>2</w:t>
            </w:r>
            <w:r>
              <w:rPr>
                <w:highlight w:val="none"/>
              </w:rPr>
              <w:t>0</w:t>
            </w:r>
          </w:p>
        </w:tc>
        <w:tc>
          <w:tcPr>
            <w:tcW w:w="997" w:type="pct"/>
            <w:tcBorders>
              <w:top w:val="single" w:color="auto" w:sz="4" w:space="0"/>
              <w:left w:val="nil"/>
              <w:bottom w:val="single" w:color="auto" w:sz="4" w:space="0"/>
              <w:right w:val="single" w:color="auto" w:sz="4" w:space="0"/>
            </w:tcBorders>
            <w:shd w:val="clear" w:color="auto" w:fill="FFFFFF"/>
            <w:vAlign w:val="center"/>
          </w:tcPr>
          <w:p w14:paraId="07896DD3">
            <w:pPr>
              <w:rPr>
                <w:highlight w:val="none"/>
              </w:rPr>
            </w:pPr>
            <w:r>
              <w:rPr>
                <w:rFonts w:hint="eastAsia"/>
                <w:highlight w:val="none"/>
              </w:rPr>
              <w:t>数据仓库</w:t>
            </w:r>
          </w:p>
        </w:tc>
        <w:tc>
          <w:tcPr>
            <w:tcW w:w="1792" w:type="pct"/>
            <w:tcBorders>
              <w:top w:val="single" w:color="auto" w:sz="4" w:space="0"/>
              <w:left w:val="nil"/>
              <w:bottom w:val="single" w:color="auto" w:sz="4" w:space="0"/>
              <w:right w:val="single" w:color="auto" w:sz="4" w:space="0"/>
            </w:tcBorders>
            <w:shd w:val="clear" w:color="auto" w:fill="FFFFFF"/>
            <w:vAlign w:val="center"/>
          </w:tcPr>
          <w:p w14:paraId="60F2AFFE">
            <w:pPr>
              <w:rPr>
                <w:highlight w:val="none"/>
              </w:rPr>
            </w:pPr>
            <w:r>
              <w:rPr>
                <w:rFonts w:hint="eastAsia"/>
                <w:highlight w:val="none"/>
              </w:rPr>
              <w:t>代码标准</w:t>
            </w:r>
          </w:p>
        </w:tc>
        <w:tc>
          <w:tcPr>
            <w:tcW w:w="1791" w:type="pct"/>
            <w:tcBorders>
              <w:top w:val="single" w:color="auto" w:sz="4" w:space="0"/>
              <w:left w:val="nil"/>
              <w:bottom w:val="single" w:color="auto" w:sz="4" w:space="0"/>
              <w:right w:val="single" w:color="auto" w:sz="4" w:space="0"/>
            </w:tcBorders>
            <w:shd w:val="clear" w:color="auto" w:fill="FFFFFF"/>
            <w:vAlign w:val="center"/>
          </w:tcPr>
          <w:p w14:paraId="69B2679F">
            <w:pPr>
              <w:rPr>
                <w:highlight w:val="none"/>
              </w:rPr>
            </w:pPr>
            <w:r>
              <w:rPr>
                <w:rFonts w:hint="eastAsia"/>
                <w:highlight w:val="none"/>
              </w:rPr>
              <w:t>"支持代码标准的参照标准和执行标准进行预览、版本比较、编辑、云端同步和新增功能</w:t>
            </w:r>
            <w:r>
              <w:rPr>
                <w:rFonts w:hint="eastAsia"/>
                <w:highlight w:val="none"/>
              </w:rPr>
              <w:br w:type="textWrapping"/>
            </w:r>
            <w:r>
              <w:rPr>
                <w:rFonts w:hint="eastAsia"/>
                <w:highlight w:val="none"/>
              </w:rPr>
              <w:t>支持代码标准的执行标准进行新增、导入、导出、查看、编辑、版本比较、删除、发布"</w:t>
            </w:r>
          </w:p>
        </w:tc>
      </w:tr>
      <w:tr w14:paraId="4A2A8350">
        <w:tblPrEx>
          <w:tblCellMar>
            <w:top w:w="0" w:type="dxa"/>
            <w:left w:w="108" w:type="dxa"/>
            <w:bottom w:w="0" w:type="dxa"/>
            <w:right w:w="108" w:type="dxa"/>
          </w:tblCellMar>
        </w:tblPrEx>
        <w:trPr>
          <w:trHeight w:val="1710" w:hRule="atLeast"/>
          <w:jc w:val="center"/>
        </w:trPr>
        <w:tc>
          <w:tcPr>
            <w:tcW w:w="420" w:type="pct"/>
            <w:tcBorders>
              <w:top w:val="single" w:color="auto" w:sz="4" w:space="0"/>
              <w:left w:val="single" w:color="auto" w:sz="4" w:space="0"/>
              <w:bottom w:val="single" w:color="auto" w:sz="4" w:space="0"/>
              <w:right w:val="single" w:color="auto" w:sz="4" w:space="0"/>
            </w:tcBorders>
            <w:shd w:val="clear" w:color="auto" w:fill="FFFFFF"/>
            <w:vAlign w:val="center"/>
          </w:tcPr>
          <w:p w14:paraId="420E7EDD">
            <w:pPr>
              <w:rPr>
                <w:highlight w:val="none"/>
              </w:rPr>
            </w:pPr>
            <w:r>
              <w:rPr>
                <w:rFonts w:hint="eastAsia"/>
                <w:highlight w:val="none"/>
              </w:rPr>
              <w:t>2</w:t>
            </w:r>
            <w:r>
              <w:rPr>
                <w:highlight w:val="none"/>
              </w:rPr>
              <w:t>1</w:t>
            </w:r>
          </w:p>
        </w:tc>
        <w:tc>
          <w:tcPr>
            <w:tcW w:w="997" w:type="pct"/>
            <w:tcBorders>
              <w:top w:val="single" w:color="auto" w:sz="4" w:space="0"/>
              <w:left w:val="nil"/>
              <w:bottom w:val="single" w:color="auto" w:sz="4" w:space="0"/>
              <w:right w:val="single" w:color="auto" w:sz="4" w:space="0"/>
            </w:tcBorders>
            <w:shd w:val="clear" w:color="auto" w:fill="FFFFFF"/>
            <w:vAlign w:val="center"/>
          </w:tcPr>
          <w:p w14:paraId="6972B4B6">
            <w:pPr>
              <w:rPr>
                <w:highlight w:val="none"/>
              </w:rPr>
            </w:pPr>
            <w:r>
              <w:rPr>
                <w:rFonts w:hint="eastAsia"/>
                <w:highlight w:val="none"/>
              </w:rPr>
              <w:t>数据仓库</w:t>
            </w:r>
          </w:p>
        </w:tc>
        <w:tc>
          <w:tcPr>
            <w:tcW w:w="1792" w:type="pct"/>
            <w:tcBorders>
              <w:top w:val="single" w:color="auto" w:sz="4" w:space="0"/>
              <w:left w:val="nil"/>
              <w:bottom w:val="single" w:color="auto" w:sz="4" w:space="0"/>
              <w:right w:val="single" w:color="auto" w:sz="4" w:space="0"/>
            </w:tcBorders>
            <w:shd w:val="clear" w:color="auto" w:fill="FFFFFF"/>
            <w:vAlign w:val="center"/>
          </w:tcPr>
          <w:p w14:paraId="01B3E8AE">
            <w:pPr>
              <w:rPr>
                <w:highlight w:val="none"/>
              </w:rPr>
            </w:pPr>
            <w:r>
              <w:rPr>
                <w:rFonts w:hint="eastAsia"/>
                <w:highlight w:val="none"/>
              </w:rPr>
              <w:t>标准比对</w:t>
            </w:r>
          </w:p>
        </w:tc>
        <w:tc>
          <w:tcPr>
            <w:tcW w:w="1791" w:type="pct"/>
            <w:tcBorders>
              <w:top w:val="single" w:color="auto" w:sz="4" w:space="0"/>
              <w:left w:val="nil"/>
              <w:bottom w:val="single" w:color="auto" w:sz="4" w:space="0"/>
              <w:right w:val="single" w:color="auto" w:sz="4" w:space="0"/>
            </w:tcBorders>
            <w:shd w:val="clear" w:color="auto" w:fill="FFFFFF"/>
            <w:vAlign w:val="center"/>
          </w:tcPr>
          <w:p w14:paraId="54BC5440">
            <w:pPr>
              <w:rPr>
                <w:highlight w:val="none"/>
              </w:rPr>
            </w:pPr>
            <w:r>
              <w:rPr>
                <w:rFonts w:hint="eastAsia"/>
                <w:highlight w:val="none"/>
              </w:rPr>
              <w:t>将数据源中的代码标准与数据治理平台的代码标准进行比对，并对代码比对结果进行差异统计</w:t>
            </w:r>
          </w:p>
        </w:tc>
      </w:tr>
      <w:tr w14:paraId="2987AA51">
        <w:tblPrEx>
          <w:tblCellMar>
            <w:top w:w="0" w:type="dxa"/>
            <w:left w:w="108" w:type="dxa"/>
            <w:bottom w:w="0" w:type="dxa"/>
            <w:right w:w="108" w:type="dxa"/>
          </w:tblCellMar>
        </w:tblPrEx>
        <w:trPr>
          <w:trHeight w:val="1710" w:hRule="atLeast"/>
          <w:jc w:val="center"/>
        </w:trPr>
        <w:tc>
          <w:tcPr>
            <w:tcW w:w="420" w:type="pct"/>
            <w:tcBorders>
              <w:top w:val="single" w:color="auto" w:sz="4" w:space="0"/>
              <w:left w:val="single" w:color="auto" w:sz="4" w:space="0"/>
              <w:bottom w:val="single" w:color="auto" w:sz="4" w:space="0"/>
              <w:right w:val="single" w:color="auto" w:sz="4" w:space="0"/>
            </w:tcBorders>
            <w:shd w:val="clear" w:color="auto" w:fill="FFFFFF"/>
            <w:vAlign w:val="center"/>
          </w:tcPr>
          <w:p w14:paraId="766F04DB">
            <w:pPr>
              <w:rPr>
                <w:highlight w:val="none"/>
              </w:rPr>
            </w:pPr>
            <w:r>
              <w:rPr>
                <w:rFonts w:hint="eastAsia"/>
                <w:highlight w:val="none"/>
              </w:rPr>
              <w:t>2</w:t>
            </w:r>
            <w:r>
              <w:rPr>
                <w:highlight w:val="none"/>
              </w:rPr>
              <w:t>2</w:t>
            </w:r>
          </w:p>
        </w:tc>
        <w:tc>
          <w:tcPr>
            <w:tcW w:w="997" w:type="pct"/>
            <w:tcBorders>
              <w:top w:val="single" w:color="auto" w:sz="4" w:space="0"/>
              <w:left w:val="nil"/>
              <w:bottom w:val="single" w:color="auto" w:sz="4" w:space="0"/>
              <w:right w:val="single" w:color="auto" w:sz="4" w:space="0"/>
            </w:tcBorders>
            <w:shd w:val="clear" w:color="auto" w:fill="FFFFFF"/>
            <w:vAlign w:val="center"/>
          </w:tcPr>
          <w:p w14:paraId="5B0AFA22">
            <w:pPr>
              <w:rPr>
                <w:highlight w:val="none"/>
              </w:rPr>
            </w:pPr>
            <w:r>
              <w:rPr>
                <w:rFonts w:hint="eastAsia"/>
                <w:highlight w:val="none"/>
              </w:rPr>
              <w:t>数据仓库</w:t>
            </w:r>
          </w:p>
        </w:tc>
        <w:tc>
          <w:tcPr>
            <w:tcW w:w="1792" w:type="pct"/>
            <w:tcBorders>
              <w:top w:val="single" w:color="auto" w:sz="4" w:space="0"/>
              <w:left w:val="nil"/>
              <w:bottom w:val="single" w:color="auto" w:sz="4" w:space="0"/>
              <w:right w:val="single" w:color="auto" w:sz="4" w:space="0"/>
            </w:tcBorders>
            <w:shd w:val="clear" w:color="auto" w:fill="FFFFFF"/>
            <w:vAlign w:val="center"/>
          </w:tcPr>
          <w:p w14:paraId="3B768984">
            <w:pPr>
              <w:rPr>
                <w:highlight w:val="none"/>
              </w:rPr>
            </w:pPr>
            <w:r>
              <w:rPr>
                <w:rFonts w:hint="eastAsia"/>
                <w:highlight w:val="none"/>
              </w:rPr>
              <w:t>数据加工处理</w:t>
            </w:r>
          </w:p>
        </w:tc>
        <w:tc>
          <w:tcPr>
            <w:tcW w:w="1791" w:type="pct"/>
            <w:tcBorders>
              <w:top w:val="single" w:color="auto" w:sz="4" w:space="0"/>
              <w:left w:val="nil"/>
              <w:bottom w:val="single" w:color="auto" w:sz="4" w:space="0"/>
              <w:right w:val="single" w:color="auto" w:sz="4" w:space="0"/>
            </w:tcBorders>
            <w:shd w:val="clear" w:color="auto" w:fill="FFFFFF"/>
            <w:vAlign w:val="center"/>
          </w:tcPr>
          <w:p w14:paraId="6AF3A4BF">
            <w:pPr>
              <w:rPr>
                <w:highlight w:val="none"/>
              </w:rPr>
            </w:pPr>
            <w:r>
              <w:rPr>
                <w:rFonts w:hint="eastAsia"/>
                <w:highlight w:val="none"/>
              </w:rPr>
              <w:t>支持将汇聚层的数据清洗到治理层，包括任务配置、详情查看、立即执行、分配责权、日志查看、数据拦截等功能</w:t>
            </w:r>
          </w:p>
        </w:tc>
      </w:tr>
      <w:tr w14:paraId="6237795E">
        <w:tblPrEx>
          <w:tblCellMar>
            <w:top w:w="0" w:type="dxa"/>
            <w:left w:w="108" w:type="dxa"/>
            <w:bottom w:w="0" w:type="dxa"/>
            <w:right w:w="108" w:type="dxa"/>
          </w:tblCellMar>
        </w:tblPrEx>
        <w:trPr>
          <w:trHeight w:val="1710" w:hRule="atLeast"/>
          <w:jc w:val="center"/>
        </w:trPr>
        <w:tc>
          <w:tcPr>
            <w:tcW w:w="420" w:type="pct"/>
            <w:tcBorders>
              <w:top w:val="single" w:color="auto" w:sz="4" w:space="0"/>
              <w:left w:val="single" w:color="auto" w:sz="4" w:space="0"/>
              <w:bottom w:val="single" w:color="auto" w:sz="4" w:space="0"/>
              <w:right w:val="single" w:color="auto" w:sz="4" w:space="0"/>
            </w:tcBorders>
            <w:shd w:val="clear" w:color="auto" w:fill="FFFFFF"/>
            <w:vAlign w:val="center"/>
          </w:tcPr>
          <w:p w14:paraId="589EA41A">
            <w:pPr>
              <w:rPr>
                <w:highlight w:val="none"/>
              </w:rPr>
            </w:pPr>
            <w:r>
              <w:rPr>
                <w:rFonts w:hint="eastAsia"/>
                <w:highlight w:val="none"/>
              </w:rPr>
              <w:t>2</w:t>
            </w:r>
            <w:r>
              <w:rPr>
                <w:highlight w:val="none"/>
              </w:rPr>
              <w:t>3</w:t>
            </w:r>
          </w:p>
        </w:tc>
        <w:tc>
          <w:tcPr>
            <w:tcW w:w="997" w:type="pct"/>
            <w:tcBorders>
              <w:top w:val="single" w:color="auto" w:sz="4" w:space="0"/>
              <w:left w:val="nil"/>
              <w:bottom w:val="single" w:color="auto" w:sz="4" w:space="0"/>
              <w:right w:val="single" w:color="auto" w:sz="4" w:space="0"/>
            </w:tcBorders>
            <w:shd w:val="clear" w:color="auto" w:fill="FFFFFF"/>
            <w:vAlign w:val="center"/>
          </w:tcPr>
          <w:p w14:paraId="3B6D7609">
            <w:pPr>
              <w:rPr>
                <w:highlight w:val="none"/>
              </w:rPr>
            </w:pPr>
            <w:r>
              <w:rPr>
                <w:rFonts w:hint="eastAsia"/>
                <w:highlight w:val="none"/>
              </w:rPr>
              <w:t>数据仓库</w:t>
            </w:r>
          </w:p>
        </w:tc>
        <w:tc>
          <w:tcPr>
            <w:tcW w:w="1792" w:type="pct"/>
            <w:tcBorders>
              <w:top w:val="single" w:color="auto" w:sz="4" w:space="0"/>
              <w:left w:val="nil"/>
              <w:bottom w:val="single" w:color="auto" w:sz="4" w:space="0"/>
              <w:right w:val="single" w:color="auto" w:sz="4" w:space="0"/>
            </w:tcBorders>
            <w:shd w:val="clear" w:color="auto" w:fill="FFFFFF"/>
            <w:vAlign w:val="center"/>
          </w:tcPr>
          <w:p w14:paraId="1EE7F9B8">
            <w:pPr>
              <w:rPr>
                <w:highlight w:val="none"/>
              </w:rPr>
            </w:pPr>
            <w:r>
              <w:rPr>
                <w:rFonts w:hint="eastAsia"/>
                <w:highlight w:val="none"/>
              </w:rPr>
              <w:t>任务编排</w:t>
            </w:r>
          </w:p>
        </w:tc>
        <w:tc>
          <w:tcPr>
            <w:tcW w:w="1791" w:type="pct"/>
            <w:tcBorders>
              <w:top w:val="single" w:color="auto" w:sz="4" w:space="0"/>
              <w:left w:val="nil"/>
              <w:bottom w:val="single" w:color="auto" w:sz="4" w:space="0"/>
              <w:right w:val="single" w:color="auto" w:sz="4" w:space="0"/>
            </w:tcBorders>
            <w:shd w:val="clear" w:color="auto" w:fill="FFFFFF"/>
            <w:vAlign w:val="center"/>
          </w:tcPr>
          <w:p w14:paraId="3FD68EEB">
            <w:pPr>
              <w:rPr>
                <w:highlight w:val="none"/>
              </w:rPr>
            </w:pPr>
            <w:r>
              <w:rPr>
                <w:rFonts w:hint="eastAsia"/>
                <w:highlight w:val="none"/>
              </w:rPr>
              <w:t>将平台中的任务与脚本任务进行编排，以编排的顺序进行执行，提高数据处理的自动化程度。选择平台中的离线任务、治理任务、推送任务进行编排，满足不同的数据处理需求。</w:t>
            </w:r>
          </w:p>
        </w:tc>
      </w:tr>
      <w:tr w14:paraId="48336285">
        <w:tblPrEx>
          <w:tblCellMar>
            <w:top w:w="0" w:type="dxa"/>
            <w:left w:w="108" w:type="dxa"/>
            <w:bottom w:w="0" w:type="dxa"/>
            <w:right w:w="108" w:type="dxa"/>
          </w:tblCellMar>
        </w:tblPrEx>
        <w:trPr>
          <w:trHeight w:val="1710" w:hRule="atLeast"/>
          <w:jc w:val="center"/>
        </w:trPr>
        <w:tc>
          <w:tcPr>
            <w:tcW w:w="420" w:type="pct"/>
            <w:tcBorders>
              <w:top w:val="single" w:color="auto" w:sz="4" w:space="0"/>
              <w:left w:val="single" w:color="auto" w:sz="4" w:space="0"/>
              <w:bottom w:val="single" w:color="auto" w:sz="4" w:space="0"/>
              <w:right w:val="single" w:color="auto" w:sz="4" w:space="0"/>
            </w:tcBorders>
            <w:shd w:val="clear" w:color="auto" w:fill="FFFFFF"/>
            <w:vAlign w:val="center"/>
          </w:tcPr>
          <w:p w14:paraId="3F969E10">
            <w:pPr>
              <w:rPr>
                <w:highlight w:val="none"/>
              </w:rPr>
            </w:pPr>
            <w:r>
              <w:rPr>
                <w:rFonts w:hint="eastAsia"/>
                <w:highlight w:val="none"/>
              </w:rPr>
              <w:t>2</w:t>
            </w:r>
            <w:r>
              <w:rPr>
                <w:highlight w:val="none"/>
              </w:rPr>
              <w:t>4</w:t>
            </w:r>
          </w:p>
        </w:tc>
        <w:tc>
          <w:tcPr>
            <w:tcW w:w="997" w:type="pct"/>
            <w:tcBorders>
              <w:top w:val="single" w:color="auto" w:sz="4" w:space="0"/>
              <w:left w:val="nil"/>
              <w:bottom w:val="single" w:color="auto" w:sz="4" w:space="0"/>
              <w:right w:val="single" w:color="auto" w:sz="4" w:space="0"/>
            </w:tcBorders>
            <w:shd w:val="clear" w:color="auto" w:fill="FFFFFF"/>
            <w:vAlign w:val="center"/>
          </w:tcPr>
          <w:p w14:paraId="21418F51">
            <w:pPr>
              <w:rPr>
                <w:highlight w:val="none"/>
              </w:rPr>
            </w:pPr>
            <w:r>
              <w:rPr>
                <w:rFonts w:hint="eastAsia"/>
                <w:highlight w:val="none"/>
              </w:rPr>
              <w:t>数据仓库</w:t>
            </w:r>
          </w:p>
        </w:tc>
        <w:tc>
          <w:tcPr>
            <w:tcW w:w="1792" w:type="pct"/>
            <w:tcBorders>
              <w:top w:val="single" w:color="auto" w:sz="4" w:space="0"/>
              <w:left w:val="nil"/>
              <w:bottom w:val="single" w:color="auto" w:sz="4" w:space="0"/>
              <w:right w:val="single" w:color="auto" w:sz="4" w:space="0"/>
            </w:tcBorders>
            <w:shd w:val="clear" w:color="auto" w:fill="FFFFFF"/>
            <w:vAlign w:val="center"/>
          </w:tcPr>
          <w:p w14:paraId="152264C1">
            <w:pPr>
              <w:rPr>
                <w:highlight w:val="none"/>
              </w:rPr>
            </w:pPr>
            <w:r>
              <w:rPr>
                <w:rFonts w:hint="eastAsia"/>
                <w:highlight w:val="none"/>
              </w:rPr>
              <w:t>数据分层</w:t>
            </w:r>
          </w:p>
        </w:tc>
        <w:tc>
          <w:tcPr>
            <w:tcW w:w="1791" w:type="pct"/>
            <w:tcBorders>
              <w:top w:val="single" w:color="auto" w:sz="4" w:space="0"/>
              <w:left w:val="nil"/>
              <w:bottom w:val="single" w:color="auto" w:sz="4" w:space="0"/>
              <w:right w:val="single" w:color="auto" w:sz="4" w:space="0"/>
            </w:tcBorders>
            <w:shd w:val="clear" w:color="auto" w:fill="FFFFFF"/>
            <w:vAlign w:val="center"/>
          </w:tcPr>
          <w:p w14:paraId="5F32933E">
            <w:pPr>
              <w:rPr>
                <w:highlight w:val="none"/>
              </w:rPr>
            </w:pPr>
            <w:r>
              <w:rPr>
                <w:rFonts w:hint="eastAsia"/>
                <w:highlight w:val="none"/>
              </w:rPr>
              <w:t>支持自定义筛选数据分层，进行数据模型的管理。支持可视化方式维护数据模型，支持Excel批量导入的方式新建数据模型。数据模型应具备选择元数据标准的形式进行字段维护，且自动带出数据分级、数据分类，能支持同时绑定字段数据质量规则、定义字段标签等操作。</w:t>
            </w:r>
          </w:p>
        </w:tc>
      </w:tr>
      <w:tr w14:paraId="5E49F92E">
        <w:tblPrEx>
          <w:tblCellMar>
            <w:top w:w="0" w:type="dxa"/>
            <w:left w:w="108" w:type="dxa"/>
            <w:bottom w:w="0" w:type="dxa"/>
            <w:right w:w="108" w:type="dxa"/>
          </w:tblCellMar>
        </w:tblPrEx>
        <w:trPr>
          <w:trHeight w:val="1710" w:hRule="atLeast"/>
          <w:jc w:val="center"/>
        </w:trPr>
        <w:tc>
          <w:tcPr>
            <w:tcW w:w="420" w:type="pct"/>
            <w:tcBorders>
              <w:top w:val="single" w:color="auto" w:sz="4" w:space="0"/>
              <w:left w:val="single" w:color="auto" w:sz="4" w:space="0"/>
              <w:bottom w:val="single" w:color="auto" w:sz="4" w:space="0"/>
              <w:right w:val="single" w:color="auto" w:sz="4" w:space="0"/>
            </w:tcBorders>
            <w:shd w:val="clear" w:color="auto" w:fill="FFFFFF"/>
            <w:vAlign w:val="center"/>
          </w:tcPr>
          <w:p w14:paraId="74E1D919">
            <w:pPr>
              <w:rPr>
                <w:highlight w:val="none"/>
              </w:rPr>
            </w:pPr>
            <w:r>
              <w:rPr>
                <w:rFonts w:hint="eastAsia"/>
                <w:highlight w:val="none"/>
              </w:rPr>
              <w:t>2</w:t>
            </w:r>
            <w:r>
              <w:rPr>
                <w:highlight w:val="none"/>
              </w:rPr>
              <w:t>5</w:t>
            </w:r>
          </w:p>
        </w:tc>
        <w:tc>
          <w:tcPr>
            <w:tcW w:w="997" w:type="pct"/>
            <w:tcBorders>
              <w:top w:val="single" w:color="auto" w:sz="4" w:space="0"/>
              <w:left w:val="nil"/>
              <w:bottom w:val="single" w:color="auto" w:sz="4" w:space="0"/>
              <w:right w:val="single" w:color="auto" w:sz="4" w:space="0"/>
            </w:tcBorders>
            <w:shd w:val="clear" w:color="auto" w:fill="FFFFFF"/>
            <w:vAlign w:val="center"/>
          </w:tcPr>
          <w:p w14:paraId="354E926F">
            <w:pPr>
              <w:rPr>
                <w:highlight w:val="none"/>
              </w:rPr>
            </w:pPr>
            <w:r>
              <w:rPr>
                <w:rFonts w:hint="eastAsia"/>
                <w:highlight w:val="none"/>
              </w:rPr>
              <w:t>数据仓库</w:t>
            </w:r>
          </w:p>
        </w:tc>
        <w:tc>
          <w:tcPr>
            <w:tcW w:w="1792" w:type="pct"/>
            <w:tcBorders>
              <w:top w:val="single" w:color="auto" w:sz="4" w:space="0"/>
              <w:left w:val="nil"/>
              <w:bottom w:val="single" w:color="auto" w:sz="4" w:space="0"/>
              <w:right w:val="single" w:color="auto" w:sz="4" w:space="0"/>
            </w:tcBorders>
            <w:shd w:val="clear" w:color="auto" w:fill="FFFFFF"/>
            <w:vAlign w:val="center"/>
          </w:tcPr>
          <w:p w14:paraId="4F4F6BD2">
            <w:pPr>
              <w:rPr>
                <w:highlight w:val="none"/>
              </w:rPr>
            </w:pPr>
            <w:r>
              <w:rPr>
                <w:rFonts w:hint="eastAsia"/>
                <w:highlight w:val="none"/>
              </w:rPr>
              <w:t>数据管理</w:t>
            </w:r>
          </w:p>
        </w:tc>
        <w:tc>
          <w:tcPr>
            <w:tcW w:w="1791" w:type="pct"/>
            <w:tcBorders>
              <w:top w:val="single" w:color="auto" w:sz="4" w:space="0"/>
              <w:left w:val="nil"/>
              <w:bottom w:val="single" w:color="auto" w:sz="4" w:space="0"/>
              <w:right w:val="single" w:color="auto" w:sz="4" w:space="0"/>
            </w:tcBorders>
            <w:shd w:val="clear" w:color="auto" w:fill="FFFFFF"/>
            <w:vAlign w:val="center"/>
          </w:tcPr>
          <w:p w14:paraId="1FDBD9EA">
            <w:pPr>
              <w:rPr>
                <w:highlight w:val="none"/>
              </w:rPr>
            </w:pPr>
            <w:r>
              <w:rPr>
                <w:rFonts w:hint="eastAsia"/>
                <w:highlight w:val="none"/>
              </w:rPr>
              <w:t>"支持资产维护功能，支持自定义字段作为筛选条件进行数据查询；</w:t>
            </w:r>
            <w:r>
              <w:rPr>
                <w:rFonts w:hint="eastAsia"/>
                <w:highlight w:val="none"/>
              </w:rPr>
              <w:br w:type="textWrapping"/>
            </w:r>
            <w:r>
              <w:rPr>
                <w:rFonts w:hint="eastAsia"/>
                <w:highlight w:val="none"/>
              </w:rPr>
              <w:t>支持在线编辑数据，如新增、导出、导入模板、删除等；</w:t>
            </w:r>
            <w:r>
              <w:rPr>
                <w:rFonts w:hint="eastAsia"/>
                <w:highlight w:val="none"/>
              </w:rPr>
              <w:br w:type="textWrapping"/>
            </w:r>
            <w:r>
              <w:rPr>
                <w:rFonts w:hint="eastAsia"/>
                <w:highlight w:val="none"/>
              </w:rPr>
              <w:t>支持历史数据查看功能，基于时间节点进行历史数据查看，同时可自定义字段进行数据筛选；</w:t>
            </w:r>
            <w:r>
              <w:rPr>
                <w:rFonts w:hint="eastAsia"/>
                <w:highlight w:val="none"/>
              </w:rPr>
              <w:br w:type="textWrapping"/>
            </w:r>
            <w:r>
              <w:rPr>
                <w:rFonts w:hint="eastAsia"/>
                <w:highlight w:val="none"/>
              </w:rPr>
              <w:t>提供即席查询、SQL查询、全文检索三种方式的数据查询功能。"</w:t>
            </w:r>
          </w:p>
        </w:tc>
      </w:tr>
      <w:tr w14:paraId="104C6ADF">
        <w:tblPrEx>
          <w:tblCellMar>
            <w:top w:w="0" w:type="dxa"/>
            <w:left w:w="108" w:type="dxa"/>
            <w:bottom w:w="0" w:type="dxa"/>
            <w:right w:w="108" w:type="dxa"/>
          </w:tblCellMar>
        </w:tblPrEx>
        <w:trPr>
          <w:trHeight w:val="1710" w:hRule="atLeast"/>
          <w:jc w:val="center"/>
        </w:trPr>
        <w:tc>
          <w:tcPr>
            <w:tcW w:w="420" w:type="pct"/>
            <w:tcBorders>
              <w:top w:val="single" w:color="auto" w:sz="4" w:space="0"/>
              <w:left w:val="single" w:color="auto" w:sz="4" w:space="0"/>
              <w:bottom w:val="single" w:color="auto" w:sz="4" w:space="0"/>
              <w:right w:val="single" w:color="auto" w:sz="4" w:space="0"/>
            </w:tcBorders>
            <w:shd w:val="clear" w:color="auto" w:fill="FFFFFF"/>
            <w:vAlign w:val="center"/>
          </w:tcPr>
          <w:p w14:paraId="2C80124C">
            <w:pPr>
              <w:rPr>
                <w:highlight w:val="none"/>
              </w:rPr>
            </w:pPr>
            <w:r>
              <w:rPr>
                <w:rFonts w:hint="eastAsia"/>
                <w:highlight w:val="none"/>
              </w:rPr>
              <w:t>2</w:t>
            </w:r>
            <w:r>
              <w:rPr>
                <w:highlight w:val="none"/>
              </w:rPr>
              <w:t>6</w:t>
            </w:r>
          </w:p>
        </w:tc>
        <w:tc>
          <w:tcPr>
            <w:tcW w:w="997" w:type="pct"/>
            <w:tcBorders>
              <w:top w:val="single" w:color="auto" w:sz="4" w:space="0"/>
              <w:left w:val="nil"/>
              <w:bottom w:val="single" w:color="auto" w:sz="4" w:space="0"/>
              <w:right w:val="single" w:color="auto" w:sz="4" w:space="0"/>
            </w:tcBorders>
            <w:shd w:val="clear" w:color="auto" w:fill="FFFFFF"/>
            <w:vAlign w:val="center"/>
          </w:tcPr>
          <w:p w14:paraId="5ED2C201">
            <w:pPr>
              <w:rPr>
                <w:highlight w:val="none"/>
              </w:rPr>
            </w:pPr>
            <w:r>
              <w:rPr>
                <w:rFonts w:hint="eastAsia"/>
                <w:highlight w:val="none"/>
              </w:rPr>
              <w:t>数据仓库</w:t>
            </w:r>
          </w:p>
        </w:tc>
        <w:tc>
          <w:tcPr>
            <w:tcW w:w="1792" w:type="pct"/>
            <w:tcBorders>
              <w:top w:val="single" w:color="auto" w:sz="4" w:space="0"/>
              <w:left w:val="nil"/>
              <w:bottom w:val="single" w:color="auto" w:sz="4" w:space="0"/>
              <w:right w:val="single" w:color="auto" w:sz="4" w:space="0"/>
            </w:tcBorders>
            <w:shd w:val="clear" w:color="auto" w:fill="FFFFFF"/>
            <w:vAlign w:val="center"/>
          </w:tcPr>
          <w:p w14:paraId="02F6B155">
            <w:pPr>
              <w:rPr>
                <w:highlight w:val="none"/>
              </w:rPr>
            </w:pPr>
            <w:r>
              <w:rPr>
                <w:rFonts w:hint="eastAsia"/>
                <w:highlight w:val="none"/>
              </w:rPr>
              <w:t>数据责权</w:t>
            </w:r>
          </w:p>
        </w:tc>
        <w:tc>
          <w:tcPr>
            <w:tcW w:w="1791" w:type="pct"/>
            <w:tcBorders>
              <w:top w:val="single" w:color="auto" w:sz="4" w:space="0"/>
              <w:left w:val="nil"/>
              <w:bottom w:val="single" w:color="auto" w:sz="4" w:space="0"/>
              <w:right w:val="single" w:color="auto" w:sz="4" w:space="0"/>
            </w:tcBorders>
            <w:shd w:val="clear" w:color="auto" w:fill="FFFFFF"/>
            <w:vAlign w:val="center"/>
          </w:tcPr>
          <w:p w14:paraId="2DE30B89">
            <w:pPr>
              <w:rPr>
                <w:highlight w:val="none"/>
              </w:rPr>
            </w:pPr>
            <w:r>
              <w:rPr>
                <w:rFonts w:hint="eastAsia"/>
                <w:highlight w:val="none"/>
              </w:rPr>
              <w:t>"支持面向用户、部门、角色的数据字段（数据列）授权、数据范围（数据行）授权，以实现数据行列交叉访问权限。</w:t>
            </w:r>
            <w:r>
              <w:rPr>
                <w:rFonts w:hint="eastAsia"/>
                <w:highlight w:val="none"/>
              </w:rPr>
              <w:br w:type="textWrapping"/>
            </w:r>
            <w:r>
              <w:rPr>
                <w:rFonts w:hint="eastAsia"/>
                <w:highlight w:val="none"/>
              </w:rPr>
              <w:t>支持基于SQL算子语法分析解析以实现自动化实现字段级一数一源责权分配。确保每个数据项只有一个来源，提高数据的准确性、一致性和可靠性。明确数据资源中所有数据项的数据生产部门，并由该部门负责数据的维护，保证数据的质量。"</w:t>
            </w:r>
          </w:p>
        </w:tc>
      </w:tr>
      <w:tr w14:paraId="4EAAB11B">
        <w:tblPrEx>
          <w:tblCellMar>
            <w:top w:w="0" w:type="dxa"/>
            <w:left w:w="108" w:type="dxa"/>
            <w:bottom w:w="0" w:type="dxa"/>
            <w:right w:w="108" w:type="dxa"/>
          </w:tblCellMar>
        </w:tblPrEx>
        <w:trPr>
          <w:trHeight w:val="1710" w:hRule="atLeast"/>
          <w:jc w:val="center"/>
        </w:trPr>
        <w:tc>
          <w:tcPr>
            <w:tcW w:w="420" w:type="pct"/>
            <w:tcBorders>
              <w:top w:val="single" w:color="auto" w:sz="4" w:space="0"/>
              <w:left w:val="single" w:color="auto" w:sz="4" w:space="0"/>
              <w:bottom w:val="single" w:color="auto" w:sz="4" w:space="0"/>
              <w:right w:val="single" w:color="auto" w:sz="4" w:space="0"/>
            </w:tcBorders>
            <w:shd w:val="clear" w:color="auto" w:fill="FFFFFF"/>
            <w:vAlign w:val="center"/>
          </w:tcPr>
          <w:p w14:paraId="65F53281">
            <w:pPr>
              <w:rPr>
                <w:highlight w:val="none"/>
              </w:rPr>
            </w:pPr>
            <w:r>
              <w:rPr>
                <w:rFonts w:hint="eastAsia"/>
                <w:highlight w:val="none"/>
              </w:rPr>
              <w:t>2</w:t>
            </w:r>
            <w:r>
              <w:rPr>
                <w:highlight w:val="none"/>
              </w:rPr>
              <w:t>7</w:t>
            </w:r>
          </w:p>
        </w:tc>
        <w:tc>
          <w:tcPr>
            <w:tcW w:w="997" w:type="pct"/>
            <w:tcBorders>
              <w:top w:val="single" w:color="auto" w:sz="4" w:space="0"/>
              <w:left w:val="nil"/>
              <w:bottom w:val="single" w:color="auto" w:sz="4" w:space="0"/>
              <w:right w:val="single" w:color="auto" w:sz="4" w:space="0"/>
            </w:tcBorders>
            <w:shd w:val="clear" w:color="auto" w:fill="FFFFFF"/>
            <w:vAlign w:val="center"/>
          </w:tcPr>
          <w:p w14:paraId="7ABC992D">
            <w:pPr>
              <w:rPr>
                <w:highlight w:val="none"/>
              </w:rPr>
            </w:pPr>
            <w:r>
              <w:rPr>
                <w:rFonts w:hint="eastAsia"/>
                <w:highlight w:val="none"/>
              </w:rPr>
              <w:t>数据仓库</w:t>
            </w:r>
          </w:p>
        </w:tc>
        <w:tc>
          <w:tcPr>
            <w:tcW w:w="1792" w:type="pct"/>
            <w:tcBorders>
              <w:top w:val="single" w:color="auto" w:sz="4" w:space="0"/>
              <w:left w:val="nil"/>
              <w:bottom w:val="single" w:color="auto" w:sz="4" w:space="0"/>
              <w:right w:val="single" w:color="auto" w:sz="4" w:space="0"/>
            </w:tcBorders>
            <w:shd w:val="clear" w:color="auto" w:fill="FFFFFF"/>
            <w:vAlign w:val="center"/>
          </w:tcPr>
          <w:p w14:paraId="379CFDAF">
            <w:pPr>
              <w:rPr>
                <w:highlight w:val="none"/>
              </w:rPr>
            </w:pPr>
            <w:r>
              <w:rPr>
                <w:rFonts w:hint="eastAsia"/>
                <w:highlight w:val="none"/>
              </w:rPr>
              <w:t>元数据地图</w:t>
            </w:r>
          </w:p>
        </w:tc>
        <w:tc>
          <w:tcPr>
            <w:tcW w:w="1791" w:type="pct"/>
            <w:tcBorders>
              <w:top w:val="single" w:color="auto" w:sz="4" w:space="0"/>
              <w:left w:val="nil"/>
              <w:bottom w:val="single" w:color="auto" w:sz="4" w:space="0"/>
              <w:right w:val="single" w:color="auto" w:sz="4" w:space="0"/>
            </w:tcBorders>
            <w:shd w:val="clear" w:color="auto" w:fill="FFFFFF"/>
            <w:vAlign w:val="center"/>
          </w:tcPr>
          <w:p w14:paraId="43CD3A7C">
            <w:pPr>
              <w:rPr>
                <w:highlight w:val="none"/>
              </w:rPr>
            </w:pPr>
            <w:r>
              <w:rPr>
                <w:rFonts w:hint="eastAsia"/>
                <w:highlight w:val="none"/>
              </w:rPr>
              <w:t>"支持查看元数据标准脑图，可按全域数据中心、数据域进行查看；</w:t>
            </w:r>
            <w:r>
              <w:rPr>
                <w:rFonts w:hint="eastAsia"/>
                <w:highlight w:val="none"/>
              </w:rPr>
              <w:br w:type="textWrapping"/>
            </w:r>
            <w:r>
              <w:rPr>
                <w:rFonts w:hint="eastAsia"/>
                <w:highlight w:val="none"/>
              </w:rPr>
              <w:t>支持查看规划标准关系图，展示各数据域数据来源情况；</w:t>
            </w:r>
            <w:r>
              <w:rPr>
                <w:rFonts w:hint="eastAsia"/>
                <w:highlight w:val="none"/>
              </w:rPr>
              <w:br w:type="textWrapping"/>
            </w:r>
            <w:r>
              <w:rPr>
                <w:rFonts w:hint="eastAsia"/>
                <w:highlight w:val="none"/>
              </w:rPr>
              <w:t>支持查看数据标准关系图，展示业务系统内的数据与数据治理平台模型的关联情况。"</w:t>
            </w:r>
          </w:p>
        </w:tc>
      </w:tr>
      <w:tr w14:paraId="6422AFDC">
        <w:tblPrEx>
          <w:tblCellMar>
            <w:top w:w="0" w:type="dxa"/>
            <w:left w:w="108" w:type="dxa"/>
            <w:bottom w:w="0" w:type="dxa"/>
            <w:right w:w="108" w:type="dxa"/>
          </w:tblCellMar>
        </w:tblPrEx>
        <w:trPr>
          <w:trHeight w:val="1710" w:hRule="atLeast"/>
          <w:jc w:val="center"/>
        </w:trPr>
        <w:tc>
          <w:tcPr>
            <w:tcW w:w="420" w:type="pct"/>
            <w:tcBorders>
              <w:top w:val="single" w:color="auto" w:sz="4" w:space="0"/>
              <w:left w:val="single" w:color="auto" w:sz="4" w:space="0"/>
              <w:bottom w:val="single" w:color="auto" w:sz="4" w:space="0"/>
              <w:right w:val="single" w:color="auto" w:sz="4" w:space="0"/>
            </w:tcBorders>
            <w:shd w:val="clear" w:color="auto" w:fill="FFFFFF"/>
            <w:vAlign w:val="center"/>
          </w:tcPr>
          <w:p w14:paraId="2644AC47">
            <w:pPr>
              <w:rPr>
                <w:highlight w:val="none"/>
              </w:rPr>
            </w:pPr>
            <w:r>
              <w:rPr>
                <w:rFonts w:hint="eastAsia"/>
                <w:highlight w:val="none"/>
              </w:rPr>
              <w:t>2</w:t>
            </w:r>
            <w:r>
              <w:rPr>
                <w:highlight w:val="none"/>
              </w:rPr>
              <w:t>8</w:t>
            </w:r>
          </w:p>
        </w:tc>
        <w:tc>
          <w:tcPr>
            <w:tcW w:w="997" w:type="pct"/>
            <w:tcBorders>
              <w:top w:val="single" w:color="auto" w:sz="4" w:space="0"/>
              <w:left w:val="nil"/>
              <w:bottom w:val="single" w:color="auto" w:sz="4" w:space="0"/>
              <w:right w:val="single" w:color="auto" w:sz="4" w:space="0"/>
            </w:tcBorders>
            <w:shd w:val="clear" w:color="auto" w:fill="FFFFFF"/>
            <w:vAlign w:val="center"/>
          </w:tcPr>
          <w:p w14:paraId="4B749D22">
            <w:pPr>
              <w:rPr>
                <w:highlight w:val="none"/>
              </w:rPr>
            </w:pPr>
            <w:r>
              <w:rPr>
                <w:rFonts w:hint="eastAsia"/>
                <w:highlight w:val="none"/>
              </w:rPr>
              <w:t>数据服务门户</w:t>
            </w:r>
          </w:p>
        </w:tc>
        <w:tc>
          <w:tcPr>
            <w:tcW w:w="1792" w:type="pct"/>
            <w:tcBorders>
              <w:top w:val="single" w:color="auto" w:sz="4" w:space="0"/>
              <w:left w:val="nil"/>
              <w:bottom w:val="single" w:color="auto" w:sz="4" w:space="0"/>
              <w:right w:val="single" w:color="auto" w:sz="4" w:space="0"/>
            </w:tcBorders>
            <w:shd w:val="clear" w:color="auto" w:fill="FFFFFF"/>
            <w:vAlign w:val="center"/>
          </w:tcPr>
          <w:p w14:paraId="3DE4AD72">
            <w:pPr>
              <w:rPr>
                <w:highlight w:val="none"/>
              </w:rPr>
            </w:pPr>
            <w:r>
              <w:rPr>
                <w:rFonts w:hint="eastAsia"/>
                <w:highlight w:val="none"/>
              </w:rPr>
              <w:t>数据质量管理</w:t>
            </w:r>
          </w:p>
        </w:tc>
        <w:tc>
          <w:tcPr>
            <w:tcW w:w="1791" w:type="pct"/>
            <w:tcBorders>
              <w:top w:val="single" w:color="auto" w:sz="4" w:space="0"/>
              <w:left w:val="nil"/>
              <w:bottom w:val="single" w:color="auto" w:sz="4" w:space="0"/>
              <w:right w:val="single" w:color="auto" w:sz="4" w:space="0"/>
            </w:tcBorders>
            <w:shd w:val="clear" w:color="auto" w:fill="FFFFFF"/>
            <w:vAlign w:val="center"/>
          </w:tcPr>
          <w:p w14:paraId="026DF69A">
            <w:pPr>
              <w:rPr>
                <w:highlight w:val="none"/>
              </w:rPr>
            </w:pPr>
            <w:r>
              <w:rPr>
                <w:rFonts w:hint="eastAsia"/>
                <w:highlight w:val="none"/>
              </w:rPr>
              <w:t>支持对接数据应用，在线接收数据主题分析和师生数字应用的质量反馈、数据纠正消息跟踪，并进行线上诊断检测、以及消息推送治理作业流程和跟踪，提供统计和报告输出；（工单）同时可面向任何第三方提供质量反馈的接口，保障数据治理体系的完全开放化和全校覆盖化。</w:t>
            </w:r>
          </w:p>
        </w:tc>
      </w:tr>
      <w:tr w14:paraId="4463F2D9">
        <w:tblPrEx>
          <w:tblCellMar>
            <w:top w:w="0" w:type="dxa"/>
            <w:left w:w="108" w:type="dxa"/>
            <w:bottom w:w="0" w:type="dxa"/>
            <w:right w:w="108" w:type="dxa"/>
          </w:tblCellMar>
        </w:tblPrEx>
        <w:trPr>
          <w:trHeight w:val="1710" w:hRule="atLeast"/>
          <w:jc w:val="center"/>
        </w:trPr>
        <w:tc>
          <w:tcPr>
            <w:tcW w:w="420" w:type="pct"/>
            <w:tcBorders>
              <w:top w:val="single" w:color="auto" w:sz="4" w:space="0"/>
              <w:left w:val="single" w:color="auto" w:sz="4" w:space="0"/>
              <w:bottom w:val="single" w:color="auto" w:sz="4" w:space="0"/>
              <w:right w:val="single" w:color="auto" w:sz="4" w:space="0"/>
            </w:tcBorders>
            <w:shd w:val="clear" w:color="auto" w:fill="FFFFFF"/>
            <w:vAlign w:val="center"/>
          </w:tcPr>
          <w:p w14:paraId="02E43584">
            <w:pPr>
              <w:rPr>
                <w:highlight w:val="none"/>
              </w:rPr>
            </w:pPr>
            <w:r>
              <w:rPr>
                <w:rFonts w:hint="eastAsia"/>
                <w:highlight w:val="none"/>
              </w:rPr>
              <w:t>2</w:t>
            </w:r>
            <w:r>
              <w:rPr>
                <w:highlight w:val="none"/>
              </w:rPr>
              <w:t>9</w:t>
            </w:r>
          </w:p>
        </w:tc>
        <w:tc>
          <w:tcPr>
            <w:tcW w:w="997" w:type="pct"/>
            <w:tcBorders>
              <w:top w:val="single" w:color="auto" w:sz="4" w:space="0"/>
              <w:left w:val="nil"/>
              <w:bottom w:val="single" w:color="auto" w:sz="4" w:space="0"/>
              <w:right w:val="single" w:color="auto" w:sz="4" w:space="0"/>
            </w:tcBorders>
            <w:shd w:val="clear" w:color="auto" w:fill="FFFFFF"/>
            <w:vAlign w:val="center"/>
          </w:tcPr>
          <w:p w14:paraId="1970E002">
            <w:pPr>
              <w:rPr>
                <w:highlight w:val="none"/>
              </w:rPr>
            </w:pPr>
            <w:r>
              <w:rPr>
                <w:rFonts w:hint="eastAsia"/>
                <w:highlight w:val="none"/>
              </w:rPr>
              <w:t>数据服务门户</w:t>
            </w:r>
          </w:p>
        </w:tc>
        <w:tc>
          <w:tcPr>
            <w:tcW w:w="1792" w:type="pct"/>
            <w:tcBorders>
              <w:top w:val="single" w:color="auto" w:sz="4" w:space="0"/>
              <w:left w:val="nil"/>
              <w:bottom w:val="single" w:color="auto" w:sz="4" w:space="0"/>
              <w:right w:val="single" w:color="auto" w:sz="4" w:space="0"/>
            </w:tcBorders>
            <w:shd w:val="clear" w:color="auto" w:fill="FFFFFF"/>
            <w:vAlign w:val="center"/>
          </w:tcPr>
          <w:p w14:paraId="1DECF6E6">
            <w:pPr>
              <w:rPr>
                <w:highlight w:val="none"/>
              </w:rPr>
            </w:pPr>
            <w:r>
              <w:rPr>
                <w:rFonts w:hint="eastAsia"/>
                <w:highlight w:val="none"/>
              </w:rPr>
              <w:t>质量工单管理</w:t>
            </w:r>
          </w:p>
        </w:tc>
        <w:tc>
          <w:tcPr>
            <w:tcW w:w="1791" w:type="pct"/>
            <w:tcBorders>
              <w:top w:val="single" w:color="auto" w:sz="4" w:space="0"/>
              <w:left w:val="nil"/>
              <w:bottom w:val="single" w:color="auto" w:sz="4" w:space="0"/>
              <w:right w:val="single" w:color="auto" w:sz="4" w:space="0"/>
            </w:tcBorders>
            <w:shd w:val="clear" w:color="auto" w:fill="FFFFFF"/>
            <w:vAlign w:val="center"/>
          </w:tcPr>
          <w:p w14:paraId="4D005C55">
            <w:pPr>
              <w:rPr>
                <w:highlight w:val="none"/>
              </w:rPr>
            </w:pPr>
            <w:r>
              <w:rPr>
                <w:rFonts w:hint="eastAsia"/>
                <w:highlight w:val="none"/>
              </w:rPr>
              <w:t>支持数据质量反馈的任务发布，可定向到人的任务处理进程跟踪管理。</w:t>
            </w:r>
          </w:p>
        </w:tc>
      </w:tr>
      <w:tr w14:paraId="2BD1DE0A">
        <w:tblPrEx>
          <w:tblCellMar>
            <w:top w:w="0" w:type="dxa"/>
            <w:left w:w="108" w:type="dxa"/>
            <w:bottom w:w="0" w:type="dxa"/>
            <w:right w:w="108" w:type="dxa"/>
          </w:tblCellMar>
        </w:tblPrEx>
        <w:trPr>
          <w:trHeight w:val="1710" w:hRule="atLeast"/>
          <w:jc w:val="center"/>
        </w:trPr>
        <w:tc>
          <w:tcPr>
            <w:tcW w:w="420" w:type="pct"/>
            <w:tcBorders>
              <w:top w:val="single" w:color="auto" w:sz="4" w:space="0"/>
              <w:left w:val="single" w:color="auto" w:sz="4" w:space="0"/>
              <w:bottom w:val="single" w:color="auto" w:sz="4" w:space="0"/>
              <w:right w:val="single" w:color="auto" w:sz="4" w:space="0"/>
            </w:tcBorders>
            <w:shd w:val="clear" w:color="auto" w:fill="FFFFFF"/>
            <w:vAlign w:val="center"/>
          </w:tcPr>
          <w:p w14:paraId="3EBE85C5">
            <w:pPr>
              <w:rPr>
                <w:highlight w:val="none"/>
              </w:rPr>
            </w:pPr>
            <w:r>
              <w:rPr>
                <w:rFonts w:hint="eastAsia"/>
                <w:highlight w:val="none"/>
              </w:rPr>
              <w:t>3</w:t>
            </w:r>
            <w:r>
              <w:rPr>
                <w:highlight w:val="none"/>
              </w:rPr>
              <w:t>0</w:t>
            </w:r>
          </w:p>
        </w:tc>
        <w:tc>
          <w:tcPr>
            <w:tcW w:w="997" w:type="pct"/>
            <w:tcBorders>
              <w:top w:val="single" w:color="auto" w:sz="4" w:space="0"/>
              <w:left w:val="nil"/>
              <w:bottom w:val="single" w:color="auto" w:sz="4" w:space="0"/>
              <w:right w:val="single" w:color="auto" w:sz="4" w:space="0"/>
            </w:tcBorders>
            <w:shd w:val="clear" w:color="auto" w:fill="FFFFFF"/>
            <w:vAlign w:val="center"/>
          </w:tcPr>
          <w:p w14:paraId="6F133646">
            <w:pPr>
              <w:rPr>
                <w:highlight w:val="none"/>
              </w:rPr>
            </w:pPr>
            <w:r>
              <w:rPr>
                <w:rFonts w:hint="eastAsia"/>
                <w:highlight w:val="none"/>
              </w:rPr>
              <w:t>数据服务门户</w:t>
            </w:r>
          </w:p>
        </w:tc>
        <w:tc>
          <w:tcPr>
            <w:tcW w:w="1792" w:type="pct"/>
            <w:tcBorders>
              <w:top w:val="single" w:color="auto" w:sz="4" w:space="0"/>
              <w:left w:val="nil"/>
              <w:bottom w:val="single" w:color="auto" w:sz="4" w:space="0"/>
              <w:right w:val="single" w:color="auto" w:sz="4" w:space="0"/>
            </w:tcBorders>
            <w:shd w:val="clear" w:color="auto" w:fill="FFFFFF"/>
            <w:vAlign w:val="center"/>
          </w:tcPr>
          <w:p w14:paraId="2856CE09">
            <w:pPr>
              <w:rPr>
                <w:highlight w:val="none"/>
              </w:rPr>
            </w:pPr>
            <w:r>
              <w:rPr>
                <w:rFonts w:hint="eastAsia"/>
                <w:highlight w:val="none"/>
              </w:rPr>
              <w:t>数据脱敏加密</w:t>
            </w:r>
          </w:p>
        </w:tc>
        <w:tc>
          <w:tcPr>
            <w:tcW w:w="1791" w:type="pct"/>
            <w:tcBorders>
              <w:top w:val="single" w:color="auto" w:sz="4" w:space="0"/>
              <w:left w:val="nil"/>
              <w:bottom w:val="single" w:color="auto" w:sz="4" w:space="0"/>
              <w:right w:val="single" w:color="auto" w:sz="4" w:space="0"/>
            </w:tcBorders>
            <w:shd w:val="clear" w:color="auto" w:fill="FFFFFF"/>
            <w:vAlign w:val="center"/>
          </w:tcPr>
          <w:p w14:paraId="2FDD38CB">
            <w:pPr>
              <w:rPr>
                <w:highlight w:val="none"/>
              </w:rPr>
            </w:pPr>
            <w:r>
              <w:rPr>
                <w:rFonts w:hint="eastAsia"/>
                <w:highlight w:val="none"/>
              </w:rPr>
              <w:t>"预置常用的数据脱敏算法，为数据脱敏配置提供使用，包括但不限于手机号脱敏、身份证件号脱敏、姓氏脱敏等。且具备自定义扩展数据脱敏算法。</w:t>
            </w:r>
            <w:r>
              <w:rPr>
                <w:rFonts w:hint="eastAsia"/>
                <w:highlight w:val="none"/>
              </w:rPr>
              <w:br w:type="textWrapping"/>
            </w:r>
            <w:r>
              <w:rPr>
                <w:rFonts w:hint="eastAsia"/>
                <w:highlight w:val="none"/>
              </w:rPr>
              <w:t>支持数据加密算法定义，支持 AES256、国密 SM4 算法。支持动态即时数据加密，覆盖全平台面向业务输出控制数据加密安全，支持国产密码算法。"</w:t>
            </w:r>
          </w:p>
        </w:tc>
      </w:tr>
      <w:tr w14:paraId="7001A8CA">
        <w:tblPrEx>
          <w:tblCellMar>
            <w:top w:w="0" w:type="dxa"/>
            <w:left w:w="108" w:type="dxa"/>
            <w:bottom w:w="0" w:type="dxa"/>
            <w:right w:w="108" w:type="dxa"/>
          </w:tblCellMar>
        </w:tblPrEx>
        <w:trPr>
          <w:trHeight w:val="1710" w:hRule="atLeast"/>
          <w:jc w:val="center"/>
        </w:trPr>
        <w:tc>
          <w:tcPr>
            <w:tcW w:w="420" w:type="pct"/>
            <w:tcBorders>
              <w:top w:val="single" w:color="auto" w:sz="4" w:space="0"/>
              <w:left w:val="single" w:color="auto" w:sz="4" w:space="0"/>
              <w:bottom w:val="single" w:color="auto" w:sz="4" w:space="0"/>
              <w:right w:val="single" w:color="auto" w:sz="4" w:space="0"/>
            </w:tcBorders>
            <w:shd w:val="clear" w:color="auto" w:fill="FFFFFF"/>
            <w:vAlign w:val="center"/>
          </w:tcPr>
          <w:p w14:paraId="432CCF87">
            <w:pPr>
              <w:rPr>
                <w:highlight w:val="none"/>
              </w:rPr>
            </w:pPr>
            <w:r>
              <w:rPr>
                <w:rFonts w:hint="eastAsia"/>
                <w:highlight w:val="none"/>
              </w:rPr>
              <w:t>3</w:t>
            </w:r>
            <w:r>
              <w:rPr>
                <w:highlight w:val="none"/>
              </w:rPr>
              <w:t>1</w:t>
            </w:r>
          </w:p>
        </w:tc>
        <w:tc>
          <w:tcPr>
            <w:tcW w:w="997" w:type="pct"/>
            <w:tcBorders>
              <w:top w:val="single" w:color="auto" w:sz="4" w:space="0"/>
              <w:left w:val="nil"/>
              <w:bottom w:val="single" w:color="auto" w:sz="4" w:space="0"/>
              <w:right w:val="single" w:color="auto" w:sz="4" w:space="0"/>
            </w:tcBorders>
            <w:shd w:val="clear" w:color="auto" w:fill="FFFFFF"/>
            <w:vAlign w:val="center"/>
          </w:tcPr>
          <w:p w14:paraId="031B0981">
            <w:pPr>
              <w:rPr>
                <w:highlight w:val="none"/>
              </w:rPr>
            </w:pPr>
            <w:r>
              <w:rPr>
                <w:rFonts w:hint="eastAsia"/>
                <w:highlight w:val="none"/>
              </w:rPr>
              <w:t>数据服务门户</w:t>
            </w:r>
          </w:p>
        </w:tc>
        <w:tc>
          <w:tcPr>
            <w:tcW w:w="1792" w:type="pct"/>
            <w:tcBorders>
              <w:top w:val="single" w:color="auto" w:sz="4" w:space="0"/>
              <w:left w:val="nil"/>
              <w:bottom w:val="single" w:color="auto" w:sz="4" w:space="0"/>
              <w:right w:val="single" w:color="auto" w:sz="4" w:space="0"/>
            </w:tcBorders>
            <w:shd w:val="clear" w:color="auto" w:fill="FFFFFF"/>
            <w:vAlign w:val="center"/>
          </w:tcPr>
          <w:p w14:paraId="371A5230">
            <w:pPr>
              <w:rPr>
                <w:highlight w:val="none"/>
              </w:rPr>
            </w:pPr>
            <w:r>
              <w:rPr>
                <w:rFonts w:hint="eastAsia"/>
                <w:highlight w:val="none"/>
              </w:rPr>
              <w:t>数据分类分级</w:t>
            </w:r>
          </w:p>
        </w:tc>
        <w:tc>
          <w:tcPr>
            <w:tcW w:w="1791" w:type="pct"/>
            <w:tcBorders>
              <w:top w:val="single" w:color="auto" w:sz="4" w:space="0"/>
              <w:left w:val="nil"/>
              <w:bottom w:val="single" w:color="auto" w:sz="4" w:space="0"/>
              <w:right w:val="single" w:color="auto" w:sz="4" w:space="0"/>
            </w:tcBorders>
            <w:shd w:val="clear" w:color="auto" w:fill="FFFFFF"/>
            <w:vAlign w:val="center"/>
          </w:tcPr>
          <w:p w14:paraId="12FCAC4C">
            <w:pPr>
              <w:rPr>
                <w:highlight w:val="none"/>
              </w:rPr>
            </w:pPr>
            <w:r>
              <w:rPr>
                <w:rFonts w:hint="eastAsia"/>
                <w:highlight w:val="none"/>
              </w:rPr>
              <w:t>支持数据安全分级管理；支持自定义分级分类；支持对数据表进行分级分类配置。支持与数据审批流程进行关联，支持不同类型的人员申请数据使用不通的数据审批流程。数据分类支持区分敏感数据，敏感数据在平台中需加密存储。</w:t>
            </w:r>
          </w:p>
        </w:tc>
      </w:tr>
      <w:tr w14:paraId="1F48B70B">
        <w:tblPrEx>
          <w:tblCellMar>
            <w:top w:w="0" w:type="dxa"/>
            <w:left w:w="108" w:type="dxa"/>
            <w:bottom w:w="0" w:type="dxa"/>
            <w:right w:w="108" w:type="dxa"/>
          </w:tblCellMar>
        </w:tblPrEx>
        <w:trPr>
          <w:trHeight w:val="711" w:hRule="atLeast"/>
          <w:jc w:val="center"/>
        </w:trPr>
        <w:tc>
          <w:tcPr>
            <w:tcW w:w="420" w:type="pct"/>
            <w:tcBorders>
              <w:top w:val="single" w:color="auto" w:sz="4" w:space="0"/>
              <w:left w:val="single" w:color="auto" w:sz="4" w:space="0"/>
              <w:bottom w:val="single" w:color="auto" w:sz="4" w:space="0"/>
              <w:right w:val="single" w:color="auto" w:sz="4" w:space="0"/>
            </w:tcBorders>
            <w:shd w:val="clear" w:color="auto" w:fill="FFFFFF"/>
            <w:vAlign w:val="center"/>
          </w:tcPr>
          <w:p w14:paraId="65BF7730">
            <w:pPr>
              <w:rPr>
                <w:highlight w:val="none"/>
              </w:rPr>
            </w:pPr>
            <w:r>
              <w:rPr>
                <w:rFonts w:hint="eastAsia"/>
                <w:highlight w:val="none"/>
              </w:rPr>
              <w:t>3</w:t>
            </w:r>
            <w:r>
              <w:rPr>
                <w:highlight w:val="none"/>
              </w:rPr>
              <w:t>2</w:t>
            </w:r>
          </w:p>
        </w:tc>
        <w:tc>
          <w:tcPr>
            <w:tcW w:w="997" w:type="pct"/>
            <w:tcBorders>
              <w:top w:val="single" w:color="auto" w:sz="4" w:space="0"/>
              <w:left w:val="nil"/>
              <w:bottom w:val="single" w:color="auto" w:sz="4" w:space="0"/>
              <w:right w:val="single" w:color="auto" w:sz="4" w:space="0"/>
            </w:tcBorders>
            <w:shd w:val="clear" w:color="auto" w:fill="FFFFFF"/>
            <w:vAlign w:val="center"/>
          </w:tcPr>
          <w:p w14:paraId="620C9E3F">
            <w:pPr>
              <w:rPr>
                <w:highlight w:val="none"/>
              </w:rPr>
            </w:pPr>
            <w:r>
              <w:rPr>
                <w:rFonts w:hint="eastAsia"/>
                <w:highlight w:val="none"/>
              </w:rPr>
              <w:t>数据服务门户</w:t>
            </w:r>
          </w:p>
        </w:tc>
        <w:tc>
          <w:tcPr>
            <w:tcW w:w="1792" w:type="pct"/>
            <w:tcBorders>
              <w:top w:val="single" w:color="auto" w:sz="4" w:space="0"/>
              <w:left w:val="nil"/>
              <w:bottom w:val="single" w:color="auto" w:sz="4" w:space="0"/>
              <w:right w:val="single" w:color="auto" w:sz="4" w:space="0"/>
            </w:tcBorders>
            <w:shd w:val="clear" w:color="auto" w:fill="FFFFFF"/>
            <w:vAlign w:val="center"/>
          </w:tcPr>
          <w:p w14:paraId="0B873247">
            <w:pPr>
              <w:rPr>
                <w:highlight w:val="none"/>
              </w:rPr>
            </w:pPr>
            <w:r>
              <w:rPr>
                <w:rFonts w:hint="eastAsia"/>
                <w:highlight w:val="none"/>
              </w:rPr>
              <w:t>数据安全巡检</w:t>
            </w:r>
          </w:p>
        </w:tc>
        <w:tc>
          <w:tcPr>
            <w:tcW w:w="1791" w:type="pct"/>
            <w:tcBorders>
              <w:top w:val="single" w:color="auto" w:sz="4" w:space="0"/>
              <w:left w:val="nil"/>
              <w:bottom w:val="single" w:color="auto" w:sz="4" w:space="0"/>
              <w:right w:val="single" w:color="auto" w:sz="4" w:space="0"/>
            </w:tcBorders>
            <w:shd w:val="clear" w:color="auto" w:fill="FFFFFF"/>
            <w:vAlign w:val="center"/>
          </w:tcPr>
          <w:p w14:paraId="59135595">
            <w:pPr>
              <w:rPr>
                <w:highlight w:val="none"/>
              </w:rPr>
            </w:pPr>
            <w:r>
              <w:rPr>
                <w:rFonts w:hint="eastAsia"/>
                <w:highlight w:val="none"/>
              </w:rPr>
              <w:t>专注于敏感数据在存储和使用过程中的泄露风险评估。采用内容识别技术，结合预定义的敏感信息字典、正则表达式模式匹配以及基于机器学习的智能识别算法，对数据资产中的敏感信息进行精准定位与分析。例如，检测数据文件中是否包含个人身份信息（身份证号、银行卡号、护照号码等）、商业机密（客户名单、财务报表、专利技术等）等敏感数据，并评估这些敏感数据在存储和传输过程中的加密情况、访问控制设置是否合理，是否存在因数据备份不当、文件共享设置错误等原因导致的敏感数据泄露风险，确保敏感数据得到妥善的保护。</w:t>
            </w:r>
          </w:p>
        </w:tc>
      </w:tr>
      <w:tr w14:paraId="688535B2">
        <w:tblPrEx>
          <w:tblCellMar>
            <w:top w:w="0" w:type="dxa"/>
            <w:left w:w="108" w:type="dxa"/>
            <w:bottom w:w="0" w:type="dxa"/>
            <w:right w:w="108" w:type="dxa"/>
          </w:tblCellMar>
        </w:tblPrEx>
        <w:trPr>
          <w:trHeight w:val="1710" w:hRule="atLeast"/>
          <w:jc w:val="center"/>
        </w:trPr>
        <w:tc>
          <w:tcPr>
            <w:tcW w:w="420" w:type="pct"/>
            <w:tcBorders>
              <w:top w:val="single" w:color="auto" w:sz="4" w:space="0"/>
              <w:left w:val="single" w:color="auto" w:sz="4" w:space="0"/>
              <w:bottom w:val="single" w:color="auto" w:sz="4" w:space="0"/>
              <w:right w:val="single" w:color="auto" w:sz="4" w:space="0"/>
            </w:tcBorders>
            <w:shd w:val="clear" w:color="auto" w:fill="FFFFFF"/>
            <w:vAlign w:val="center"/>
          </w:tcPr>
          <w:p w14:paraId="6AEC7D5C">
            <w:pPr>
              <w:rPr>
                <w:highlight w:val="none"/>
              </w:rPr>
            </w:pPr>
            <w:r>
              <w:rPr>
                <w:rFonts w:hint="eastAsia"/>
                <w:highlight w:val="none"/>
              </w:rPr>
              <w:t>3</w:t>
            </w:r>
            <w:r>
              <w:rPr>
                <w:highlight w:val="none"/>
              </w:rPr>
              <w:t>3</w:t>
            </w:r>
          </w:p>
        </w:tc>
        <w:tc>
          <w:tcPr>
            <w:tcW w:w="997" w:type="pct"/>
            <w:tcBorders>
              <w:top w:val="single" w:color="auto" w:sz="4" w:space="0"/>
              <w:left w:val="nil"/>
              <w:bottom w:val="single" w:color="auto" w:sz="4" w:space="0"/>
              <w:right w:val="single" w:color="auto" w:sz="4" w:space="0"/>
            </w:tcBorders>
            <w:shd w:val="clear" w:color="auto" w:fill="FFFFFF"/>
            <w:vAlign w:val="center"/>
          </w:tcPr>
          <w:p w14:paraId="792E1216">
            <w:pPr>
              <w:rPr>
                <w:highlight w:val="none"/>
              </w:rPr>
            </w:pPr>
            <w:r>
              <w:rPr>
                <w:rFonts w:hint="eastAsia"/>
                <w:highlight w:val="none"/>
              </w:rPr>
              <w:t>数据服务门户</w:t>
            </w:r>
          </w:p>
        </w:tc>
        <w:tc>
          <w:tcPr>
            <w:tcW w:w="1792" w:type="pct"/>
            <w:tcBorders>
              <w:top w:val="single" w:color="auto" w:sz="4" w:space="0"/>
              <w:left w:val="nil"/>
              <w:bottom w:val="single" w:color="auto" w:sz="4" w:space="0"/>
              <w:right w:val="single" w:color="auto" w:sz="4" w:space="0"/>
            </w:tcBorders>
            <w:shd w:val="clear" w:color="auto" w:fill="FFFFFF"/>
            <w:vAlign w:val="center"/>
          </w:tcPr>
          <w:p w14:paraId="3A036B84">
            <w:pPr>
              <w:rPr>
                <w:highlight w:val="none"/>
              </w:rPr>
            </w:pPr>
            <w:r>
              <w:rPr>
                <w:rFonts w:hint="eastAsia"/>
                <w:highlight w:val="none"/>
              </w:rPr>
              <w:t>数据资产中心</w:t>
            </w:r>
          </w:p>
        </w:tc>
        <w:tc>
          <w:tcPr>
            <w:tcW w:w="1791" w:type="pct"/>
            <w:tcBorders>
              <w:top w:val="single" w:color="auto" w:sz="4" w:space="0"/>
              <w:left w:val="nil"/>
              <w:bottom w:val="single" w:color="auto" w:sz="4" w:space="0"/>
              <w:right w:val="single" w:color="auto" w:sz="4" w:space="0"/>
            </w:tcBorders>
            <w:shd w:val="clear" w:color="auto" w:fill="FFFFFF"/>
            <w:vAlign w:val="center"/>
          </w:tcPr>
          <w:p w14:paraId="3F2360A3">
            <w:pPr>
              <w:rPr>
                <w:highlight w:val="none"/>
              </w:rPr>
            </w:pPr>
            <w:r>
              <w:rPr>
                <w:rFonts w:hint="eastAsia"/>
                <w:highlight w:val="none"/>
              </w:rPr>
              <w:t>"支持展示数据资产汇总情况，包括数据主题数量、数据总量数量、数据资源数量、服务接口数量、数据应用数量、累计下载数量、累计调用数量。</w:t>
            </w:r>
            <w:r>
              <w:rPr>
                <w:rFonts w:hint="eastAsia"/>
                <w:highlight w:val="none"/>
              </w:rPr>
              <w:br w:type="textWrapping"/>
            </w:r>
            <w:r>
              <w:rPr>
                <w:rFonts w:hint="eastAsia"/>
                <w:highlight w:val="none"/>
              </w:rPr>
              <w:t>支持展示数据分类情况，支持基于数据主题、责任部门、业务来源、安全等级、国家标准进行数据分类展示，并支持查看当前主题分类的数据集数量和数据项数量。</w:t>
            </w:r>
            <w:r>
              <w:rPr>
                <w:rFonts w:hint="eastAsia"/>
                <w:highlight w:val="none"/>
              </w:rPr>
              <w:br w:type="textWrapping"/>
            </w:r>
            <w:r>
              <w:rPr>
                <w:rFonts w:hint="eastAsia"/>
                <w:highlight w:val="none"/>
              </w:rPr>
              <w:t>支持展示数据资产情况，可查看标准建设情况详情，包含数据标准引用数、代码标准引用率、数据参照标准数、数据执行标准数、代码执行标准数、代码标准引用数、代码参照标准数、数据标准应用率；"</w:t>
            </w:r>
          </w:p>
        </w:tc>
      </w:tr>
      <w:tr w14:paraId="61D51165">
        <w:tblPrEx>
          <w:tblCellMar>
            <w:top w:w="0" w:type="dxa"/>
            <w:left w:w="108" w:type="dxa"/>
            <w:bottom w:w="0" w:type="dxa"/>
            <w:right w:w="108" w:type="dxa"/>
          </w:tblCellMar>
        </w:tblPrEx>
        <w:trPr>
          <w:trHeight w:val="1710" w:hRule="atLeast"/>
          <w:jc w:val="center"/>
        </w:trPr>
        <w:tc>
          <w:tcPr>
            <w:tcW w:w="420" w:type="pct"/>
            <w:tcBorders>
              <w:top w:val="single" w:color="auto" w:sz="4" w:space="0"/>
              <w:left w:val="single" w:color="auto" w:sz="4" w:space="0"/>
              <w:bottom w:val="single" w:color="auto" w:sz="4" w:space="0"/>
              <w:right w:val="single" w:color="auto" w:sz="4" w:space="0"/>
            </w:tcBorders>
            <w:shd w:val="clear" w:color="auto" w:fill="FFFFFF"/>
            <w:vAlign w:val="center"/>
          </w:tcPr>
          <w:p w14:paraId="06799195">
            <w:pPr>
              <w:rPr>
                <w:highlight w:val="none"/>
              </w:rPr>
            </w:pPr>
            <w:r>
              <w:rPr>
                <w:rFonts w:hint="eastAsia"/>
                <w:highlight w:val="none"/>
              </w:rPr>
              <w:t>3</w:t>
            </w:r>
            <w:r>
              <w:rPr>
                <w:highlight w:val="none"/>
              </w:rPr>
              <w:t>4</w:t>
            </w:r>
          </w:p>
        </w:tc>
        <w:tc>
          <w:tcPr>
            <w:tcW w:w="997" w:type="pct"/>
            <w:tcBorders>
              <w:top w:val="single" w:color="auto" w:sz="4" w:space="0"/>
              <w:left w:val="nil"/>
              <w:bottom w:val="single" w:color="auto" w:sz="4" w:space="0"/>
              <w:right w:val="single" w:color="auto" w:sz="4" w:space="0"/>
            </w:tcBorders>
            <w:shd w:val="clear" w:color="auto" w:fill="FFFFFF"/>
            <w:vAlign w:val="center"/>
          </w:tcPr>
          <w:p w14:paraId="506E5731">
            <w:pPr>
              <w:rPr>
                <w:highlight w:val="none"/>
              </w:rPr>
            </w:pPr>
            <w:r>
              <w:rPr>
                <w:rFonts w:hint="eastAsia"/>
                <w:highlight w:val="none"/>
              </w:rPr>
              <w:t>数据服务门户</w:t>
            </w:r>
          </w:p>
        </w:tc>
        <w:tc>
          <w:tcPr>
            <w:tcW w:w="1792" w:type="pct"/>
            <w:tcBorders>
              <w:top w:val="single" w:color="auto" w:sz="4" w:space="0"/>
              <w:left w:val="nil"/>
              <w:bottom w:val="single" w:color="auto" w:sz="4" w:space="0"/>
              <w:right w:val="single" w:color="auto" w:sz="4" w:space="0"/>
            </w:tcBorders>
            <w:shd w:val="clear" w:color="auto" w:fill="FFFFFF"/>
            <w:vAlign w:val="center"/>
          </w:tcPr>
          <w:p w14:paraId="621B57D5">
            <w:pPr>
              <w:rPr>
                <w:highlight w:val="none"/>
              </w:rPr>
            </w:pPr>
            <w:r>
              <w:rPr>
                <w:rFonts w:hint="eastAsia"/>
                <w:highlight w:val="none"/>
              </w:rPr>
              <w:t>数据资源目录</w:t>
            </w:r>
          </w:p>
        </w:tc>
        <w:tc>
          <w:tcPr>
            <w:tcW w:w="1791" w:type="pct"/>
            <w:tcBorders>
              <w:top w:val="single" w:color="auto" w:sz="4" w:space="0"/>
              <w:left w:val="nil"/>
              <w:bottom w:val="single" w:color="auto" w:sz="4" w:space="0"/>
              <w:right w:val="single" w:color="auto" w:sz="4" w:space="0"/>
            </w:tcBorders>
            <w:shd w:val="clear" w:color="auto" w:fill="FFFFFF"/>
            <w:vAlign w:val="center"/>
          </w:tcPr>
          <w:p w14:paraId="6DA3B6C9">
            <w:pPr>
              <w:rPr>
                <w:highlight w:val="none"/>
              </w:rPr>
            </w:pPr>
            <w:r>
              <w:rPr>
                <w:rFonts w:hint="eastAsia"/>
                <w:highlight w:val="none"/>
              </w:rPr>
              <w:t>支持按照数据热度查找数据资源，包括热数据、温数据和冷数据。支持按照数据提供情况（全部、未提供、线上提供、线下提供）、使用频次（全部、高频、低频）进行筛选；支持通过记录数、访问热度、访问量、数据质量反馈、数据更新时间、数据点赞量等动态维度对数据资源进行排序查看。允许用户按对象名称、标签、使用频次或数据分类等进行全面搜索来定位特定的数据集。可按照更新时间、访问量、点赞量、反馈量对某主题或某部门下的资源进行排序。</w:t>
            </w:r>
          </w:p>
        </w:tc>
      </w:tr>
      <w:tr w14:paraId="5BBB4EDC">
        <w:tblPrEx>
          <w:tblCellMar>
            <w:top w:w="0" w:type="dxa"/>
            <w:left w:w="108" w:type="dxa"/>
            <w:bottom w:w="0" w:type="dxa"/>
            <w:right w:w="108" w:type="dxa"/>
          </w:tblCellMar>
        </w:tblPrEx>
        <w:trPr>
          <w:trHeight w:val="1710" w:hRule="atLeast"/>
          <w:jc w:val="center"/>
        </w:trPr>
        <w:tc>
          <w:tcPr>
            <w:tcW w:w="420" w:type="pct"/>
            <w:tcBorders>
              <w:top w:val="single" w:color="auto" w:sz="4" w:space="0"/>
              <w:left w:val="single" w:color="auto" w:sz="4" w:space="0"/>
              <w:bottom w:val="single" w:color="auto" w:sz="4" w:space="0"/>
              <w:right w:val="single" w:color="auto" w:sz="4" w:space="0"/>
            </w:tcBorders>
            <w:shd w:val="clear" w:color="auto" w:fill="FFFFFF"/>
            <w:vAlign w:val="center"/>
          </w:tcPr>
          <w:p w14:paraId="2D64EA5C">
            <w:pPr>
              <w:rPr>
                <w:highlight w:val="none"/>
              </w:rPr>
            </w:pPr>
            <w:r>
              <w:rPr>
                <w:rFonts w:hint="eastAsia"/>
                <w:highlight w:val="none"/>
              </w:rPr>
              <w:t>3</w:t>
            </w:r>
            <w:r>
              <w:rPr>
                <w:highlight w:val="none"/>
              </w:rPr>
              <w:t>5</w:t>
            </w:r>
          </w:p>
        </w:tc>
        <w:tc>
          <w:tcPr>
            <w:tcW w:w="997" w:type="pct"/>
            <w:tcBorders>
              <w:top w:val="single" w:color="auto" w:sz="4" w:space="0"/>
              <w:left w:val="nil"/>
              <w:bottom w:val="single" w:color="auto" w:sz="4" w:space="0"/>
              <w:right w:val="single" w:color="auto" w:sz="4" w:space="0"/>
            </w:tcBorders>
            <w:shd w:val="clear" w:color="auto" w:fill="FFFFFF"/>
            <w:vAlign w:val="center"/>
          </w:tcPr>
          <w:p w14:paraId="719BC4FD">
            <w:pPr>
              <w:rPr>
                <w:highlight w:val="none"/>
              </w:rPr>
            </w:pPr>
            <w:r>
              <w:rPr>
                <w:rFonts w:hint="eastAsia"/>
                <w:highlight w:val="none"/>
              </w:rPr>
              <w:t>数据服务门户</w:t>
            </w:r>
          </w:p>
        </w:tc>
        <w:tc>
          <w:tcPr>
            <w:tcW w:w="1792" w:type="pct"/>
            <w:tcBorders>
              <w:top w:val="single" w:color="auto" w:sz="4" w:space="0"/>
              <w:left w:val="nil"/>
              <w:bottom w:val="single" w:color="auto" w:sz="4" w:space="0"/>
              <w:right w:val="single" w:color="auto" w:sz="4" w:space="0"/>
            </w:tcBorders>
            <w:shd w:val="clear" w:color="auto" w:fill="FFFFFF"/>
            <w:vAlign w:val="center"/>
          </w:tcPr>
          <w:p w14:paraId="11394184">
            <w:pPr>
              <w:rPr>
                <w:highlight w:val="none"/>
              </w:rPr>
            </w:pPr>
            <w:r>
              <w:rPr>
                <w:rFonts w:hint="eastAsia"/>
                <w:highlight w:val="none"/>
              </w:rPr>
              <w:t>数据接口目录</w:t>
            </w:r>
          </w:p>
        </w:tc>
        <w:tc>
          <w:tcPr>
            <w:tcW w:w="1791" w:type="pct"/>
            <w:tcBorders>
              <w:top w:val="single" w:color="auto" w:sz="4" w:space="0"/>
              <w:left w:val="nil"/>
              <w:bottom w:val="single" w:color="auto" w:sz="4" w:space="0"/>
              <w:right w:val="single" w:color="auto" w:sz="4" w:space="0"/>
            </w:tcBorders>
            <w:shd w:val="clear" w:color="auto" w:fill="FFFFFF"/>
            <w:vAlign w:val="center"/>
          </w:tcPr>
          <w:p w14:paraId="0E8B1915">
            <w:pPr>
              <w:rPr>
                <w:highlight w:val="none"/>
              </w:rPr>
            </w:pPr>
            <w:r>
              <w:rPr>
                <w:rFonts w:hint="eastAsia"/>
                <w:highlight w:val="none"/>
              </w:rPr>
              <w:t>为数据使用者提供常用封装好的接口资源，数据申请者在数据接口列表中查询到所需接口直接申请使用即可，无需信息化管理处重复地将同一个接口授权给不同的数据使用者，为数据管理者、使用者提供了便捷的数据使用流程，加快数据共享效率</w:t>
            </w:r>
          </w:p>
        </w:tc>
      </w:tr>
      <w:tr w14:paraId="14A74A9B">
        <w:tblPrEx>
          <w:tblCellMar>
            <w:top w:w="0" w:type="dxa"/>
            <w:left w:w="108" w:type="dxa"/>
            <w:bottom w:w="0" w:type="dxa"/>
            <w:right w:w="108" w:type="dxa"/>
          </w:tblCellMar>
        </w:tblPrEx>
        <w:trPr>
          <w:trHeight w:val="1710" w:hRule="atLeast"/>
          <w:jc w:val="center"/>
        </w:trPr>
        <w:tc>
          <w:tcPr>
            <w:tcW w:w="420" w:type="pct"/>
            <w:tcBorders>
              <w:top w:val="single" w:color="auto" w:sz="4" w:space="0"/>
              <w:left w:val="single" w:color="auto" w:sz="4" w:space="0"/>
              <w:bottom w:val="single" w:color="auto" w:sz="4" w:space="0"/>
              <w:right w:val="single" w:color="auto" w:sz="4" w:space="0"/>
            </w:tcBorders>
            <w:shd w:val="clear" w:color="auto" w:fill="FFFFFF"/>
            <w:vAlign w:val="center"/>
          </w:tcPr>
          <w:p w14:paraId="37BB58EA">
            <w:pPr>
              <w:rPr>
                <w:highlight w:val="none"/>
              </w:rPr>
            </w:pPr>
            <w:r>
              <w:rPr>
                <w:rFonts w:hint="eastAsia"/>
                <w:highlight w:val="none"/>
              </w:rPr>
              <w:t>3</w:t>
            </w:r>
            <w:r>
              <w:rPr>
                <w:highlight w:val="none"/>
              </w:rPr>
              <w:t>6</w:t>
            </w:r>
          </w:p>
        </w:tc>
        <w:tc>
          <w:tcPr>
            <w:tcW w:w="997" w:type="pct"/>
            <w:tcBorders>
              <w:top w:val="single" w:color="auto" w:sz="4" w:space="0"/>
              <w:left w:val="nil"/>
              <w:bottom w:val="single" w:color="auto" w:sz="4" w:space="0"/>
              <w:right w:val="single" w:color="auto" w:sz="4" w:space="0"/>
            </w:tcBorders>
            <w:shd w:val="clear" w:color="auto" w:fill="FFFFFF"/>
            <w:vAlign w:val="center"/>
          </w:tcPr>
          <w:p w14:paraId="008D61C4">
            <w:pPr>
              <w:rPr>
                <w:highlight w:val="none"/>
              </w:rPr>
            </w:pPr>
            <w:r>
              <w:rPr>
                <w:rFonts w:hint="eastAsia"/>
                <w:highlight w:val="none"/>
              </w:rPr>
              <w:t>数据服务门户</w:t>
            </w:r>
          </w:p>
        </w:tc>
        <w:tc>
          <w:tcPr>
            <w:tcW w:w="1792" w:type="pct"/>
            <w:tcBorders>
              <w:top w:val="single" w:color="auto" w:sz="4" w:space="0"/>
              <w:left w:val="nil"/>
              <w:bottom w:val="single" w:color="auto" w:sz="4" w:space="0"/>
              <w:right w:val="single" w:color="auto" w:sz="4" w:space="0"/>
            </w:tcBorders>
            <w:shd w:val="clear" w:color="auto" w:fill="FFFFFF"/>
            <w:vAlign w:val="center"/>
          </w:tcPr>
          <w:p w14:paraId="01F5CF79">
            <w:pPr>
              <w:rPr>
                <w:highlight w:val="none"/>
              </w:rPr>
            </w:pPr>
            <w:r>
              <w:rPr>
                <w:rFonts w:hint="eastAsia"/>
                <w:highlight w:val="none"/>
              </w:rPr>
              <w:t>数据标准目录</w:t>
            </w:r>
          </w:p>
        </w:tc>
        <w:tc>
          <w:tcPr>
            <w:tcW w:w="1791" w:type="pct"/>
            <w:tcBorders>
              <w:top w:val="single" w:color="auto" w:sz="4" w:space="0"/>
              <w:left w:val="nil"/>
              <w:bottom w:val="single" w:color="auto" w:sz="4" w:space="0"/>
              <w:right w:val="single" w:color="auto" w:sz="4" w:space="0"/>
            </w:tcBorders>
            <w:shd w:val="clear" w:color="auto" w:fill="FFFFFF"/>
            <w:vAlign w:val="center"/>
          </w:tcPr>
          <w:p w14:paraId="0E8B0290">
            <w:pPr>
              <w:rPr>
                <w:highlight w:val="none"/>
              </w:rPr>
            </w:pPr>
            <w:r>
              <w:rPr>
                <w:rFonts w:hint="eastAsia"/>
                <w:highlight w:val="none"/>
              </w:rPr>
              <w:t>支持查看热门数据标准代码和最新发布的数据标准代码，并确保热门数据标准代码或主题数据标准代码在搜索结果中优先显示。</w:t>
            </w:r>
          </w:p>
        </w:tc>
      </w:tr>
      <w:tr w14:paraId="3FDBADA6">
        <w:tblPrEx>
          <w:tblCellMar>
            <w:top w:w="0" w:type="dxa"/>
            <w:left w:w="108" w:type="dxa"/>
            <w:bottom w:w="0" w:type="dxa"/>
            <w:right w:w="108" w:type="dxa"/>
          </w:tblCellMar>
        </w:tblPrEx>
        <w:trPr>
          <w:trHeight w:val="1710" w:hRule="atLeast"/>
          <w:jc w:val="center"/>
        </w:trPr>
        <w:tc>
          <w:tcPr>
            <w:tcW w:w="420" w:type="pct"/>
            <w:tcBorders>
              <w:top w:val="single" w:color="auto" w:sz="4" w:space="0"/>
              <w:left w:val="single" w:color="auto" w:sz="4" w:space="0"/>
              <w:bottom w:val="single" w:color="auto" w:sz="4" w:space="0"/>
              <w:right w:val="single" w:color="auto" w:sz="4" w:space="0"/>
            </w:tcBorders>
            <w:shd w:val="clear" w:color="auto" w:fill="FFFFFF"/>
            <w:vAlign w:val="center"/>
          </w:tcPr>
          <w:p w14:paraId="0E3DA2CA">
            <w:pPr>
              <w:rPr>
                <w:highlight w:val="none"/>
              </w:rPr>
            </w:pPr>
            <w:r>
              <w:rPr>
                <w:rFonts w:hint="eastAsia"/>
                <w:highlight w:val="none"/>
              </w:rPr>
              <w:t>3</w:t>
            </w:r>
            <w:r>
              <w:rPr>
                <w:highlight w:val="none"/>
              </w:rPr>
              <w:t>7</w:t>
            </w:r>
          </w:p>
        </w:tc>
        <w:tc>
          <w:tcPr>
            <w:tcW w:w="997" w:type="pct"/>
            <w:tcBorders>
              <w:top w:val="single" w:color="auto" w:sz="4" w:space="0"/>
              <w:left w:val="nil"/>
              <w:bottom w:val="single" w:color="auto" w:sz="4" w:space="0"/>
              <w:right w:val="single" w:color="auto" w:sz="4" w:space="0"/>
            </w:tcBorders>
            <w:shd w:val="clear" w:color="auto" w:fill="FFFFFF"/>
            <w:vAlign w:val="center"/>
          </w:tcPr>
          <w:p w14:paraId="4E8CE417">
            <w:pPr>
              <w:rPr>
                <w:highlight w:val="none"/>
              </w:rPr>
            </w:pPr>
            <w:r>
              <w:rPr>
                <w:rFonts w:hint="eastAsia"/>
                <w:highlight w:val="none"/>
              </w:rPr>
              <w:t>数据服务门户</w:t>
            </w:r>
          </w:p>
        </w:tc>
        <w:tc>
          <w:tcPr>
            <w:tcW w:w="1792" w:type="pct"/>
            <w:tcBorders>
              <w:top w:val="single" w:color="auto" w:sz="4" w:space="0"/>
              <w:left w:val="nil"/>
              <w:bottom w:val="single" w:color="auto" w:sz="4" w:space="0"/>
              <w:right w:val="single" w:color="auto" w:sz="4" w:space="0"/>
            </w:tcBorders>
            <w:shd w:val="clear" w:color="auto" w:fill="FFFFFF"/>
            <w:vAlign w:val="center"/>
          </w:tcPr>
          <w:p w14:paraId="1FB94EBC">
            <w:pPr>
              <w:rPr>
                <w:highlight w:val="none"/>
              </w:rPr>
            </w:pPr>
            <w:r>
              <w:rPr>
                <w:rFonts w:hint="eastAsia"/>
                <w:highlight w:val="none"/>
              </w:rPr>
              <w:t>审核中心</w:t>
            </w:r>
          </w:p>
        </w:tc>
        <w:tc>
          <w:tcPr>
            <w:tcW w:w="1791" w:type="pct"/>
            <w:tcBorders>
              <w:top w:val="single" w:color="auto" w:sz="4" w:space="0"/>
              <w:left w:val="nil"/>
              <w:bottom w:val="single" w:color="auto" w:sz="4" w:space="0"/>
              <w:right w:val="single" w:color="auto" w:sz="4" w:space="0"/>
            </w:tcBorders>
            <w:shd w:val="clear" w:color="auto" w:fill="FFFFFF"/>
            <w:vAlign w:val="center"/>
          </w:tcPr>
          <w:p w14:paraId="45FD8BF5">
            <w:pPr>
              <w:rPr>
                <w:highlight w:val="none"/>
              </w:rPr>
            </w:pPr>
            <w:r>
              <w:rPr>
                <w:rFonts w:hint="eastAsia"/>
                <w:highlight w:val="none"/>
              </w:rPr>
              <w:t>提供丰富多样的数据审批场景，包括数据资源、数据接口、数据查询、服务开发接口以及服务开发视图等。</w:t>
            </w:r>
          </w:p>
        </w:tc>
      </w:tr>
      <w:tr w14:paraId="627360ED">
        <w:tblPrEx>
          <w:tblCellMar>
            <w:top w:w="0" w:type="dxa"/>
            <w:left w:w="108" w:type="dxa"/>
            <w:bottom w:w="0" w:type="dxa"/>
            <w:right w:w="108" w:type="dxa"/>
          </w:tblCellMar>
        </w:tblPrEx>
        <w:trPr>
          <w:trHeight w:val="1710" w:hRule="atLeast"/>
          <w:jc w:val="center"/>
        </w:trPr>
        <w:tc>
          <w:tcPr>
            <w:tcW w:w="420" w:type="pct"/>
            <w:tcBorders>
              <w:top w:val="single" w:color="auto" w:sz="4" w:space="0"/>
              <w:left w:val="single" w:color="auto" w:sz="4" w:space="0"/>
              <w:bottom w:val="single" w:color="auto" w:sz="4" w:space="0"/>
              <w:right w:val="single" w:color="auto" w:sz="4" w:space="0"/>
            </w:tcBorders>
            <w:shd w:val="clear" w:color="auto" w:fill="FFFFFF"/>
            <w:vAlign w:val="center"/>
          </w:tcPr>
          <w:p w14:paraId="207EA9F2">
            <w:pPr>
              <w:rPr>
                <w:highlight w:val="none"/>
              </w:rPr>
            </w:pPr>
            <w:r>
              <w:rPr>
                <w:rFonts w:hint="eastAsia"/>
                <w:highlight w:val="none"/>
              </w:rPr>
              <w:t>3</w:t>
            </w:r>
            <w:r>
              <w:rPr>
                <w:highlight w:val="none"/>
              </w:rPr>
              <w:t>8</w:t>
            </w:r>
          </w:p>
        </w:tc>
        <w:tc>
          <w:tcPr>
            <w:tcW w:w="997" w:type="pct"/>
            <w:tcBorders>
              <w:top w:val="single" w:color="auto" w:sz="4" w:space="0"/>
              <w:left w:val="nil"/>
              <w:bottom w:val="single" w:color="auto" w:sz="4" w:space="0"/>
              <w:right w:val="single" w:color="auto" w:sz="4" w:space="0"/>
            </w:tcBorders>
            <w:shd w:val="clear" w:color="auto" w:fill="FFFFFF"/>
            <w:vAlign w:val="center"/>
          </w:tcPr>
          <w:p w14:paraId="47B8A53D">
            <w:pPr>
              <w:rPr>
                <w:highlight w:val="none"/>
              </w:rPr>
            </w:pPr>
            <w:r>
              <w:rPr>
                <w:rFonts w:hint="eastAsia"/>
                <w:highlight w:val="none"/>
              </w:rPr>
              <w:t>数据服务门户</w:t>
            </w:r>
          </w:p>
        </w:tc>
        <w:tc>
          <w:tcPr>
            <w:tcW w:w="1792" w:type="pct"/>
            <w:tcBorders>
              <w:top w:val="single" w:color="auto" w:sz="4" w:space="0"/>
              <w:left w:val="nil"/>
              <w:bottom w:val="single" w:color="auto" w:sz="4" w:space="0"/>
              <w:right w:val="single" w:color="auto" w:sz="4" w:space="0"/>
            </w:tcBorders>
            <w:shd w:val="clear" w:color="auto" w:fill="FFFFFF"/>
            <w:vAlign w:val="center"/>
          </w:tcPr>
          <w:p w14:paraId="1F135314">
            <w:pPr>
              <w:rPr>
                <w:highlight w:val="none"/>
              </w:rPr>
            </w:pPr>
            <w:r>
              <w:rPr>
                <w:rFonts w:hint="eastAsia"/>
                <w:highlight w:val="none"/>
              </w:rPr>
              <w:t>资源报告</w:t>
            </w:r>
          </w:p>
        </w:tc>
        <w:tc>
          <w:tcPr>
            <w:tcW w:w="1791" w:type="pct"/>
            <w:tcBorders>
              <w:top w:val="single" w:color="auto" w:sz="4" w:space="0"/>
              <w:left w:val="nil"/>
              <w:bottom w:val="single" w:color="auto" w:sz="4" w:space="0"/>
              <w:right w:val="single" w:color="auto" w:sz="4" w:space="0"/>
            </w:tcBorders>
            <w:shd w:val="clear" w:color="auto" w:fill="FFFFFF"/>
            <w:vAlign w:val="center"/>
          </w:tcPr>
          <w:p w14:paraId="2FEDF35F">
            <w:pPr>
              <w:rPr>
                <w:highlight w:val="none"/>
              </w:rPr>
            </w:pPr>
            <w:r>
              <w:rPr>
                <w:rFonts w:hint="eastAsia"/>
                <w:highlight w:val="none"/>
              </w:rPr>
              <w:t>提供数据地图、代码资产报告、API资产报告、全校数据资产报告、数据血缘图谱等功能。</w:t>
            </w:r>
          </w:p>
        </w:tc>
      </w:tr>
      <w:tr w14:paraId="150FF80B">
        <w:tblPrEx>
          <w:tblCellMar>
            <w:top w:w="0" w:type="dxa"/>
            <w:left w:w="108" w:type="dxa"/>
            <w:bottom w:w="0" w:type="dxa"/>
            <w:right w:w="108" w:type="dxa"/>
          </w:tblCellMar>
        </w:tblPrEx>
        <w:trPr>
          <w:trHeight w:val="1710" w:hRule="atLeast"/>
          <w:jc w:val="center"/>
        </w:trPr>
        <w:tc>
          <w:tcPr>
            <w:tcW w:w="420" w:type="pct"/>
            <w:tcBorders>
              <w:top w:val="single" w:color="auto" w:sz="4" w:space="0"/>
              <w:left w:val="single" w:color="auto" w:sz="4" w:space="0"/>
              <w:bottom w:val="single" w:color="auto" w:sz="4" w:space="0"/>
              <w:right w:val="single" w:color="auto" w:sz="4" w:space="0"/>
            </w:tcBorders>
            <w:shd w:val="clear" w:color="auto" w:fill="FFFFFF"/>
            <w:vAlign w:val="center"/>
          </w:tcPr>
          <w:p w14:paraId="21613E2F">
            <w:pPr>
              <w:rPr>
                <w:highlight w:val="none"/>
              </w:rPr>
            </w:pPr>
            <w:r>
              <w:rPr>
                <w:rFonts w:hint="eastAsia"/>
                <w:highlight w:val="none"/>
              </w:rPr>
              <w:t>3</w:t>
            </w:r>
            <w:r>
              <w:rPr>
                <w:highlight w:val="none"/>
              </w:rPr>
              <w:t>9</w:t>
            </w:r>
          </w:p>
        </w:tc>
        <w:tc>
          <w:tcPr>
            <w:tcW w:w="997" w:type="pct"/>
            <w:tcBorders>
              <w:top w:val="single" w:color="auto" w:sz="4" w:space="0"/>
              <w:left w:val="nil"/>
              <w:bottom w:val="single" w:color="auto" w:sz="4" w:space="0"/>
              <w:right w:val="single" w:color="auto" w:sz="4" w:space="0"/>
            </w:tcBorders>
            <w:shd w:val="clear" w:color="auto" w:fill="FFFFFF"/>
            <w:vAlign w:val="center"/>
          </w:tcPr>
          <w:p w14:paraId="0AA2C266">
            <w:pPr>
              <w:rPr>
                <w:highlight w:val="none"/>
              </w:rPr>
            </w:pPr>
            <w:r>
              <w:rPr>
                <w:rFonts w:hint="eastAsia"/>
                <w:highlight w:val="none"/>
              </w:rPr>
              <w:t>数据服务门户</w:t>
            </w:r>
          </w:p>
        </w:tc>
        <w:tc>
          <w:tcPr>
            <w:tcW w:w="1792" w:type="pct"/>
            <w:tcBorders>
              <w:top w:val="single" w:color="auto" w:sz="4" w:space="0"/>
              <w:left w:val="nil"/>
              <w:bottom w:val="single" w:color="auto" w:sz="4" w:space="0"/>
              <w:right w:val="single" w:color="auto" w:sz="4" w:space="0"/>
            </w:tcBorders>
            <w:shd w:val="clear" w:color="auto" w:fill="FFFFFF"/>
            <w:vAlign w:val="center"/>
          </w:tcPr>
          <w:p w14:paraId="251DF4B9">
            <w:pPr>
              <w:rPr>
                <w:highlight w:val="none"/>
              </w:rPr>
            </w:pPr>
            <w:r>
              <w:rPr>
                <w:rFonts w:hint="eastAsia"/>
                <w:highlight w:val="none"/>
              </w:rPr>
              <w:t>制度文件管理</w:t>
            </w:r>
          </w:p>
        </w:tc>
        <w:tc>
          <w:tcPr>
            <w:tcW w:w="1791" w:type="pct"/>
            <w:tcBorders>
              <w:top w:val="single" w:color="auto" w:sz="4" w:space="0"/>
              <w:left w:val="nil"/>
              <w:bottom w:val="single" w:color="auto" w:sz="4" w:space="0"/>
              <w:right w:val="single" w:color="auto" w:sz="4" w:space="0"/>
            </w:tcBorders>
            <w:shd w:val="clear" w:color="auto" w:fill="FFFFFF"/>
            <w:vAlign w:val="center"/>
          </w:tcPr>
          <w:p w14:paraId="0FC66002">
            <w:pPr>
              <w:rPr>
                <w:highlight w:val="none"/>
              </w:rPr>
            </w:pPr>
            <w:r>
              <w:rPr>
                <w:rFonts w:hint="eastAsia"/>
                <w:highlight w:val="none"/>
              </w:rPr>
              <w:t>"支持从本地设备选择制度文件上传至系统，自动校验文件格式与大小。</w:t>
            </w:r>
            <w:r>
              <w:rPr>
                <w:rFonts w:hint="eastAsia"/>
                <w:highlight w:val="none"/>
              </w:rPr>
              <w:br w:type="textWrapping"/>
            </w:r>
            <w:r>
              <w:rPr>
                <w:rFonts w:hint="eastAsia"/>
                <w:highlight w:val="none"/>
              </w:rPr>
              <w:t>支持将上传后的文件正式发布到平台，确保文件的规范化使用。</w:t>
            </w:r>
            <w:r>
              <w:rPr>
                <w:rFonts w:hint="eastAsia"/>
                <w:highlight w:val="none"/>
              </w:rPr>
              <w:br w:type="textWrapping"/>
            </w:r>
            <w:r>
              <w:rPr>
                <w:rFonts w:hint="eastAsia"/>
                <w:highlight w:val="none"/>
              </w:rPr>
              <w:t>支持通过文件名关键词快速检索文件，支持模糊匹配与精确查询，帮助用户高效定位目标文件，提升文件查找效率。"</w:t>
            </w:r>
          </w:p>
        </w:tc>
      </w:tr>
      <w:tr w14:paraId="619A7784">
        <w:tblPrEx>
          <w:tblCellMar>
            <w:top w:w="0" w:type="dxa"/>
            <w:left w:w="108" w:type="dxa"/>
            <w:bottom w:w="0" w:type="dxa"/>
            <w:right w:w="108" w:type="dxa"/>
          </w:tblCellMar>
        </w:tblPrEx>
        <w:trPr>
          <w:trHeight w:val="1710" w:hRule="atLeast"/>
          <w:jc w:val="center"/>
        </w:trPr>
        <w:tc>
          <w:tcPr>
            <w:tcW w:w="420" w:type="pct"/>
            <w:tcBorders>
              <w:top w:val="single" w:color="auto" w:sz="4" w:space="0"/>
              <w:left w:val="single" w:color="auto" w:sz="4" w:space="0"/>
              <w:bottom w:val="single" w:color="auto" w:sz="4" w:space="0"/>
              <w:right w:val="single" w:color="auto" w:sz="4" w:space="0"/>
            </w:tcBorders>
            <w:shd w:val="clear" w:color="auto" w:fill="FFFFFF"/>
            <w:vAlign w:val="center"/>
          </w:tcPr>
          <w:p w14:paraId="6BB16ED0">
            <w:pPr>
              <w:rPr>
                <w:highlight w:val="none"/>
              </w:rPr>
            </w:pPr>
            <w:r>
              <w:rPr>
                <w:rFonts w:hint="eastAsia"/>
                <w:highlight w:val="none"/>
              </w:rPr>
              <w:t>4</w:t>
            </w:r>
            <w:r>
              <w:rPr>
                <w:highlight w:val="none"/>
              </w:rPr>
              <w:t>0</w:t>
            </w:r>
          </w:p>
        </w:tc>
        <w:tc>
          <w:tcPr>
            <w:tcW w:w="997" w:type="pct"/>
            <w:tcBorders>
              <w:top w:val="single" w:color="auto" w:sz="4" w:space="0"/>
              <w:left w:val="nil"/>
              <w:bottom w:val="single" w:color="auto" w:sz="4" w:space="0"/>
              <w:right w:val="single" w:color="auto" w:sz="4" w:space="0"/>
            </w:tcBorders>
            <w:shd w:val="clear" w:color="auto" w:fill="FFFFFF"/>
            <w:vAlign w:val="center"/>
          </w:tcPr>
          <w:p w14:paraId="4DEA9A21">
            <w:pPr>
              <w:rPr>
                <w:highlight w:val="none"/>
              </w:rPr>
            </w:pPr>
            <w:r>
              <w:rPr>
                <w:rFonts w:hint="eastAsia"/>
                <w:highlight w:val="none"/>
              </w:rPr>
              <w:t>数据可视化大屏</w:t>
            </w:r>
          </w:p>
        </w:tc>
        <w:tc>
          <w:tcPr>
            <w:tcW w:w="1792" w:type="pct"/>
            <w:tcBorders>
              <w:top w:val="single" w:color="auto" w:sz="4" w:space="0"/>
              <w:left w:val="nil"/>
              <w:bottom w:val="single" w:color="auto" w:sz="4" w:space="0"/>
              <w:right w:val="single" w:color="auto" w:sz="4" w:space="0"/>
            </w:tcBorders>
            <w:shd w:val="clear" w:color="auto" w:fill="FFFFFF"/>
            <w:vAlign w:val="center"/>
          </w:tcPr>
          <w:p w14:paraId="6B349E1B">
            <w:pPr>
              <w:rPr>
                <w:highlight w:val="none"/>
              </w:rPr>
            </w:pPr>
            <w:r>
              <w:rPr>
                <w:rFonts w:hint="eastAsia"/>
                <w:highlight w:val="none"/>
              </w:rPr>
              <w:t>科研创新主题域驾驶舱</w:t>
            </w:r>
          </w:p>
        </w:tc>
        <w:tc>
          <w:tcPr>
            <w:tcW w:w="1791" w:type="pct"/>
            <w:tcBorders>
              <w:top w:val="single" w:color="auto" w:sz="4" w:space="0"/>
              <w:left w:val="nil"/>
              <w:bottom w:val="single" w:color="auto" w:sz="4" w:space="0"/>
              <w:right w:val="single" w:color="auto" w:sz="4" w:space="0"/>
            </w:tcBorders>
            <w:shd w:val="clear" w:color="auto" w:fill="FFFFFF"/>
            <w:vAlign w:val="center"/>
          </w:tcPr>
          <w:p w14:paraId="27ADAC67">
            <w:pPr>
              <w:rPr>
                <w:highlight w:val="none"/>
              </w:rPr>
            </w:pPr>
            <w:r>
              <w:rPr>
                <w:rFonts w:hint="eastAsia"/>
                <w:highlight w:val="none"/>
              </w:rPr>
              <w:t>提供包含科研驾驶舱、研究中心管理驾驶舱</w:t>
            </w:r>
          </w:p>
        </w:tc>
      </w:tr>
      <w:tr w14:paraId="2B7516B9">
        <w:tblPrEx>
          <w:tblCellMar>
            <w:top w:w="0" w:type="dxa"/>
            <w:left w:w="108" w:type="dxa"/>
            <w:bottom w:w="0" w:type="dxa"/>
            <w:right w:w="108" w:type="dxa"/>
          </w:tblCellMar>
        </w:tblPrEx>
        <w:trPr>
          <w:trHeight w:val="1710" w:hRule="atLeast"/>
          <w:jc w:val="center"/>
        </w:trPr>
        <w:tc>
          <w:tcPr>
            <w:tcW w:w="420" w:type="pct"/>
            <w:tcBorders>
              <w:top w:val="single" w:color="auto" w:sz="4" w:space="0"/>
              <w:left w:val="single" w:color="auto" w:sz="4" w:space="0"/>
              <w:bottom w:val="single" w:color="auto" w:sz="4" w:space="0"/>
              <w:right w:val="single" w:color="auto" w:sz="4" w:space="0"/>
            </w:tcBorders>
            <w:shd w:val="clear" w:color="auto" w:fill="FFFFFF"/>
            <w:vAlign w:val="center"/>
          </w:tcPr>
          <w:p w14:paraId="64588868">
            <w:pPr>
              <w:rPr>
                <w:highlight w:val="none"/>
              </w:rPr>
            </w:pPr>
            <w:r>
              <w:rPr>
                <w:rFonts w:hint="eastAsia"/>
                <w:highlight w:val="none"/>
              </w:rPr>
              <w:t>4</w:t>
            </w:r>
            <w:r>
              <w:rPr>
                <w:highlight w:val="none"/>
              </w:rPr>
              <w:t>1</w:t>
            </w:r>
          </w:p>
        </w:tc>
        <w:tc>
          <w:tcPr>
            <w:tcW w:w="997" w:type="pct"/>
            <w:tcBorders>
              <w:top w:val="single" w:color="auto" w:sz="4" w:space="0"/>
              <w:left w:val="nil"/>
              <w:bottom w:val="single" w:color="auto" w:sz="4" w:space="0"/>
              <w:right w:val="single" w:color="auto" w:sz="4" w:space="0"/>
            </w:tcBorders>
            <w:shd w:val="clear" w:color="auto" w:fill="FFFFFF"/>
            <w:vAlign w:val="center"/>
          </w:tcPr>
          <w:p w14:paraId="1ED1E850">
            <w:pPr>
              <w:rPr>
                <w:highlight w:val="none"/>
              </w:rPr>
            </w:pPr>
            <w:r>
              <w:rPr>
                <w:rFonts w:hint="eastAsia"/>
                <w:highlight w:val="none"/>
              </w:rPr>
              <w:t>数据可视化大屏</w:t>
            </w:r>
          </w:p>
        </w:tc>
        <w:tc>
          <w:tcPr>
            <w:tcW w:w="1792" w:type="pct"/>
            <w:tcBorders>
              <w:top w:val="single" w:color="auto" w:sz="4" w:space="0"/>
              <w:left w:val="nil"/>
              <w:bottom w:val="single" w:color="auto" w:sz="4" w:space="0"/>
              <w:right w:val="single" w:color="auto" w:sz="4" w:space="0"/>
            </w:tcBorders>
            <w:shd w:val="clear" w:color="auto" w:fill="FFFFFF"/>
            <w:vAlign w:val="center"/>
          </w:tcPr>
          <w:p w14:paraId="6ADFB56E">
            <w:pPr>
              <w:rPr>
                <w:highlight w:val="none"/>
              </w:rPr>
            </w:pPr>
            <w:r>
              <w:rPr>
                <w:rFonts w:hint="eastAsia"/>
                <w:highlight w:val="none"/>
              </w:rPr>
              <w:t>财务管理主题域驾驶舱</w:t>
            </w:r>
          </w:p>
        </w:tc>
        <w:tc>
          <w:tcPr>
            <w:tcW w:w="1791" w:type="pct"/>
            <w:tcBorders>
              <w:top w:val="single" w:color="auto" w:sz="4" w:space="0"/>
              <w:left w:val="nil"/>
              <w:bottom w:val="single" w:color="auto" w:sz="4" w:space="0"/>
              <w:right w:val="single" w:color="auto" w:sz="4" w:space="0"/>
            </w:tcBorders>
            <w:shd w:val="clear" w:color="auto" w:fill="FFFFFF"/>
            <w:vAlign w:val="center"/>
          </w:tcPr>
          <w:p w14:paraId="410AD64C">
            <w:pPr>
              <w:rPr>
                <w:highlight w:val="none"/>
              </w:rPr>
            </w:pPr>
            <w:r>
              <w:rPr>
                <w:rFonts w:hint="eastAsia"/>
                <w:highlight w:val="none"/>
              </w:rPr>
              <w:t>提供包含财务驾驶舱、合同管理驾驶舱、审计监控驾驶舱</w:t>
            </w:r>
          </w:p>
        </w:tc>
      </w:tr>
      <w:tr w14:paraId="36AF36D3">
        <w:tblPrEx>
          <w:tblCellMar>
            <w:top w:w="0" w:type="dxa"/>
            <w:left w:w="108" w:type="dxa"/>
            <w:bottom w:w="0" w:type="dxa"/>
            <w:right w:w="108" w:type="dxa"/>
          </w:tblCellMar>
        </w:tblPrEx>
        <w:trPr>
          <w:trHeight w:val="1710" w:hRule="atLeast"/>
          <w:jc w:val="center"/>
        </w:trPr>
        <w:tc>
          <w:tcPr>
            <w:tcW w:w="420" w:type="pct"/>
            <w:tcBorders>
              <w:top w:val="single" w:color="auto" w:sz="4" w:space="0"/>
              <w:left w:val="single" w:color="auto" w:sz="4" w:space="0"/>
              <w:bottom w:val="single" w:color="auto" w:sz="4" w:space="0"/>
              <w:right w:val="single" w:color="auto" w:sz="4" w:space="0"/>
            </w:tcBorders>
            <w:shd w:val="clear" w:color="auto" w:fill="FFFFFF"/>
            <w:vAlign w:val="center"/>
          </w:tcPr>
          <w:p w14:paraId="64B0E512">
            <w:pPr>
              <w:rPr>
                <w:highlight w:val="none"/>
              </w:rPr>
            </w:pPr>
            <w:r>
              <w:rPr>
                <w:rFonts w:hint="eastAsia"/>
                <w:highlight w:val="none"/>
              </w:rPr>
              <w:t>4</w:t>
            </w:r>
            <w:r>
              <w:rPr>
                <w:highlight w:val="none"/>
              </w:rPr>
              <w:t>2</w:t>
            </w:r>
          </w:p>
        </w:tc>
        <w:tc>
          <w:tcPr>
            <w:tcW w:w="997" w:type="pct"/>
            <w:tcBorders>
              <w:top w:val="single" w:color="auto" w:sz="4" w:space="0"/>
              <w:left w:val="nil"/>
              <w:bottom w:val="single" w:color="auto" w:sz="4" w:space="0"/>
              <w:right w:val="single" w:color="auto" w:sz="4" w:space="0"/>
            </w:tcBorders>
            <w:shd w:val="clear" w:color="auto" w:fill="FFFFFF"/>
            <w:vAlign w:val="center"/>
          </w:tcPr>
          <w:p w14:paraId="6BF98076">
            <w:pPr>
              <w:rPr>
                <w:highlight w:val="none"/>
              </w:rPr>
            </w:pPr>
            <w:r>
              <w:rPr>
                <w:rFonts w:hint="eastAsia"/>
                <w:highlight w:val="none"/>
              </w:rPr>
              <w:t>数据可视化大屏</w:t>
            </w:r>
          </w:p>
        </w:tc>
        <w:tc>
          <w:tcPr>
            <w:tcW w:w="1792" w:type="pct"/>
            <w:tcBorders>
              <w:top w:val="single" w:color="auto" w:sz="4" w:space="0"/>
              <w:left w:val="nil"/>
              <w:bottom w:val="single" w:color="auto" w:sz="4" w:space="0"/>
              <w:right w:val="single" w:color="auto" w:sz="4" w:space="0"/>
            </w:tcBorders>
            <w:shd w:val="clear" w:color="auto" w:fill="FFFFFF"/>
            <w:vAlign w:val="center"/>
          </w:tcPr>
          <w:p w14:paraId="183BD5B7">
            <w:pPr>
              <w:rPr>
                <w:highlight w:val="none"/>
              </w:rPr>
            </w:pPr>
            <w:r>
              <w:rPr>
                <w:rFonts w:hint="eastAsia"/>
                <w:highlight w:val="none"/>
              </w:rPr>
              <w:t>办公效率主题域驾驶舱</w:t>
            </w:r>
          </w:p>
        </w:tc>
        <w:tc>
          <w:tcPr>
            <w:tcW w:w="1791" w:type="pct"/>
            <w:tcBorders>
              <w:top w:val="single" w:color="auto" w:sz="4" w:space="0"/>
              <w:left w:val="nil"/>
              <w:bottom w:val="single" w:color="auto" w:sz="4" w:space="0"/>
              <w:right w:val="single" w:color="auto" w:sz="4" w:space="0"/>
            </w:tcBorders>
            <w:shd w:val="clear" w:color="auto" w:fill="FFFFFF"/>
            <w:vAlign w:val="center"/>
          </w:tcPr>
          <w:p w14:paraId="7E150A43">
            <w:pPr>
              <w:rPr>
                <w:highlight w:val="none"/>
              </w:rPr>
            </w:pPr>
            <w:r>
              <w:rPr>
                <w:rFonts w:hint="eastAsia"/>
                <w:highlight w:val="none"/>
              </w:rPr>
              <w:t>提供包含院级总览驾驶舱、后勤驾驶舱、资产驾驶舱、项目管理驾驶舱、项目管理驾驶舱-项目看板下钻、行政管理驾驶舱、信息化管理驾驶舱、信息化管理驾驶舱-系统运行状态看板</w:t>
            </w:r>
          </w:p>
        </w:tc>
      </w:tr>
      <w:tr w14:paraId="4046E015">
        <w:tblPrEx>
          <w:tblCellMar>
            <w:top w:w="0" w:type="dxa"/>
            <w:left w:w="108" w:type="dxa"/>
            <w:bottom w:w="0" w:type="dxa"/>
            <w:right w:w="108" w:type="dxa"/>
          </w:tblCellMar>
        </w:tblPrEx>
        <w:trPr>
          <w:trHeight w:val="1710" w:hRule="atLeast"/>
          <w:jc w:val="center"/>
        </w:trPr>
        <w:tc>
          <w:tcPr>
            <w:tcW w:w="420" w:type="pct"/>
            <w:tcBorders>
              <w:top w:val="single" w:color="auto" w:sz="4" w:space="0"/>
              <w:left w:val="single" w:color="auto" w:sz="4" w:space="0"/>
              <w:bottom w:val="single" w:color="auto" w:sz="4" w:space="0"/>
              <w:right w:val="single" w:color="auto" w:sz="4" w:space="0"/>
            </w:tcBorders>
            <w:shd w:val="clear" w:color="auto" w:fill="FFFFFF"/>
            <w:vAlign w:val="center"/>
          </w:tcPr>
          <w:p w14:paraId="58B927B9">
            <w:pPr>
              <w:rPr>
                <w:highlight w:val="none"/>
              </w:rPr>
            </w:pPr>
            <w:r>
              <w:rPr>
                <w:rFonts w:hint="eastAsia"/>
                <w:highlight w:val="none"/>
              </w:rPr>
              <w:t>4</w:t>
            </w:r>
            <w:r>
              <w:rPr>
                <w:highlight w:val="none"/>
              </w:rPr>
              <w:t>3</w:t>
            </w:r>
          </w:p>
        </w:tc>
        <w:tc>
          <w:tcPr>
            <w:tcW w:w="997" w:type="pct"/>
            <w:tcBorders>
              <w:top w:val="single" w:color="auto" w:sz="4" w:space="0"/>
              <w:left w:val="nil"/>
              <w:bottom w:val="single" w:color="auto" w:sz="4" w:space="0"/>
              <w:right w:val="single" w:color="auto" w:sz="4" w:space="0"/>
            </w:tcBorders>
            <w:shd w:val="clear" w:color="auto" w:fill="FFFFFF"/>
            <w:vAlign w:val="center"/>
          </w:tcPr>
          <w:p w14:paraId="25665B51">
            <w:pPr>
              <w:rPr>
                <w:highlight w:val="none"/>
              </w:rPr>
            </w:pPr>
            <w:r>
              <w:rPr>
                <w:rFonts w:hint="eastAsia"/>
                <w:highlight w:val="none"/>
              </w:rPr>
              <w:t>数据可视化大屏</w:t>
            </w:r>
          </w:p>
        </w:tc>
        <w:tc>
          <w:tcPr>
            <w:tcW w:w="1792" w:type="pct"/>
            <w:tcBorders>
              <w:top w:val="single" w:color="auto" w:sz="4" w:space="0"/>
              <w:left w:val="nil"/>
              <w:bottom w:val="single" w:color="auto" w:sz="4" w:space="0"/>
              <w:right w:val="single" w:color="auto" w:sz="4" w:space="0"/>
            </w:tcBorders>
            <w:shd w:val="clear" w:color="auto" w:fill="FFFFFF"/>
            <w:vAlign w:val="center"/>
          </w:tcPr>
          <w:p w14:paraId="4357D247">
            <w:pPr>
              <w:rPr>
                <w:highlight w:val="none"/>
              </w:rPr>
            </w:pPr>
            <w:r>
              <w:rPr>
                <w:rFonts w:hint="eastAsia"/>
                <w:highlight w:val="none"/>
              </w:rPr>
              <w:t>人力资源主题域驾驶舱</w:t>
            </w:r>
          </w:p>
        </w:tc>
        <w:tc>
          <w:tcPr>
            <w:tcW w:w="1791" w:type="pct"/>
            <w:tcBorders>
              <w:top w:val="single" w:color="auto" w:sz="4" w:space="0"/>
              <w:left w:val="nil"/>
              <w:bottom w:val="single" w:color="auto" w:sz="4" w:space="0"/>
              <w:right w:val="single" w:color="auto" w:sz="4" w:space="0"/>
            </w:tcBorders>
            <w:shd w:val="clear" w:color="auto" w:fill="FFFFFF"/>
            <w:vAlign w:val="center"/>
          </w:tcPr>
          <w:p w14:paraId="7249EF7C">
            <w:pPr>
              <w:rPr>
                <w:highlight w:val="none"/>
              </w:rPr>
            </w:pPr>
            <w:r>
              <w:rPr>
                <w:rFonts w:hint="eastAsia"/>
                <w:highlight w:val="none"/>
              </w:rPr>
              <w:t>提供包含人事驾驶舱、人事驾驶舱下钻</w:t>
            </w:r>
          </w:p>
        </w:tc>
      </w:tr>
      <w:tr w14:paraId="2805CBC6">
        <w:tblPrEx>
          <w:tblCellMar>
            <w:top w:w="0" w:type="dxa"/>
            <w:left w:w="108" w:type="dxa"/>
            <w:bottom w:w="0" w:type="dxa"/>
            <w:right w:w="108" w:type="dxa"/>
          </w:tblCellMar>
        </w:tblPrEx>
        <w:trPr>
          <w:trHeight w:val="1710" w:hRule="atLeast"/>
          <w:jc w:val="center"/>
        </w:trPr>
        <w:tc>
          <w:tcPr>
            <w:tcW w:w="420" w:type="pct"/>
            <w:tcBorders>
              <w:top w:val="single" w:color="auto" w:sz="4" w:space="0"/>
              <w:left w:val="single" w:color="auto" w:sz="4" w:space="0"/>
              <w:bottom w:val="single" w:color="auto" w:sz="4" w:space="0"/>
              <w:right w:val="single" w:color="auto" w:sz="4" w:space="0"/>
            </w:tcBorders>
            <w:shd w:val="clear" w:color="auto" w:fill="FFFFFF"/>
            <w:vAlign w:val="center"/>
          </w:tcPr>
          <w:p w14:paraId="5BB486CE">
            <w:pPr>
              <w:rPr>
                <w:highlight w:val="none"/>
              </w:rPr>
            </w:pPr>
            <w:r>
              <w:rPr>
                <w:rFonts w:hint="eastAsia"/>
                <w:highlight w:val="none"/>
              </w:rPr>
              <w:t>4</w:t>
            </w:r>
            <w:r>
              <w:rPr>
                <w:highlight w:val="none"/>
              </w:rPr>
              <w:t>4</w:t>
            </w:r>
          </w:p>
        </w:tc>
        <w:tc>
          <w:tcPr>
            <w:tcW w:w="997" w:type="pct"/>
            <w:tcBorders>
              <w:top w:val="single" w:color="auto" w:sz="4" w:space="0"/>
              <w:left w:val="nil"/>
              <w:bottom w:val="single" w:color="auto" w:sz="4" w:space="0"/>
              <w:right w:val="single" w:color="auto" w:sz="4" w:space="0"/>
            </w:tcBorders>
            <w:shd w:val="clear" w:color="auto" w:fill="FFFFFF"/>
            <w:vAlign w:val="center"/>
          </w:tcPr>
          <w:p w14:paraId="19294331">
            <w:pPr>
              <w:rPr>
                <w:highlight w:val="none"/>
              </w:rPr>
            </w:pPr>
            <w:r>
              <w:rPr>
                <w:rFonts w:hint="eastAsia"/>
                <w:highlight w:val="none"/>
              </w:rPr>
              <w:t>数据可视化大屏</w:t>
            </w:r>
          </w:p>
        </w:tc>
        <w:tc>
          <w:tcPr>
            <w:tcW w:w="1792" w:type="pct"/>
            <w:tcBorders>
              <w:top w:val="single" w:color="auto" w:sz="4" w:space="0"/>
              <w:left w:val="nil"/>
              <w:bottom w:val="single" w:color="auto" w:sz="4" w:space="0"/>
              <w:right w:val="single" w:color="auto" w:sz="4" w:space="0"/>
            </w:tcBorders>
            <w:shd w:val="clear" w:color="auto" w:fill="FFFFFF"/>
            <w:vAlign w:val="center"/>
          </w:tcPr>
          <w:p w14:paraId="5A8E475C">
            <w:pPr>
              <w:rPr>
                <w:highlight w:val="none"/>
              </w:rPr>
            </w:pPr>
            <w:r>
              <w:rPr>
                <w:rFonts w:hint="eastAsia"/>
                <w:highlight w:val="none"/>
              </w:rPr>
              <w:t>外事服务主题域驾驶舱</w:t>
            </w:r>
          </w:p>
        </w:tc>
        <w:tc>
          <w:tcPr>
            <w:tcW w:w="1791" w:type="pct"/>
            <w:tcBorders>
              <w:top w:val="single" w:color="auto" w:sz="4" w:space="0"/>
              <w:left w:val="nil"/>
              <w:bottom w:val="single" w:color="auto" w:sz="4" w:space="0"/>
              <w:right w:val="single" w:color="auto" w:sz="4" w:space="0"/>
            </w:tcBorders>
            <w:shd w:val="clear" w:color="auto" w:fill="FFFFFF"/>
            <w:vAlign w:val="center"/>
          </w:tcPr>
          <w:p w14:paraId="39E9CEBE">
            <w:pPr>
              <w:rPr>
                <w:highlight w:val="none"/>
              </w:rPr>
            </w:pPr>
            <w:r>
              <w:rPr>
                <w:rFonts w:hint="eastAsia"/>
                <w:highlight w:val="none"/>
              </w:rPr>
              <w:t>提供国际合作驾驶舱，为国际合作相关数据提供直观展示</w:t>
            </w:r>
          </w:p>
        </w:tc>
      </w:tr>
      <w:tr w14:paraId="0A22F5E0">
        <w:tblPrEx>
          <w:tblCellMar>
            <w:top w:w="0" w:type="dxa"/>
            <w:left w:w="108" w:type="dxa"/>
            <w:bottom w:w="0" w:type="dxa"/>
            <w:right w:w="108" w:type="dxa"/>
          </w:tblCellMar>
        </w:tblPrEx>
        <w:trPr>
          <w:trHeight w:val="1710" w:hRule="atLeast"/>
          <w:jc w:val="center"/>
        </w:trPr>
        <w:tc>
          <w:tcPr>
            <w:tcW w:w="420" w:type="pct"/>
            <w:tcBorders>
              <w:top w:val="single" w:color="auto" w:sz="4" w:space="0"/>
              <w:left w:val="single" w:color="auto" w:sz="4" w:space="0"/>
              <w:bottom w:val="single" w:color="auto" w:sz="4" w:space="0"/>
              <w:right w:val="single" w:color="auto" w:sz="4" w:space="0"/>
            </w:tcBorders>
            <w:shd w:val="clear" w:color="auto" w:fill="FFFFFF"/>
            <w:vAlign w:val="center"/>
          </w:tcPr>
          <w:p w14:paraId="28BD6A18">
            <w:pPr>
              <w:rPr>
                <w:highlight w:val="none"/>
              </w:rPr>
            </w:pPr>
            <w:r>
              <w:rPr>
                <w:rFonts w:hint="eastAsia"/>
                <w:highlight w:val="none"/>
              </w:rPr>
              <w:t>4</w:t>
            </w:r>
            <w:r>
              <w:rPr>
                <w:highlight w:val="none"/>
              </w:rPr>
              <w:t>5</w:t>
            </w:r>
          </w:p>
        </w:tc>
        <w:tc>
          <w:tcPr>
            <w:tcW w:w="997" w:type="pct"/>
            <w:tcBorders>
              <w:top w:val="single" w:color="auto" w:sz="4" w:space="0"/>
              <w:left w:val="nil"/>
              <w:bottom w:val="single" w:color="auto" w:sz="4" w:space="0"/>
              <w:right w:val="single" w:color="auto" w:sz="4" w:space="0"/>
            </w:tcBorders>
            <w:shd w:val="clear" w:color="auto" w:fill="FFFFFF"/>
            <w:vAlign w:val="center"/>
          </w:tcPr>
          <w:p w14:paraId="7C37F82C">
            <w:pPr>
              <w:rPr>
                <w:highlight w:val="none"/>
              </w:rPr>
            </w:pPr>
            <w:r>
              <w:rPr>
                <w:rFonts w:hint="eastAsia"/>
                <w:highlight w:val="none"/>
              </w:rPr>
              <w:t>数据可视化大屏</w:t>
            </w:r>
          </w:p>
        </w:tc>
        <w:tc>
          <w:tcPr>
            <w:tcW w:w="1792" w:type="pct"/>
            <w:tcBorders>
              <w:top w:val="single" w:color="auto" w:sz="4" w:space="0"/>
              <w:left w:val="nil"/>
              <w:bottom w:val="single" w:color="auto" w:sz="4" w:space="0"/>
              <w:right w:val="single" w:color="auto" w:sz="4" w:space="0"/>
            </w:tcBorders>
            <w:shd w:val="clear" w:color="auto" w:fill="FFFFFF"/>
            <w:vAlign w:val="center"/>
          </w:tcPr>
          <w:p w14:paraId="2C46022C">
            <w:pPr>
              <w:rPr>
                <w:highlight w:val="none"/>
              </w:rPr>
            </w:pPr>
            <w:r>
              <w:rPr>
                <w:rFonts w:hint="eastAsia"/>
                <w:highlight w:val="none"/>
              </w:rPr>
              <w:t>智库建设主题域驾驶舱</w:t>
            </w:r>
          </w:p>
        </w:tc>
        <w:tc>
          <w:tcPr>
            <w:tcW w:w="1791" w:type="pct"/>
            <w:tcBorders>
              <w:top w:val="single" w:color="auto" w:sz="4" w:space="0"/>
              <w:left w:val="nil"/>
              <w:bottom w:val="single" w:color="auto" w:sz="4" w:space="0"/>
              <w:right w:val="single" w:color="auto" w:sz="4" w:space="0"/>
            </w:tcBorders>
            <w:shd w:val="clear" w:color="auto" w:fill="FFFFFF"/>
            <w:vAlign w:val="center"/>
          </w:tcPr>
          <w:p w14:paraId="3B6B0917">
            <w:pPr>
              <w:rPr>
                <w:highlight w:val="none"/>
              </w:rPr>
            </w:pPr>
            <w:r>
              <w:rPr>
                <w:rFonts w:hint="eastAsia"/>
                <w:highlight w:val="none"/>
              </w:rPr>
              <w:t>提供智库建设驾驶舱，包括研究方向布局、研究项目管理、团队假设、成果转化应用、学术平台搭建、重点课题监控等</w:t>
            </w:r>
          </w:p>
        </w:tc>
      </w:tr>
      <w:tr w14:paraId="73D8F4C9">
        <w:tblPrEx>
          <w:tblCellMar>
            <w:top w:w="0" w:type="dxa"/>
            <w:left w:w="108" w:type="dxa"/>
            <w:bottom w:w="0" w:type="dxa"/>
            <w:right w:w="108" w:type="dxa"/>
          </w:tblCellMar>
        </w:tblPrEx>
        <w:trPr>
          <w:trHeight w:val="1710" w:hRule="atLeast"/>
          <w:jc w:val="center"/>
        </w:trPr>
        <w:tc>
          <w:tcPr>
            <w:tcW w:w="420" w:type="pct"/>
            <w:tcBorders>
              <w:top w:val="single" w:color="auto" w:sz="4" w:space="0"/>
              <w:left w:val="single" w:color="auto" w:sz="4" w:space="0"/>
              <w:bottom w:val="single" w:color="auto" w:sz="4" w:space="0"/>
              <w:right w:val="single" w:color="auto" w:sz="4" w:space="0"/>
            </w:tcBorders>
            <w:shd w:val="clear" w:color="auto" w:fill="FFFFFF"/>
            <w:vAlign w:val="center"/>
          </w:tcPr>
          <w:p w14:paraId="7131BA69">
            <w:pPr>
              <w:rPr>
                <w:highlight w:val="none"/>
              </w:rPr>
            </w:pPr>
            <w:r>
              <w:rPr>
                <w:rFonts w:hint="eastAsia"/>
                <w:highlight w:val="none"/>
              </w:rPr>
              <w:t>4</w:t>
            </w:r>
            <w:r>
              <w:rPr>
                <w:highlight w:val="none"/>
              </w:rPr>
              <w:t>6</w:t>
            </w:r>
          </w:p>
        </w:tc>
        <w:tc>
          <w:tcPr>
            <w:tcW w:w="997" w:type="pct"/>
            <w:tcBorders>
              <w:top w:val="single" w:color="auto" w:sz="4" w:space="0"/>
              <w:left w:val="nil"/>
              <w:bottom w:val="single" w:color="auto" w:sz="4" w:space="0"/>
              <w:right w:val="single" w:color="auto" w:sz="4" w:space="0"/>
            </w:tcBorders>
            <w:shd w:val="clear" w:color="auto" w:fill="FFFFFF"/>
            <w:vAlign w:val="center"/>
          </w:tcPr>
          <w:p w14:paraId="75501CC9">
            <w:pPr>
              <w:rPr>
                <w:highlight w:val="none"/>
              </w:rPr>
            </w:pPr>
            <w:r>
              <w:rPr>
                <w:rFonts w:hint="eastAsia"/>
                <w:highlight w:val="none"/>
              </w:rPr>
              <w:t>智能填报平台</w:t>
            </w:r>
          </w:p>
        </w:tc>
        <w:tc>
          <w:tcPr>
            <w:tcW w:w="1792" w:type="pct"/>
            <w:tcBorders>
              <w:top w:val="single" w:color="auto" w:sz="4" w:space="0"/>
              <w:left w:val="nil"/>
              <w:bottom w:val="single" w:color="auto" w:sz="4" w:space="0"/>
              <w:right w:val="single" w:color="auto" w:sz="4" w:space="0"/>
            </w:tcBorders>
            <w:shd w:val="clear" w:color="auto" w:fill="FFFFFF"/>
            <w:vAlign w:val="center"/>
          </w:tcPr>
          <w:p w14:paraId="22A5C199">
            <w:pPr>
              <w:rPr>
                <w:highlight w:val="none"/>
              </w:rPr>
            </w:pPr>
            <w:r>
              <w:rPr>
                <w:rFonts w:hint="eastAsia"/>
                <w:highlight w:val="none"/>
              </w:rPr>
              <w:t>填报中心</w:t>
            </w:r>
          </w:p>
        </w:tc>
        <w:tc>
          <w:tcPr>
            <w:tcW w:w="1791" w:type="pct"/>
            <w:tcBorders>
              <w:top w:val="single" w:color="auto" w:sz="4" w:space="0"/>
              <w:left w:val="nil"/>
              <w:bottom w:val="single" w:color="auto" w:sz="4" w:space="0"/>
              <w:right w:val="single" w:color="auto" w:sz="4" w:space="0"/>
            </w:tcBorders>
            <w:shd w:val="clear" w:color="auto" w:fill="FFFFFF"/>
            <w:vAlign w:val="center"/>
          </w:tcPr>
          <w:p w14:paraId="439F5170">
            <w:pPr>
              <w:rPr>
                <w:highlight w:val="none"/>
              </w:rPr>
            </w:pPr>
            <w:r>
              <w:rPr>
                <w:rFonts w:hint="eastAsia"/>
                <w:highlight w:val="none"/>
              </w:rPr>
              <w:t>提供包含填报统计、表单检索、表单排序、表单信息展示、表单填报功能。</w:t>
            </w:r>
          </w:p>
        </w:tc>
      </w:tr>
      <w:tr w14:paraId="526717C1">
        <w:tblPrEx>
          <w:tblCellMar>
            <w:top w:w="0" w:type="dxa"/>
            <w:left w:w="108" w:type="dxa"/>
            <w:bottom w:w="0" w:type="dxa"/>
            <w:right w:w="108" w:type="dxa"/>
          </w:tblCellMar>
        </w:tblPrEx>
        <w:trPr>
          <w:trHeight w:val="1710" w:hRule="atLeast"/>
          <w:jc w:val="center"/>
        </w:trPr>
        <w:tc>
          <w:tcPr>
            <w:tcW w:w="420" w:type="pct"/>
            <w:tcBorders>
              <w:top w:val="single" w:color="auto" w:sz="4" w:space="0"/>
              <w:left w:val="single" w:color="auto" w:sz="4" w:space="0"/>
              <w:bottom w:val="single" w:color="auto" w:sz="4" w:space="0"/>
              <w:right w:val="single" w:color="auto" w:sz="4" w:space="0"/>
            </w:tcBorders>
            <w:shd w:val="clear" w:color="auto" w:fill="FFFFFF"/>
            <w:vAlign w:val="center"/>
          </w:tcPr>
          <w:p w14:paraId="38ED9F85">
            <w:pPr>
              <w:rPr>
                <w:highlight w:val="none"/>
              </w:rPr>
            </w:pPr>
            <w:r>
              <w:rPr>
                <w:rFonts w:hint="eastAsia"/>
                <w:highlight w:val="none"/>
              </w:rPr>
              <w:t>4</w:t>
            </w:r>
            <w:r>
              <w:rPr>
                <w:highlight w:val="none"/>
              </w:rPr>
              <w:t>7</w:t>
            </w:r>
          </w:p>
        </w:tc>
        <w:tc>
          <w:tcPr>
            <w:tcW w:w="997" w:type="pct"/>
            <w:tcBorders>
              <w:top w:val="single" w:color="auto" w:sz="4" w:space="0"/>
              <w:left w:val="nil"/>
              <w:bottom w:val="single" w:color="auto" w:sz="4" w:space="0"/>
              <w:right w:val="single" w:color="auto" w:sz="4" w:space="0"/>
            </w:tcBorders>
            <w:shd w:val="clear" w:color="auto" w:fill="FFFFFF"/>
            <w:vAlign w:val="center"/>
          </w:tcPr>
          <w:p w14:paraId="2E6F8BCC">
            <w:pPr>
              <w:rPr>
                <w:highlight w:val="none"/>
              </w:rPr>
            </w:pPr>
            <w:r>
              <w:rPr>
                <w:rFonts w:hint="eastAsia"/>
                <w:highlight w:val="none"/>
              </w:rPr>
              <w:t>智能填报平台</w:t>
            </w:r>
          </w:p>
        </w:tc>
        <w:tc>
          <w:tcPr>
            <w:tcW w:w="1792" w:type="pct"/>
            <w:tcBorders>
              <w:top w:val="single" w:color="auto" w:sz="4" w:space="0"/>
              <w:left w:val="nil"/>
              <w:bottom w:val="single" w:color="auto" w:sz="4" w:space="0"/>
              <w:right w:val="single" w:color="auto" w:sz="4" w:space="0"/>
            </w:tcBorders>
            <w:shd w:val="clear" w:color="auto" w:fill="FFFFFF"/>
            <w:vAlign w:val="center"/>
          </w:tcPr>
          <w:p w14:paraId="4F32CAB1">
            <w:pPr>
              <w:rPr>
                <w:highlight w:val="none"/>
              </w:rPr>
            </w:pPr>
            <w:r>
              <w:rPr>
                <w:rFonts w:hint="eastAsia"/>
                <w:highlight w:val="none"/>
              </w:rPr>
              <w:t>数据填报审批</w:t>
            </w:r>
          </w:p>
        </w:tc>
        <w:tc>
          <w:tcPr>
            <w:tcW w:w="1791" w:type="pct"/>
            <w:tcBorders>
              <w:top w:val="single" w:color="auto" w:sz="4" w:space="0"/>
              <w:left w:val="nil"/>
              <w:bottom w:val="single" w:color="auto" w:sz="4" w:space="0"/>
              <w:right w:val="single" w:color="auto" w:sz="4" w:space="0"/>
            </w:tcBorders>
            <w:shd w:val="clear" w:color="auto" w:fill="FFFFFF"/>
            <w:vAlign w:val="center"/>
          </w:tcPr>
          <w:p w14:paraId="2CAC3511">
            <w:pPr>
              <w:rPr>
                <w:highlight w:val="none"/>
              </w:rPr>
            </w:pPr>
            <w:r>
              <w:rPr>
                <w:rFonts w:hint="eastAsia"/>
                <w:highlight w:val="none"/>
              </w:rPr>
              <w:t>提供数据填报流程查询、审批列表、填报表单详情、审批操作功能。</w:t>
            </w:r>
          </w:p>
        </w:tc>
      </w:tr>
      <w:tr w14:paraId="7FA1F0A5">
        <w:tblPrEx>
          <w:tblCellMar>
            <w:top w:w="0" w:type="dxa"/>
            <w:left w:w="108" w:type="dxa"/>
            <w:bottom w:w="0" w:type="dxa"/>
            <w:right w:w="108" w:type="dxa"/>
          </w:tblCellMar>
        </w:tblPrEx>
        <w:trPr>
          <w:trHeight w:val="1710" w:hRule="atLeast"/>
          <w:jc w:val="center"/>
        </w:trPr>
        <w:tc>
          <w:tcPr>
            <w:tcW w:w="420" w:type="pct"/>
            <w:tcBorders>
              <w:top w:val="single" w:color="auto" w:sz="4" w:space="0"/>
              <w:left w:val="single" w:color="auto" w:sz="4" w:space="0"/>
              <w:bottom w:val="single" w:color="auto" w:sz="4" w:space="0"/>
              <w:right w:val="single" w:color="auto" w:sz="4" w:space="0"/>
            </w:tcBorders>
            <w:shd w:val="clear" w:color="auto" w:fill="FFFFFF"/>
            <w:vAlign w:val="center"/>
          </w:tcPr>
          <w:p w14:paraId="0E7349A1">
            <w:pPr>
              <w:rPr>
                <w:highlight w:val="none"/>
              </w:rPr>
            </w:pPr>
            <w:r>
              <w:rPr>
                <w:rFonts w:hint="eastAsia"/>
                <w:highlight w:val="none"/>
              </w:rPr>
              <w:t>4</w:t>
            </w:r>
            <w:r>
              <w:rPr>
                <w:highlight w:val="none"/>
              </w:rPr>
              <w:t>8</w:t>
            </w:r>
          </w:p>
        </w:tc>
        <w:tc>
          <w:tcPr>
            <w:tcW w:w="997" w:type="pct"/>
            <w:tcBorders>
              <w:top w:val="single" w:color="auto" w:sz="4" w:space="0"/>
              <w:left w:val="nil"/>
              <w:bottom w:val="single" w:color="auto" w:sz="4" w:space="0"/>
              <w:right w:val="single" w:color="auto" w:sz="4" w:space="0"/>
            </w:tcBorders>
            <w:shd w:val="clear" w:color="auto" w:fill="FFFFFF"/>
            <w:vAlign w:val="center"/>
          </w:tcPr>
          <w:p w14:paraId="6AAA2991">
            <w:pPr>
              <w:rPr>
                <w:highlight w:val="none"/>
              </w:rPr>
            </w:pPr>
            <w:r>
              <w:rPr>
                <w:rFonts w:hint="eastAsia"/>
                <w:highlight w:val="none"/>
              </w:rPr>
              <w:t>智能填报平台</w:t>
            </w:r>
          </w:p>
        </w:tc>
        <w:tc>
          <w:tcPr>
            <w:tcW w:w="1792" w:type="pct"/>
            <w:tcBorders>
              <w:top w:val="single" w:color="auto" w:sz="4" w:space="0"/>
              <w:left w:val="nil"/>
              <w:bottom w:val="single" w:color="auto" w:sz="4" w:space="0"/>
              <w:right w:val="single" w:color="auto" w:sz="4" w:space="0"/>
            </w:tcBorders>
            <w:shd w:val="clear" w:color="auto" w:fill="FFFFFF"/>
            <w:vAlign w:val="center"/>
          </w:tcPr>
          <w:p w14:paraId="120CB2F3">
            <w:pPr>
              <w:rPr>
                <w:highlight w:val="none"/>
              </w:rPr>
            </w:pPr>
            <w:r>
              <w:rPr>
                <w:rFonts w:hint="eastAsia"/>
                <w:highlight w:val="none"/>
              </w:rPr>
              <w:t>进度可视化</w:t>
            </w:r>
          </w:p>
        </w:tc>
        <w:tc>
          <w:tcPr>
            <w:tcW w:w="1791" w:type="pct"/>
            <w:tcBorders>
              <w:top w:val="single" w:color="auto" w:sz="4" w:space="0"/>
              <w:left w:val="nil"/>
              <w:bottom w:val="single" w:color="auto" w:sz="4" w:space="0"/>
              <w:right w:val="single" w:color="auto" w:sz="4" w:space="0"/>
            </w:tcBorders>
            <w:shd w:val="clear" w:color="auto" w:fill="FFFFFF"/>
            <w:vAlign w:val="center"/>
          </w:tcPr>
          <w:p w14:paraId="77772A0D">
            <w:pPr>
              <w:rPr>
                <w:highlight w:val="none"/>
              </w:rPr>
            </w:pPr>
            <w:r>
              <w:rPr>
                <w:rFonts w:hint="eastAsia"/>
                <w:highlight w:val="none"/>
              </w:rPr>
              <w:t>提供包含数据可视化、表单统计、个人填报统计、问卷统计、数据导出功能。</w:t>
            </w:r>
          </w:p>
        </w:tc>
      </w:tr>
      <w:tr w14:paraId="46495D71">
        <w:tblPrEx>
          <w:tblCellMar>
            <w:top w:w="0" w:type="dxa"/>
            <w:left w:w="108" w:type="dxa"/>
            <w:bottom w:w="0" w:type="dxa"/>
            <w:right w:w="108" w:type="dxa"/>
          </w:tblCellMar>
        </w:tblPrEx>
        <w:trPr>
          <w:trHeight w:val="1710" w:hRule="atLeast"/>
          <w:jc w:val="center"/>
        </w:trPr>
        <w:tc>
          <w:tcPr>
            <w:tcW w:w="420" w:type="pct"/>
            <w:tcBorders>
              <w:top w:val="single" w:color="auto" w:sz="4" w:space="0"/>
              <w:left w:val="single" w:color="auto" w:sz="4" w:space="0"/>
              <w:bottom w:val="single" w:color="auto" w:sz="4" w:space="0"/>
              <w:right w:val="single" w:color="auto" w:sz="4" w:space="0"/>
            </w:tcBorders>
            <w:shd w:val="clear" w:color="auto" w:fill="FFFFFF"/>
            <w:vAlign w:val="center"/>
          </w:tcPr>
          <w:p w14:paraId="57893516">
            <w:pPr>
              <w:rPr>
                <w:highlight w:val="none"/>
              </w:rPr>
            </w:pPr>
            <w:r>
              <w:rPr>
                <w:rFonts w:hint="eastAsia"/>
                <w:highlight w:val="none"/>
              </w:rPr>
              <w:t>4</w:t>
            </w:r>
            <w:r>
              <w:rPr>
                <w:highlight w:val="none"/>
              </w:rPr>
              <w:t>9</w:t>
            </w:r>
          </w:p>
        </w:tc>
        <w:tc>
          <w:tcPr>
            <w:tcW w:w="997" w:type="pct"/>
            <w:tcBorders>
              <w:top w:val="single" w:color="auto" w:sz="4" w:space="0"/>
              <w:left w:val="nil"/>
              <w:bottom w:val="single" w:color="auto" w:sz="4" w:space="0"/>
              <w:right w:val="single" w:color="auto" w:sz="4" w:space="0"/>
            </w:tcBorders>
            <w:shd w:val="clear" w:color="auto" w:fill="FFFFFF"/>
            <w:vAlign w:val="center"/>
          </w:tcPr>
          <w:p w14:paraId="427CA426">
            <w:pPr>
              <w:rPr>
                <w:highlight w:val="none"/>
              </w:rPr>
            </w:pPr>
            <w:r>
              <w:rPr>
                <w:rFonts w:hint="eastAsia"/>
                <w:highlight w:val="none"/>
              </w:rPr>
              <w:t>智能填报平台</w:t>
            </w:r>
          </w:p>
        </w:tc>
        <w:tc>
          <w:tcPr>
            <w:tcW w:w="1792" w:type="pct"/>
            <w:tcBorders>
              <w:top w:val="single" w:color="auto" w:sz="4" w:space="0"/>
              <w:left w:val="nil"/>
              <w:bottom w:val="single" w:color="auto" w:sz="4" w:space="0"/>
              <w:right w:val="single" w:color="auto" w:sz="4" w:space="0"/>
            </w:tcBorders>
            <w:shd w:val="clear" w:color="auto" w:fill="FFFFFF"/>
            <w:vAlign w:val="center"/>
          </w:tcPr>
          <w:p w14:paraId="31F1BB6E">
            <w:pPr>
              <w:rPr>
                <w:highlight w:val="none"/>
              </w:rPr>
            </w:pPr>
            <w:r>
              <w:rPr>
                <w:rFonts w:hint="eastAsia"/>
                <w:highlight w:val="none"/>
              </w:rPr>
              <w:t>表单制作</w:t>
            </w:r>
          </w:p>
        </w:tc>
        <w:tc>
          <w:tcPr>
            <w:tcW w:w="1791" w:type="pct"/>
            <w:tcBorders>
              <w:top w:val="single" w:color="auto" w:sz="4" w:space="0"/>
              <w:left w:val="nil"/>
              <w:bottom w:val="single" w:color="auto" w:sz="4" w:space="0"/>
              <w:right w:val="single" w:color="auto" w:sz="4" w:space="0"/>
            </w:tcBorders>
            <w:shd w:val="clear" w:color="auto" w:fill="FFFFFF"/>
            <w:vAlign w:val="center"/>
          </w:tcPr>
          <w:p w14:paraId="3F105D8C">
            <w:pPr>
              <w:rPr>
                <w:highlight w:val="none"/>
              </w:rPr>
            </w:pPr>
            <w:r>
              <w:rPr>
                <w:rFonts w:hint="eastAsia"/>
                <w:highlight w:val="none"/>
              </w:rPr>
              <w:t>提供表单列表、自助设计、表单属性配置、元素属性配置、元素验证规则、多端支持、表单发布功能。</w:t>
            </w:r>
          </w:p>
        </w:tc>
      </w:tr>
      <w:tr w14:paraId="1A724474">
        <w:tblPrEx>
          <w:tblCellMar>
            <w:top w:w="0" w:type="dxa"/>
            <w:left w:w="108" w:type="dxa"/>
            <w:bottom w:w="0" w:type="dxa"/>
            <w:right w:w="108" w:type="dxa"/>
          </w:tblCellMar>
        </w:tblPrEx>
        <w:trPr>
          <w:trHeight w:val="1710" w:hRule="atLeast"/>
          <w:jc w:val="center"/>
        </w:trPr>
        <w:tc>
          <w:tcPr>
            <w:tcW w:w="420" w:type="pct"/>
            <w:tcBorders>
              <w:top w:val="single" w:color="auto" w:sz="4" w:space="0"/>
              <w:left w:val="single" w:color="auto" w:sz="4" w:space="0"/>
              <w:bottom w:val="single" w:color="auto" w:sz="4" w:space="0"/>
              <w:right w:val="single" w:color="auto" w:sz="4" w:space="0"/>
            </w:tcBorders>
            <w:shd w:val="clear" w:color="auto" w:fill="FFFFFF"/>
            <w:vAlign w:val="center"/>
          </w:tcPr>
          <w:p w14:paraId="472E777C">
            <w:pPr>
              <w:rPr>
                <w:highlight w:val="none"/>
              </w:rPr>
            </w:pPr>
            <w:r>
              <w:rPr>
                <w:rFonts w:hint="eastAsia"/>
                <w:highlight w:val="none"/>
              </w:rPr>
              <w:t>5</w:t>
            </w:r>
            <w:r>
              <w:rPr>
                <w:highlight w:val="none"/>
              </w:rPr>
              <w:t>0</w:t>
            </w:r>
          </w:p>
        </w:tc>
        <w:tc>
          <w:tcPr>
            <w:tcW w:w="997" w:type="pct"/>
            <w:tcBorders>
              <w:top w:val="single" w:color="auto" w:sz="4" w:space="0"/>
              <w:left w:val="nil"/>
              <w:bottom w:val="single" w:color="auto" w:sz="4" w:space="0"/>
              <w:right w:val="single" w:color="auto" w:sz="4" w:space="0"/>
            </w:tcBorders>
            <w:shd w:val="clear" w:color="auto" w:fill="FFFFFF"/>
            <w:vAlign w:val="center"/>
          </w:tcPr>
          <w:p w14:paraId="79589297">
            <w:pPr>
              <w:rPr>
                <w:highlight w:val="none"/>
              </w:rPr>
            </w:pPr>
            <w:r>
              <w:rPr>
                <w:rFonts w:hint="eastAsia"/>
                <w:highlight w:val="none"/>
              </w:rPr>
              <w:t>智能填报平台</w:t>
            </w:r>
          </w:p>
        </w:tc>
        <w:tc>
          <w:tcPr>
            <w:tcW w:w="1792" w:type="pct"/>
            <w:tcBorders>
              <w:top w:val="single" w:color="auto" w:sz="4" w:space="0"/>
              <w:left w:val="nil"/>
              <w:bottom w:val="single" w:color="auto" w:sz="4" w:space="0"/>
              <w:right w:val="single" w:color="auto" w:sz="4" w:space="0"/>
            </w:tcBorders>
            <w:shd w:val="clear" w:color="auto" w:fill="FFFFFF"/>
            <w:vAlign w:val="center"/>
          </w:tcPr>
          <w:p w14:paraId="4485835B">
            <w:pPr>
              <w:rPr>
                <w:highlight w:val="none"/>
              </w:rPr>
            </w:pPr>
            <w:r>
              <w:rPr>
                <w:rFonts w:hint="eastAsia"/>
                <w:highlight w:val="none"/>
              </w:rPr>
              <w:t>流程配置</w:t>
            </w:r>
          </w:p>
        </w:tc>
        <w:tc>
          <w:tcPr>
            <w:tcW w:w="1791" w:type="pct"/>
            <w:tcBorders>
              <w:top w:val="single" w:color="auto" w:sz="4" w:space="0"/>
              <w:left w:val="nil"/>
              <w:bottom w:val="single" w:color="auto" w:sz="4" w:space="0"/>
              <w:right w:val="single" w:color="auto" w:sz="4" w:space="0"/>
            </w:tcBorders>
            <w:shd w:val="clear" w:color="auto" w:fill="FFFFFF"/>
            <w:vAlign w:val="center"/>
          </w:tcPr>
          <w:p w14:paraId="40C6E3CC">
            <w:pPr>
              <w:rPr>
                <w:highlight w:val="none"/>
              </w:rPr>
            </w:pPr>
            <w:r>
              <w:rPr>
                <w:rFonts w:hint="eastAsia"/>
                <w:highlight w:val="none"/>
              </w:rPr>
              <w:t>提供申请节点、审批节点、抄送节点、审批流程配置、其他配置功能。</w:t>
            </w:r>
          </w:p>
        </w:tc>
      </w:tr>
      <w:tr w14:paraId="1015AC88">
        <w:tblPrEx>
          <w:tblCellMar>
            <w:top w:w="0" w:type="dxa"/>
            <w:left w:w="108" w:type="dxa"/>
            <w:bottom w:w="0" w:type="dxa"/>
            <w:right w:w="108" w:type="dxa"/>
          </w:tblCellMar>
        </w:tblPrEx>
        <w:trPr>
          <w:trHeight w:val="1710" w:hRule="atLeast"/>
          <w:jc w:val="center"/>
        </w:trPr>
        <w:tc>
          <w:tcPr>
            <w:tcW w:w="420" w:type="pct"/>
            <w:tcBorders>
              <w:top w:val="single" w:color="auto" w:sz="4" w:space="0"/>
              <w:left w:val="single" w:color="auto" w:sz="4" w:space="0"/>
              <w:bottom w:val="single" w:color="auto" w:sz="4" w:space="0"/>
              <w:right w:val="single" w:color="auto" w:sz="4" w:space="0"/>
            </w:tcBorders>
            <w:shd w:val="clear" w:color="auto" w:fill="FFFFFF"/>
            <w:vAlign w:val="center"/>
          </w:tcPr>
          <w:p w14:paraId="5F889302">
            <w:pPr>
              <w:rPr>
                <w:highlight w:val="none"/>
              </w:rPr>
            </w:pPr>
            <w:r>
              <w:rPr>
                <w:rFonts w:hint="eastAsia"/>
                <w:highlight w:val="none"/>
              </w:rPr>
              <w:t>5</w:t>
            </w:r>
            <w:r>
              <w:rPr>
                <w:highlight w:val="none"/>
              </w:rPr>
              <w:t>1</w:t>
            </w:r>
          </w:p>
        </w:tc>
        <w:tc>
          <w:tcPr>
            <w:tcW w:w="997" w:type="pct"/>
            <w:tcBorders>
              <w:top w:val="single" w:color="auto" w:sz="4" w:space="0"/>
              <w:left w:val="nil"/>
              <w:bottom w:val="single" w:color="auto" w:sz="4" w:space="0"/>
              <w:right w:val="single" w:color="auto" w:sz="4" w:space="0"/>
            </w:tcBorders>
            <w:shd w:val="clear" w:color="auto" w:fill="FFFFFF"/>
            <w:vAlign w:val="center"/>
          </w:tcPr>
          <w:p w14:paraId="0E2DC4BE">
            <w:pPr>
              <w:rPr>
                <w:highlight w:val="none"/>
              </w:rPr>
            </w:pPr>
            <w:r>
              <w:rPr>
                <w:rFonts w:hint="eastAsia"/>
                <w:highlight w:val="none"/>
              </w:rPr>
              <w:t>智能填报平台</w:t>
            </w:r>
          </w:p>
        </w:tc>
        <w:tc>
          <w:tcPr>
            <w:tcW w:w="1792" w:type="pct"/>
            <w:tcBorders>
              <w:top w:val="single" w:color="auto" w:sz="4" w:space="0"/>
              <w:left w:val="nil"/>
              <w:bottom w:val="single" w:color="auto" w:sz="4" w:space="0"/>
              <w:right w:val="single" w:color="auto" w:sz="4" w:space="0"/>
            </w:tcBorders>
            <w:shd w:val="clear" w:color="auto" w:fill="FFFFFF"/>
            <w:vAlign w:val="center"/>
          </w:tcPr>
          <w:p w14:paraId="27FD8677">
            <w:pPr>
              <w:rPr>
                <w:highlight w:val="none"/>
              </w:rPr>
            </w:pPr>
            <w:r>
              <w:rPr>
                <w:rFonts w:hint="eastAsia"/>
                <w:highlight w:val="none"/>
              </w:rPr>
              <w:t>模板管理</w:t>
            </w:r>
          </w:p>
        </w:tc>
        <w:tc>
          <w:tcPr>
            <w:tcW w:w="1791" w:type="pct"/>
            <w:tcBorders>
              <w:top w:val="single" w:color="auto" w:sz="4" w:space="0"/>
              <w:left w:val="nil"/>
              <w:bottom w:val="single" w:color="auto" w:sz="4" w:space="0"/>
              <w:right w:val="single" w:color="auto" w:sz="4" w:space="0"/>
            </w:tcBorders>
            <w:shd w:val="clear" w:color="auto" w:fill="FFFFFF"/>
            <w:vAlign w:val="center"/>
          </w:tcPr>
          <w:p w14:paraId="7924EE53">
            <w:pPr>
              <w:rPr>
                <w:highlight w:val="none"/>
              </w:rPr>
            </w:pPr>
            <w:r>
              <w:rPr>
                <w:rFonts w:hint="eastAsia"/>
                <w:highlight w:val="none"/>
              </w:rPr>
              <w:t>提供包含模板中心、自定义模板、历史表单管理功能。</w:t>
            </w:r>
          </w:p>
        </w:tc>
      </w:tr>
      <w:tr w14:paraId="4DD6480E">
        <w:tblPrEx>
          <w:tblCellMar>
            <w:top w:w="0" w:type="dxa"/>
            <w:left w:w="108" w:type="dxa"/>
            <w:bottom w:w="0" w:type="dxa"/>
            <w:right w:w="108" w:type="dxa"/>
          </w:tblCellMar>
        </w:tblPrEx>
        <w:trPr>
          <w:trHeight w:val="1710" w:hRule="atLeast"/>
          <w:jc w:val="center"/>
        </w:trPr>
        <w:tc>
          <w:tcPr>
            <w:tcW w:w="420" w:type="pct"/>
            <w:tcBorders>
              <w:top w:val="single" w:color="auto" w:sz="4" w:space="0"/>
              <w:left w:val="single" w:color="auto" w:sz="4" w:space="0"/>
              <w:bottom w:val="single" w:color="auto" w:sz="4" w:space="0"/>
              <w:right w:val="single" w:color="auto" w:sz="4" w:space="0"/>
            </w:tcBorders>
            <w:shd w:val="clear" w:color="auto" w:fill="FFFFFF"/>
            <w:vAlign w:val="center"/>
          </w:tcPr>
          <w:p w14:paraId="6BB759AF">
            <w:pPr>
              <w:rPr>
                <w:highlight w:val="none"/>
              </w:rPr>
            </w:pPr>
            <w:r>
              <w:rPr>
                <w:rFonts w:hint="eastAsia"/>
                <w:highlight w:val="none"/>
              </w:rPr>
              <w:t>5</w:t>
            </w:r>
            <w:r>
              <w:rPr>
                <w:highlight w:val="none"/>
              </w:rPr>
              <w:t>2</w:t>
            </w:r>
          </w:p>
        </w:tc>
        <w:tc>
          <w:tcPr>
            <w:tcW w:w="997" w:type="pct"/>
            <w:tcBorders>
              <w:top w:val="single" w:color="auto" w:sz="4" w:space="0"/>
              <w:left w:val="nil"/>
              <w:bottom w:val="single" w:color="auto" w:sz="4" w:space="0"/>
              <w:right w:val="single" w:color="auto" w:sz="4" w:space="0"/>
            </w:tcBorders>
            <w:shd w:val="clear" w:color="auto" w:fill="FFFFFF"/>
            <w:vAlign w:val="center"/>
          </w:tcPr>
          <w:p w14:paraId="50A5F4F9">
            <w:pPr>
              <w:rPr>
                <w:highlight w:val="none"/>
              </w:rPr>
            </w:pPr>
            <w:r>
              <w:rPr>
                <w:rFonts w:hint="eastAsia"/>
                <w:highlight w:val="none"/>
              </w:rPr>
              <w:t>智能填报平台</w:t>
            </w:r>
          </w:p>
        </w:tc>
        <w:tc>
          <w:tcPr>
            <w:tcW w:w="1792" w:type="pct"/>
            <w:tcBorders>
              <w:top w:val="single" w:color="auto" w:sz="4" w:space="0"/>
              <w:left w:val="nil"/>
              <w:bottom w:val="single" w:color="auto" w:sz="4" w:space="0"/>
              <w:right w:val="single" w:color="auto" w:sz="4" w:space="0"/>
            </w:tcBorders>
            <w:shd w:val="clear" w:color="auto" w:fill="FFFFFF"/>
            <w:vAlign w:val="center"/>
          </w:tcPr>
          <w:p w14:paraId="29A20443">
            <w:pPr>
              <w:rPr>
                <w:highlight w:val="none"/>
              </w:rPr>
            </w:pPr>
            <w:r>
              <w:rPr>
                <w:rFonts w:hint="eastAsia"/>
                <w:highlight w:val="none"/>
              </w:rPr>
              <w:t>问卷服务</w:t>
            </w:r>
          </w:p>
        </w:tc>
        <w:tc>
          <w:tcPr>
            <w:tcW w:w="1791" w:type="pct"/>
            <w:tcBorders>
              <w:top w:val="single" w:color="auto" w:sz="4" w:space="0"/>
              <w:left w:val="nil"/>
              <w:bottom w:val="single" w:color="auto" w:sz="4" w:space="0"/>
              <w:right w:val="single" w:color="auto" w:sz="4" w:space="0"/>
            </w:tcBorders>
            <w:shd w:val="clear" w:color="auto" w:fill="FFFFFF"/>
            <w:vAlign w:val="center"/>
          </w:tcPr>
          <w:p w14:paraId="1AF41685">
            <w:pPr>
              <w:rPr>
                <w:highlight w:val="none"/>
              </w:rPr>
            </w:pPr>
            <w:r>
              <w:rPr>
                <w:rFonts w:hint="eastAsia"/>
                <w:highlight w:val="none"/>
              </w:rPr>
              <w:t>提供包含问卷中心、问卷配置、问卷统计功能。</w:t>
            </w:r>
          </w:p>
        </w:tc>
      </w:tr>
      <w:tr w14:paraId="3F0331FD">
        <w:tblPrEx>
          <w:tblCellMar>
            <w:top w:w="0" w:type="dxa"/>
            <w:left w:w="108" w:type="dxa"/>
            <w:bottom w:w="0" w:type="dxa"/>
            <w:right w:w="108" w:type="dxa"/>
          </w:tblCellMar>
        </w:tblPrEx>
        <w:trPr>
          <w:trHeight w:val="1710" w:hRule="atLeast"/>
          <w:jc w:val="center"/>
        </w:trPr>
        <w:tc>
          <w:tcPr>
            <w:tcW w:w="420" w:type="pct"/>
            <w:tcBorders>
              <w:top w:val="single" w:color="auto" w:sz="4" w:space="0"/>
              <w:left w:val="single" w:color="auto" w:sz="4" w:space="0"/>
              <w:bottom w:val="single" w:color="auto" w:sz="4" w:space="0"/>
              <w:right w:val="single" w:color="auto" w:sz="4" w:space="0"/>
            </w:tcBorders>
            <w:shd w:val="clear" w:color="auto" w:fill="FFFFFF"/>
            <w:vAlign w:val="center"/>
          </w:tcPr>
          <w:p w14:paraId="5D5CFB2B">
            <w:pPr>
              <w:rPr>
                <w:highlight w:val="none"/>
              </w:rPr>
            </w:pPr>
            <w:r>
              <w:rPr>
                <w:rFonts w:hint="eastAsia"/>
                <w:highlight w:val="none"/>
              </w:rPr>
              <w:t>5</w:t>
            </w:r>
            <w:r>
              <w:rPr>
                <w:highlight w:val="none"/>
              </w:rPr>
              <w:t>3</w:t>
            </w:r>
          </w:p>
        </w:tc>
        <w:tc>
          <w:tcPr>
            <w:tcW w:w="997" w:type="pct"/>
            <w:tcBorders>
              <w:top w:val="single" w:color="auto" w:sz="4" w:space="0"/>
              <w:left w:val="nil"/>
              <w:bottom w:val="single" w:color="auto" w:sz="4" w:space="0"/>
              <w:right w:val="single" w:color="auto" w:sz="4" w:space="0"/>
            </w:tcBorders>
            <w:shd w:val="clear" w:color="auto" w:fill="FFFFFF"/>
            <w:vAlign w:val="center"/>
          </w:tcPr>
          <w:p w14:paraId="1FB4876C">
            <w:pPr>
              <w:rPr>
                <w:highlight w:val="none"/>
              </w:rPr>
            </w:pPr>
            <w:r>
              <w:rPr>
                <w:rFonts w:hint="eastAsia"/>
                <w:highlight w:val="none"/>
              </w:rPr>
              <w:t>智能填报平台</w:t>
            </w:r>
          </w:p>
        </w:tc>
        <w:tc>
          <w:tcPr>
            <w:tcW w:w="1792" w:type="pct"/>
            <w:tcBorders>
              <w:top w:val="single" w:color="auto" w:sz="4" w:space="0"/>
              <w:left w:val="nil"/>
              <w:bottom w:val="single" w:color="auto" w:sz="4" w:space="0"/>
              <w:right w:val="single" w:color="auto" w:sz="4" w:space="0"/>
            </w:tcBorders>
            <w:shd w:val="clear" w:color="auto" w:fill="FFFFFF"/>
            <w:vAlign w:val="center"/>
          </w:tcPr>
          <w:p w14:paraId="195C87A1">
            <w:pPr>
              <w:rPr>
                <w:highlight w:val="none"/>
              </w:rPr>
            </w:pPr>
            <w:r>
              <w:rPr>
                <w:rFonts w:hint="eastAsia"/>
                <w:highlight w:val="none"/>
              </w:rPr>
              <w:t>主题表单开发</w:t>
            </w:r>
          </w:p>
        </w:tc>
        <w:tc>
          <w:tcPr>
            <w:tcW w:w="1791" w:type="pct"/>
            <w:tcBorders>
              <w:top w:val="single" w:color="auto" w:sz="4" w:space="0"/>
              <w:left w:val="nil"/>
              <w:bottom w:val="single" w:color="auto" w:sz="4" w:space="0"/>
              <w:right w:val="single" w:color="auto" w:sz="4" w:space="0"/>
            </w:tcBorders>
            <w:shd w:val="clear" w:color="auto" w:fill="FFFFFF"/>
            <w:vAlign w:val="center"/>
          </w:tcPr>
          <w:p w14:paraId="3AFB2BCA">
            <w:pPr>
              <w:rPr>
                <w:highlight w:val="none"/>
              </w:rPr>
            </w:pPr>
            <w:r>
              <w:rPr>
                <w:rFonts w:hint="eastAsia"/>
                <w:highlight w:val="none"/>
              </w:rPr>
              <w:t>提供包含科研创新主题域、人力资源主题域、外事服务主题域、办公效率主题域的10张填报表单开发</w:t>
            </w:r>
          </w:p>
        </w:tc>
      </w:tr>
      <w:tr w14:paraId="1910E5F5">
        <w:tblPrEx>
          <w:tblCellMar>
            <w:top w:w="0" w:type="dxa"/>
            <w:left w:w="108" w:type="dxa"/>
            <w:bottom w:w="0" w:type="dxa"/>
            <w:right w:w="108" w:type="dxa"/>
          </w:tblCellMar>
        </w:tblPrEx>
        <w:trPr>
          <w:trHeight w:val="1710" w:hRule="atLeast"/>
          <w:jc w:val="center"/>
        </w:trPr>
        <w:tc>
          <w:tcPr>
            <w:tcW w:w="420" w:type="pct"/>
            <w:tcBorders>
              <w:top w:val="single" w:color="auto" w:sz="4" w:space="0"/>
              <w:left w:val="single" w:color="auto" w:sz="4" w:space="0"/>
              <w:bottom w:val="single" w:color="auto" w:sz="4" w:space="0"/>
              <w:right w:val="single" w:color="auto" w:sz="4" w:space="0"/>
            </w:tcBorders>
            <w:shd w:val="clear" w:color="auto" w:fill="FFFFFF"/>
            <w:vAlign w:val="center"/>
          </w:tcPr>
          <w:p w14:paraId="2E47DE18">
            <w:pPr>
              <w:rPr>
                <w:highlight w:val="none"/>
              </w:rPr>
            </w:pPr>
            <w:r>
              <w:rPr>
                <w:rFonts w:hint="eastAsia"/>
                <w:highlight w:val="none"/>
              </w:rPr>
              <w:t>5</w:t>
            </w:r>
            <w:r>
              <w:rPr>
                <w:highlight w:val="none"/>
              </w:rPr>
              <w:t>4</w:t>
            </w:r>
          </w:p>
        </w:tc>
        <w:tc>
          <w:tcPr>
            <w:tcW w:w="997" w:type="pct"/>
            <w:tcBorders>
              <w:top w:val="single" w:color="auto" w:sz="4" w:space="0"/>
              <w:left w:val="nil"/>
              <w:bottom w:val="single" w:color="auto" w:sz="4" w:space="0"/>
              <w:right w:val="single" w:color="auto" w:sz="4" w:space="0"/>
            </w:tcBorders>
            <w:shd w:val="clear" w:color="auto" w:fill="FFFFFF"/>
            <w:vAlign w:val="center"/>
          </w:tcPr>
          <w:p w14:paraId="72A0BAF3">
            <w:pPr>
              <w:rPr>
                <w:highlight w:val="none"/>
              </w:rPr>
            </w:pPr>
            <w:r>
              <w:rPr>
                <w:rFonts w:hint="eastAsia"/>
                <w:highlight w:val="none"/>
              </w:rPr>
              <w:t>智能填报平台</w:t>
            </w:r>
          </w:p>
        </w:tc>
        <w:tc>
          <w:tcPr>
            <w:tcW w:w="1792" w:type="pct"/>
            <w:tcBorders>
              <w:top w:val="single" w:color="auto" w:sz="4" w:space="0"/>
              <w:left w:val="nil"/>
              <w:bottom w:val="single" w:color="auto" w:sz="4" w:space="0"/>
              <w:right w:val="single" w:color="auto" w:sz="4" w:space="0"/>
            </w:tcBorders>
            <w:shd w:val="clear" w:color="auto" w:fill="FFFFFF"/>
            <w:vAlign w:val="center"/>
          </w:tcPr>
          <w:p w14:paraId="4E364350">
            <w:pPr>
              <w:rPr>
                <w:highlight w:val="none"/>
              </w:rPr>
            </w:pPr>
            <w:r>
              <w:rPr>
                <w:rFonts w:hint="eastAsia"/>
                <w:highlight w:val="none"/>
              </w:rPr>
              <w:t>补充通用信息采集表单开发</w:t>
            </w:r>
          </w:p>
        </w:tc>
        <w:tc>
          <w:tcPr>
            <w:tcW w:w="1791" w:type="pct"/>
            <w:tcBorders>
              <w:top w:val="single" w:color="auto" w:sz="4" w:space="0"/>
              <w:left w:val="nil"/>
              <w:bottom w:val="single" w:color="auto" w:sz="4" w:space="0"/>
              <w:right w:val="single" w:color="auto" w:sz="4" w:space="0"/>
            </w:tcBorders>
            <w:shd w:val="clear" w:color="auto" w:fill="FFFFFF"/>
            <w:vAlign w:val="center"/>
          </w:tcPr>
          <w:p w14:paraId="543088AB">
            <w:pPr>
              <w:rPr>
                <w:highlight w:val="none"/>
              </w:rPr>
            </w:pPr>
            <w:r>
              <w:rPr>
                <w:rFonts w:hint="eastAsia"/>
                <w:highlight w:val="none"/>
              </w:rPr>
              <w:t>提供包含科研设备基础信息表、学术成果登记表、学术活动报名表、实验室安全检查表、学生培养档案表、合作机构信息表、资产盘点明细表、图书文献采购表、学术期刊订阅表、学生竞赛报名表。</w:t>
            </w:r>
          </w:p>
        </w:tc>
      </w:tr>
      <w:tr w14:paraId="0B48EE20">
        <w:tblPrEx>
          <w:tblCellMar>
            <w:top w:w="0" w:type="dxa"/>
            <w:left w:w="108" w:type="dxa"/>
            <w:bottom w:w="0" w:type="dxa"/>
            <w:right w:w="108" w:type="dxa"/>
          </w:tblCellMar>
        </w:tblPrEx>
        <w:trPr>
          <w:trHeight w:val="1710" w:hRule="atLeast"/>
          <w:jc w:val="center"/>
        </w:trPr>
        <w:tc>
          <w:tcPr>
            <w:tcW w:w="420" w:type="pct"/>
            <w:tcBorders>
              <w:top w:val="single" w:color="auto" w:sz="4" w:space="0"/>
              <w:left w:val="single" w:color="auto" w:sz="4" w:space="0"/>
              <w:bottom w:val="single" w:color="auto" w:sz="4" w:space="0"/>
              <w:right w:val="single" w:color="auto" w:sz="4" w:space="0"/>
            </w:tcBorders>
            <w:shd w:val="clear" w:color="auto" w:fill="FFFFFF"/>
            <w:vAlign w:val="center"/>
          </w:tcPr>
          <w:p w14:paraId="0C6391BF">
            <w:pPr>
              <w:rPr>
                <w:highlight w:val="none"/>
              </w:rPr>
            </w:pPr>
            <w:r>
              <w:rPr>
                <w:rFonts w:hint="eastAsia"/>
                <w:highlight w:val="none"/>
              </w:rPr>
              <w:t>5</w:t>
            </w:r>
            <w:r>
              <w:rPr>
                <w:highlight w:val="none"/>
              </w:rPr>
              <w:t>5</w:t>
            </w:r>
          </w:p>
        </w:tc>
        <w:tc>
          <w:tcPr>
            <w:tcW w:w="997" w:type="pct"/>
            <w:tcBorders>
              <w:top w:val="single" w:color="auto" w:sz="4" w:space="0"/>
              <w:left w:val="nil"/>
              <w:bottom w:val="single" w:color="auto" w:sz="4" w:space="0"/>
              <w:right w:val="single" w:color="auto" w:sz="4" w:space="0"/>
            </w:tcBorders>
            <w:shd w:val="clear" w:color="auto" w:fill="FFFFFF"/>
            <w:vAlign w:val="center"/>
          </w:tcPr>
          <w:p w14:paraId="2EFE0B11">
            <w:pPr>
              <w:rPr>
                <w:highlight w:val="none"/>
              </w:rPr>
            </w:pPr>
            <w:r>
              <w:rPr>
                <w:rFonts w:hint="eastAsia"/>
                <w:highlight w:val="none"/>
              </w:rPr>
              <w:t>多维画像中心</w:t>
            </w:r>
          </w:p>
        </w:tc>
        <w:tc>
          <w:tcPr>
            <w:tcW w:w="1792" w:type="pct"/>
            <w:tcBorders>
              <w:top w:val="single" w:color="auto" w:sz="4" w:space="0"/>
              <w:left w:val="nil"/>
              <w:bottom w:val="single" w:color="auto" w:sz="4" w:space="0"/>
              <w:right w:val="single" w:color="auto" w:sz="4" w:space="0"/>
            </w:tcBorders>
            <w:shd w:val="clear" w:color="auto" w:fill="FFFFFF"/>
            <w:vAlign w:val="center"/>
          </w:tcPr>
          <w:p w14:paraId="25B44E38">
            <w:pPr>
              <w:rPr>
                <w:highlight w:val="none"/>
              </w:rPr>
            </w:pPr>
            <w:r>
              <w:rPr>
                <w:rFonts w:hint="eastAsia"/>
                <w:highlight w:val="none"/>
              </w:rPr>
              <w:t>数据概览</w:t>
            </w:r>
          </w:p>
        </w:tc>
        <w:tc>
          <w:tcPr>
            <w:tcW w:w="1791" w:type="pct"/>
            <w:tcBorders>
              <w:top w:val="single" w:color="auto" w:sz="4" w:space="0"/>
              <w:left w:val="nil"/>
              <w:bottom w:val="single" w:color="auto" w:sz="4" w:space="0"/>
              <w:right w:val="single" w:color="auto" w:sz="4" w:space="0"/>
            </w:tcBorders>
            <w:shd w:val="clear" w:color="auto" w:fill="FFFFFF"/>
            <w:vAlign w:val="center"/>
          </w:tcPr>
          <w:p w14:paraId="46BD644D">
            <w:pPr>
              <w:rPr>
                <w:highlight w:val="none"/>
              </w:rPr>
            </w:pPr>
            <w:r>
              <w:rPr>
                <w:rFonts w:hint="eastAsia"/>
                <w:highlight w:val="none"/>
              </w:rPr>
              <w:t>提供包含个人基础信息、科研信息、教学情况、奖项情况、论文情况、授课情况功能。</w:t>
            </w:r>
          </w:p>
        </w:tc>
      </w:tr>
      <w:tr w14:paraId="4A315395">
        <w:tblPrEx>
          <w:tblCellMar>
            <w:top w:w="0" w:type="dxa"/>
            <w:left w:w="108" w:type="dxa"/>
            <w:bottom w:w="0" w:type="dxa"/>
            <w:right w:w="108" w:type="dxa"/>
          </w:tblCellMar>
        </w:tblPrEx>
        <w:trPr>
          <w:trHeight w:val="1710" w:hRule="atLeast"/>
          <w:jc w:val="center"/>
        </w:trPr>
        <w:tc>
          <w:tcPr>
            <w:tcW w:w="420" w:type="pct"/>
            <w:tcBorders>
              <w:top w:val="single" w:color="auto" w:sz="4" w:space="0"/>
              <w:left w:val="single" w:color="auto" w:sz="4" w:space="0"/>
              <w:bottom w:val="single" w:color="auto" w:sz="4" w:space="0"/>
              <w:right w:val="single" w:color="auto" w:sz="4" w:space="0"/>
            </w:tcBorders>
            <w:shd w:val="clear" w:color="auto" w:fill="FFFFFF"/>
            <w:vAlign w:val="center"/>
          </w:tcPr>
          <w:p w14:paraId="1382AE81">
            <w:pPr>
              <w:rPr>
                <w:highlight w:val="none"/>
              </w:rPr>
            </w:pPr>
            <w:r>
              <w:rPr>
                <w:rFonts w:hint="eastAsia"/>
                <w:highlight w:val="none"/>
              </w:rPr>
              <w:t>5</w:t>
            </w:r>
            <w:r>
              <w:rPr>
                <w:highlight w:val="none"/>
              </w:rPr>
              <w:t>6</w:t>
            </w:r>
          </w:p>
        </w:tc>
        <w:tc>
          <w:tcPr>
            <w:tcW w:w="997" w:type="pct"/>
            <w:tcBorders>
              <w:top w:val="single" w:color="auto" w:sz="4" w:space="0"/>
              <w:left w:val="nil"/>
              <w:bottom w:val="single" w:color="auto" w:sz="4" w:space="0"/>
              <w:right w:val="single" w:color="auto" w:sz="4" w:space="0"/>
            </w:tcBorders>
            <w:shd w:val="clear" w:color="auto" w:fill="FFFFFF"/>
            <w:vAlign w:val="center"/>
          </w:tcPr>
          <w:p w14:paraId="31E78D48">
            <w:pPr>
              <w:rPr>
                <w:highlight w:val="none"/>
              </w:rPr>
            </w:pPr>
            <w:r>
              <w:rPr>
                <w:rFonts w:hint="eastAsia"/>
                <w:highlight w:val="none"/>
              </w:rPr>
              <w:t>多维画像中心</w:t>
            </w:r>
          </w:p>
        </w:tc>
        <w:tc>
          <w:tcPr>
            <w:tcW w:w="1792" w:type="pct"/>
            <w:tcBorders>
              <w:top w:val="single" w:color="auto" w:sz="4" w:space="0"/>
              <w:left w:val="nil"/>
              <w:bottom w:val="single" w:color="auto" w:sz="4" w:space="0"/>
              <w:right w:val="single" w:color="auto" w:sz="4" w:space="0"/>
            </w:tcBorders>
            <w:shd w:val="clear" w:color="auto" w:fill="FFFFFF"/>
            <w:vAlign w:val="center"/>
          </w:tcPr>
          <w:p w14:paraId="129864E5">
            <w:pPr>
              <w:rPr>
                <w:highlight w:val="none"/>
              </w:rPr>
            </w:pPr>
            <w:r>
              <w:rPr>
                <w:rFonts w:hint="eastAsia"/>
                <w:highlight w:val="none"/>
              </w:rPr>
              <w:t>数据详情</w:t>
            </w:r>
          </w:p>
        </w:tc>
        <w:tc>
          <w:tcPr>
            <w:tcW w:w="1791" w:type="pct"/>
            <w:tcBorders>
              <w:top w:val="single" w:color="auto" w:sz="4" w:space="0"/>
              <w:left w:val="nil"/>
              <w:bottom w:val="single" w:color="auto" w:sz="4" w:space="0"/>
              <w:right w:val="single" w:color="auto" w:sz="4" w:space="0"/>
            </w:tcBorders>
            <w:shd w:val="clear" w:color="auto" w:fill="FFFFFF"/>
            <w:vAlign w:val="center"/>
          </w:tcPr>
          <w:p w14:paraId="128D70DF">
            <w:pPr>
              <w:rPr>
                <w:highlight w:val="none"/>
              </w:rPr>
            </w:pPr>
            <w:r>
              <w:rPr>
                <w:rFonts w:hint="eastAsia"/>
                <w:highlight w:val="none"/>
              </w:rPr>
              <w:t>提供多维度展现、个人信息、教学情况、科研情况、消费情况、资产使用情况、获奖成果情况功能</w:t>
            </w:r>
          </w:p>
        </w:tc>
      </w:tr>
      <w:tr w14:paraId="72DD38A3">
        <w:tblPrEx>
          <w:tblCellMar>
            <w:top w:w="0" w:type="dxa"/>
            <w:left w:w="108" w:type="dxa"/>
            <w:bottom w:w="0" w:type="dxa"/>
            <w:right w:w="108" w:type="dxa"/>
          </w:tblCellMar>
        </w:tblPrEx>
        <w:trPr>
          <w:trHeight w:val="1710" w:hRule="atLeast"/>
          <w:jc w:val="center"/>
        </w:trPr>
        <w:tc>
          <w:tcPr>
            <w:tcW w:w="420" w:type="pct"/>
            <w:tcBorders>
              <w:top w:val="single" w:color="auto" w:sz="4" w:space="0"/>
              <w:left w:val="single" w:color="auto" w:sz="4" w:space="0"/>
              <w:bottom w:val="single" w:color="auto" w:sz="4" w:space="0"/>
              <w:right w:val="single" w:color="auto" w:sz="4" w:space="0"/>
            </w:tcBorders>
            <w:shd w:val="clear" w:color="auto" w:fill="FFFFFF"/>
            <w:vAlign w:val="center"/>
          </w:tcPr>
          <w:p w14:paraId="704E3FA2">
            <w:pPr>
              <w:rPr>
                <w:highlight w:val="none"/>
              </w:rPr>
            </w:pPr>
            <w:r>
              <w:rPr>
                <w:rFonts w:hint="eastAsia"/>
                <w:highlight w:val="none"/>
              </w:rPr>
              <w:t>5</w:t>
            </w:r>
            <w:r>
              <w:rPr>
                <w:highlight w:val="none"/>
              </w:rPr>
              <w:t>7</w:t>
            </w:r>
          </w:p>
        </w:tc>
        <w:tc>
          <w:tcPr>
            <w:tcW w:w="997" w:type="pct"/>
            <w:tcBorders>
              <w:top w:val="single" w:color="auto" w:sz="4" w:space="0"/>
              <w:left w:val="nil"/>
              <w:bottom w:val="single" w:color="auto" w:sz="4" w:space="0"/>
              <w:right w:val="single" w:color="auto" w:sz="4" w:space="0"/>
            </w:tcBorders>
            <w:shd w:val="clear" w:color="auto" w:fill="FFFFFF"/>
            <w:vAlign w:val="center"/>
          </w:tcPr>
          <w:p w14:paraId="43E775F0">
            <w:pPr>
              <w:rPr>
                <w:highlight w:val="none"/>
              </w:rPr>
            </w:pPr>
            <w:r>
              <w:rPr>
                <w:rFonts w:hint="eastAsia"/>
                <w:highlight w:val="none"/>
              </w:rPr>
              <w:t>多维画像中心</w:t>
            </w:r>
          </w:p>
        </w:tc>
        <w:tc>
          <w:tcPr>
            <w:tcW w:w="1792" w:type="pct"/>
            <w:tcBorders>
              <w:top w:val="single" w:color="auto" w:sz="4" w:space="0"/>
              <w:left w:val="nil"/>
              <w:bottom w:val="single" w:color="auto" w:sz="4" w:space="0"/>
              <w:right w:val="single" w:color="auto" w:sz="4" w:space="0"/>
            </w:tcBorders>
            <w:shd w:val="clear" w:color="auto" w:fill="FFFFFF"/>
            <w:vAlign w:val="center"/>
          </w:tcPr>
          <w:p w14:paraId="0B0086C6">
            <w:pPr>
              <w:rPr>
                <w:highlight w:val="none"/>
              </w:rPr>
            </w:pPr>
            <w:r>
              <w:rPr>
                <w:rFonts w:hint="eastAsia"/>
                <w:highlight w:val="none"/>
              </w:rPr>
              <w:t>应用中心设计</w:t>
            </w:r>
          </w:p>
        </w:tc>
        <w:tc>
          <w:tcPr>
            <w:tcW w:w="1791" w:type="pct"/>
            <w:tcBorders>
              <w:top w:val="single" w:color="auto" w:sz="4" w:space="0"/>
              <w:left w:val="nil"/>
              <w:bottom w:val="single" w:color="auto" w:sz="4" w:space="0"/>
              <w:right w:val="single" w:color="auto" w:sz="4" w:space="0"/>
            </w:tcBorders>
            <w:shd w:val="clear" w:color="auto" w:fill="FFFFFF"/>
            <w:vAlign w:val="center"/>
          </w:tcPr>
          <w:p w14:paraId="59ADF73B">
            <w:pPr>
              <w:rPr>
                <w:highlight w:val="none"/>
              </w:rPr>
            </w:pPr>
            <w:r>
              <w:rPr>
                <w:rFonts w:hint="eastAsia"/>
                <w:highlight w:val="none"/>
              </w:rPr>
              <w:t>提供包含信息分类呈现、全局自定义配置、可视化图表模板库、多终端支持、图表联动功能。</w:t>
            </w:r>
          </w:p>
        </w:tc>
      </w:tr>
      <w:tr w14:paraId="655252D9">
        <w:tblPrEx>
          <w:tblCellMar>
            <w:top w:w="0" w:type="dxa"/>
            <w:left w:w="108" w:type="dxa"/>
            <w:bottom w:w="0" w:type="dxa"/>
            <w:right w:w="108" w:type="dxa"/>
          </w:tblCellMar>
        </w:tblPrEx>
        <w:trPr>
          <w:trHeight w:val="1710" w:hRule="atLeast"/>
          <w:jc w:val="center"/>
        </w:trPr>
        <w:tc>
          <w:tcPr>
            <w:tcW w:w="420" w:type="pct"/>
            <w:tcBorders>
              <w:top w:val="single" w:color="auto" w:sz="4" w:space="0"/>
              <w:left w:val="single" w:color="auto" w:sz="4" w:space="0"/>
              <w:bottom w:val="single" w:color="auto" w:sz="4" w:space="0"/>
              <w:right w:val="single" w:color="auto" w:sz="4" w:space="0"/>
            </w:tcBorders>
            <w:shd w:val="clear" w:color="auto" w:fill="FFFFFF"/>
            <w:vAlign w:val="center"/>
          </w:tcPr>
          <w:p w14:paraId="3503483E">
            <w:pPr>
              <w:rPr>
                <w:highlight w:val="none"/>
              </w:rPr>
            </w:pPr>
            <w:r>
              <w:rPr>
                <w:rFonts w:hint="eastAsia"/>
                <w:highlight w:val="none"/>
              </w:rPr>
              <w:t>5</w:t>
            </w:r>
            <w:r>
              <w:rPr>
                <w:highlight w:val="none"/>
              </w:rPr>
              <w:t>8</w:t>
            </w:r>
          </w:p>
        </w:tc>
        <w:tc>
          <w:tcPr>
            <w:tcW w:w="997" w:type="pct"/>
            <w:tcBorders>
              <w:top w:val="single" w:color="auto" w:sz="4" w:space="0"/>
              <w:left w:val="nil"/>
              <w:bottom w:val="single" w:color="auto" w:sz="4" w:space="0"/>
              <w:right w:val="single" w:color="auto" w:sz="4" w:space="0"/>
            </w:tcBorders>
            <w:shd w:val="clear" w:color="auto" w:fill="FFFFFF"/>
            <w:vAlign w:val="center"/>
          </w:tcPr>
          <w:p w14:paraId="3F7A332F">
            <w:pPr>
              <w:rPr>
                <w:highlight w:val="none"/>
              </w:rPr>
            </w:pPr>
            <w:r>
              <w:rPr>
                <w:rFonts w:hint="eastAsia"/>
                <w:highlight w:val="none"/>
              </w:rPr>
              <w:t>多维画像中心</w:t>
            </w:r>
          </w:p>
        </w:tc>
        <w:tc>
          <w:tcPr>
            <w:tcW w:w="1792" w:type="pct"/>
            <w:tcBorders>
              <w:top w:val="single" w:color="auto" w:sz="4" w:space="0"/>
              <w:left w:val="nil"/>
              <w:bottom w:val="single" w:color="auto" w:sz="4" w:space="0"/>
              <w:right w:val="single" w:color="auto" w:sz="4" w:space="0"/>
            </w:tcBorders>
            <w:shd w:val="clear" w:color="auto" w:fill="FFFFFF"/>
            <w:vAlign w:val="center"/>
          </w:tcPr>
          <w:p w14:paraId="3555B97F">
            <w:pPr>
              <w:rPr>
                <w:highlight w:val="none"/>
              </w:rPr>
            </w:pPr>
            <w:r>
              <w:rPr>
                <w:rFonts w:hint="eastAsia"/>
                <w:highlight w:val="none"/>
              </w:rPr>
              <w:t>数据纠错</w:t>
            </w:r>
          </w:p>
        </w:tc>
        <w:tc>
          <w:tcPr>
            <w:tcW w:w="1791" w:type="pct"/>
            <w:tcBorders>
              <w:top w:val="single" w:color="auto" w:sz="4" w:space="0"/>
              <w:left w:val="nil"/>
              <w:bottom w:val="single" w:color="auto" w:sz="4" w:space="0"/>
              <w:right w:val="single" w:color="auto" w:sz="4" w:space="0"/>
            </w:tcBorders>
            <w:shd w:val="clear" w:color="auto" w:fill="FFFFFF"/>
            <w:vAlign w:val="center"/>
          </w:tcPr>
          <w:p w14:paraId="17FA929B">
            <w:pPr>
              <w:rPr>
                <w:highlight w:val="none"/>
              </w:rPr>
            </w:pPr>
            <w:r>
              <w:rPr>
                <w:rFonts w:hint="eastAsia"/>
                <w:highlight w:val="none"/>
              </w:rPr>
              <w:t>提供包含数据纠错、补录、发起纠错、纠错流程配置、消息对接功能。</w:t>
            </w:r>
          </w:p>
        </w:tc>
      </w:tr>
      <w:tr w14:paraId="480C44D4">
        <w:tblPrEx>
          <w:tblCellMar>
            <w:top w:w="0" w:type="dxa"/>
            <w:left w:w="108" w:type="dxa"/>
            <w:bottom w:w="0" w:type="dxa"/>
            <w:right w:w="108" w:type="dxa"/>
          </w:tblCellMar>
        </w:tblPrEx>
        <w:trPr>
          <w:trHeight w:val="1710" w:hRule="atLeast"/>
          <w:jc w:val="center"/>
        </w:trPr>
        <w:tc>
          <w:tcPr>
            <w:tcW w:w="420" w:type="pct"/>
            <w:tcBorders>
              <w:top w:val="single" w:color="auto" w:sz="4" w:space="0"/>
              <w:left w:val="single" w:color="auto" w:sz="4" w:space="0"/>
              <w:bottom w:val="single" w:color="auto" w:sz="4" w:space="0"/>
              <w:right w:val="single" w:color="auto" w:sz="4" w:space="0"/>
            </w:tcBorders>
            <w:shd w:val="clear" w:color="auto" w:fill="FFFFFF"/>
            <w:vAlign w:val="center"/>
          </w:tcPr>
          <w:p w14:paraId="16ED6B19">
            <w:pPr>
              <w:rPr>
                <w:highlight w:val="none"/>
              </w:rPr>
            </w:pPr>
            <w:r>
              <w:rPr>
                <w:rFonts w:hint="eastAsia"/>
                <w:highlight w:val="none"/>
              </w:rPr>
              <w:t>5</w:t>
            </w:r>
            <w:r>
              <w:rPr>
                <w:highlight w:val="none"/>
              </w:rPr>
              <w:t>9</w:t>
            </w:r>
          </w:p>
        </w:tc>
        <w:tc>
          <w:tcPr>
            <w:tcW w:w="997" w:type="pct"/>
            <w:tcBorders>
              <w:top w:val="single" w:color="auto" w:sz="4" w:space="0"/>
              <w:left w:val="nil"/>
              <w:bottom w:val="single" w:color="auto" w:sz="4" w:space="0"/>
              <w:right w:val="single" w:color="auto" w:sz="4" w:space="0"/>
            </w:tcBorders>
            <w:shd w:val="clear" w:color="auto" w:fill="FFFFFF"/>
            <w:vAlign w:val="center"/>
          </w:tcPr>
          <w:p w14:paraId="6A61718A">
            <w:pPr>
              <w:rPr>
                <w:highlight w:val="none"/>
              </w:rPr>
            </w:pPr>
            <w:r>
              <w:rPr>
                <w:rFonts w:hint="eastAsia"/>
                <w:highlight w:val="none"/>
              </w:rPr>
              <w:t>多维画像中心</w:t>
            </w:r>
          </w:p>
        </w:tc>
        <w:tc>
          <w:tcPr>
            <w:tcW w:w="1792" w:type="pct"/>
            <w:tcBorders>
              <w:top w:val="single" w:color="auto" w:sz="4" w:space="0"/>
              <w:left w:val="nil"/>
              <w:bottom w:val="single" w:color="auto" w:sz="4" w:space="0"/>
              <w:right w:val="single" w:color="auto" w:sz="4" w:space="0"/>
            </w:tcBorders>
            <w:shd w:val="clear" w:color="auto" w:fill="FFFFFF"/>
            <w:vAlign w:val="center"/>
          </w:tcPr>
          <w:p w14:paraId="7C42A1C8">
            <w:pPr>
              <w:rPr>
                <w:highlight w:val="none"/>
              </w:rPr>
            </w:pPr>
            <w:r>
              <w:rPr>
                <w:rFonts w:hint="eastAsia"/>
                <w:highlight w:val="none"/>
              </w:rPr>
              <w:t>数据解读</w:t>
            </w:r>
          </w:p>
        </w:tc>
        <w:tc>
          <w:tcPr>
            <w:tcW w:w="1791" w:type="pct"/>
            <w:tcBorders>
              <w:top w:val="single" w:color="auto" w:sz="4" w:space="0"/>
              <w:left w:val="nil"/>
              <w:bottom w:val="single" w:color="auto" w:sz="4" w:space="0"/>
              <w:right w:val="single" w:color="auto" w:sz="4" w:space="0"/>
            </w:tcBorders>
            <w:shd w:val="clear" w:color="auto" w:fill="FFFFFF"/>
            <w:vAlign w:val="center"/>
          </w:tcPr>
          <w:p w14:paraId="3992A482">
            <w:pPr>
              <w:rPr>
                <w:highlight w:val="none"/>
              </w:rPr>
            </w:pPr>
            <w:r>
              <w:rPr>
                <w:rFonts w:hint="eastAsia"/>
                <w:highlight w:val="none"/>
              </w:rPr>
              <w:t>通过整合教学、科研、学生管理等多源数据，借助清洗、归类等预处理手段形成规范数据集，继而运用统计分析、趋势推演、关联挖掘等方法，从学生成绩分布、课程效果评估、科研项目进展、校园资源使用效率等维度提取关键信息，以图表、报表、动态看板等可视化形式直观呈现数据背后的规律与问题</w:t>
            </w:r>
          </w:p>
        </w:tc>
      </w:tr>
      <w:tr w14:paraId="777378C1">
        <w:tblPrEx>
          <w:tblCellMar>
            <w:top w:w="0" w:type="dxa"/>
            <w:left w:w="108" w:type="dxa"/>
            <w:bottom w:w="0" w:type="dxa"/>
            <w:right w:w="108" w:type="dxa"/>
          </w:tblCellMar>
        </w:tblPrEx>
        <w:trPr>
          <w:trHeight w:val="1710" w:hRule="atLeast"/>
          <w:jc w:val="center"/>
        </w:trPr>
        <w:tc>
          <w:tcPr>
            <w:tcW w:w="420" w:type="pct"/>
            <w:tcBorders>
              <w:top w:val="single" w:color="auto" w:sz="4" w:space="0"/>
              <w:left w:val="single" w:color="auto" w:sz="4" w:space="0"/>
              <w:bottom w:val="single" w:color="auto" w:sz="4" w:space="0"/>
              <w:right w:val="single" w:color="auto" w:sz="4" w:space="0"/>
            </w:tcBorders>
            <w:shd w:val="clear" w:color="auto" w:fill="FFFFFF"/>
            <w:vAlign w:val="center"/>
          </w:tcPr>
          <w:p w14:paraId="5D0BA6F9">
            <w:pPr>
              <w:rPr>
                <w:highlight w:val="none"/>
              </w:rPr>
            </w:pPr>
            <w:r>
              <w:rPr>
                <w:rFonts w:hint="eastAsia"/>
                <w:highlight w:val="none"/>
              </w:rPr>
              <w:t>6</w:t>
            </w:r>
            <w:r>
              <w:rPr>
                <w:highlight w:val="none"/>
              </w:rPr>
              <w:t>0</w:t>
            </w:r>
          </w:p>
        </w:tc>
        <w:tc>
          <w:tcPr>
            <w:tcW w:w="997" w:type="pct"/>
            <w:tcBorders>
              <w:top w:val="single" w:color="auto" w:sz="4" w:space="0"/>
              <w:left w:val="nil"/>
              <w:bottom w:val="single" w:color="auto" w:sz="4" w:space="0"/>
              <w:right w:val="single" w:color="auto" w:sz="4" w:space="0"/>
            </w:tcBorders>
            <w:shd w:val="clear" w:color="auto" w:fill="FFFFFF"/>
            <w:vAlign w:val="center"/>
          </w:tcPr>
          <w:p w14:paraId="3A2EE535">
            <w:pPr>
              <w:rPr>
                <w:highlight w:val="none"/>
              </w:rPr>
            </w:pPr>
            <w:r>
              <w:rPr>
                <w:rFonts w:hint="eastAsia"/>
                <w:highlight w:val="none"/>
              </w:rPr>
              <w:t>国密密码应用功能</w:t>
            </w:r>
          </w:p>
        </w:tc>
        <w:tc>
          <w:tcPr>
            <w:tcW w:w="1792" w:type="pct"/>
            <w:tcBorders>
              <w:top w:val="single" w:color="auto" w:sz="4" w:space="0"/>
              <w:left w:val="nil"/>
              <w:bottom w:val="single" w:color="auto" w:sz="4" w:space="0"/>
              <w:right w:val="single" w:color="auto" w:sz="4" w:space="0"/>
            </w:tcBorders>
            <w:shd w:val="clear" w:color="auto" w:fill="FFFFFF"/>
            <w:vAlign w:val="center"/>
          </w:tcPr>
          <w:p w14:paraId="3486AC02">
            <w:pPr>
              <w:rPr>
                <w:highlight w:val="none"/>
              </w:rPr>
            </w:pPr>
            <w:r>
              <w:rPr>
                <w:rFonts w:hint="eastAsia"/>
                <w:highlight w:val="none"/>
              </w:rPr>
              <w:t>用户身份认证、信息完整性及传输安全性模块</w:t>
            </w:r>
          </w:p>
        </w:tc>
        <w:tc>
          <w:tcPr>
            <w:tcW w:w="1791" w:type="pct"/>
            <w:tcBorders>
              <w:top w:val="single" w:color="auto" w:sz="4" w:space="0"/>
              <w:left w:val="nil"/>
              <w:bottom w:val="single" w:color="auto" w:sz="4" w:space="0"/>
              <w:right w:val="single" w:color="auto" w:sz="4" w:space="0"/>
            </w:tcBorders>
            <w:shd w:val="clear" w:color="auto" w:fill="FFFFFF"/>
            <w:vAlign w:val="center"/>
          </w:tcPr>
          <w:p w14:paraId="5543D347">
            <w:pPr>
              <w:rPr>
                <w:highlight w:val="none"/>
              </w:rPr>
            </w:pPr>
            <w:r>
              <w:rPr>
                <w:rFonts w:hint="eastAsia"/>
                <w:highlight w:val="none"/>
              </w:rPr>
              <w:t>用户身份认证机制模块、服务器设备日志/访问控制信息完整性模块、业务重要数据安全传输模块</w:t>
            </w:r>
          </w:p>
        </w:tc>
      </w:tr>
      <w:tr w14:paraId="75E743AF">
        <w:tblPrEx>
          <w:tblCellMar>
            <w:top w:w="0" w:type="dxa"/>
            <w:left w:w="108" w:type="dxa"/>
            <w:bottom w:w="0" w:type="dxa"/>
            <w:right w:w="108" w:type="dxa"/>
          </w:tblCellMar>
        </w:tblPrEx>
        <w:trPr>
          <w:trHeight w:val="1710" w:hRule="atLeast"/>
          <w:jc w:val="center"/>
        </w:trPr>
        <w:tc>
          <w:tcPr>
            <w:tcW w:w="420" w:type="pct"/>
            <w:tcBorders>
              <w:top w:val="single" w:color="auto" w:sz="4" w:space="0"/>
              <w:left w:val="single" w:color="auto" w:sz="4" w:space="0"/>
              <w:bottom w:val="single" w:color="auto" w:sz="4" w:space="0"/>
              <w:right w:val="single" w:color="auto" w:sz="4" w:space="0"/>
            </w:tcBorders>
            <w:shd w:val="clear" w:color="auto" w:fill="FFFFFF"/>
            <w:vAlign w:val="center"/>
          </w:tcPr>
          <w:p w14:paraId="513807B3">
            <w:pPr>
              <w:rPr>
                <w:highlight w:val="none"/>
              </w:rPr>
            </w:pPr>
            <w:r>
              <w:rPr>
                <w:rFonts w:hint="eastAsia"/>
                <w:highlight w:val="none"/>
              </w:rPr>
              <w:t>6</w:t>
            </w:r>
            <w:r>
              <w:rPr>
                <w:highlight w:val="none"/>
              </w:rPr>
              <w:t>1</w:t>
            </w:r>
          </w:p>
        </w:tc>
        <w:tc>
          <w:tcPr>
            <w:tcW w:w="997" w:type="pct"/>
            <w:tcBorders>
              <w:top w:val="single" w:color="auto" w:sz="4" w:space="0"/>
              <w:left w:val="nil"/>
              <w:bottom w:val="single" w:color="auto" w:sz="4" w:space="0"/>
              <w:right w:val="single" w:color="auto" w:sz="4" w:space="0"/>
            </w:tcBorders>
            <w:shd w:val="clear" w:color="auto" w:fill="FFFFFF"/>
            <w:vAlign w:val="center"/>
          </w:tcPr>
          <w:p w14:paraId="1988E43D">
            <w:pPr>
              <w:rPr>
                <w:highlight w:val="none"/>
              </w:rPr>
            </w:pPr>
            <w:r>
              <w:rPr>
                <w:rFonts w:hint="eastAsia"/>
                <w:highlight w:val="none"/>
              </w:rPr>
              <w:t>国密密码应用功能</w:t>
            </w:r>
          </w:p>
        </w:tc>
        <w:tc>
          <w:tcPr>
            <w:tcW w:w="1792" w:type="pct"/>
            <w:tcBorders>
              <w:top w:val="single" w:color="auto" w:sz="4" w:space="0"/>
              <w:left w:val="nil"/>
              <w:bottom w:val="single" w:color="auto" w:sz="4" w:space="0"/>
              <w:right w:val="single" w:color="auto" w:sz="4" w:space="0"/>
            </w:tcBorders>
            <w:shd w:val="clear" w:color="auto" w:fill="FFFFFF"/>
            <w:vAlign w:val="center"/>
          </w:tcPr>
          <w:p w14:paraId="3B8C2C98">
            <w:pPr>
              <w:rPr>
                <w:highlight w:val="none"/>
              </w:rPr>
            </w:pPr>
            <w:r>
              <w:rPr>
                <w:rFonts w:hint="eastAsia"/>
                <w:highlight w:val="none"/>
              </w:rPr>
              <w:t>签名验签模块</w:t>
            </w:r>
          </w:p>
        </w:tc>
        <w:tc>
          <w:tcPr>
            <w:tcW w:w="1791" w:type="pct"/>
            <w:tcBorders>
              <w:top w:val="single" w:color="auto" w:sz="4" w:space="0"/>
              <w:left w:val="nil"/>
              <w:bottom w:val="single" w:color="auto" w:sz="4" w:space="0"/>
              <w:right w:val="single" w:color="auto" w:sz="4" w:space="0"/>
            </w:tcBorders>
            <w:shd w:val="clear" w:color="auto" w:fill="FFFFFF"/>
            <w:vAlign w:val="center"/>
          </w:tcPr>
          <w:p w14:paraId="60554FFF">
            <w:pPr>
              <w:rPr>
                <w:highlight w:val="none"/>
              </w:rPr>
            </w:pPr>
            <w:r>
              <w:rPr>
                <w:rFonts w:hint="eastAsia"/>
                <w:highlight w:val="none"/>
              </w:rPr>
              <w:t>重要可执行程序签名验签模块、用户访问控制信息签名验签模块、应用系统重要数据签名验签模块、应用系统重要数据加解密模块</w:t>
            </w:r>
          </w:p>
        </w:tc>
      </w:tr>
    </w:tbl>
    <w:p w14:paraId="3C8BA4CC">
      <w:pPr>
        <w:jc w:val="center"/>
        <w:rPr>
          <w:rFonts w:hint="eastAsia"/>
          <w:b/>
          <w:bCs/>
          <w:sz w:val="28"/>
          <w:szCs w:val="28"/>
          <w:highlight w:val="none"/>
        </w:rPr>
      </w:pPr>
      <w:r>
        <w:rPr>
          <w:rFonts w:hint="eastAsia"/>
          <w:b/>
          <w:bCs/>
          <w:highlight w:val="none"/>
        </w:rPr>
        <w:t>硬件购置清单</w:t>
      </w:r>
    </w:p>
    <w:tbl>
      <w:tblPr>
        <w:tblStyle w:val="7"/>
        <w:tblW w:w="0" w:type="auto"/>
        <w:jc w:val="center"/>
        <w:tblLayout w:type="autofit"/>
        <w:tblCellMar>
          <w:top w:w="0" w:type="dxa"/>
          <w:left w:w="108" w:type="dxa"/>
          <w:bottom w:w="0" w:type="dxa"/>
          <w:right w:w="108" w:type="dxa"/>
        </w:tblCellMar>
      </w:tblPr>
      <w:tblGrid>
        <w:gridCol w:w="696"/>
        <w:gridCol w:w="856"/>
        <w:gridCol w:w="777"/>
        <w:gridCol w:w="5125"/>
        <w:gridCol w:w="537"/>
        <w:gridCol w:w="537"/>
      </w:tblGrid>
      <w:tr w14:paraId="13376084">
        <w:tblPrEx>
          <w:tblCellMar>
            <w:top w:w="0" w:type="dxa"/>
            <w:left w:w="108" w:type="dxa"/>
            <w:bottom w:w="0" w:type="dxa"/>
            <w:right w:w="108"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shd w:val="clear" w:color="000000" w:fill="F3F8FC"/>
            <w:noWrap/>
            <w:vAlign w:val="center"/>
          </w:tcPr>
          <w:p w14:paraId="28ACD094">
            <w:pPr>
              <w:rPr>
                <w:highlight w:val="none"/>
              </w:rPr>
            </w:pPr>
            <w:r>
              <w:rPr>
                <w:rFonts w:hint="eastAsia"/>
                <w:highlight w:val="none"/>
              </w:rPr>
              <w:t>序号</w:t>
            </w:r>
          </w:p>
        </w:tc>
        <w:tc>
          <w:tcPr>
            <w:tcW w:w="0" w:type="auto"/>
            <w:tcBorders>
              <w:top w:val="single" w:color="auto" w:sz="4" w:space="0"/>
              <w:left w:val="nil"/>
              <w:bottom w:val="single" w:color="auto" w:sz="4" w:space="0"/>
              <w:right w:val="single" w:color="auto" w:sz="4" w:space="0"/>
            </w:tcBorders>
            <w:shd w:val="clear" w:color="000000" w:fill="F3F8FC"/>
            <w:noWrap/>
            <w:vAlign w:val="center"/>
          </w:tcPr>
          <w:p w14:paraId="19A34C93">
            <w:pPr>
              <w:rPr>
                <w:highlight w:val="none"/>
              </w:rPr>
            </w:pPr>
            <w:r>
              <w:rPr>
                <w:rFonts w:hint="eastAsia"/>
                <w:highlight w:val="none"/>
              </w:rPr>
              <w:t>名称</w:t>
            </w:r>
          </w:p>
        </w:tc>
        <w:tc>
          <w:tcPr>
            <w:tcW w:w="0" w:type="auto"/>
            <w:tcBorders>
              <w:top w:val="single" w:color="auto" w:sz="4" w:space="0"/>
              <w:left w:val="nil"/>
              <w:bottom w:val="single" w:color="auto" w:sz="4" w:space="0"/>
              <w:right w:val="single" w:color="auto" w:sz="4" w:space="0"/>
            </w:tcBorders>
            <w:shd w:val="clear" w:color="000000" w:fill="F3F8FC"/>
            <w:noWrap/>
            <w:vAlign w:val="center"/>
          </w:tcPr>
          <w:p w14:paraId="27B048B8">
            <w:pPr>
              <w:rPr>
                <w:highlight w:val="none"/>
              </w:rPr>
            </w:pPr>
            <w:r>
              <w:rPr>
                <w:highlight w:val="none"/>
              </w:rPr>
              <w:t>类别</w:t>
            </w:r>
          </w:p>
        </w:tc>
        <w:tc>
          <w:tcPr>
            <w:tcW w:w="0" w:type="auto"/>
            <w:tcBorders>
              <w:top w:val="single" w:color="auto" w:sz="4" w:space="0"/>
              <w:left w:val="nil"/>
              <w:bottom w:val="single" w:color="auto" w:sz="4" w:space="0"/>
              <w:right w:val="single" w:color="auto" w:sz="4" w:space="0"/>
            </w:tcBorders>
            <w:shd w:val="clear" w:color="000000" w:fill="F3F8FC"/>
            <w:vAlign w:val="center"/>
          </w:tcPr>
          <w:p w14:paraId="5278BFF2">
            <w:pPr>
              <w:rPr>
                <w:highlight w:val="none"/>
              </w:rPr>
            </w:pPr>
            <w:r>
              <w:rPr>
                <w:highlight w:val="none"/>
              </w:rPr>
              <w:t>配置要求</w:t>
            </w:r>
          </w:p>
        </w:tc>
        <w:tc>
          <w:tcPr>
            <w:tcW w:w="0" w:type="auto"/>
            <w:tcBorders>
              <w:top w:val="single" w:color="auto" w:sz="4" w:space="0"/>
              <w:left w:val="nil"/>
              <w:bottom w:val="single" w:color="auto" w:sz="4" w:space="0"/>
              <w:right w:val="single" w:color="auto" w:sz="4" w:space="0"/>
            </w:tcBorders>
            <w:shd w:val="clear" w:color="000000" w:fill="F3F8FC"/>
            <w:vAlign w:val="center"/>
          </w:tcPr>
          <w:p w14:paraId="47179B67">
            <w:pPr>
              <w:rPr>
                <w:highlight w:val="none"/>
              </w:rPr>
            </w:pPr>
            <w:r>
              <w:rPr>
                <w:highlight w:val="none"/>
              </w:rPr>
              <w:t>数量</w:t>
            </w:r>
          </w:p>
        </w:tc>
        <w:tc>
          <w:tcPr>
            <w:tcW w:w="0" w:type="auto"/>
            <w:tcBorders>
              <w:top w:val="single" w:color="auto" w:sz="4" w:space="0"/>
              <w:left w:val="nil"/>
              <w:bottom w:val="single" w:color="auto" w:sz="4" w:space="0"/>
              <w:right w:val="single" w:color="auto" w:sz="4" w:space="0"/>
            </w:tcBorders>
            <w:shd w:val="clear" w:color="000000" w:fill="F3F8FC"/>
            <w:vAlign w:val="center"/>
          </w:tcPr>
          <w:p w14:paraId="38F571DC">
            <w:pPr>
              <w:rPr>
                <w:highlight w:val="none"/>
              </w:rPr>
            </w:pPr>
            <w:r>
              <w:rPr>
                <w:highlight w:val="none"/>
              </w:rPr>
              <w:t>单位</w:t>
            </w:r>
          </w:p>
        </w:tc>
      </w:tr>
      <w:tr w14:paraId="12AD8E58">
        <w:tblPrEx>
          <w:tblCellMar>
            <w:top w:w="0" w:type="dxa"/>
            <w:left w:w="108" w:type="dxa"/>
            <w:bottom w:w="0" w:type="dxa"/>
            <w:right w:w="108" w:type="dxa"/>
          </w:tblCellMar>
        </w:tblPrEx>
        <w:trPr>
          <w:trHeight w:val="114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14:paraId="0896DDDB">
            <w:pPr>
              <w:rPr>
                <w:highlight w:val="none"/>
              </w:rPr>
            </w:pPr>
            <w:r>
              <w:rPr>
                <w:highlight w:val="none"/>
              </w:rPr>
              <w:t>1</w:t>
            </w:r>
          </w:p>
        </w:tc>
        <w:tc>
          <w:tcPr>
            <w:tcW w:w="0" w:type="auto"/>
            <w:tcBorders>
              <w:top w:val="single" w:color="auto" w:sz="4" w:space="0"/>
              <w:left w:val="nil"/>
              <w:bottom w:val="single" w:color="auto" w:sz="4" w:space="0"/>
              <w:right w:val="single" w:color="auto" w:sz="4" w:space="0"/>
            </w:tcBorders>
            <w:shd w:val="clear" w:color="auto" w:fill="FFFFFF"/>
            <w:vAlign w:val="center"/>
          </w:tcPr>
          <w:p w14:paraId="11069BFB">
            <w:pPr>
              <w:rPr>
                <w:highlight w:val="none"/>
              </w:rPr>
            </w:pPr>
            <w:r>
              <w:rPr>
                <w:highlight w:val="none"/>
              </w:rPr>
              <w:t>网络设备</w:t>
            </w:r>
          </w:p>
        </w:tc>
        <w:tc>
          <w:tcPr>
            <w:tcW w:w="0" w:type="auto"/>
            <w:tcBorders>
              <w:top w:val="single" w:color="auto" w:sz="4" w:space="0"/>
              <w:left w:val="nil"/>
              <w:bottom w:val="single" w:color="auto" w:sz="4" w:space="0"/>
              <w:right w:val="single" w:color="auto" w:sz="4" w:space="0"/>
            </w:tcBorders>
            <w:shd w:val="clear" w:color="auto" w:fill="FFFFFF"/>
            <w:vAlign w:val="center"/>
          </w:tcPr>
          <w:p w14:paraId="1D5756EB">
            <w:pPr>
              <w:rPr>
                <w:highlight w:val="none"/>
              </w:rPr>
            </w:pPr>
            <w:r>
              <w:rPr>
                <w:rFonts w:hint="eastAsia"/>
                <w:highlight w:val="none"/>
              </w:rPr>
              <w:t>交换机</w:t>
            </w:r>
          </w:p>
        </w:tc>
        <w:tc>
          <w:tcPr>
            <w:tcW w:w="0" w:type="auto"/>
            <w:tcBorders>
              <w:top w:val="single" w:color="auto" w:sz="4" w:space="0"/>
              <w:left w:val="nil"/>
              <w:bottom w:val="single" w:color="auto" w:sz="4" w:space="0"/>
              <w:right w:val="single" w:color="auto" w:sz="4" w:space="0"/>
            </w:tcBorders>
            <w:shd w:val="clear" w:color="auto" w:fill="FFFFFF"/>
            <w:vAlign w:val="center"/>
          </w:tcPr>
          <w:p w14:paraId="0435E025">
            <w:pPr>
              <w:rPr>
                <w:highlight w:val="none"/>
              </w:rPr>
            </w:pPr>
            <w:r>
              <w:rPr>
                <w:highlight w:val="none"/>
              </w:rPr>
              <w:t>VPN</w:t>
            </w:r>
            <w:r>
              <w:rPr>
                <w:rFonts w:hint="eastAsia"/>
                <w:highlight w:val="none"/>
              </w:rPr>
              <w:t>设备，</w:t>
            </w:r>
            <w:r>
              <w:rPr>
                <w:highlight w:val="none"/>
              </w:rPr>
              <w:t>8核CPU，16G内存，2T硬盘，8个千兆电口4个千兆光口，冗余电源。提供WEB业务系统免安装、免插件远程访问。</w:t>
            </w:r>
          </w:p>
        </w:tc>
        <w:tc>
          <w:tcPr>
            <w:tcW w:w="0" w:type="auto"/>
            <w:tcBorders>
              <w:top w:val="single" w:color="auto" w:sz="4" w:space="0"/>
              <w:left w:val="nil"/>
              <w:bottom w:val="single" w:color="auto" w:sz="4" w:space="0"/>
              <w:right w:val="single" w:color="auto" w:sz="4" w:space="0"/>
            </w:tcBorders>
            <w:shd w:val="clear" w:color="auto" w:fill="FFFFFF"/>
            <w:vAlign w:val="center"/>
          </w:tcPr>
          <w:p w14:paraId="49E1EE50">
            <w:pPr>
              <w:rPr>
                <w:highlight w:val="none"/>
              </w:rPr>
            </w:pPr>
            <w:r>
              <w:rPr>
                <w:rFonts w:hint="eastAsia"/>
                <w:highlight w:val="none"/>
              </w:rPr>
              <w:t>1</w:t>
            </w:r>
          </w:p>
        </w:tc>
        <w:tc>
          <w:tcPr>
            <w:tcW w:w="0" w:type="auto"/>
            <w:tcBorders>
              <w:top w:val="single" w:color="auto" w:sz="4" w:space="0"/>
              <w:left w:val="nil"/>
              <w:bottom w:val="single" w:color="auto" w:sz="4" w:space="0"/>
              <w:right w:val="single" w:color="auto" w:sz="4" w:space="0"/>
            </w:tcBorders>
            <w:shd w:val="clear" w:color="auto" w:fill="FFFFFF"/>
            <w:vAlign w:val="center"/>
          </w:tcPr>
          <w:p w14:paraId="170C09E1">
            <w:pPr>
              <w:rPr>
                <w:highlight w:val="none"/>
              </w:rPr>
            </w:pPr>
            <w:r>
              <w:rPr>
                <w:highlight w:val="none"/>
              </w:rPr>
              <w:t>台</w:t>
            </w:r>
          </w:p>
        </w:tc>
      </w:tr>
    </w:tbl>
    <w:p w14:paraId="6C10160A">
      <w:pPr>
        <w:pStyle w:val="2"/>
        <w:rPr>
          <w:rFonts w:hint="eastAsia"/>
          <w:highlight w:val="none"/>
        </w:rPr>
      </w:pPr>
      <w:bookmarkStart w:id="17" w:name="_Toc63785502"/>
      <w:r>
        <w:rPr>
          <w:rFonts w:hint="eastAsia"/>
          <w:highlight w:val="none"/>
        </w:rPr>
        <w:t>电子政务云资源需求</w:t>
      </w:r>
      <w:bookmarkEnd w:id="17"/>
      <w:r>
        <w:rPr>
          <w:rFonts w:hint="eastAsia"/>
          <w:highlight w:val="none"/>
        </w:rPr>
        <w:t>（</w:t>
      </w:r>
      <w:r>
        <w:rPr>
          <w:rFonts w:hint="eastAsia"/>
          <w:color w:val="auto"/>
          <w:highlight w:val="none"/>
        </w:rPr>
        <w:t>仅针对上云项目</w:t>
      </w:r>
      <w:r>
        <w:rPr>
          <w:rFonts w:hint="eastAsia"/>
          <w:highlight w:val="none"/>
        </w:rPr>
        <w:t>）</w:t>
      </w:r>
    </w:p>
    <w:p w14:paraId="706D8954">
      <w:pPr>
        <w:widowControl w:val="0"/>
        <w:spacing w:line="560" w:lineRule="exact"/>
        <w:ind w:firstLine="480" w:firstLineChars="200"/>
        <w:jc w:val="both"/>
        <w:rPr>
          <w:rFonts w:hint="eastAsia"/>
          <w:highlight w:val="none"/>
        </w:rPr>
      </w:pPr>
      <w:r>
        <w:rPr>
          <w:rFonts w:hint="eastAsia"/>
          <w:highlight w:val="none"/>
        </w:rPr>
        <w:t>根据项目情况，本次建设根据项目批复内容拟向电子政务云申请4台服务器资源CPU24核、内存48G、存储1.2T，其中虚拟机4台，物理机0台。</w:t>
      </w:r>
    </w:p>
    <w:p w14:paraId="7F21AAA1">
      <w:pPr>
        <w:pStyle w:val="2"/>
        <w:rPr>
          <w:rFonts w:hint="eastAsia"/>
          <w:highlight w:val="none"/>
        </w:rPr>
      </w:pPr>
      <w:bookmarkStart w:id="18" w:name="_Toc63785503"/>
      <w:r>
        <w:rPr>
          <w:rFonts w:hint="eastAsia"/>
          <w:highlight w:val="none"/>
        </w:rPr>
        <w:t>其他工作要求</w:t>
      </w:r>
      <w:bookmarkEnd w:id="18"/>
    </w:p>
    <w:p w14:paraId="53C8FA52">
      <w:pPr>
        <w:pStyle w:val="3"/>
        <w:widowControl w:val="0"/>
        <w:spacing w:line="360" w:lineRule="auto"/>
        <w:ind w:left="1614" w:leftChars="200" w:hanging="1134"/>
        <w:jc w:val="both"/>
        <w:rPr>
          <w:rFonts w:hint="eastAsia"/>
          <w:highlight w:val="none"/>
        </w:rPr>
      </w:pPr>
      <w:bookmarkStart w:id="19" w:name="_Toc63785504"/>
      <w:bookmarkEnd w:id="19"/>
      <w:bookmarkStart w:id="20" w:name="_Toc61968111"/>
      <w:bookmarkEnd w:id="20"/>
      <w:bookmarkStart w:id="21" w:name="_Toc63151871"/>
      <w:bookmarkEnd w:id="21"/>
      <w:bookmarkStart w:id="22" w:name="_Toc62219358"/>
      <w:bookmarkEnd w:id="22"/>
      <w:bookmarkStart w:id="23" w:name="_Toc63762370"/>
      <w:bookmarkEnd w:id="23"/>
      <w:bookmarkStart w:id="24" w:name="_Toc63785439"/>
      <w:bookmarkEnd w:id="24"/>
      <w:bookmarkStart w:id="25" w:name="_Toc63585480"/>
      <w:bookmarkEnd w:id="25"/>
      <w:bookmarkStart w:id="26" w:name="_Toc62209488"/>
      <w:bookmarkEnd w:id="26"/>
      <w:bookmarkStart w:id="27" w:name="_Toc63785505"/>
      <w:r>
        <w:rPr>
          <w:rFonts w:hint="eastAsia"/>
          <w:highlight w:val="none"/>
        </w:rPr>
        <w:t>售后服务要求</w:t>
      </w:r>
      <w:bookmarkEnd w:id="27"/>
    </w:p>
    <w:p w14:paraId="4E61FD06">
      <w:pPr>
        <w:widowControl w:val="0"/>
        <w:spacing w:line="560" w:lineRule="exact"/>
        <w:ind w:firstLine="480" w:firstLineChars="200"/>
        <w:jc w:val="both"/>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本项目</w:t>
      </w:r>
      <w:r>
        <w:rPr>
          <w:rFonts w:hint="eastAsia" w:ascii="宋体" w:hAnsi="宋体" w:eastAsia="宋体" w:cs="Times New Roman"/>
          <w:sz w:val="24"/>
          <w:szCs w:val="24"/>
          <w:highlight w:val="none"/>
          <w:lang w:eastAsia="zh-CN"/>
        </w:rPr>
        <w:t>质保期内</w:t>
      </w:r>
      <w:r>
        <w:rPr>
          <w:rFonts w:hint="eastAsia" w:ascii="宋体" w:hAnsi="宋体" w:eastAsia="宋体" w:cs="Times New Roman"/>
          <w:sz w:val="24"/>
          <w:szCs w:val="24"/>
          <w:highlight w:val="none"/>
        </w:rPr>
        <w:t>提供7*24小时免费技术支持和售后服务。</w:t>
      </w:r>
    </w:p>
    <w:p w14:paraId="62AF6DE2">
      <w:pPr>
        <w:widowControl w:val="0"/>
        <w:spacing w:line="560" w:lineRule="exact"/>
        <w:ind w:firstLine="480" w:firstLineChars="200"/>
        <w:jc w:val="both"/>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在质量保证期内，供应商将按照售后服务的承诺提供保修和运行维护服务，如果厂商对信息系统中软、硬件设备等产品中的部分保修期超过上述期限的，则按照厂商的规定进行免费保修。</w:t>
      </w:r>
    </w:p>
    <w:p w14:paraId="030A2219">
      <w:pPr>
        <w:widowControl w:val="0"/>
        <w:spacing w:line="560" w:lineRule="exact"/>
        <w:ind w:firstLine="480" w:firstLineChars="200"/>
        <w:jc w:val="both"/>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在质量保证期内，供应商负责信息系统的运行维护工作，确保信息系统安全、稳定、可靠地运行。本项目涉及的运行维护工作范围为：本次项目实施中所有工作内容。</w:t>
      </w:r>
    </w:p>
    <w:p w14:paraId="18925A0B">
      <w:pPr>
        <w:pStyle w:val="3"/>
        <w:widowControl w:val="0"/>
        <w:spacing w:line="360" w:lineRule="auto"/>
        <w:ind w:left="1614" w:leftChars="200" w:hanging="1134"/>
        <w:jc w:val="both"/>
        <w:rPr>
          <w:rFonts w:hint="eastAsia"/>
          <w:highlight w:val="none"/>
        </w:rPr>
      </w:pPr>
      <w:bookmarkStart w:id="28" w:name="_Toc63785506"/>
      <w:r>
        <w:rPr>
          <w:rFonts w:hint="eastAsia"/>
          <w:highlight w:val="none"/>
        </w:rPr>
        <w:t>应急响应要求</w:t>
      </w:r>
      <w:bookmarkEnd w:id="28"/>
    </w:p>
    <w:p w14:paraId="11012DE5">
      <w:pPr>
        <w:widowControl w:val="0"/>
        <w:spacing w:line="560" w:lineRule="exact"/>
        <w:ind w:firstLine="480" w:firstLineChars="200"/>
        <w:jc w:val="both"/>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供应商对系统故障应能够实时响应，若系统发生故障，接到通知后30分钟之内响应，专业工程师2小时内到达现场。特殊故障与客户沟通协商后，按照协商的方式制定解决方案并进行处理。</w:t>
      </w:r>
    </w:p>
    <w:p w14:paraId="58B04334">
      <w:pPr>
        <w:widowControl w:val="0"/>
        <w:spacing w:line="560" w:lineRule="exact"/>
        <w:ind w:firstLine="480" w:firstLineChars="200"/>
        <w:jc w:val="both"/>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具体故障级别及对应的应急响应要求如下：</w:t>
      </w:r>
    </w:p>
    <w:p w14:paraId="1702284D">
      <w:pPr>
        <w:widowControl w:val="0"/>
        <w:spacing w:line="560" w:lineRule="exact"/>
        <w:ind w:firstLine="480" w:firstLineChars="200"/>
        <w:jc w:val="both"/>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一级故障：在1小时内确诊，总故障解决时间不超过4小时。</w:t>
      </w:r>
    </w:p>
    <w:p w14:paraId="37CC47FA">
      <w:pPr>
        <w:widowControl w:val="0"/>
        <w:spacing w:line="560" w:lineRule="exact"/>
        <w:ind w:firstLine="480" w:firstLineChars="200"/>
        <w:jc w:val="both"/>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二级故障：在2小时内确诊，并在4小时内由专家到达现场确诊并解决，总故障解决时间不超过8小时；</w:t>
      </w:r>
    </w:p>
    <w:p w14:paraId="141CE62E">
      <w:pPr>
        <w:widowControl w:val="0"/>
        <w:spacing w:line="560" w:lineRule="exact"/>
        <w:ind w:firstLine="480" w:firstLineChars="200"/>
        <w:jc w:val="both"/>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三、四级故障：在4小时内确诊故障，总故障解决时间不超过16小时。</w:t>
      </w:r>
    </w:p>
    <w:p w14:paraId="340ED7D3">
      <w:pPr>
        <w:pStyle w:val="3"/>
        <w:widowControl w:val="0"/>
        <w:spacing w:line="360" w:lineRule="auto"/>
        <w:ind w:left="1614" w:leftChars="200" w:hanging="1134"/>
        <w:jc w:val="both"/>
        <w:rPr>
          <w:rFonts w:hint="eastAsia"/>
          <w:highlight w:val="none"/>
        </w:rPr>
      </w:pPr>
      <w:bookmarkStart w:id="29" w:name="_Toc63785507"/>
      <w:r>
        <w:rPr>
          <w:rFonts w:hint="eastAsia"/>
          <w:highlight w:val="none"/>
        </w:rPr>
        <w:t>培训要求</w:t>
      </w:r>
      <w:bookmarkEnd w:id="29"/>
    </w:p>
    <w:p w14:paraId="7C228C18">
      <w:pPr>
        <w:widowControl w:val="0"/>
        <w:spacing w:line="560" w:lineRule="exact"/>
        <w:ind w:firstLine="480" w:firstLineChars="200"/>
        <w:jc w:val="both"/>
        <w:rPr>
          <w:rFonts w:hint="eastAsia"/>
          <w:highlight w:val="none"/>
        </w:rPr>
      </w:pPr>
      <w:r>
        <w:rPr>
          <w:rFonts w:hint="eastAsia"/>
          <w:highlight w:val="none"/>
        </w:rPr>
        <w:t>对系统使用单位提供业务操作培训，应提供详细培训方案。</w:t>
      </w:r>
    </w:p>
    <w:p w14:paraId="368B5004">
      <w:pPr>
        <w:widowControl w:val="0"/>
        <w:spacing w:line="560" w:lineRule="exact"/>
        <w:ind w:firstLine="480" w:firstLineChars="200"/>
        <w:jc w:val="both"/>
        <w:rPr>
          <w:rFonts w:hint="eastAsia"/>
          <w:highlight w:val="none"/>
        </w:rPr>
      </w:pPr>
      <w:r>
        <w:rPr>
          <w:rFonts w:hint="eastAsia"/>
          <w:highlight w:val="none"/>
        </w:rPr>
        <w:t>(1)在</w:t>
      </w:r>
      <w:r>
        <w:rPr>
          <w:rFonts w:hint="eastAsia" w:ascii="宋体" w:hAnsi="宋体" w:eastAsia="宋体" w:cs="Times New Roman"/>
          <w:highlight w:val="none"/>
          <w:lang w:eastAsia="zh-CN"/>
        </w:rPr>
        <w:t>质保期内</w:t>
      </w:r>
      <w:r>
        <w:rPr>
          <w:rFonts w:hint="eastAsia"/>
          <w:highlight w:val="none"/>
        </w:rPr>
        <w:t>，提供5次与项目相关的必要培训。</w:t>
      </w:r>
    </w:p>
    <w:p w14:paraId="42EC155D">
      <w:pPr>
        <w:widowControl w:val="0"/>
        <w:spacing w:line="560" w:lineRule="exact"/>
        <w:ind w:firstLine="480" w:firstLineChars="200"/>
        <w:jc w:val="both"/>
        <w:rPr>
          <w:rFonts w:hint="eastAsia"/>
          <w:highlight w:val="none"/>
        </w:rPr>
      </w:pPr>
      <w:r>
        <w:rPr>
          <w:rFonts w:hint="eastAsia"/>
          <w:highlight w:val="none"/>
        </w:rPr>
        <w:t>(2)供应商需要开展分层次的人员培训工作，每次培训后应对参加培训人员进行测试，评估培训成果。培训应具有培训教材、培训环境和高水平的培训讲师。</w:t>
      </w:r>
    </w:p>
    <w:p w14:paraId="422C0FD7">
      <w:pPr>
        <w:widowControl w:val="0"/>
        <w:spacing w:line="560" w:lineRule="exact"/>
        <w:ind w:firstLine="480" w:firstLineChars="200"/>
        <w:jc w:val="both"/>
        <w:rPr>
          <w:rFonts w:hint="eastAsia"/>
          <w:strike w:val="0"/>
          <w:szCs w:val="24"/>
          <w:highlight w:val="none"/>
        </w:rPr>
      </w:pPr>
      <w:r>
        <w:rPr>
          <w:rFonts w:hint="eastAsia"/>
          <w:highlight w:val="none"/>
        </w:rPr>
        <w:t>(3)供应商应提供一般用户的基础操作培训和部门信息管理员的日常应用维护的培训，确保用户对象能够掌握对应的操作技能。</w:t>
      </w:r>
    </w:p>
    <w:p w14:paraId="51E85B25">
      <w:pPr>
        <w:pStyle w:val="3"/>
        <w:widowControl w:val="0"/>
        <w:spacing w:line="360" w:lineRule="auto"/>
        <w:ind w:left="1614" w:leftChars="200" w:hanging="1134"/>
        <w:jc w:val="both"/>
        <w:rPr>
          <w:rFonts w:hint="eastAsia"/>
          <w:highlight w:val="none"/>
        </w:rPr>
      </w:pPr>
      <w:bookmarkStart w:id="30" w:name="_Toc63785509"/>
      <w:r>
        <w:rPr>
          <w:rFonts w:hint="eastAsia"/>
          <w:highlight w:val="none"/>
        </w:rPr>
        <w:t>进度要求</w:t>
      </w:r>
      <w:bookmarkEnd w:id="30"/>
    </w:p>
    <w:p w14:paraId="7380A0A8">
      <w:pPr>
        <w:widowControl w:val="0"/>
        <w:spacing w:line="560" w:lineRule="exact"/>
        <w:ind w:firstLine="480" w:firstLineChars="200"/>
        <w:jc w:val="both"/>
        <w:rPr>
          <w:rFonts w:hint="eastAsia"/>
          <w:highlight w:val="none"/>
        </w:rPr>
      </w:pPr>
      <w:r>
        <w:rPr>
          <w:rFonts w:hint="eastAsia" w:ascii="宋体" w:hAnsi="宋体" w:eastAsia="宋体" w:cs="Times New Roman"/>
          <w:highlight w:val="none"/>
          <w:lang w:eastAsia="zh-CN"/>
        </w:rPr>
        <w:t>供应商</w:t>
      </w:r>
      <w:r>
        <w:rPr>
          <w:rFonts w:hint="eastAsia"/>
          <w:highlight w:val="none"/>
        </w:rPr>
        <w:t>应根据建设内容，分阶段制定合理的时间进度，并且应根据</w:t>
      </w:r>
      <w:r>
        <w:rPr>
          <w:rFonts w:hint="eastAsia" w:ascii="宋体" w:hAnsi="宋体" w:eastAsia="宋体" w:cs="Times New Roman"/>
          <w:highlight w:val="none"/>
          <w:lang w:eastAsia="zh-CN"/>
        </w:rPr>
        <w:t>采购人</w:t>
      </w:r>
      <w:r>
        <w:rPr>
          <w:rFonts w:hint="eastAsia"/>
          <w:highlight w:val="none"/>
        </w:rPr>
        <w:t>要求进行调整和细化。</w:t>
      </w:r>
    </w:p>
    <w:p w14:paraId="28357CB8">
      <w:pPr>
        <w:widowControl w:val="0"/>
        <w:spacing w:line="560" w:lineRule="exact"/>
        <w:ind w:firstLine="480" w:firstLineChars="200"/>
        <w:jc w:val="both"/>
        <w:rPr>
          <w:rFonts w:hint="eastAsia"/>
          <w:highlight w:val="none"/>
        </w:rPr>
      </w:pPr>
      <w:r>
        <w:rPr>
          <w:rFonts w:hint="eastAsia"/>
          <w:highlight w:val="none"/>
        </w:rPr>
        <w:t>总建设周期为6个月，分为2个阶段。</w:t>
      </w:r>
    </w:p>
    <w:p w14:paraId="70FA6544">
      <w:pPr>
        <w:widowControl w:val="0"/>
        <w:spacing w:line="560" w:lineRule="exact"/>
        <w:ind w:firstLine="480" w:firstLineChars="200"/>
        <w:jc w:val="both"/>
        <w:rPr>
          <w:rFonts w:hint="eastAsia"/>
          <w:highlight w:val="none"/>
        </w:rPr>
      </w:pPr>
      <w:r>
        <w:rPr>
          <w:rFonts w:hint="eastAsia"/>
          <w:highlight w:val="none"/>
        </w:rPr>
        <w:t>第一阶段为1个月，完成项目需求调研。</w:t>
      </w:r>
    </w:p>
    <w:p w14:paraId="43DE64A5">
      <w:pPr>
        <w:widowControl w:val="0"/>
        <w:spacing w:line="560" w:lineRule="exact"/>
        <w:ind w:firstLine="480" w:firstLineChars="200"/>
        <w:jc w:val="both"/>
        <w:rPr>
          <w:rFonts w:hint="eastAsia"/>
          <w:highlight w:val="none"/>
        </w:rPr>
      </w:pPr>
      <w:r>
        <w:rPr>
          <w:rFonts w:hint="eastAsia"/>
          <w:highlight w:val="none"/>
        </w:rPr>
        <w:t>第二阶段为5个月，完成项目设计与项目实施工作。</w:t>
      </w:r>
    </w:p>
    <w:p w14:paraId="4C928E02">
      <w:pPr>
        <w:pStyle w:val="3"/>
        <w:widowControl w:val="0"/>
        <w:spacing w:line="360" w:lineRule="auto"/>
        <w:ind w:left="1614" w:leftChars="200" w:hanging="1134"/>
        <w:jc w:val="both"/>
        <w:rPr>
          <w:rFonts w:hint="eastAsia"/>
          <w:highlight w:val="none"/>
        </w:rPr>
      </w:pPr>
      <w:bookmarkStart w:id="31" w:name="_Toc63785510"/>
      <w:r>
        <w:rPr>
          <w:rFonts w:hint="eastAsia"/>
          <w:highlight w:val="none"/>
        </w:rPr>
        <w:t>项目团队及驻场人员要求</w:t>
      </w:r>
      <w:bookmarkEnd w:id="31"/>
    </w:p>
    <w:p w14:paraId="367139E2">
      <w:pPr>
        <w:widowControl w:val="0"/>
        <w:spacing w:line="560" w:lineRule="exact"/>
        <w:ind w:firstLine="480" w:firstLineChars="200"/>
        <w:jc w:val="both"/>
        <w:rPr>
          <w:rFonts w:hint="eastAsia"/>
          <w:highlight w:val="none"/>
        </w:rPr>
      </w:pPr>
      <w:r>
        <w:rPr>
          <w:rFonts w:hint="eastAsia"/>
          <w:highlight w:val="none"/>
        </w:rPr>
        <w:t>1）</w:t>
      </w:r>
      <w:r>
        <w:rPr>
          <w:rFonts w:hint="eastAsia"/>
          <w:highlight w:val="none"/>
          <w:lang w:eastAsia="zh-CN"/>
        </w:rPr>
        <w:t>供应商</w:t>
      </w:r>
      <w:r>
        <w:rPr>
          <w:rFonts w:hint="eastAsia"/>
          <w:highlight w:val="none"/>
        </w:rPr>
        <w:t>须具有稳定的在职技术保障力量，能够提供及时的技术支援或服务，应针对本项目提供不少于12人的项目服务团队（包括项目经理、产品经理、技术负责人、研发等），</w:t>
      </w:r>
      <w:r>
        <w:rPr>
          <w:rFonts w:hint="eastAsia" w:ascii="宋体" w:hAnsi="宋体" w:eastAsia="宋体" w:cs="Times New Roman"/>
          <w:highlight w:val="none"/>
          <w:lang w:eastAsia="zh-CN"/>
        </w:rPr>
        <w:t>投标供应商</w:t>
      </w:r>
      <w:r>
        <w:rPr>
          <w:rFonts w:hint="eastAsia"/>
          <w:highlight w:val="none"/>
        </w:rPr>
        <w:t>的相关服务人员需具备相应的服务能力，需提供相关证明。</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6"/>
        <w:gridCol w:w="2505"/>
        <w:gridCol w:w="1276"/>
        <w:gridCol w:w="1929"/>
        <w:gridCol w:w="1416"/>
      </w:tblGrid>
      <w:tr w14:paraId="0F615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shd w:val="clear" w:color="auto" w:fill="auto"/>
            <w:noWrap/>
            <w:vAlign w:val="center"/>
          </w:tcPr>
          <w:p w14:paraId="79645BDE">
            <w:pPr>
              <w:rPr>
                <w:highlight w:val="none"/>
              </w:rPr>
            </w:pPr>
            <w:r>
              <w:rPr>
                <w:rFonts w:hint="eastAsia"/>
                <w:highlight w:val="none"/>
              </w:rPr>
              <w:t>角色</w:t>
            </w:r>
          </w:p>
        </w:tc>
        <w:tc>
          <w:tcPr>
            <w:tcW w:w="2505" w:type="dxa"/>
            <w:shd w:val="clear" w:color="auto" w:fill="auto"/>
            <w:noWrap/>
            <w:vAlign w:val="center"/>
          </w:tcPr>
          <w:p w14:paraId="715F2807">
            <w:pPr>
              <w:rPr>
                <w:highlight w:val="none"/>
              </w:rPr>
            </w:pPr>
            <w:r>
              <w:rPr>
                <w:rFonts w:hint="eastAsia"/>
                <w:highlight w:val="none"/>
              </w:rPr>
              <w:t>主要职责</w:t>
            </w:r>
          </w:p>
        </w:tc>
        <w:tc>
          <w:tcPr>
            <w:tcW w:w="1276" w:type="dxa"/>
            <w:shd w:val="clear" w:color="auto" w:fill="auto"/>
            <w:noWrap/>
            <w:vAlign w:val="center"/>
          </w:tcPr>
          <w:p w14:paraId="14A2254F">
            <w:pPr>
              <w:rPr>
                <w:highlight w:val="none"/>
              </w:rPr>
            </w:pPr>
            <w:r>
              <w:rPr>
                <w:rFonts w:hint="eastAsia"/>
                <w:highlight w:val="none"/>
              </w:rPr>
              <w:t>人员数量</w:t>
            </w:r>
          </w:p>
        </w:tc>
        <w:tc>
          <w:tcPr>
            <w:tcW w:w="1929" w:type="dxa"/>
            <w:vAlign w:val="center"/>
          </w:tcPr>
          <w:p w14:paraId="4B3FD579">
            <w:pPr>
              <w:rPr>
                <w:highlight w:val="none"/>
              </w:rPr>
            </w:pPr>
            <w:r>
              <w:rPr>
                <w:rFonts w:hint="eastAsia"/>
                <w:highlight w:val="none"/>
              </w:rPr>
              <w:t>人员要求</w:t>
            </w:r>
          </w:p>
        </w:tc>
        <w:tc>
          <w:tcPr>
            <w:tcW w:w="0" w:type="auto"/>
            <w:shd w:val="clear" w:color="auto" w:fill="auto"/>
            <w:noWrap/>
            <w:vAlign w:val="center"/>
          </w:tcPr>
          <w:p w14:paraId="047F8F85">
            <w:pPr>
              <w:rPr>
                <w:highlight w:val="none"/>
              </w:rPr>
            </w:pPr>
            <w:r>
              <w:rPr>
                <w:rFonts w:hint="eastAsia"/>
                <w:highlight w:val="none"/>
              </w:rPr>
              <w:t>驻场要求</w:t>
            </w:r>
          </w:p>
        </w:tc>
      </w:tr>
      <w:tr w14:paraId="472D9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shd w:val="clear" w:color="auto" w:fill="auto"/>
            <w:noWrap/>
            <w:vAlign w:val="center"/>
          </w:tcPr>
          <w:p w14:paraId="06647818">
            <w:pPr>
              <w:rPr>
                <w:highlight w:val="none"/>
              </w:rPr>
            </w:pPr>
            <w:r>
              <w:rPr>
                <w:rFonts w:hint="eastAsia"/>
                <w:highlight w:val="none"/>
              </w:rPr>
              <w:t>项目经理</w:t>
            </w:r>
          </w:p>
        </w:tc>
        <w:tc>
          <w:tcPr>
            <w:tcW w:w="2505" w:type="dxa"/>
            <w:shd w:val="clear" w:color="auto" w:fill="auto"/>
            <w:vAlign w:val="center"/>
          </w:tcPr>
          <w:p w14:paraId="2DA47CE4">
            <w:pPr>
              <w:rPr>
                <w:highlight w:val="none"/>
              </w:rPr>
            </w:pPr>
            <w:r>
              <w:rPr>
                <w:rFonts w:hint="eastAsia"/>
                <w:highlight w:val="none"/>
              </w:rPr>
              <w:t>负责项目质量和进度控制</w:t>
            </w:r>
          </w:p>
        </w:tc>
        <w:tc>
          <w:tcPr>
            <w:tcW w:w="1276" w:type="dxa"/>
            <w:shd w:val="clear" w:color="auto" w:fill="auto"/>
            <w:noWrap/>
            <w:vAlign w:val="center"/>
          </w:tcPr>
          <w:p w14:paraId="4013B174">
            <w:pPr>
              <w:rPr>
                <w:highlight w:val="none"/>
              </w:rPr>
            </w:pPr>
            <w:r>
              <w:rPr>
                <w:highlight w:val="none"/>
              </w:rPr>
              <w:t>1</w:t>
            </w:r>
            <w:r>
              <w:rPr>
                <w:rFonts w:hint="eastAsia"/>
                <w:highlight w:val="none"/>
              </w:rPr>
              <w:t>人</w:t>
            </w:r>
          </w:p>
        </w:tc>
        <w:tc>
          <w:tcPr>
            <w:tcW w:w="1929" w:type="dxa"/>
            <w:vAlign w:val="center"/>
          </w:tcPr>
          <w:p w14:paraId="3ECD53BD">
            <w:pPr>
              <w:rPr>
                <w:highlight w:val="none"/>
              </w:rPr>
            </w:pPr>
            <w:r>
              <w:rPr>
                <w:rFonts w:hint="eastAsia"/>
                <w:highlight w:val="none"/>
              </w:rPr>
              <w:t>项目经理具备计算机技术与软件专业技术资格</w:t>
            </w:r>
            <w:r>
              <w:rPr>
                <w:rFonts w:hint="eastAsia"/>
                <w:highlight w:val="none"/>
                <w:lang w:eastAsia="zh-CN"/>
              </w:rPr>
              <w:t>中</w:t>
            </w:r>
            <w:r>
              <w:rPr>
                <w:rFonts w:hint="eastAsia"/>
                <w:highlight w:val="none"/>
              </w:rPr>
              <w:t>级</w:t>
            </w:r>
            <w:r>
              <w:rPr>
                <w:rFonts w:hint="eastAsia"/>
                <w:highlight w:val="none"/>
                <w:lang w:eastAsia="zh-CN"/>
              </w:rPr>
              <w:t>及以上</w:t>
            </w:r>
            <w:r>
              <w:rPr>
                <w:rFonts w:hint="eastAsia"/>
                <w:highlight w:val="none"/>
              </w:rPr>
              <w:t>证书</w:t>
            </w:r>
          </w:p>
        </w:tc>
        <w:tc>
          <w:tcPr>
            <w:tcW w:w="0" w:type="auto"/>
            <w:shd w:val="clear" w:color="auto" w:fill="auto"/>
            <w:noWrap/>
            <w:vAlign w:val="center"/>
          </w:tcPr>
          <w:p w14:paraId="2BCF35EF">
            <w:pPr>
              <w:rPr>
                <w:highlight w:val="none"/>
              </w:rPr>
            </w:pPr>
            <w:r>
              <w:rPr>
                <w:rFonts w:hint="eastAsia"/>
                <w:highlight w:val="none"/>
              </w:rPr>
              <w:t>不驻场</w:t>
            </w:r>
          </w:p>
        </w:tc>
      </w:tr>
      <w:tr w14:paraId="5D226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shd w:val="clear" w:color="auto" w:fill="auto"/>
            <w:noWrap/>
            <w:vAlign w:val="center"/>
          </w:tcPr>
          <w:p w14:paraId="29640C9B">
            <w:pPr>
              <w:rPr>
                <w:highlight w:val="none"/>
              </w:rPr>
            </w:pPr>
            <w:r>
              <w:rPr>
                <w:rFonts w:hint="eastAsia"/>
                <w:highlight w:val="none"/>
              </w:rPr>
              <w:t>产品经理</w:t>
            </w:r>
          </w:p>
        </w:tc>
        <w:tc>
          <w:tcPr>
            <w:tcW w:w="2505" w:type="dxa"/>
            <w:shd w:val="clear" w:color="auto" w:fill="auto"/>
            <w:vAlign w:val="center"/>
          </w:tcPr>
          <w:p w14:paraId="63FE02E7">
            <w:pPr>
              <w:rPr>
                <w:highlight w:val="none"/>
              </w:rPr>
            </w:pPr>
            <w:r>
              <w:rPr>
                <w:rFonts w:hint="eastAsia"/>
                <w:highlight w:val="none"/>
              </w:rPr>
              <w:t>负责项目需求评估与产品设计</w:t>
            </w:r>
          </w:p>
        </w:tc>
        <w:tc>
          <w:tcPr>
            <w:tcW w:w="1276" w:type="dxa"/>
            <w:shd w:val="clear" w:color="auto" w:fill="auto"/>
            <w:noWrap/>
            <w:vAlign w:val="center"/>
          </w:tcPr>
          <w:p w14:paraId="34F33AE6">
            <w:pPr>
              <w:rPr>
                <w:highlight w:val="none"/>
              </w:rPr>
            </w:pPr>
            <w:r>
              <w:rPr>
                <w:highlight w:val="none"/>
              </w:rPr>
              <w:t>1</w:t>
            </w:r>
            <w:r>
              <w:rPr>
                <w:rFonts w:hint="eastAsia"/>
                <w:highlight w:val="none"/>
              </w:rPr>
              <w:t>人</w:t>
            </w:r>
          </w:p>
        </w:tc>
        <w:tc>
          <w:tcPr>
            <w:tcW w:w="1929" w:type="dxa"/>
            <w:vAlign w:val="center"/>
          </w:tcPr>
          <w:p w14:paraId="485C8747">
            <w:pPr>
              <w:rPr>
                <w:highlight w:val="none"/>
              </w:rPr>
            </w:pPr>
          </w:p>
        </w:tc>
        <w:tc>
          <w:tcPr>
            <w:tcW w:w="0" w:type="auto"/>
            <w:shd w:val="clear" w:color="auto" w:fill="auto"/>
            <w:noWrap/>
            <w:vAlign w:val="center"/>
          </w:tcPr>
          <w:p w14:paraId="2AFB5A54">
            <w:pPr>
              <w:rPr>
                <w:highlight w:val="none"/>
              </w:rPr>
            </w:pPr>
            <w:r>
              <w:rPr>
                <w:rFonts w:hint="eastAsia"/>
                <w:highlight w:val="none"/>
              </w:rPr>
              <w:t>不驻场</w:t>
            </w:r>
          </w:p>
        </w:tc>
      </w:tr>
      <w:tr w14:paraId="63111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jc w:val="center"/>
        </w:trPr>
        <w:tc>
          <w:tcPr>
            <w:tcW w:w="0" w:type="auto"/>
            <w:shd w:val="clear" w:color="auto" w:fill="auto"/>
            <w:noWrap/>
            <w:vAlign w:val="center"/>
          </w:tcPr>
          <w:p w14:paraId="2E603175">
            <w:pPr>
              <w:rPr>
                <w:highlight w:val="none"/>
              </w:rPr>
            </w:pPr>
            <w:r>
              <w:rPr>
                <w:rFonts w:hint="eastAsia"/>
                <w:highlight w:val="none"/>
              </w:rPr>
              <w:t>研发</w:t>
            </w:r>
          </w:p>
        </w:tc>
        <w:tc>
          <w:tcPr>
            <w:tcW w:w="2505" w:type="dxa"/>
            <w:shd w:val="clear" w:color="auto" w:fill="auto"/>
            <w:noWrap/>
            <w:vAlign w:val="center"/>
          </w:tcPr>
          <w:p w14:paraId="49691D30">
            <w:pPr>
              <w:rPr>
                <w:highlight w:val="none"/>
              </w:rPr>
            </w:pPr>
            <w:r>
              <w:rPr>
                <w:rFonts w:hint="eastAsia"/>
                <w:highlight w:val="none"/>
              </w:rPr>
              <w:t>负责项目具体开发与实施</w:t>
            </w:r>
          </w:p>
        </w:tc>
        <w:tc>
          <w:tcPr>
            <w:tcW w:w="1276" w:type="dxa"/>
            <w:shd w:val="clear" w:color="auto" w:fill="auto"/>
            <w:noWrap/>
            <w:vAlign w:val="center"/>
          </w:tcPr>
          <w:p w14:paraId="62039772">
            <w:pPr>
              <w:rPr>
                <w:highlight w:val="none"/>
              </w:rPr>
            </w:pPr>
            <w:r>
              <w:rPr>
                <w:highlight w:val="none"/>
              </w:rPr>
              <w:t>10</w:t>
            </w:r>
            <w:r>
              <w:rPr>
                <w:rFonts w:hint="eastAsia"/>
                <w:highlight w:val="none"/>
              </w:rPr>
              <w:t>人</w:t>
            </w:r>
          </w:p>
        </w:tc>
        <w:tc>
          <w:tcPr>
            <w:tcW w:w="1929" w:type="dxa"/>
            <w:vAlign w:val="center"/>
          </w:tcPr>
          <w:p w14:paraId="6E8F3098">
            <w:pPr>
              <w:rPr>
                <w:highlight w:val="none"/>
              </w:rPr>
            </w:pPr>
            <w:r>
              <w:rPr>
                <w:rFonts w:hint="eastAsia"/>
                <w:highlight w:val="none"/>
              </w:rPr>
              <w:t>项目实施期间需要至少2名数据类业务技术人员驻场</w:t>
            </w:r>
          </w:p>
        </w:tc>
        <w:tc>
          <w:tcPr>
            <w:tcW w:w="0" w:type="auto"/>
            <w:shd w:val="clear" w:color="auto" w:fill="auto"/>
            <w:noWrap/>
            <w:vAlign w:val="center"/>
          </w:tcPr>
          <w:p w14:paraId="60571023">
            <w:pPr>
              <w:rPr>
                <w:highlight w:val="none"/>
              </w:rPr>
            </w:pPr>
            <w:r>
              <w:rPr>
                <w:rFonts w:hint="eastAsia"/>
                <w:highlight w:val="none"/>
              </w:rPr>
              <w:t>驻场（至少</w:t>
            </w:r>
          </w:p>
          <w:p w14:paraId="230CEC78">
            <w:pPr>
              <w:rPr>
                <w:highlight w:val="none"/>
              </w:rPr>
            </w:pPr>
            <w:r>
              <w:rPr>
                <w:rFonts w:hint="eastAsia"/>
                <w:highlight w:val="none"/>
              </w:rPr>
              <w:t>2名数据类</w:t>
            </w:r>
          </w:p>
          <w:p w14:paraId="681A023C">
            <w:pPr>
              <w:rPr>
                <w:highlight w:val="none"/>
              </w:rPr>
            </w:pPr>
            <w:r>
              <w:rPr>
                <w:rFonts w:hint="eastAsia"/>
                <w:highlight w:val="none"/>
              </w:rPr>
              <w:t>技术人员</w:t>
            </w:r>
          </w:p>
          <w:p w14:paraId="611EB183">
            <w:pPr>
              <w:rPr>
                <w:highlight w:val="none"/>
              </w:rPr>
            </w:pPr>
            <w:r>
              <w:rPr>
                <w:rFonts w:hint="eastAsia"/>
                <w:highlight w:val="none"/>
              </w:rPr>
              <w:t>驻场）</w:t>
            </w:r>
          </w:p>
        </w:tc>
      </w:tr>
    </w:tbl>
    <w:p w14:paraId="6F4C0709">
      <w:pPr>
        <w:widowControl w:val="0"/>
        <w:spacing w:line="560" w:lineRule="exact"/>
        <w:ind w:firstLine="480" w:firstLineChars="200"/>
        <w:jc w:val="both"/>
        <w:rPr>
          <w:rFonts w:hint="eastAsia"/>
          <w:highlight w:val="none"/>
        </w:rPr>
      </w:pPr>
      <w:r>
        <w:rPr>
          <w:rFonts w:hint="eastAsia"/>
          <w:highlight w:val="none"/>
        </w:rPr>
        <w:t>2）</w:t>
      </w:r>
      <w:r>
        <w:rPr>
          <w:rFonts w:hint="eastAsia"/>
          <w:highlight w:val="none"/>
          <w:lang w:eastAsia="zh-CN"/>
        </w:rPr>
        <w:t>供应商</w:t>
      </w:r>
      <w:r>
        <w:rPr>
          <w:rFonts w:hint="eastAsia"/>
          <w:highlight w:val="none"/>
        </w:rPr>
        <w:t>应针对本项目提供不少于3人的质保期间支撑团队（其中技术经理1人，产品经理1人，技术工程师不少于1人）；</w:t>
      </w:r>
      <w:r>
        <w:rPr>
          <w:rFonts w:hint="eastAsia"/>
          <w:highlight w:val="none"/>
          <w:lang w:eastAsia="zh-CN"/>
        </w:rPr>
        <w:t>供应商</w:t>
      </w:r>
      <w:r>
        <w:rPr>
          <w:rFonts w:hint="eastAsia"/>
          <w:highlight w:val="none"/>
        </w:rPr>
        <w:t>的相关服务人员需具备相应的服务能力，需提供相关证明（最近一个季度依法缴纳社保费的证明）。</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6"/>
        <w:gridCol w:w="2486"/>
        <w:gridCol w:w="1176"/>
        <w:gridCol w:w="2274"/>
        <w:gridCol w:w="1176"/>
      </w:tblGrid>
      <w:tr w14:paraId="5C8DC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shd w:val="clear" w:color="auto" w:fill="auto"/>
            <w:noWrap/>
            <w:vAlign w:val="center"/>
          </w:tcPr>
          <w:p w14:paraId="09E464D4">
            <w:pPr>
              <w:rPr>
                <w:highlight w:val="none"/>
              </w:rPr>
            </w:pPr>
            <w:r>
              <w:rPr>
                <w:rFonts w:hint="eastAsia"/>
                <w:highlight w:val="none"/>
              </w:rPr>
              <w:t>角色</w:t>
            </w:r>
          </w:p>
        </w:tc>
        <w:tc>
          <w:tcPr>
            <w:tcW w:w="0" w:type="auto"/>
            <w:shd w:val="clear" w:color="auto" w:fill="auto"/>
            <w:noWrap/>
            <w:vAlign w:val="center"/>
          </w:tcPr>
          <w:p w14:paraId="6671B7AF">
            <w:pPr>
              <w:rPr>
                <w:highlight w:val="none"/>
              </w:rPr>
            </w:pPr>
            <w:r>
              <w:rPr>
                <w:rFonts w:hint="eastAsia"/>
                <w:highlight w:val="none"/>
              </w:rPr>
              <w:t>主要职责</w:t>
            </w:r>
          </w:p>
        </w:tc>
        <w:tc>
          <w:tcPr>
            <w:tcW w:w="0" w:type="auto"/>
            <w:shd w:val="clear" w:color="auto" w:fill="auto"/>
            <w:noWrap/>
            <w:vAlign w:val="center"/>
          </w:tcPr>
          <w:p w14:paraId="3FDC34B1">
            <w:pPr>
              <w:rPr>
                <w:highlight w:val="none"/>
              </w:rPr>
            </w:pPr>
            <w:r>
              <w:rPr>
                <w:rFonts w:hint="eastAsia"/>
                <w:highlight w:val="none"/>
              </w:rPr>
              <w:t>人员数量</w:t>
            </w:r>
          </w:p>
        </w:tc>
        <w:tc>
          <w:tcPr>
            <w:tcW w:w="0" w:type="auto"/>
            <w:vAlign w:val="center"/>
          </w:tcPr>
          <w:p w14:paraId="642D6094">
            <w:pPr>
              <w:rPr>
                <w:highlight w:val="none"/>
              </w:rPr>
            </w:pPr>
            <w:r>
              <w:rPr>
                <w:rFonts w:hint="eastAsia"/>
                <w:highlight w:val="none"/>
              </w:rPr>
              <w:t>人员要求</w:t>
            </w:r>
          </w:p>
        </w:tc>
        <w:tc>
          <w:tcPr>
            <w:tcW w:w="0" w:type="auto"/>
            <w:shd w:val="clear" w:color="auto" w:fill="auto"/>
            <w:noWrap/>
            <w:vAlign w:val="center"/>
          </w:tcPr>
          <w:p w14:paraId="598466B8">
            <w:pPr>
              <w:rPr>
                <w:highlight w:val="none"/>
              </w:rPr>
            </w:pPr>
            <w:r>
              <w:rPr>
                <w:rFonts w:hint="eastAsia"/>
                <w:highlight w:val="none"/>
              </w:rPr>
              <w:t>驻场要求</w:t>
            </w:r>
          </w:p>
        </w:tc>
      </w:tr>
      <w:tr w14:paraId="2E698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shd w:val="clear" w:color="auto" w:fill="auto"/>
            <w:noWrap/>
            <w:vAlign w:val="center"/>
          </w:tcPr>
          <w:p w14:paraId="67DAF808">
            <w:pPr>
              <w:rPr>
                <w:highlight w:val="none"/>
              </w:rPr>
            </w:pPr>
            <w:r>
              <w:rPr>
                <w:rFonts w:hint="eastAsia"/>
                <w:highlight w:val="none"/>
              </w:rPr>
              <w:t>项目经理</w:t>
            </w:r>
          </w:p>
        </w:tc>
        <w:tc>
          <w:tcPr>
            <w:tcW w:w="0" w:type="auto"/>
            <w:shd w:val="clear" w:color="auto" w:fill="auto"/>
            <w:vAlign w:val="center"/>
          </w:tcPr>
          <w:p w14:paraId="1EE41A06">
            <w:pPr>
              <w:rPr>
                <w:highlight w:val="none"/>
              </w:rPr>
            </w:pPr>
            <w:r>
              <w:rPr>
                <w:rFonts w:hint="eastAsia"/>
                <w:highlight w:val="none"/>
              </w:rPr>
              <w:t>负责项目质量和进度控制</w:t>
            </w:r>
          </w:p>
        </w:tc>
        <w:tc>
          <w:tcPr>
            <w:tcW w:w="0" w:type="auto"/>
            <w:shd w:val="clear" w:color="auto" w:fill="auto"/>
            <w:noWrap/>
            <w:vAlign w:val="center"/>
          </w:tcPr>
          <w:p w14:paraId="2AD60974">
            <w:pPr>
              <w:rPr>
                <w:highlight w:val="none"/>
              </w:rPr>
            </w:pPr>
            <w:r>
              <w:rPr>
                <w:highlight w:val="none"/>
              </w:rPr>
              <w:t>1</w:t>
            </w:r>
            <w:r>
              <w:rPr>
                <w:rFonts w:hint="eastAsia"/>
                <w:highlight w:val="none"/>
              </w:rPr>
              <w:t>人</w:t>
            </w:r>
          </w:p>
        </w:tc>
        <w:tc>
          <w:tcPr>
            <w:tcW w:w="0" w:type="auto"/>
            <w:vAlign w:val="center"/>
          </w:tcPr>
          <w:p w14:paraId="3FAFE3FD">
            <w:pPr>
              <w:rPr>
                <w:highlight w:val="none"/>
              </w:rPr>
            </w:pPr>
            <w:r>
              <w:rPr>
                <w:rFonts w:hint="eastAsia"/>
                <w:highlight w:val="none"/>
              </w:rPr>
              <w:t>项目经理具备计算机技术与软件专业技术资格</w:t>
            </w:r>
            <w:r>
              <w:rPr>
                <w:rFonts w:hint="eastAsia"/>
                <w:highlight w:val="none"/>
                <w:lang w:eastAsia="zh-CN"/>
              </w:rPr>
              <w:t>中</w:t>
            </w:r>
            <w:r>
              <w:rPr>
                <w:rFonts w:hint="eastAsia"/>
                <w:highlight w:val="none"/>
              </w:rPr>
              <w:t>级</w:t>
            </w:r>
            <w:r>
              <w:rPr>
                <w:rFonts w:hint="eastAsia"/>
                <w:highlight w:val="none"/>
                <w:lang w:eastAsia="zh-CN"/>
              </w:rPr>
              <w:t>及以上</w:t>
            </w:r>
            <w:r>
              <w:rPr>
                <w:rFonts w:hint="eastAsia"/>
                <w:highlight w:val="none"/>
              </w:rPr>
              <w:t>证书</w:t>
            </w:r>
          </w:p>
        </w:tc>
        <w:tc>
          <w:tcPr>
            <w:tcW w:w="0" w:type="auto"/>
            <w:shd w:val="clear" w:color="auto" w:fill="auto"/>
            <w:noWrap/>
            <w:vAlign w:val="center"/>
          </w:tcPr>
          <w:p w14:paraId="226E1B1B">
            <w:pPr>
              <w:rPr>
                <w:highlight w:val="none"/>
              </w:rPr>
            </w:pPr>
            <w:r>
              <w:rPr>
                <w:rFonts w:hint="eastAsia"/>
                <w:highlight w:val="none"/>
              </w:rPr>
              <w:t>不驻场</w:t>
            </w:r>
          </w:p>
        </w:tc>
      </w:tr>
      <w:tr w14:paraId="30EA0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shd w:val="clear" w:color="auto" w:fill="auto"/>
            <w:noWrap/>
            <w:vAlign w:val="center"/>
          </w:tcPr>
          <w:p w14:paraId="57FB0625">
            <w:pPr>
              <w:rPr>
                <w:highlight w:val="none"/>
              </w:rPr>
            </w:pPr>
            <w:r>
              <w:rPr>
                <w:rFonts w:hint="eastAsia"/>
                <w:highlight w:val="none"/>
              </w:rPr>
              <w:t>产品经理</w:t>
            </w:r>
          </w:p>
        </w:tc>
        <w:tc>
          <w:tcPr>
            <w:tcW w:w="0" w:type="auto"/>
            <w:shd w:val="clear" w:color="auto" w:fill="auto"/>
            <w:vAlign w:val="center"/>
          </w:tcPr>
          <w:p w14:paraId="03E71F34">
            <w:pPr>
              <w:rPr>
                <w:highlight w:val="none"/>
              </w:rPr>
            </w:pPr>
            <w:r>
              <w:rPr>
                <w:rFonts w:hint="eastAsia"/>
                <w:highlight w:val="none"/>
              </w:rPr>
              <w:t>负责项目需求评估与产品设计</w:t>
            </w:r>
          </w:p>
        </w:tc>
        <w:tc>
          <w:tcPr>
            <w:tcW w:w="0" w:type="auto"/>
            <w:shd w:val="clear" w:color="auto" w:fill="auto"/>
            <w:noWrap/>
            <w:vAlign w:val="center"/>
          </w:tcPr>
          <w:p w14:paraId="1F65F1B7">
            <w:pPr>
              <w:rPr>
                <w:highlight w:val="none"/>
              </w:rPr>
            </w:pPr>
            <w:r>
              <w:rPr>
                <w:highlight w:val="none"/>
              </w:rPr>
              <w:t>1</w:t>
            </w:r>
            <w:r>
              <w:rPr>
                <w:rFonts w:hint="eastAsia"/>
                <w:highlight w:val="none"/>
              </w:rPr>
              <w:t>人</w:t>
            </w:r>
          </w:p>
        </w:tc>
        <w:tc>
          <w:tcPr>
            <w:tcW w:w="0" w:type="auto"/>
            <w:vAlign w:val="center"/>
          </w:tcPr>
          <w:p w14:paraId="63BDFF8D">
            <w:pPr>
              <w:rPr>
                <w:highlight w:val="none"/>
              </w:rPr>
            </w:pPr>
          </w:p>
        </w:tc>
        <w:tc>
          <w:tcPr>
            <w:tcW w:w="0" w:type="auto"/>
            <w:shd w:val="clear" w:color="auto" w:fill="auto"/>
            <w:noWrap/>
            <w:vAlign w:val="center"/>
          </w:tcPr>
          <w:p w14:paraId="0BA9C715">
            <w:pPr>
              <w:rPr>
                <w:highlight w:val="none"/>
              </w:rPr>
            </w:pPr>
            <w:r>
              <w:rPr>
                <w:rFonts w:hint="eastAsia"/>
                <w:highlight w:val="none"/>
              </w:rPr>
              <w:t>不驻场</w:t>
            </w:r>
          </w:p>
        </w:tc>
      </w:tr>
      <w:tr w14:paraId="1DE80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shd w:val="clear" w:color="auto" w:fill="auto"/>
            <w:noWrap/>
            <w:vAlign w:val="center"/>
          </w:tcPr>
          <w:p w14:paraId="59DB6BE9">
            <w:pPr>
              <w:rPr>
                <w:highlight w:val="none"/>
              </w:rPr>
            </w:pPr>
            <w:r>
              <w:rPr>
                <w:rFonts w:hint="eastAsia"/>
                <w:highlight w:val="none"/>
              </w:rPr>
              <w:t>技术工程师</w:t>
            </w:r>
          </w:p>
        </w:tc>
        <w:tc>
          <w:tcPr>
            <w:tcW w:w="0" w:type="auto"/>
            <w:shd w:val="clear" w:color="auto" w:fill="auto"/>
            <w:noWrap/>
            <w:vAlign w:val="center"/>
          </w:tcPr>
          <w:p w14:paraId="47221374">
            <w:pPr>
              <w:rPr>
                <w:highlight w:val="none"/>
              </w:rPr>
            </w:pPr>
            <w:r>
              <w:rPr>
                <w:rFonts w:hint="eastAsia"/>
                <w:highlight w:val="none"/>
              </w:rPr>
              <w:t>负责项目运行维护</w:t>
            </w:r>
          </w:p>
        </w:tc>
        <w:tc>
          <w:tcPr>
            <w:tcW w:w="0" w:type="auto"/>
            <w:shd w:val="clear" w:color="auto" w:fill="auto"/>
            <w:noWrap/>
            <w:vAlign w:val="center"/>
          </w:tcPr>
          <w:p w14:paraId="419946A7">
            <w:pPr>
              <w:rPr>
                <w:highlight w:val="none"/>
              </w:rPr>
            </w:pPr>
            <w:r>
              <w:rPr>
                <w:highlight w:val="none"/>
              </w:rPr>
              <w:t>1</w:t>
            </w:r>
            <w:r>
              <w:rPr>
                <w:rFonts w:hint="eastAsia"/>
                <w:highlight w:val="none"/>
              </w:rPr>
              <w:t>人</w:t>
            </w:r>
          </w:p>
        </w:tc>
        <w:tc>
          <w:tcPr>
            <w:tcW w:w="0" w:type="auto"/>
            <w:vAlign w:val="center"/>
          </w:tcPr>
          <w:p w14:paraId="3BD8FD6C">
            <w:pPr>
              <w:rPr>
                <w:highlight w:val="none"/>
              </w:rPr>
            </w:pPr>
          </w:p>
        </w:tc>
        <w:tc>
          <w:tcPr>
            <w:tcW w:w="0" w:type="auto"/>
            <w:shd w:val="clear" w:color="auto" w:fill="auto"/>
            <w:noWrap/>
            <w:vAlign w:val="center"/>
          </w:tcPr>
          <w:p w14:paraId="60B0F9A3">
            <w:pPr>
              <w:rPr>
                <w:highlight w:val="none"/>
              </w:rPr>
            </w:pPr>
            <w:r>
              <w:rPr>
                <w:rFonts w:hint="eastAsia"/>
                <w:highlight w:val="none"/>
              </w:rPr>
              <w:t>驻场</w:t>
            </w:r>
            <w:r>
              <w:rPr>
                <w:highlight w:val="none"/>
              </w:rPr>
              <w:t xml:space="preserve"> </w:t>
            </w:r>
          </w:p>
        </w:tc>
      </w:tr>
    </w:tbl>
    <w:p w14:paraId="15583962">
      <w:pPr>
        <w:pStyle w:val="3"/>
        <w:widowControl w:val="0"/>
        <w:spacing w:line="360" w:lineRule="auto"/>
        <w:ind w:left="1614" w:leftChars="200" w:hanging="1134"/>
        <w:jc w:val="both"/>
        <w:rPr>
          <w:rFonts w:hint="eastAsia"/>
          <w:highlight w:val="none"/>
        </w:rPr>
      </w:pPr>
      <w:bookmarkStart w:id="32" w:name="_Toc63785511"/>
      <w:r>
        <w:rPr>
          <w:rFonts w:hint="eastAsia"/>
          <w:highlight w:val="none"/>
        </w:rPr>
        <w:t>等级保护要求</w:t>
      </w:r>
      <w:bookmarkEnd w:id="32"/>
    </w:p>
    <w:p w14:paraId="39F0517F">
      <w:pPr>
        <w:widowControl w:val="0"/>
        <w:spacing w:line="560" w:lineRule="exact"/>
        <w:ind w:firstLine="480" w:firstLineChars="200"/>
        <w:jc w:val="both"/>
        <w:rPr>
          <w:highlight w:val="none"/>
        </w:rPr>
      </w:pPr>
      <w:r>
        <w:rPr>
          <w:rFonts w:hint="eastAsia"/>
          <w:highlight w:val="none"/>
        </w:rPr>
        <w:t>本项目等级保护要求： 信息安全等级保护三级，验收前需要完成等保测评备案工作。</w:t>
      </w:r>
    </w:p>
    <w:p w14:paraId="724CE0D7">
      <w:pPr>
        <w:pStyle w:val="3"/>
        <w:widowControl w:val="0"/>
        <w:spacing w:line="360" w:lineRule="auto"/>
        <w:ind w:left="1614" w:leftChars="200" w:hanging="1134"/>
        <w:jc w:val="both"/>
        <w:rPr>
          <w:rFonts w:hint="eastAsia"/>
          <w:highlight w:val="none"/>
        </w:rPr>
      </w:pPr>
      <w:r>
        <w:rPr>
          <w:rFonts w:hint="eastAsia"/>
          <w:highlight w:val="none"/>
        </w:rPr>
        <w:t>商业密码应用需求</w:t>
      </w:r>
    </w:p>
    <w:p w14:paraId="431EB38B">
      <w:pPr>
        <w:widowControl w:val="0"/>
        <w:spacing w:line="560" w:lineRule="exact"/>
        <w:ind w:firstLine="480" w:firstLineChars="200"/>
        <w:jc w:val="both"/>
        <w:rPr>
          <w:rFonts w:hint="eastAsia"/>
          <w:highlight w:val="none"/>
        </w:rPr>
      </w:pPr>
      <w:r>
        <w:rPr>
          <w:rFonts w:hint="eastAsia"/>
          <w:highlight w:val="none"/>
        </w:rPr>
        <w:t>根据本项目信息安全等级保护要求，验收前需要完成商业密码应用测评工作。</w:t>
      </w:r>
    </w:p>
    <w:p w14:paraId="1004F02F">
      <w:pPr>
        <w:pStyle w:val="3"/>
        <w:widowControl w:val="0"/>
        <w:spacing w:line="360" w:lineRule="auto"/>
        <w:ind w:left="1614" w:leftChars="200" w:hanging="1134"/>
        <w:jc w:val="both"/>
        <w:rPr>
          <w:rFonts w:hint="eastAsia"/>
          <w:highlight w:val="none"/>
        </w:rPr>
      </w:pPr>
      <w:bookmarkStart w:id="33" w:name="_Toc63785512"/>
      <w:r>
        <w:rPr>
          <w:rFonts w:hint="eastAsia"/>
          <w:highlight w:val="none"/>
        </w:rPr>
        <w:t>技术文件要求</w:t>
      </w:r>
    </w:p>
    <w:p w14:paraId="6490974B">
      <w:pPr>
        <w:widowControl w:val="0"/>
        <w:spacing w:line="560" w:lineRule="exact"/>
        <w:ind w:firstLine="480" w:firstLineChars="200"/>
        <w:jc w:val="both"/>
        <w:rPr>
          <w:rFonts w:hint="eastAsia"/>
          <w:highlight w:val="none"/>
        </w:rPr>
      </w:pPr>
      <w:r>
        <w:rPr>
          <w:rFonts w:hint="eastAsia"/>
          <w:highlight w:val="none"/>
          <w:lang w:eastAsia="zh-CN"/>
        </w:rPr>
        <w:t>供应商</w:t>
      </w:r>
      <w:r>
        <w:rPr>
          <w:rFonts w:hint="eastAsia"/>
          <w:highlight w:val="none"/>
        </w:rPr>
        <w:t>提供的书面技术资料应能确保系统正常运行所需的管理、运营及维护有关的全套文件。技术文件应该全面、完整、详细。</w:t>
      </w:r>
      <w:r>
        <w:rPr>
          <w:rFonts w:hint="eastAsia"/>
          <w:highlight w:val="none"/>
          <w:lang w:eastAsia="zh-CN"/>
        </w:rPr>
        <w:t>供应商</w:t>
      </w:r>
      <w:r>
        <w:rPr>
          <w:rFonts w:hint="eastAsia"/>
          <w:highlight w:val="none"/>
        </w:rPr>
        <w:t>提供的技术文件至少应包括：</w:t>
      </w:r>
    </w:p>
    <w:p w14:paraId="4BBE88BD">
      <w:pPr>
        <w:widowControl w:val="0"/>
        <w:spacing w:line="560" w:lineRule="exact"/>
        <w:ind w:firstLine="480" w:firstLineChars="200"/>
        <w:jc w:val="both"/>
        <w:rPr>
          <w:rFonts w:hint="eastAsia"/>
          <w:highlight w:val="none"/>
        </w:rPr>
      </w:pPr>
      <w:r>
        <w:rPr>
          <w:rFonts w:hint="eastAsia"/>
          <w:highlight w:val="none"/>
        </w:rPr>
        <w:t xml:space="preserve">－ 系统说明文件； </w:t>
      </w:r>
    </w:p>
    <w:p w14:paraId="4A7562EC">
      <w:pPr>
        <w:widowControl w:val="0"/>
        <w:spacing w:line="560" w:lineRule="exact"/>
        <w:ind w:firstLine="480" w:firstLineChars="200"/>
        <w:jc w:val="both"/>
        <w:rPr>
          <w:rFonts w:hint="eastAsia"/>
          <w:highlight w:val="none"/>
        </w:rPr>
      </w:pPr>
      <w:r>
        <w:rPr>
          <w:rFonts w:hint="eastAsia"/>
          <w:highlight w:val="none"/>
        </w:rPr>
        <w:t xml:space="preserve">－ 技术手册(安装、测试、操作、维护、故障排除等)； </w:t>
      </w:r>
    </w:p>
    <w:p w14:paraId="74322BE1">
      <w:pPr>
        <w:widowControl w:val="0"/>
        <w:spacing w:line="560" w:lineRule="exact"/>
        <w:ind w:firstLine="480" w:firstLineChars="200"/>
        <w:jc w:val="both"/>
        <w:rPr>
          <w:rFonts w:hint="eastAsia"/>
          <w:highlight w:val="none"/>
        </w:rPr>
      </w:pPr>
      <w:r>
        <w:rPr>
          <w:rFonts w:hint="eastAsia"/>
          <w:highlight w:val="none"/>
        </w:rPr>
        <w:t>－ 项目文档，应该包括：</w:t>
      </w:r>
    </w:p>
    <w:p w14:paraId="5DA46B02">
      <w:pPr>
        <w:widowControl w:val="0"/>
        <w:spacing w:line="560" w:lineRule="exact"/>
        <w:ind w:firstLine="480" w:firstLineChars="200"/>
        <w:jc w:val="both"/>
        <w:rPr>
          <w:rFonts w:hint="eastAsia"/>
          <w:highlight w:val="none"/>
        </w:rPr>
      </w:pPr>
      <w:r>
        <w:rPr>
          <w:rFonts w:hint="eastAsia"/>
          <w:highlight w:val="none"/>
        </w:rPr>
        <w:t>(1)软件需求说明书</w:t>
      </w:r>
    </w:p>
    <w:p w14:paraId="78A24CE5">
      <w:pPr>
        <w:widowControl w:val="0"/>
        <w:spacing w:line="560" w:lineRule="exact"/>
        <w:ind w:firstLine="480" w:firstLineChars="200"/>
        <w:jc w:val="both"/>
        <w:rPr>
          <w:rFonts w:hint="eastAsia"/>
          <w:highlight w:val="none"/>
        </w:rPr>
      </w:pPr>
      <w:r>
        <w:rPr>
          <w:rFonts w:hint="eastAsia"/>
          <w:highlight w:val="none"/>
        </w:rPr>
        <w:t>(2)系统总体设计说明书</w:t>
      </w:r>
    </w:p>
    <w:p w14:paraId="43C302AD">
      <w:pPr>
        <w:widowControl w:val="0"/>
        <w:spacing w:line="560" w:lineRule="exact"/>
        <w:ind w:firstLine="480" w:firstLineChars="200"/>
        <w:jc w:val="both"/>
        <w:rPr>
          <w:rFonts w:hint="eastAsia"/>
          <w:highlight w:val="none"/>
        </w:rPr>
      </w:pPr>
      <w:r>
        <w:rPr>
          <w:rFonts w:hint="eastAsia"/>
          <w:highlight w:val="none"/>
        </w:rPr>
        <w:t>(3)应用软件功能清单</w:t>
      </w:r>
    </w:p>
    <w:p w14:paraId="4B235F98">
      <w:pPr>
        <w:widowControl w:val="0"/>
        <w:spacing w:line="560" w:lineRule="exact"/>
        <w:ind w:firstLine="480" w:firstLineChars="200"/>
        <w:jc w:val="both"/>
        <w:rPr>
          <w:rFonts w:hint="eastAsia" w:ascii="宋体" w:hAnsi="宋体" w:eastAsia="宋体" w:cs="Times New Roman"/>
          <w:strike w:val="0"/>
          <w:highlight w:val="none"/>
        </w:rPr>
      </w:pPr>
      <w:r>
        <w:rPr>
          <w:rFonts w:hint="eastAsia" w:ascii="宋体" w:hAnsi="宋体" w:eastAsia="宋体" w:cs="Times New Roman"/>
          <w:highlight w:val="none"/>
        </w:rPr>
        <w:t>提供全套技术文件纸介质3套以及电子文件1套。</w:t>
      </w:r>
      <w:bookmarkEnd w:id="33"/>
    </w:p>
    <w:p w14:paraId="74E4A9D6">
      <w:pPr>
        <w:pStyle w:val="2"/>
        <w:rPr>
          <w:rFonts w:hint="eastAsia"/>
          <w:highlight w:val="none"/>
        </w:rPr>
      </w:pPr>
      <w:bookmarkStart w:id="34" w:name="_Toc68798863"/>
      <w:r>
        <w:rPr>
          <w:rFonts w:hint="eastAsia"/>
          <w:highlight w:val="none"/>
        </w:rPr>
        <w:t>附录</w:t>
      </w:r>
      <w:bookmarkEnd w:id="34"/>
    </w:p>
    <w:p w14:paraId="37F16124">
      <w:pPr>
        <w:widowControl w:val="0"/>
        <w:spacing w:line="560" w:lineRule="exact"/>
        <w:ind w:firstLine="480" w:firstLineChars="200"/>
        <w:jc w:val="both"/>
        <w:rPr>
          <w:rFonts w:hint="eastAsia"/>
          <w:highlight w:val="none"/>
        </w:rPr>
      </w:pPr>
      <w:r>
        <w:rPr>
          <w:rFonts w:hint="eastAsia"/>
          <w:b w:val="0"/>
          <w:color w:val="auto"/>
          <w:highlight w:val="none"/>
        </w:rPr>
        <w:t>项目建设过程中需符合相关技术标准或规范文件的要求。</w:t>
      </w:r>
    </w:p>
    <w:p w14:paraId="739E3949">
      <w:pPr>
        <w:widowControl w:val="0"/>
        <w:spacing w:line="560" w:lineRule="exact"/>
        <w:ind w:firstLine="480" w:firstLineChars="200"/>
        <w:jc w:val="both"/>
        <w:rPr>
          <w:rFonts w:hint="eastAsia"/>
          <w:highlight w:val="none"/>
        </w:rPr>
      </w:pPr>
      <w:r>
        <w:rPr>
          <w:rFonts w:hint="eastAsia"/>
          <w:highlight w:val="none"/>
        </w:rPr>
        <w:t>参考如下：</w:t>
      </w:r>
    </w:p>
    <w:p w14:paraId="6B704B14">
      <w:pPr>
        <w:widowControl w:val="0"/>
        <w:spacing w:line="560" w:lineRule="exact"/>
        <w:ind w:firstLine="480" w:firstLineChars="200"/>
        <w:jc w:val="both"/>
        <w:rPr>
          <w:rFonts w:hint="eastAsia"/>
          <w:highlight w:val="none"/>
        </w:rPr>
      </w:pPr>
      <w:r>
        <w:rPr>
          <w:rFonts w:hint="eastAsia"/>
          <w:highlight w:val="none"/>
        </w:rPr>
        <w:t>1、《政务网络安全监测平台总体技术要求》</w:t>
      </w:r>
    </w:p>
    <w:p w14:paraId="3A06078C">
      <w:pPr>
        <w:widowControl w:val="0"/>
        <w:spacing w:line="560" w:lineRule="exact"/>
        <w:ind w:firstLine="480" w:firstLineChars="200"/>
        <w:jc w:val="both"/>
        <w:rPr>
          <w:rFonts w:hint="eastAsia"/>
          <w:highlight w:val="none"/>
        </w:rPr>
      </w:pPr>
      <w:r>
        <w:rPr>
          <w:rFonts w:hint="eastAsia"/>
          <w:highlight w:val="none"/>
        </w:rPr>
        <w:t>2、《上海市电子政务外网</w:t>
      </w:r>
      <w:r>
        <w:rPr>
          <w:rFonts w:hint="eastAsia"/>
          <w:highlight w:val="none"/>
          <w:lang w:eastAsia="zh-CN"/>
        </w:rPr>
        <w:t>管理办法</w:t>
      </w:r>
      <w:r>
        <w:rPr>
          <w:rFonts w:hint="eastAsia"/>
          <w:highlight w:val="none"/>
        </w:rPr>
        <w:t>》</w:t>
      </w:r>
    </w:p>
    <w:p w14:paraId="643AA4EF">
      <w:pPr>
        <w:widowControl w:val="0"/>
        <w:spacing w:line="560" w:lineRule="exact"/>
        <w:ind w:firstLine="480" w:firstLineChars="200"/>
        <w:jc w:val="both"/>
        <w:rPr>
          <w:rFonts w:hint="eastAsia"/>
          <w:b w:val="0"/>
          <w:bCs w:val="0"/>
          <w:highlight w:val="none"/>
        </w:rPr>
      </w:pPr>
      <w:r>
        <w:rPr>
          <w:rFonts w:hint="eastAsia"/>
          <w:highlight w:val="none"/>
        </w:rPr>
        <w:t>3、</w:t>
      </w:r>
      <w:r>
        <w:rPr>
          <w:rFonts w:hint="eastAsia"/>
          <w:color w:val="auto"/>
          <w:highlight w:val="none"/>
          <w:lang w:eastAsia="zh-CN"/>
        </w:rPr>
        <w:t>其他</w:t>
      </w:r>
      <w:r>
        <w:rPr>
          <w:rFonts w:hint="eastAsia"/>
          <w:color w:val="auto"/>
          <w:szCs w:val="21"/>
          <w:highlight w:val="none"/>
        </w:rPr>
        <w:t>国家、地方及相关政府管理部门和行业与本项目有关的各项技术标准、规范</w:t>
      </w:r>
      <w:r>
        <w:rPr>
          <w:rFonts w:hint="eastAsia"/>
          <w:color w:val="auto"/>
          <w:szCs w:val="21"/>
          <w:highlight w:val="none"/>
          <w:lang w:eastAsia="zh-CN"/>
        </w:rPr>
        <w:t>。</w:t>
      </w:r>
    </w:p>
    <w:p w14:paraId="640FB110">
      <w:pPr>
        <w:rPr>
          <w:highlight w:val="none"/>
        </w:rPr>
      </w:pPr>
    </w:p>
    <w:sectPr>
      <w:footerReference r:id="rId3" w:type="first"/>
      <w:pgSz w:w="11906" w:h="16838"/>
      <w:pgMar w:top="1134" w:right="1797" w:bottom="1135" w:left="1797" w:header="340" w:footer="7" w:gutter="0"/>
      <w:pgNumType w:start="1"/>
      <w:cols w:space="720" w:num="1"/>
      <w:titlePg/>
      <w:docGrid w:type="linesAndChar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国标宋体"/>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国标宋体">
    <w:panose1 w:val="02000500000000000000"/>
    <w:charset w:val="86"/>
    <w:family w:val="auto"/>
    <w:pitch w:val="default"/>
    <w:sig w:usb0="00000001" w:usb1="28000000" w:usb2="00000000" w:usb3="00000000" w:csb0="00060007" w:csb1="00000000"/>
  </w:font>
  <w:font w:name="方正黑体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F93C7E">
    <w:pPr>
      <w:rPr>
        <w:lang w:val="zh-CN"/>
      </w:rPr>
    </w:pPr>
    <w:r>
      <w:rPr>
        <w:lang w:val="zh-CN"/>
      </w:rPr>
      <w:fldChar w:fldCharType="begin"/>
    </w:r>
    <w:r>
      <w:rPr>
        <w:lang w:val="zh-CN"/>
      </w:rPr>
      <w:instrText xml:space="preserve">PAGE   \* MERGEFORMAT</w:instrText>
    </w:r>
    <w:r>
      <w:rPr>
        <w:lang w:val="zh-CN"/>
      </w:rPr>
      <w:fldChar w:fldCharType="separate"/>
    </w:r>
    <w:r>
      <w:rPr>
        <w:lang w:val="zh-CN"/>
      </w:rPr>
      <w:t>1</w:t>
    </w:r>
    <w:r>
      <w:rPr>
        <w:lang w:val="zh-CN"/>
      </w:rPr>
      <w:fldChar w:fldCharType="end"/>
    </w:r>
  </w:p>
  <w:p w14:paraId="5582471A"/>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A2F4AB3"/>
    <w:multiLevelType w:val="multilevel"/>
    <w:tmpl w:val="6A2F4AB3"/>
    <w:lvl w:ilvl="0" w:tentative="0">
      <w:start w:val="1"/>
      <w:numFmt w:val="chineseCountingThousand"/>
      <w:pStyle w:val="2"/>
      <w:suff w:val="nothing"/>
      <w:lvlText w:val="%1、"/>
      <w:lvlJc w:val="left"/>
      <w:pPr>
        <w:ind w:left="425" w:hanging="425"/>
      </w:pPr>
      <w:rPr>
        <w:rFonts w:hint="eastAsia"/>
        <w:sz w:val="32"/>
        <w:szCs w:val="32"/>
      </w:rPr>
    </w:lvl>
    <w:lvl w:ilvl="1" w:tentative="0">
      <w:start w:val="1"/>
      <w:numFmt w:val="decimal"/>
      <w:pStyle w:val="3"/>
      <w:isLgl/>
      <w:suff w:val="nothing"/>
      <w:lvlText w:val="%1.%2、"/>
      <w:lvlJc w:val="left"/>
      <w:pPr>
        <w:ind w:left="1135" w:hanging="567"/>
      </w:pPr>
    </w:lvl>
    <w:lvl w:ilvl="2" w:tentative="0">
      <w:start w:val="1"/>
      <w:numFmt w:val="decimal"/>
      <w:isLgl/>
      <w:suff w:val="nothing"/>
      <w:lvlText w:val="%1.%2.%3、"/>
      <w:lvlJc w:val="left"/>
      <w:pPr>
        <w:ind w:left="1069" w:hanging="1069"/>
      </w:pPr>
      <w:rPr>
        <w:rFonts w:hint="default" w:ascii="宋体" w:hAnsi="宋体" w:eastAsia="宋体" w:cs="Arial"/>
      </w:rPr>
    </w:lvl>
    <w:lvl w:ilvl="3" w:tentative="0">
      <w:start w:val="1"/>
      <w:numFmt w:val="decimal"/>
      <w:isLgl/>
      <w:suff w:val="nothing"/>
      <w:lvlText w:val="%1.%2.%3.%4、"/>
      <w:lvlJc w:val="left"/>
      <w:pPr>
        <w:ind w:left="3403" w:hanging="851"/>
      </w:pPr>
    </w:lvl>
    <w:lvl w:ilvl="4" w:tentative="0">
      <w:start w:val="1"/>
      <w:numFmt w:val="decimal"/>
      <w:isLgl/>
      <w:suff w:val="nothing"/>
      <w:lvlText w:val="%1.%2.%3.%4.%5、"/>
      <w:lvlJc w:val="left"/>
      <w:pPr>
        <w:ind w:left="3544" w:hanging="992"/>
      </w:pPr>
      <w:rPr>
        <w:rFonts w:hint="eastAsia"/>
      </w:rPr>
    </w:lvl>
    <w:lvl w:ilvl="5" w:tentative="0">
      <w:start w:val="1"/>
      <w:numFmt w:val="decimal"/>
      <w:isLgl/>
      <w:suff w:val="nothing"/>
      <w:lvlText w:val="%1.%2.%3.%4.%5.%6、"/>
      <w:lvlJc w:val="left"/>
      <w:pPr>
        <w:ind w:left="1134" w:hanging="1134"/>
      </w:pPr>
      <w:rPr>
        <w:rFonts w:hint="eastAsia"/>
      </w:rPr>
    </w:lvl>
    <w:lvl w:ilvl="6" w:tentative="0">
      <w:start w:val="1"/>
      <w:numFmt w:val="decimal"/>
      <w:isLgl/>
      <w:lvlText w:val="%1.%2.%3.%4.%5.%6.%7"/>
      <w:lvlJc w:val="left"/>
      <w:pPr>
        <w:tabs>
          <w:tab w:val="left" w:pos="1800"/>
        </w:tabs>
        <w:ind w:left="1276" w:hanging="1276"/>
      </w:pPr>
      <w:rPr>
        <w:rFonts w:hint="eastAsia"/>
      </w:rPr>
    </w:lvl>
    <w:lvl w:ilvl="7" w:tentative="0">
      <w:start w:val="1"/>
      <w:numFmt w:val="decimal"/>
      <w:isLgl/>
      <w:lvlText w:val="%1.%2.%3.%4.%5.%6.%7.%8"/>
      <w:lvlJc w:val="left"/>
      <w:pPr>
        <w:tabs>
          <w:tab w:val="left" w:pos="1800"/>
        </w:tabs>
        <w:ind w:left="1418" w:hanging="1418"/>
      </w:pPr>
      <w:rPr>
        <w:rFonts w:hint="eastAsia"/>
      </w:rPr>
    </w:lvl>
    <w:lvl w:ilvl="8" w:tentative="0">
      <w:start w:val="1"/>
      <w:numFmt w:val="decimal"/>
      <w:isLgl/>
      <w:lvlText w:val="%1.%2.%3.%4.%5.%6.%7.%8.%9"/>
      <w:lvlJc w:val="left"/>
      <w:pPr>
        <w:tabs>
          <w:tab w:val="left" w:pos="2160"/>
        </w:tabs>
        <w:ind w:left="1559"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M1OTMyYmVkNDBiZGZjOTJjNzg0ZTljMGM2NGM1NWEifQ=="/>
  </w:docVars>
  <w:rsids>
    <w:rsidRoot w:val="00177283"/>
    <w:rsid w:val="00005517"/>
    <w:rsid w:val="000170A7"/>
    <w:rsid w:val="00017765"/>
    <w:rsid w:val="000212D5"/>
    <w:rsid w:val="00071F99"/>
    <w:rsid w:val="000E1A4A"/>
    <w:rsid w:val="00177283"/>
    <w:rsid w:val="001B2D31"/>
    <w:rsid w:val="001C2D4B"/>
    <w:rsid w:val="003A2118"/>
    <w:rsid w:val="0040428A"/>
    <w:rsid w:val="004464D7"/>
    <w:rsid w:val="0049130F"/>
    <w:rsid w:val="00586509"/>
    <w:rsid w:val="00656706"/>
    <w:rsid w:val="0068375A"/>
    <w:rsid w:val="00824360"/>
    <w:rsid w:val="00833B07"/>
    <w:rsid w:val="008E5288"/>
    <w:rsid w:val="0093256F"/>
    <w:rsid w:val="00947208"/>
    <w:rsid w:val="00967520"/>
    <w:rsid w:val="009700DD"/>
    <w:rsid w:val="009957B0"/>
    <w:rsid w:val="009D3662"/>
    <w:rsid w:val="00A531F3"/>
    <w:rsid w:val="00AA3FFC"/>
    <w:rsid w:val="00B80E9F"/>
    <w:rsid w:val="00B82D03"/>
    <w:rsid w:val="00B97D37"/>
    <w:rsid w:val="00BA071B"/>
    <w:rsid w:val="00C844D9"/>
    <w:rsid w:val="00CC206A"/>
    <w:rsid w:val="00D33197"/>
    <w:rsid w:val="00DA35F7"/>
    <w:rsid w:val="00E45CF7"/>
    <w:rsid w:val="00E57C16"/>
    <w:rsid w:val="00F91028"/>
    <w:rsid w:val="00F958E6"/>
    <w:rsid w:val="47ED589B"/>
    <w:rsid w:val="5EED5DC0"/>
    <w:rsid w:val="5FBE9974"/>
    <w:rsid w:val="645D785C"/>
    <w:rsid w:val="78F002FB"/>
    <w:rsid w:val="7CED8FCE"/>
    <w:rsid w:val="DF2D44E6"/>
    <w:rsid w:val="EDDBBB0F"/>
    <w:rsid w:val="F77D58A7"/>
    <w:rsid w:val="FABE7A38"/>
    <w:rsid w:val="FBF6B9B5"/>
    <w:rsid w:val="FD7D3C51"/>
    <w:rsid w:val="FDFEFA8D"/>
    <w:rsid w:val="FFAF615D"/>
    <w:rsid w:val="FFDAF1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宋体" w:hAnsi="宋体" w:eastAsia="宋体" w:cs="Times New Roman"/>
      <w:kern w:val="2"/>
      <w:sz w:val="24"/>
      <w:szCs w:val="24"/>
      <w:lang w:val="en-US" w:eastAsia="zh-CN" w:bidi="ar-SA"/>
    </w:rPr>
  </w:style>
  <w:style w:type="paragraph" w:styleId="2">
    <w:name w:val="heading 1"/>
    <w:basedOn w:val="1"/>
    <w:next w:val="1"/>
    <w:qFormat/>
    <w:uiPriority w:val="0"/>
    <w:pPr>
      <w:keepNext/>
      <w:keepLines/>
      <w:numPr>
        <w:ilvl w:val="0"/>
        <w:numId w:val="1"/>
      </w:numPr>
      <w:spacing w:before="120" w:after="120"/>
      <w:ind w:firstLine="0"/>
      <w:outlineLvl w:val="0"/>
    </w:pPr>
    <w:rPr>
      <w:rFonts w:eastAsia="黑体"/>
      <w:b/>
      <w:bCs/>
      <w:kern w:val="44"/>
      <w:sz w:val="32"/>
      <w:szCs w:val="28"/>
    </w:rPr>
  </w:style>
  <w:style w:type="paragraph" w:styleId="3">
    <w:name w:val="heading 2"/>
    <w:basedOn w:val="1"/>
    <w:next w:val="1"/>
    <w:qFormat/>
    <w:uiPriority w:val="9"/>
    <w:pPr>
      <w:keepNext/>
      <w:keepLines/>
      <w:numPr>
        <w:ilvl w:val="1"/>
        <w:numId w:val="1"/>
      </w:numPr>
      <w:spacing w:before="120" w:after="120"/>
      <w:ind w:firstLine="0"/>
      <w:outlineLvl w:val="1"/>
    </w:pPr>
    <w:rPr>
      <w:b/>
      <w:bCs/>
      <w:sz w:val="30"/>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3"/>
    <w:qFormat/>
    <w:uiPriority w:val="0"/>
    <w:pPr>
      <w:tabs>
        <w:tab w:val="center" w:pos="4153"/>
        <w:tab w:val="right" w:pos="8306"/>
      </w:tabs>
      <w:snapToGrid w:val="0"/>
    </w:pPr>
    <w:rPr>
      <w:sz w:val="18"/>
      <w:szCs w:val="18"/>
    </w:rPr>
  </w:style>
  <w:style w:type="paragraph" w:styleId="5">
    <w:name w:val="header"/>
    <w:basedOn w:val="1"/>
    <w:qFormat/>
    <w:uiPriority w:val="99"/>
    <w:pPr>
      <w:pBdr>
        <w:bottom w:val="single" w:color="auto" w:sz="4" w:space="0"/>
      </w:pBdr>
      <w:tabs>
        <w:tab w:val="center" w:pos="4153"/>
        <w:tab w:val="right" w:pos="8306"/>
      </w:tabs>
      <w:snapToGrid w:val="0"/>
      <w:jc w:val="center"/>
    </w:pPr>
    <w:rPr>
      <w:rFonts w:ascii="Times New Roman" w:hAnsi="Times New Roman"/>
      <w:sz w:val="18"/>
      <w:szCs w:val="18"/>
    </w:rPr>
  </w:style>
  <w:style w:type="paragraph" w:styleId="6">
    <w:name w:val="Subtitle"/>
    <w:basedOn w:val="1"/>
    <w:next w:val="1"/>
    <w:link w:val="12"/>
    <w:qFormat/>
    <w:uiPriority w:val="0"/>
    <w:pPr>
      <w:spacing w:before="240" w:after="60" w:line="312" w:lineRule="auto"/>
      <w:jc w:val="center"/>
      <w:outlineLvl w:val="1"/>
    </w:pPr>
    <w:rPr>
      <w:rFonts w:asciiTheme="minorHAnsi" w:hAnsiTheme="minorHAnsi" w:eastAsiaTheme="minorEastAsia" w:cstheme="minorBidi"/>
      <w:b/>
      <w:bCs/>
      <w:kern w:val="28"/>
      <w:sz w:val="32"/>
      <w:szCs w:val="32"/>
    </w:rPr>
  </w:style>
  <w:style w:type="paragraph" w:customStyle="1" w:styleId="9">
    <w:name w:val="正文缩进1"/>
    <w:basedOn w:val="1"/>
    <w:autoRedefine/>
    <w:qFormat/>
    <w:uiPriority w:val="0"/>
    <w:pPr>
      <w:ind w:firstLine="420"/>
    </w:pPr>
    <w:rPr>
      <w:rFonts w:ascii="Times New Roman" w:hAnsi="Times New Roman"/>
      <w:sz w:val="21"/>
      <w:szCs w:val="20"/>
    </w:rPr>
  </w:style>
  <w:style w:type="paragraph" w:customStyle="1" w:styleId="10">
    <w:name w:val="正文正文2"/>
    <w:basedOn w:val="1"/>
    <w:autoRedefine/>
    <w:qFormat/>
    <w:uiPriority w:val="0"/>
    <w:pPr>
      <w:ind w:firstLine="460"/>
    </w:pPr>
    <w:rPr>
      <w:sz w:val="21"/>
      <w:szCs w:val="21"/>
    </w:rPr>
  </w:style>
  <w:style w:type="paragraph" w:styleId="11">
    <w:name w:val="List Paragraph"/>
    <w:basedOn w:val="1"/>
    <w:qFormat/>
    <w:uiPriority w:val="99"/>
    <w:pPr>
      <w:ind w:firstLine="420" w:firstLineChars="200"/>
    </w:pPr>
  </w:style>
  <w:style w:type="character" w:customStyle="1" w:styleId="12">
    <w:name w:val="副标题 字符"/>
    <w:basedOn w:val="8"/>
    <w:link w:val="6"/>
    <w:qFormat/>
    <w:uiPriority w:val="0"/>
    <w:rPr>
      <w:b/>
      <w:bCs/>
      <w:kern w:val="28"/>
      <w:sz w:val="32"/>
      <w:szCs w:val="32"/>
    </w:rPr>
  </w:style>
  <w:style w:type="character" w:customStyle="1" w:styleId="13">
    <w:name w:val="页脚 字符"/>
    <w:basedOn w:val="8"/>
    <w:link w:val="4"/>
    <w:qFormat/>
    <w:uiPriority w:val="0"/>
    <w:rPr>
      <w:rFonts w:ascii="宋体" w:hAnsi="宋体"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1524</Words>
  <Characters>8688</Characters>
  <Lines>72</Lines>
  <Paragraphs>20</Paragraphs>
  <TotalTime>257</TotalTime>
  <ScaleCrop>false</ScaleCrop>
  <LinksUpToDate>false</LinksUpToDate>
  <CharactersWithSpaces>10192</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2026-03-12T07:30:00Z</dcterms:created>
  <dc:creator>user</dc:creator>
  <cp:lastModifiedBy>魏允晗</cp:lastModifiedBy>
  <dcterms:modified xsi:type="dcterms:W3CDTF">2026-03-18T09:06:08Z</dcterms:modified>
  <cp:revision>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75928AF288FD429B63C8B8699A66708D_43</vt:lpwstr>
  </property>
</Properties>
</file>