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8D04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黄浦江挡潮闸闸外段堤防提升工程</w:t>
      </w:r>
    </w:p>
    <w:p w14:paraId="678C3E49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专项规划采购需求</w:t>
      </w:r>
    </w:p>
    <w:p w14:paraId="19286882"/>
    <w:p w14:paraId="1C7A80AC">
      <w:pPr>
        <w:numPr>
          <w:ilvl w:val="0"/>
          <w:numId w:val="1"/>
        </w:numPr>
        <w:outlineLvl w:val="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项目概况</w:t>
      </w:r>
    </w:p>
    <w:p w14:paraId="36FF043E">
      <w:pPr>
        <w:ind w:left="17" w:leftChars="8" w:firstLine="617" w:firstLineChars="19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</w:rPr>
        <w:t>黄浦江挡潮闸闸外段堤防提升工程专项规划</w:t>
      </w:r>
    </w:p>
    <w:p w14:paraId="4EB0F7B5">
      <w:pPr>
        <w:ind w:left="17" w:leftChars="8" w:firstLine="620" w:firstLineChars="193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采购预算</w:t>
      </w:r>
    </w:p>
    <w:p w14:paraId="2110481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预算金额：</w:t>
      </w:r>
      <w:r>
        <w:rPr>
          <w:rFonts w:ascii="仿宋_GB2312" w:hAnsi="仿宋_GB2312" w:eastAsia="仿宋_GB2312" w:cs="仿宋_GB2312"/>
          <w:sz w:val="32"/>
          <w:szCs w:val="32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76D63C4A">
      <w:pPr>
        <w:numPr>
          <w:ilvl w:val="0"/>
          <w:numId w:val="2"/>
        </w:numPr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项目主要内容</w:t>
      </w:r>
    </w:p>
    <w:p w14:paraId="62D3C290"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（1）根据黄浦江</w:t>
      </w:r>
      <w:r>
        <w:rPr>
          <w:rFonts w:hint="eastAsia" w:ascii="仿宋_GB2312" w:eastAsia="仿宋_GB2312"/>
          <w:sz w:val="32"/>
          <w:szCs w:val="32"/>
        </w:rPr>
        <w:t>挡潮闸闸外段</w:t>
      </w:r>
      <w:r>
        <w:rPr>
          <w:rFonts w:hint="eastAsia" w:ascii="仿宋_GB2312" w:hAnsi="Times New Roman" w:eastAsia="仿宋_GB2312"/>
          <w:sz w:val="32"/>
          <w:szCs w:val="32"/>
        </w:rPr>
        <w:t>堤防提升工程需求，明确规划范围，梳理公用岸段及非经营性岸段范围内重大管线、隧道、轨道交通、铁路等控制要素。</w:t>
      </w:r>
    </w:p>
    <w:p w14:paraId="52EB2856"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（2）编制</w:t>
      </w:r>
      <w:r>
        <w:rPr>
          <w:rFonts w:hint="eastAsia" w:ascii="仿宋_GB2312" w:eastAsia="仿宋_GB2312"/>
          <w:sz w:val="32"/>
          <w:szCs w:val="32"/>
        </w:rPr>
        <w:t>黄浦江挡潮闸闸外段</w:t>
      </w:r>
      <w:r>
        <w:rPr>
          <w:rFonts w:hint="eastAsia" w:ascii="仿宋_GB2312" w:hAnsi="Times New Roman" w:eastAsia="仿宋_GB2312"/>
          <w:sz w:val="32"/>
          <w:szCs w:val="32"/>
        </w:rPr>
        <w:t>堤防提升工程用地控制方案，根据地区相关法定规划，</w:t>
      </w:r>
      <w:r>
        <w:rPr>
          <w:rFonts w:ascii="仿宋_GB2312" w:hAnsi="Times New Roman" w:eastAsia="仿宋_GB2312"/>
          <w:sz w:val="32"/>
          <w:szCs w:val="32"/>
        </w:rPr>
        <w:t>明确</w:t>
      </w:r>
      <w:r>
        <w:rPr>
          <w:rFonts w:hint="eastAsia" w:ascii="仿宋_GB2312" w:eastAsia="仿宋_GB2312"/>
          <w:sz w:val="32"/>
          <w:szCs w:val="32"/>
        </w:rPr>
        <w:t>黄浦江挡潮闸闸外段</w:t>
      </w:r>
      <w:r>
        <w:rPr>
          <w:rFonts w:hint="eastAsia" w:ascii="仿宋_GB2312" w:hAnsi="Times New Roman" w:eastAsia="仿宋_GB2312"/>
          <w:sz w:val="32"/>
          <w:szCs w:val="32"/>
        </w:rPr>
        <w:t>堤防提升工程</w:t>
      </w:r>
      <w:r>
        <w:rPr>
          <w:rFonts w:ascii="仿宋_GB2312" w:hAnsi="Times New Roman" w:eastAsia="仿宋_GB2312"/>
          <w:sz w:val="32"/>
          <w:szCs w:val="32"/>
        </w:rPr>
        <w:t>用地需求及规划控制要求。</w:t>
      </w:r>
    </w:p>
    <w:p w14:paraId="0544477F"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ascii="仿宋_GB2312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ascii="仿宋_GB2312" w:hAnsi="Times New Roman" w:eastAsia="仿宋_GB2312"/>
          <w:sz w:val="32"/>
          <w:szCs w:val="32"/>
        </w:rPr>
        <w:t>提供规划编制相关技术咨询服务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 w14:paraId="6F754696">
      <w:pPr>
        <w:numPr>
          <w:ilvl w:val="0"/>
          <w:numId w:val="2"/>
        </w:numPr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交付地址：</w:t>
      </w:r>
    </w:p>
    <w:p w14:paraId="5FFE34F8">
      <w:pPr>
        <w:ind w:left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上海市长宁区江苏路389号。</w:t>
      </w:r>
    </w:p>
    <w:p w14:paraId="24B5A7C8">
      <w:pPr>
        <w:numPr>
          <w:ilvl w:val="0"/>
          <w:numId w:val="2"/>
        </w:numPr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交付日期</w:t>
      </w:r>
    </w:p>
    <w:p w14:paraId="6F7A524F">
      <w:pPr>
        <w:pStyle w:val="8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ascii="仿宋_GB2312" w:hAnsi="仿宋_GB2312" w:eastAsia="仿宋_GB2312" w:cs="仿宋_GB2312"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月30日前提交规划成果，后续配合</w:t>
      </w:r>
      <w:r>
        <w:rPr>
          <w:rFonts w:hint="eastAsia" w:ascii="仿宋_GB2312" w:eastAsia="仿宋_GB2312"/>
          <w:sz w:val="32"/>
          <w:szCs w:val="32"/>
        </w:rPr>
        <w:t>完成规划成果评审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7E0A466E">
      <w:pPr>
        <w:numPr>
          <w:ilvl w:val="0"/>
          <w:numId w:val="1"/>
        </w:numPr>
        <w:outlineLvl w:val="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技术需求</w:t>
      </w:r>
    </w:p>
    <w:p w14:paraId="654255C4">
      <w:pPr>
        <w:numPr>
          <w:ilvl w:val="0"/>
          <w:numId w:val="3"/>
        </w:numPr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项目背景及必要性</w:t>
      </w:r>
    </w:p>
    <w:p w14:paraId="1248DFAD"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350AEB9A">
      <w:pPr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根据</w:t>
      </w:r>
      <w:bookmarkStart w:id="0" w:name="OLE_LINK21"/>
      <w:bookmarkStart w:id="1" w:name="OLE_LINK22"/>
      <w:r>
        <w:rPr>
          <w:rFonts w:hint="eastAsia" w:ascii="仿宋_GB2312" w:hAnsi="Times New Roman" w:eastAsia="仿宋_GB2312"/>
          <w:sz w:val="32"/>
        </w:rPr>
        <w:t>《上海市防洪除涝规划（2020- 2035年）》</w:t>
      </w:r>
      <w:bookmarkEnd w:id="0"/>
      <w:bookmarkEnd w:id="1"/>
      <w:r>
        <w:rPr>
          <w:rFonts w:hint="eastAsia" w:ascii="仿宋_GB2312" w:hAnsi="Times New Roman" w:eastAsia="仿宋_GB2312"/>
          <w:sz w:val="32"/>
        </w:rPr>
        <w:t>（沪府〔2020〕75号），千里海塘、千里江堤和区域除涝是防洪除涝的重要基础设施，与城镇雨水排水设施共同构成了上海防汛保安体系的“四道防线”。</w:t>
      </w:r>
    </w:p>
    <w:p w14:paraId="6969FBD2">
      <w:pPr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根据《上海市水务海洋管理精细化工作三年行动计划（2024—2026年）》（沪水务〔2024〕145号），到2026年要守牢防汛和供水安全底线，着力增强水系统灾害防御韧性，加快防汛基础设施的建设。其中，黄浦江中上游堤防防洪能力提升工程（一期、二期）已完成工程前期研究及规划设计等工作并顺利开工，黄浦江挡潮闸已进入预可研阶段。为进一步提升黄浦江防洪能力，同期开展了</w:t>
      </w:r>
      <w:r>
        <w:rPr>
          <w:rFonts w:hint="eastAsia" w:ascii="仿宋_GB2312" w:eastAsia="仿宋_GB2312"/>
          <w:sz w:val="32"/>
          <w:szCs w:val="32"/>
        </w:rPr>
        <w:t>黄浦江挡潮闸闸外段</w:t>
      </w:r>
      <w:r>
        <w:rPr>
          <w:rFonts w:hint="eastAsia" w:ascii="仿宋_GB2312" w:hAnsi="Times New Roman" w:eastAsia="仿宋_GB2312"/>
          <w:sz w:val="32"/>
        </w:rPr>
        <w:t>堤防提升工程项目技术储备研究。本次</w:t>
      </w:r>
      <w:bookmarkStart w:id="2" w:name="OLE_LINK26"/>
      <w:bookmarkStart w:id="3" w:name="OLE_LINK25"/>
      <w:r>
        <w:rPr>
          <w:rFonts w:hint="eastAsia" w:ascii="仿宋_GB2312" w:hAnsi="Times New Roman" w:eastAsia="仿宋_GB2312"/>
          <w:sz w:val="32"/>
        </w:rPr>
        <w:t>规划结合上海“一江一河”重点地区建设和现状堤防设施情况，明确</w:t>
      </w:r>
      <w:r>
        <w:rPr>
          <w:rFonts w:hint="eastAsia" w:ascii="仿宋_GB2312" w:eastAsia="仿宋_GB2312"/>
          <w:sz w:val="32"/>
          <w:szCs w:val="32"/>
        </w:rPr>
        <w:t>黄浦江挡潮闸闸外段</w:t>
      </w:r>
      <w:r>
        <w:rPr>
          <w:rFonts w:hint="eastAsia" w:ascii="仿宋_GB2312" w:hAnsi="Times New Roman" w:eastAsia="仿宋_GB2312"/>
          <w:sz w:val="32"/>
        </w:rPr>
        <w:t>堤防防洪能力提升工程及附属设施等空间需求，为</w:t>
      </w:r>
      <w:r>
        <w:rPr>
          <w:rFonts w:hint="eastAsia" w:ascii="仿宋_GB2312" w:eastAsia="仿宋_GB2312"/>
          <w:sz w:val="32"/>
          <w:szCs w:val="32"/>
        </w:rPr>
        <w:t>黄浦江挡潮闸闸外段</w:t>
      </w:r>
      <w:r>
        <w:rPr>
          <w:rFonts w:hint="eastAsia" w:ascii="仿宋_GB2312" w:hAnsi="Times New Roman" w:eastAsia="仿宋_GB2312"/>
          <w:sz w:val="32"/>
          <w:szCs w:val="32"/>
        </w:rPr>
        <w:t>堤防提升工程</w:t>
      </w:r>
      <w:r>
        <w:rPr>
          <w:rFonts w:hint="eastAsia" w:ascii="仿宋_GB2312" w:hAnsi="Times New Roman" w:eastAsia="仿宋_GB2312"/>
          <w:sz w:val="32"/>
        </w:rPr>
        <w:t>做好规划用地控制和技术支撑。</w:t>
      </w:r>
      <w:bookmarkEnd w:id="2"/>
      <w:bookmarkEnd w:id="3"/>
    </w:p>
    <w:p w14:paraId="5DAA696C">
      <w:pPr>
        <w:numPr>
          <w:ilvl w:val="0"/>
          <w:numId w:val="3"/>
        </w:numPr>
        <w:rPr>
          <w:rFonts w:ascii="楷体_GB2312" w:hAnsi="楷体_GB2312" w:eastAsia="楷体_GB2312" w:cs="楷体_GB2312"/>
          <w:b/>
          <w:sz w:val="32"/>
          <w:szCs w:val="32"/>
        </w:rPr>
      </w:pPr>
      <w:bookmarkStart w:id="4" w:name="_GoBack"/>
      <w:bookmarkEnd w:id="4"/>
      <w:r>
        <w:rPr>
          <w:rFonts w:hint="eastAsia" w:ascii="楷体_GB2312" w:hAnsi="楷体_GB2312" w:eastAsia="楷体_GB2312" w:cs="楷体_GB2312"/>
          <w:b/>
          <w:sz w:val="32"/>
          <w:szCs w:val="32"/>
        </w:rPr>
        <w:t>主要内容</w:t>
      </w:r>
    </w:p>
    <w:p w14:paraId="15F94400">
      <w:pPr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为加快黄浦江防洪能力建设，规划内容主要包含上位规划梳理、现状评估、用地方案编制及规划实施等。</w:t>
      </w:r>
    </w:p>
    <w:p w14:paraId="2B5A50DF">
      <w:pPr>
        <w:numPr>
          <w:ilvl w:val="0"/>
          <w:numId w:val="3"/>
        </w:numPr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项目成果</w:t>
      </w:r>
    </w:p>
    <w:p w14:paraId="5DFB310F">
      <w:pPr>
        <w:ind w:left="42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黄浦江挡潮闸闸外段堤防提升工程专项规划</w:t>
      </w:r>
    </w:p>
    <w:p w14:paraId="6CD8E0CB">
      <w:pPr>
        <w:numPr>
          <w:ilvl w:val="0"/>
          <w:numId w:val="3"/>
        </w:numPr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相关依据</w:t>
      </w:r>
    </w:p>
    <w:p w14:paraId="4F772C3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（1）上海市城市总体规划（2017-2035年）</w:t>
      </w:r>
    </w:p>
    <w:p w14:paraId="2572A1D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4B274F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>上海市防洪除涝规划（2020-2035年）</w:t>
      </w:r>
    </w:p>
    <w:p w14:paraId="0F328A83">
      <w:pPr>
        <w:numPr>
          <w:ilvl w:val="0"/>
          <w:numId w:val="1"/>
        </w:numPr>
        <w:outlineLvl w:val="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人员要求</w:t>
      </w:r>
    </w:p>
    <w:p w14:paraId="638CB1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编制单位应组织不少于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人的服务团队，至少1人具有高级工程师职称。项目负责人应当具有规划设计研究相关技术工作八年工作经验，近三年内有主持完成过规划服务类项目工作经验。</w:t>
      </w:r>
    </w:p>
    <w:p w14:paraId="36FC4F61">
      <w:pPr>
        <w:numPr>
          <w:ilvl w:val="0"/>
          <w:numId w:val="0"/>
        </w:numPr>
        <w:spacing w:line="600" w:lineRule="exact"/>
        <w:ind w:leftChars="200"/>
        <w:outlineLvl w:val="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四、供应商相关要求</w:t>
      </w:r>
    </w:p>
    <w:p w14:paraId="7D770C2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必须具有自然资源部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门颁发的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城乡规划（国土空间规划）编制资质甲级证书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6A56060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）供应商应具备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类似项目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的规划、咨询、课题研究等业绩。</w:t>
      </w:r>
    </w:p>
    <w:p w14:paraId="62AC1D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BBDA3D">
      <w:pPr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</w:rPr>
      </w:pPr>
    </w:p>
    <w:p w14:paraId="475FE512">
      <w:pPr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71B9F"/>
    <w:multiLevelType w:val="singleLevel"/>
    <w:tmpl w:val="F9F71B9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FDF193B"/>
    <w:multiLevelType w:val="singleLevel"/>
    <w:tmpl w:val="FFDF193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CF29EED"/>
    <w:multiLevelType w:val="singleLevel"/>
    <w:tmpl w:val="5CF29EE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2E"/>
    <w:rsid w:val="000373D1"/>
    <w:rsid w:val="000B6BE8"/>
    <w:rsid w:val="000D41FD"/>
    <w:rsid w:val="000E7E94"/>
    <w:rsid w:val="00176AB1"/>
    <w:rsid w:val="002176F5"/>
    <w:rsid w:val="003805D1"/>
    <w:rsid w:val="00433C04"/>
    <w:rsid w:val="006730C5"/>
    <w:rsid w:val="00683068"/>
    <w:rsid w:val="00711FCE"/>
    <w:rsid w:val="007E01B2"/>
    <w:rsid w:val="00AB0614"/>
    <w:rsid w:val="00CF2D91"/>
    <w:rsid w:val="00D47D1D"/>
    <w:rsid w:val="00E6122E"/>
    <w:rsid w:val="00F30D50"/>
    <w:rsid w:val="3BFF9FCB"/>
    <w:rsid w:val="5BA73AA6"/>
    <w:rsid w:val="6EF70B5B"/>
    <w:rsid w:val="75FBED0A"/>
    <w:rsid w:val="87DFD51E"/>
    <w:rsid w:val="F4B5FEA8"/>
    <w:rsid w:val="F4FE3676"/>
    <w:rsid w:val="FF6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pyy-正文"/>
    <w:basedOn w:val="1"/>
    <w:qFormat/>
    <w:uiPriority w:val="0"/>
    <w:pPr>
      <w:suppressAutoHyphens w:val="0"/>
      <w:spacing w:line="360" w:lineRule="auto"/>
      <w:ind w:firstLine="200" w:firstLineChars="200"/>
    </w:pPr>
    <w:rPr>
      <w:rFonts w:ascii="Times New Roman" w:hAnsi="Times New Roman" w:eastAsia="仿宋"/>
      <w:sz w:val="24"/>
      <w:szCs w:val="22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</Words>
  <Characters>798</Characters>
  <Lines>6</Lines>
  <Paragraphs>1</Paragraphs>
  <TotalTime>5</TotalTime>
  <ScaleCrop>false</ScaleCrop>
  <LinksUpToDate>false</LinksUpToDate>
  <CharactersWithSpaces>937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2026-03-26T02:49:00Z</dcterms:created>
  <dc:creator>Administrator</dc:creator>
  <cp:lastModifiedBy>冯子倩</cp:lastModifiedBy>
  <dcterms:modified xsi:type="dcterms:W3CDTF">2026-06-15T09:49:03Z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E42A850D360D4F840F5A2F6A9FF33956_43</vt:lpwstr>
  </property>
</Properties>
</file>