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p>
    <w:p>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采 购 需 求</w:t>
      </w:r>
    </w:p>
    <w:p>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p>
    <w:p>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p>
    <w:p>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p>
    <w:p>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项目名称：国家税务总局上海市金山区税务局物业管理服务</w:t>
      </w:r>
    </w:p>
    <w:p>
      <w:pPr>
        <w:widowControl w:val="0"/>
        <w:spacing w:line="360" w:lineRule="auto"/>
        <w:jc w:val="both"/>
        <w:rPr>
          <w:rFonts w:ascii="宋体" w:hAnsi="宋体" w:eastAsia="宋体" w:cs="宋体"/>
          <w:color w:val="auto"/>
          <w:kern w:val="2"/>
          <w:sz w:val="28"/>
          <w:szCs w:val="28"/>
          <w:highlight w:val="none"/>
          <w:lang w:eastAsia="zh-CN"/>
        </w:rPr>
      </w:pPr>
    </w:p>
    <w:p>
      <w:pPr>
        <w:widowControl w:val="0"/>
        <w:spacing w:line="360" w:lineRule="auto"/>
        <w:jc w:val="both"/>
        <w:rPr>
          <w:rFonts w:ascii="宋体" w:hAnsi="宋体" w:eastAsia="宋体" w:cs="宋体"/>
          <w:color w:val="auto"/>
          <w:kern w:val="2"/>
          <w:sz w:val="28"/>
          <w:szCs w:val="28"/>
          <w:highlight w:val="none"/>
          <w:lang w:eastAsia="zh-CN"/>
        </w:rPr>
      </w:pPr>
    </w:p>
    <w:p>
      <w:pPr>
        <w:widowControl w:val="0"/>
        <w:spacing w:line="360" w:lineRule="auto"/>
        <w:jc w:val="both"/>
        <w:rPr>
          <w:rFonts w:ascii="宋体" w:hAnsi="宋体" w:eastAsia="宋体" w:cs="宋体"/>
          <w:color w:val="auto"/>
          <w:kern w:val="2"/>
          <w:sz w:val="28"/>
          <w:szCs w:val="28"/>
          <w:highlight w:val="none"/>
          <w:lang w:eastAsia="zh-CN"/>
        </w:rPr>
      </w:pPr>
    </w:p>
    <w:p>
      <w:pPr>
        <w:widowControl w:val="0"/>
        <w:topLinePunct/>
        <w:autoSpaceDE w:val="0"/>
        <w:autoSpaceDN w:val="0"/>
        <w:spacing w:line="360" w:lineRule="auto"/>
        <w:jc w:val="both"/>
        <w:rPr>
          <w:rFonts w:ascii="宋体" w:hAnsi="宋体" w:eastAsia="宋体" w:cs="宋体"/>
          <w:color w:val="auto"/>
          <w:sz w:val="28"/>
          <w:szCs w:val="28"/>
          <w:highlight w:val="none"/>
          <w:lang w:eastAsia="zh-CN"/>
        </w:rPr>
      </w:pPr>
    </w:p>
    <w:p>
      <w:pPr>
        <w:spacing w:line="360" w:lineRule="auto"/>
        <w:jc w:val="center"/>
        <w:rPr>
          <w:rFonts w:ascii="宋体" w:hAnsi="宋体" w:eastAsia="宋体"/>
          <w:color w:val="auto"/>
          <w:sz w:val="28"/>
          <w:szCs w:val="28"/>
          <w:highlight w:val="none"/>
          <w:lang w:eastAsia="zh-CN"/>
        </w:rPr>
      </w:pPr>
    </w:p>
    <w:p>
      <w:pPr>
        <w:spacing w:line="300" w:lineRule="auto"/>
        <w:jc w:val="center"/>
        <w:rPr>
          <w:rFonts w:ascii="宋体" w:hAnsi="宋体" w:eastAsia="宋体" w:cs="宋体"/>
          <w:color w:val="auto"/>
          <w:sz w:val="28"/>
          <w:szCs w:val="28"/>
          <w:highlight w:val="none"/>
          <w:lang w:eastAsia="zh-CN"/>
        </w:rPr>
      </w:pPr>
      <w:r>
        <w:rPr>
          <w:rFonts w:ascii="宋体" w:hAnsi="宋体" w:eastAsia="宋体"/>
          <w:color w:val="auto"/>
          <w:sz w:val="21"/>
          <w:szCs w:val="21"/>
          <w:highlight w:val="none"/>
          <w:lang w:eastAsia="zh-CN"/>
        </w:rPr>
        <w:br w:type="page"/>
      </w:r>
      <w:r>
        <w:rPr>
          <w:rFonts w:hint="eastAsia" w:ascii="宋体" w:hAnsi="宋体" w:eastAsia="宋体" w:cs="宋体"/>
          <w:color w:val="auto"/>
          <w:sz w:val="28"/>
          <w:szCs w:val="28"/>
          <w:highlight w:val="none"/>
          <w:lang w:eastAsia="zh-CN"/>
        </w:rPr>
        <w:t>目录</w:t>
      </w:r>
    </w:p>
    <w:p>
      <w:pPr>
        <w:pStyle w:val="13"/>
        <w:tabs>
          <w:tab w:val="right" w:leader="dot" w:pos="9026"/>
        </w:tabs>
        <w:rPr>
          <w:color w:val="auto"/>
          <w:highlight w:val="none"/>
        </w:rPr>
      </w:pPr>
      <w:r>
        <w:rPr>
          <w:rFonts w:ascii="宋体" w:hAnsi="宋体" w:eastAsia="宋体" w:cs="宋体"/>
          <w:color w:val="auto"/>
          <w:sz w:val="21"/>
          <w:szCs w:val="21"/>
          <w:highlight w:val="none"/>
        </w:rPr>
        <w:fldChar w:fldCharType="begin"/>
      </w:r>
      <w:r>
        <w:rPr>
          <w:rFonts w:ascii="宋体" w:hAnsi="宋体" w:eastAsia="宋体" w:cs="宋体"/>
          <w:color w:val="auto"/>
          <w:sz w:val="21"/>
          <w:szCs w:val="21"/>
          <w:highlight w:val="none"/>
        </w:rPr>
        <w:instrText xml:space="preserve">TOC \o "1-3" \h \z \u</w:instrText>
      </w:r>
      <w:r>
        <w:rPr>
          <w:rFonts w:ascii="宋体" w:hAnsi="宋体" w:eastAsia="宋体" w:cs="宋体"/>
          <w:color w:val="auto"/>
          <w:sz w:val="21"/>
          <w:szCs w:val="21"/>
          <w:highlight w:val="none"/>
        </w:rPr>
        <w:fldChar w:fldCharType="separate"/>
      </w: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_Toc22392 </w:instrText>
      </w:r>
      <w:r>
        <w:rPr>
          <w:rFonts w:ascii="宋体" w:hAnsi="宋体" w:eastAsia="宋体" w:cs="宋体"/>
          <w:color w:val="auto"/>
          <w:szCs w:val="21"/>
          <w:highlight w:val="none"/>
        </w:rPr>
        <w:fldChar w:fldCharType="separate"/>
      </w:r>
      <w:r>
        <w:rPr>
          <w:rFonts w:ascii="宋体" w:hAnsi="宋体" w:eastAsia="宋体" w:cs="仿宋_GB2312"/>
          <w:color w:val="auto"/>
          <w:kern w:val="36"/>
          <w:szCs w:val="28"/>
          <w:highlight w:val="none"/>
          <w:lang w:eastAsia="zh-CN"/>
        </w:rPr>
        <w:t>1项目概述</w:t>
      </w:r>
      <w:r>
        <w:rPr>
          <w:color w:val="auto"/>
          <w:highlight w:val="none"/>
        </w:rPr>
        <w:tab/>
      </w:r>
      <w:r>
        <w:rPr>
          <w:color w:val="auto"/>
          <w:highlight w:val="none"/>
        </w:rPr>
        <w:fldChar w:fldCharType="begin"/>
      </w:r>
      <w:r>
        <w:rPr>
          <w:color w:val="auto"/>
          <w:highlight w:val="none"/>
        </w:rPr>
        <w:instrText xml:space="preserve"> PAGEREF _Toc22392 \h </w:instrText>
      </w:r>
      <w:r>
        <w:rPr>
          <w:color w:val="auto"/>
          <w:highlight w:val="none"/>
        </w:rPr>
        <w:fldChar w:fldCharType="separate"/>
      </w:r>
      <w:r>
        <w:rPr>
          <w:color w:val="auto"/>
          <w:highlight w:val="none"/>
        </w:rPr>
        <w:t>3</w:t>
      </w:r>
      <w:r>
        <w:rPr>
          <w:color w:val="auto"/>
          <w:highlight w:val="none"/>
        </w:rPr>
        <w:fldChar w:fldCharType="end"/>
      </w:r>
      <w:r>
        <w:rPr>
          <w:rFonts w:ascii="宋体" w:hAnsi="宋体" w:eastAsia="宋体" w:cs="宋体"/>
          <w:color w:val="auto"/>
          <w:szCs w:val="21"/>
          <w:highlight w:val="none"/>
        </w:rPr>
        <w:fldChar w:fldCharType="end"/>
      </w:r>
    </w:p>
    <w:p>
      <w:pPr>
        <w:pStyle w:val="14"/>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_Toc29881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1.1项目背景</w:t>
      </w:r>
      <w:r>
        <w:rPr>
          <w:color w:val="auto"/>
          <w:highlight w:val="none"/>
        </w:rPr>
        <w:tab/>
      </w:r>
      <w:r>
        <w:rPr>
          <w:color w:val="auto"/>
          <w:highlight w:val="none"/>
        </w:rPr>
        <w:fldChar w:fldCharType="begin"/>
      </w:r>
      <w:r>
        <w:rPr>
          <w:color w:val="auto"/>
          <w:highlight w:val="none"/>
        </w:rPr>
        <w:instrText xml:space="preserve"> PAGEREF _Toc29881 \h </w:instrText>
      </w:r>
      <w:r>
        <w:rPr>
          <w:color w:val="auto"/>
          <w:highlight w:val="none"/>
        </w:rPr>
        <w:fldChar w:fldCharType="separate"/>
      </w:r>
      <w:r>
        <w:rPr>
          <w:color w:val="auto"/>
          <w:highlight w:val="none"/>
        </w:rPr>
        <w:t>3</w:t>
      </w:r>
      <w:r>
        <w:rPr>
          <w:color w:val="auto"/>
          <w:highlight w:val="none"/>
        </w:rPr>
        <w:fldChar w:fldCharType="end"/>
      </w:r>
      <w:r>
        <w:rPr>
          <w:rFonts w:ascii="宋体" w:hAnsi="宋体" w:eastAsia="宋体" w:cs="宋体"/>
          <w:color w:val="auto"/>
          <w:szCs w:val="21"/>
          <w:highlight w:val="none"/>
        </w:rPr>
        <w:fldChar w:fldCharType="end"/>
      </w:r>
    </w:p>
    <w:p>
      <w:pPr>
        <w:pStyle w:val="9"/>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_Toc28956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1.1.1项目基本情况</w:t>
      </w:r>
      <w:r>
        <w:rPr>
          <w:color w:val="auto"/>
          <w:highlight w:val="none"/>
        </w:rPr>
        <w:tab/>
      </w:r>
      <w:r>
        <w:rPr>
          <w:color w:val="auto"/>
          <w:highlight w:val="none"/>
        </w:rPr>
        <w:fldChar w:fldCharType="begin"/>
      </w:r>
      <w:r>
        <w:rPr>
          <w:color w:val="auto"/>
          <w:highlight w:val="none"/>
        </w:rPr>
        <w:instrText xml:space="preserve"> PAGEREF _Toc28956 \h </w:instrText>
      </w:r>
      <w:r>
        <w:rPr>
          <w:color w:val="auto"/>
          <w:highlight w:val="none"/>
        </w:rPr>
        <w:fldChar w:fldCharType="separate"/>
      </w:r>
      <w:r>
        <w:rPr>
          <w:color w:val="auto"/>
          <w:highlight w:val="none"/>
        </w:rPr>
        <w:t>3</w:t>
      </w:r>
      <w:r>
        <w:rPr>
          <w:color w:val="auto"/>
          <w:highlight w:val="none"/>
        </w:rPr>
        <w:fldChar w:fldCharType="end"/>
      </w:r>
      <w:r>
        <w:rPr>
          <w:rFonts w:ascii="宋体" w:hAnsi="宋体" w:eastAsia="宋体" w:cs="宋体"/>
          <w:color w:val="auto"/>
          <w:szCs w:val="21"/>
          <w:highlight w:val="none"/>
        </w:rPr>
        <w:fldChar w:fldCharType="end"/>
      </w:r>
    </w:p>
    <w:p>
      <w:pPr>
        <w:pStyle w:val="14"/>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_Toc25394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1.2项目内容</w:t>
      </w:r>
      <w:r>
        <w:rPr>
          <w:color w:val="auto"/>
          <w:highlight w:val="none"/>
        </w:rPr>
        <w:tab/>
      </w:r>
      <w:r>
        <w:rPr>
          <w:color w:val="auto"/>
          <w:highlight w:val="none"/>
        </w:rPr>
        <w:fldChar w:fldCharType="begin"/>
      </w:r>
      <w:r>
        <w:rPr>
          <w:color w:val="auto"/>
          <w:highlight w:val="none"/>
        </w:rPr>
        <w:instrText xml:space="preserve"> PAGEREF _Toc25394 \h </w:instrText>
      </w:r>
      <w:r>
        <w:rPr>
          <w:color w:val="auto"/>
          <w:highlight w:val="none"/>
        </w:rPr>
        <w:fldChar w:fldCharType="separate"/>
      </w:r>
      <w:r>
        <w:rPr>
          <w:color w:val="auto"/>
          <w:highlight w:val="none"/>
        </w:rPr>
        <w:t>3</w:t>
      </w:r>
      <w:r>
        <w:rPr>
          <w:color w:val="auto"/>
          <w:highlight w:val="none"/>
        </w:rPr>
        <w:fldChar w:fldCharType="end"/>
      </w:r>
      <w:r>
        <w:rPr>
          <w:rFonts w:ascii="宋体" w:hAnsi="宋体" w:eastAsia="宋体" w:cs="宋体"/>
          <w:color w:val="auto"/>
          <w:szCs w:val="21"/>
          <w:highlight w:val="none"/>
        </w:rPr>
        <w:fldChar w:fldCharType="end"/>
      </w:r>
    </w:p>
    <w:p>
      <w:pPr>
        <w:pStyle w:val="9"/>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_Toc27679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1.2.1采购内容</w:t>
      </w:r>
      <w:r>
        <w:rPr>
          <w:color w:val="auto"/>
          <w:highlight w:val="none"/>
        </w:rPr>
        <w:tab/>
      </w:r>
      <w:r>
        <w:rPr>
          <w:color w:val="auto"/>
          <w:highlight w:val="none"/>
        </w:rPr>
        <w:fldChar w:fldCharType="begin"/>
      </w:r>
      <w:r>
        <w:rPr>
          <w:color w:val="auto"/>
          <w:highlight w:val="none"/>
        </w:rPr>
        <w:instrText xml:space="preserve"> PAGEREF _Toc27679 \h </w:instrText>
      </w:r>
      <w:r>
        <w:rPr>
          <w:color w:val="auto"/>
          <w:highlight w:val="none"/>
        </w:rPr>
        <w:fldChar w:fldCharType="separate"/>
      </w:r>
      <w:r>
        <w:rPr>
          <w:color w:val="auto"/>
          <w:highlight w:val="none"/>
        </w:rPr>
        <w:t>3</w:t>
      </w:r>
      <w:r>
        <w:rPr>
          <w:color w:val="auto"/>
          <w:highlight w:val="none"/>
        </w:rPr>
        <w:fldChar w:fldCharType="end"/>
      </w:r>
      <w:r>
        <w:rPr>
          <w:rFonts w:ascii="宋体" w:hAnsi="宋体" w:eastAsia="宋体" w:cs="宋体"/>
          <w:color w:val="auto"/>
          <w:szCs w:val="21"/>
          <w:highlight w:val="none"/>
        </w:rPr>
        <w:fldChar w:fldCharType="end"/>
      </w:r>
    </w:p>
    <w:p>
      <w:pPr>
        <w:pStyle w:val="9"/>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_Toc13565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1.2.2项目实施要求</w:t>
      </w:r>
      <w:r>
        <w:rPr>
          <w:color w:val="auto"/>
          <w:highlight w:val="none"/>
        </w:rPr>
        <w:tab/>
      </w:r>
      <w:r>
        <w:rPr>
          <w:color w:val="auto"/>
          <w:highlight w:val="none"/>
        </w:rPr>
        <w:fldChar w:fldCharType="begin"/>
      </w:r>
      <w:r>
        <w:rPr>
          <w:color w:val="auto"/>
          <w:highlight w:val="none"/>
        </w:rPr>
        <w:instrText xml:space="preserve"> PAGEREF _Toc13565 \h </w:instrText>
      </w:r>
      <w:r>
        <w:rPr>
          <w:color w:val="auto"/>
          <w:highlight w:val="none"/>
        </w:rPr>
        <w:fldChar w:fldCharType="separate"/>
      </w:r>
      <w:r>
        <w:rPr>
          <w:color w:val="auto"/>
          <w:highlight w:val="none"/>
        </w:rPr>
        <w:t>3</w:t>
      </w:r>
      <w:r>
        <w:rPr>
          <w:color w:val="auto"/>
          <w:highlight w:val="none"/>
        </w:rPr>
        <w:fldChar w:fldCharType="end"/>
      </w:r>
      <w:r>
        <w:rPr>
          <w:rFonts w:ascii="宋体" w:hAnsi="宋体" w:eastAsia="宋体" w:cs="宋体"/>
          <w:color w:val="auto"/>
          <w:szCs w:val="21"/>
          <w:highlight w:val="none"/>
        </w:rPr>
        <w:fldChar w:fldCharType="end"/>
      </w:r>
    </w:p>
    <w:p>
      <w:pPr>
        <w:pStyle w:val="13"/>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_Toc27620 </w:instrText>
      </w:r>
      <w:r>
        <w:rPr>
          <w:rFonts w:ascii="宋体" w:hAnsi="宋体" w:eastAsia="宋体" w:cs="宋体"/>
          <w:color w:val="auto"/>
          <w:szCs w:val="21"/>
          <w:highlight w:val="none"/>
        </w:rPr>
        <w:fldChar w:fldCharType="separate"/>
      </w:r>
      <w:r>
        <w:rPr>
          <w:rFonts w:ascii="宋体" w:hAnsi="宋体" w:eastAsia="宋体" w:cs="仿宋_GB2312"/>
          <w:color w:val="auto"/>
          <w:kern w:val="36"/>
          <w:szCs w:val="28"/>
          <w:highlight w:val="none"/>
          <w:lang w:eastAsia="zh-CN"/>
        </w:rPr>
        <w:t>2投标/响应要求</w:t>
      </w:r>
      <w:r>
        <w:rPr>
          <w:color w:val="auto"/>
          <w:highlight w:val="none"/>
        </w:rPr>
        <w:tab/>
      </w:r>
      <w:r>
        <w:rPr>
          <w:color w:val="auto"/>
          <w:highlight w:val="none"/>
        </w:rPr>
        <w:fldChar w:fldCharType="begin"/>
      </w:r>
      <w:r>
        <w:rPr>
          <w:color w:val="auto"/>
          <w:highlight w:val="none"/>
        </w:rPr>
        <w:instrText xml:space="preserve"> PAGEREF _Toc27620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color w:val="auto"/>
          <w:szCs w:val="21"/>
          <w:highlight w:val="none"/>
        </w:rPr>
        <w:fldChar w:fldCharType="end"/>
      </w:r>
    </w:p>
    <w:p>
      <w:pPr>
        <w:pStyle w:val="14"/>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_Toc7512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2.1对供应商的要求</w:t>
      </w:r>
      <w:r>
        <w:rPr>
          <w:color w:val="auto"/>
          <w:highlight w:val="none"/>
        </w:rPr>
        <w:tab/>
      </w:r>
      <w:r>
        <w:rPr>
          <w:color w:val="auto"/>
          <w:highlight w:val="none"/>
        </w:rPr>
        <w:fldChar w:fldCharType="begin"/>
      </w:r>
      <w:r>
        <w:rPr>
          <w:color w:val="auto"/>
          <w:highlight w:val="none"/>
        </w:rPr>
        <w:instrText xml:space="preserve"> PAGEREF _Toc7512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color w:val="auto"/>
          <w:szCs w:val="21"/>
          <w:highlight w:val="none"/>
        </w:rPr>
        <w:fldChar w:fldCharType="end"/>
      </w:r>
    </w:p>
    <w:p>
      <w:pPr>
        <w:pStyle w:val="9"/>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_Toc9847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2.1.1必备资质</w:t>
      </w:r>
      <w:r>
        <w:rPr>
          <w:color w:val="auto"/>
          <w:highlight w:val="none"/>
        </w:rPr>
        <w:tab/>
      </w:r>
      <w:r>
        <w:rPr>
          <w:color w:val="auto"/>
          <w:highlight w:val="none"/>
        </w:rPr>
        <w:fldChar w:fldCharType="begin"/>
      </w:r>
      <w:r>
        <w:rPr>
          <w:color w:val="auto"/>
          <w:highlight w:val="none"/>
        </w:rPr>
        <w:instrText xml:space="preserve"> PAGEREF _Toc9847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color w:val="auto"/>
          <w:szCs w:val="21"/>
          <w:highlight w:val="none"/>
        </w:rPr>
        <w:fldChar w:fldCharType="end"/>
      </w:r>
    </w:p>
    <w:p>
      <w:pPr>
        <w:pStyle w:val="9"/>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_Toc4826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2.1.2优选资质/优选指标</w:t>
      </w:r>
      <w:r>
        <w:rPr>
          <w:color w:val="auto"/>
          <w:highlight w:val="none"/>
        </w:rPr>
        <w:tab/>
      </w:r>
      <w:r>
        <w:rPr>
          <w:color w:val="auto"/>
          <w:highlight w:val="none"/>
        </w:rPr>
        <w:fldChar w:fldCharType="begin"/>
      </w:r>
      <w:r>
        <w:rPr>
          <w:color w:val="auto"/>
          <w:highlight w:val="none"/>
        </w:rPr>
        <w:instrText xml:space="preserve"> PAGEREF _Toc4826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color w:val="auto"/>
          <w:szCs w:val="21"/>
          <w:highlight w:val="none"/>
        </w:rPr>
        <w:fldChar w:fldCharType="end"/>
      </w:r>
    </w:p>
    <w:p>
      <w:pPr>
        <w:pStyle w:val="9"/>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_Toc21982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2.1.3是否允许联合体</w:t>
      </w:r>
      <w:r>
        <w:rPr>
          <w:color w:val="auto"/>
          <w:highlight w:val="none"/>
        </w:rPr>
        <w:tab/>
      </w:r>
      <w:r>
        <w:rPr>
          <w:color w:val="auto"/>
          <w:highlight w:val="none"/>
        </w:rPr>
        <w:fldChar w:fldCharType="begin"/>
      </w:r>
      <w:r>
        <w:rPr>
          <w:color w:val="auto"/>
          <w:highlight w:val="none"/>
        </w:rPr>
        <w:instrText xml:space="preserve"> PAGEREF _Toc21982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color w:val="auto"/>
          <w:szCs w:val="21"/>
          <w:highlight w:val="none"/>
        </w:rPr>
        <w:fldChar w:fldCharType="end"/>
      </w:r>
    </w:p>
    <w:p>
      <w:pPr>
        <w:pStyle w:val="9"/>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_Toc22012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2.1.4是否专门面向中小企业</w:t>
      </w:r>
      <w:r>
        <w:rPr>
          <w:color w:val="auto"/>
          <w:highlight w:val="none"/>
        </w:rPr>
        <w:tab/>
      </w:r>
      <w:r>
        <w:rPr>
          <w:color w:val="auto"/>
          <w:highlight w:val="none"/>
        </w:rPr>
        <w:fldChar w:fldCharType="begin"/>
      </w:r>
      <w:r>
        <w:rPr>
          <w:color w:val="auto"/>
          <w:highlight w:val="none"/>
        </w:rPr>
        <w:instrText xml:space="preserve"> PAGEREF _Toc22012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color w:val="auto"/>
          <w:szCs w:val="21"/>
          <w:highlight w:val="none"/>
        </w:rPr>
        <w:fldChar w:fldCharType="end"/>
      </w:r>
    </w:p>
    <w:p>
      <w:pPr>
        <w:pStyle w:val="14"/>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_Toc5395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2.2技术部分投标/响应内容</w:t>
      </w:r>
      <w:r>
        <w:rPr>
          <w:color w:val="auto"/>
          <w:highlight w:val="none"/>
        </w:rPr>
        <w:tab/>
      </w:r>
      <w:r>
        <w:rPr>
          <w:color w:val="auto"/>
          <w:highlight w:val="none"/>
        </w:rPr>
        <w:fldChar w:fldCharType="begin"/>
      </w:r>
      <w:r>
        <w:rPr>
          <w:color w:val="auto"/>
          <w:highlight w:val="none"/>
        </w:rPr>
        <w:instrText xml:space="preserve"> PAGEREF _Toc5395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color w:val="auto"/>
          <w:szCs w:val="21"/>
          <w:highlight w:val="none"/>
        </w:rPr>
        <w:fldChar w:fldCharType="end"/>
      </w:r>
    </w:p>
    <w:p>
      <w:pPr>
        <w:pStyle w:val="9"/>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_Toc2215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2.2.1投标/响应方案要求</w:t>
      </w:r>
      <w:r>
        <w:rPr>
          <w:color w:val="auto"/>
          <w:highlight w:val="none"/>
        </w:rPr>
        <w:tab/>
      </w:r>
      <w:r>
        <w:rPr>
          <w:color w:val="auto"/>
          <w:highlight w:val="none"/>
        </w:rPr>
        <w:fldChar w:fldCharType="begin"/>
      </w:r>
      <w:r>
        <w:rPr>
          <w:color w:val="auto"/>
          <w:highlight w:val="none"/>
        </w:rPr>
        <w:instrText xml:space="preserve"> PAGEREF _Toc2215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color w:val="auto"/>
          <w:szCs w:val="21"/>
          <w:highlight w:val="none"/>
        </w:rPr>
        <w:fldChar w:fldCharType="end"/>
      </w:r>
    </w:p>
    <w:p>
      <w:pPr>
        <w:pStyle w:val="13"/>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_Toc3534 </w:instrText>
      </w:r>
      <w:r>
        <w:rPr>
          <w:rFonts w:ascii="宋体" w:hAnsi="宋体" w:eastAsia="宋体" w:cs="宋体"/>
          <w:color w:val="auto"/>
          <w:szCs w:val="21"/>
          <w:highlight w:val="none"/>
        </w:rPr>
        <w:fldChar w:fldCharType="separate"/>
      </w:r>
      <w:r>
        <w:rPr>
          <w:rFonts w:ascii="宋体" w:hAnsi="宋体" w:eastAsia="宋体" w:cs="仿宋_GB2312"/>
          <w:color w:val="auto"/>
          <w:kern w:val="36"/>
          <w:szCs w:val="28"/>
          <w:highlight w:val="none"/>
          <w:lang w:eastAsia="zh-CN"/>
        </w:rPr>
        <w:t>3项目需求</w:t>
      </w:r>
      <w:r>
        <w:rPr>
          <w:color w:val="auto"/>
          <w:highlight w:val="none"/>
        </w:rPr>
        <w:tab/>
      </w:r>
      <w:r>
        <w:rPr>
          <w:color w:val="auto"/>
          <w:highlight w:val="none"/>
        </w:rPr>
        <w:fldChar w:fldCharType="begin"/>
      </w:r>
      <w:r>
        <w:rPr>
          <w:color w:val="auto"/>
          <w:highlight w:val="none"/>
        </w:rPr>
        <w:instrText xml:space="preserve"> PAGEREF _Toc3534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color w:val="auto"/>
          <w:szCs w:val="21"/>
          <w:highlight w:val="none"/>
        </w:rPr>
        <w:fldChar w:fldCharType="end"/>
      </w:r>
    </w:p>
    <w:p>
      <w:pPr>
        <w:pStyle w:val="14"/>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_Toc18274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3.1总体要求</w:t>
      </w:r>
      <w:r>
        <w:rPr>
          <w:color w:val="auto"/>
          <w:highlight w:val="none"/>
        </w:rPr>
        <w:tab/>
      </w:r>
      <w:r>
        <w:rPr>
          <w:color w:val="auto"/>
          <w:highlight w:val="none"/>
        </w:rPr>
        <w:fldChar w:fldCharType="begin"/>
      </w:r>
      <w:r>
        <w:rPr>
          <w:color w:val="auto"/>
          <w:highlight w:val="none"/>
        </w:rPr>
        <w:instrText xml:space="preserve"> PAGEREF _Toc18274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color w:val="auto"/>
          <w:szCs w:val="21"/>
          <w:highlight w:val="none"/>
        </w:rPr>
        <w:fldChar w:fldCharType="end"/>
      </w:r>
    </w:p>
    <w:p>
      <w:pPr>
        <w:pStyle w:val="14"/>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_Toc17787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3.2具体要求</w:t>
      </w:r>
      <w:r>
        <w:rPr>
          <w:color w:val="auto"/>
          <w:highlight w:val="none"/>
        </w:rPr>
        <w:tab/>
      </w:r>
      <w:r>
        <w:rPr>
          <w:color w:val="auto"/>
          <w:highlight w:val="none"/>
        </w:rPr>
        <w:fldChar w:fldCharType="begin"/>
      </w:r>
      <w:r>
        <w:rPr>
          <w:color w:val="auto"/>
          <w:highlight w:val="none"/>
        </w:rPr>
        <w:instrText xml:space="preserve"> PAGEREF _Toc17787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color w:val="auto"/>
          <w:szCs w:val="21"/>
          <w:highlight w:val="none"/>
        </w:rPr>
        <w:fldChar w:fldCharType="end"/>
      </w:r>
    </w:p>
    <w:p>
      <w:pPr>
        <w:pStyle w:val="13"/>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_Toc30943 </w:instrText>
      </w:r>
      <w:r>
        <w:rPr>
          <w:rFonts w:ascii="宋体" w:hAnsi="宋体" w:eastAsia="宋体" w:cs="宋体"/>
          <w:color w:val="auto"/>
          <w:szCs w:val="21"/>
          <w:highlight w:val="none"/>
        </w:rPr>
        <w:fldChar w:fldCharType="separate"/>
      </w:r>
      <w:r>
        <w:rPr>
          <w:rFonts w:ascii="宋体" w:hAnsi="宋体" w:eastAsia="宋体" w:cs="仿宋_GB2312"/>
          <w:color w:val="auto"/>
          <w:kern w:val="36"/>
          <w:szCs w:val="28"/>
          <w:highlight w:val="none"/>
          <w:lang w:eastAsia="zh-CN"/>
        </w:rPr>
        <w:t>4人员要求</w:t>
      </w:r>
      <w:r>
        <w:rPr>
          <w:color w:val="auto"/>
          <w:highlight w:val="none"/>
        </w:rPr>
        <w:tab/>
      </w:r>
      <w:r>
        <w:rPr>
          <w:color w:val="auto"/>
          <w:highlight w:val="none"/>
        </w:rPr>
        <w:fldChar w:fldCharType="begin"/>
      </w:r>
      <w:r>
        <w:rPr>
          <w:color w:val="auto"/>
          <w:highlight w:val="none"/>
        </w:rPr>
        <w:instrText xml:space="preserve"> PAGEREF _Toc30943 \h </w:instrText>
      </w:r>
      <w:r>
        <w:rPr>
          <w:color w:val="auto"/>
          <w:highlight w:val="none"/>
        </w:rPr>
        <w:fldChar w:fldCharType="separate"/>
      </w:r>
      <w:r>
        <w:rPr>
          <w:color w:val="auto"/>
          <w:highlight w:val="none"/>
        </w:rPr>
        <w:t>30</w:t>
      </w:r>
      <w:r>
        <w:rPr>
          <w:color w:val="auto"/>
          <w:highlight w:val="none"/>
        </w:rPr>
        <w:fldChar w:fldCharType="end"/>
      </w:r>
      <w:r>
        <w:rPr>
          <w:rFonts w:ascii="宋体" w:hAnsi="宋体" w:eastAsia="宋体" w:cs="宋体"/>
          <w:color w:val="auto"/>
          <w:szCs w:val="21"/>
          <w:highlight w:val="none"/>
        </w:rPr>
        <w:fldChar w:fldCharType="end"/>
      </w:r>
    </w:p>
    <w:p>
      <w:pPr>
        <w:pStyle w:val="14"/>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_Toc2840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4.1团队要求</w:t>
      </w:r>
      <w:r>
        <w:rPr>
          <w:color w:val="auto"/>
          <w:highlight w:val="none"/>
        </w:rPr>
        <w:tab/>
      </w:r>
      <w:r>
        <w:rPr>
          <w:color w:val="auto"/>
          <w:highlight w:val="none"/>
        </w:rPr>
        <w:fldChar w:fldCharType="begin"/>
      </w:r>
      <w:r>
        <w:rPr>
          <w:color w:val="auto"/>
          <w:highlight w:val="none"/>
        </w:rPr>
        <w:instrText xml:space="preserve"> PAGEREF _Toc2840 \h </w:instrText>
      </w:r>
      <w:r>
        <w:rPr>
          <w:color w:val="auto"/>
          <w:highlight w:val="none"/>
        </w:rPr>
        <w:fldChar w:fldCharType="separate"/>
      </w:r>
      <w:r>
        <w:rPr>
          <w:color w:val="auto"/>
          <w:highlight w:val="none"/>
        </w:rPr>
        <w:t>30</w:t>
      </w:r>
      <w:r>
        <w:rPr>
          <w:color w:val="auto"/>
          <w:highlight w:val="none"/>
        </w:rPr>
        <w:fldChar w:fldCharType="end"/>
      </w:r>
      <w:r>
        <w:rPr>
          <w:rFonts w:ascii="宋体" w:hAnsi="宋体" w:eastAsia="宋体" w:cs="宋体"/>
          <w:color w:val="auto"/>
          <w:szCs w:val="21"/>
          <w:highlight w:val="none"/>
        </w:rPr>
        <w:fldChar w:fldCharType="end"/>
      </w:r>
    </w:p>
    <w:p>
      <w:pPr>
        <w:pStyle w:val="9"/>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_Toc28399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4.1.1物业管理服务人员需求</w:t>
      </w:r>
      <w:r>
        <w:rPr>
          <w:color w:val="auto"/>
          <w:highlight w:val="none"/>
        </w:rPr>
        <w:tab/>
      </w:r>
      <w:r>
        <w:rPr>
          <w:color w:val="auto"/>
          <w:highlight w:val="none"/>
        </w:rPr>
        <w:fldChar w:fldCharType="begin"/>
      </w:r>
      <w:r>
        <w:rPr>
          <w:color w:val="auto"/>
          <w:highlight w:val="none"/>
        </w:rPr>
        <w:instrText xml:space="preserve"> PAGEREF _Toc28399 \h </w:instrText>
      </w:r>
      <w:r>
        <w:rPr>
          <w:color w:val="auto"/>
          <w:highlight w:val="none"/>
        </w:rPr>
        <w:fldChar w:fldCharType="separate"/>
      </w:r>
      <w:r>
        <w:rPr>
          <w:color w:val="auto"/>
          <w:highlight w:val="none"/>
        </w:rPr>
        <w:t>30</w:t>
      </w:r>
      <w:r>
        <w:rPr>
          <w:color w:val="auto"/>
          <w:highlight w:val="none"/>
        </w:rPr>
        <w:fldChar w:fldCharType="end"/>
      </w:r>
      <w:r>
        <w:rPr>
          <w:rFonts w:ascii="宋体" w:hAnsi="宋体" w:eastAsia="宋体" w:cs="宋体"/>
          <w:color w:val="auto"/>
          <w:szCs w:val="21"/>
          <w:highlight w:val="none"/>
        </w:rPr>
        <w:fldChar w:fldCharType="end"/>
      </w:r>
    </w:p>
    <w:p>
      <w:pPr>
        <w:pStyle w:val="13"/>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_Toc21712 </w:instrText>
      </w:r>
      <w:r>
        <w:rPr>
          <w:rFonts w:ascii="宋体" w:hAnsi="宋体" w:eastAsia="宋体" w:cs="宋体"/>
          <w:color w:val="auto"/>
          <w:szCs w:val="21"/>
          <w:highlight w:val="none"/>
        </w:rPr>
        <w:fldChar w:fldCharType="separate"/>
      </w:r>
      <w:r>
        <w:rPr>
          <w:rFonts w:ascii="宋体" w:hAnsi="宋体" w:eastAsia="宋体" w:cs="仿宋_GB2312"/>
          <w:color w:val="auto"/>
          <w:kern w:val="36"/>
          <w:szCs w:val="28"/>
          <w:highlight w:val="none"/>
          <w:lang w:eastAsia="zh-CN"/>
        </w:rPr>
        <w:t>5管理实施要求</w:t>
      </w:r>
      <w:r>
        <w:rPr>
          <w:color w:val="auto"/>
          <w:highlight w:val="none"/>
        </w:rPr>
        <w:tab/>
      </w:r>
      <w:r>
        <w:rPr>
          <w:color w:val="auto"/>
          <w:highlight w:val="none"/>
        </w:rPr>
        <w:fldChar w:fldCharType="begin"/>
      </w:r>
      <w:r>
        <w:rPr>
          <w:color w:val="auto"/>
          <w:highlight w:val="none"/>
        </w:rPr>
        <w:instrText xml:space="preserve"> PAGEREF _Toc21712 \h </w:instrText>
      </w:r>
      <w:r>
        <w:rPr>
          <w:color w:val="auto"/>
          <w:highlight w:val="none"/>
        </w:rPr>
        <w:fldChar w:fldCharType="separate"/>
      </w:r>
      <w:r>
        <w:rPr>
          <w:color w:val="auto"/>
          <w:highlight w:val="none"/>
        </w:rPr>
        <w:t>33</w:t>
      </w:r>
      <w:r>
        <w:rPr>
          <w:color w:val="auto"/>
          <w:highlight w:val="none"/>
        </w:rPr>
        <w:fldChar w:fldCharType="end"/>
      </w:r>
      <w:r>
        <w:rPr>
          <w:rFonts w:ascii="宋体" w:hAnsi="宋体" w:eastAsia="宋体" w:cs="宋体"/>
          <w:color w:val="auto"/>
          <w:szCs w:val="21"/>
          <w:highlight w:val="none"/>
        </w:rPr>
        <w:fldChar w:fldCharType="end"/>
      </w:r>
    </w:p>
    <w:p>
      <w:pPr>
        <w:pStyle w:val="13"/>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_Toc3119 </w:instrText>
      </w:r>
      <w:r>
        <w:rPr>
          <w:rFonts w:ascii="宋体" w:hAnsi="宋体" w:eastAsia="宋体" w:cs="宋体"/>
          <w:color w:val="auto"/>
          <w:szCs w:val="21"/>
          <w:highlight w:val="none"/>
        </w:rPr>
        <w:fldChar w:fldCharType="separate"/>
      </w:r>
      <w:r>
        <w:rPr>
          <w:rFonts w:ascii="宋体" w:hAnsi="宋体" w:eastAsia="宋体" w:cs="仿宋_GB2312"/>
          <w:color w:val="auto"/>
          <w:kern w:val="36"/>
          <w:szCs w:val="28"/>
          <w:highlight w:val="none"/>
          <w:lang w:eastAsia="zh-CN"/>
        </w:rPr>
        <w:t>6风险管控要求</w:t>
      </w:r>
      <w:r>
        <w:rPr>
          <w:color w:val="auto"/>
          <w:highlight w:val="none"/>
        </w:rPr>
        <w:tab/>
      </w:r>
      <w:r>
        <w:rPr>
          <w:color w:val="auto"/>
          <w:highlight w:val="none"/>
        </w:rPr>
        <w:fldChar w:fldCharType="begin"/>
      </w:r>
      <w:r>
        <w:rPr>
          <w:color w:val="auto"/>
          <w:highlight w:val="none"/>
        </w:rPr>
        <w:instrText xml:space="preserve"> PAGEREF _Toc3119 \h </w:instrText>
      </w:r>
      <w:r>
        <w:rPr>
          <w:color w:val="auto"/>
          <w:highlight w:val="none"/>
        </w:rPr>
        <w:fldChar w:fldCharType="separate"/>
      </w:r>
      <w:r>
        <w:rPr>
          <w:color w:val="auto"/>
          <w:highlight w:val="none"/>
        </w:rPr>
        <w:t>33</w:t>
      </w:r>
      <w:r>
        <w:rPr>
          <w:color w:val="auto"/>
          <w:highlight w:val="none"/>
        </w:rPr>
        <w:fldChar w:fldCharType="end"/>
      </w:r>
      <w:r>
        <w:rPr>
          <w:rFonts w:ascii="宋体" w:hAnsi="宋体" w:eastAsia="宋体" w:cs="宋体"/>
          <w:color w:val="auto"/>
          <w:szCs w:val="21"/>
          <w:highlight w:val="none"/>
        </w:rPr>
        <w:fldChar w:fldCharType="end"/>
      </w:r>
    </w:p>
    <w:p>
      <w:pPr>
        <w:pStyle w:val="13"/>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_Toc4996 </w:instrText>
      </w:r>
      <w:r>
        <w:rPr>
          <w:rFonts w:ascii="宋体" w:hAnsi="宋体" w:eastAsia="宋体" w:cs="宋体"/>
          <w:color w:val="auto"/>
          <w:szCs w:val="21"/>
          <w:highlight w:val="none"/>
        </w:rPr>
        <w:fldChar w:fldCharType="separate"/>
      </w:r>
      <w:r>
        <w:rPr>
          <w:rFonts w:ascii="宋体" w:hAnsi="宋体" w:eastAsia="宋体" w:cs="仿宋_GB2312"/>
          <w:color w:val="auto"/>
          <w:kern w:val="36"/>
          <w:szCs w:val="28"/>
          <w:highlight w:val="none"/>
          <w:lang w:eastAsia="zh-CN"/>
        </w:rPr>
        <w:t>7履约验收要求</w:t>
      </w:r>
      <w:r>
        <w:rPr>
          <w:color w:val="auto"/>
          <w:highlight w:val="none"/>
        </w:rPr>
        <w:tab/>
      </w:r>
      <w:r>
        <w:rPr>
          <w:color w:val="auto"/>
          <w:highlight w:val="none"/>
        </w:rPr>
        <w:fldChar w:fldCharType="begin"/>
      </w:r>
      <w:r>
        <w:rPr>
          <w:color w:val="auto"/>
          <w:highlight w:val="none"/>
        </w:rPr>
        <w:instrText xml:space="preserve"> PAGEREF _Toc4996 \h </w:instrText>
      </w:r>
      <w:r>
        <w:rPr>
          <w:color w:val="auto"/>
          <w:highlight w:val="none"/>
        </w:rPr>
        <w:fldChar w:fldCharType="separate"/>
      </w:r>
      <w:r>
        <w:rPr>
          <w:color w:val="auto"/>
          <w:highlight w:val="none"/>
        </w:rPr>
        <w:t>33</w:t>
      </w:r>
      <w:r>
        <w:rPr>
          <w:color w:val="auto"/>
          <w:highlight w:val="none"/>
        </w:rPr>
        <w:fldChar w:fldCharType="end"/>
      </w:r>
      <w:r>
        <w:rPr>
          <w:rFonts w:ascii="宋体" w:hAnsi="宋体" w:eastAsia="宋体" w:cs="宋体"/>
          <w:color w:val="auto"/>
          <w:szCs w:val="21"/>
          <w:highlight w:val="none"/>
        </w:rPr>
        <w:fldChar w:fldCharType="end"/>
      </w:r>
    </w:p>
    <w:p>
      <w:pPr>
        <w:pStyle w:val="14"/>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_Toc31711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7.1总体要求</w:t>
      </w:r>
      <w:r>
        <w:rPr>
          <w:color w:val="auto"/>
          <w:highlight w:val="none"/>
        </w:rPr>
        <w:tab/>
      </w:r>
      <w:r>
        <w:rPr>
          <w:color w:val="auto"/>
          <w:highlight w:val="none"/>
        </w:rPr>
        <w:fldChar w:fldCharType="begin"/>
      </w:r>
      <w:r>
        <w:rPr>
          <w:color w:val="auto"/>
          <w:highlight w:val="none"/>
        </w:rPr>
        <w:instrText xml:space="preserve"> PAGEREF _Toc31711 \h </w:instrText>
      </w:r>
      <w:r>
        <w:rPr>
          <w:color w:val="auto"/>
          <w:highlight w:val="none"/>
        </w:rPr>
        <w:fldChar w:fldCharType="separate"/>
      </w:r>
      <w:r>
        <w:rPr>
          <w:color w:val="auto"/>
          <w:highlight w:val="none"/>
        </w:rPr>
        <w:t>33</w:t>
      </w:r>
      <w:r>
        <w:rPr>
          <w:color w:val="auto"/>
          <w:highlight w:val="none"/>
        </w:rPr>
        <w:fldChar w:fldCharType="end"/>
      </w:r>
      <w:r>
        <w:rPr>
          <w:rFonts w:ascii="宋体" w:hAnsi="宋体" w:eastAsia="宋体" w:cs="宋体"/>
          <w:color w:val="auto"/>
          <w:szCs w:val="21"/>
          <w:highlight w:val="none"/>
        </w:rPr>
        <w:fldChar w:fldCharType="end"/>
      </w:r>
    </w:p>
    <w:p>
      <w:pPr>
        <w:pStyle w:val="14"/>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_Toc29614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7.2验收考核标准与要求</w:t>
      </w:r>
      <w:r>
        <w:rPr>
          <w:color w:val="auto"/>
          <w:highlight w:val="none"/>
        </w:rPr>
        <w:tab/>
      </w:r>
      <w:r>
        <w:rPr>
          <w:color w:val="auto"/>
          <w:highlight w:val="none"/>
        </w:rPr>
        <w:fldChar w:fldCharType="begin"/>
      </w:r>
      <w:r>
        <w:rPr>
          <w:color w:val="auto"/>
          <w:highlight w:val="none"/>
        </w:rPr>
        <w:instrText xml:space="preserve"> PAGEREF _Toc29614 \h </w:instrText>
      </w:r>
      <w:r>
        <w:rPr>
          <w:color w:val="auto"/>
          <w:highlight w:val="none"/>
        </w:rPr>
        <w:fldChar w:fldCharType="separate"/>
      </w:r>
      <w:r>
        <w:rPr>
          <w:color w:val="auto"/>
          <w:highlight w:val="none"/>
        </w:rPr>
        <w:t>33</w:t>
      </w:r>
      <w:r>
        <w:rPr>
          <w:color w:val="auto"/>
          <w:highlight w:val="none"/>
        </w:rPr>
        <w:fldChar w:fldCharType="end"/>
      </w:r>
      <w:r>
        <w:rPr>
          <w:rFonts w:ascii="宋体" w:hAnsi="宋体" w:eastAsia="宋体" w:cs="宋体"/>
          <w:color w:val="auto"/>
          <w:szCs w:val="21"/>
          <w:highlight w:val="none"/>
        </w:rPr>
        <w:fldChar w:fldCharType="end"/>
      </w:r>
    </w:p>
    <w:p>
      <w:pPr>
        <w:pStyle w:val="13"/>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_Toc13772 </w:instrText>
      </w:r>
      <w:r>
        <w:rPr>
          <w:rFonts w:ascii="宋体" w:hAnsi="宋体" w:eastAsia="宋体" w:cs="宋体"/>
          <w:color w:val="auto"/>
          <w:szCs w:val="21"/>
          <w:highlight w:val="none"/>
        </w:rPr>
        <w:fldChar w:fldCharType="separate"/>
      </w:r>
      <w:r>
        <w:rPr>
          <w:rFonts w:ascii="宋体" w:hAnsi="宋体" w:eastAsia="宋体" w:cs="仿宋_GB2312"/>
          <w:color w:val="auto"/>
          <w:kern w:val="36"/>
          <w:szCs w:val="28"/>
          <w:highlight w:val="none"/>
          <w:lang w:eastAsia="zh-CN"/>
        </w:rPr>
        <w:t>8其他要求</w:t>
      </w:r>
      <w:r>
        <w:rPr>
          <w:color w:val="auto"/>
          <w:highlight w:val="none"/>
        </w:rPr>
        <w:tab/>
      </w:r>
      <w:r>
        <w:rPr>
          <w:color w:val="auto"/>
          <w:highlight w:val="none"/>
        </w:rPr>
        <w:fldChar w:fldCharType="begin"/>
      </w:r>
      <w:r>
        <w:rPr>
          <w:color w:val="auto"/>
          <w:highlight w:val="none"/>
        </w:rPr>
        <w:instrText xml:space="preserve"> PAGEREF _Toc13772 \h </w:instrText>
      </w:r>
      <w:r>
        <w:rPr>
          <w:color w:val="auto"/>
          <w:highlight w:val="none"/>
        </w:rPr>
        <w:fldChar w:fldCharType="separate"/>
      </w:r>
      <w:r>
        <w:rPr>
          <w:color w:val="auto"/>
          <w:highlight w:val="none"/>
        </w:rPr>
        <w:t>35</w:t>
      </w:r>
      <w:r>
        <w:rPr>
          <w:color w:val="auto"/>
          <w:highlight w:val="none"/>
        </w:rPr>
        <w:fldChar w:fldCharType="end"/>
      </w:r>
      <w:r>
        <w:rPr>
          <w:rFonts w:ascii="宋体" w:hAnsi="宋体" w:eastAsia="宋体" w:cs="宋体"/>
          <w:color w:val="auto"/>
          <w:szCs w:val="21"/>
          <w:highlight w:val="none"/>
        </w:rPr>
        <w:fldChar w:fldCharType="end"/>
      </w:r>
    </w:p>
    <w:p>
      <w:pPr>
        <w:pStyle w:val="14"/>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_Toc32318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8.1付款安排</w:t>
      </w:r>
      <w:r>
        <w:rPr>
          <w:color w:val="auto"/>
          <w:highlight w:val="none"/>
        </w:rPr>
        <w:tab/>
      </w:r>
      <w:r>
        <w:rPr>
          <w:color w:val="auto"/>
          <w:highlight w:val="none"/>
        </w:rPr>
        <w:fldChar w:fldCharType="begin"/>
      </w:r>
      <w:r>
        <w:rPr>
          <w:color w:val="auto"/>
          <w:highlight w:val="none"/>
        </w:rPr>
        <w:instrText xml:space="preserve"> PAGEREF _Toc32318 \h </w:instrText>
      </w:r>
      <w:r>
        <w:rPr>
          <w:color w:val="auto"/>
          <w:highlight w:val="none"/>
        </w:rPr>
        <w:fldChar w:fldCharType="separate"/>
      </w:r>
      <w:r>
        <w:rPr>
          <w:color w:val="auto"/>
          <w:highlight w:val="none"/>
        </w:rPr>
        <w:t>35</w:t>
      </w:r>
      <w:r>
        <w:rPr>
          <w:color w:val="auto"/>
          <w:highlight w:val="none"/>
        </w:rPr>
        <w:fldChar w:fldCharType="end"/>
      </w:r>
      <w:r>
        <w:rPr>
          <w:rFonts w:ascii="宋体" w:hAnsi="宋体" w:eastAsia="宋体" w:cs="宋体"/>
          <w:color w:val="auto"/>
          <w:szCs w:val="21"/>
          <w:highlight w:val="none"/>
        </w:rPr>
        <w:fldChar w:fldCharType="end"/>
      </w:r>
    </w:p>
    <w:p>
      <w:pPr>
        <w:pStyle w:val="14"/>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_Toc5686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8.2其他要求</w:t>
      </w:r>
      <w:r>
        <w:rPr>
          <w:color w:val="auto"/>
          <w:highlight w:val="none"/>
        </w:rPr>
        <w:tab/>
      </w:r>
      <w:r>
        <w:rPr>
          <w:color w:val="auto"/>
          <w:highlight w:val="none"/>
        </w:rPr>
        <w:fldChar w:fldCharType="begin"/>
      </w:r>
      <w:r>
        <w:rPr>
          <w:color w:val="auto"/>
          <w:highlight w:val="none"/>
        </w:rPr>
        <w:instrText xml:space="preserve"> PAGEREF _Toc5686 \h </w:instrText>
      </w:r>
      <w:r>
        <w:rPr>
          <w:color w:val="auto"/>
          <w:highlight w:val="none"/>
        </w:rPr>
        <w:fldChar w:fldCharType="separate"/>
      </w:r>
      <w:r>
        <w:rPr>
          <w:color w:val="auto"/>
          <w:highlight w:val="none"/>
        </w:rPr>
        <w:t>35</w:t>
      </w:r>
      <w:r>
        <w:rPr>
          <w:color w:val="auto"/>
          <w:highlight w:val="none"/>
        </w:rPr>
        <w:fldChar w:fldCharType="end"/>
      </w:r>
      <w:r>
        <w:rPr>
          <w:rFonts w:ascii="宋体" w:hAnsi="宋体" w:eastAsia="宋体" w:cs="宋体"/>
          <w:color w:val="auto"/>
          <w:szCs w:val="21"/>
          <w:highlight w:val="none"/>
        </w:rPr>
        <w:fldChar w:fldCharType="end"/>
      </w:r>
    </w:p>
    <w:p>
      <w:pPr>
        <w:pStyle w:val="9"/>
        <w:tabs>
          <w:tab w:val="right" w:leader="dot" w:pos="9026"/>
        </w:tabs>
        <w:rPr>
          <w:color w:val="auto"/>
          <w:highlight w:val="none"/>
        </w:rPr>
      </w:pP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\l _Toc24918 </w:instrText>
      </w:r>
      <w:r>
        <w:rPr>
          <w:rFonts w:ascii="宋体" w:hAnsi="宋体" w:eastAsia="宋体" w:cs="宋体"/>
          <w:color w:val="auto"/>
          <w:szCs w:val="21"/>
          <w:highlight w:val="none"/>
        </w:rPr>
        <w:fldChar w:fldCharType="separate"/>
      </w:r>
      <w:r>
        <w:rPr>
          <w:rFonts w:ascii="宋体" w:hAnsi="宋体" w:eastAsia="宋体" w:cs="仿宋_GB2312"/>
          <w:color w:val="auto"/>
          <w:szCs w:val="21"/>
          <w:highlight w:val="none"/>
          <w:lang w:eastAsia="zh-CN"/>
        </w:rPr>
        <w:t>8.2.1需要说明的其他事项</w:t>
      </w:r>
      <w:r>
        <w:rPr>
          <w:color w:val="auto"/>
          <w:highlight w:val="none"/>
        </w:rPr>
        <w:tab/>
      </w:r>
      <w:r>
        <w:rPr>
          <w:color w:val="auto"/>
          <w:highlight w:val="none"/>
        </w:rPr>
        <w:fldChar w:fldCharType="begin"/>
      </w:r>
      <w:r>
        <w:rPr>
          <w:color w:val="auto"/>
          <w:highlight w:val="none"/>
        </w:rPr>
        <w:instrText xml:space="preserve"> PAGEREF _Toc24918 \h </w:instrText>
      </w:r>
      <w:r>
        <w:rPr>
          <w:color w:val="auto"/>
          <w:highlight w:val="none"/>
        </w:rPr>
        <w:fldChar w:fldCharType="separate"/>
      </w:r>
      <w:r>
        <w:rPr>
          <w:color w:val="auto"/>
          <w:highlight w:val="none"/>
        </w:rPr>
        <w:t>36</w:t>
      </w:r>
      <w:r>
        <w:rPr>
          <w:color w:val="auto"/>
          <w:highlight w:val="none"/>
        </w:rPr>
        <w:fldChar w:fldCharType="end"/>
      </w:r>
      <w:r>
        <w:rPr>
          <w:rFonts w:ascii="宋体" w:hAnsi="宋体" w:eastAsia="宋体" w:cs="宋体"/>
          <w:color w:val="auto"/>
          <w:szCs w:val="21"/>
          <w:highlight w:val="none"/>
        </w:rPr>
        <w:fldChar w:fldCharType="end"/>
      </w:r>
    </w:p>
    <w:p>
      <w:pPr>
        <w:pStyle w:val="3"/>
        <w:keepNext w:val="0"/>
        <w:spacing w:before="0" w:after="0" w:line="300" w:lineRule="auto"/>
        <w:jc w:val="center"/>
        <w:rPr>
          <w:rFonts w:ascii="宋体" w:hAnsi="宋体" w:eastAsia="宋体" w:cs="仿宋_GB2312"/>
          <w:color w:val="auto"/>
          <w:kern w:val="36"/>
          <w:sz w:val="28"/>
          <w:szCs w:val="28"/>
          <w:highlight w:val="none"/>
          <w:lang w:eastAsia="zh-CN"/>
        </w:rPr>
      </w:pPr>
      <w:r>
        <w:rPr>
          <w:rFonts w:ascii="宋体" w:hAnsi="宋体" w:eastAsia="宋体" w:cs="宋体"/>
          <w:color w:val="auto"/>
          <w:sz w:val="21"/>
          <w:szCs w:val="21"/>
          <w:highlight w:val="none"/>
        </w:rPr>
        <w:fldChar w:fldCharType="end"/>
      </w:r>
      <w:bookmarkStart w:id="0" w:name="_Toc22392"/>
      <w:r>
        <w:rPr>
          <w:rFonts w:ascii="宋体" w:hAnsi="宋体" w:eastAsia="宋体"/>
          <w:color w:val="auto"/>
          <w:sz w:val="21"/>
          <w:szCs w:val="21"/>
          <w:highlight w:val="none"/>
          <w:lang w:eastAsia="zh-CN"/>
        </w:rPr>
        <w:br w:type="page"/>
      </w:r>
      <w:bookmarkStart w:id="1" w:name="_Toc202710750"/>
      <w:r>
        <w:rPr>
          <w:rFonts w:ascii="宋体" w:hAnsi="宋体" w:eastAsia="宋体" w:cs="仿宋_GB2312"/>
          <w:color w:val="auto"/>
          <w:kern w:val="36"/>
          <w:sz w:val="28"/>
          <w:szCs w:val="28"/>
          <w:highlight w:val="none"/>
          <w:lang w:eastAsia="zh-CN"/>
        </w:rPr>
        <w:t>1项目概述</w:t>
      </w:r>
      <w:bookmarkEnd w:id="0"/>
      <w:bookmarkEnd w:id="1"/>
    </w:p>
    <w:p>
      <w:pPr>
        <w:pStyle w:val="4"/>
        <w:keepNext w:val="0"/>
        <w:spacing w:before="0" w:after="0" w:line="300" w:lineRule="auto"/>
        <w:rPr>
          <w:rFonts w:ascii="宋体" w:hAnsi="宋体" w:eastAsia="宋体" w:cs="仿宋_GB2312"/>
          <w:color w:val="auto"/>
          <w:sz w:val="21"/>
          <w:szCs w:val="21"/>
          <w:highlight w:val="none"/>
          <w:lang w:eastAsia="zh-CN"/>
        </w:rPr>
      </w:pPr>
      <w:bookmarkStart w:id="2" w:name="_Toc202710751"/>
      <w:bookmarkStart w:id="3" w:name="_Toc29881"/>
      <w:r>
        <w:rPr>
          <w:rFonts w:ascii="宋体" w:hAnsi="宋体" w:eastAsia="宋体" w:cs="仿宋_GB2312"/>
          <w:i w:val="0"/>
          <w:iCs w:val="0"/>
          <w:color w:val="auto"/>
          <w:sz w:val="21"/>
          <w:szCs w:val="21"/>
          <w:highlight w:val="none"/>
          <w:lang w:eastAsia="zh-CN"/>
        </w:rPr>
        <w:t>1.1项目背景</w:t>
      </w:r>
      <w:bookmarkEnd w:id="2"/>
      <w:bookmarkEnd w:id="3"/>
    </w:p>
    <w:p>
      <w:pPr>
        <w:pStyle w:val="5"/>
        <w:keepNext w:val="0"/>
        <w:spacing w:before="0" w:after="0" w:line="300" w:lineRule="auto"/>
        <w:rPr>
          <w:rFonts w:ascii="宋体" w:hAnsi="宋体" w:eastAsia="宋体" w:cs="仿宋_GB2312"/>
          <w:color w:val="auto"/>
          <w:sz w:val="21"/>
          <w:szCs w:val="21"/>
          <w:highlight w:val="none"/>
          <w:lang w:eastAsia="zh-CN"/>
        </w:rPr>
      </w:pPr>
      <w:bookmarkStart w:id="4" w:name="_Toc202710752"/>
      <w:bookmarkStart w:id="5" w:name="_Toc28956"/>
      <w:r>
        <w:rPr>
          <w:rFonts w:ascii="宋体" w:hAnsi="宋体" w:eastAsia="宋体" w:cs="仿宋_GB2312"/>
          <w:color w:val="auto"/>
          <w:sz w:val="21"/>
          <w:szCs w:val="21"/>
          <w:highlight w:val="none"/>
          <w:lang w:eastAsia="zh-CN"/>
        </w:rPr>
        <w:t>1.1.1项目基本情况</w:t>
      </w:r>
      <w:bookmarkEnd w:id="4"/>
      <w:bookmarkEnd w:id="5"/>
      <w:r>
        <w:rPr>
          <w:rFonts w:hint="eastAsia" w:ascii="宋体" w:hAnsi="宋体" w:eastAsia="宋体" w:cs="仿宋_GB2312"/>
          <w:color w:val="auto"/>
          <w:sz w:val="21"/>
          <w:szCs w:val="21"/>
          <w:highlight w:val="none"/>
          <w:lang w:eastAsia="zh-CN"/>
        </w:rPr>
        <w:tab/>
      </w:r>
    </w:p>
    <w:p>
      <w:pPr>
        <w:widowControl w:val="0"/>
        <w:spacing w:line="300" w:lineRule="auto"/>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1.1.1.1</w:t>
      </w:r>
      <w:r>
        <w:rPr>
          <w:rFonts w:ascii="宋体" w:hAnsi="宋体" w:eastAsia="宋体" w:cs="Calibri"/>
          <w:b/>
          <w:bCs/>
          <w:color w:val="auto"/>
          <w:sz w:val="21"/>
          <w:szCs w:val="21"/>
          <w:highlight w:val="none"/>
          <w:lang w:eastAsia="zh-CN"/>
        </w:rPr>
        <w:t>物业情况</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3"/>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widowControl w:val="0"/>
              <w:spacing w:line="300" w:lineRule="auto"/>
              <w:jc w:val="center"/>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序号</w:t>
            </w:r>
          </w:p>
        </w:tc>
        <w:tc>
          <w:tcPr>
            <w:tcW w:w="4253"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物业名称</w:t>
            </w:r>
          </w:p>
        </w:tc>
        <w:tc>
          <w:tcPr>
            <w:tcW w:w="43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目前物业地址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widowControl w:val="0"/>
              <w:spacing w:line="300" w:lineRule="auto"/>
              <w:jc w:val="center"/>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w:t>
            </w:r>
          </w:p>
        </w:tc>
        <w:tc>
          <w:tcPr>
            <w:tcW w:w="4253"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国家税务总局上海市金山区税务局综合大楼</w:t>
            </w:r>
          </w:p>
        </w:tc>
        <w:tc>
          <w:tcPr>
            <w:tcW w:w="43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上海市金山区山阳镇浩源路80号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widowControl w:val="0"/>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4253" w:type="dxa"/>
            <w:vAlign w:val="center"/>
          </w:tcPr>
          <w:p>
            <w:pPr>
              <w:widowControl w:val="0"/>
              <w:spacing w:line="300" w:lineRule="auto"/>
              <w:jc w:val="both"/>
              <w:rPr>
                <w:rFonts w:ascii="宋体" w:hAnsi="宋体" w:eastAsia="宋体" w:cs="宋体"/>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国家税务总局上海市金山区税务局第十八税务所办公点</w:t>
            </w:r>
          </w:p>
        </w:tc>
        <w:tc>
          <w:tcPr>
            <w:tcW w:w="43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上海市金山区枫泾镇白牛路660弄1号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widowControl w:val="0"/>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4253" w:type="dxa"/>
            <w:vAlign w:val="center"/>
          </w:tcPr>
          <w:p>
            <w:pPr>
              <w:widowControl w:val="0"/>
              <w:spacing w:line="300" w:lineRule="auto"/>
              <w:jc w:val="both"/>
              <w:rPr>
                <w:rFonts w:ascii="宋体" w:hAnsi="宋体" w:eastAsia="宋体" w:cs="宋体"/>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国家税务总局上海市金山区税务局第八、十六、十七、二十一税务所办公点</w:t>
            </w:r>
          </w:p>
        </w:tc>
        <w:tc>
          <w:tcPr>
            <w:tcW w:w="43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上海市金山区朱泾镇临源街538号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widowControl w:val="0"/>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4253" w:type="dxa"/>
            <w:vAlign w:val="center"/>
          </w:tcPr>
          <w:p>
            <w:pPr>
              <w:widowControl w:val="0"/>
              <w:spacing w:line="300" w:lineRule="auto"/>
              <w:jc w:val="both"/>
              <w:rPr>
                <w:rFonts w:ascii="宋体" w:hAnsi="宋体" w:eastAsia="宋体" w:cs="宋体"/>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国家税务总局上海市金山区税务局第二十税务所办公点</w:t>
            </w:r>
          </w:p>
        </w:tc>
        <w:tc>
          <w:tcPr>
            <w:tcW w:w="43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上海市金山区朱泾镇临源街700号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widowControl w:val="0"/>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4253" w:type="dxa"/>
            <w:vAlign w:val="center"/>
          </w:tcPr>
          <w:p>
            <w:pPr>
              <w:widowControl w:val="0"/>
              <w:spacing w:line="300" w:lineRule="auto"/>
              <w:jc w:val="both"/>
              <w:rPr>
                <w:rFonts w:ascii="宋体" w:hAnsi="宋体" w:eastAsia="宋体" w:cs="宋体"/>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国家税务总局上海市金山区税务局第十二税务所办公点</w:t>
            </w:r>
          </w:p>
        </w:tc>
        <w:tc>
          <w:tcPr>
            <w:tcW w:w="43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上海市金山区亭林镇寺平北路239号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widowControl w:val="0"/>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4253" w:type="dxa"/>
            <w:vAlign w:val="center"/>
          </w:tcPr>
          <w:p>
            <w:pPr>
              <w:widowControl w:val="0"/>
              <w:spacing w:line="300" w:lineRule="auto"/>
              <w:jc w:val="both"/>
              <w:rPr>
                <w:rFonts w:ascii="宋体" w:hAnsi="宋体" w:eastAsia="宋体" w:cs="宋体"/>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国家税务总局上海市金山区税务局第十税务所办公点</w:t>
            </w:r>
          </w:p>
        </w:tc>
        <w:tc>
          <w:tcPr>
            <w:tcW w:w="43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上海市金山区朱行镇立新街5号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widowControl w:val="0"/>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p>
        </w:tc>
        <w:tc>
          <w:tcPr>
            <w:tcW w:w="4253" w:type="dxa"/>
            <w:vAlign w:val="center"/>
          </w:tcPr>
          <w:p>
            <w:pPr>
              <w:widowControl w:val="0"/>
              <w:spacing w:line="300" w:lineRule="auto"/>
              <w:jc w:val="both"/>
              <w:rPr>
                <w:rFonts w:ascii="宋体" w:hAnsi="宋体" w:eastAsia="宋体" w:cs="宋体"/>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国家税务总局上海市金山区税务局第二、六、七、九、十九税务所办公点</w:t>
            </w:r>
          </w:p>
        </w:tc>
        <w:tc>
          <w:tcPr>
            <w:tcW w:w="43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上海市金山区石化街道卫新路8号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widowControl w:val="0"/>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4253" w:type="dxa"/>
            <w:vAlign w:val="center"/>
          </w:tcPr>
          <w:p>
            <w:pPr>
              <w:widowControl w:val="0"/>
              <w:spacing w:line="300" w:lineRule="auto"/>
              <w:jc w:val="both"/>
              <w:rPr>
                <w:rFonts w:ascii="宋体" w:hAnsi="宋体" w:eastAsia="宋体" w:cs="宋体"/>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国家税务总局上海市金山区税务局第十三、十五税务所办公点</w:t>
            </w:r>
          </w:p>
        </w:tc>
        <w:tc>
          <w:tcPr>
            <w:tcW w:w="43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上海市金山区金山卫镇板桥西路1450号</w:t>
            </w:r>
          </w:p>
        </w:tc>
      </w:tr>
    </w:tbl>
    <w:p>
      <w:pPr>
        <w:widowControl w:val="0"/>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本项目首年采购预算为9</w:t>
      </w:r>
      <w:r>
        <w:rPr>
          <w:rFonts w:ascii="宋体" w:hAnsi="宋体" w:eastAsia="宋体"/>
          <w:color w:val="auto"/>
          <w:sz w:val="21"/>
          <w:szCs w:val="21"/>
          <w:highlight w:val="none"/>
          <w:lang w:eastAsia="zh-CN"/>
        </w:rPr>
        <w:t>3</w:t>
      </w:r>
      <w:r>
        <w:rPr>
          <w:rFonts w:hint="eastAsia" w:ascii="宋体" w:hAnsi="宋体" w:eastAsia="宋体"/>
          <w:color w:val="auto"/>
          <w:sz w:val="21"/>
          <w:szCs w:val="21"/>
          <w:highlight w:val="none"/>
          <w:lang w:eastAsia="zh-CN"/>
        </w:rPr>
        <w:t>00000元人民币。</w:t>
      </w:r>
    </w:p>
    <w:p>
      <w:pPr>
        <w:widowControl w:val="0"/>
        <w:spacing w:line="300" w:lineRule="auto"/>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1.1.1.2采购人提供供应商使用的场地、设施、设备、材料等</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w:t>
      </w:r>
      <w:r>
        <w:rPr>
          <w:rFonts w:hint="eastAsia" w:ascii="宋体" w:hAnsi="宋体" w:eastAsia="宋体"/>
          <w:color w:val="auto"/>
          <w:sz w:val="21"/>
          <w:szCs w:val="21"/>
          <w:highlight w:val="none"/>
          <w:lang w:eastAsia="zh-CN"/>
        </w:rPr>
        <w:t>采购人提供国家税务总局上海市金山区税务局物业管理用房面积105平方米，其中办公房1间、工作间1间、仓库1间，可用设施设备包括办公桌椅、空调等基本办公家具设备，所需其他设备由供应商自行解决；</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（2）供应商服务人员可在采购人食堂就餐，餐费由供应商自理，食堂不营业则自行解决</w:t>
      </w:r>
      <w:r>
        <w:rPr>
          <w:rFonts w:hint="eastAsia"/>
          <w:color w:val="auto"/>
          <w:highlight w:val="none"/>
          <w:lang w:eastAsia="zh-CN"/>
        </w:rPr>
        <w:t>；</w:t>
      </w:r>
      <w:r>
        <w:rPr>
          <w:rFonts w:hint="eastAsia" w:ascii="宋体" w:hAnsi="宋体" w:eastAsia="宋体" w:cs="Calibri"/>
          <w:color w:val="auto"/>
          <w:sz w:val="21"/>
          <w:szCs w:val="21"/>
          <w:highlight w:val="none"/>
          <w:lang w:eastAsia="zh-CN"/>
        </w:rPr>
        <w:t>（3）采购人不提供住宿；</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（4）采购人可提供的零星维修材料、低值易耗品、苗木、客耗品见“</w:t>
      </w:r>
      <w:r>
        <w:rPr>
          <w:rFonts w:ascii="宋体" w:hAnsi="宋体" w:eastAsia="宋体" w:cs="Calibri"/>
          <w:color w:val="auto"/>
          <w:sz w:val="21"/>
          <w:szCs w:val="21"/>
          <w:highlight w:val="none"/>
          <w:lang w:eastAsia="zh-CN"/>
        </w:rPr>
        <w:t>8.2.1</w:t>
      </w:r>
      <w:r>
        <w:rPr>
          <w:rFonts w:hint="eastAsia" w:ascii="宋体" w:hAnsi="宋体" w:eastAsia="宋体" w:cs="Calibri"/>
          <w:color w:val="auto"/>
          <w:sz w:val="21"/>
          <w:szCs w:val="21"/>
          <w:highlight w:val="none"/>
          <w:lang w:eastAsia="zh-CN"/>
        </w:rPr>
        <w:t>需要说明的其他事项”。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供应商应当承担除以上所列场地、设施、设备、材料外，与物业管理服务有关的其他场地、设施、设备、材料等。</w:t>
      </w:r>
    </w:p>
    <w:p>
      <w:pPr>
        <w:pStyle w:val="4"/>
        <w:keepNext w:val="0"/>
        <w:spacing w:before="0" w:after="0" w:line="300" w:lineRule="auto"/>
        <w:rPr>
          <w:rFonts w:ascii="宋体" w:hAnsi="宋体" w:eastAsia="宋体" w:cs="仿宋_GB2312"/>
          <w:color w:val="auto"/>
          <w:sz w:val="21"/>
          <w:szCs w:val="21"/>
          <w:highlight w:val="none"/>
          <w:lang w:eastAsia="zh-CN"/>
        </w:rPr>
      </w:pPr>
      <w:bookmarkStart w:id="6" w:name="_Toc202710753"/>
      <w:bookmarkStart w:id="7" w:name="_Toc25394"/>
      <w:r>
        <w:rPr>
          <w:rFonts w:ascii="宋体" w:hAnsi="宋体" w:eastAsia="宋体" w:cs="仿宋_GB2312"/>
          <w:i w:val="0"/>
          <w:iCs w:val="0"/>
          <w:color w:val="auto"/>
          <w:sz w:val="21"/>
          <w:szCs w:val="21"/>
          <w:highlight w:val="none"/>
          <w:lang w:eastAsia="zh-CN"/>
        </w:rPr>
        <w:t>1.2项目内容</w:t>
      </w:r>
      <w:bookmarkEnd w:id="6"/>
      <w:bookmarkEnd w:id="7"/>
    </w:p>
    <w:p>
      <w:pPr>
        <w:pStyle w:val="5"/>
        <w:keepNext w:val="0"/>
        <w:spacing w:before="0" w:after="0" w:line="300" w:lineRule="auto"/>
        <w:rPr>
          <w:rFonts w:ascii="宋体" w:hAnsi="宋体" w:eastAsia="宋体" w:cs="仿宋_GB2312"/>
          <w:color w:val="auto"/>
          <w:sz w:val="21"/>
          <w:szCs w:val="21"/>
          <w:highlight w:val="none"/>
          <w:lang w:eastAsia="zh-CN"/>
        </w:rPr>
      </w:pPr>
      <w:bookmarkStart w:id="8" w:name="_Toc202710754"/>
      <w:bookmarkStart w:id="9" w:name="_Toc27679"/>
      <w:r>
        <w:rPr>
          <w:rFonts w:ascii="宋体" w:hAnsi="宋体" w:eastAsia="宋体" w:cs="仿宋_GB2312"/>
          <w:color w:val="auto"/>
          <w:sz w:val="21"/>
          <w:szCs w:val="21"/>
          <w:highlight w:val="none"/>
          <w:lang w:eastAsia="zh-CN"/>
        </w:rPr>
        <w:t>1.2.1采购内容</w:t>
      </w:r>
      <w:bookmarkEnd w:id="8"/>
      <w:bookmarkEnd w:id="9"/>
    </w:p>
    <w:p>
      <w:pPr>
        <w:widowControl w:val="0"/>
        <w:spacing w:line="300" w:lineRule="auto"/>
        <w:ind w:firstLine="420" w:firstLineChars="200"/>
        <w:jc w:val="both"/>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物业管理服务包括基本服务、房屋维护服务、公用设施设备维护服务、保洁服务、绿化服务、保安服务、会议服务等。</w:t>
      </w:r>
    </w:p>
    <w:p>
      <w:pPr>
        <w:pStyle w:val="5"/>
        <w:keepNext w:val="0"/>
        <w:spacing w:before="0" w:after="0" w:line="300" w:lineRule="auto"/>
        <w:rPr>
          <w:rFonts w:ascii="宋体" w:hAnsi="宋体" w:eastAsia="宋体" w:cs="仿宋_GB2312"/>
          <w:color w:val="auto"/>
          <w:sz w:val="21"/>
          <w:szCs w:val="21"/>
          <w:highlight w:val="none"/>
          <w:lang w:eastAsia="zh-CN"/>
        </w:rPr>
      </w:pPr>
      <w:bookmarkStart w:id="10" w:name="_Toc202710755"/>
      <w:bookmarkStart w:id="11" w:name="_Toc13565"/>
      <w:r>
        <w:rPr>
          <w:rFonts w:ascii="宋体" w:hAnsi="宋体" w:eastAsia="宋体" w:cs="仿宋_GB2312"/>
          <w:color w:val="auto"/>
          <w:sz w:val="21"/>
          <w:szCs w:val="21"/>
          <w:highlight w:val="none"/>
          <w:lang w:eastAsia="zh-CN"/>
        </w:rPr>
        <w:t>1.2.2项目实施要求</w:t>
      </w:r>
      <w:bookmarkEnd w:id="10"/>
      <w:bookmarkEnd w:id="11"/>
    </w:p>
    <w:p>
      <w:pPr>
        <w:pStyle w:val="6"/>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1.2.2.1实施范围要求</w:t>
      </w:r>
    </w:p>
    <w:p>
      <w:pPr>
        <w:widowControl w:val="0"/>
        <w:spacing w:line="300" w:lineRule="auto"/>
        <w:jc w:val="both"/>
        <w:rPr>
          <w:rFonts w:ascii="宋体" w:hAnsi="宋体" w:eastAsia="宋体" w:cs="Calibri"/>
          <w:b/>
          <w:bCs/>
          <w:color w:val="auto"/>
          <w:sz w:val="21"/>
          <w:szCs w:val="21"/>
          <w:highlight w:val="none"/>
          <w:lang w:eastAsia="zh-CN"/>
        </w:rPr>
      </w:pPr>
      <w:bookmarkStart w:id="12" w:name="_Toc2486"/>
      <w:bookmarkStart w:id="13" w:name="_Toc5112"/>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1【国家税务总局上海市金山区税务局综合大楼】</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4194"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2640"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国家税务总局上海市金山区税务局综合大楼</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综合楼</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总面积</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建筑面积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15945.69㎡</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需保洁面积</w:t>
            </w:r>
          </w:p>
        </w:tc>
        <w:tc>
          <w:tcPr>
            <w:tcW w:w="419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lang w:eastAsia="zh-CN"/>
              </w:rPr>
              <w:t>15945.69㎡</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铝合金窗户、木门、玻璃门</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环氧地坪、瓷砖、地板</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乳胶漆、木饰面、石材、金属板</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乳胶漆、铝板</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石材</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室内</w:t>
            </w:r>
            <w:r>
              <w:rPr>
                <w:rFonts w:ascii="宋体" w:hAnsi="宋体" w:eastAsia="宋体" w:cs="Calibri"/>
                <w:color w:val="auto"/>
                <w:sz w:val="21"/>
                <w:szCs w:val="21"/>
                <w:highlight w:val="none"/>
              </w:rPr>
              <w:t>设施</w:t>
            </w:r>
            <w:r>
              <w:rPr>
                <w:rFonts w:hint="eastAsia" w:ascii="宋体" w:hAnsi="宋体" w:eastAsia="宋体" w:cs="Calibri"/>
                <w:color w:val="auto"/>
                <w:sz w:val="21"/>
                <w:szCs w:val="21"/>
                <w:highlight w:val="none"/>
              </w:rPr>
              <w:t>说明</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会议桌135张、会议椅491把、投影机4台、话筒28个</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会议室数量及总面积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会议室总数量12间，总面积1198㎡</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卫生间数量</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27间</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垃圾存放点</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各垃圾存放点位置</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北车场垃圾房</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车位数</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地下车位数</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43个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地面车位数</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162个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车行/人行口</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w:t>
            </w:r>
            <w:r>
              <w:rPr>
                <w:rFonts w:hint="eastAsia" w:ascii="宋体" w:hAnsi="宋体" w:eastAsia="宋体" w:cs="Calibri"/>
                <w:color w:val="auto"/>
                <w:sz w:val="21"/>
                <w:szCs w:val="21"/>
                <w:highlight w:val="none"/>
              </w:rPr>
              <w:t>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人行口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 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设施设备</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电梯</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货梯数量1台，功率11.7kw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客梯数量3台，每台功率11.7kw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空调</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多联式空调系统（内机305台，外机51台包含新风）</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VRV多联机RAS-900型空调外机数量7台，每台功率31.6kw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VRV多联机RAS-690型空调外机数量6台，每台功率22.3kw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VRV多联机RAS-560型空调外机数量4台，每台功率17.5kw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VRV多联机RAS-850型空调外机数量9台，每台功率30kw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VRV多联机RAS-224型空调外机数量14台，每台功率6.02kw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VRV多联机RAS-450型空调外机数量2台，每台功率14.50kw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VRV多联机RAS-280型空调外机数量7台，每台功率7.91kw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VRV多联机RAS-730型空调外机数量2台，每台功率24.5kw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立式单元式空调数量1台，功率2.1kw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立式单元式空调数量1台，功率3.5kw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嵌入式空调数量1台，功率3.5kw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壁挂式单元式空调数量4台，每台功率1kw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给排水</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潜水泵8台、生活水泵2台、集水井4个、生活水箱2个，给排水设备的数量16个，总功率39.8kw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消防</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气体灭火系统、火灾自动报警系统、自动喷淋系统（含雨淋系统）、排烟加压送风系统、消防应急广播系统（消防对讲电话）、防火卷帘门系统、消火栓系统。消防设备数量2877个</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安防系统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监控摄像头数量185个</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照明系统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公区筒灯、射灯； 办公室平板灯、灯管、筒灯</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供配电系统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高压柜6个，总功率为15.1MW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低压柜73个，总功率为3.08MW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22"/>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3322"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4206"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室外面积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6970㎡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广场面积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6970㎡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消防栓</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垃圾箱</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6个</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室外配电箱</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门前三包</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193㎡</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露台</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12㎡</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监控</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20个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 xml:space="preserve">见“3.2.4保洁服务”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指示牌、显示屏</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指示牌12个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见“3.2.4保洁服务”“3.2.3公用设施设备维护服务”</w:t>
            </w:r>
          </w:p>
        </w:tc>
      </w:tr>
    </w:tbl>
    <w:p>
      <w:pPr>
        <w:pStyle w:val="2"/>
        <w:spacing w:line="300" w:lineRule="auto"/>
        <w:jc w:val="both"/>
        <w:rPr>
          <w:rFonts w:hAnsi="宋体" w:cs="Calibri"/>
          <w:b/>
          <w:color w:val="auto"/>
          <w:highlight w:val="none"/>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2【国家税务总局上海市金山区税务局第十八税务所办公点】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4194"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2640"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国家税务总局上海市金山区税务局第十八税务所</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1号楼</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总面积</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建筑面积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3500㎡</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需保洁面积</w:t>
            </w:r>
          </w:p>
        </w:tc>
        <w:tc>
          <w:tcPr>
            <w:tcW w:w="419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lang w:eastAsia="zh-CN"/>
              </w:rPr>
              <w:t>3500㎡</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铝合金窗户、木门、玻璃门</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瓷砖、地板</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乳胶漆、铝板</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普通涂料</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室内</w:t>
            </w:r>
            <w:r>
              <w:rPr>
                <w:rFonts w:ascii="宋体" w:hAnsi="宋体" w:eastAsia="宋体" w:cs="Calibri"/>
                <w:color w:val="auto"/>
                <w:sz w:val="21"/>
                <w:szCs w:val="21"/>
                <w:highlight w:val="none"/>
              </w:rPr>
              <w:t>设施</w:t>
            </w:r>
            <w:r>
              <w:rPr>
                <w:rFonts w:hint="eastAsia" w:ascii="宋体" w:hAnsi="宋体" w:eastAsia="宋体" w:cs="Calibri"/>
                <w:color w:val="auto"/>
                <w:sz w:val="21"/>
                <w:szCs w:val="21"/>
                <w:highlight w:val="none"/>
              </w:rPr>
              <w:t>说明</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会议桌17张</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会议椅46把</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会议室数量及总面积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会议室总数量2间，总面积121㎡</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卫生间数量</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6间</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垃圾存放点</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各垃圾存放点位置</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南停车场</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车位数</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地下车位数</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23个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地面车位数</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45个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车行/人行口</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w:t>
            </w:r>
            <w:r>
              <w:rPr>
                <w:rFonts w:hint="eastAsia" w:ascii="宋体" w:hAnsi="宋体" w:eastAsia="宋体" w:cs="Calibri"/>
                <w:color w:val="auto"/>
                <w:sz w:val="21"/>
                <w:szCs w:val="21"/>
                <w:highlight w:val="none"/>
              </w:rPr>
              <w:t>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人行口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设施设备</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电梯</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客梯数量2台，每台功率9.9kw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 “3.2.3公用设施设备维护服务”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空调</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多联式空调系统等（内机97台，外机10台）</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VRV多联机GMV-335型空调外机数量3台，每台功率14.5kw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VRV多联机GMV-400型空调数量3台，每台功率14.6kw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VRV多联机GMV-550型空调数量2台，每台功率17.4kw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立式单元式空调数量3台，每台功率3.5kw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壁挂式单元式空调数量4台，每台功率1kw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给排水</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潜水泵9个、集水井4个，给排水设备的数量13个、总功率36kw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消防</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火灾自动报警系统、消火栓系统、自动喷淋系统、消防应急广播系统、排烟系统。消防设备的数量1118个</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安防系统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监控摄像头数量25个</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照明系统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公区平板灯，吸顶灯，筒灯，射灯； 办公室平板灯</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供配电系统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高压柜3个，总功率为4.5MW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低压柜9个</w:t>
            </w:r>
            <w:r>
              <w:rPr>
                <w:rFonts w:hint="eastAsia"/>
                <w:color w:val="auto"/>
                <w:highlight w:val="none"/>
                <w:lang w:eastAsia="zh-CN"/>
              </w:rPr>
              <w:t>、</w:t>
            </w:r>
            <w:r>
              <w:rPr>
                <w:rFonts w:hint="eastAsia" w:ascii="宋体" w:hAnsi="宋体" w:eastAsia="宋体" w:cs="Calibri"/>
                <w:color w:val="auto"/>
                <w:sz w:val="21"/>
                <w:szCs w:val="21"/>
                <w:highlight w:val="none"/>
                <w:lang w:eastAsia="zh-CN"/>
              </w:rPr>
              <w:t>低压箱9个，总功率为1.45MW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22"/>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3322"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4206"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室外面积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2800㎡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广场面积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2800㎡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消防栓</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室外配电箱</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门前三包</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161㎡</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指示牌、显示屏</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指示牌2个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见“3.2.4保洁服务”“3.2.3公用设施设备维护服务”</w:t>
            </w:r>
          </w:p>
        </w:tc>
      </w:tr>
    </w:tbl>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3【国家税务总局上海市金山区税务局第八、十六、十七、二十一税务所】</w:t>
      </w:r>
    </w:p>
    <w:p>
      <w:pPr>
        <w:widowControl w:val="0"/>
        <w:numPr>
          <w:ilvl w:val="0"/>
          <w:numId w:val="1"/>
        </w:num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物业管理（建筑物）</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4194"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2640"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8" w:type="dxa"/>
            <w:gridSpan w:val="2"/>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国家税务总局上海市金山区税务局第八、十六、十七、二十一税务所办公点</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1号楼、2号楼</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总面积</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建筑面积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4581.3㎡</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需保洁面积</w:t>
            </w:r>
          </w:p>
        </w:tc>
        <w:tc>
          <w:tcPr>
            <w:tcW w:w="419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lang w:eastAsia="zh-CN"/>
              </w:rPr>
              <w:t>4581.3㎡</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铝合金窗户、木门、玻璃门</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瓷砖、地板</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普通涂料</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室内</w:t>
            </w:r>
            <w:r>
              <w:rPr>
                <w:rFonts w:ascii="宋体" w:hAnsi="宋体" w:eastAsia="宋体" w:cs="Calibri"/>
                <w:color w:val="auto"/>
                <w:sz w:val="21"/>
                <w:szCs w:val="21"/>
                <w:highlight w:val="none"/>
              </w:rPr>
              <w:t>设施</w:t>
            </w:r>
            <w:r>
              <w:rPr>
                <w:rFonts w:hint="eastAsia" w:ascii="宋体" w:hAnsi="宋体" w:eastAsia="宋体" w:cs="Calibri"/>
                <w:color w:val="auto"/>
                <w:sz w:val="21"/>
                <w:szCs w:val="21"/>
                <w:highlight w:val="none"/>
              </w:rPr>
              <w:t>说明</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会议桌36张</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会议椅137把</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会议室数量及总面积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会议室总数量4间，总面积270㎡</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卫生间数量</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22间</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垃圾存放点</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各垃圾存放点位置</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南停车场</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shd w:val="clear" w:color="auto" w:fill="auto"/>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车位数</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地面车位数</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45个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车行/人行口</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w:t>
            </w:r>
            <w:r>
              <w:rPr>
                <w:rFonts w:hint="eastAsia" w:ascii="宋体" w:hAnsi="宋体" w:eastAsia="宋体" w:cs="Calibri"/>
                <w:color w:val="auto"/>
                <w:sz w:val="21"/>
                <w:szCs w:val="21"/>
                <w:highlight w:val="none"/>
              </w:rPr>
              <w:t>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人行口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设施设备</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电梯</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客梯数量1台，功率6.7kw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 “3.2.3公用设施设备维护服务”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空调</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立式单元式空调数量6台，每台功率2.1kw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立式单元式空调数量23台，每台功率3.5kw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壁挂式单元式空调数量85台，每台功率1kw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消防</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消火栓系统；消防设备78套</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安防系统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监控摄像头数量54个</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照明系统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公区筒灯、日光灯、吸顶灯、射灯 ； 办公室日光灯</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供配电系统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低压柜7个、低压箱5个，总功率为376kw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22"/>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3322"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4206"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室外面积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4100㎡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广场面积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2900㎡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绿化</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1200㎡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垃圾箱</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2个</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门前三包</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110㎡</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监控</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 xml:space="preserve">见“3.2.4保洁服务”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指示牌、显示屏</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指示牌3个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见“3.2.4保洁服务”“3.2.3公用设施设备维护服务”</w:t>
            </w:r>
          </w:p>
        </w:tc>
      </w:tr>
    </w:tbl>
    <w:p>
      <w:pPr>
        <w:widowControl w:val="0"/>
        <w:spacing w:line="300" w:lineRule="auto"/>
        <w:jc w:val="both"/>
        <w:rPr>
          <w:rFonts w:ascii="宋体" w:hAnsi="宋体" w:eastAsia="宋体" w:cs="Calibri"/>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4【国家税务总局上海市金山区税务局第二十税务所】</w:t>
      </w:r>
    </w:p>
    <w:p>
      <w:pPr>
        <w:widowControl w:val="0"/>
        <w:numPr>
          <w:ilvl w:val="0"/>
          <w:numId w:val="2"/>
        </w:num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物业管理（建筑物）</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4194"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2640"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国家税务总局上海市金山区税务局第二十税务所办公点</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1号楼</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总面积</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建筑面积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1560㎡</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需保洁面积</w:t>
            </w:r>
          </w:p>
        </w:tc>
        <w:tc>
          <w:tcPr>
            <w:tcW w:w="419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lang w:eastAsia="zh-CN"/>
              </w:rPr>
              <w:t>1560㎡</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铁窗户、木门、不锈钢门</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瓷砖、地板</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普通涂料</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室内</w:t>
            </w:r>
            <w:r>
              <w:rPr>
                <w:rFonts w:ascii="宋体" w:hAnsi="宋体" w:eastAsia="宋体" w:cs="Calibri"/>
                <w:color w:val="auto"/>
                <w:sz w:val="21"/>
                <w:szCs w:val="21"/>
                <w:highlight w:val="none"/>
              </w:rPr>
              <w:t>设施</w:t>
            </w:r>
            <w:r>
              <w:rPr>
                <w:rFonts w:hint="eastAsia" w:ascii="宋体" w:hAnsi="宋体" w:eastAsia="宋体" w:cs="Calibri"/>
                <w:color w:val="auto"/>
                <w:sz w:val="21"/>
                <w:szCs w:val="21"/>
                <w:highlight w:val="none"/>
              </w:rPr>
              <w:t>说明</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会议桌1张</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会议椅53把</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会议室数量及总面积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会议室总数量1间；总面积82㎡</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卫生间数量</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8间</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shd w:val="clear" w:color="auto" w:fill="auto"/>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车位数</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地面车位数</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10个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车行/人行口</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w:t>
            </w:r>
            <w:r>
              <w:rPr>
                <w:rFonts w:hint="eastAsia" w:ascii="宋体" w:hAnsi="宋体" w:eastAsia="宋体" w:cs="Calibri"/>
                <w:color w:val="auto"/>
                <w:sz w:val="21"/>
                <w:szCs w:val="21"/>
                <w:highlight w:val="none"/>
              </w:rPr>
              <w:t>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人行口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设施设备</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空调</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立式单元式空调数量1台，功率3.5kw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壁挂式单元式空调数量16台，每台功率1kw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安防系统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摄像头数量11个</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照明系统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公区筒灯，吸顶灯；办公室日光灯</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供配电系统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低压箱1个，功率38kw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bl>
    <w:p>
      <w:pPr>
        <w:rPr>
          <w:color w:val="auto"/>
          <w:highlight w:val="none"/>
          <w:lang w:eastAsia="zh-CN"/>
        </w:rPr>
      </w:pPr>
    </w:p>
    <w:p>
      <w:pPr>
        <w:widowControl w:val="0"/>
        <w:numPr>
          <w:ilvl w:val="0"/>
          <w:numId w:val="2"/>
        </w:num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物业管理（室外）</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22"/>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3322"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4206"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室外面积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1240㎡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广场面积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1240㎡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门前三包</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30㎡</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监控</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 xml:space="preserve">见“3.2.4保洁服务” </w:t>
            </w:r>
          </w:p>
        </w:tc>
      </w:tr>
    </w:tbl>
    <w:p>
      <w:pPr>
        <w:widowControl w:val="0"/>
        <w:spacing w:line="300" w:lineRule="auto"/>
        <w:ind w:left="480" w:leftChars="200"/>
        <w:jc w:val="both"/>
        <w:rPr>
          <w:rFonts w:ascii="宋体" w:hAnsi="宋体" w:eastAsia="宋体" w:cs="Calibri"/>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1.2.2.1.5【国家税务总局上海市金山区税务局第十二税务所】</w:t>
      </w:r>
    </w:p>
    <w:p>
      <w:pPr>
        <w:widowControl w:val="0"/>
        <w:numPr>
          <w:ilvl w:val="0"/>
          <w:numId w:val="3"/>
        </w:num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物业管理（建筑物）</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4194"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2640"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国家税务总局上海市金山区税务局第十二税务所</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1号楼</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总面积</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建筑面积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1809㎡</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需保洁面积</w:t>
            </w:r>
          </w:p>
        </w:tc>
        <w:tc>
          <w:tcPr>
            <w:tcW w:w="419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lang w:eastAsia="zh-CN"/>
              </w:rPr>
              <w:t>1809㎡</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铝合金窗户、木门、玻璃门</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瓷砖、地板</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普通涂料</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室内</w:t>
            </w:r>
            <w:r>
              <w:rPr>
                <w:rFonts w:ascii="宋体" w:hAnsi="宋体" w:eastAsia="宋体" w:cs="Calibri"/>
                <w:color w:val="auto"/>
                <w:sz w:val="21"/>
                <w:szCs w:val="21"/>
                <w:highlight w:val="none"/>
              </w:rPr>
              <w:t>设施</w:t>
            </w:r>
            <w:r>
              <w:rPr>
                <w:rFonts w:hint="eastAsia" w:ascii="宋体" w:hAnsi="宋体" w:eastAsia="宋体" w:cs="Calibri"/>
                <w:color w:val="auto"/>
                <w:sz w:val="21"/>
                <w:szCs w:val="21"/>
                <w:highlight w:val="none"/>
              </w:rPr>
              <w:t>说明</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会议桌11张</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会议椅53把</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会议室数量及总面积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会议室总数量2间，总面积103㎡</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卫生间数量</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8间</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垃圾存放点</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各垃圾存放点位置</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食堂旁</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车位数</w:t>
            </w: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rPr>
              <w:t>地面车位数</w:t>
            </w:r>
          </w:p>
        </w:tc>
        <w:tc>
          <w:tcPr>
            <w:tcW w:w="419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lang w:eastAsia="zh-CN"/>
              </w:rPr>
              <w:t>43个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车行/人行口</w:t>
            </w:r>
          </w:p>
        </w:tc>
        <w:tc>
          <w:tcPr>
            <w:tcW w:w="1587" w:type="dxa"/>
            <w:shd w:val="clear" w:color="auto" w:fill="auto"/>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w:t>
            </w:r>
            <w:r>
              <w:rPr>
                <w:rFonts w:hint="eastAsia" w:ascii="宋体" w:hAnsi="宋体" w:eastAsia="宋体" w:cs="Calibri"/>
                <w:color w:val="auto"/>
                <w:sz w:val="21"/>
                <w:szCs w:val="21"/>
                <w:highlight w:val="none"/>
              </w:rPr>
              <w:t>口</w:t>
            </w:r>
          </w:p>
        </w:tc>
        <w:tc>
          <w:tcPr>
            <w:tcW w:w="4194" w:type="dxa"/>
            <w:shd w:val="clear" w:color="auto" w:fill="auto"/>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shd w:val="clear" w:color="auto" w:fill="auto"/>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人行口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设施设备</w:t>
            </w: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rPr>
              <w:t>空调</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立式单元式空调数量3台，功率2.1kw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立式单元式空调数量7台，每台功率3.5kw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壁挂式单元式空调数量37台，每台功率1kw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安防系统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监控摄像头数量26个</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rPr>
              <w:t>照明系统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公区筒灯，平板灯，吸顶灯；办公室日光灯</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rPr>
              <w:t>供配电系统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低压柜2个、低压箱4个，总功率为96.4kw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bl>
    <w:p>
      <w:pPr>
        <w:widowControl w:val="0"/>
        <w:spacing w:line="300" w:lineRule="auto"/>
        <w:jc w:val="both"/>
        <w:rPr>
          <w:rFonts w:ascii="宋体" w:hAnsi="宋体" w:eastAsia="宋体" w:cs="Calibri"/>
          <w:color w:val="auto"/>
          <w:sz w:val="21"/>
          <w:szCs w:val="21"/>
          <w:highlight w:val="none"/>
          <w:lang w:eastAsia="zh-CN"/>
        </w:rPr>
      </w:pPr>
    </w:p>
    <w:p>
      <w:pPr>
        <w:rPr>
          <w:color w:val="auto"/>
          <w:highlight w:val="none"/>
          <w:lang w:eastAsia="zh-CN"/>
        </w:rPr>
      </w:pPr>
    </w:p>
    <w:p>
      <w:pPr>
        <w:widowControl w:val="0"/>
        <w:numPr>
          <w:ilvl w:val="0"/>
          <w:numId w:val="3"/>
        </w:num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物业管理（室外）</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22"/>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3322"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4206"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室外面积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1200㎡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广场面积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650㎡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绿化</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550㎡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垃圾箱</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2个</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门前三包</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32㎡</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监控</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 xml:space="preserve">见“3.2.4保洁服务” </w:t>
            </w:r>
          </w:p>
        </w:tc>
      </w:tr>
    </w:tbl>
    <w:p>
      <w:pPr>
        <w:widowControl w:val="0"/>
        <w:spacing w:line="300" w:lineRule="auto"/>
        <w:ind w:left="480" w:leftChars="200"/>
        <w:jc w:val="both"/>
        <w:rPr>
          <w:rFonts w:ascii="宋体" w:hAnsi="宋体" w:eastAsia="宋体" w:cs="Calibri"/>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6【国家税务总局上海市金山区税务局第十税务所】</w:t>
      </w:r>
    </w:p>
    <w:p>
      <w:pPr>
        <w:widowControl w:val="0"/>
        <w:numPr>
          <w:ilvl w:val="0"/>
          <w:numId w:val="4"/>
        </w:num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物业管理（建筑物）</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4194"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2640"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国家税务总局上海市金山区税务局第十税务所</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1号楼</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总面积</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建筑面积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1470㎡</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需保洁面积</w:t>
            </w:r>
          </w:p>
        </w:tc>
        <w:tc>
          <w:tcPr>
            <w:tcW w:w="419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lang w:eastAsia="zh-CN"/>
              </w:rPr>
              <w:t>1470㎡</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铝合金窗户、木门、玻璃门</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瓷砖、地板</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普通涂料</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室内</w:t>
            </w:r>
            <w:r>
              <w:rPr>
                <w:rFonts w:ascii="宋体" w:hAnsi="宋体" w:eastAsia="宋体" w:cs="Calibri"/>
                <w:color w:val="auto"/>
                <w:sz w:val="21"/>
                <w:szCs w:val="21"/>
                <w:highlight w:val="none"/>
              </w:rPr>
              <w:t>设施</w:t>
            </w:r>
            <w:r>
              <w:rPr>
                <w:rFonts w:hint="eastAsia" w:ascii="宋体" w:hAnsi="宋体" w:eastAsia="宋体" w:cs="Calibri"/>
                <w:color w:val="auto"/>
                <w:sz w:val="21"/>
                <w:szCs w:val="21"/>
                <w:highlight w:val="none"/>
              </w:rPr>
              <w:t>说明</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会议桌12张</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会议椅38把</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会议室数量及总面积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会议室数量1间，面积62㎡</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卫生间数量</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8间</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垃圾存放点</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各垃圾存放点位置</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食堂旁</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车位数</w:t>
            </w: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rPr>
              <w:t>地面车位数</w:t>
            </w:r>
          </w:p>
        </w:tc>
        <w:tc>
          <w:tcPr>
            <w:tcW w:w="419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lang w:eastAsia="zh-CN"/>
              </w:rPr>
              <w:t>37个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车行/人行口</w:t>
            </w:r>
          </w:p>
        </w:tc>
        <w:tc>
          <w:tcPr>
            <w:tcW w:w="1587" w:type="dxa"/>
            <w:shd w:val="clear" w:color="auto" w:fill="auto"/>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w:t>
            </w:r>
            <w:r>
              <w:rPr>
                <w:rFonts w:hint="eastAsia" w:ascii="宋体" w:hAnsi="宋体" w:eastAsia="宋体" w:cs="Calibri"/>
                <w:color w:val="auto"/>
                <w:sz w:val="21"/>
                <w:szCs w:val="21"/>
                <w:highlight w:val="none"/>
              </w:rPr>
              <w:t>口</w:t>
            </w:r>
          </w:p>
        </w:tc>
        <w:tc>
          <w:tcPr>
            <w:tcW w:w="4194" w:type="dxa"/>
            <w:shd w:val="clear" w:color="auto" w:fill="auto"/>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shd w:val="clear" w:color="auto" w:fill="auto"/>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人行口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设施设备</w:t>
            </w: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rPr>
              <w:t>空调</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立式单元式空调数量2台，每台功率2.1kw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立式单元式空调数量7台，每台功率3.5kw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壁挂式单元式空调数量19台，每台功率1kw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安防系统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监控摄像头数量6个</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rPr>
              <w:t>照明系统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公区筒灯，吸顶灯；办公室日光灯，筒灯，平板灯</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rPr>
              <w:t>供配电系统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低压柜2个、低压箱1个，总功率为95.4kw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bl>
    <w:p>
      <w:pPr>
        <w:widowControl w:val="0"/>
        <w:spacing w:line="300" w:lineRule="auto"/>
        <w:jc w:val="both"/>
        <w:rPr>
          <w:rFonts w:ascii="宋体" w:hAnsi="宋体" w:eastAsia="宋体" w:cs="Calibri"/>
          <w:color w:val="auto"/>
          <w:sz w:val="21"/>
          <w:szCs w:val="21"/>
          <w:highlight w:val="none"/>
          <w:lang w:eastAsia="zh-CN"/>
        </w:rPr>
      </w:pPr>
    </w:p>
    <w:p>
      <w:pPr>
        <w:widowControl w:val="0"/>
        <w:numPr>
          <w:ilvl w:val="0"/>
          <w:numId w:val="4"/>
        </w:num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物业管理（室外）</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22"/>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3322"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4206"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室外面积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750㎡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广场面积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200㎡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绿化</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550㎡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垃圾箱</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4个</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门前三包</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35㎡</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监控</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 xml:space="preserve">见“3.2.4保洁服务” </w:t>
            </w:r>
          </w:p>
        </w:tc>
      </w:tr>
    </w:tbl>
    <w:p>
      <w:pPr>
        <w:widowControl w:val="0"/>
        <w:spacing w:line="300" w:lineRule="auto"/>
        <w:ind w:left="480" w:leftChars="200"/>
        <w:jc w:val="both"/>
        <w:rPr>
          <w:rFonts w:ascii="宋体" w:hAnsi="宋体" w:eastAsia="宋体" w:cs="Calibri"/>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7【国家税务总局上海市金山区税务局第二、六、七、九、十九税务所】</w:t>
      </w:r>
    </w:p>
    <w:p>
      <w:pPr>
        <w:widowControl w:val="0"/>
        <w:numPr>
          <w:ilvl w:val="0"/>
          <w:numId w:val="5"/>
        </w:num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物业管理（建筑物）</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4194"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2640"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国家税务总局上海市金山区税务局第二、六、七、九、十九税务所</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1号楼、2号楼、3</w:t>
            </w:r>
            <w:r>
              <w:rPr>
                <w:rFonts w:hint="eastAsia" w:ascii="宋体" w:hAnsi="宋体" w:eastAsia="宋体" w:cs="Calibri"/>
                <w:color w:val="auto"/>
                <w:sz w:val="21"/>
                <w:szCs w:val="21"/>
                <w:highlight w:val="none"/>
                <w:lang w:eastAsia="zh-CN"/>
              </w:rPr>
              <w:t>号楼、</w:t>
            </w:r>
            <w:r>
              <w:rPr>
                <w:rFonts w:ascii="宋体" w:hAnsi="宋体" w:eastAsia="宋体" w:cs="Calibri"/>
                <w:color w:val="auto"/>
                <w:sz w:val="21"/>
                <w:szCs w:val="21"/>
                <w:highlight w:val="none"/>
                <w:lang w:eastAsia="zh-CN"/>
              </w:rPr>
              <w:t>4</w:t>
            </w:r>
            <w:r>
              <w:rPr>
                <w:rFonts w:hint="eastAsia" w:ascii="宋体" w:hAnsi="宋体" w:eastAsia="宋体" w:cs="Calibri"/>
                <w:color w:val="auto"/>
                <w:sz w:val="21"/>
                <w:szCs w:val="21"/>
                <w:highlight w:val="none"/>
                <w:lang w:eastAsia="zh-CN"/>
              </w:rPr>
              <w:t>号楼</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总面积</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建筑面积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4563.34㎡</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需保洁面积</w:t>
            </w:r>
          </w:p>
        </w:tc>
        <w:tc>
          <w:tcPr>
            <w:tcW w:w="419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lang w:eastAsia="zh-CN"/>
              </w:rPr>
              <w:t>4563.34㎡</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铝合金窗户、木门、玻璃门、不锈钢门</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瓷砖、地板</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 “3.2.4保洁服务”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普通涂料</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室内</w:t>
            </w:r>
            <w:r>
              <w:rPr>
                <w:rFonts w:ascii="宋体" w:hAnsi="宋体" w:eastAsia="宋体" w:cs="Calibri"/>
                <w:color w:val="auto"/>
                <w:sz w:val="21"/>
                <w:szCs w:val="21"/>
                <w:highlight w:val="none"/>
              </w:rPr>
              <w:t>设施</w:t>
            </w:r>
            <w:r>
              <w:rPr>
                <w:rFonts w:hint="eastAsia" w:ascii="宋体" w:hAnsi="宋体" w:eastAsia="宋体" w:cs="Calibri"/>
                <w:color w:val="auto"/>
                <w:sz w:val="21"/>
                <w:szCs w:val="21"/>
                <w:highlight w:val="none"/>
              </w:rPr>
              <w:t>说明</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会议桌15张</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会议椅175把</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会议室数量及总面积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会议室总数量7个，总面积371㎡</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卫生间数量</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15间</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垃圾存放点</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各垃圾存放点位置</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2号楼食堂旁</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车位数</w:t>
            </w: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rPr>
              <w:t>地面车位数</w:t>
            </w:r>
          </w:p>
        </w:tc>
        <w:tc>
          <w:tcPr>
            <w:tcW w:w="419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lang w:eastAsia="zh-CN"/>
              </w:rPr>
              <w:t>43个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车行/人行口</w:t>
            </w:r>
          </w:p>
        </w:tc>
        <w:tc>
          <w:tcPr>
            <w:tcW w:w="1587" w:type="dxa"/>
            <w:shd w:val="clear" w:color="auto" w:fill="auto"/>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w:t>
            </w:r>
            <w:r>
              <w:rPr>
                <w:rFonts w:hint="eastAsia" w:ascii="宋体" w:hAnsi="宋体" w:eastAsia="宋体" w:cs="Calibri"/>
                <w:color w:val="auto"/>
                <w:sz w:val="21"/>
                <w:szCs w:val="21"/>
                <w:highlight w:val="none"/>
              </w:rPr>
              <w:t>口</w:t>
            </w:r>
          </w:p>
        </w:tc>
        <w:tc>
          <w:tcPr>
            <w:tcW w:w="4194" w:type="dxa"/>
            <w:shd w:val="clear" w:color="auto" w:fill="auto"/>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shd w:val="clear" w:color="auto" w:fill="auto"/>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人行口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设施设备</w:t>
            </w: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rPr>
              <w:t>空调</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立式单元式空调数量2台，每台功率2.1kw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立式单元式空调数量5台，每台功率3.5kw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壁挂式单元式空调数量75台，每台功率1kw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rPr>
              <w:t>消防</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消防栓系统，消防设备数量15套</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rPr>
              <w:t>安防系统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监控摄像头数量29个</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照明系统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公区和办公室灯管、平板灯、吸顶灯</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供配电系统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高压柜4个，总功率为4MW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低压柜4个、低压箱4个，总功率为1MW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bl>
    <w:p>
      <w:pPr>
        <w:widowControl w:val="0"/>
        <w:spacing w:line="300" w:lineRule="auto"/>
        <w:jc w:val="both"/>
        <w:rPr>
          <w:rFonts w:ascii="宋体" w:hAnsi="宋体" w:eastAsia="宋体" w:cs="Calibri"/>
          <w:color w:val="auto"/>
          <w:sz w:val="21"/>
          <w:szCs w:val="21"/>
          <w:highlight w:val="none"/>
          <w:lang w:eastAsia="zh-CN"/>
        </w:rPr>
      </w:pPr>
    </w:p>
    <w:p>
      <w:pPr>
        <w:widowControl w:val="0"/>
        <w:numPr>
          <w:ilvl w:val="0"/>
          <w:numId w:val="5"/>
        </w:num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物业管理（室外）</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22"/>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3322"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4206"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室外面积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2350㎡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广场面积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1400㎡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绿化</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950㎡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shd w:val="clear" w:color="auto" w:fill="auto"/>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消防栓</w:t>
            </w:r>
          </w:p>
        </w:tc>
        <w:tc>
          <w:tcPr>
            <w:tcW w:w="3322" w:type="dxa"/>
            <w:shd w:val="clear" w:color="auto" w:fill="auto"/>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3个</w:t>
            </w:r>
          </w:p>
        </w:tc>
        <w:tc>
          <w:tcPr>
            <w:tcW w:w="4206" w:type="dxa"/>
            <w:shd w:val="clear" w:color="auto" w:fill="auto"/>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门前三包</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56㎡</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监控</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 xml:space="preserve">见“3.2.4保洁服务” </w:t>
            </w:r>
          </w:p>
        </w:tc>
      </w:tr>
    </w:tbl>
    <w:p>
      <w:pPr>
        <w:widowControl w:val="0"/>
        <w:spacing w:line="300" w:lineRule="auto"/>
        <w:ind w:left="480" w:leftChars="200"/>
        <w:jc w:val="both"/>
        <w:rPr>
          <w:rFonts w:ascii="宋体" w:hAnsi="宋体" w:eastAsia="宋体" w:cs="Calibri"/>
          <w:color w:val="auto"/>
          <w:sz w:val="21"/>
          <w:szCs w:val="21"/>
          <w:highlight w:val="none"/>
          <w:lang w:eastAsia="zh-CN"/>
        </w:rPr>
      </w:pPr>
    </w:p>
    <w:p>
      <w:pPr>
        <w:widowControl w:val="0"/>
        <w:spacing w:line="300" w:lineRule="auto"/>
        <w:ind w:left="480" w:leftChars="200"/>
        <w:jc w:val="both"/>
        <w:rPr>
          <w:rFonts w:ascii="宋体" w:hAnsi="宋体" w:eastAsia="宋体" w:cs="Calibri"/>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8【国家税务总局上海市金山区税务局第十三、十五税务所】</w:t>
      </w:r>
    </w:p>
    <w:p>
      <w:pPr>
        <w:widowControl w:val="0"/>
        <w:numPr>
          <w:ilvl w:val="0"/>
          <w:numId w:val="6"/>
        </w:num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物业管理（建筑物）</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4194"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2640"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国家税务总局上海市金山区税务局第十三、十五税务所</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1号楼</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总面积</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建筑面积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2117</w:t>
            </w:r>
            <w:r>
              <w:rPr>
                <w:rFonts w:hint="eastAsia" w:ascii="宋体" w:hAnsi="宋体" w:eastAsia="宋体" w:cs="Calibri"/>
                <w:color w:val="auto"/>
                <w:sz w:val="21"/>
                <w:szCs w:val="21"/>
                <w:highlight w:val="none"/>
                <w:lang w:eastAsia="zh-CN"/>
              </w:rPr>
              <w:t>㎡</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需保洁面积</w:t>
            </w:r>
          </w:p>
        </w:tc>
        <w:tc>
          <w:tcPr>
            <w:tcW w:w="4194"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lang w:eastAsia="zh-CN"/>
              </w:rPr>
              <w:t>2117</w:t>
            </w:r>
            <w:r>
              <w:rPr>
                <w:rFonts w:hint="eastAsia" w:ascii="宋体" w:hAnsi="宋体" w:eastAsia="宋体" w:cs="Calibri"/>
                <w:color w:val="auto"/>
                <w:sz w:val="21"/>
                <w:szCs w:val="21"/>
                <w:highlight w:val="none"/>
                <w:lang w:eastAsia="zh-CN"/>
              </w:rPr>
              <w:t>㎡</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门窗</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铝合金窗户、木门、玻璃门</w:t>
            </w:r>
          </w:p>
        </w:tc>
        <w:tc>
          <w:tcPr>
            <w:tcW w:w="2640" w:type="dxa"/>
            <w:vAlign w:val="center"/>
          </w:tcPr>
          <w:p>
            <w:pPr>
              <w:widowControl w:val="0"/>
              <w:spacing w:line="300" w:lineRule="auto"/>
              <w:jc w:val="both"/>
              <w:rPr>
                <w:rFonts w:ascii="宋体" w:hAnsi="宋体" w:eastAsia="宋体" w:cs="楷体"/>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瓷砖、地板</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内墙饰面材质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顶面</w:t>
            </w:r>
            <w:r>
              <w:rPr>
                <w:rFonts w:ascii="宋体" w:hAnsi="宋体" w:eastAsia="宋体" w:cs="Calibri"/>
                <w:color w:val="auto"/>
                <w:sz w:val="21"/>
                <w:szCs w:val="21"/>
                <w:highlight w:val="none"/>
              </w:rPr>
              <w:t>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乳胶漆</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外墙材质</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普通涂料</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室内</w:t>
            </w:r>
            <w:r>
              <w:rPr>
                <w:rFonts w:ascii="宋体" w:hAnsi="宋体" w:eastAsia="宋体" w:cs="Calibri"/>
                <w:color w:val="auto"/>
                <w:sz w:val="21"/>
                <w:szCs w:val="21"/>
                <w:highlight w:val="none"/>
              </w:rPr>
              <w:t>设施</w:t>
            </w:r>
            <w:r>
              <w:rPr>
                <w:rFonts w:hint="eastAsia" w:ascii="宋体" w:hAnsi="宋体" w:eastAsia="宋体" w:cs="Calibri"/>
                <w:color w:val="auto"/>
                <w:sz w:val="21"/>
                <w:szCs w:val="21"/>
                <w:highlight w:val="none"/>
              </w:rPr>
              <w:t>说明</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会议桌1张</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会议椅51把</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见“3.2.2房屋维护服务”“3.2.4保洁服务”“3.2.7会议服务”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会议室数量及总面积</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会议室数量1间，面积51㎡</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卫生间数量</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8间</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垃圾存放点</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各垃圾存放点位置</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门卫旁</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车位数</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地面车位数</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39个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车行/人行口</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车行</w:t>
            </w:r>
            <w:r>
              <w:rPr>
                <w:rFonts w:hint="eastAsia" w:ascii="宋体" w:hAnsi="宋体" w:eastAsia="宋体" w:cs="Calibri"/>
                <w:color w:val="auto"/>
                <w:sz w:val="21"/>
                <w:szCs w:val="21"/>
                <w:highlight w:val="none"/>
              </w:rPr>
              <w:t>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人行口</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1个</w:t>
            </w:r>
          </w:p>
        </w:tc>
        <w:tc>
          <w:tcPr>
            <w:tcW w:w="2640"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vAlign w:val="center"/>
          </w:tcPr>
          <w:p>
            <w:pPr>
              <w:widowControl w:val="0"/>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设施设备</w:t>
            </w: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电梯</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客梯数量1台，功率6.2kw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 “3.2.3公用设施设备维护服务”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空调</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立式单元式空调数量3台，每台功率2.1kw</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壁挂式单元式空调数量22台，每台功率1kw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消防</w:t>
            </w:r>
            <w:r>
              <w:rPr>
                <w:rFonts w:hint="eastAsia" w:ascii="宋体" w:hAnsi="宋体" w:eastAsia="宋体" w:cs="Calibri"/>
                <w:color w:val="auto"/>
                <w:sz w:val="21"/>
                <w:szCs w:val="21"/>
                <w:highlight w:val="none"/>
              </w:rPr>
              <w:t>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消火栓系统，消防设备数量31套</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安防系统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摄像头数量29个</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照明系统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公区筒灯、吸顶灯；办公室日光灯、平板灯</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158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供配电系统</w:t>
            </w:r>
          </w:p>
        </w:tc>
        <w:tc>
          <w:tcPr>
            <w:tcW w:w="419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低压柜2个、低压箱6个，总功率为98kw</w:t>
            </w:r>
          </w:p>
        </w:tc>
        <w:tc>
          <w:tcPr>
            <w:tcW w:w="2640"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见“3.2.3公用设施设备维护服务”</w:t>
            </w:r>
          </w:p>
        </w:tc>
      </w:tr>
    </w:tbl>
    <w:p>
      <w:pPr>
        <w:widowControl w:val="0"/>
        <w:spacing w:line="300" w:lineRule="auto"/>
        <w:jc w:val="both"/>
        <w:rPr>
          <w:rFonts w:ascii="宋体" w:hAnsi="宋体" w:eastAsia="宋体" w:cs="Calibri"/>
          <w:color w:val="auto"/>
          <w:sz w:val="21"/>
          <w:szCs w:val="21"/>
          <w:highlight w:val="none"/>
          <w:lang w:eastAsia="zh-CN"/>
        </w:rPr>
      </w:pPr>
    </w:p>
    <w:p>
      <w:pPr>
        <w:widowControl w:val="0"/>
        <w:numPr>
          <w:ilvl w:val="0"/>
          <w:numId w:val="6"/>
        </w:num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物业管理（室外）</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22"/>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名称</w:t>
            </w:r>
          </w:p>
        </w:tc>
        <w:tc>
          <w:tcPr>
            <w:tcW w:w="3322" w:type="dxa"/>
            <w:vAlign w:val="center"/>
          </w:tcPr>
          <w:p>
            <w:pPr>
              <w:widowControl w:val="0"/>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明细</w:t>
            </w:r>
          </w:p>
        </w:tc>
        <w:tc>
          <w:tcPr>
            <w:tcW w:w="4206"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室外面积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2600㎡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广场面积</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1000㎡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绿化</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1600㎡</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shd w:val="clear" w:color="auto" w:fill="auto"/>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消防栓</w:t>
            </w:r>
          </w:p>
        </w:tc>
        <w:tc>
          <w:tcPr>
            <w:tcW w:w="3322" w:type="dxa"/>
            <w:shd w:val="clear" w:color="auto" w:fill="auto"/>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2个</w:t>
            </w:r>
          </w:p>
        </w:tc>
        <w:tc>
          <w:tcPr>
            <w:tcW w:w="4206" w:type="dxa"/>
            <w:shd w:val="clear" w:color="auto" w:fill="auto"/>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见“3.2.4保洁服务”“3.2.3公用设施设备维护服务”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门前三包</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19㎡</w:t>
            </w:r>
          </w:p>
        </w:tc>
        <w:tc>
          <w:tcPr>
            <w:tcW w:w="4206"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监控</w:t>
            </w:r>
          </w:p>
        </w:tc>
        <w:tc>
          <w:tcPr>
            <w:tcW w:w="3322"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2个</w:t>
            </w:r>
          </w:p>
        </w:tc>
        <w:tc>
          <w:tcPr>
            <w:tcW w:w="4206"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 xml:space="preserve">见“3.2.4保洁服务” </w:t>
            </w:r>
          </w:p>
        </w:tc>
      </w:tr>
    </w:tbl>
    <w:p>
      <w:pPr>
        <w:widowControl w:val="0"/>
        <w:spacing w:line="300" w:lineRule="auto"/>
        <w:ind w:left="480" w:leftChars="200"/>
        <w:jc w:val="both"/>
        <w:rPr>
          <w:rFonts w:ascii="宋体" w:hAnsi="宋体" w:eastAsia="宋体" w:cs="Calibri"/>
          <w:color w:val="auto"/>
          <w:sz w:val="21"/>
          <w:szCs w:val="21"/>
          <w:highlight w:val="none"/>
          <w:lang w:eastAsia="zh-CN"/>
        </w:rPr>
      </w:pPr>
    </w:p>
    <w:p>
      <w:pPr>
        <w:widowControl w:val="0"/>
        <w:spacing w:line="300" w:lineRule="auto"/>
        <w:jc w:val="both"/>
        <w:rPr>
          <w:rFonts w:ascii="宋体" w:hAnsi="宋体" w:eastAsia="宋体" w:cs="宋体"/>
          <w:color w:val="auto"/>
          <w:sz w:val="21"/>
          <w:szCs w:val="21"/>
          <w:highlight w:val="none"/>
          <w:lang w:eastAsia="zh-CN"/>
        </w:rPr>
      </w:pPr>
    </w:p>
    <w:bookmarkEnd w:id="12"/>
    <w:bookmarkEnd w:id="13"/>
    <w:p>
      <w:pPr>
        <w:pStyle w:val="6"/>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1.2.2.2实施时间要求</w:t>
      </w:r>
    </w:p>
    <w:p>
      <w:pPr>
        <w:spacing w:line="30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本项目服务期限为3年，自2026年3月1日起至</w:t>
      </w:r>
      <w:r>
        <w:rPr>
          <w:rFonts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eastAsia="zh-CN"/>
        </w:rPr>
        <w:t>9</w:t>
      </w:r>
      <w:r>
        <w:rPr>
          <w:rFonts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eastAsia="zh-CN"/>
        </w:rPr>
        <w:t>2</w:t>
      </w:r>
      <w:r>
        <w:rPr>
          <w:rFonts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eastAsia="zh-CN"/>
        </w:rPr>
        <w:t>28</w:t>
      </w:r>
      <w:r>
        <w:rPr>
          <w:rFonts w:ascii="宋体" w:hAnsi="宋体" w:eastAsia="宋体" w:cs="宋体"/>
          <w:color w:val="auto"/>
          <w:sz w:val="21"/>
          <w:szCs w:val="21"/>
          <w:highlight w:val="none"/>
          <w:lang w:eastAsia="zh-CN"/>
        </w:rPr>
        <w:t>日止，采取一次招标三年沿用、分三个年度分别签订合同的方式实施。本项目中标通知书发出后，采购人与中标人按照项目招投标结果签订第一年度合同，中标人在该年服务期</w:t>
      </w:r>
      <w:r>
        <w:rPr>
          <w:rFonts w:hint="eastAsia" w:ascii="宋体" w:hAnsi="宋体" w:eastAsia="宋体" w:cs="宋体"/>
          <w:color w:val="auto"/>
          <w:sz w:val="21"/>
          <w:szCs w:val="21"/>
          <w:highlight w:val="none"/>
          <w:lang w:eastAsia="zh-CN"/>
        </w:rPr>
        <w:t>末</w:t>
      </w:r>
      <w:r>
        <w:rPr>
          <w:rFonts w:ascii="宋体" w:hAnsi="宋体" w:eastAsia="宋体" w:cs="宋体"/>
          <w:color w:val="auto"/>
          <w:sz w:val="21"/>
          <w:szCs w:val="21"/>
          <w:highlight w:val="none"/>
          <w:lang w:eastAsia="zh-CN"/>
        </w:rPr>
        <w:t>经采购人</w:t>
      </w:r>
      <w:r>
        <w:rPr>
          <w:rFonts w:hint="eastAsia" w:ascii="宋体" w:hAnsi="宋体" w:eastAsia="宋体" w:cs="宋体"/>
          <w:color w:val="auto"/>
          <w:sz w:val="21"/>
          <w:szCs w:val="21"/>
          <w:highlight w:val="none"/>
          <w:lang w:eastAsia="zh-CN"/>
        </w:rPr>
        <w:t>考核通过（</w:t>
      </w:r>
      <w:r>
        <w:rPr>
          <w:rFonts w:hint="eastAsia" w:ascii="宋体" w:hAnsi="宋体" w:eastAsia="宋体"/>
          <w:color w:val="auto"/>
          <w:sz w:val="21"/>
          <w:szCs w:val="21"/>
          <w:highlight w:val="none"/>
          <w:lang w:eastAsia="zh-CN"/>
        </w:rPr>
        <w:t>该年第1次至第3次履约验收考核最终得分均达到80分</w:t>
      </w:r>
      <w:r>
        <w:rPr>
          <w:rFonts w:hint="eastAsia" w:ascii="宋体" w:hAnsi="宋体" w:eastAsia="宋体" w:cs="宋体"/>
          <w:color w:val="auto"/>
          <w:sz w:val="21"/>
          <w:szCs w:val="21"/>
          <w:highlight w:val="none"/>
          <w:lang w:eastAsia="zh-CN"/>
        </w:rPr>
        <w:t>）的，双方续签下一年度合同，以此类推。除增加服务内容外，第二年和第三年签订的采购合同价原则上不得高于招标时所确定的第一年度合同价格。如</w:t>
      </w:r>
      <w:r>
        <w:rPr>
          <w:rFonts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eastAsia="zh-CN"/>
        </w:rPr>
        <w:t>年度考核未通过，或者第二和第三年度因服务内容变化导致合同价格变动幅度超过招标时所确定的第一年度合同金额</w:t>
      </w:r>
      <w:r>
        <w:rPr>
          <w:rFonts w:ascii="宋体" w:hAnsi="宋体" w:eastAsia="宋体" w:cs="宋体"/>
          <w:color w:val="auto"/>
          <w:sz w:val="21"/>
          <w:szCs w:val="21"/>
          <w:highlight w:val="none"/>
          <w:lang w:eastAsia="zh-CN"/>
        </w:rPr>
        <w:t>10%的，则上一年度合同到期后，双方不再续签下一年度合同，本项目招标结果也不再有效。</w:t>
      </w:r>
    </w:p>
    <w:p>
      <w:pPr>
        <w:pStyle w:val="6"/>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1.2.2.3实施地点要求</w:t>
      </w:r>
    </w:p>
    <w:p>
      <w:pPr>
        <w:spacing w:line="300" w:lineRule="auto"/>
        <w:ind w:firstLine="420" w:firstLineChars="200"/>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采购人指定地点</w:t>
      </w:r>
    </w:p>
    <w:p>
      <w:pPr>
        <w:spacing w:line="300" w:lineRule="auto"/>
        <w:jc w:val="both"/>
        <w:rPr>
          <w:rFonts w:ascii="宋体" w:hAnsi="宋体" w:eastAsia="宋体" w:cs="仿宋_GB2312"/>
          <w:color w:val="auto"/>
          <w:sz w:val="21"/>
          <w:szCs w:val="21"/>
          <w:highlight w:val="none"/>
          <w:lang w:eastAsia="zh-CN"/>
        </w:rPr>
      </w:pPr>
    </w:p>
    <w:p>
      <w:pPr>
        <w:pStyle w:val="3"/>
        <w:keepNext w:val="0"/>
        <w:spacing w:before="0" w:after="0" w:line="300" w:lineRule="auto"/>
        <w:jc w:val="center"/>
        <w:rPr>
          <w:rFonts w:ascii="宋体" w:hAnsi="宋体" w:eastAsia="宋体" w:cs="仿宋_GB2312"/>
          <w:color w:val="auto"/>
          <w:sz w:val="28"/>
          <w:szCs w:val="28"/>
          <w:highlight w:val="none"/>
          <w:lang w:eastAsia="zh-CN"/>
        </w:rPr>
      </w:pPr>
      <w:bookmarkStart w:id="14" w:name="_Toc202710756"/>
      <w:bookmarkStart w:id="15" w:name="_Toc27620"/>
      <w:r>
        <w:rPr>
          <w:rFonts w:ascii="宋体" w:hAnsi="宋体" w:eastAsia="宋体" w:cs="仿宋_GB2312"/>
          <w:color w:val="auto"/>
          <w:kern w:val="36"/>
          <w:sz w:val="28"/>
          <w:szCs w:val="28"/>
          <w:highlight w:val="none"/>
          <w:lang w:eastAsia="zh-CN"/>
        </w:rPr>
        <w:t>2投标/响应要求</w:t>
      </w:r>
      <w:bookmarkEnd w:id="14"/>
      <w:bookmarkEnd w:id="15"/>
    </w:p>
    <w:p>
      <w:pPr>
        <w:pStyle w:val="4"/>
        <w:keepNext w:val="0"/>
        <w:spacing w:before="0" w:after="0" w:line="300" w:lineRule="auto"/>
        <w:rPr>
          <w:rFonts w:ascii="宋体" w:hAnsi="宋体" w:eastAsia="宋体" w:cs="仿宋_GB2312"/>
          <w:color w:val="auto"/>
          <w:sz w:val="21"/>
          <w:szCs w:val="21"/>
          <w:highlight w:val="none"/>
          <w:lang w:eastAsia="zh-CN"/>
        </w:rPr>
      </w:pPr>
      <w:bookmarkStart w:id="16" w:name="_Toc7512"/>
      <w:bookmarkStart w:id="17" w:name="_Toc202710757"/>
      <w:r>
        <w:rPr>
          <w:rFonts w:ascii="宋体" w:hAnsi="宋体" w:eastAsia="宋体" w:cs="仿宋_GB2312"/>
          <w:i w:val="0"/>
          <w:iCs w:val="0"/>
          <w:color w:val="auto"/>
          <w:sz w:val="21"/>
          <w:szCs w:val="21"/>
          <w:highlight w:val="none"/>
          <w:lang w:eastAsia="zh-CN"/>
        </w:rPr>
        <w:t>2.1对供应商的要求</w:t>
      </w:r>
      <w:bookmarkEnd w:id="16"/>
      <w:bookmarkEnd w:id="17"/>
    </w:p>
    <w:p>
      <w:pPr>
        <w:pStyle w:val="5"/>
        <w:keepNext w:val="0"/>
        <w:spacing w:before="0" w:after="0" w:line="300" w:lineRule="auto"/>
        <w:rPr>
          <w:rFonts w:ascii="宋体" w:hAnsi="宋体" w:eastAsia="宋体" w:cs="仿宋_GB2312"/>
          <w:color w:val="auto"/>
          <w:sz w:val="21"/>
          <w:szCs w:val="21"/>
          <w:highlight w:val="none"/>
          <w:lang w:eastAsia="zh-CN"/>
        </w:rPr>
      </w:pPr>
      <w:bookmarkStart w:id="18" w:name="_Toc202710758"/>
      <w:bookmarkStart w:id="19" w:name="_Toc9847"/>
      <w:r>
        <w:rPr>
          <w:rFonts w:ascii="宋体" w:hAnsi="宋体" w:eastAsia="宋体" w:cs="仿宋_GB2312"/>
          <w:color w:val="auto"/>
          <w:sz w:val="21"/>
          <w:szCs w:val="21"/>
          <w:highlight w:val="none"/>
          <w:lang w:eastAsia="zh-CN"/>
        </w:rPr>
        <w:t>2.1.1必备资质</w:t>
      </w:r>
      <w:bookmarkEnd w:id="18"/>
      <w:bookmarkEnd w:id="19"/>
    </w:p>
    <w:p>
      <w:pPr>
        <w:pStyle w:val="6"/>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2.1.1.1投标人应遵守有关国家法律、法规和条例,具备《中华人民共和国政府采购法》第二十二条的规定和本文件中规定的条件。</w:t>
      </w:r>
    </w:p>
    <w:p>
      <w:pPr>
        <w:pStyle w:val="5"/>
        <w:keepNext w:val="0"/>
        <w:spacing w:before="0" w:after="0" w:line="300" w:lineRule="auto"/>
        <w:rPr>
          <w:rFonts w:ascii="宋体" w:hAnsi="宋体" w:eastAsia="宋体" w:cs="仿宋_GB2312"/>
          <w:color w:val="auto"/>
          <w:sz w:val="21"/>
          <w:szCs w:val="21"/>
          <w:highlight w:val="none"/>
          <w:lang w:eastAsia="zh-CN"/>
        </w:rPr>
      </w:pPr>
      <w:bookmarkStart w:id="20" w:name="_Toc202710759"/>
      <w:bookmarkStart w:id="21" w:name="_Toc4826"/>
      <w:r>
        <w:rPr>
          <w:rFonts w:ascii="宋体" w:hAnsi="宋体" w:eastAsia="宋体" w:cs="仿宋_GB2312"/>
          <w:color w:val="auto"/>
          <w:sz w:val="21"/>
          <w:szCs w:val="21"/>
          <w:highlight w:val="none"/>
          <w:lang w:eastAsia="zh-CN"/>
        </w:rPr>
        <w:t>2.1.2优选资质/优选指标</w:t>
      </w:r>
      <w:bookmarkEnd w:id="20"/>
      <w:bookmarkEnd w:id="21"/>
    </w:p>
    <w:p>
      <w:pPr>
        <w:pStyle w:val="6"/>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2.1.2.1相关证书</w:t>
      </w:r>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供应商具有质量管理体系认证（GB/T 19001认证）、职业健康安全管理体系认证（GB/T 45001认证）、环境管理体系认证（GB/T 24001认证），并在认证有效期内的优先考虑。</w:t>
      </w:r>
    </w:p>
    <w:p>
      <w:pPr>
        <w:pStyle w:val="6"/>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2.1.2.2成功案例</w:t>
      </w:r>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供应商具有近三年非住宅类物业项目业绩的优先考虑。</w:t>
      </w:r>
    </w:p>
    <w:p>
      <w:pPr>
        <w:pStyle w:val="5"/>
        <w:keepNext w:val="0"/>
        <w:spacing w:before="0" w:after="0" w:line="300" w:lineRule="auto"/>
        <w:rPr>
          <w:rFonts w:ascii="宋体" w:hAnsi="宋体" w:eastAsia="宋体" w:cs="仿宋_GB2312"/>
          <w:color w:val="auto"/>
          <w:sz w:val="21"/>
          <w:szCs w:val="21"/>
          <w:highlight w:val="none"/>
          <w:lang w:eastAsia="zh-CN"/>
        </w:rPr>
      </w:pPr>
      <w:bookmarkStart w:id="22" w:name="_Toc21982"/>
      <w:bookmarkStart w:id="23" w:name="_Toc202710760"/>
      <w:r>
        <w:rPr>
          <w:rFonts w:ascii="宋体" w:hAnsi="宋体" w:eastAsia="宋体" w:cs="仿宋_GB2312"/>
          <w:color w:val="auto"/>
          <w:sz w:val="21"/>
          <w:szCs w:val="21"/>
          <w:highlight w:val="none"/>
          <w:lang w:eastAsia="zh-CN"/>
        </w:rPr>
        <w:t>2.1.3是否允许联合体</w:t>
      </w:r>
      <w:bookmarkEnd w:id="22"/>
      <w:bookmarkEnd w:id="23"/>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否</w:t>
      </w:r>
    </w:p>
    <w:p>
      <w:pPr>
        <w:pStyle w:val="5"/>
        <w:keepNext w:val="0"/>
        <w:spacing w:before="0" w:after="0" w:line="300" w:lineRule="auto"/>
        <w:rPr>
          <w:rFonts w:ascii="宋体" w:hAnsi="宋体" w:eastAsia="宋体" w:cs="仿宋_GB2312"/>
          <w:color w:val="auto"/>
          <w:sz w:val="21"/>
          <w:szCs w:val="21"/>
          <w:highlight w:val="none"/>
          <w:lang w:eastAsia="zh-CN"/>
        </w:rPr>
      </w:pPr>
      <w:bookmarkStart w:id="24" w:name="_Toc202710761"/>
      <w:bookmarkStart w:id="25" w:name="_Toc22012"/>
      <w:r>
        <w:rPr>
          <w:rFonts w:ascii="宋体" w:hAnsi="宋体" w:eastAsia="宋体" w:cs="仿宋_GB2312"/>
          <w:color w:val="auto"/>
          <w:sz w:val="21"/>
          <w:szCs w:val="21"/>
          <w:highlight w:val="none"/>
          <w:lang w:eastAsia="zh-CN"/>
        </w:rPr>
        <w:t>2.1.4是否专门面向中小企业</w:t>
      </w:r>
      <w:bookmarkEnd w:id="24"/>
      <w:bookmarkEnd w:id="25"/>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本项目面向大、中、小、微型等各类供应商采购。</w:t>
      </w:r>
    </w:p>
    <w:p>
      <w:pPr>
        <w:pStyle w:val="4"/>
        <w:keepNext w:val="0"/>
        <w:spacing w:before="0" w:after="0" w:line="300" w:lineRule="auto"/>
        <w:rPr>
          <w:rFonts w:ascii="宋体" w:hAnsi="宋体" w:eastAsia="宋体" w:cs="仿宋_GB2312"/>
          <w:color w:val="auto"/>
          <w:sz w:val="21"/>
          <w:szCs w:val="21"/>
          <w:highlight w:val="none"/>
          <w:lang w:eastAsia="zh-CN"/>
        </w:rPr>
      </w:pPr>
      <w:bookmarkStart w:id="26" w:name="_Toc202710763"/>
      <w:bookmarkStart w:id="27" w:name="_Toc5395"/>
      <w:r>
        <w:rPr>
          <w:rFonts w:ascii="宋体" w:hAnsi="宋体" w:eastAsia="宋体" w:cs="仿宋_GB2312"/>
          <w:i w:val="0"/>
          <w:iCs w:val="0"/>
          <w:color w:val="auto"/>
          <w:sz w:val="21"/>
          <w:szCs w:val="21"/>
          <w:highlight w:val="none"/>
          <w:lang w:eastAsia="zh-CN"/>
        </w:rPr>
        <w:t>2.2技术部分投标/响应内容</w:t>
      </w:r>
      <w:bookmarkEnd w:id="26"/>
      <w:bookmarkEnd w:id="27"/>
    </w:p>
    <w:p>
      <w:pPr>
        <w:pStyle w:val="5"/>
        <w:keepNext w:val="0"/>
        <w:spacing w:before="0" w:after="0" w:line="300" w:lineRule="auto"/>
        <w:rPr>
          <w:rFonts w:ascii="宋体" w:hAnsi="宋体" w:eastAsia="宋体" w:cs="仿宋_GB2312"/>
          <w:color w:val="auto"/>
          <w:sz w:val="21"/>
          <w:szCs w:val="21"/>
          <w:highlight w:val="none"/>
          <w:lang w:eastAsia="zh-CN"/>
        </w:rPr>
      </w:pPr>
      <w:bookmarkStart w:id="28" w:name="_Toc202710764"/>
      <w:bookmarkStart w:id="29" w:name="_Toc2215"/>
      <w:r>
        <w:rPr>
          <w:rFonts w:ascii="宋体" w:hAnsi="宋体" w:eastAsia="宋体" w:cs="仿宋_GB2312"/>
          <w:color w:val="auto"/>
          <w:sz w:val="21"/>
          <w:szCs w:val="21"/>
          <w:highlight w:val="none"/>
          <w:lang w:eastAsia="zh-CN"/>
        </w:rPr>
        <w:t>2.2.1投标/响应方案要求</w:t>
      </w:r>
      <w:bookmarkEnd w:id="28"/>
      <w:bookmarkEnd w:id="29"/>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投标人对本项目总体需求的理解。</w:t>
      </w:r>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投标人针对本项目的服务方案，至少包含下列内容：</w:t>
      </w:r>
      <w:r>
        <w:rPr>
          <w:rFonts w:ascii="宋体" w:hAnsi="宋体" w:eastAsia="宋体" w:cs="仿宋_GB2312"/>
          <w:color w:val="auto"/>
          <w:sz w:val="21"/>
          <w:szCs w:val="21"/>
          <w:highlight w:val="none"/>
          <w:lang w:eastAsia="zh-CN"/>
        </w:rPr>
        <w:t>基本服务、房屋维护服务、公用设施设备维护服务、保洁服务、绿化服务、保安服务、会议服务等。</w:t>
      </w:r>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投标人针对本项目的项目经理和主管人员配置情况、服务人员配置承诺。</w:t>
      </w:r>
    </w:p>
    <w:p>
      <w:pPr>
        <w:spacing w:line="300" w:lineRule="auto"/>
        <w:jc w:val="both"/>
        <w:rPr>
          <w:rFonts w:ascii="宋体" w:hAnsi="宋体" w:eastAsia="宋体" w:cs="仿宋_GB2312"/>
          <w:color w:val="auto"/>
          <w:sz w:val="21"/>
          <w:szCs w:val="21"/>
          <w:highlight w:val="none"/>
          <w:lang w:eastAsia="zh-CN"/>
        </w:rPr>
      </w:pPr>
    </w:p>
    <w:p>
      <w:pPr>
        <w:pStyle w:val="3"/>
        <w:keepNext w:val="0"/>
        <w:spacing w:before="0" w:after="0" w:line="300" w:lineRule="auto"/>
        <w:jc w:val="center"/>
        <w:rPr>
          <w:rFonts w:ascii="宋体" w:hAnsi="宋体" w:eastAsia="宋体" w:cs="仿宋_GB2312"/>
          <w:color w:val="auto"/>
          <w:sz w:val="28"/>
          <w:szCs w:val="28"/>
          <w:highlight w:val="none"/>
          <w:lang w:eastAsia="zh-CN"/>
        </w:rPr>
      </w:pPr>
      <w:bookmarkStart w:id="30" w:name="_Toc202710765"/>
      <w:bookmarkStart w:id="31" w:name="_Toc3534"/>
      <w:r>
        <w:rPr>
          <w:rFonts w:ascii="宋体" w:hAnsi="宋体" w:eastAsia="宋体" w:cs="仿宋_GB2312"/>
          <w:color w:val="auto"/>
          <w:kern w:val="36"/>
          <w:sz w:val="28"/>
          <w:szCs w:val="28"/>
          <w:highlight w:val="none"/>
          <w:lang w:eastAsia="zh-CN"/>
        </w:rPr>
        <w:t>3项目需求</w:t>
      </w:r>
      <w:bookmarkEnd w:id="30"/>
      <w:bookmarkEnd w:id="31"/>
    </w:p>
    <w:p>
      <w:pPr>
        <w:pStyle w:val="4"/>
        <w:keepNext w:val="0"/>
        <w:spacing w:before="0" w:after="0" w:line="300" w:lineRule="auto"/>
        <w:rPr>
          <w:rFonts w:ascii="宋体" w:hAnsi="宋体" w:eastAsia="宋体" w:cs="仿宋_GB2312"/>
          <w:color w:val="auto"/>
          <w:sz w:val="21"/>
          <w:szCs w:val="21"/>
          <w:highlight w:val="none"/>
          <w:lang w:eastAsia="zh-CN"/>
        </w:rPr>
      </w:pPr>
      <w:bookmarkStart w:id="32" w:name="_Toc202710766"/>
      <w:bookmarkStart w:id="33" w:name="_Toc18274"/>
      <w:r>
        <w:rPr>
          <w:rFonts w:ascii="宋体" w:hAnsi="宋体" w:eastAsia="宋体" w:cs="仿宋_GB2312"/>
          <w:i w:val="0"/>
          <w:iCs w:val="0"/>
          <w:color w:val="auto"/>
          <w:sz w:val="21"/>
          <w:szCs w:val="21"/>
          <w:highlight w:val="none"/>
          <w:lang w:eastAsia="zh-CN"/>
        </w:rPr>
        <w:t>3.1总体要求</w:t>
      </w:r>
      <w:bookmarkEnd w:id="32"/>
      <w:bookmarkEnd w:id="33"/>
    </w:p>
    <w:p>
      <w:pPr>
        <w:spacing w:line="300" w:lineRule="auto"/>
        <w:ind w:firstLine="420" w:firstLineChars="200"/>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物业管理服务包括基本服务、房屋维护服务、公用设施设备维护服务、保洁服务、绿化服务、保安服务、会议服务等。</w:t>
      </w:r>
    </w:p>
    <w:p>
      <w:pPr>
        <w:pStyle w:val="4"/>
        <w:keepNext w:val="0"/>
        <w:spacing w:before="0" w:after="0" w:line="300" w:lineRule="auto"/>
        <w:rPr>
          <w:rFonts w:ascii="宋体" w:hAnsi="宋体" w:eastAsia="宋体" w:cs="仿宋_GB2312"/>
          <w:color w:val="auto"/>
          <w:sz w:val="21"/>
          <w:szCs w:val="21"/>
          <w:highlight w:val="none"/>
          <w:lang w:eastAsia="zh-CN"/>
        </w:rPr>
      </w:pPr>
      <w:bookmarkStart w:id="34" w:name="_Toc202710767"/>
      <w:bookmarkStart w:id="35" w:name="_Toc17787"/>
      <w:r>
        <w:rPr>
          <w:rFonts w:ascii="宋体" w:hAnsi="宋体" w:eastAsia="宋体" w:cs="仿宋_GB2312"/>
          <w:i w:val="0"/>
          <w:iCs w:val="0"/>
          <w:color w:val="auto"/>
          <w:sz w:val="21"/>
          <w:szCs w:val="21"/>
          <w:highlight w:val="none"/>
          <w:lang w:eastAsia="zh-CN"/>
        </w:rPr>
        <w:t>3.2具体要求</w:t>
      </w:r>
      <w:bookmarkEnd w:id="34"/>
      <w:bookmarkEnd w:id="35"/>
    </w:p>
    <w:p>
      <w:pPr>
        <w:widowControl w:val="0"/>
        <w:spacing w:line="300" w:lineRule="auto"/>
        <w:ind w:firstLine="422" w:firstLineChars="200"/>
        <w:jc w:val="both"/>
        <w:rPr>
          <w:rFonts w:ascii="宋体" w:hAnsi="宋体" w:eastAsia="宋体" w:cs="Calibri"/>
          <w:b/>
          <w:bCs/>
          <w:color w:val="auto"/>
          <w:sz w:val="21"/>
          <w:szCs w:val="21"/>
          <w:highlight w:val="none"/>
        </w:rPr>
      </w:pPr>
      <w:bookmarkStart w:id="36" w:name="_Toc26485"/>
      <w:bookmarkStart w:id="37" w:name="_Toc26156"/>
      <w:bookmarkStart w:id="38" w:name="_Toc10498"/>
      <w:r>
        <w:rPr>
          <w:rFonts w:hint="eastAsia" w:ascii="宋体" w:hAnsi="宋体" w:eastAsia="宋体" w:cs="Calibri"/>
          <w:b/>
          <w:bCs/>
          <w:color w:val="auto"/>
          <w:sz w:val="21"/>
          <w:szCs w:val="21"/>
          <w:highlight w:val="none"/>
        </w:rPr>
        <w:t>3.</w:t>
      </w:r>
      <w:bookmarkEnd w:id="36"/>
      <w:bookmarkEnd w:id="37"/>
      <w:bookmarkEnd w:id="38"/>
      <w:r>
        <w:rPr>
          <w:rFonts w:hint="eastAsia" w:ascii="宋体" w:hAnsi="宋体" w:eastAsia="宋体" w:cs="Calibri"/>
          <w:b/>
          <w:bCs/>
          <w:color w:val="auto"/>
          <w:sz w:val="21"/>
          <w:szCs w:val="21"/>
          <w:highlight w:val="none"/>
          <w:lang w:eastAsia="zh-CN"/>
        </w:rPr>
        <w:t>2.</w:t>
      </w:r>
      <w:r>
        <w:rPr>
          <w:rFonts w:hint="eastAsia" w:ascii="宋体" w:hAnsi="宋体" w:eastAsia="宋体" w:cs="Calibri"/>
          <w:b/>
          <w:bCs/>
          <w:color w:val="auto"/>
          <w:sz w:val="21"/>
          <w:szCs w:val="21"/>
          <w:highlight w:val="none"/>
        </w:rPr>
        <w:t>1基本服务</w:t>
      </w:r>
    </w:p>
    <w:tbl>
      <w:tblPr>
        <w:tblStyle w:val="16"/>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131"/>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Align w:val="center"/>
          </w:tcPr>
          <w:p>
            <w:pPr>
              <w:spacing w:line="30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131" w:type="dxa"/>
            <w:vAlign w:val="center"/>
          </w:tcPr>
          <w:p>
            <w:pPr>
              <w:spacing w:line="30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w:t>
            </w:r>
          </w:p>
        </w:tc>
        <w:tc>
          <w:tcPr>
            <w:tcW w:w="6231" w:type="dxa"/>
            <w:vAlign w:val="center"/>
          </w:tcPr>
          <w:p>
            <w:pPr>
              <w:spacing w:line="30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1" w:type="dxa"/>
            <w:vMerge w:val="restart"/>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目标与责任</w:t>
            </w: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（2）代表采购人与物业管理所涉及的各有关方面交涉，维护采购人的合法利益，并提醒采购人遵守与物业管理有关的法规政策，履行应尽的责任和义务。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（3）执行重大事项报告制度，遇到险情和重大事故，或对违规行为劝阻无效时，立即向上级和当地行政主管部门报告，并及时通知采购人。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（4）对外与各相关部门建立良好联系，在有事情况下能够获得及时支持与帮助。对内定期了解和满足采购人需求，提高服务管理水准。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31" w:type="dxa"/>
            <w:vMerge w:val="restart"/>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服务人员要求</w:t>
            </w: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widowControl w:val="0"/>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widowControl w:val="0"/>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widowControl w:val="0"/>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widowControl w:val="0"/>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widowControl w:val="0"/>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widowControl w:val="0"/>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（4）如采购人认为服务人员不适应岗位要求或存在其他影响工作的，可要求供应商进行调换。如因供应商原因对服务人员进行调换，应当经采购人同意，更换比例不得超过本项目服务人员总数的20%。</w:t>
            </w:r>
            <w:r>
              <w:rPr>
                <w:rFonts w:hint="eastAsia" w:ascii="宋体" w:hAnsi="宋体" w:eastAsia="宋体" w:cs="宋体"/>
                <w:color w:val="auto"/>
                <w:sz w:val="21"/>
                <w:szCs w:val="21"/>
                <w:highlight w:val="none"/>
              </w:rPr>
              <w:t>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widowControl w:val="0"/>
              <w:spacing w:line="300" w:lineRule="auto"/>
              <w:jc w:val="center"/>
              <w:rPr>
                <w:rFonts w:ascii="宋体" w:hAnsi="宋体" w:eastAsia="宋体" w:cs="宋体"/>
                <w:color w:val="auto"/>
                <w:sz w:val="21"/>
                <w:szCs w:val="21"/>
                <w:highlight w:val="none"/>
              </w:rPr>
            </w:pPr>
          </w:p>
        </w:tc>
        <w:tc>
          <w:tcPr>
            <w:tcW w:w="2131" w:type="dxa"/>
            <w:vMerge w:val="continue"/>
            <w:vAlign w:val="center"/>
          </w:tcPr>
          <w:p>
            <w:pPr>
              <w:widowControl w:val="0"/>
              <w:spacing w:line="300" w:lineRule="auto"/>
              <w:jc w:val="both"/>
              <w:rPr>
                <w:rFonts w:ascii="宋体" w:hAnsi="宋体" w:eastAsia="宋体" w:cs="宋体"/>
                <w:color w:val="auto"/>
                <w:sz w:val="21"/>
                <w:szCs w:val="21"/>
                <w:highlight w:val="none"/>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（5）着装分类统一，佩戴标识。仪容整洁、姿态端正、举止文明。用语文明礼貌，态度温和耐心。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31" w:type="dxa"/>
            <w:vMerge w:val="restart"/>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保密和思想政治教育</w:t>
            </w: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（1）建立保密管理制度。制度内容应当包括但不限于：①明确重点要害岗位保密职责。②对涉密工作岗位的保密要求。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widowControl w:val="0"/>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widowControl w:val="0"/>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（2）根据采购人要求与涉密工作岗位的服务人员签订保密协议。保密协议应当向采购人报备。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widowControl w:val="0"/>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widowControl w:val="0"/>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widowControl w:val="0"/>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widowControl w:val="0"/>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（4）发现服务人员违法违规或重大过失，及时报告采购人，并采取必要补救措施。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31" w:type="dxa"/>
            <w:vMerge w:val="restart"/>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档案管理</w:t>
            </w: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安服务：监控记录、突发事件演习与处置记录等。⑤保洁服务：工作日志、清洁检查表、用品清单、客户反馈表等。⑥绿化服务：绿化总平面图、清洁整改记录、消杀记录等。⑦其他：客户信息、财务明细、合同协议、信报信息登记、大件物品进出登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（3）遵守采购人的信息、档案资料保密要求，未经许可，不得将建筑物平面图等资料转作其他用途或向其他单位、个人提供。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2131" w:type="dxa"/>
            <w:vMerge w:val="restart"/>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服务改进</w:t>
            </w: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（3）需整改问题及时整改完成。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2131" w:type="dxa"/>
            <w:vMerge w:val="restart"/>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重大活动后勤保障</w:t>
            </w: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p>
        </w:tc>
        <w:tc>
          <w:tcPr>
            <w:tcW w:w="2131" w:type="dxa"/>
            <w:vMerge w:val="restart"/>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应急保障预案</w:t>
            </w: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（3）应急预案的培训和演练。应急预案定期培训和演练，组织相关岗位每半年至少开展一次专项应急预案演练；留存培训及演练记录和影像资料，并对预案进行评价，确保与实际情况相结合。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（4）应急物资的管理。根据专项预案中的应对需要、必要的应急物资，建立清单或台账，并由专人定期对应急物资进行检查，如有应急物资不足，及时通知采购人购置齐全，确保能够随时正常使用。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2131" w:type="dxa"/>
            <w:vMerge w:val="restart"/>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服务方案及工作制度</w:t>
            </w: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（1）制定工作制度，主要包括：人员录用制度、档案管理制度、物业服务管理制度、公用设施设备相关管理制度等。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（2）制定项目实施方案，主要包括：交接方案、人员培训方案、人员稳定性方案、保密方案等。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（3）制定物业服务方案，主要包括：房屋维护服务方案、公用设施设备维护服务方案、绿化服务方案、保洁服务方案、保安服务方案、会议服务方案等。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hint="eastAsia" w:ascii="宋体" w:hAnsi="宋体" w:eastAsia="宋体" w:cs="宋体"/>
                <w:color w:val="auto"/>
                <w:sz w:val="21"/>
                <w:szCs w:val="21"/>
                <w:highlight w:val="none"/>
                <w:lang w:eastAsia="zh-CN"/>
              </w:rPr>
              <w:t>4）迅速熟悉管理区域情况，一旦入驻即能立刻提供业主所要求的管理与服务，处理各类日常事务和应急事务。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w:t>
            </w:r>
          </w:p>
        </w:tc>
        <w:tc>
          <w:tcPr>
            <w:tcW w:w="2131" w:type="dxa"/>
            <w:vMerge w:val="restart"/>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信报服务</w:t>
            </w: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（1）对邮件、包裹和挂号信等进行正确分理、安全检查和防疫卫生检查。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（2）及时投送或通知收件人领取。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（3）大件物品出入向采购人报告，待采购人确认无误后放行。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（4）报刊、杂志、信件派发及相关服务及时、准确、有记录。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lang w:eastAsia="zh-CN"/>
              </w:rPr>
              <w:t>5）严格遵守保密制度及相关要求。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2131" w:type="dxa"/>
            <w:vMerge w:val="restart"/>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服务热线及紧急维修</w:t>
            </w: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（1）设置24小时报修服务热线。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（2）紧急维修应当15分钟内到达现场，不间断维修直至修复。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p>
        </w:tc>
        <w:tc>
          <w:tcPr>
            <w:tcW w:w="2131" w:type="dxa"/>
            <w:vMerge w:val="restart"/>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楼内搬运服务</w:t>
            </w: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（1）提供饮用水搬运等服务。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vAlign w:val="center"/>
          </w:tcPr>
          <w:p>
            <w:pPr>
              <w:spacing w:line="300" w:lineRule="auto"/>
              <w:jc w:val="center"/>
              <w:rPr>
                <w:rFonts w:ascii="宋体" w:hAnsi="宋体" w:eastAsia="宋体" w:cs="宋体"/>
                <w:color w:val="auto"/>
                <w:sz w:val="21"/>
                <w:szCs w:val="21"/>
                <w:highlight w:val="none"/>
                <w:lang w:eastAsia="zh-CN"/>
              </w:rPr>
            </w:pPr>
          </w:p>
        </w:tc>
        <w:tc>
          <w:tcPr>
            <w:tcW w:w="2131" w:type="dxa"/>
            <w:vMerge w:val="continue"/>
            <w:vAlign w:val="center"/>
          </w:tcPr>
          <w:p>
            <w:pPr>
              <w:spacing w:line="300" w:lineRule="auto"/>
              <w:jc w:val="both"/>
              <w:rPr>
                <w:rFonts w:ascii="宋体" w:hAnsi="宋体" w:eastAsia="宋体" w:cs="宋体"/>
                <w:color w:val="auto"/>
                <w:sz w:val="21"/>
                <w:szCs w:val="21"/>
                <w:highlight w:val="none"/>
                <w:lang w:eastAsia="zh-CN"/>
              </w:rPr>
            </w:pPr>
          </w:p>
        </w:tc>
        <w:tc>
          <w:tcPr>
            <w:tcW w:w="6231" w:type="dxa"/>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（2）提供办公室内桌、椅等小件、少量家具调整移位服务。</w:t>
            </w:r>
          </w:p>
        </w:tc>
      </w:tr>
    </w:tbl>
    <w:p>
      <w:pPr>
        <w:pStyle w:val="2"/>
        <w:spacing w:line="300" w:lineRule="auto"/>
        <w:jc w:val="both"/>
        <w:rPr>
          <w:rFonts w:hAnsi="宋体"/>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3.</w:t>
      </w:r>
      <w:r>
        <w:rPr>
          <w:rFonts w:hint="eastAsia" w:ascii="宋体" w:hAnsi="宋体" w:eastAsia="宋体" w:cs="Calibri"/>
          <w:b/>
          <w:bCs/>
          <w:color w:val="auto"/>
          <w:sz w:val="21"/>
          <w:szCs w:val="21"/>
          <w:highlight w:val="none"/>
          <w:lang w:eastAsia="zh-CN"/>
        </w:rPr>
        <w:t>2.</w:t>
      </w:r>
      <w:r>
        <w:rPr>
          <w:rFonts w:hint="eastAsia" w:ascii="宋体" w:hAnsi="宋体" w:eastAsia="宋体" w:cs="Calibri"/>
          <w:b/>
          <w:bCs/>
          <w:color w:val="auto"/>
          <w:sz w:val="21"/>
          <w:szCs w:val="21"/>
          <w:highlight w:val="none"/>
        </w:rPr>
        <w:t>2</w:t>
      </w:r>
      <w:r>
        <w:rPr>
          <w:rFonts w:ascii="宋体" w:hAnsi="宋体" w:eastAsia="宋体" w:cs="Calibri"/>
          <w:b/>
          <w:bCs/>
          <w:color w:val="auto"/>
          <w:sz w:val="21"/>
          <w:szCs w:val="21"/>
          <w:highlight w:val="none"/>
        </w:rPr>
        <w:t>房屋维护服务</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142"/>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序号</w:t>
            </w:r>
          </w:p>
        </w:tc>
        <w:tc>
          <w:tcPr>
            <w:tcW w:w="2142" w:type="dxa"/>
            <w:vAlign w:val="center"/>
          </w:tcPr>
          <w:p>
            <w:pPr>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服务内容</w:t>
            </w:r>
          </w:p>
        </w:tc>
        <w:tc>
          <w:tcPr>
            <w:tcW w:w="6229"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1</w:t>
            </w:r>
          </w:p>
        </w:tc>
        <w:tc>
          <w:tcPr>
            <w:tcW w:w="2142" w:type="dxa"/>
            <w:vMerge w:val="restart"/>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主体结构、围护结构、部品部件</w:t>
            </w: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w:t>
            </w:r>
            <w:r>
              <w:rPr>
                <w:rFonts w:ascii="宋体" w:hAnsi="宋体" w:eastAsia="宋体" w:cs="Calibri"/>
                <w:color w:val="auto"/>
                <w:sz w:val="21"/>
                <w:szCs w:val="21"/>
                <w:highlight w:val="none"/>
                <w:lang w:eastAsia="zh-CN"/>
              </w:rPr>
              <w:t>每季度至少</w:t>
            </w:r>
            <w:r>
              <w:rPr>
                <w:rFonts w:hint="eastAsia" w:ascii="宋体" w:hAnsi="宋体" w:eastAsia="宋体" w:cs="Calibri"/>
                <w:color w:val="auto"/>
                <w:sz w:val="21"/>
                <w:szCs w:val="21"/>
                <w:highlight w:val="none"/>
                <w:lang w:eastAsia="zh-CN"/>
              </w:rPr>
              <w:t>开展</w:t>
            </w:r>
            <w:r>
              <w:rPr>
                <w:rFonts w:ascii="宋体" w:hAnsi="宋体" w:eastAsia="宋体" w:cs="Calibri"/>
                <w:color w:val="auto"/>
                <w:sz w:val="21"/>
                <w:szCs w:val="21"/>
                <w:highlight w:val="none"/>
                <w:lang w:eastAsia="zh-CN"/>
              </w:rPr>
              <w:t>1次</w:t>
            </w:r>
            <w:r>
              <w:rPr>
                <w:rFonts w:hint="eastAsia" w:ascii="宋体" w:hAnsi="宋体" w:eastAsia="宋体" w:cs="Calibri"/>
                <w:color w:val="auto"/>
                <w:sz w:val="21"/>
                <w:szCs w:val="21"/>
                <w:highlight w:val="none"/>
                <w:lang w:eastAsia="zh-CN"/>
              </w:rPr>
              <w:t>房屋结构安全</w:t>
            </w:r>
            <w:r>
              <w:rPr>
                <w:rFonts w:ascii="宋体" w:hAnsi="宋体" w:eastAsia="宋体" w:cs="Calibri"/>
                <w:color w:val="auto"/>
                <w:sz w:val="21"/>
                <w:szCs w:val="21"/>
                <w:highlight w:val="none"/>
                <w:lang w:eastAsia="zh-CN"/>
              </w:rPr>
              <w:t>巡视</w:t>
            </w:r>
            <w:r>
              <w:rPr>
                <w:rFonts w:hint="eastAsia" w:ascii="宋体" w:hAnsi="宋体" w:eastAsia="宋体" w:cs="Calibri"/>
                <w:color w:val="auto"/>
                <w:sz w:val="21"/>
                <w:szCs w:val="21"/>
                <w:highlight w:val="none"/>
                <w:lang w:eastAsia="zh-CN"/>
              </w:rPr>
              <w:t>，</w:t>
            </w:r>
            <w:r>
              <w:rPr>
                <w:rFonts w:ascii="宋体" w:hAnsi="宋体" w:eastAsia="宋体" w:cs="Calibri"/>
                <w:color w:val="auto"/>
                <w:sz w:val="21"/>
                <w:szCs w:val="21"/>
                <w:highlight w:val="none"/>
                <w:lang w:eastAsia="zh-CN"/>
              </w:rPr>
              <w:t>发现外观有变形、开裂等现象</w:t>
            </w:r>
            <w:r>
              <w:rPr>
                <w:rFonts w:hint="eastAsia" w:ascii="宋体" w:hAnsi="宋体" w:eastAsia="宋体" w:cs="Calibri"/>
                <w:color w:val="auto"/>
                <w:sz w:val="21"/>
                <w:szCs w:val="21"/>
                <w:highlight w:val="none"/>
                <w:lang w:eastAsia="zh-CN"/>
              </w:rPr>
              <w:t>，及时</w:t>
            </w:r>
            <w:r>
              <w:rPr>
                <w:rFonts w:ascii="宋体" w:hAnsi="宋体" w:eastAsia="宋体" w:cs="Calibri"/>
                <w:color w:val="auto"/>
                <w:sz w:val="21"/>
                <w:szCs w:val="21"/>
                <w:highlight w:val="none"/>
                <w:lang w:eastAsia="zh-CN"/>
              </w:rPr>
              <w:t>建议</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w:t>
            </w:r>
            <w:r>
              <w:rPr>
                <w:rFonts w:ascii="宋体" w:hAnsi="宋体" w:eastAsia="宋体" w:cs="Calibri"/>
                <w:color w:val="auto"/>
                <w:sz w:val="21"/>
                <w:szCs w:val="21"/>
                <w:highlight w:val="none"/>
                <w:lang w:eastAsia="zh-CN"/>
              </w:rPr>
              <w:t>申请房屋安全鉴定</w:t>
            </w:r>
            <w:r>
              <w:rPr>
                <w:rFonts w:hint="eastAsia" w:ascii="宋体" w:hAnsi="宋体" w:eastAsia="宋体" w:cs="Calibri"/>
                <w:color w:val="auto"/>
                <w:sz w:val="21"/>
                <w:szCs w:val="21"/>
                <w:highlight w:val="none"/>
                <w:lang w:eastAsia="zh-CN"/>
              </w:rPr>
              <w:t>，</w:t>
            </w:r>
            <w:r>
              <w:rPr>
                <w:rFonts w:ascii="宋体" w:hAnsi="宋体" w:eastAsia="宋体" w:cs="Calibri"/>
                <w:color w:val="auto"/>
                <w:sz w:val="21"/>
                <w:szCs w:val="21"/>
                <w:highlight w:val="none"/>
                <w:lang w:eastAsia="zh-CN"/>
              </w:rPr>
              <w:t>并采取必要的避险和防护措施</w:t>
            </w:r>
            <w:r>
              <w:rPr>
                <w:rFonts w:hint="eastAsia" w:ascii="宋体" w:hAnsi="宋体" w:eastAsia="宋体" w:cs="Calibr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（2）每季度至少开展1</w:t>
            </w:r>
            <w:r>
              <w:rPr>
                <w:rFonts w:ascii="宋体" w:hAnsi="宋体" w:eastAsia="宋体" w:cs="Calibri"/>
                <w:color w:val="auto"/>
                <w:sz w:val="21"/>
                <w:szCs w:val="21"/>
                <w:highlight w:val="none"/>
                <w:lang w:eastAsia="zh-CN"/>
              </w:rPr>
              <w:t>次外墙贴饰面、幕墙玻璃、雨篷、散水、空调室外机支撑构件等</w:t>
            </w:r>
            <w:r>
              <w:rPr>
                <w:rFonts w:hint="eastAsia" w:ascii="宋体" w:hAnsi="宋体" w:eastAsia="宋体" w:cs="Calibri"/>
                <w:color w:val="auto"/>
                <w:sz w:val="21"/>
                <w:szCs w:val="21"/>
                <w:highlight w:val="none"/>
                <w:lang w:eastAsia="zh-CN"/>
              </w:rPr>
              <w:t>检查，发现破损，及时向</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人报告，按</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人要求出具维修方案，待</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人同意后按维修方案实施维修。如</w:t>
            </w:r>
            <w:r>
              <w:rPr>
                <w:rFonts w:hint="eastAsia" w:ascii="宋体" w:hAnsi="宋体" w:eastAsia="宋体"/>
                <w:color w:val="auto"/>
                <w:sz w:val="21"/>
                <w:szCs w:val="21"/>
                <w:highlight w:val="none"/>
                <w:lang w:eastAsia="zh-CN"/>
              </w:rPr>
              <w:t>单次</w:t>
            </w:r>
            <w:r>
              <w:rPr>
                <w:rFonts w:hint="eastAsia" w:ascii="宋体" w:hAnsi="宋体" w:eastAsia="宋体" w:cs="Calibri"/>
                <w:color w:val="auto"/>
                <w:sz w:val="21"/>
                <w:szCs w:val="21"/>
                <w:highlight w:val="none"/>
                <w:lang w:eastAsia="zh-CN"/>
              </w:rPr>
              <w:t>维修</w:t>
            </w:r>
            <w:r>
              <w:rPr>
                <w:rFonts w:hint="eastAsia" w:ascii="宋体" w:hAnsi="宋体" w:eastAsia="宋体"/>
                <w:color w:val="auto"/>
                <w:sz w:val="21"/>
                <w:szCs w:val="21"/>
                <w:highlight w:val="none"/>
                <w:lang w:eastAsia="zh-CN"/>
              </w:rPr>
              <w:t>金额</w:t>
            </w:r>
            <w:r>
              <w:rPr>
                <w:rFonts w:hint="eastAsia" w:ascii="宋体" w:hAnsi="宋体" w:eastAsia="宋体" w:cs="宋体"/>
                <w:color w:val="auto"/>
                <w:kern w:val="2"/>
                <w:sz w:val="21"/>
                <w:szCs w:val="21"/>
                <w:highlight w:val="none"/>
                <w:lang w:eastAsia="zh-CN"/>
              </w:rPr>
              <w:t>超过</w:t>
            </w:r>
            <w:r>
              <w:rPr>
                <w:rFonts w:ascii="宋体" w:hAnsi="宋体" w:eastAsia="宋体" w:cs="Calibri"/>
                <w:color w:val="auto"/>
                <w:sz w:val="21"/>
                <w:szCs w:val="21"/>
                <w:highlight w:val="none"/>
                <w:lang w:eastAsia="zh-CN"/>
              </w:rPr>
              <w:t>3000元</w:t>
            </w:r>
            <w:r>
              <w:rPr>
                <w:rFonts w:hint="eastAsia" w:ascii="宋体" w:hAnsi="宋体" w:eastAsia="宋体"/>
                <w:color w:val="auto"/>
                <w:sz w:val="21"/>
                <w:szCs w:val="21"/>
                <w:highlight w:val="none"/>
                <w:lang w:eastAsia="zh-CN"/>
              </w:rPr>
              <w:t>的</w:t>
            </w:r>
            <w:r>
              <w:rPr>
                <w:rFonts w:hint="eastAsia" w:ascii="宋体" w:hAnsi="宋体" w:eastAsia="宋体" w:cs="Calibri"/>
                <w:color w:val="auto"/>
                <w:sz w:val="21"/>
                <w:szCs w:val="21"/>
                <w:highlight w:val="none"/>
                <w:lang w:eastAsia="zh-CN"/>
              </w:rPr>
              <w:t>，由采购人委托第三方机构</w:t>
            </w:r>
            <w:r>
              <w:rPr>
                <w:rFonts w:hint="eastAsia" w:ascii="宋体" w:hAnsi="宋体" w:eastAsia="宋体" w:cs="宋体"/>
                <w:color w:val="auto"/>
                <w:sz w:val="21"/>
                <w:szCs w:val="21"/>
                <w:highlight w:val="none"/>
                <w:lang w:eastAsia="zh-CN"/>
              </w:rPr>
              <w:t>实施</w:t>
            </w:r>
            <w:r>
              <w:rPr>
                <w:rFonts w:hint="eastAsia" w:ascii="宋体" w:hAnsi="宋体" w:eastAsia="宋体" w:cs="Calibri"/>
                <w:color w:val="auto"/>
                <w:sz w:val="21"/>
                <w:szCs w:val="21"/>
                <w:highlight w:val="none"/>
                <w:lang w:eastAsia="zh-CN"/>
              </w:rPr>
              <w:t>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w:t>
            </w:r>
            <w:r>
              <w:rPr>
                <w:rFonts w:ascii="宋体" w:hAnsi="宋体" w:eastAsia="宋体" w:cs="Calibri"/>
                <w:color w:val="auto"/>
                <w:sz w:val="21"/>
                <w:szCs w:val="21"/>
                <w:highlight w:val="none"/>
                <w:lang w:eastAsia="zh-CN"/>
              </w:rPr>
              <w:t>每半月至少</w:t>
            </w:r>
            <w:r>
              <w:rPr>
                <w:rFonts w:hint="eastAsia" w:ascii="宋体" w:hAnsi="宋体" w:eastAsia="宋体" w:cs="Calibri"/>
                <w:color w:val="auto"/>
                <w:sz w:val="21"/>
                <w:szCs w:val="21"/>
                <w:highlight w:val="none"/>
                <w:lang w:eastAsia="zh-CN"/>
              </w:rPr>
              <w:t>开展</w:t>
            </w:r>
            <w:r>
              <w:rPr>
                <w:rFonts w:ascii="宋体" w:hAnsi="宋体" w:eastAsia="宋体" w:cs="Calibri"/>
                <w:color w:val="auto"/>
                <w:sz w:val="21"/>
                <w:szCs w:val="21"/>
                <w:highlight w:val="none"/>
                <w:lang w:eastAsia="zh-CN"/>
              </w:rPr>
              <w:t>1次公用部位的门、窗、楼梯、通风道</w:t>
            </w:r>
            <w:r>
              <w:rPr>
                <w:rFonts w:hint="eastAsia" w:ascii="宋体" w:hAnsi="宋体" w:eastAsia="宋体" w:cs="Calibri"/>
                <w:color w:val="auto"/>
                <w:sz w:val="21"/>
                <w:szCs w:val="21"/>
                <w:highlight w:val="none"/>
                <w:lang w:eastAsia="zh-CN"/>
              </w:rPr>
              <w:t>、</w:t>
            </w:r>
            <w:r>
              <w:rPr>
                <w:rFonts w:ascii="宋体" w:hAnsi="宋体" w:eastAsia="宋体" w:cs="Calibri"/>
                <w:color w:val="auto"/>
                <w:sz w:val="21"/>
                <w:szCs w:val="21"/>
                <w:highlight w:val="none"/>
                <w:lang w:eastAsia="zh-CN"/>
              </w:rPr>
              <w:t>室内地面、墙面、吊顶和室外屋面等巡查</w:t>
            </w:r>
            <w:r>
              <w:rPr>
                <w:rFonts w:hint="eastAsia" w:ascii="宋体" w:hAnsi="宋体" w:eastAsia="宋体" w:cs="Calibri"/>
                <w:color w:val="auto"/>
                <w:sz w:val="21"/>
                <w:szCs w:val="21"/>
                <w:highlight w:val="none"/>
                <w:lang w:eastAsia="zh-CN"/>
              </w:rPr>
              <w:t>，发现破损，及时向</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人报告，按</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人要求出具维修方案，待</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人同意后按维修方案实施维修。如</w:t>
            </w:r>
            <w:r>
              <w:rPr>
                <w:rFonts w:hint="eastAsia" w:ascii="宋体" w:hAnsi="宋体" w:eastAsia="宋体"/>
                <w:color w:val="auto"/>
                <w:sz w:val="21"/>
                <w:szCs w:val="21"/>
                <w:highlight w:val="none"/>
                <w:lang w:eastAsia="zh-CN"/>
              </w:rPr>
              <w:t>单次</w:t>
            </w:r>
            <w:r>
              <w:rPr>
                <w:rFonts w:hint="eastAsia" w:ascii="宋体" w:hAnsi="宋体" w:eastAsia="宋体" w:cs="Calibri"/>
                <w:color w:val="auto"/>
                <w:sz w:val="21"/>
                <w:szCs w:val="21"/>
                <w:highlight w:val="none"/>
                <w:lang w:eastAsia="zh-CN"/>
              </w:rPr>
              <w:t>维修</w:t>
            </w:r>
            <w:r>
              <w:rPr>
                <w:rFonts w:hint="eastAsia" w:ascii="宋体" w:hAnsi="宋体" w:eastAsia="宋体"/>
                <w:color w:val="auto"/>
                <w:sz w:val="21"/>
                <w:szCs w:val="21"/>
                <w:highlight w:val="none"/>
                <w:lang w:eastAsia="zh-CN"/>
              </w:rPr>
              <w:t>金额</w:t>
            </w:r>
            <w:r>
              <w:rPr>
                <w:rFonts w:hint="eastAsia" w:ascii="宋体" w:hAnsi="宋体" w:eastAsia="宋体" w:cs="宋体"/>
                <w:color w:val="auto"/>
                <w:kern w:val="2"/>
                <w:sz w:val="21"/>
                <w:szCs w:val="21"/>
                <w:highlight w:val="none"/>
                <w:lang w:eastAsia="zh-CN"/>
              </w:rPr>
              <w:t>超过</w:t>
            </w:r>
            <w:r>
              <w:rPr>
                <w:rFonts w:ascii="宋体" w:hAnsi="宋体" w:eastAsia="宋体" w:cs="Calibri"/>
                <w:color w:val="auto"/>
                <w:sz w:val="21"/>
                <w:szCs w:val="21"/>
                <w:highlight w:val="none"/>
                <w:lang w:eastAsia="zh-CN"/>
              </w:rPr>
              <w:t>3000元</w:t>
            </w:r>
            <w:r>
              <w:rPr>
                <w:rFonts w:hint="eastAsia" w:ascii="宋体" w:hAnsi="宋体" w:eastAsia="宋体" w:cs="Calibri"/>
                <w:color w:val="auto"/>
                <w:sz w:val="21"/>
                <w:szCs w:val="21"/>
                <w:highlight w:val="none"/>
                <w:lang w:eastAsia="zh-CN"/>
              </w:rPr>
              <w:t>的，由采购人委托第三方机构</w:t>
            </w:r>
            <w:r>
              <w:rPr>
                <w:rFonts w:hint="eastAsia" w:ascii="宋体" w:hAnsi="宋体" w:eastAsia="宋体" w:cs="宋体"/>
                <w:color w:val="auto"/>
                <w:sz w:val="21"/>
                <w:szCs w:val="21"/>
                <w:highlight w:val="none"/>
                <w:lang w:eastAsia="zh-CN"/>
              </w:rPr>
              <w:t>实施</w:t>
            </w:r>
            <w:r>
              <w:rPr>
                <w:rFonts w:hint="eastAsia" w:ascii="宋体" w:hAnsi="宋体" w:eastAsia="宋体" w:cs="Calibri"/>
                <w:color w:val="auto"/>
                <w:sz w:val="21"/>
                <w:szCs w:val="21"/>
                <w:highlight w:val="none"/>
                <w:lang w:eastAsia="zh-CN"/>
              </w:rPr>
              <w:t>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w:t>
            </w:r>
            <w:r>
              <w:rPr>
                <w:rFonts w:ascii="宋体" w:hAnsi="宋体" w:eastAsia="宋体" w:cs="Calibri"/>
                <w:color w:val="auto"/>
                <w:sz w:val="21"/>
                <w:szCs w:val="21"/>
                <w:highlight w:val="none"/>
                <w:lang w:eastAsia="zh-CN"/>
              </w:rPr>
              <w:t>每年强降雨天气前后、雨雪季节检查屋面防水和雨落管等</w:t>
            </w:r>
            <w:r>
              <w:rPr>
                <w:rFonts w:hint="eastAsia" w:ascii="宋体" w:hAnsi="宋体" w:eastAsia="宋体" w:cs="Calibri"/>
                <w:color w:val="auto"/>
                <w:sz w:val="21"/>
                <w:szCs w:val="21"/>
                <w:highlight w:val="none"/>
                <w:lang w:eastAsia="zh-CN"/>
              </w:rPr>
              <w:t>，发现破损，及时向</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人报告，按</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人要求出具维修方案，待</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人同意后按维修方案实施维修。如</w:t>
            </w:r>
            <w:r>
              <w:rPr>
                <w:rFonts w:hint="eastAsia" w:ascii="宋体" w:hAnsi="宋体" w:eastAsia="宋体"/>
                <w:color w:val="auto"/>
                <w:sz w:val="21"/>
                <w:szCs w:val="21"/>
                <w:highlight w:val="none"/>
                <w:lang w:eastAsia="zh-CN"/>
              </w:rPr>
              <w:t>单次</w:t>
            </w:r>
            <w:r>
              <w:rPr>
                <w:rFonts w:hint="eastAsia" w:ascii="宋体" w:hAnsi="宋体" w:eastAsia="宋体" w:cs="Calibri"/>
                <w:color w:val="auto"/>
                <w:sz w:val="21"/>
                <w:szCs w:val="21"/>
                <w:highlight w:val="none"/>
                <w:lang w:eastAsia="zh-CN"/>
              </w:rPr>
              <w:t>维修</w:t>
            </w:r>
            <w:r>
              <w:rPr>
                <w:rFonts w:hint="eastAsia" w:ascii="宋体" w:hAnsi="宋体" w:eastAsia="宋体"/>
                <w:color w:val="auto"/>
                <w:sz w:val="21"/>
                <w:szCs w:val="21"/>
                <w:highlight w:val="none"/>
                <w:lang w:eastAsia="zh-CN"/>
              </w:rPr>
              <w:t>金额</w:t>
            </w:r>
            <w:r>
              <w:rPr>
                <w:rFonts w:hint="eastAsia" w:ascii="宋体" w:hAnsi="宋体" w:eastAsia="宋体" w:cs="宋体"/>
                <w:color w:val="auto"/>
                <w:kern w:val="2"/>
                <w:sz w:val="21"/>
                <w:szCs w:val="21"/>
                <w:highlight w:val="none"/>
                <w:lang w:eastAsia="zh-CN"/>
              </w:rPr>
              <w:t>超过</w:t>
            </w:r>
            <w:r>
              <w:rPr>
                <w:rFonts w:ascii="宋体" w:hAnsi="宋体" w:eastAsia="宋体" w:cs="Calibri"/>
                <w:color w:val="auto"/>
                <w:sz w:val="21"/>
                <w:szCs w:val="21"/>
                <w:highlight w:val="none"/>
                <w:lang w:eastAsia="zh-CN"/>
              </w:rPr>
              <w:t>3000元</w:t>
            </w:r>
            <w:r>
              <w:rPr>
                <w:rFonts w:hint="eastAsia" w:ascii="宋体" w:hAnsi="宋体" w:eastAsia="宋体" w:cs="Calibri"/>
                <w:color w:val="auto"/>
                <w:sz w:val="21"/>
                <w:szCs w:val="21"/>
                <w:highlight w:val="none"/>
                <w:lang w:eastAsia="zh-CN"/>
              </w:rPr>
              <w:t>的，由采购人委托第三方机构</w:t>
            </w:r>
            <w:r>
              <w:rPr>
                <w:rFonts w:hint="eastAsia" w:ascii="宋体" w:hAnsi="宋体" w:eastAsia="宋体" w:cs="宋体"/>
                <w:color w:val="auto"/>
                <w:sz w:val="21"/>
                <w:szCs w:val="21"/>
                <w:highlight w:val="none"/>
                <w:lang w:eastAsia="zh-CN"/>
              </w:rPr>
              <w:t>实施</w:t>
            </w:r>
            <w:r>
              <w:rPr>
                <w:rFonts w:hint="eastAsia" w:ascii="宋体" w:hAnsi="宋体" w:eastAsia="宋体" w:cs="Calibri"/>
                <w:color w:val="auto"/>
                <w:sz w:val="21"/>
                <w:szCs w:val="21"/>
                <w:highlight w:val="none"/>
                <w:lang w:eastAsia="zh-CN"/>
              </w:rPr>
              <w:t>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w:t>
            </w:r>
            <w:r>
              <w:rPr>
                <w:rFonts w:ascii="宋体" w:hAnsi="宋体" w:eastAsia="宋体" w:cs="Calibri"/>
                <w:color w:val="auto"/>
                <w:sz w:val="21"/>
                <w:szCs w:val="21"/>
                <w:highlight w:val="none"/>
                <w:lang w:eastAsia="zh-CN"/>
              </w:rPr>
              <w:t>办公楼外观完好，</w:t>
            </w:r>
            <w:r>
              <w:rPr>
                <w:rFonts w:hint="eastAsia" w:ascii="宋体" w:hAnsi="宋体" w:eastAsia="宋体" w:cs="Calibri"/>
                <w:color w:val="auto"/>
                <w:sz w:val="21"/>
                <w:szCs w:val="21"/>
                <w:highlight w:val="none"/>
                <w:lang w:eastAsia="zh-CN"/>
              </w:rPr>
              <w:t>建筑装饰面</w:t>
            </w:r>
            <w:r>
              <w:rPr>
                <w:rFonts w:ascii="宋体" w:hAnsi="宋体" w:eastAsia="宋体" w:cs="Calibri"/>
                <w:color w:val="auto"/>
                <w:sz w:val="21"/>
                <w:szCs w:val="21"/>
                <w:highlight w:val="none"/>
                <w:lang w:eastAsia="zh-CN"/>
              </w:rPr>
              <w:t>无脱落</w:t>
            </w:r>
            <w:r>
              <w:rPr>
                <w:rFonts w:hint="eastAsia" w:ascii="宋体" w:hAnsi="宋体" w:eastAsia="宋体" w:cs="Calibri"/>
                <w:color w:val="auto"/>
                <w:sz w:val="21"/>
                <w:szCs w:val="21"/>
                <w:highlight w:val="none"/>
                <w:lang w:eastAsia="zh-CN"/>
              </w:rPr>
              <w:t>、</w:t>
            </w:r>
            <w:r>
              <w:rPr>
                <w:rFonts w:ascii="宋体" w:hAnsi="宋体" w:eastAsia="宋体" w:cs="Calibri"/>
                <w:color w:val="auto"/>
                <w:sz w:val="21"/>
                <w:szCs w:val="21"/>
                <w:highlight w:val="none"/>
                <w:lang w:eastAsia="zh-CN"/>
              </w:rPr>
              <w:t>无破损</w:t>
            </w:r>
            <w:r>
              <w:rPr>
                <w:rFonts w:hint="eastAsia" w:ascii="宋体" w:hAnsi="宋体" w:eastAsia="宋体" w:cs="Calibri"/>
                <w:color w:val="auto"/>
                <w:sz w:val="21"/>
                <w:szCs w:val="21"/>
                <w:highlight w:val="none"/>
                <w:lang w:eastAsia="zh-CN"/>
              </w:rPr>
              <w:t>、无</w:t>
            </w:r>
            <w:r>
              <w:rPr>
                <w:rFonts w:ascii="宋体" w:hAnsi="宋体" w:eastAsia="宋体" w:cs="Calibri"/>
                <w:color w:val="auto"/>
                <w:sz w:val="21"/>
                <w:szCs w:val="21"/>
                <w:highlight w:val="none"/>
                <w:lang w:eastAsia="zh-CN"/>
              </w:rPr>
              <w:t>污渍</w:t>
            </w:r>
            <w:r>
              <w:rPr>
                <w:rFonts w:hint="eastAsia" w:ascii="宋体" w:hAnsi="宋体" w:eastAsia="宋体" w:cs="Calibr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（6）通道、楼梯、</w:t>
            </w:r>
            <w:r>
              <w:rPr>
                <w:rFonts w:ascii="宋体" w:hAnsi="宋体" w:eastAsia="宋体" w:cs="Calibri"/>
                <w:color w:val="auto"/>
                <w:sz w:val="21"/>
                <w:szCs w:val="21"/>
                <w:highlight w:val="none"/>
                <w:lang w:eastAsia="zh-CN"/>
              </w:rPr>
              <w:t>门窗等设施的完好和正常使用</w:t>
            </w:r>
            <w:r>
              <w:rPr>
                <w:rFonts w:hint="eastAsia" w:ascii="宋体" w:hAnsi="宋体" w:eastAsia="宋体" w:cs="Calibr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2</w:t>
            </w:r>
          </w:p>
        </w:tc>
        <w:tc>
          <w:tcPr>
            <w:tcW w:w="2142" w:type="dxa"/>
            <w:vMerge w:val="restart"/>
            <w:vAlign w:val="center"/>
          </w:tcPr>
          <w:p>
            <w:pPr>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其他设施</w:t>
            </w: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（1）每半月至少开展1次大门、围墙、道路、场地、管井、沟渠等巡查，每半月至少检查1次雨污水管井、化粪池等巡查，发现破损，及时向</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人报告，按</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人要求出具维修方案，待</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人同意后按维修方案实施维修。如</w:t>
            </w:r>
            <w:r>
              <w:rPr>
                <w:rFonts w:hint="eastAsia" w:ascii="宋体" w:hAnsi="宋体" w:eastAsia="宋体"/>
                <w:color w:val="auto"/>
                <w:sz w:val="21"/>
                <w:szCs w:val="21"/>
                <w:highlight w:val="none"/>
                <w:lang w:eastAsia="zh-CN"/>
              </w:rPr>
              <w:t>单次</w:t>
            </w:r>
            <w:r>
              <w:rPr>
                <w:rFonts w:hint="eastAsia" w:ascii="宋体" w:hAnsi="宋体" w:eastAsia="宋体" w:cs="Calibri"/>
                <w:color w:val="auto"/>
                <w:sz w:val="21"/>
                <w:szCs w:val="21"/>
                <w:highlight w:val="none"/>
                <w:lang w:eastAsia="zh-CN"/>
              </w:rPr>
              <w:t>维修</w:t>
            </w:r>
            <w:r>
              <w:rPr>
                <w:rFonts w:hint="eastAsia" w:ascii="宋体" w:hAnsi="宋体" w:eastAsia="宋体"/>
                <w:color w:val="auto"/>
                <w:sz w:val="21"/>
                <w:szCs w:val="21"/>
                <w:highlight w:val="none"/>
                <w:lang w:eastAsia="zh-CN"/>
              </w:rPr>
              <w:t>金额</w:t>
            </w:r>
            <w:r>
              <w:rPr>
                <w:rFonts w:hint="eastAsia" w:ascii="宋体" w:hAnsi="宋体" w:eastAsia="宋体" w:cs="宋体"/>
                <w:color w:val="auto"/>
                <w:kern w:val="2"/>
                <w:sz w:val="21"/>
                <w:szCs w:val="21"/>
                <w:highlight w:val="none"/>
                <w:lang w:eastAsia="zh-CN"/>
              </w:rPr>
              <w:t>超过</w:t>
            </w:r>
            <w:r>
              <w:rPr>
                <w:rFonts w:ascii="宋体" w:hAnsi="宋体" w:eastAsia="宋体" w:cs="Calibri"/>
                <w:color w:val="auto"/>
                <w:sz w:val="21"/>
                <w:szCs w:val="21"/>
                <w:highlight w:val="none"/>
                <w:lang w:eastAsia="zh-CN"/>
              </w:rPr>
              <w:t>3000元</w:t>
            </w:r>
            <w:r>
              <w:rPr>
                <w:rFonts w:hint="eastAsia" w:ascii="宋体" w:hAnsi="宋体" w:eastAsia="宋体" w:cs="Calibri"/>
                <w:color w:val="auto"/>
                <w:sz w:val="21"/>
                <w:szCs w:val="21"/>
                <w:highlight w:val="none"/>
                <w:lang w:eastAsia="zh-CN"/>
              </w:rPr>
              <w:t>的，由采购人委托第三方机构</w:t>
            </w:r>
            <w:r>
              <w:rPr>
                <w:rFonts w:hint="eastAsia" w:ascii="宋体" w:hAnsi="宋体" w:eastAsia="宋体" w:cs="宋体"/>
                <w:color w:val="auto"/>
                <w:sz w:val="21"/>
                <w:szCs w:val="21"/>
                <w:highlight w:val="none"/>
                <w:lang w:eastAsia="zh-CN"/>
              </w:rPr>
              <w:t>实施</w:t>
            </w:r>
            <w:r>
              <w:rPr>
                <w:rFonts w:hint="eastAsia" w:ascii="宋体" w:hAnsi="宋体" w:eastAsia="宋体" w:cs="Calibri"/>
                <w:color w:val="auto"/>
                <w:sz w:val="21"/>
                <w:szCs w:val="21"/>
                <w:highlight w:val="none"/>
                <w:lang w:eastAsia="zh-CN"/>
              </w:rPr>
              <w:t>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（2）每年至少开展1次防雷装置检测，发现失效，及时向</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人报告，按</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人要求出具维修方案，待</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人同意后按维修方案实施维修。如</w:t>
            </w:r>
            <w:r>
              <w:rPr>
                <w:rFonts w:hint="eastAsia" w:ascii="宋体" w:hAnsi="宋体" w:eastAsia="宋体"/>
                <w:color w:val="auto"/>
                <w:sz w:val="21"/>
                <w:szCs w:val="21"/>
                <w:highlight w:val="none"/>
                <w:lang w:eastAsia="zh-CN"/>
              </w:rPr>
              <w:t>单次</w:t>
            </w:r>
            <w:r>
              <w:rPr>
                <w:rFonts w:hint="eastAsia" w:ascii="宋体" w:hAnsi="宋体" w:eastAsia="宋体" w:cs="Calibri"/>
                <w:color w:val="auto"/>
                <w:sz w:val="21"/>
                <w:szCs w:val="21"/>
                <w:highlight w:val="none"/>
                <w:lang w:eastAsia="zh-CN"/>
              </w:rPr>
              <w:t>维修</w:t>
            </w:r>
            <w:r>
              <w:rPr>
                <w:rFonts w:hint="eastAsia" w:ascii="宋体" w:hAnsi="宋体" w:eastAsia="宋体"/>
                <w:color w:val="auto"/>
                <w:sz w:val="21"/>
                <w:szCs w:val="21"/>
                <w:highlight w:val="none"/>
                <w:lang w:eastAsia="zh-CN"/>
              </w:rPr>
              <w:t>金额</w:t>
            </w:r>
            <w:r>
              <w:rPr>
                <w:rFonts w:hint="eastAsia" w:ascii="宋体" w:hAnsi="宋体" w:eastAsia="宋体" w:cs="宋体"/>
                <w:color w:val="auto"/>
                <w:kern w:val="2"/>
                <w:sz w:val="21"/>
                <w:szCs w:val="21"/>
                <w:highlight w:val="none"/>
                <w:lang w:eastAsia="zh-CN"/>
              </w:rPr>
              <w:t>超过</w:t>
            </w:r>
            <w:r>
              <w:rPr>
                <w:rFonts w:ascii="宋体" w:hAnsi="宋体" w:eastAsia="宋体" w:cs="Calibri"/>
                <w:color w:val="auto"/>
                <w:sz w:val="21"/>
                <w:szCs w:val="21"/>
                <w:highlight w:val="none"/>
                <w:lang w:eastAsia="zh-CN"/>
              </w:rPr>
              <w:t>3000元</w:t>
            </w:r>
            <w:r>
              <w:rPr>
                <w:rFonts w:hint="eastAsia" w:ascii="宋体" w:hAnsi="宋体" w:eastAsia="宋体" w:cs="Calibri"/>
                <w:color w:val="auto"/>
                <w:sz w:val="21"/>
                <w:szCs w:val="21"/>
                <w:highlight w:val="none"/>
                <w:lang w:eastAsia="zh-CN"/>
              </w:rPr>
              <w:t>的，由采购人委托第三方机构</w:t>
            </w:r>
            <w:r>
              <w:rPr>
                <w:rFonts w:hint="eastAsia" w:ascii="宋体" w:hAnsi="宋体" w:eastAsia="宋体" w:cs="宋体"/>
                <w:color w:val="auto"/>
                <w:sz w:val="21"/>
                <w:szCs w:val="21"/>
                <w:highlight w:val="none"/>
                <w:lang w:eastAsia="zh-CN"/>
              </w:rPr>
              <w:t>实施</w:t>
            </w:r>
            <w:r>
              <w:rPr>
                <w:rFonts w:hint="eastAsia" w:ascii="宋体" w:hAnsi="宋体" w:eastAsia="宋体" w:cs="Calibri"/>
                <w:color w:val="auto"/>
                <w:sz w:val="21"/>
                <w:szCs w:val="21"/>
                <w:highlight w:val="none"/>
                <w:lang w:eastAsia="zh-CN"/>
              </w:rPr>
              <w:t>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w:t>
            </w:r>
            <w:r>
              <w:rPr>
                <w:rFonts w:ascii="宋体" w:hAnsi="宋体" w:eastAsia="宋体" w:cs="Calibri"/>
                <w:color w:val="auto"/>
                <w:sz w:val="21"/>
                <w:szCs w:val="21"/>
                <w:highlight w:val="none"/>
                <w:lang w:eastAsia="zh-CN"/>
              </w:rPr>
              <w:t>路面状态良好，地漏通畅不堵塞</w:t>
            </w:r>
            <w:r>
              <w:rPr>
                <w:rFonts w:hint="eastAsia" w:ascii="宋体" w:hAnsi="宋体" w:eastAsia="宋体" w:cs="Calibr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（4）接到</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人家具报修服务后，及时通知家具供货商对保修期内的家具进行维修，及时对保修期外的家具进行维修。如</w:t>
            </w:r>
            <w:r>
              <w:rPr>
                <w:rFonts w:hint="eastAsia" w:ascii="宋体" w:hAnsi="宋体" w:eastAsia="宋体"/>
                <w:color w:val="auto"/>
                <w:sz w:val="21"/>
                <w:szCs w:val="21"/>
                <w:highlight w:val="none"/>
                <w:lang w:eastAsia="zh-CN"/>
              </w:rPr>
              <w:t>单次</w:t>
            </w:r>
            <w:r>
              <w:rPr>
                <w:rFonts w:hint="eastAsia" w:ascii="宋体" w:hAnsi="宋体" w:eastAsia="宋体" w:cs="Calibri"/>
                <w:color w:val="auto"/>
                <w:sz w:val="21"/>
                <w:szCs w:val="21"/>
                <w:highlight w:val="none"/>
                <w:lang w:eastAsia="zh-CN"/>
              </w:rPr>
              <w:t>维修</w:t>
            </w:r>
            <w:r>
              <w:rPr>
                <w:rFonts w:hint="eastAsia" w:ascii="宋体" w:hAnsi="宋体" w:eastAsia="宋体"/>
                <w:color w:val="auto"/>
                <w:sz w:val="21"/>
                <w:szCs w:val="21"/>
                <w:highlight w:val="none"/>
                <w:lang w:eastAsia="zh-CN"/>
              </w:rPr>
              <w:t>金额</w:t>
            </w:r>
            <w:r>
              <w:rPr>
                <w:rFonts w:hint="eastAsia" w:ascii="宋体" w:hAnsi="宋体" w:eastAsia="宋体" w:cs="宋体"/>
                <w:color w:val="auto"/>
                <w:kern w:val="2"/>
                <w:sz w:val="21"/>
                <w:szCs w:val="21"/>
                <w:highlight w:val="none"/>
                <w:lang w:eastAsia="zh-CN"/>
              </w:rPr>
              <w:t>超过</w:t>
            </w:r>
            <w:r>
              <w:rPr>
                <w:rFonts w:ascii="宋体" w:hAnsi="宋体" w:eastAsia="宋体" w:cs="Calibri"/>
                <w:color w:val="auto"/>
                <w:sz w:val="21"/>
                <w:szCs w:val="21"/>
                <w:highlight w:val="none"/>
                <w:lang w:eastAsia="zh-CN"/>
              </w:rPr>
              <w:t>3000元</w:t>
            </w:r>
            <w:r>
              <w:rPr>
                <w:rFonts w:hint="eastAsia" w:ascii="宋体" w:hAnsi="宋体" w:eastAsia="宋体" w:cs="Calibri"/>
                <w:color w:val="auto"/>
                <w:sz w:val="21"/>
                <w:szCs w:val="21"/>
                <w:highlight w:val="none"/>
                <w:lang w:eastAsia="zh-CN"/>
              </w:rPr>
              <w:t>的，由采购人委托第三方机构</w:t>
            </w:r>
            <w:r>
              <w:rPr>
                <w:rFonts w:hint="eastAsia" w:ascii="宋体" w:hAnsi="宋体" w:eastAsia="宋体" w:cs="宋体"/>
                <w:color w:val="auto"/>
                <w:sz w:val="21"/>
                <w:szCs w:val="21"/>
                <w:highlight w:val="none"/>
                <w:lang w:eastAsia="zh-CN"/>
              </w:rPr>
              <w:t>实施</w:t>
            </w:r>
            <w:r>
              <w:rPr>
                <w:rFonts w:hint="eastAsia" w:ascii="宋体" w:hAnsi="宋体" w:eastAsia="宋体" w:cs="Calibri"/>
                <w:color w:val="auto"/>
                <w:sz w:val="21"/>
                <w:szCs w:val="21"/>
                <w:highlight w:val="none"/>
                <w:lang w:eastAsia="zh-CN"/>
              </w:rPr>
              <w:t>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3</w:t>
            </w:r>
          </w:p>
        </w:tc>
        <w:tc>
          <w:tcPr>
            <w:tcW w:w="2142"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装饰装修</w:t>
            </w:r>
            <w:r>
              <w:rPr>
                <w:rFonts w:hint="eastAsia" w:ascii="宋体" w:hAnsi="宋体" w:eastAsia="宋体" w:cs="Calibri"/>
                <w:color w:val="auto"/>
                <w:sz w:val="21"/>
                <w:szCs w:val="21"/>
                <w:highlight w:val="none"/>
              </w:rPr>
              <w:t>监督</w:t>
            </w:r>
            <w:r>
              <w:rPr>
                <w:rFonts w:ascii="宋体" w:hAnsi="宋体" w:eastAsia="宋体" w:cs="Calibri"/>
                <w:color w:val="auto"/>
                <w:sz w:val="21"/>
                <w:szCs w:val="21"/>
                <w:highlight w:val="none"/>
              </w:rPr>
              <w:t>管理</w:t>
            </w: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（1）装饰装修前，供应商应当与</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人或</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人委托的装修企业签订装饰装修管理服务协议，告知装饰装修须知，并对装饰装修过程进行管理服务。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（2）根据协议内容，做好装修垃圾临时堆放、清运等。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（3）受</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人委托</w:t>
            </w:r>
            <w:r>
              <w:rPr>
                <w:rFonts w:ascii="宋体" w:hAnsi="宋体" w:eastAsia="宋体" w:cs="Calibri"/>
                <w:color w:val="auto"/>
                <w:sz w:val="21"/>
                <w:szCs w:val="21"/>
                <w:highlight w:val="none"/>
                <w:lang w:eastAsia="zh-CN"/>
              </w:rPr>
              <w:t>对房屋内装修进行严格的监督管理</w:t>
            </w:r>
            <w:r>
              <w:rPr>
                <w:rFonts w:hint="eastAsia" w:ascii="宋体" w:hAnsi="宋体" w:eastAsia="宋体" w:cs="Calibri"/>
                <w:color w:val="auto"/>
                <w:sz w:val="21"/>
                <w:szCs w:val="21"/>
                <w:highlight w:val="none"/>
                <w:lang w:eastAsia="zh-CN"/>
              </w:rPr>
              <w:t>，发现问题及时上报，</w:t>
            </w:r>
            <w:r>
              <w:rPr>
                <w:rFonts w:ascii="宋体" w:hAnsi="宋体" w:eastAsia="宋体" w:cs="Calibri"/>
                <w:color w:val="auto"/>
                <w:sz w:val="21"/>
                <w:szCs w:val="21"/>
                <w:highlight w:val="none"/>
                <w:lang w:eastAsia="zh-CN"/>
              </w:rPr>
              <w:t>确保不因装修而危及大楼结构安全、人身安全和影响正常办公秩序</w:t>
            </w:r>
            <w:r>
              <w:rPr>
                <w:rFonts w:hint="eastAsia" w:ascii="宋体" w:hAnsi="宋体" w:eastAsia="宋体" w:cs="Calibr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olor w:val="auto"/>
                <w:sz w:val="21"/>
                <w:szCs w:val="21"/>
                <w:highlight w:val="none"/>
                <w:lang w:eastAsia="zh-CN"/>
              </w:rPr>
              <w:t>（4）大修、装修的施工管理配合与相应水电使用管理与安全管理。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4</w:t>
            </w:r>
          </w:p>
        </w:tc>
        <w:tc>
          <w:tcPr>
            <w:tcW w:w="2142"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标识标牌</w:t>
            </w: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（1）标识标牌符合《公共信息图形符号 第1部分：通用符号》（GB/T 10001.1）的相关要求，消防与安全标识符合《安全标志及其使用导则》（GB2894）、《消防安全标志　第1部分：标志》（GB13495.1）的相关要求。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4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2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（2）每月至少检查1次标识标牌和消防与安全标识。应当规范清晰、路线指引正确、安装稳固。</w:t>
            </w:r>
          </w:p>
        </w:tc>
      </w:tr>
    </w:tbl>
    <w:p>
      <w:pPr>
        <w:pStyle w:val="2"/>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3.2.3公用设施设备维护服务</w:t>
      </w:r>
    </w:p>
    <w:tbl>
      <w:tblPr>
        <w:tblStyle w:val="16"/>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162"/>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序号</w:t>
            </w:r>
          </w:p>
        </w:tc>
        <w:tc>
          <w:tcPr>
            <w:tcW w:w="2162" w:type="dxa"/>
            <w:vAlign w:val="center"/>
          </w:tcPr>
          <w:p>
            <w:pPr>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服务内容</w:t>
            </w:r>
          </w:p>
        </w:tc>
        <w:tc>
          <w:tcPr>
            <w:tcW w:w="6233"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1</w:t>
            </w:r>
          </w:p>
        </w:tc>
        <w:tc>
          <w:tcPr>
            <w:tcW w:w="2162"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基本要求</w:t>
            </w: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（1）重大节假日及恶劣天气前后，组织系统巡检1次。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（2）具备设施设备安全、稳定运行的环境和场所（含有限空间），温湿度、照度、粉尘和烟雾浓度等符合相关安全规范。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（3）积极配合采购人落实《党政机关厉行节约反对浪费条例》相关要求，在公用设施设备维护及更新服务中，优先应用节能技术产品，逐步淘汰高耗能设施设备，积极使用节水型器具。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2</w:t>
            </w:r>
          </w:p>
        </w:tc>
        <w:tc>
          <w:tcPr>
            <w:tcW w:w="2162"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设备机房</w:t>
            </w: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（2）设备机房门窗、锁具应当完好、有效。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（3）每半月至少开展1次清洁，整洁有序、无杂物、无积尘、无鼠、无虫害，温湿度符合设备运行要求。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（4）按各设备机房国家标准规范规定维护/保管消防、通风、应急照明，防止小动物进入。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（5）安全防护用具配置齐全，检验合格。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（6）应急设施设备用品应当齐全、完备，可随时启用。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3</w:t>
            </w:r>
          </w:p>
        </w:tc>
        <w:tc>
          <w:tcPr>
            <w:tcW w:w="2162"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给排水系统</w:t>
            </w: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（1）生活饮用水卫生符合《生活饮用水卫生标准》（GB5749）的相关要求。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（2）二次供水卫生符合《二次供水设施卫生规范》（GB17051）的相关要求。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（3）设施设备、阀门、管道等运行正常，无跑、冒、滴、漏现象。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（4）有水泵房、水箱间的，每日至少巡视1次。每年至少养护1次水泵。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（5）遇供水单位限水、停水，按规定时间通知</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w:t>
            </w:r>
            <w:r>
              <w:rPr>
                <w:rFonts w:hint="eastAsia" w:ascii="宋体" w:hAnsi="宋体" w:eastAsia="宋体"/>
                <w:color w:val="auto"/>
                <w:sz w:val="21"/>
                <w:szCs w:val="21"/>
                <w:highlight w:val="none"/>
                <w:lang w:eastAsia="zh-CN"/>
              </w:rPr>
              <w:t>每季度至少开展1次对排水管进行疏通、清污，保证室内外排水系统通畅。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olor w:val="auto"/>
                <w:sz w:val="21"/>
                <w:szCs w:val="21"/>
                <w:highlight w:val="none"/>
                <w:lang w:eastAsia="zh-CN"/>
              </w:rPr>
              <w:t>（7）每季度至少开展1次对水质的全面检测，并</w:t>
            </w:r>
            <w:r>
              <w:rPr>
                <w:rFonts w:hint="eastAsia" w:ascii="宋体" w:hAnsi="宋体" w:eastAsia="宋体" w:cs="宋体"/>
                <w:color w:val="auto"/>
                <w:sz w:val="21"/>
                <w:szCs w:val="21"/>
                <w:highlight w:val="none"/>
                <w:lang w:eastAsia="zh-CN"/>
              </w:rPr>
              <w:t>联系专业机构</w:t>
            </w:r>
            <w:r>
              <w:rPr>
                <w:rFonts w:hint="eastAsia" w:ascii="宋体" w:hAnsi="宋体" w:eastAsia="宋体"/>
                <w:color w:val="auto"/>
                <w:sz w:val="21"/>
                <w:szCs w:val="21"/>
                <w:highlight w:val="none"/>
                <w:lang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（8）每年至少开展1次安全阀检测，并</w:t>
            </w:r>
            <w:r>
              <w:rPr>
                <w:rFonts w:hint="eastAsia" w:ascii="宋体" w:hAnsi="宋体" w:eastAsia="宋体" w:cs="宋体"/>
                <w:color w:val="auto"/>
                <w:sz w:val="21"/>
                <w:szCs w:val="21"/>
                <w:highlight w:val="none"/>
                <w:lang w:eastAsia="zh-CN"/>
              </w:rPr>
              <w:t>联系专业机构</w:t>
            </w:r>
            <w:r>
              <w:rPr>
                <w:rFonts w:hint="eastAsia" w:ascii="宋体" w:hAnsi="宋体" w:eastAsia="宋体"/>
                <w:color w:val="auto"/>
                <w:sz w:val="21"/>
                <w:szCs w:val="21"/>
                <w:highlight w:val="none"/>
                <w:lang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4</w:t>
            </w:r>
          </w:p>
        </w:tc>
        <w:tc>
          <w:tcPr>
            <w:tcW w:w="2162" w:type="dxa"/>
            <w:vMerge w:val="restart"/>
            <w:vAlign w:val="center"/>
          </w:tcPr>
          <w:p>
            <w:pPr>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电梯系统</w:t>
            </w: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（1）电梯运行平稳、无异响、平层、开关正常。每周至少开展2次电梯的安全状况检查。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（2）电梯准用证、年检合格证等证件齐全。相关证件、紧急救援电话和乘客注意事项置于轿厢醒目位置。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w:t>
            </w:r>
            <w:r>
              <w:rPr>
                <w:rFonts w:hint="eastAsia" w:ascii="宋体" w:hAnsi="宋体" w:eastAsia="宋体"/>
                <w:color w:val="auto"/>
                <w:sz w:val="21"/>
                <w:szCs w:val="21"/>
                <w:highlight w:val="none"/>
                <w:lang w:eastAsia="zh-CN"/>
              </w:rPr>
              <w:t>每年至少开展1次对电梯的全面检测，并</w:t>
            </w:r>
            <w:r>
              <w:rPr>
                <w:rFonts w:hint="eastAsia" w:ascii="宋体" w:hAnsi="宋体" w:eastAsia="宋体" w:cs="宋体"/>
                <w:color w:val="auto"/>
                <w:sz w:val="21"/>
                <w:szCs w:val="21"/>
                <w:highlight w:val="none"/>
                <w:lang w:eastAsia="zh-CN"/>
              </w:rPr>
              <w:t>联系专业机构</w:t>
            </w:r>
            <w:r>
              <w:rPr>
                <w:rFonts w:hint="eastAsia" w:ascii="宋体" w:hAnsi="宋体" w:eastAsia="宋体"/>
                <w:color w:val="auto"/>
                <w:sz w:val="21"/>
                <w:szCs w:val="21"/>
                <w:highlight w:val="none"/>
                <w:lang w:eastAsia="zh-CN"/>
              </w:rPr>
              <w:t>出具检测报告，核发电梯使用标志。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（4）电梯维保应当符合《电梯维护保养规则》（TSG T5002）的有关要求。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（5）电梯使用应当符合《特种设备使用管理规则》（TSG 08）的有关要求。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（6）有电梯突发事件或事故的应急措施与救援预案，每年至少开展演练1次。电梯出现故障，物业服务人员10分钟内到场应急处理，维保专业人员30分钟内到场应急处理。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（7）到场进行救助和排除故障。电梯紧急电话保持畅通。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（8）电梯维修、保养时在现场设置提示标识和防护围栏。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（9）根据</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人需求，合理设置电梯开启的数量、时间。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5</w:t>
            </w:r>
          </w:p>
        </w:tc>
        <w:tc>
          <w:tcPr>
            <w:tcW w:w="2162"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空调系统</w:t>
            </w: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（1）空调通风系统运行管理符合《空调通风系统运行管理标准》（GB50365）的相关要求。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（2）办公楼内温湿度、空气质量等符合《室内空气质量标准》（GB/T18883）的相关要求。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（3）定期维保并做好记录，保证空调设施设备处于良好状态。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（4）中央空调运行前对冷水机组、循环水泵、冷却塔、风机等设施设备进行系统检查，</w:t>
            </w:r>
            <w:r>
              <w:rPr>
                <w:rFonts w:ascii="宋体" w:hAnsi="宋体" w:eastAsia="宋体" w:cs="Calibri"/>
                <w:color w:val="auto"/>
                <w:sz w:val="21"/>
                <w:szCs w:val="21"/>
                <w:highlight w:val="none"/>
                <w:lang w:eastAsia="zh-CN"/>
              </w:rPr>
              <w:t>VRV空调多联外机</w:t>
            </w:r>
            <w:r>
              <w:rPr>
                <w:rFonts w:hint="eastAsia" w:ascii="宋体" w:hAnsi="宋体" w:eastAsia="宋体" w:cs="Calibri"/>
                <w:color w:val="auto"/>
                <w:sz w:val="21"/>
                <w:szCs w:val="21"/>
                <w:highlight w:val="none"/>
                <w:lang w:eastAsia="zh-CN"/>
              </w:rPr>
              <w:t>运行期间每日至少开展1次运行情况巡查。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（5）每半年至少开展1次管道、阀门检查并除锈。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（6）每年至少开展1次系统整体性维修养护，检验1次压力容器、仪表及冷却塔噪声。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（7）每年至少开展1次新风机、空气处理机滤网等清洗消毒；每2年至少开展1次风管清洗消毒。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（8）每年至少开展1次分体式空调主机（含空调过滤网）和室外机清洁。每月至少开展1次挂机和室外支架稳固性巡查。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（9）制冷、供暖系统温度设定及启用时间符合节能要求。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（10）发现故障或损坏应当在30分钟内到场，紧急维修应当在15分钟内到达现场，在12小时内维修完毕。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6</w:t>
            </w:r>
          </w:p>
        </w:tc>
        <w:tc>
          <w:tcPr>
            <w:tcW w:w="2162"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消防系统</w:t>
            </w: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（1）消防设施的维护管理符合《建筑消防设施的维护管理》（GB25201）的相关要求。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（2）消防设备检测符合《建筑消防设施检测技术规程》（GA503或XF503）的相关要求。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（3）消防设施平面图、火警疏散示意图、防火分区图等按幢设置在楼层醒目位置。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（4）消防系统各设施设备使用说明清晰，宜图文结合。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（5）自动喷水灭火系统启动正常。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（6）消火栓箱、防火门、灭火器、消防水泵、红外线报警器、应急照明、安全疏散等系统运行正常。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（7）消防监控系统运行良好，自动和手动报警设施启动正常。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（8）正压送风、防排烟系统运行正常。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（9）</w:t>
            </w:r>
            <w:r>
              <w:rPr>
                <w:rFonts w:hint="eastAsia" w:ascii="宋体" w:hAnsi="宋体" w:eastAsia="宋体"/>
                <w:color w:val="auto"/>
                <w:sz w:val="21"/>
                <w:szCs w:val="21"/>
                <w:highlight w:val="none"/>
                <w:lang w:eastAsia="zh-CN"/>
              </w:rPr>
              <w:t>每年至少开展1次对消防系统的全面检测，并</w:t>
            </w:r>
            <w:r>
              <w:rPr>
                <w:rFonts w:hint="eastAsia" w:ascii="宋体" w:hAnsi="宋体" w:eastAsia="宋体" w:cs="宋体"/>
                <w:color w:val="auto"/>
                <w:sz w:val="21"/>
                <w:szCs w:val="21"/>
                <w:highlight w:val="none"/>
                <w:lang w:eastAsia="zh-CN"/>
              </w:rPr>
              <w:t>联系专业机构</w:t>
            </w:r>
            <w:r>
              <w:rPr>
                <w:rFonts w:hint="eastAsia" w:ascii="宋体" w:hAnsi="宋体" w:eastAsia="宋体"/>
                <w:color w:val="auto"/>
                <w:sz w:val="21"/>
                <w:szCs w:val="21"/>
                <w:highlight w:val="none"/>
                <w:lang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7</w:t>
            </w:r>
          </w:p>
        </w:tc>
        <w:tc>
          <w:tcPr>
            <w:tcW w:w="2162" w:type="dxa"/>
            <w:vMerge w:val="restart"/>
            <w:vAlign w:val="center"/>
          </w:tcPr>
          <w:p>
            <w:pPr>
              <w:keepNext w:val="0"/>
              <w:spacing w:before="0" w:after="0" w:line="300" w:lineRule="auto"/>
              <w:ind w:left="0"/>
              <w:jc w:val="left"/>
              <w:outlineLvl w:val="9"/>
              <w:rPr>
                <w:rFonts w:ascii="宋体" w:hAnsi="宋体" w:eastAsia="宋体" w:cs="Calibri"/>
                <w:b/>
                <w:bCs/>
                <w:color w:val="auto"/>
                <w:kern w:val="32"/>
                <w:sz w:val="21"/>
                <w:szCs w:val="21"/>
                <w:highlight w:val="none"/>
              </w:rPr>
            </w:pPr>
            <w:r>
              <w:rPr>
                <w:rFonts w:ascii="宋体" w:hAnsi="宋体" w:eastAsia="宋体" w:cs="Calibri"/>
                <w:color w:val="auto"/>
                <w:sz w:val="21"/>
                <w:szCs w:val="21"/>
                <w:highlight w:val="none"/>
              </w:rPr>
              <w:t>供配电系统</w:t>
            </w: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w:t>
            </w:r>
            <w:r>
              <w:rPr>
                <w:rFonts w:ascii="宋体" w:hAnsi="宋体" w:eastAsia="宋体" w:cs="Calibri"/>
                <w:color w:val="auto"/>
                <w:sz w:val="21"/>
                <w:szCs w:val="21"/>
                <w:highlight w:val="none"/>
                <w:lang w:eastAsia="zh-CN"/>
              </w:rPr>
              <w:t>1）建立24小时运行值班监控制度。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（2）对供电范围内的电气设备定期巡视维护，加强高低压配电柜、配电箱、控制柜及线路等重点部位监测。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（3）公共使用的照明、指示灯具线路、开关、接地等保持完好，确保用电安全。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（4）核心部位用电建立高可控用电保障和配备应急发电设备，定期维护应急发电设备。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（5）发生非计划性停电的，应当在事件发生后及时通知</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人，快速恢复或启用应急电源，并做好应急事件上报及处理工作。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（6）复杂故障涉及供电部门维修处置的及时与供电部门联系，并向</w:t>
            </w:r>
            <w:r>
              <w:rPr>
                <w:rFonts w:hint="eastAsia" w:ascii="宋体" w:hAnsi="宋体" w:eastAsia="宋体" w:cs="宋体"/>
                <w:color w:val="auto"/>
                <w:sz w:val="21"/>
                <w:szCs w:val="21"/>
                <w:highlight w:val="none"/>
                <w:lang w:eastAsia="zh-CN"/>
              </w:rPr>
              <w:t>采购</w:t>
            </w:r>
            <w:r>
              <w:rPr>
                <w:rFonts w:hint="eastAsia" w:ascii="宋体" w:hAnsi="宋体" w:eastAsia="宋体" w:cs="Calibri"/>
                <w:color w:val="auto"/>
                <w:sz w:val="21"/>
                <w:szCs w:val="21"/>
                <w:highlight w:val="none"/>
                <w:lang w:eastAsia="zh-CN"/>
              </w:rPr>
              <w:t>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（7）每三年至少开展</w:t>
            </w:r>
            <w:r>
              <w:rPr>
                <w:rFonts w:ascii="宋体" w:hAnsi="宋体" w:eastAsia="宋体" w:cs="Calibri"/>
                <w:color w:val="auto"/>
                <w:sz w:val="21"/>
                <w:szCs w:val="21"/>
                <w:highlight w:val="none"/>
                <w:lang w:eastAsia="zh-CN"/>
              </w:rPr>
              <w:t>1次高压变压器检测，</w:t>
            </w:r>
            <w:r>
              <w:rPr>
                <w:rFonts w:hint="eastAsia" w:ascii="宋体" w:hAnsi="宋体" w:eastAsia="宋体"/>
                <w:color w:val="auto"/>
                <w:sz w:val="21"/>
                <w:szCs w:val="21"/>
                <w:highlight w:val="none"/>
                <w:lang w:eastAsia="zh-CN"/>
              </w:rPr>
              <w:t>并</w:t>
            </w:r>
            <w:r>
              <w:rPr>
                <w:rFonts w:hint="eastAsia" w:ascii="宋体" w:hAnsi="宋体" w:eastAsia="宋体" w:cs="宋体"/>
                <w:color w:val="auto"/>
                <w:sz w:val="21"/>
                <w:szCs w:val="21"/>
                <w:highlight w:val="none"/>
                <w:lang w:eastAsia="zh-CN"/>
              </w:rPr>
              <w:t>联系专业机构</w:t>
            </w:r>
            <w:r>
              <w:rPr>
                <w:rFonts w:hint="eastAsia" w:ascii="宋体" w:hAnsi="宋体" w:eastAsia="宋体"/>
                <w:color w:val="auto"/>
                <w:sz w:val="21"/>
                <w:szCs w:val="21"/>
                <w:highlight w:val="none"/>
                <w:lang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vAlign w:val="center"/>
          </w:tcPr>
          <w:p>
            <w:pPr>
              <w:spacing w:line="300" w:lineRule="auto"/>
              <w:jc w:val="center"/>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w:t>
            </w:r>
          </w:p>
        </w:tc>
        <w:tc>
          <w:tcPr>
            <w:tcW w:w="2162"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照明系统</w:t>
            </w: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（1）外观整洁无缺损、无松落。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（2）更换的照明灯具应当选用节能环保产品，亮度与更换前保持一致。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62"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33"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（3）每周至少开展1次公共区域照明设备巡视。</w:t>
            </w:r>
          </w:p>
        </w:tc>
      </w:tr>
    </w:tbl>
    <w:p>
      <w:pPr>
        <w:spacing w:line="300" w:lineRule="auto"/>
        <w:ind w:firstLine="420" w:firstLineChars="200"/>
        <w:jc w:val="both"/>
        <w:rPr>
          <w:rFonts w:ascii="宋体" w:hAnsi="宋体" w:eastAsia="宋体" w:cs="楷体"/>
          <w:color w:val="auto"/>
          <w:sz w:val="21"/>
          <w:szCs w:val="21"/>
          <w:highlight w:val="none"/>
          <w:lang w:eastAsia="zh-CN"/>
        </w:rPr>
      </w:pPr>
      <w:r>
        <w:rPr>
          <w:rFonts w:hint="eastAsia" w:ascii="宋体" w:hAnsi="宋体" w:eastAsia="宋体" w:cs="楷体"/>
          <w:color w:val="auto"/>
          <w:sz w:val="21"/>
          <w:szCs w:val="21"/>
          <w:highlight w:val="none"/>
          <w:lang w:eastAsia="zh-CN"/>
        </w:rPr>
        <w:t>注：服务标准涉及的国家标准有更新的，执行国家最新标准。</w:t>
      </w:r>
    </w:p>
    <w:p>
      <w:pPr>
        <w:pStyle w:val="2"/>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3.</w:t>
      </w:r>
      <w:r>
        <w:rPr>
          <w:rFonts w:hint="eastAsia" w:ascii="宋体" w:hAnsi="宋体" w:eastAsia="宋体" w:cs="Calibri"/>
          <w:b/>
          <w:bCs/>
          <w:color w:val="auto"/>
          <w:sz w:val="21"/>
          <w:szCs w:val="21"/>
          <w:highlight w:val="none"/>
          <w:lang w:eastAsia="zh-CN"/>
        </w:rPr>
        <w:t>2.</w:t>
      </w:r>
      <w:r>
        <w:rPr>
          <w:rFonts w:hint="eastAsia" w:ascii="宋体" w:hAnsi="宋体" w:eastAsia="宋体" w:cs="Calibri"/>
          <w:b/>
          <w:bCs/>
          <w:color w:val="auto"/>
          <w:sz w:val="21"/>
          <w:szCs w:val="21"/>
          <w:highlight w:val="none"/>
        </w:rPr>
        <w:t>4</w:t>
      </w:r>
      <w:r>
        <w:rPr>
          <w:rFonts w:ascii="宋体" w:hAnsi="宋体" w:eastAsia="宋体" w:cs="Calibri"/>
          <w:b/>
          <w:bCs/>
          <w:color w:val="auto"/>
          <w:sz w:val="21"/>
          <w:szCs w:val="21"/>
          <w:highlight w:val="none"/>
        </w:rPr>
        <w:t>保洁服务</w:t>
      </w:r>
    </w:p>
    <w:tbl>
      <w:tblPr>
        <w:tblStyle w:val="16"/>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75"/>
        <w:gridCol w:w="6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序号</w:t>
            </w:r>
          </w:p>
        </w:tc>
        <w:tc>
          <w:tcPr>
            <w:tcW w:w="2175" w:type="dxa"/>
            <w:vAlign w:val="center"/>
          </w:tcPr>
          <w:p>
            <w:pPr>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服务内容</w:t>
            </w:r>
          </w:p>
        </w:tc>
        <w:tc>
          <w:tcPr>
            <w:tcW w:w="6215"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1</w:t>
            </w:r>
          </w:p>
        </w:tc>
        <w:tc>
          <w:tcPr>
            <w:tcW w:w="2175" w:type="dxa"/>
            <w:vMerge w:val="restart"/>
            <w:vAlign w:val="center"/>
          </w:tcPr>
          <w:p>
            <w:pPr>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基本要求</w:t>
            </w: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（1）建立保洁服务的工作制度及工作计划，并按照执行。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（2）做好保洁服务工作记录，记录填写规范、保存完好。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（3）作业时采取安全防护措施，防止对作业人员或他人造成伤害。相关耗材的环保、安全性等应当符合国家相关规定要求。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（4）进入保密区域时，有采购人相关人员全程在场。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6"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2</w:t>
            </w:r>
          </w:p>
        </w:tc>
        <w:tc>
          <w:tcPr>
            <w:tcW w:w="2175"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办公用房区域保洁</w:t>
            </w: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（1）大厅、楼内公共通道：</w:t>
            </w:r>
          </w:p>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①公共通道保持干净，无异味、无杂物、无积水，每日至少开展1次清洁作业。</w:t>
            </w:r>
          </w:p>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②门窗玻璃干净无尘，透光性好，每周至少开展1次清洁作业。</w:t>
            </w:r>
          </w:p>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③指示牌干净，无污渍，每日至少开展1次清洁作业。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（2）电器、消防等设施设备：</w:t>
            </w:r>
          </w:p>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①配电箱、设备机房、会议室音视频设备、消防栓及开关插座等保持表面干净，无尘无污迹，每月至少开展1次清洁作业。</w:t>
            </w:r>
          </w:p>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②监控摄像头、门禁系统等表面光亮，无尘、无斑点，每月至少开展1次清洁作业。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（3）楼梯及楼梯间保持干净、无异味、无杂物、无积水，每日至少开展1次清洁作业。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（4）开水间保持干净、无异味、无杂物、无积水，每日至少开展1次清洁作业。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（5）作业工具间：</w:t>
            </w:r>
          </w:p>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①保持干净，无异味、无杂物、无积水，每日至少开展1次清洁作业。</w:t>
            </w:r>
          </w:p>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②作业工具摆放整齐有序，表面干净无渍，每日消毒。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（6）公共卫生间：</w:t>
            </w:r>
          </w:p>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①保持干净，无异味，垃圾无溢出，每日至少开展1次清洁作业。</w:t>
            </w:r>
          </w:p>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②及时补充厕纸等必要用品。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（7）电梯轿厢：</w:t>
            </w:r>
          </w:p>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①保持干净，无污渍、无粘贴物、无异味，每日至少开展1次清洁作业。</w:t>
            </w:r>
          </w:p>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②灯具、操作指示板明亮。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（8）平台、屋顶、天沟保持干净，有杂物及时清扫，每月至少开展1次清洁作业。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（9）瓷砖地面、内墙做好养护工作，每季度开展1次清洁作业。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3</w:t>
            </w:r>
          </w:p>
        </w:tc>
        <w:tc>
          <w:tcPr>
            <w:tcW w:w="2175"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公共场地区域保洁</w:t>
            </w: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（1）每日清扫道路地面、停车场等公共区域2次，保持干净、无杂物、无积水。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（2）雪、冰冻等恶劣天气时及时清扫积水、积雪，并采取安全防护措施。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（3）各种路标、宣传栏等保持干净，每月至少开展1次清洁作业。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（4）清洁室外照明设备，每月至少开展1次清洁作业。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（5）绿地内无杂物、无改变用途和破坏、践踏、占用现象，每天至少开展1次巡查。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4</w:t>
            </w:r>
          </w:p>
        </w:tc>
        <w:tc>
          <w:tcPr>
            <w:tcW w:w="2175" w:type="dxa"/>
            <w:vMerge w:val="restart"/>
            <w:vAlign w:val="center"/>
          </w:tcPr>
          <w:p>
            <w:pPr>
              <w:spacing w:line="300" w:lineRule="auto"/>
              <w:jc w:val="both"/>
              <w:rPr>
                <w:rFonts w:ascii="宋体" w:hAnsi="宋体" w:eastAsia="宋体"/>
                <w:color w:val="auto"/>
                <w:sz w:val="21"/>
                <w:szCs w:val="21"/>
                <w:highlight w:val="none"/>
              </w:rPr>
            </w:pPr>
            <w:r>
              <w:rPr>
                <w:rFonts w:ascii="宋体" w:hAnsi="宋体" w:eastAsia="宋体" w:cs="Calibri"/>
                <w:color w:val="auto"/>
                <w:sz w:val="21"/>
                <w:szCs w:val="21"/>
                <w:highlight w:val="none"/>
              </w:rPr>
              <w:t>垃圾处理</w:t>
            </w:r>
            <w:r>
              <w:rPr>
                <w:rFonts w:hint="eastAsia" w:ascii="宋体" w:hAnsi="宋体" w:eastAsia="宋体" w:cs="Calibri"/>
                <w:color w:val="auto"/>
                <w:sz w:val="21"/>
                <w:szCs w:val="21"/>
                <w:highlight w:val="none"/>
              </w:rPr>
              <w:t>、清运</w:t>
            </w: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（1）在指定位置摆放分类垃圾桶，并在显著处张贴垃圾分类标识。分类垃圾桶和垃圾分类标识根据所在城市的要求设置。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（2）桶身表面干净无污渍，每日开展至少1次清洁作业。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（3）垃圾中转房保持整洁，无明显异味，每日至少开展1次清洁作业。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olor w:val="auto"/>
                <w:sz w:val="21"/>
                <w:szCs w:val="21"/>
                <w:highlight w:val="none"/>
                <w:lang w:eastAsia="zh-CN"/>
              </w:rPr>
              <w:t>（4）化粪池清掏，无明显异味，每半年至少开展1次清洁作业。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（5）每个工作日内要对楼层产生的垃圾，进行清理分类，并运至垃圾集中堆放点。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（6）垃圾装袋，日产日清。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w:t>
            </w:r>
            <w:r>
              <w:rPr>
                <w:rFonts w:hint="eastAsia" w:ascii="宋体" w:hAnsi="宋体" w:eastAsia="宋体"/>
                <w:color w:val="auto"/>
                <w:sz w:val="21"/>
                <w:szCs w:val="21"/>
                <w:highlight w:val="none"/>
                <w:lang w:eastAsia="zh-CN"/>
              </w:rPr>
              <w:t>配合</w:t>
            </w:r>
            <w:r>
              <w:rPr>
                <w:rFonts w:hint="eastAsia" w:ascii="宋体" w:hAnsi="宋体" w:eastAsia="宋体" w:cs="宋体"/>
                <w:color w:val="auto"/>
                <w:sz w:val="21"/>
                <w:szCs w:val="21"/>
                <w:highlight w:val="none"/>
                <w:lang w:eastAsia="zh-CN"/>
              </w:rPr>
              <w:t>环卫部门</w:t>
            </w:r>
            <w:r>
              <w:rPr>
                <w:rFonts w:hint="eastAsia" w:ascii="宋体" w:hAnsi="宋体" w:eastAsia="宋体"/>
                <w:color w:val="auto"/>
                <w:sz w:val="21"/>
                <w:szCs w:val="21"/>
                <w:highlight w:val="none"/>
                <w:lang w:eastAsia="zh-CN"/>
              </w:rPr>
              <w:t>做好垃圾中转站管理，</w:t>
            </w:r>
            <w:r>
              <w:rPr>
                <w:rFonts w:hint="eastAsia" w:ascii="宋体" w:hAnsi="宋体" w:eastAsia="宋体" w:cs="Calibri"/>
                <w:color w:val="auto"/>
                <w:sz w:val="21"/>
                <w:szCs w:val="21"/>
                <w:highlight w:val="none"/>
                <w:lang w:eastAsia="zh-CN"/>
              </w:rPr>
              <w:t>建立垃圾清运台账，</w:t>
            </w:r>
            <w:r>
              <w:rPr>
                <w:rFonts w:hint="eastAsia" w:ascii="宋体" w:hAnsi="宋体" w:eastAsia="宋体" w:cs="宋体"/>
                <w:color w:val="auto"/>
                <w:sz w:val="21"/>
                <w:szCs w:val="21"/>
                <w:highlight w:val="none"/>
                <w:lang w:eastAsia="zh-CN"/>
              </w:rPr>
              <w:t>并联系环卫部门</w:t>
            </w:r>
            <w:r>
              <w:rPr>
                <w:rFonts w:hint="eastAsia" w:ascii="宋体" w:hAnsi="宋体" w:eastAsia="宋体" w:cs="Calibri"/>
                <w:color w:val="auto"/>
                <w:sz w:val="21"/>
                <w:szCs w:val="21"/>
                <w:highlight w:val="none"/>
                <w:lang w:eastAsia="zh-CN"/>
              </w:rPr>
              <w:t>每天定时</w:t>
            </w:r>
            <w:r>
              <w:rPr>
                <w:rFonts w:hint="eastAsia" w:ascii="宋体" w:hAnsi="宋体" w:eastAsia="宋体" w:cs="宋体"/>
                <w:color w:val="auto"/>
                <w:sz w:val="21"/>
                <w:szCs w:val="21"/>
                <w:highlight w:val="none"/>
                <w:lang w:eastAsia="zh-CN"/>
              </w:rPr>
              <w:t>运出</w:t>
            </w:r>
            <w:r>
              <w:rPr>
                <w:rFonts w:hint="eastAsia" w:ascii="宋体" w:hAnsi="宋体" w:eastAsia="宋体" w:cs="Calibri"/>
                <w:color w:val="auto"/>
                <w:sz w:val="21"/>
                <w:szCs w:val="21"/>
                <w:highlight w:val="none"/>
                <w:lang w:eastAsia="zh-CN"/>
              </w:rPr>
              <w:t>处理2次</w:t>
            </w:r>
            <w:r>
              <w:rPr>
                <w:rFonts w:hint="eastAsia" w:ascii="宋体" w:hAnsi="宋体" w:eastAsia="宋体" w:cs="宋体"/>
                <w:color w:val="auto"/>
                <w:sz w:val="21"/>
                <w:szCs w:val="21"/>
                <w:highlight w:val="none"/>
                <w:lang w:eastAsia="zh-CN"/>
              </w:rPr>
              <w:t>，相关费用（环卫部门每年收费20万元）包含在物业管理服务采购合同金额之内。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w:t>
            </w:r>
            <w:r>
              <w:rPr>
                <w:rFonts w:ascii="宋体" w:hAnsi="宋体" w:eastAsia="宋体" w:cs="Calibri"/>
                <w:color w:val="auto"/>
                <w:sz w:val="21"/>
                <w:szCs w:val="21"/>
                <w:highlight w:val="none"/>
                <w:lang w:eastAsia="zh-CN"/>
              </w:rPr>
              <w:t>做好垃圾分类管理的宣传工作，督促并引导全员参与垃圾分类投放</w:t>
            </w:r>
            <w:r>
              <w:rPr>
                <w:rFonts w:hint="eastAsia" w:ascii="宋体" w:hAnsi="宋体" w:eastAsia="宋体" w:cs="Calibr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（9）垃圾分类投放管理工作的执行标准，按所在城市的要求执行。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6" w:type="dxa"/>
            <w:vMerge w:val="restart"/>
            <w:vAlign w:val="center"/>
          </w:tcPr>
          <w:p>
            <w:pPr>
              <w:keepNext/>
              <w:spacing w:before="240" w:after="60" w:line="300" w:lineRule="auto"/>
              <w:jc w:val="center"/>
              <w:outlineLvl w:val="0"/>
              <w:rPr>
                <w:rFonts w:ascii="宋体" w:hAnsi="宋体" w:eastAsia="宋体" w:cs="Calibri"/>
                <w:b w:val="0"/>
                <w:bCs w:val="0"/>
                <w:color w:val="auto"/>
                <w:kern w:val="0"/>
                <w:sz w:val="21"/>
                <w:szCs w:val="21"/>
                <w:highlight w:val="none"/>
              </w:rPr>
            </w:pPr>
            <w:r>
              <w:rPr>
                <w:rFonts w:ascii="宋体" w:hAnsi="宋体" w:eastAsia="宋体" w:cs="Calibri"/>
                <w:color w:val="auto"/>
                <w:sz w:val="21"/>
                <w:szCs w:val="21"/>
                <w:highlight w:val="none"/>
              </w:rPr>
              <w:t>5</w:t>
            </w:r>
          </w:p>
        </w:tc>
        <w:tc>
          <w:tcPr>
            <w:tcW w:w="2175" w:type="dxa"/>
            <w:vMerge w:val="restart"/>
            <w:vAlign w:val="center"/>
          </w:tcPr>
          <w:p>
            <w:pPr>
              <w:keepNext/>
              <w:spacing w:before="240" w:after="60" w:line="300" w:lineRule="auto"/>
              <w:jc w:val="both"/>
              <w:outlineLvl w:val="0"/>
              <w:rPr>
                <w:rFonts w:ascii="宋体" w:hAnsi="宋体" w:eastAsia="宋体" w:cs="Calibri"/>
                <w:b w:val="0"/>
                <w:bCs w:val="0"/>
                <w:color w:val="auto"/>
                <w:kern w:val="0"/>
                <w:sz w:val="21"/>
                <w:szCs w:val="21"/>
                <w:highlight w:val="none"/>
              </w:rPr>
            </w:pPr>
            <w:r>
              <w:rPr>
                <w:rFonts w:ascii="宋体" w:hAnsi="宋体" w:eastAsia="宋体" w:cs="Calibri"/>
                <w:color w:val="auto"/>
                <w:sz w:val="21"/>
                <w:szCs w:val="21"/>
                <w:highlight w:val="none"/>
              </w:rPr>
              <w:t>卫生消毒</w:t>
            </w: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1）办公用房区域、公共场所区域和周围环境预防性卫生消毒，消毒后及时通风，每周至少开展1次作业。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2）</w:t>
            </w:r>
            <w:r>
              <w:rPr>
                <w:rFonts w:hint="eastAsia" w:ascii="宋体" w:hAnsi="宋体" w:eastAsia="宋体" w:cs="Calibri"/>
                <w:color w:val="auto"/>
                <w:kern w:val="2"/>
                <w:sz w:val="21"/>
                <w:szCs w:val="21"/>
                <w:highlight w:val="none"/>
                <w:lang w:eastAsia="zh-CN"/>
              </w:rPr>
              <w:t>采取综合措施消灭老鼠、蟑螂，控制室内外蚊虫孳生，达到基本无蝇，每季度至少开展</w:t>
            </w:r>
            <w:r>
              <w:rPr>
                <w:rFonts w:ascii="宋体" w:hAnsi="宋体" w:eastAsia="宋体" w:cs="Calibri"/>
                <w:color w:val="auto"/>
                <w:kern w:val="2"/>
                <w:sz w:val="21"/>
                <w:szCs w:val="21"/>
                <w:highlight w:val="none"/>
                <w:lang w:eastAsia="zh-CN"/>
              </w:rPr>
              <w:t>1次作业</w:t>
            </w:r>
            <w:r>
              <w:rPr>
                <w:rFonts w:hint="eastAsia" w:ascii="宋体" w:hAnsi="宋体" w:eastAsia="宋体" w:cs="Calibri"/>
                <w:color w:val="auto"/>
                <w:kern w:val="2"/>
                <w:sz w:val="21"/>
                <w:szCs w:val="21"/>
                <w:highlight w:val="none"/>
                <w:lang w:eastAsia="zh-CN"/>
              </w:rPr>
              <w:t>。灭鼠、灭蚊、灭苍蝇、灭蟑螂达到全国爱国卫生运动委员会及上海市爱国卫生运动委员会规定的标准。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5"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215"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3）</w:t>
            </w:r>
            <w:r>
              <w:rPr>
                <w:rFonts w:hint="eastAsia" w:ascii="宋体" w:hAnsi="宋体" w:eastAsia="宋体"/>
                <w:color w:val="auto"/>
                <w:kern w:val="2"/>
                <w:sz w:val="21"/>
                <w:szCs w:val="21"/>
                <w:highlight w:val="none"/>
                <w:lang w:eastAsia="zh-CN"/>
              </w:rPr>
              <w:t>在化学防治中注重科学合理用药，不使用国家禁用药品。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6" w:type="dxa"/>
            <w:vAlign w:val="center"/>
          </w:tcPr>
          <w:p>
            <w:pPr>
              <w:spacing w:line="300" w:lineRule="auto"/>
              <w:jc w:val="center"/>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6</w:t>
            </w:r>
          </w:p>
        </w:tc>
        <w:tc>
          <w:tcPr>
            <w:tcW w:w="2175" w:type="dxa"/>
            <w:vAlign w:val="center"/>
          </w:tcPr>
          <w:p>
            <w:pPr>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清洗服务</w:t>
            </w:r>
          </w:p>
        </w:tc>
        <w:tc>
          <w:tcPr>
            <w:tcW w:w="6215" w:type="dxa"/>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提供值班室床单等物品的清洗和熨烫服务。</w:t>
            </w:r>
          </w:p>
        </w:tc>
      </w:tr>
    </w:tbl>
    <w:p>
      <w:pPr>
        <w:pStyle w:val="2"/>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3.2.4.1具体清洁要求</w:t>
      </w:r>
    </w:p>
    <w:tbl>
      <w:tblPr>
        <w:tblStyle w:val="16"/>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167"/>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序号</w:t>
            </w:r>
          </w:p>
        </w:tc>
        <w:tc>
          <w:tcPr>
            <w:tcW w:w="2167"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材质</w:t>
            </w:r>
          </w:p>
        </w:tc>
        <w:tc>
          <w:tcPr>
            <w:tcW w:w="6137" w:type="dxa"/>
            <w:vAlign w:val="center"/>
          </w:tcPr>
          <w:p>
            <w:pPr>
              <w:widowControl w:val="0"/>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vAlign w:val="center"/>
          </w:tcPr>
          <w:p>
            <w:pPr>
              <w:widowControl w:val="0"/>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1</w:t>
            </w:r>
          </w:p>
        </w:tc>
        <w:tc>
          <w:tcPr>
            <w:tcW w:w="2167"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环氧地坪地面</w:t>
            </w: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w:t>
            </w:r>
            <w:r>
              <w:rPr>
                <w:rFonts w:ascii="宋体" w:hAnsi="宋体" w:eastAsia="宋体" w:cs="Calibri"/>
                <w:color w:val="auto"/>
                <w:sz w:val="21"/>
                <w:szCs w:val="21"/>
                <w:highlight w:val="none"/>
                <w:lang w:eastAsia="zh-CN"/>
              </w:rPr>
              <w:t>清理垃圾：清理地面上的垃圾和杂物。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2167"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w:t>
            </w:r>
            <w:r>
              <w:rPr>
                <w:rFonts w:ascii="宋体" w:hAnsi="宋体" w:eastAsia="宋体" w:cs="Calibri"/>
                <w:color w:val="auto"/>
                <w:sz w:val="21"/>
                <w:szCs w:val="21"/>
                <w:highlight w:val="none"/>
                <w:lang w:eastAsia="zh-CN"/>
              </w:rPr>
              <w:t>清洗地面：用专业的清洁剂或去污剂清洗地面。清洁剂和去污剂的选取要根据污垢的性质而定。环氧地坪一般使用弱酸性或弱碱性的清洁剂，避免使用酸性或碱性强的清洁剂。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2167"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w:t>
            </w:r>
            <w:r>
              <w:rPr>
                <w:rFonts w:ascii="宋体" w:hAnsi="宋体" w:eastAsia="宋体" w:cs="Calibri"/>
                <w:color w:val="auto"/>
                <w:sz w:val="21"/>
                <w:szCs w:val="21"/>
                <w:highlight w:val="none"/>
                <w:lang w:eastAsia="zh-CN"/>
              </w:rPr>
              <w:t>滚刷或颗粒机进行深层清洗：对于顽固沉积物，需要使用滚刷或颗粒机进行深层清洗。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2167"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w:t>
            </w:r>
            <w:r>
              <w:rPr>
                <w:rFonts w:ascii="宋体" w:hAnsi="宋体" w:eastAsia="宋体" w:cs="Calibri"/>
                <w:color w:val="auto"/>
                <w:sz w:val="21"/>
                <w:szCs w:val="21"/>
                <w:highlight w:val="none"/>
                <w:lang w:eastAsia="zh-CN"/>
              </w:rPr>
              <w:t>浸泡：将清洁剂或去污剂浸泡在环氧地坪上，加强去除污渍的效果。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2167"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w:t>
            </w:r>
            <w:r>
              <w:rPr>
                <w:rFonts w:ascii="宋体" w:hAnsi="宋体" w:eastAsia="宋体" w:cs="Calibri"/>
                <w:color w:val="auto"/>
                <w:sz w:val="21"/>
                <w:szCs w:val="21"/>
                <w:highlight w:val="none"/>
                <w:lang w:eastAsia="zh-CN"/>
              </w:rPr>
              <w:t>冲洗：用清水将地面冲洗干净，以去除残留的清洁剂或去污剂。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vAlign w:val="center"/>
          </w:tcPr>
          <w:p>
            <w:pPr>
              <w:widowControl w:val="0"/>
              <w:spacing w:line="300" w:lineRule="auto"/>
              <w:jc w:val="center"/>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w:t>
            </w:r>
          </w:p>
        </w:tc>
        <w:tc>
          <w:tcPr>
            <w:tcW w:w="2167"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瓷砖地面</w:t>
            </w: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（1）日常清洁：推尘，保持地面干净无杂物。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2167"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613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（2）深度清洁：使用洗洁精或肥皂水清理。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vAlign w:val="center"/>
          </w:tcPr>
          <w:p>
            <w:pPr>
              <w:widowControl w:val="0"/>
              <w:spacing w:line="300" w:lineRule="auto"/>
              <w:jc w:val="center"/>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w:t>
            </w:r>
          </w:p>
        </w:tc>
        <w:tc>
          <w:tcPr>
            <w:tcW w:w="2167" w:type="dxa"/>
            <w:vMerge w:val="restart"/>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地板地面</w:t>
            </w: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w:t>
            </w:r>
            <w:r>
              <w:rPr>
                <w:rFonts w:ascii="宋体" w:hAnsi="宋体" w:eastAsia="宋体" w:cs="Calibri"/>
                <w:color w:val="auto"/>
                <w:sz w:val="21"/>
                <w:szCs w:val="21"/>
                <w:highlight w:val="none"/>
                <w:lang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vAlign w:val="center"/>
          </w:tcPr>
          <w:p>
            <w:pPr>
              <w:widowControl w:val="0"/>
              <w:spacing w:line="300" w:lineRule="auto"/>
              <w:jc w:val="center"/>
              <w:rPr>
                <w:rFonts w:ascii="宋体" w:hAnsi="宋体" w:eastAsia="宋体" w:cs="Calibri"/>
                <w:color w:val="auto"/>
                <w:sz w:val="21"/>
                <w:szCs w:val="21"/>
                <w:highlight w:val="none"/>
                <w:lang w:eastAsia="zh-CN"/>
              </w:rPr>
            </w:pPr>
          </w:p>
        </w:tc>
        <w:tc>
          <w:tcPr>
            <w:tcW w:w="2167" w:type="dxa"/>
            <w:vMerge w:val="continue"/>
            <w:vAlign w:val="center"/>
          </w:tcPr>
          <w:p>
            <w:pPr>
              <w:widowControl w:val="0"/>
              <w:spacing w:line="300" w:lineRule="auto"/>
              <w:jc w:val="both"/>
              <w:rPr>
                <w:rFonts w:ascii="宋体" w:hAnsi="宋体" w:eastAsia="宋体" w:cs="Calibri"/>
                <w:color w:val="auto"/>
                <w:sz w:val="21"/>
                <w:szCs w:val="21"/>
                <w:highlight w:val="none"/>
                <w:lang w:eastAsia="zh-CN"/>
              </w:rPr>
            </w:pP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w:t>
            </w:r>
            <w:r>
              <w:rPr>
                <w:rFonts w:ascii="宋体" w:hAnsi="宋体" w:eastAsia="宋体" w:cs="Calibri"/>
                <w:color w:val="auto"/>
                <w:sz w:val="21"/>
                <w:szCs w:val="21"/>
                <w:highlight w:val="none"/>
                <w:lang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Align w:val="center"/>
          </w:tcPr>
          <w:p>
            <w:pPr>
              <w:widowControl w:val="0"/>
              <w:spacing w:line="300" w:lineRule="auto"/>
              <w:jc w:val="center"/>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w:t>
            </w:r>
          </w:p>
        </w:tc>
        <w:tc>
          <w:tcPr>
            <w:tcW w:w="216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乳胶漆内墙</w:t>
            </w: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Align w:val="center"/>
          </w:tcPr>
          <w:p>
            <w:pPr>
              <w:widowControl w:val="0"/>
              <w:spacing w:line="300" w:lineRule="auto"/>
              <w:jc w:val="center"/>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w:t>
            </w:r>
          </w:p>
        </w:tc>
        <w:tc>
          <w:tcPr>
            <w:tcW w:w="216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木饰面内墙</w:t>
            </w: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有污渍时用中性清洁剂、半干布擦拭。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Align w:val="center"/>
          </w:tcPr>
          <w:p>
            <w:pPr>
              <w:widowControl w:val="0"/>
              <w:spacing w:line="300" w:lineRule="auto"/>
              <w:jc w:val="center"/>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w:t>
            </w:r>
          </w:p>
        </w:tc>
        <w:tc>
          <w:tcPr>
            <w:tcW w:w="216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石材内墙</w:t>
            </w: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Align w:val="center"/>
          </w:tcPr>
          <w:p>
            <w:pPr>
              <w:widowControl w:val="0"/>
              <w:spacing w:line="300" w:lineRule="auto"/>
              <w:jc w:val="center"/>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w:t>
            </w:r>
          </w:p>
        </w:tc>
        <w:tc>
          <w:tcPr>
            <w:tcW w:w="2167" w:type="dxa"/>
            <w:vAlign w:val="center"/>
          </w:tcPr>
          <w:p>
            <w:pPr>
              <w:widowControl w:val="0"/>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金属板内墙</w:t>
            </w:r>
          </w:p>
        </w:tc>
        <w:tc>
          <w:tcPr>
            <w:tcW w:w="6137" w:type="dxa"/>
            <w:vAlign w:val="center"/>
          </w:tcPr>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有污渍时用半干布擦拭。</w:t>
            </w:r>
          </w:p>
        </w:tc>
      </w:tr>
    </w:tbl>
    <w:p>
      <w:pPr>
        <w:pStyle w:val="2"/>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3.</w:t>
      </w:r>
      <w:r>
        <w:rPr>
          <w:rFonts w:hint="eastAsia" w:ascii="宋体" w:hAnsi="宋体" w:eastAsia="宋体" w:cs="Calibri"/>
          <w:b/>
          <w:bCs/>
          <w:color w:val="auto"/>
          <w:sz w:val="21"/>
          <w:szCs w:val="21"/>
          <w:highlight w:val="none"/>
          <w:lang w:eastAsia="zh-CN"/>
        </w:rPr>
        <w:t>2.</w:t>
      </w:r>
      <w:r>
        <w:rPr>
          <w:rFonts w:hint="eastAsia" w:ascii="宋体" w:hAnsi="宋体" w:eastAsia="宋体" w:cs="Calibri"/>
          <w:b/>
          <w:bCs/>
          <w:color w:val="auto"/>
          <w:sz w:val="21"/>
          <w:szCs w:val="21"/>
          <w:highlight w:val="none"/>
        </w:rPr>
        <w:t>5</w:t>
      </w:r>
      <w:r>
        <w:rPr>
          <w:rFonts w:ascii="宋体" w:hAnsi="宋体" w:eastAsia="宋体" w:cs="Calibri"/>
          <w:b/>
          <w:bCs/>
          <w:color w:val="auto"/>
          <w:sz w:val="21"/>
          <w:szCs w:val="21"/>
          <w:highlight w:val="none"/>
        </w:rPr>
        <w:t>绿化服务</w:t>
      </w:r>
    </w:p>
    <w:tbl>
      <w:tblPr>
        <w:tblStyle w:val="16"/>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74"/>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序号</w:t>
            </w:r>
          </w:p>
        </w:tc>
        <w:tc>
          <w:tcPr>
            <w:tcW w:w="2174" w:type="dxa"/>
            <w:vAlign w:val="center"/>
          </w:tcPr>
          <w:p>
            <w:pPr>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服务内容</w:t>
            </w:r>
          </w:p>
        </w:tc>
        <w:tc>
          <w:tcPr>
            <w:tcW w:w="6181"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1</w:t>
            </w:r>
          </w:p>
        </w:tc>
        <w:tc>
          <w:tcPr>
            <w:tcW w:w="2174" w:type="dxa"/>
            <w:vMerge w:val="restart"/>
            <w:vAlign w:val="center"/>
          </w:tcPr>
          <w:p>
            <w:pPr>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基本要求</w:t>
            </w: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（1）制定绿化服务的工作制度及工作计划，并按照执行。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4"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（2）做好绿化服务工作记录，填写规范。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4"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4"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（4）相关耗材的环保、安全性应当符合规定要求。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2</w:t>
            </w:r>
          </w:p>
        </w:tc>
        <w:tc>
          <w:tcPr>
            <w:tcW w:w="2174" w:type="dxa"/>
            <w:vMerge w:val="restart"/>
            <w:vAlign w:val="center"/>
          </w:tcPr>
          <w:p>
            <w:pPr>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室外绿化养护</w:t>
            </w: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（1）根据生长环境、植物特性进行除草、灌溉、施肥、整形修剪、防治病虫害等。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4"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（2）根据生长情况修剪绿地，绿地内无枯草、无杂物，无干枯坏死和病虫侵害，基本无裸露土地。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4"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（3）定期修剪树木、花卉等，</w:t>
            </w:r>
            <w:r>
              <w:rPr>
                <w:rFonts w:ascii="宋体" w:hAnsi="宋体" w:eastAsia="宋体" w:cs="Calibri"/>
                <w:color w:val="auto"/>
                <w:sz w:val="21"/>
                <w:szCs w:val="21"/>
                <w:highlight w:val="none"/>
                <w:lang w:eastAsia="zh-CN"/>
              </w:rPr>
              <w:t>灌乔木生长正常、造型美观自然、花枝新鲜，无枯叶、无病虫、无死树缺株</w:t>
            </w:r>
            <w:r>
              <w:rPr>
                <w:rFonts w:hint="eastAsia" w:ascii="宋体" w:hAnsi="宋体" w:eastAsia="宋体" w:cs="Calibr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4"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（4）绿篱生长造型正常，颜色正常，修剪及时，基本无死株和干死株，有虫株率在10%以下。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4"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4"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（6）水池水面定期清理，无枯枝落叶、水质清洁。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4"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（7）根据病虫害发生规律实施综合治理，通常在病虫率高时，以药剂杀死病虫，以确保植物良好生长。产生垃圾的主要区域和路段做到日产日清。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4"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（8）雨雪、冰冻等恶劣天气来临前，专人巡查，对绿植做好预防措施，排除安全隐患。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4"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（9）恶劣天气后，及时清除倒树断枝，疏通道路，尽快恢复原状。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3</w:t>
            </w:r>
          </w:p>
        </w:tc>
        <w:tc>
          <w:tcPr>
            <w:tcW w:w="2174" w:type="dxa"/>
            <w:vAlign w:val="center"/>
          </w:tcPr>
          <w:p>
            <w:pPr>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室内绿化租摆</w:t>
            </w:r>
          </w:p>
        </w:tc>
        <w:tc>
          <w:tcPr>
            <w:tcW w:w="6181"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提供本项目各</w:t>
            </w:r>
            <w:r>
              <w:rPr>
                <w:rFonts w:hint="eastAsia" w:ascii="宋体" w:hAnsi="宋体" w:eastAsia="宋体" w:cs="宋体"/>
                <w:color w:val="auto"/>
                <w:sz w:val="21"/>
                <w:szCs w:val="21"/>
                <w:highlight w:val="none"/>
                <w:lang w:eastAsia="zh-CN"/>
              </w:rPr>
              <w:t>物业</w:t>
            </w:r>
            <w:r>
              <w:rPr>
                <w:rFonts w:hint="eastAsia" w:ascii="宋体" w:hAnsi="宋体" w:eastAsia="宋体" w:cs="Calibri"/>
                <w:color w:val="auto"/>
                <w:sz w:val="21"/>
                <w:szCs w:val="21"/>
                <w:highlight w:val="none"/>
                <w:lang w:eastAsia="zh-CN"/>
              </w:rPr>
              <w:t>点的室内绿化租摆服务。</w:t>
            </w:r>
          </w:p>
          <w:p>
            <w:p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①绿化数量要求：</w:t>
            </w:r>
          </w:p>
          <w:p>
            <w:p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大堂1</w:t>
            </w:r>
            <w:r>
              <w:rPr>
                <w:rFonts w:ascii="宋体" w:hAnsi="宋体" w:eastAsia="宋体" w:cs="Calibri"/>
                <w:color w:val="auto"/>
                <w:sz w:val="21"/>
                <w:szCs w:val="21"/>
                <w:highlight w:val="none"/>
                <w:lang w:eastAsia="zh-CN"/>
              </w:rPr>
              <w:t>个</w:t>
            </w:r>
            <w:r>
              <w:rPr>
                <w:rFonts w:hint="eastAsia" w:ascii="宋体" w:hAnsi="宋体" w:eastAsia="宋体" w:cs="Calibri"/>
                <w:color w:val="auto"/>
                <w:sz w:val="21"/>
                <w:szCs w:val="21"/>
                <w:highlight w:val="none"/>
                <w:lang w:eastAsia="zh-CN"/>
              </w:rPr>
              <w:t>，摆放应季常见小盆栽不少于26盆，大型绿植不少于12盆；</w:t>
            </w:r>
          </w:p>
          <w:p>
            <w:p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餐厅1</w:t>
            </w:r>
            <w:r>
              <w:rPr>
                <w:rFonts w:ascii="宋体" w:hAnsi="宋体" w:eastAsia="宋体" w:cs="Calibri"/>
                <w:color w:val="auto"/>
                <w:sz w:val="21"/>
                <w:szCs w:val="21"/>
                <w:highlight w:val="none"/>
                <w:lang w:eastAsia="zh-CN"/>
              </w:rPr>
              <w:t>个</w:t>
            </w:r>
            <w:r>
              <w:rPr>
                <w:rFonts w:hint="eastAsia" w:ascii="宋体" w:hAnsi="宋体" w:eastAsia="宋体" w:cs="Calibri"/>
                <w:color w:val="auto"/>
                <w:sz w:val="21"/>
                <w:szCs w:val="21"/>
                <w:highlight w:val="none"/>
                <w:lang w:eastAsia="zh-CN"/>
              </w:rPr>
              <w:t>，摆放应季常见小盆栽不少于6盆，大型绿植不少于4盆；</w:t>
            </w:r>
          </w:p>
          <w:p>
            <w:p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公共区域45个，每个公共区域过道走廊摆放应季常见绿植6盆 大型植物不少于2盆。</w:t>
            </w:r>
          </w:p>
          <w:p>
            <w:p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②绿化外观要求：叶片光泽、花朵鲜艳，叶子健壮，叶色正常，在正常的条件下不黄叶、不焦叶、不落叶，土壤表层无杂物、无枯叶。</w:t>
            </w:r>
          </w:p>
          <w:p>
            <w:pPr>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③绿化摆放要求：布局合理、均匀、疏密有度，盆栽植物的色彩、形态和气质应与空间大小、装饰氛围及功能相协调。</w:t>
            </w:r>
          </w:p>
        </w:tc>
      </w:tr>
    </w:tbl>
    <w:p>
      <w:pPr>
        <w:pStyle w:val="2"/>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3.</w:t>
      </w:r>
      <w:r>
        <w:rPr>
          <w:rFonts w:hint="eastAsia" w:ascii="宋体" w:hAnsi="宋体" w:eastAsia="宋体" w:cs="Calibri"/>
          <w:b/>
          <w:bCs/>
          <w:color w:val="auto"/>
          <w:sz w:val="21"/>
          <w:szCs w:val="21"/>
          <w:highlight w:val="none"/>
          <w:lang w:eastAsia="zh-CN"/>
        </w:rPr>
        <w:t>2.</w:t>
      </w:r>
      <w:r>
        <w:rPr>
          <w:rFonts w:hint="eastAsia" w:ascii="宋体" w:hAnsi="宋体" w:eastAsia="宋体" w:cs="Calibri"/>
          <w:b/>
          <w:bCs/>
          <w:color w:val="auto"/>
          <w:sz w:val="21"/>
          <w:szCs w:val="21"/>
          <w:highlight w:val="none"/>
        </w:rPr>
        <w:t>6保安服务</w:t>
      </w:r>
    </w:p>
    <w:tbl>
      <w:tblPr>
        <w:tblStyle w:val="16"/>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序号</w:t>
            </w:r>
          </w:p>
        </w:tc>
        <w:tc>
          <w:tcPr>
            <w:tcW w:w="2173" w:type="dxa"/>
            <w:vAlign w:val="center"/>
          </w:tcPr>
          <w:p>
            <w:pPr>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服务内容</w:t>
            </w:r>
          </w:p>
        </w:tc>
        <w:tc>
          <w:tcPr>
            <w:tcW w:w="6149"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1</w:t>
            </w:r>
          </w:p>
        </w:tc>
        <w:tc>
          <w:tcPr>
            <w:tcW w:w="2173"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基本要求</w:t>
            </w: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（1）建立保安服务相关制度，并按照执行。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（2）对巡查、值守及异常情况等做好相关记录，填写规范，保存完好。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（3）配备保安服务必要的器材。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2</w:t>
            </w:r>
          </w:p>
        </w:tc>
        <w:tc>
          <w:tcPr>
            <w:tcW w:w="2173"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出入管理</w:t>
            </w: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（1）办公楼（区）主出入口应当实行24小时值班制。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rPr>
            </w:pPr>
          </w:p>
        </w:tc>
        <w:tc>
          <w:tcPr>
            <w:tcW w:w="2173" w:type="dxa"/>
            <w:vMerge w:val="continue"/>
            <w:vAlign w:val="center"/>
          </w:tcPr>
          <w:p>
            <w:pPr>
              <w:spacing w:line="300" w:lineRule="auto"/>
              <w:jc w:val="both"/>
              <w:rPr>
                <w:rFonts w:ascii="宋体" w:hAnsi="宋体" w:eastAsia="宋体" w:cs="Calibri"/>
                <w:color w:val="auto"/>
                <w:sz w:val="21"/>
                <w:szCs w:val="21"/>
                <w:highlight w:val="none"/>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（3）在出入口对外来人员及其携带大件物品、外来车辆进行询问和记录，并与相关部门取得联系，同意后方可进入。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（4）大件物品搬出有相关部门开具的证明和清单，经核实后放行。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（5）排查可疑人员，对于不出示证件、不按规定登记、不听劝阻而强行闯入者，及时劝离，必要时通知公安机关进行处理。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（6）配合相关部门积极疏导外来人员，有效疏导如出入口人群集聚、车辆拥堵、货物堵塞道路等情况。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（8）</w:t>
            </w:r>
            <w:r>
              <w:rPr>
                <w:rFonts w:ascii="宋体" w:hAnsi="宋体" w:eastAsia="宋体" w:cs="Calibri"/>
                <w:color w:val="auto"/>
                <w:sz w:val="21"/>
                <w:szCs w:val="21"/>
                <w:highlight w:val="none"/>
                <w:lang w:eastAsia="zh-CN"/>
              </w:rPr>
              <w:t>提供现场接待服务。</w:t>
            </w:r>
          </w:p>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①做好来访人员、车辆进出证件登记，及时通报</w:t>
            </w:r>
            <w:r>
              <w:rPr>
                <w:rFonts w:hint="eastAsia" w:ascii="宋体" w:hAnsi="宋体" w:eastAsia="宋体" w:cs="Calibri"/>
                <w:color w:val="auto"/>
                <w:sz w:val="21"/>
                <w:szCs w:val="21"/>
                <w:highlight w:val="none"/>
                <w:lang w:eastAsia="zh-CN"/>
              </w:rPr>
              <w:t>。</w:t>
            </w:r>
          </w:p>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②严禁无关人员、可疑人员和危险物品进入办公楼（区）内。</w:t>
            </w:r>
          </w:p>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③物品摆放整齐有序、分类放置。</w:t>
            </w:r>
          </w:p>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④现场办理等待时间不超过5分钟，等待较长时间应</w:t>
            </w:r>
            <w:r>
              <w:rPr>
                <w:rFonts w:hint="eastAsia" w:ascii="宋体" w:hAnsi="宋体" w:eastAsia="宋体" w:cs="Calibri"/>
                <w:color w:val="auto"/>
                <w:sz w:val="21"/>
                <w:szCs w:val="21"/>
                <w:highlight w:val="none"/>
                <w:lang w:eastAsia="zh-CN"/>
              </w:rPr>
              <w:t>当</w:t>
            </w:r>
            <w:r>
              <w:rPr>
                <w:rFonts w:ascii="宋体" w:hAnsi="宋体" w:eastAsia="宋体" w:cs="Calibri"/>
                <w:color w:val="auto"/>
                <w:sz w:val="21"/>
                <w:szCs w:val="21"/>
                <w:highlight w:val="none"/>
                <w:lang w:eastAsia="zh-CN"/>
              </w:rPr>
              <w:t>及时沟通。</w:t>
            </w:r>
          </w:p>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⑤对来访人员咨询、建议、求助等事项，及时处理或答复，处理和答复率100%。</w:t>
            </w:r>
          </w:p>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⑥接待服务工作时间应</w:t>
            </w:r>
            <w:r>
              <w:rPr>
                <w:rFonts w:hint="eastAsia" w:ascii="宋体" w:hAnsi="宋体" w:eastAsia="宋体" w:cs="Calibri"/>
                <w:color w:val="auto"/>
                <w:sz w:val="21"/>
                <w:szCs w:val="21"/>
                <w:highlight w:val="none"/>
                <w:lang w:eastAsia="zh-CN"/>
              </w:rPr>
              <w:t>当</w:t>
            </w:r>
            <w:r>
              <w:rPr>
                <w:rFonts w:ascii="宋体" w:hAnsi="宋体" w:eastAsia="宋体" w:cs="Calibri"/>
                <w:color w:val="auto"/>
                <w:sz w:val="21"/>
                <w:szCs w:val="21"/>
                <w:highlight w:val="none"/>
                <w:lang w:eastAsia="zh-CN"/>
              </w:rPr>
              <w:t>覆盖</w:t>
            </w:r>
            <w:r>
              <w:rPr>
                <w:rFonts w:hint="eastAsia" w:ascii="宋体" w:hAnsi="宋体" w:eastAsia="宋体" w:cs="宋体"/>
                <w:color w:val="auto"/>
                <w:sz w:val="21"/>
                <w:szCs w:val="21"/>
                <w:highlight w:val="none"/>
                <w:lang w:eastAsia="zh-CN"/>
              </w:rPr>
              <w:t>采购</w:t>
            </w:r>
            <w:r>
              <w:rPr>
                <w:rFonts w:ascii="宋体" w:hAnsi="宋体" w:eastAsia="宋体" w:cs="Calibri"/>
                <w:color w:val="auto"/>
                <w:sz w:val="21"/>
                <w:szCs w:val="21"/>
                <w:highlight w:val="none"/>
                <w:lang w:eastAsia="zh-CN"/>
              </w:rPr>
              <w:t>人工作时间。</w:t>
            </w:r>
          </w:p>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⑦与被访人进行核实确认；告知被访人的办公室门牌号；告知访客注意事项。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（9）严守保密制度。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3</w:t>
            </w:r>
          </w:p>
        </w:tc>
        <w:tc>
          <w:tcPr>
            <w:tcW w:w="2173"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值班巡查</w:t>
            </w: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（1）建立24小时值班巡查制度。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（2）制定巡查路线，按照指定时间和路线执行，加强重点区域、重点部位及装修区域的巡查。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（3）巡查期间保持通信设施设备畅通，遇到异常情况立即上报并在现场采取相应措施。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（4）收到监控室指令后，巡查人员及时到达指定地点并迅速采取相应措施。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（5）极端天气情况下，除特殊无权限部位或其他指定部位，值班巡查覆盖到办公室内。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4</w:t>
            </w:r>
          </w:p>
        </w:tc>
        <w:tc>
          <w:tcPr>
            <w:tcW w:w="2173"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监控值守</w:t>
            </w: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（1）监控室环境符合系统设备运行要求，定期进行检查和检测，确保系统功能正常。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（2）监控设备24小时正常运行，监控室实行专人24小时值班制度。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（3）监控记录画面清晰，视频监控无死角、无盲区。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（4）值班期间遵守操作规程和保密制度，做好监控记录的保存工作。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（5）监控记录保持完整，保存时间不应少于90天。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（6）无关人员进入监控室或查阅监控记录，经授权人批准并做好相关记录。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（7）监控室收到火情等报警信号、其他异常情况信号后，及时报警并安排其他安保人员前往现场进行处理。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5</w:t>
            </w:r>
          </w:p>
        </w:tc>
        <w:tc>
          <w:tcPr>
            <w:tcW w:w="2173"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车辆停放</w:t>
            </w: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（1）车辆行驶路线设置合理、规范，导向标志完整、清晰。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（2）合理规划车辆停放区域，张贴车辆引导标识，对车辆及停放区域实行规范管理。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（3）严禁在办公楼的公用走道、楼梯间、安全出口处等公共区域停放车辆或充电。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（4）非机动车定点有序停放。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（5）发现车辆异常情况及时通知车主，并做好登记；发生交通事故、自然灾害等意外事故时及时赶赴现场疏导和协助处理，响应时间不超过3分钟。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（6）机动车库及非机动车库按巡检计划定时巡检。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6</w:t>
            </w:r>
          </w:p>
        </w:tc>
        <w:tc>
          <w:tcPr>
            <w:tcW w:w="2173"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消防安全管理</w:t>
            </w: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（1）建立消防安全责任制，确定各级消防安全责任人及其职责。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（2）消防控制室实行24小时值班制度，每班不少于2人。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（3）消火栓、应急照明、应急物资、消防及人员逃生通道、消防车通道可随时正常使用。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（4）易燃易爆品设专区专人管理，做好相关记录。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（5）定期组织消防安全宣传，每半年至少开展1次消防演练。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7</w:t>
            </w:r>
          </w:p>
        </w:tc>
        <w:tc>
          <w:tcPr>
            <w:tcW w:w="2173"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突发事件处理</w:t>
            </w: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（1）制定突发事件安全责任书，明确突发事件责任人及应承担的安全责任。建立预见性突发事件处置体系，应对可能发生的各类突发事件。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（2）建立应急突发事件处置队伍，明确各自的职责。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（3）识别、分析各种潜在风险，针对不同风险类型制定相应解决方案，并配备应急物资。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（4）每半年至少开展1次突发事件应急演练，并有相应记录。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（5）发生意外事件时，及时采取应急措施，维护办公区域物业服务正常进行，保护人身财产安全。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（6）办公区域物业服务应急预案终止实施后，积极采取措施，在尽可能短的时间内，消除事故带来的不良影响，妥善安置和慰问受害及受影响的人员和部门。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（7）事故处理后，及时形成事故应急总结报告，完善应急救援工作方案。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8</w:t>
            </w:r>
          </w:p>
        </w:tc>
        <w:tc>
          <w:tcPr>
            <w:tcW w:w="2173" w:type="dxa"/>
            <w:vMerge w:val="restart"/>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大型活动秩序</w:t>
            </w: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（1）制定相应的活动秩序维护方案，合理安排人员，并对场所的安全隐患进行排查。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（2）应当保障通道、出入口、停车场等区域畅通。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（3）活动举办过程中，做好现场秩序的维护和突发事故的处置工作，确保活动正常进行。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vAlign w:val="center"/>
          </w:tcPr>
          <w:p>
            <w:pPr>
              <w:spacing w:line="300" w:lineRule="auto"/>
              <w:jc w:val="center"/>
              <w:rPr>
                <w:rFonts w:ascii="宋体" w:hAnsi="宋体" w:eastAsia="宋体" w:cs="Calibri"/>
                <w:color w:val="auto"/>
                <w:sz w:val="21"/>
                <w:szCs w:val="21"/>
                <w:highlight w:val="none"/>
                <w:lang w:eastAsia="zh-CN"/>
              </w:rPr>
            </w:pPr>
          </w:p>
        </w:tc>
        <w:tc>
          <w:tcPr>
            <w:tcW w:w="2173" w:type="dxa"/>
            <w:vMerge w:val="continue"/>
            <w:vAlign w:val="center"/>
          </w:tcPr>
          <w:p>
            <w:pPr>
              <w:spacing w:line="300" w:lineRule="auto"/>
              <w:jc w:val="both"/>
              <w:rPr>
                <w:rFonts w:ascii="宋体" w:hAnsi="宋体" w:eastAsia="宋体" w:cs="Calibri"/>
                <w:color w:val="auto"/>
                <w:sz w:val="21"/>
                <w:szCs w:val="21"/>
                <w:highlight w:val="none"/>
                <w:lang w:eastAsia="zh-CN"/>
              </w:rPr>
            </w:pPr>
          </w:p>
        </w:tc>
        <w:tc>
          <w:tcPr>
            <w:tcW w:w="6149" w:type="dxa"/>
            <w:vAlign w:val="center"/>
          </w:tcPr>
          <w:p>
            <w:pPr>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（4）活动举办结束后，对活动进行区域内临时管控的通道、门、摆设等及时复位。</w:t>
            </w:r>
          </w:p>
        </w:tc>
      </w:tr>
    </w:tbl>
    <w:p>
      <w:pPr>
        <w:pStyle w:val="2"/>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3.</w:t>
      </w:r>
      <w:r>
        <w:rPr>
          <w:rFonts w:hint="eastAsia" w:ascii="宋体" w:hAnsi="宋体" w:eastAsia="宋体" w:cs="Calibri"/>
          <w:b/>
          <w:bCs/>
          <w:color w:val="auto"/>
          <w:sz w:val="21"/>
          <w:szCs w:val="21"/>
          <w:highlight w:val="none"/>
          <w:lang w:eastAsia="zh-CN"/>
        </w:rPr>
        <w:t>2.</w:t>
      </w:r>
      <w:r>
        <w:rPr>
          <w:rFonts w:hint="eastAsia" w:ascii="宋体" w:hAnsi="宋体" w:eastAsia="宋体" w:cs="Calibri"/>
          <w:b/>
          <w:bCs/>
          <w:color w:val="auto"/>
          <w:sz w:val="21"/>
          <w:szCs w:val="21"/>
          <w:highlight w:val="none"/>
        </w:rPr>
        <w:t>7会议服务</w:t>
      </w:r>
    </w:p>
    <w:tbl>
      <w:tblPr>
        <w:tblStyle w:val="1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88"/>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序号</w:t>
            </w:r>
          </w:p>
        </w:tc>
        <w:tc>
          <w:tcPr>
            <w:tcW w:w="1288" w:type="dxa"/>
            <w:vAlign w:val="center"/>
          </w:tcPr>
          <w:p>
            <w:pPr>
              <w:spacing w:line="300" w:lineRule="auto"/>
              <w:jc w:val="center"/>
              <w:rPr>
                <w:rFonts w:ascii="宋体" w:hAnsi="宋体" w:eastAsia="宋体" w:cs="Calibri"/>
                <w:b/>
                <w:bCs/>
                <w:color w:val="auto"/>
                <w:sz w:val="21"/>
                <w:szCs w:val="21"/>
                <w:highlight w:val="none"/>
              </w:rPr>
            </w:pPr>
            <w:r>
              <w:rPr>
                <w:rFonts w:ascii="宋体" w:hAnsi="宋体" w:eastAsia="宋体" w:cs="Calibri"/>
                <w:b/>
                <w:bCs/>
                <w:color w:val="auto"/>
                <w:sz w:val="21"/>
                <w:szCs w:val="21"/>
                <w:highlight w:val="none"/>
              </w:rPr>
              <w:t>服务内容</w:t>
            </w:r>
          </w:p>
        </w:tc>
        <w:tc>
          <w:tcPr>
            <w:tcW w:w="7133" w:type="dxa"/>
            <w:vAlign w:val="center"/>
          </w:tcPr>
          <w:p>
            <w:pPr>
              <w:spacing w:line="300" w:lineRule="auto"/>
              <w:jc w:val="center"/>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1</w:t>
            </w:r>
          </w:p>
        </w:tc>
        <w:tc>
          <w:tcPr>
            <w:tcW w:w="1288" w:type="dxa"/>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会议受理</w:t>
            </w:r>
          </w:p>
        </w:tc>
        <w:tc>
          <w:tcPr>
            <w:tcW w:w="7133" w:type="dxa"/>
            <w:vAlign w:val="center"/>
          </w:tcPr>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接受会议</w:t>
            </w:r>
            <w:r>
              <w:rPr>
                <w:rFonts w:hint="eastAsia" w:ascii="宋体" w:hAnsi="宋体" w:eastAsia="宋体" w:cs="Calibri"/>
                <w:color w:val="auto"/>
                <w:sz w:val="21"/>
                <w:szCs w:val="21"/>
                <w:highlight w:val="none"/>
                <w:lang w:eastAsia="zh-CN"/>
              </w:rPr>
              <w:t>预订</w:t>
            </w:r>
            <w:r>
              <w:rPr>
                <w:rFonts w:ascii="宋体" w:hAnsi="宋体" w:eastAsia="宋体" w:cs="Calibri"/>
                <w:color w:val="auto"/>
                <w:sz w:val="21"/>
                <w:szCs w:val="21"/>
                <w:highlight w:val="none"/>
                <w:lang w:eastAsia="zh-CN"/>
              </w:rPr>
              <w:t>，记录会议需求</w:t>
            </w:r>
            <w:r>
              <w:rPr>
                <w:rFonts w:hint="eastAsia" w:ascii="宋体" w:hAnsi="宋体" w:eastAsia="宋体" w:cs="Calibr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2</w:t>
            </w:r>
          </w:p>
        </w:tc>
        <w:tc>
          <w:tcPr>
            <w:tcW w:w="1288" w:type="dxa"/>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会前准备</w:t>
            </w:r>
          </w:p>
        </w:tc>
        <w:tc>
          <w:tcPr>
            <w:tcW w:w="7133" w:type="dxa"/>
            <w:vAlign w:val="center"/>
          </w:tcPr>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根据会议需求、场地大小、用途，明确</w:t>
            </w:r>
            <w:r>
              <w:rPr>
                <w:rFonts w:hint="eastAsia" w:ascii="宋体" w:hAnsi="宋体" w:eastAsia="宋体" w:cs="Calibri"/>
                <w:color w:val="auto"/>
                <w:sz w:val="21"/>
                <w:szCs w:val="21"/>
                <w:highlight w:val="none"/>
                <w:lang w:eastAsia="zh-CN"/>
              </w:rPr>
              <w:t>会议桌椅、物品、设备、文具等</w:t>
            </w:r>
            <w:r>
              <w:rPr>
                <w:rFonts w:ascii="宋体" w:hAnsi="宋体" w:eastAsia="宋体" w:cs="Calibri"/>
                <w:color w:val="auto"/>
                <w:sz w:val="21"/>
                <w:szCs w:val="21"/>
                <w:highlight w:val="none"/>
                <w:lang w:eastAsia="zh-CN"/>
              </w:rPr>
              <w:t>摆放规定</w:t>
            </w:r>
            <w:r>
              <w:rPr>
                <w:rFonts w:hint="eastAsia" w:ascii="宋体" w:hAnsi="宋体" w:eastAsia="宋体" w:cs="Calibri"/>
                <w:color w:val="auto"/>
                <w:sz w:val="21"/>
                <w:szCs w:val="21"/>
                <w:highlight w:val="none"/>
                <w:lang w:eastAsia="zh-CN"/>
              </w:rPr>
              <w:t>，音、视频设施保障措施。会前15分钟（重要会议提前30分钟）完成会议准备工作，包括但不限于按照要求完成会场保洁、会场布置、用具摆放、会场内温度、湿度、空气清新度和灯光音响投影等的调节调试。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3</w:t>
            </w:r>
          </w:p>
        </w:tc>
        <w:tc>
          <w:tcPr>
            <w:tcW w:w="1288" w:type="dxa"/>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引导服务</w:t>
            </w:r>
          </w:p>
        </w:tc>
        <w:tc>
          <w:tcPr>
            <w:tcW w:w="7133" w:type="dxa"/>
            <w:vAlign w:val="center"/>
          </w:tcPr>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做好引导牌并放置在指定位置</w:t>
            </w:r>
            <w:r>
              <w:rPr>
                <w:rFonts w:hint="eastAsia" w:ascii="宋体" w:hAnsi="宋体" w:eastAsia="宋体" w:cs="Calibri"/>
                <w:color w:val="auto"/>
                <w:sz w:val="21"/>
                <w:szCs w:val="21"/>
                <w:highlight w:val="none"/>
                <w:lang w:eastAsia="zh-CN"/>
              </w:rPr>
              <w:t>，</w:t>
            </w:r>
            <w:r>
              <w:rPr>
                <w:rFonts w:ascii="宋体" w:hAnsi="宋体" w:eastAsia="宋体" w:cs="Calibri"/>
                <w:color w:val="auto"/>
                <w:sz w:val="21"/>
                <w:szCs w:val="21"/>
                <w:highlight w:val="none"/>
                <w:lang w:eastAsia="zh-CN"/>
              </w:rPr>
              <w:t>引导人员引导手势规范，语言标准</w:t>
            </w:r>
            <w:r>
              <w:rPr>
                <w:rFonts w:hint="eastAsia" w:ascii="宋体" w:hAnsi="宋体" w:eastAsia="宋体" w:cs="Calibr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4</w:t>
            </w:r>
          </w:p>
        </w:tc>
        <w:tc>
          <w:tcPr>
            <w:tcW w:w="1288" w:type="dxa"/>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会中服务</w:t>
            </w:r>
          </w:p>
        </w:tc>
        <w:tc>
          <w:tcPr>
            <w:tcW w:w="7133" w:type="dxa"/>
            <w:vAlign w:val="center"/>
          </w:tcPr>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会议</w:t>
            </w:r>
            <w:r>
              <w:rPr>
                <w:rFonts w:hint="eastAsia" w:ascii="宋体" w:hAnsi="宋体" w:eastAsia="宋体" w:cs="Calibri"/>
                <w:color w:val="auto"/>
                <w:sz w:val="21"/>
                <w:szCs w:val="21"/>
                <w:highlight w:val="none"/>
                <w:lang w:eastAsia="zh-CN"/>
              </w:rPr>
              <w:t>期间</w:t>
            </w:r>
            <w:r>
              <w:rPr>
                <w:rFonts w:ascii="宋体" w:hAnsi="宋体" w:eastAsia="宋体" w:cs="Calibri"/>
                <w:color w:val="auto"/>
                <w:sz w:val="21"/>
                <w:szCs w:val="21"/>
                <w:highlight w:val="none"/>
                <w:lang w:eastAsia="zh-CN"/>
              </w:rPr>
              <w:t>按要求加水</w:t>
            </w:r>
            <w:r>
              <w:rPr>
                <w:rFonts w:hint="eastAsia" w:ascii="宋体" w:hAnsi="宋体" w:eastAsia="宋体" w:cs="Calibr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Align w:val="center"/>
          </w:tcPr>
          <w:p>
            <w:pPr>
              <w:spacing w:line="30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5</w:t>
            </w:r>
          </w:p>
        </w:tc>
        <w:tc>
          <w:tcPr>
            <w:tcW w:w="1288" w:type="dxa"/>
            <w:vAlign w:val="center"/>
          </w:tcPr>
          <w:p>
            <w:pPr>
              <w:spacing w:line="300" w:lineRule="auto"/>
              <w:jc w:val="both"/>
              <w:rPr>
                <w:rFonts w:ascii="宋体" w:hAnsi="宋体" w:eastAsia="宋体" w:cs="Calibri"/>
                <w:color w:val="auto"/>
                <w:sz w:val="21"/>
                <w:szCs w:val="21"/>
                <w:highlight w:val="none"/>
              </w:rPr>
            </w:pPr>
            <w:r>
              <w:rPr>
                <w:rFonts w:ascii="宋体" w:hAnsi="宋体" w:eastAsia="宋体" w:cs="Calibri"/>
                <w:color w:val="auto"/>
                <w:sz w:val="21"/>
                <w:szCs w:val="21"/>
                <w:highlight w:val="none"/>
              </w:rPr>
              <w:t>会后</w:t>
            </w:r>
            <w:r>
              <w:rPr>
                <w:rFonts w:hint="eastAsia" w:ascii="宋体" w:hAnsi="宋体" w:eastAsia="宋体" w:cs="Calibri"/>
                <w:color w:val="auto"/>
                <w:sz w:val="21"/>
                <w:szCs w:val="21"/>
                <w:highlight w:val="none"/>
              </w:rPr>
              <w:t>整理</w:t>
            </w:r>
          </w:p>
        </w:tc>
        <w:tc>
          <w:tcPr>
            <w:tcW w:w="7133" w:type="dxa"/>
            <w:vAlign w:val="center"/>
          </w:tcPr>
          <w:p>
            <w:pPr>
              <w:spacing w:line="300" w:lineRule="auto"/>
              <w:jc w:val="both"/>
              <w:rPr>
                <w:rFonts w:ascii="宋体" w:hAnsi="宋体" w:eastAsia="宋体" w:cs="Calibri"/>
                <w:color w:val="auto"/>
                <w:sz w:val="21"/>
                <w:szCs w:val="21"/>
                <w:highlight w:val="none"/>
                <w:lang w:eastAsia="zh-CN"/>
              </w:rPr>
            </w:pPr>
            <w:r>
              <w:rPr>
                <w:rFonts w:ascii="宋体" w:hAnsi="宋体" w:eastAsia="宋体" w:cs="Calibri"/>
                <w:color w:val="auto"/>
                <w:sz w:val="21"/>
                <w:szCs w:val="21"/>
                <w:highlight w:val="none"/>
                <w:lang w:eastAsia="zh-CN"/>
              </w:rPr>
              <w:t>对会议现场进行检查，做好会场清扫工作。</w:t>
            </w:r>
          </w:p>
        </w:tc>
      </w:tr>
    </w:tbl>
    <w:p>
      <w:pPr>
        <w:spacing w:line="300" w:lineRule="auto"/>
        <w:jc w:val="both"/>
        <w:rPr>
          <w:rFonts w:ascii="宋体" w:hAnsi="宋体" w:eastAsia="宋体" w:cs="仿宋_GB2312"/>
          <w:color w:val="auto"/>
          <w:sz w:val="21"/>
          <w:szCs w:val="21"/>
          <w:highlight w:val="none"/>
          <w:lang w:eastAsia="zh-CN"/>
        </w:rPr>
      </w:pPr>
    </w:p>
    <w:p>
      <w:pPr>
        <w:pStyle w:val="3"/>
        <w:keepNext w:val="0"/>
        <w:spacing w:before="0" w:after="0" w:line="300" w:lineRule="auto"/>
        <w:jc w:val="center"/>
        <w:rPr>
          <w:rFonts w:ascii="宋体" w:hAnsi="宋体" w:eastAsia="宋体" w:cs="仿宋_GB2312"/>
          <w:color w:val="auto"/>
          <w:sz w:val="28"/>
          <w:szCs w:val="28"/>
          <w:highlight w:val="none"/>
          <w:lang w:eastAsia="zh-CN"/>
        </w:rPr>
      </w:pPr>
      <w:bookmarkStart w:id="39" w:name="_Toc202710768"/>
      <w:bookmarkStart w:id="40" w:name="_Toc30943"/>
      <w:r>
        <w:rPr>
          <w:rFonts w:ascii="宋体" w:hAnsi="宋体" w:eastAsia="宋体" w:cs="仿宋_GB2312"/>
          <w:color w:val="auto"/>
          <w:kern w:val="36"/>
          <w:sz w:val="28"/>
          <w:szCs w:val="28"/>
          <w:highlight w:val="none"/>
          <w:lang w:eastAsia="zh-CN"/>
        </w:rPr>
        <w:t>4人员要求</w:t>
      </w:r>
      <w:bookmarkEnd w:id="39"/>
      <w:bookmarkEnd w:id="40"/>
    </w:p>
    <w:p>
      <w:pPr>
        <w:pStyle w:val="4"/>
        <w:keepNext w:val="0"/>
        <w:spacing w:before="0" w:after="0" w:line="300" w:lineRule="auto"/>
        <w:rPr>
          <w:rFonts w:ascii="宋体" w:hAnsi="宋体" w:eastAsia="宋体" w:cs="仿宋_GB2312"/>
          <w:color w:val="auto"/>
          <w:sz w:val="21"/>
          <w:szCs w:val="21"/>
          <w:highlight w:val="none"/>
          <w:lang w:eastAsia="zh-CN"/>
        </w:rPr>
      </w:pPr>
      <w:bookmarkStart w:id="41" w:name="_Toc2840"/>
      <w:bookmarkStart w:id="42" w:name="_Toc202710769"/>
      <w:r>
        <w:rPr>
          <w:rFonts w:ascii="宋体" w:hAnsi="宋体" w:eastAsia="宋体" w:cs="仿宋_GB2312"/>
          <w:i w:val="0"/>
          <w:iCs w:val="0"/>
          <w:color w:val="auto"/>
          <w:sz w:val="21"/>
          <w:szCs w:val="21"/>
          <w:highlight w:val="none"/>
          <w:lang w:eastAsia="zh-CN"/>
        </w:rPr>
        <w:t>4.1团队要求</w:t>
      </w:r>
      <w:bookmarkEnd w:id="41"/>
      <w:bookmarkEnd w:id="42"/>
    </w:p>
    <w:p>
      <w:pPr>
        <w:pStyle w:val="5"/>
        <w:keepNext w:val="0"/>
        <w:spacing w:before="0" w:after="0" w:line="300" w:lineRule="auto"/>
        <w:rPr>
          <w:rFonts w:ascii="宋体" w:hAnsi="宋体" w:eastAsia="宋体" w:cs="仿宋_GB2312"/>
          <w:color w:val="auto"/>
          <w:sz w:val="21"/>
          <w:szCs w:val="21"/>
          <w:highlight w:val="none"/>
          <w:lang w:eastAsia="zh-CN"/>
        </w:rPr>
      </w:pPr>
      <w:bookmarkStart w:id="43" w:name="_Toc202710770"/>
      <w:bookmarkStart w:id="44" w:name="_Toc28399"/>
      <w:r>
        <w:rPr>
          <w:rFonts w:ascii="宋体" w:hAnsi="宋体" w:eastAsia="宋体" w:cs="仿宋_GB2312"/>
          <w:color w:val="auto"/>
          <w:sz w:val="21"/>
          <w:szCs w:val="21"/>
          <w:highlight w:val="none"/>
          <w:lang w:eastAsia="zh-CN"/>
        </w:rPr>
        <w:t>4.1.1物业管理服务人员需求</w:t>
      </w:r>
      <w:bookmarkEnd w:id="43"/>
      <w:bookmarkEnd w:id="44"/>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★承诺本项目物业管理服务人员总数不得少于103人。</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★承诺高配工</w:t>
      </w:r>
      <w:r>
        <w:rPr>
          <w:rFonts w:hint="eastAsia" w:ascii="宋体" w:hAnsi="宋体" w:eastAsia="宋体" w:cs="宋体"/>
          <w:color w:val="auto"/>
          <w:sz w:val="21"/>
          <w:szCs w:val="21"/>
          <w:highlight w:val="none"/>
          <w:lang w:eastAsia="zh-CN"/>
        </w:rPr>
        <w:t>均</w:t>
      </w:r>
      <w:r>
        <w:rPr>
          <w:rFonts w:hint="eastAsia" w:ascii="宋体" w:hAnsi="宋体" w:eastAsia="宋体"/>
          <w:color w:val="auto"/>
          <w:sz w:val="21"/>
          <w:szCs w:val="21"/>
          <w:highlight w:val="none"/>
          <w:lang w:eastAsia="zh-CN"/>
        </w:rPr>
        <w:t>具有特种作业操作（高压电工作业）资格证书，水电工</w:t>
      </w:r>
      <w:r>
        <w:rPr>
          <w:rFonts w:hint="eastAsia" w:ascii="宋体" w:hAnsi="宋体" w:eastAsia="宋体" w:cs="宋体"/>
          <w:color w:val="auto"/>
          <w:sz w:val="21"/>
          <w:szCs w:val="21"/>
          <w:highlight w:val="none"/>
          <w:lang w:eastAsia="zh-CN"/>
        </w:rPr>
        <w:t>均</w:t>
      </w:r>
      <w:r>
        <w:rPr>
          <w:rFonts w:hint="eastAsia" w:ascii="宋体" w:hAnsi="宋体" w:eastAsia="宋体"/>
          <w:color w:val="auto"/>
          <w:sz w:val="21"/>
          <w:szCs w:val="21"/>
          <w:highlight w:val="none"/>
          <w:lang w:eastAsia="zh-CN"/>
        </w:rPr>
        <w:t>具有特种作业操作（低压电工作业）资格证书，消控岗人员均具有消防设施操作员职业资格证书，一般保安岗人员均具有保安员证。需提供加盖投标人公章的承诺函，否则视为无效响应。</w:t>
      </w:r>
    </w:p>
    <w:tbl>
      <w:tblPr>
        <w:tblStyle w:val="16"/>
        <w:tblW w:w="9242" w:type="dxa"/>
        <w:jc w:val="center"/>
        <w:tblLayout w:type="fixed"/>
        <w:tblCellMar>
          <w:top w:w="0" w:type="dxa"/>
          <w:left w:w="108" w:type="dxa"/>
          <w:bottom w:w="0" w:type="dxa"/>
          <w:right w:w="108" w:type="dxa"/>
        </w:tblCellMar>
      </w:tblPr>
      <w:tblGrid>
        <w:gridCol w:w="1300"/>
        <w:gridCol w:w="1171"/>
        <w:gridCol w:w="767"/>
        <w:gridCol w:w="851"/>
        <w:gridCol w:w="5153"/>
      </w:tblGrid>
      <w:tr>
        <w:tblPrEx>
          <w:tblCellMar>
            <w:top w:w="0" w:type="dxa"/>
            <w:left w:w="108" w:type="dxa"/>
            <w:bottom w:w="0" w:type="dxa"/>
            <w:right w:w="108" w:type="dxa"/>
          </w:tblCellMar>
        </w:tblPrEx>
        <w:trPr>
          <w:trHeight w:val="540"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部门职能</w:t>
            </w: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同时在岗人数</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岗位所需总人数</w:t>
            </w:r>
          </w:p>
        </w:tc>
        <w:tc>
          <w:tcPr>
            <w:tcW w:w="5153"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备注（岗位所需服务时长或时段、需具备的上岗资格证、人员学历、工作经验等要求）</w:t>
            </w:r>
          </w:p>
        </w:tc>
      </w:tr>
      <w:tr>
        <w:tblPrEx>
          <w:tblCellMar>
            <w:top w:w="0" w:type="dxa"/>
            <w:left w:w="108" w:type="dxa"/>
            <w:bottom w:w="0" w:type="dxa"/>
            <w:right w:w="108" w:type="dxa"/>
          </w:tblCellMar>
        </w:tblPrEx>
        <w:trPr>
          <w:trHeight w:val="810"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服务中心</w:t>
            </w: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工作日内8小时为主。具有大学专科及以上学历、5年及以上非住宅类物业项目经理经验的优先考虑。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基本服务</w:t>
            </w: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行政</w:t>
            </w:r>
            <w:r>
              <w:rPr>
                <w:rFonts w:ascii="宋体" w:hAnsi="宋体" w:eastAsia="宋体" w:cs="宋体"/>
                <w:color w:val="auto"/>
                <w:sz w:val="21"/>
                <w:szCs w:val="21"/>
                <w:highlight w:val="none"/>
              </w:rPr>
              <w:t>主管</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工作日内8小时为主。具有大学专科及以上学历、3年及以上非住宅类物业项目行政事务管理经验的优先考虑。</w:t>
            </w:r>
          </w:p>
        </w:tc>
      </w:tr>
      <w:tr>
        <w:tblPrEx>
          <w:tblCellMar>
            <w:top w:w="0" w:type="dxa"/>
            <w:left w:w="108" w:type="dxa"/>
            <w:bottom w:w="0" w:type="dxa"/>
            <w:right w:w="108" w:type="dxa"/>
          </w:tblCellMar>
        </w:tblPrEx>
        <w:trPr>
          <w:trHeight w:val="81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300" w:lineRule="auto"/>
              <w:jc w:val="both"/>
              <w:rPr>
                <w:rFonts w:ascii="宋体" w:hAnsi="宋体" w:eastAsia="宋体" w:cs="宋体"/>
                <w:color w:val="auto"/>
                <w:sz w:val="21"/>
                <w:szCs w:val="21"/>
                <w:highlight w:val="none"/>
                <w:lang w:eastAsia="zh-CN"/>
              </w:rPr>
            </w:pP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前台</w:t>
            </w:r>
            <w:r>
              <w:rPr>
                <w:rFonts w:hint="eastAsia" w:ascii="宋体" w:hAnsi="宋体" w:eastAsia="宋体" w:cs="宋体"/>
                <w:color w:val="auto"/>
                <w:sz w:val="21"/>
                <w:szCs w:val="21"/>
                <w:highlight w:val="none"/>
              </w:rPr>
              <w:t>接待员</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工作日内8小时为主。供应商承诺前台接待员具有1年及以上前台接待工作经验的优先考虑。</w:t>
            </w:r>
          </w:p>
        </w:tc>
      </w:tr>
      <w:tr>
        <w:tblPrEx>
          <w:tblCellMar>
            <w:top w:w="0" w:type="dxa"/>
            <w:left w:w="108" w:type="dxa"/>
            <w:bottom w:w="0" w:type="dxa"/>
            <w:right w:w="108" w:type="dxa"/>
          </w:tblCellMar>
        </w:tblPrEx>
        <w:trPr>
          <w:trHeight w:val="54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300" w:lineRule="auto"/>
              <w:jc w:val="both"/>
              <w:rPr>
                <w:rFonts w:ascii="宋体" w:hAnsi="宋体" w:eastAsia="宋体" w:cs="宋体"/>
                <w:color w:val="auto"/>
                <w:sz w:val="21"/>
                <w:szCs w:val="21"/>
                <w:highlight w:val="none"/>
                <w:lang w:eastAsia="zh-CN"/>
              </w:rPr>
            </w:pP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内勤</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工作日内8小时为主。供应商承诺</w:t>
            </w:r>
            <w:r>
              <w:rPr>
                <w:rFonts w:ascii="宋体" w:hAnsi="宋体" w:eastAsia="宋体" w:cs="宋体"/>
                <w:color w:val="auto"/>
                <w:sz w:val="21"/>
                <w:szCs w:val="21"/>
                <w:highlight w:val="none"/>
                <w:lang w:eastAsia="zh-CN"/>
              </w:rPr>
              <w:t>内勤</w:t>
            </w:r>
            <w:r>
              <w:rPr>
                <w:rFonts w:hint="eastAsia" w:ascii="宋体" w:hAnsi="宋体" w:eastAsia="宋体" w:cs="宋体"/>
                <w:color w:val="auto"/>
                <w:sz w:val="21"/>
                <w:szCs w:val="21"/>
                <w:highlight w:val="none"/>
                <w:lang w:eastAsia="zh-CN"/>
              </w:rPr>
              <w:t>具有1年及以上</w:t>
            </w:r>
            <w:r>
              <w:rPr>
                <w:rFonts w:ascii="宋体" w:hAnsi="宋体" w:eastAsia="宋体" w:cs="宋体"/>
                <w:color w:val="auto"/>
                <w:sz w:val="21"/>
                <w:szCs w:val="21"/>
                <w:highlight w:val="none"/>
                <w:lang w:eastAsia="zh-CN"/>
              </w:rPr>
              <w:t>内勤</w:t>
            </w:r>
            <w:r>
              <w:rPr>
                <w:rFonts w:hint="eastAsia" w:ascii="宋体" w:hAnsi="宋体" w:eastAsia="宋体" w:cs="宋体"/>
                <w:color w:val="auto"/>
                <w:sz w:val="21"/>
                <w:szCs w:val="21"/>
                <w:highlight w:val="none"/>
                <w:lang w:eastAsia="zh-CN"/>
              </w:rPr>
              <w:t>工作经验的优先考虑。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房屋、公用设施设备维护服务</w:t>
            </w: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工程</w:t>
            </w:r>
            <w:r>
              <w:rPr>
                <w:rFonts w:ascii="宋体" w:hAnsi="宋体" w:eastAsia="宋体" w:cs="宋体"/>
                <w:color w:val="auto"/>
                <w:sz w:val="21"/>
                <w:szCs w:val="21"/>
                <w:highlight w:val="none"/>
              </w:rPr>
              <w:t>主管</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工作日内8小时为主。具有大学专科及以上学历、3年及以上非住宅类物业项目工程管理经验的优先考虑。</w:t>
            </w:r>
          </w:p>
        </w:tc>
      </w:tr>
      <w:tr>
        <w:tblPrEx>
          <w:tblCellMar>
            <w:top w:w="0" w:type="dxa"/>
            <w:left w:w="108" w:type="dxa"/>
            <w:bottom w:w="0" w:type="dxa"/>
            <w:right w:w="108" w:type="dxa"/>
          </w:tblCellMar>
        </w:tblPrEx>
        <w:trPr>
          <w:trHeight w:val="108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300" w:lineRule="auto"/>
              <w:jc w:val="both"/>
              <w:rPr>
                <w:rFonts w:ascii="宋体" w:hAnsi="宋体" w:eastAsia="宋体" w:cs="宋体"/>
                <w:color w:val="auto"/>
                <w:sz w:val="21"/>
                <w:szCs w:val="21"/>
                <w:highlight w:val="none"/>
                <w:lang w:eastAsia="zh-CN"/>
              </w:rPr>
            </w:pP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高配工</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工作日内8小时为主。供应商承诺</w:t>
            </w:r>
            <w:r>
              <w:rPr>
                <w:rFonts w:ascii="宋体" w:hAnsi="宋体" w:eastAsia="宋体" w:cs="宋体"/>
                <w:color w:val="auto"/>
                <w:sz w:val="21"/>
                <w:szCs w:val="21"/>
                <w:highlight w:val="none"/>
                <w:lang w:eastAsia="zh-CN"/>
              </w:rPr>
              <w:t>高配工</w:t>
            </w:r>
            <w:r>
              <w:rPr>
                <w:rFonts w:hint="eastAsia" w:ascii="宋体" w:hAnsi="宋体" w:eastAsia="宋体" w:cs="宋体"/>
                <w:color w:val="auto"/>
                <w:sz w:val="21"/>
                <w:szCs w:val="21"/>
                <w:highlight w:val="none"/>
                <w:lang w:eastAsia="zh-CN"/>
              </w:rPr>
              <w:t>均具有3年及以上非住宅类物业项目高压电工工作经验的优先考虑。</w:t>
            </w:r>
          </w:p>
        </w:tc>
      </w:tr>
      <w:tr>
        <w:tblPrEx>
          <w:tblCellMar>
            <w:top w:w="0" w:type="dxa"/>
            <w:left w:w="108" w:type="dxa"/>
            <w:bottom w:w="0" w:type="dxa"/>
            <w:right w:w="108" w:type="dxa"/>
          </w:tblCellMar>
        </w:tblPrEx>
        <w:trPr>
          <w:trHeight w:val="108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300" w:lineRule="auto"/>
              <w:jc w:val="both"/>
              <w:rPr>
                <w:rFonts w:ascii="宋体" w:hAnsi="宋体" w:eastAsia="宋体" w:cs="宋体"/>
                <w:color w:val="auto"/>
                <w:sz w:val="21"/>
                <w:szCs w:val="21"/>
                <w:highlight w:val="none"/>
                <w:lang w:eastAsia="zh-CN"/>
              </w:rPr>
            </w:pP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水电工</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工作日内8小时为主。供应商承诺水电</w:t>
            </w:r>
            <w:r>
              <w:rPr>
                <w:rFonts w:ascii="宋体" w:hAnsi="宋体" w:eastAsia="宋体" w:cs="宋体"/>
                <w:color w:val="auto"/>
                <w:sz w:val="21"/>
                <w:szCs w:val="21"/>
                <w:highlight w:val="none"/>
                <w:lang w:eastAsia="zh-CN"/>
              </w:rPr>
              <w:t>工</w:t>
            </w:r>
            <w:r>
              <w:rPr>
                <w:rFonts w:hint="eastAsia" w:ascii="宋体" w:hAnsi="宋体" w:eastAsia="宋体" w:cs="宋体"/>
                <w:color w:val="auto"/>
                <w:sz w:val="21"/>
                <w:szCs w:val="21"/>
                <w:highlight w:val="none"/>
                <w:lang w:eastAsia="zh-CN"/>
              </w:rPr>
              <w:t>均具有3年及以上非住宅类物业项目水电工工作经验的优先考虑。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w:t>
            </w: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保洁主管</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工作日内8小时为主。具有大学专科及以上学历、3年及以上非住宅类物业项目保洁服务管理经验的优先考虑。</w:t>
            </w:r>
          </w:p>
        </w:tc>
      </w:tr>
      <w:tr>
        <w:tblPrEx>
          <w:tblCellMar>
            <w:top w:w="0" w:type="dxa"/>
            <w:left w:w="108" w:type="dxa"/>
            <w:bottom w:w="0" w:type="dxa"/>
            <w:right w:w="108" w:type="dxa"/>
          </w:tblCellMar>
        </w:tblPrEx>
        <w:trPr>
          <w:trHeight w:val="108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300" w:lineRule="auto"/>
              <w:jc w:val="both"/>
              <w:rPr>
                <w:rFonts w:ascii="宋体" w:hAnsi="宋体" w:eastAsia="宋体" w:cs="宋体"/>
                <w:color w:val="auto"/>
                <w:sz w:val="21"/>
                <w:szCs w:val="21"/>
                <w:highlight w:val="none"/>
                <w:lang w:eastAsia="zh-CN"/>
              </w:rPr>
            </w:pP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保洁员</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38</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38</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工作日内8小时为主。供应商承诺保洁员均具有1年及以上非住宅类物业项目保洁工作经验的优先考虑。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保安服务</w:t>
            </w: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保安</w:t>
            </w:r>
            <w:r>
              <w:rPr>
                <w:rFonts w:ascii="宋体" w:hAnsi="宋体" w:eastAsia="宋体" w:cs="宋体"/>
                <w:color w:val="auto"/>
                <w:sz w:val="21"/>
                <w:szCs w:val="21"/>
                <w:highlight w:val="none"/>
              </w:rPr>
              <w:t>主管</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工作日内8小时为主。具有大学专科及以上学历、3年及以上非住宅类物业项目保安服务管理经验的优先考虑。</w:t>
            </w:r>
          </w:p>
        </w:tc>
      </w:tr>
      <w:tr>
        <w:tblPrEx>
          <w:tblCellMar>
            <w:top w:w="0" w:type="dxa"/>
            <w:left w:w="108" w:type="dxa"/>
            <w:bottom w:w="0" w:type="dxa"/>
            <w:right w:w="108" w:type="dxa"/>
          </w:tblCellMar>
        </w:tblPrEx>
        <w:trPr>
          <w:trHeight w:val="54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300" w:lineRule="auto"/>
              <w:jc w:val="both"/>
              <w:rPr>
                <w:rFonts w:ascii="宋体" w:hAnsi="宋体" w:eastAsia="宋体" w:cs="宋体"/>
                <w:color w:val="auto"/>
                <w:sz w:val="21"/>
                <w:szCs w:val="21"/>
                <w:highlight w:val="none"/>
                <w:lang w:eastAsia="zh-CN"/>
              </w:rPr>
            </w:pP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消控岗</w:t>
            </w:r>
          </w:p>
        </w:tc>
        <w:tc>
          <w:tcPr>
            <w:tcW w:w="767" w:type="dxa"/>
            <w:tcBorders>
              <w:top w:val="nil"/>
              <w:left w:val="nil"/>
              <w:bottom w:val="single" w:color="auto" w:sz="4" w:space="0"/>
              <w:right w:val="single" w:color="auto" w:sz="4" w:space="0"/>
            </w:tcBorders>
            <w:shd w:val="clear" w:color="auto" w:fill="auto"/>
            <w:vAlign w:val="center"/>
          </w:tcPr>
          <w:p>
            <w:pPr>
              <w:keepNext w:val="0"/>
              <w:spacing w:before="0" w:after="0" w:line="300" w:lineRule="auto"/>
              <w:jc w:val="center"/>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color w:val="auto"/>
                <w:sz w:val="21"/>
                <w:szCs w:val="21"/>
                <w:highlight w:val="none"/>
                <w:lang w:eastAsia="zh-CN"/>
              </w:rPr>
              <w:t>2</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24小时三班制为主。供应商承诺</w:t>
            </w:r>
            <w:r>
              <w:rPr>
                <w:rFonts w:ascii="宋体" w:hAnsi="宋体" w:eastAsia="宋体" w:cs="宋体"/>
                <w:color w:val="auto"/>
                <w:sz w:val="21"/>
                <w:szCs w:val="21"/>
                <w:highlight w:val="none"/>
                <w:lang w:eastAsia="zh-CN"/>
              </w:rPr>
              <w:t>消控岗</w:t>
            </w:r>
            <w:r>
              <w:rPr>
                <w:rFonts w:hint="eastAsia" w:ascii="宋体" w:hAnsi="宋体" w:eastAsia="宋体" w:cs="宋体"/>
                <w:color w:val="auto"/>
                <w:sz w:val="21"/>
                <w:szCs w:val="21"/>
                <w:highlight w:val="none"/>
                <w:lang w:eastAsia="zh-CN"/>
              </w:rPr>
              <w:t>人员均具有1年及以上非住宅类物业项目消防安防监控工作经验的优先考虑。</w:t>
            </w:r>
          </w:p>
        </w:tc>
      </w:tr>
      <w:tr>
        <w:tblPrEx>
          <w:tblCellMar>
            <w:top w:w="0" w:type="dxa"/>
            <w:left w:w="108" w:type="dxa"/>
            <w:bottom w:w="0" w:type="dxa"/>
            <w:right w:w="108" w:type="dxa"/>
          </w:tblCellMar>
        </w:tblPrEx>
        <w:trPr>
          <w:trHeight w:val="81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300" w:lineRule="auto"/>
              <w:jc w:val="both"/>
              <w:rPr>
                <w:rFonts w:ascii="宋体" w:hAnsi="宋体" w:eastAsia="宋体" w:cs="宋体"/>
                <w:color w:val="auto"/>
                <w:sz w:val="21"/>
                <w:szCs w:val="21"/>
                <w:highlight w:val="none"/>
                <w:lang w:eastAsia="zh-CN"/>
              </w:rPr>
            </w:pP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一般保安岗（门岗、巡逻、车管、机动岗）</w:t>
            </w:r>
          </w:p>
        </w:tc>
        <w:tc>
          <w:tcPr>
            <w:tcW w:w="767" w:type="dxa"/>
            <w:tcBorders>
              <w:top w:val="nil"/>
              <w:left w:val="nil"/>
              <w:bottom w:val="single" w:color="auto" w:sz="4" w:space="0"/>
              <w:right w:val="single" w:color="auto" w:sz="4" w:space="0"/>
            </w:tcBorders>
            <w:shd w:val="clear" w:color="auto" w:fill="auto"/>
            <w:vAlign w:val="center"/>
          </w:tcPr>
          <w:p>
            <w:pPr>
              <w:keepNext w:val="0"/>
              <w:spacing w:before="0" w:after="0" w:line="300" w:lineRule="auto"/>
              <w:jc w:val="center"/>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40</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24小时三班制为主。供应商承诺一般保安岗人员均具有1年及以上非住宅类物业项目保安工作经验的优先考虑。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会议服务</w:t>
            </w: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会务</w:t>
            </w:r>
            <w:r>
              <w:rPr>
                <w:rFonts w:ascii="宋体" w:hAnsi="宋体" w:eastAsia="宋体" w:cs="宋体"/>
                <w:color w:val="auto"/>
                <w:sz w:val="21"/>
                <w:szCs w:val="21"/>
                <w:highlight w:val="none"/>
              </w:rPr>
              <w:t>主管</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工作日内8小时为主。具有大学专科及以上学历、3年及以上非住宅类物业项目会务服务管理经验的优先考虑。</w:t>
            </w:r>
          </w:p>
        </w:tc>
      </w:tr>
      <w:tr>
        <w:tblPrEx>
          <w:tblCellMar>
            <w:top w:w="0" w:type="dxa"/>
            <w:left w:w="108" w:type="dxa"/>
            <w:bottom w:w="0" w:type="dxa"/>
            <w:right w:w="108" w:type="dxa"/>
          </w:tblCellMar>
        </w:tblPrEx>
        <w:trPr>
          <w:trHeight w:val="81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300" w:lineRule="auto"/>
              <w:rPr>
                <w:rFonts w:ascii="宋体" w:hAnsi="宋体" w:eastAsia="宋体" w:cs="宋体"/>
                <w:color w:val="auto"/>
                <w:sz w:val="21"/>
                <w:szCs w:val="21"/>
                <w:highlight w:val="none"/>
                <w:lang w:eastAsia="zh-CN"/>
              </w:rPr>
            </w:pPr>
          </w:p>
        </w:tc>
        <w:tc>
          <w:tcPr>
            <w:tcW w:w="1171"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会务接待员</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工作日内8小时为主。供应商承诺会务接待员均具有1年及以上会务接待工作经验的优先考虑。</w:t>
            </w:r>
          </w:p>
        </w:tc>
      </w:tr>
      <w:tr>
        <w:tblPrEx>
          <w:tblCellMar>
            <w:top w:w="0" w:type="dxa"/>
            <w:left w:w="108" w:type="dxa"/>
            <w:bottom w:w="0" w:type="dxa"/>
            <w:right w:w="108" w:type="dxa"/>
          </w:tblCellMar>
        </w:tblPrEx>
        <w:trPr>
          <w:trHeight w:val="280" w:hRule="atLeast"/>
          <w:jc w:val="center"/>
        </w:trPr>
        <w:tc>
          <w:tcPr>
            <w:tcW w:w="2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66</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hint="eastAsia" w:ascii="宋体" w:hAnsi="宋体" w:eastAsia="宋体" w:cs="宋体"/>
                <w:color w:val="auto"/>
                <w:sz w:val="21"/>
                <w:szCs w:val="21"/>
                <w:highlight w:val="none"/>
                <w:lang w:eastAsia="zh-CN"/>
              </w:rPr>
              <w:t>103</w:t>
            </w:r>
          </w:p>
        </w:tc>
        <w:tc>
          <w:tcPr>
            <w:tcW w:w="5153" w:type="dxa"/>
            <w:tcBorders>
              <w:top w:val="nil"/>
              <w:left w:val="nil"/>
              <w:bottom w:val="single" w:color="auto" w:sz="4" w:space="0"/>
              <w:right w:val="single" w:color="auto" w:sz="4" w:space="0"/>
            </w:tcBorders>
            <w:shd w:val="clear" w:color="auto" w:fill="auto"/>
            <w:vAlign w:val="center"/>
          </w:tcPr>
          <w:p>
            <w:pPr>
              <w:spacing w:line="300" w:lineRule="auto"/>
              <w:rPr>
                <w:rFonts w:ascii="宋体" w:hAnsi="宋体" w:eastAsia="宋体" w:cs="宋体"/>
                <w:color w:val="auto"/>
                <w:sz w:val="21"/>
                <w:szCs w:val="21"/>
                <w:highlight w:val="none"/>
                <w:lang w:eastAsia="zh-CN"/>
              </w:rPr>
            </w:pPr>
          </w:p>
        </w:tc>
      </w:tr>
    </w:tbl>
    <w:p>
      <w:pPr>
        <w:spacing w:line="300" w:lineRule="auto"/>
        <w:ind w:firstLine="420" w:firstLineChars="200"/>
        <w:jc w:val="both"/>
        <w:rPr>
          <w:rFonts w:ascii="宋体" w:hAnsi="宋体" w:eastAsia="宋体" w:cs="楷体"/>
          <w:bCs/>
          <w:color w:val="auto"/>
          <w:sz w:val="21"/>
          <w:szCs w:val="21"/>
          <w:highlight w:val="none"/>
          <w:lang w:eastAsia="zh-CN"/>
        </w:rPr>
      </w:pPr>
      <w:r>
        <w:rPr>
          <w:rFonts w:hint="eastAsia" w:ascii="宋体" w:hAnsi="宋体" w:eastAsia="宋体" w:cs="楷体"/>
          <w:color w:val="auto"/>
          <w:sz w:val="21"/>
          <w:szCs w:val="21"/>
          <w:highlight w:val="none"/>
          <w:lang w:eastAsia="zh-CN"/>
        </w:rPr>
        <w:t>注：</w:t>
      </w:r>
      <w:r>
        <w:rPr>
          <w:rFonts w:hint="eastAsia" w:ascii="宋体" w:hAnsi="宋体" w:eastAsia="宋体" w:cs="楷体"/>
          <w:bCs/>
          <w:color w:val="auto"/>
          <w:sz w:val="21"/>
          <w:szCs w:val="21"/>
          <w:highlight w:val="none"/>
          <w:lang w:eastAsia="zh-CN"/>
        </w:rPr>
        <w:t>供应商应当按国家相关法律法规，合理确定服务人员工资标准、工作时间等。</w:t>
      </w:r>
    </w:p>
    <w:p>
      <w:pPr>
        <w:spacing w:line="300" w:lineRule="auto"/>
        <w:ind w:firstLine="420" w:firstLineChars="200"/>
        <w:jc w:val="both"/>
        <w:rPr>
          <w:rFonts w:ascii="宋体" w:hAnsi="宋体" w:eastAsia="宋体" w:cs="Calibri"/>
          <w:bCs/>
          <w:color w:val="auto"/>
          <w:sz w:val="21"/>
          <w:szCs w:val="21"/>
          <w:highlight w:val="none"/>
          <w:lang w:eastAsia="zh-CN"/>
        </w:rPr>
      </w:pPr>
      <w:r>
        <w:rPr>
          <w:rFonts w:hint="eastAsia" w:ascii="宋体" w:hAnsi="宋体" w:eastAsia="宋体" w:cs="楷体"/>
          <w:bCs/>
          <w:color w:val="auto"/>
          <w:sz w:val="21"/>
          <w:szCs w:val="21"/>
          <w:highlight w:val="none"/>
          <w:lang w:eastAsia="zh-CN"/>
        </w:rPr>
        <w:t>供应商应当自行为服务人员办理必需的保险，有关人员伤亡及第三者责任险均应当考虑在报价因素中。</w:t>
      </w:r>
    </w:p>
    <w:p>
      <w:pPr>
        <w:pStyle w:val="3"/>
        <w:keepNext w:val="0"/>
        <w:spacing w:before="0" w:after="0" w:line="300" w:lineRule="auto"/>
        <w:jc w:val="center"/>
        <w:rPr>
          <w:rFonts w:ascii="宋体" w:hAnsi="宋体" w:eastAsia="宋体" w:cs="仿宋_GB2312"/>
          <w:color w:val="auto"/>
          <w:sz w:val="28"/>
          <w:szCs w:val="28"/>
          <w:highlight w:val="none"/>
          <w:lang w:eastAsia="zh-CN"/>
        </w:rPr>
      </w:pPr>
      <w:bookmarkStart w:id="45" w:name="_Toc202710771"/>
      <w:bookmarkStart w:id="46" w:name="_Toc21712"/>
      <w:r>
        <w:rPr>
          <w:rFonts w:ascii="宋体" w:hAnsi="宋体" w:eastAsia="宋体" w:cs="仿宋_GB2312"/>
          <w:color w:val="auto"/>
          <w:kern w:val="36"/>
          <w:sz w:val="28"/>
          <w:szCs w:val="28"/>
          <w:highlight w:val="none"/>
          <w:lang w:eastAsia="zh-CN"/>
        </w:rPr>
        <w:t>5管理实施要求</w:t>
      </w:r>
      <w:bookmarkEnd w:id="45"/>
      <w:bookmarkEnd w:id="46"/>
    </w:p>
    <w:p>
      <w:pPr>
        <w:widowControl w:val="0"/>
        <w:ind w:firstLine="422" w:firstLineChars="200"/>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5.1供应商履行合同所需的设备</w:t>
      </w:r>
    </w:p>
    <w:p>
      <w:pPr>
        <w:widowControl w:val="0"/>
        <w:ind w:firstLine="422" w:firstLineChars="200"/>
        <w:jc w:val="both"/>
        <w:rPr>
          <w:rFonts w:ascii="宋体" w:hAnsi="宋体" w:eastAsia="宋体" w:cs="Calibri"/>
          <w:b/>
          <w:bCs/>
          <w:color w:val="auto"/>
          <w:sz w:val="21"/>
          <w:szCs w:val="21"/>
          <w:highlight w:val="none"/>
          <w:lang w:eastAsia="zh-CN"/>
        </w:rPr>
      </w:pPr>
    </w:p>
    <w:tbl>
      <w:tblPr>
        <w:tblStyle w:val="16"/>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791"/>
        <w:gridCol w:w="3467"/>
        <w:gridCol w:w="977"/>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b/>
                <w:bCs/>
                <w:color w:val="auto"/>
                <w:sz w:val="21"/>
                <w:szCs w:val="21"/>
                <w:highlight w:val="none"/>
              </w:rPr>
            </w:pPr>
            <w:r>
              <w:rPr>
                <w:rFonts w:ascii="宋体" w:hAnsi="宋体" w:eastAsia="宋体"/>
                <w:b/>
                <w:bCs/>
                <w:color w:val="auto"/>
                <w:sz w:val="21"/>
                <w:szCs w:val="21"/>
                <w:highlight w:val="none"/>
              </w:rPr>
              <w:t>序号</w:t>
            </w:r>
          </w:p>
        </w:tc>
        <w:tc>
          <w:tcPr>
            <w:tcW w:w="2791" w:type="dxa"/>
            <w:vAlign w:val="center"/>
          </w:tcPr>
          <w:p>
            <w:pPr>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用途</w:t>
            </w:r>
          </w:p>
        </w:tc>
        <w:tc>
          <w:tcPr>
            <w:tcW w:w="3467" w:type="dxa"/>
            <w:vAlign w:val="center"/>
          </w:tcPr>
          <w:p>
            <w:pPr>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作业设备</w:t>
            </w:r>
            <w:r>
              <w:rPr>
                <w:rFonts w:ascii="宋体" w:hAnsi="宋体" w:eastAsia="宋体"/>
                <w:b/>
                <w:bCs/>
                <w:color w:val="auto"/>
                <w:sz w:val="21"/>
                <w:szCs w:val="21"/>
                <w:highlight w:val="none"/>
              </w:rPr>
              <w:t>名称</w:t>
            </w:r>
          </w:p>
        </w:tc>
        <w:tc>
          <w:tcPr>
            <w:tcW w:w="977" w:type="dxa"/>
            <w:vAlign w:val="center"/>
          </w:tcPr>
          <w:p>
            <w:pPr>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数量</w:t>
            </w:r>
          </w:p>
        </w:tc>
        <w:tc>
          <w:tcPr>
            <w:tcW w:w="953" w:type="dxa"/>
            <w:vAlign w:val="center"/>
          </w:tcPr>
          <w:p>
            <w:pPr>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2791" w:type="dxa"/>
            <w:vMerge w:val="restart"/>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基本服务</w:t>
            </w: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应急启动电源充气一体机</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p>
        </w:tc>
        <w:tc>
          <w:tcPr>
            <w:tcW w:w="2791"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房屋维护服务</w:t>
            </w: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登高梯</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w:t>
            </w:r>
          </w:p>
        </w:tc>
        <w:tc>
          <w:tcPr>
            <w:tcW w:w="2791" w:type="dxa"/>
            <w:vMerge w:val="restart"/>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公用设施设备维护服务</w:t>
            </w: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管道疏通机</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冲击钻</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切割机</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电动手枪钻</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7</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抽水泵</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8</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大力钳</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9</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电焊机</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10</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硅胶枪</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11</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其他维修工具</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若干</w:t>
            </w:r>
          </w:p>
        </w:tc>
        <w:tc>
          <w:tcPr>
            <w:tcW w:w="953" w:type="dxa"/>
            <w:vAlign w:val="center"/>
          </w:tcPr>
          <w:p>
            <w:pPr>
              <w:jc w:val="center"/>
              <w:rPr>
                <w:rFonts w:ascii="宋体" w:hAnsi="宋体" w:eastAsia="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12</w:t>
            </w:r>
          </w:p>
        </w:tc>
        <w:tc>
          <w:tcPr>
            <w:tcW w:w="2791" w:type="dxa"/>
            <w:vMerge w:val="restart"/>
            <w:vAlign w:val="center"/>
          </w:tcPr>
          <w:p>
            <w:pPr>
              <w:keepNext w:val="0"/>
              <w:spacing w:before="0" w:after="0"/>
              <w:jc w:val="center"/>
              <w:outlineLvl w:val="9"/>
              <w:rPr>
                <w:rFonts w:ascii="宋体" w:hAnsi="宋体" w:eastAsia="宋体" w:cs="Arial"/>
                <w:b/>
                <w:bCs/>
                <w:color w:val="auto"/>
                <w:sz w:val="21"/>
                <w:szCs w:val="21"/>
                <w:highlight w:val="none"/>
              </w:rPr>
            </w:pPr>
            <w:r>
              <w:rPr>
                <w:rFonts w:hint="eastAsia" w:ascii="宋体" w:hAnsi="宋体" w:eastAsia="宋体"/>
                <w:color w:val="auto"/>
                <w:sz w:val="21"/>
                <w:szCs w:val="21"/>
                <w:highlight w:val="none"/>
              </w:rPr>
              <w:t>保洁服务</w:t>
            </w:r>
          </w:p>
        </w:tc>
        <w:tc>
          <w:tcPr>
            <w:tcW w:w="3467" w:type="dxa"/>
            <w:vAlign w:val="center"/>
          </w:tcPr>
          <w:p>
            <w:pPr>
              <w:keepNext w:val="0"/>
              <w:spacing w:before="0" w:after="0"/>
              <w:jc w:val="center"/>
              <w:outlineLvl w:val="9"/>
              <w:rPr>
                <w:rFonts w:ascii="宋体" w:hAnsi="宋体" w:eastAsia="宋体" w:cs="Times New Roman"/>
                <w:b w:val="0"/>
                <w:bCs w:val="0"/>
                <w:color w:val="auto"/>
                <w:sz w:val="21"/>
                <w:szCs w:val="21"/>
                <w:highlight w:val="none"/>
                <w:lang w:eastAsia="zh-CN"/>
              </w:rPr>
            </w:pPr>
            <w:r>
              <w:rPr>
                <w:rFonts w:hint="eastAsia" w:ascii="宋体" w:hAnsi="宋体" w:eastAsia="宋体"/>
                <w:color w:val="auto"/>
                <w:sz w:val="21"/>
                <w:szCs w:val="21"/>
                <w:highlight w:val="none"/>
                <w:lang w:eastAsia="zh-CN"/>
              </w:rPr>
              <w:t>吸尘器</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p>
        </w:tc>
        <w:tc>
          <w:tcPr>
            <w:tcW w:w="953" w:type="dxa"/>
            <w:vAlign w:val="center"/>
          </w:tcPr>
          <w:p>
            <w:pPr>
              <w:keepNext/>
              <w:spacing w:before="240" w:after="60"/>
              <w:jc w:val="center"/>
              <w:outlineLvl w:val="2"/>
              <w:rPr>
                <w:rFonts w:ascii="宋体" w:hAnsi="宋体" w:eastAsia="宋体" w:cs="Times New Roman"/>
                <w:b w:val="0"/>
                <w:bCs w:val="0"/>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13</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刮水器</w:t>
            </w:r>
          </w:p>
        </w:tc>
        <w:tc>
          <w:tcPr>
            <w:tcW w:w="97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ascii="宋体" w:hAnsi="宋体" w:eastAsia="宋体" w:cs="Times New Roman"/>
                <w:color w:val="auto"/>
                <w:sz w:val="21"/>
                <w:szCs w:val="21"/>
                <w:highlight w:val="none"/>
                <w:lang w:eastAsia="zh-CN"/>
              </w:rPr>
              <w:t>5</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14</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保洁桶</w:t>
            </w:r>
          </w:p>
        </w:tc>
        <w:tc>
          <w:tcPr>
            <w:tcW w:w="97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ascii="宋体" w:hAnsi="宋体" w:eastAsia="宋体" w:cs="Times New Roman"/>
                <w:color w:val="auto"/>
                <w:sz w:val="21"/>
                <w:szCs w:val="21"/>
                <w:highlight w:val="none"/>
                <w:lang w:eastAsia="zh-CN"/>
              </w:rPr>
              <w:t>20</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15</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防水鞋</w:t>
            </w:r>
          </w:p>
        </w:tc>
        <w:tc>
          <w:tcPr>
            <w:tcW w:w="97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ascii="宋体" w:hAnsi="宋体" w:eastAsia="宋体" w:cs="Times New Roman"/>
                <w:color w:val="auto"/>
                <w:sz w:val="21"/>
                <w:szCs w:val="21"/>
                <w:highlight w:val="none"/>
                <w:lang w:eastAsia="zh-CN"/>
              </w:rPr>
              <w:t>4</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16</w:t>
            </w:r>
          </w:p>
        </w:tc>
        <w:tc>
          <w:tcPr>
            <w:tcW w:w="2791" w:type="dxa"/>
            <w:vMerge w:val="restart"/>
            <w:vAlign w:val="center"/>
          </w:tcPr>
          <w:p>
            <w:pPr>
              <w:widowControl w:val="0"/>
              <w:spacing w:line="360" w:lineRule="auto"/>
              <w:ind w:firstLine="480" w:firstLineChars="200"/>
              <w:jc w:val="center"/>
              <w:rPr>
                <w:rFonts w:ascii="宋体" w:hAnsi="宋体" w:eastAsia="宋体"/>
                <w:color w:val="auto"/>
                <w:sz w:val="21"/>
                <w:szCs w:val="21"/>
                <w:highlight w:val="none"/>
              </w:rPr>
            </w:pPr>
            <w:r>
              <w:rPr>
                <w:rFonts w:hint="eastAsia" w:asciiTheme="minorEastAsia" w:hAnsiTheme="minorEastAsia" w:cstheme="minorEastAsia"/>
                <w:color w:val="auto"/>
                <w:highlight w:val="none"/>
              </w:rPr>
              <w:t>绿化服务</w:t>
            </w:r>
          </w:p>
        </w:tc>
        <w:tc>
          <w:tcPr>
            <w:tcW w:w="346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割草机</w:t>
            </w:r>
          </w:p>
        </w:tc>
        <w:tc>
          <w:tcPr>
            <w:tcW w:w="97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ascii="宋体" w:hAnsi="宋体" w:eastAsia="宋体" w:cs="Times New Roman"/>
                <w:color w:val="auto"/>
                <w:sz w:val="21"/>
                <w:szCs w:val="21"/>
                <w:highlight w:val="none"/>
                <w:lang w:eastAsia="zh-CN"/>
              </w:rPr>
              <w:t>1</w:t>
            </w:r>
          </w:p>
        </w:tc>
        <w:tc>
          <w:tcPr>
            <w:tcW w:w="953"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17</w:t>
            </w:r>
          </w:p>
        </w:tc>
        <w:tc>
          <w:tcPr>
            <w:tcW w:w="2791" w:type="dxa"/>
            <w:vMerge w:val="continue"/>
            <w:vAlign w:val="center"/>
          </w:tcPr>
          <w:p>
            <w:pPr>
              <w:widowControl w:val="0"/>
              <w:spacing w:line="360" w:lineRule="auto"/>
              <w:ind w:firstLine="420" w:firstLineChars="200"/>
              <w:jc w:val="center"/>
              <w:rPr>
                <w:rFonts w:ascii="宋体" w:hAnsi="宋体" w:eastAsia="宋体"/>
                <w:color w:val="auto"/>
                <w:sz w:val="21"/>
                <w:szCs w:val="21"/>
                <w:highlight w:val="none"/>
              </w:rPr>
            </w:pPr>
          </w:p>
        </w:tc>
        <w:tc>
          <w:tcPr>
            <w:tcW w:w="346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高枝剪</w:t>
            </w:r>
          </w:p>
        </w:tc>
        <w:tc>
          <w:tcPr>
            <w:tcW w:w="97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ascii="宋体" w:hAnsi="宋体" w:eastAsia="宋体" w:cs="Times New Roman"/>
                <w:color w:val="auto"/>
                <w:sz w:val="21"/>
                <w:szCs w:val="21"/>
                <w:highlight w:val="none"/>
                <w:lang w:eastAsia="zh-CN"/>
              </w:rPr>
              <w:t>1</w:t>
            </w:r>
          </w:p>
        </w:tc>
        <w:tc>
          <w:tcPr>
            <w:tcW w:w="953"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18</w:t>
            </w:r>
          </w:p>
        </w:tc>
        <w:tc>
          <w:tcPr>
            <w:tcW w:w="2791" w:type="dxa"/>
            <w:vMerge w:val="continue"/>
            <w:vAlign w:val="center"/>
          </w:tcPr>
          <w:p>
            <w:pPr>
              <w:widowControl w:val="0"/>
              <w:spacing w:line="360" w:lineRule="auto"/>
              <w:ind w:firstLine="420" w:firstLineChars="200"/>
              <w:jc w:val="center"/>
              <w:rPr>
                <w:rFonts w:ascii="宋体" w:hAnsi="宋体" w:eastAsia="宋体"/>
                <w:color w:val="auto"/>
                <w:sz w:val="21"/>
                <w:szCs w:val="21"/>
                <w:highlight w:val="none"/>
              </w:rPr>
            </w:pPr>
          </w:p>
        </w:tc>
        <w:tc>
          <w:tcPr>
            <w:tcW w:w="346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电锯</w:t>
            </w:r>
          </w:p>
        </w:tc>
        <w:tc>
          <w:tcPr>
            <w:tcW w:w="97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ascii="宋体" w:hAnsi="宋体" w:eastAsia="宋体" w:cs="Times New Roman"/>
                <w:color w:val="auto"/>
                <w:sz w:val="21"/>
                <w:szCs w:val="21"/>
                <w:highlight w:val="none"/>
                <w:lang w:eastAsia="zh-CN"/>
              </w:rPr>
              <w:t>1</w:t>
            </w:r>
          </w:p>
        </w:tc>
        <w:tc>
          <w:tcPr>
            <w:tcW w:w="953"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19</w:t>
            </w:r>
          </w:p>
        </w:tc>
        <w:tc>
          <w:tcPr>
            <w:tcW w:w="2791" w:type="dxa"/>
            <w:vMerge w:val="continue"/>
            <w:vAlign w:val="center"/>
          </w:tcPr>
          <w:p>
            <w:pPr>
              <w:widowControl w:val="0"/>
              <w:spacing w:line="360" w:lineRule="auto"/>
              <w:ind w:firstLine="420" w:firstLineChars="200"/>
              <w:jc w:val="center"/>
              <w:rPr>
                <w:rFonts w:ascii="宋体" w:hAnsi="宋体" w:eastAsia="宋体"/>
                <w:color w:val="auto"/>
                <w:sz w:val="21"/>
                <w:szCs w:val="21"/>
                <w:highlight w:val="none"/>
              </w:rPr>
            </w:pPr>
          </w:p>
        </w:tc>
        <w:tc>
          <w:tcPr>
            <w:tcW w:w="346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喷药器</w:t>
            </w:r>
          </w:p>
        </w:tc>
        <w:tc>
          <w:tcPr>
            <w:tcW w:w="977"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ascii="宋体" w:hAnsi="宋体" w:eastAsia="宋体" w:cs="Times New Roman"/>
                <w:color w:val="auto"/>
                <w:sz w:val="21"/>
                <w:szCs w:val="21"/>
                <w:highlight w:val="none"/>
                <w:lang w:eastAsia="zh-CN"/>
              </w:rPr>
              <w:t>1</w:t>
            </w:r>
          </w:p>
        </w:tc>
        <w:tc>
          <w:tcPr>
            <w:tcW w:w="953" w:type="dxa"/>
            <w:vAlign w:val="center"/>
          </w:tcPr>
          <w:p>
            <w:pPr>
              <w:widowControl w:val="0"/>
              <w:spacing w:line="240" w:lineRule="auto"/>
              <w:ind w:firstLine="0" w:firstLineChars="0"/>
              <w:jc w:val="center"/>
              <w:rPr>
                <w:rFonts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20</w:t>
            </w:r>
          </w:p>
        </w:tc>
        <w:tc>
          <w:tcPr>
            <w:tcW w:w="2791" w:type="dxa"/>
            <w:vMerge w:val="restart"/>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保安服务</w:t>
            </w: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对讲机</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21</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21</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执法记录仪</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22</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强光手电筒</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23</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喊话器</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24</w:t>
            </w:r>
          </w:p>
        </w:tc>
        <w:tc>
          <w:tcPr>
            <w:tcW w:w="2791" w:type="dxa"/>
            <w:vMerge w:val="restart"/>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会议服务</w:t>
            </w: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水平测量仪</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69"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25</w:t>
            </w:r>
          </w:p>
        </w:tc>
        <w:tc>
          <w:tcPr>
            <w:tcW w:w="2791" w:type="dxa"/>
            <w:vMerge w:val="continue"/>
            <w:vAlign w:val="center"/>
          </w:tcPr>
          <w:p>
            <w:pPr>
              <w:jc w:val="center"/>
              <w:rPr>
                <w:rFonts w:ascii="宋体" w:hAnsi="宋体" w:eastAsia="宋体"/>
                <w:color w:val="auto"/>
                <w:sz w:val="21"/>
                <w:szCs w:val="21"/>
                <w:highlight w:val="none"/>
              </w:rPr>
            </w:pPr>
          </w:p>
        </w:tc>
        <w:tc>
          <w:tcPr>
            <w:tcW w:w="346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红外测量仪</w:t>
            </w:r>
          </w:p>
        </w:tc>
        <w:tc>
          <w:tcPr>
            <w:tcW w:w="977"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p>
        </w:tc>
        <w:tc>
          <w:tcPr>
            <w:tcW w:w="953" w:type="dxa"/>
            <w:vAlign w:val="center"/>
          </w:tcPr>
          <w:p>
            <w:pPr>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台</w:t>
            </w:r>
          </w:p>
        </w:tc>
      </w:tr>
    </w:tbl>
    <w:p>
      <w:pPr>
        <w:pStyle w:val="3"/>
        <w:keepNext w:val="0"/>
        <w:spacing w:before="0" w:after="0" w:line="300" w:lineRule="auto"/>
        <w:jc w:val="center"/>
        <w:rPr>
          <w:rFonts w:ascii="宋体" w:hAnsi="宋体" w:eastAsia="宋体" w:cs="仿宋_GB2312"/>
          <w:color w:val="auto"/>
          <w:sz w:val="28"/>
          <w:szCs w:val="28"/>
          <w:highlight w:val="none"/>
          <w:lang w:eastAsia="zh-CN"/>
        </w:rPr>
      </w:pPr>
      <w:bookmarkStart w:id="47" w:name="_Toc202710772"/>
      <w:bookmarkStart w:id="48" w:name="_Toc3119"/>
      <w:r>
        <w:rPr>
          <w:rFonts w:ascii="宋体" w:hAnsi="宋体" w:eastAsia="宋体" w:cs="仿宋_GB2312"/>
          <w:color w:val="auto"/>
          <w:kern w:val="36"/>
          <w:sz w:val="28"/>
          <w:szCs w:val="28"/>
          <w:highlight w:val="none"/>
          <w:lang w:eastAsia="zh-CN"/>
        </w:rPr>
        <w:t>6风险管控要求</w:t>
      </w:r>
      <w:bookmarkEnd w:id="47"/>
      <w:bookmarkEnd w:id="48"/>
    </w:p>
    <w:p>
      <w:pPr>
        <w:spacing w:line="300" w:lineRule="auto"/>
        <w:ind w:firstLine="420" w:firstLineChars="200"/>
        <w:jc w:val="both"/>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物业管理服务项目实施期间，供应商</w:t>
      </w:r>
      <w:r>
        <w:rPr>
          <w:rFonts w:ascii="宋体" w:hAnsi="宋体" w:eastAsia="宋体" w:cs="仿宋_GB2312"/>
          <w:color w:val="auto"/>
          <w:sz w:val="21"/>
          <w:szCs w:val="21"/>
          <w:highlight w:val="none"/>
          <w:lang w:eastAsia="zh-CN"/>
        </w:rPr>
        <w:t>识别、分析各种潜在风险，针对不同风险类型制定相应解决方案</w:t>
      </w:r>
      <w:r>
        <w:rPr>
          <w:rFonts w:hint="eastAsia" w:ascii="宋体" w:hAnsi="宋体" w:eastAsia="宋体" w:cs="仿宋_GB2312"/>
          <w:color w:val="auto"/>
          <w:sz w:val="21"/>
          <w:szCs w:val="21"/>
          <w:highlight w:val="none"/>
          <w:lang w:eastAsia="zh-CN"/>
        </w:rPr>
        <w:t>。</w:t>
      </w:r>
    </w:p>
    <w:p>
      <w:pPr>
        <w:spacing w:line="300" w:lineRule="auto"/>
        <w:jc w:val="both"/>
        <w:rPr>
          <w:rFonts w:ascii="宋体" w:hAnsi="宋体" w:eastAsia="宋体" w:cs="仿宋_GB2312"/>
          <w:color w:val="auto"/>
          <w:sz w:val="21"/>
          <w:szCs w:val="21"/>
          <w:highlight w:val="none"/>
          <w:lang w:eastAsia="zh-CN"/>
        </w:rPr>
      </w:pPr>
    </w:p>
    <w:p>
      <w:pPr>
        <w:pStyle w:val="3"/>
        <w:keepNext w:val="0"/>
        <w:spacing w:before="0" w:after="0" w:line="300" w:lineRule="auto"/>
        <w:jc w:val="center"/>
        <w:rPr>
          <w:rFonts w:ascii="宋体" w:hAnsi="宋体" w:eastAsia="宋体" w:cs="仿宋_GB2312"/>
          <w:color w:val="auto"/>
          <w:sz w:val="28"/>
          <w:szCs w:val="28"/>
          <w:highlight w:val="none"/>
          <w:lang w:eastAsia="zh-CN"/>
        </w:rPr>
      </w:pPr>
      <w:bookmarkStart w:id="49" w:name="_Toc202710773"/>
      <w:bookmarkStart w:id="50" w:name="_Toc4996"/>
      <w:r>
        <w:rPr>
          <w:rFonts w:ascii="宋体" w:hAnsi="宋体" w:eastAsia="宋体" w:cs="仿宋_GB2312"/>
          <w:color w:val="auto"/>
          <w:kern w:val="36"/>
          <w:sz w:val="28"/>
          <w:szCs w:val="28"/>
          <w:highlight w:val="none"/>
          <w:lang w:eastAsia="zh-CN"/>
        </w:rPr>
        <w:t>7履约验收要求</w:t>
      </w:r>
      <w:bookmarkEnd w:id="49"/>
      <w:bookmarkEnd w:id="50"/>
    </w:p>
    <w:p>
      <w:pPr>
        <w:pStyle w:val="4"/>
        <w:keepNext w:val="0"/>
        <w:spacing w:before="0" w:after="0" w:line="300" w:lineRule="auto"/>
        <w:rPr>
          <w:rFonts w:ascii="宋体" w:hAnsi="宋体" w:eastAsia="宋体" w:cs="仿宋_GB2312"/>
          <w:color w:val="auto"/>
          <w:sz w:val="21"/>
          <w:szCs w:val="21"/>
          <w:highlight w:val="none"/>
          <w:lang w:eastAsia="zh-CN"/>
        </w:rPr>
      </w:pPr>
      <w:bookmarkStart w:id="51" w:name="_Toc202710774"/>
      <w:bookmarkStart w:id="52" w:name="_Toc31711"/>
      <w:r>
        <w:rPr>
          <w:rFonts w:ascii="宋体" w:hAnsi="宋体" w:eastAsia="宋体" w:cs="仿宋_GB2312"/>
          <w:i w:val="0"/>
          <w:iCs w:val="0"/>
          <w:color w:val="auto"/>
          <w:sz w:val="21"/>
          <w:szCs w:val="21"/>
          <w:highlight w:val="none"/>
          <w:lang w:eastAsia="zh-CN"/>
        </w:rPr>
        <w:t>7.1总体要求</w:t>
      </w:r>
      <w:bookmarkEnd w:id="51"/>
      <w:bookmarkEnd w:id="52"/>
    </w:p>
    <w:tbl>
      <w:tblPr>
        <w:tblStyle w:val="16"/>
        <w:tblW w:w="8705" w:type="dxa"/>
        <w:tblInd w:w="30" w:type="dxa"/>
        <w:tblLayout w:type="fixed"/>
        <w:tblCellMar>
          <w:top w:w="0" w:type="dxa"/>
          <w:left w:w="108" w:type="dxa"/>
          <w:bottom w:w="0" w:type="dxa"/>
          <w:right w:w="108" w:type="dxa"/>
        </w:tblCellMar>
      </w:tblPr>
      <w:tblGrid>
        <w:gridCol w:w="1993"/>
        <w:gridCol w:w="6712"/>
      </w:tblGrid>
      <w:tr>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widowControl w:val="0"/>
              <w:spacing w:line="300" w:lineRule="auto"/>
              <w:jc w:val="center"/>
              <w:rPr>
                <w:rFonts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验收名称</w:t>
            </w:r>
          </w:p>
        </w:tc>
        <w:tc>
          <w:tcPr>
            <w:tcW w:w="6712"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widowControl w:val="0"/>
              <w:spacing w:line="300" w:lineRule="auto"/>
              <w:jc w:val="center"/>
              <w:rPr>
                <w:rFonts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验收要求</w:t>
            </w:r>
          </w:p>
        </w:tc>
      </w:tr>
      <w:tr>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第1次验收</w:t>
            </w:r>
          </w:p>
        </w:tc>
        <w:tc>
          <w:tcPr>
            <w:tcW w:w="671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lang w:eastAsia="zh-CN"/>
              </w:rPr>
            </w:pPr>
            <w:r>
              <w:rPr>
                <w:rFonts w:hint="eastAsia" w:ascii="宋体" w:hAnsi="宋体" w:eastAsia="宋体"/>
                <w:color w:val="auto"/>
                <w:sz w:val="21"/>
                <w:szCs w:val="21"/>
                <w:highlight w:val="none"/>
                <w:lang w:eastAsia="zh-CN"/>
              </w:rPr>
              <w:t>采购人6月</w:t>
            </w:r>
            <w:r>
              <w:rPr>
                <w:rFonts w:hint="eastAsia" w:ascii="宋体" w:hAnsi="宋体"/>
                <w:color w:val="auto"/>
                <w:sz w:val="21"/>
                <w:szCs w:val="21"/>
                <w:highlight w:val="none"/>
                <w:lang w:eastAsia="zh-CN"/>
              </w:rPr>
              <w:t>底前</w:t>
            </w:r>
            <w:r>
              <w:rPr>
                <w:rFonts w:hint="eastAsia" w:ascii="宋体" w:hAnsi="宋体" w:eastAsia="宋体"/>
                <w:color w:val="auto"/>
                <w:sz w:val="21"/>
                <w:szCs w:val="21"/>
                <w:highlight w:val="none"/>
                <w:lang w:eastAsia="zh-CN"/>
              </w:rPr>
              <w:t>对中标人3月</w:t>
            </w:r>
            <w:r>
              <w:rPr>
                <w:rFonts w:ascii="宋体" w:hAnsi="宋体" w:eastAsia="宋体"/>
                <w:color w:val="auto"/>
                <w:kern w:val="2"/>
                <w:sz w:val="21"/>
                <w:szCs w:val="21"/>
                <w:highlight w:val="none"/>
                <w:lang w:eastAsia="zh-CN"/>
              </w:rPr>
              <w:t>至</w:t>
            </w:r>
            <w:r>
              <w:rPr>
                <w:rFonts w:hint="eastAsia" w:ascii="宋体" w:hAnsi="宋体" w:eastAsia="宋体"/>
                <w:color w:val="auto"/>
                <w:sz w:val="21"/>
                <w:szCs w:val="21"/>
                <w:highlight w:val="none"/>
                <w:lang w:eastAsia="zh-CN"/>
              </w:rPr>
              <w:t>5月</w:t>
            </w:r>
            <w:r>
              <w:rPr>
                <w:rFonts w:hint="eastAsia" w:ascii="宋体" w:hAnsi="宋体" w:eastAsia="宋体" w:cs="仿宋_GB2312"/>
                <w:color w:val="auto"/>
                <w:sz w:val="21"/>
                <w:szCs w:val="21"/>
                <w:highlight w:val="none"/>
                <w:lang w:eastAsia="zh-CN"/>
              </w:rPr>
              <w:t>服务情况进行履约验收考核；</w:t>
            </w:r>
          </w:p>
        </w:tc>
      </w:tr>
      <w:tr>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第2次验收</w:t>
            </w:r>
          </w:p>
        </w:tc>
        <w:tc>
          <w:tcPr>
            <w:tcW w:w="671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lang w:eastAsia="zh-CN"/>
              </w:rPr>
            </w:pPr>
            <w:r>
              <w:rPr>
                <w:rFonts w:hint="eastAsia" w:ascii="宋体" w:hAnsi="宋体" w:eastAsia="宋体"/>
                <w:color w:val="auto"/>
                <w:sz w:val="21"/>
                <w:szCs w:val="21"/>
                <w:highlight w:val="none"/>
                <w:lang w:eastAsia="zh-CN"/>
              </w:rPr>
              <w:t>采购人9月</w:t>
            </w:r>
            <w:r>
              <w:rPr>
                <w:rFonts w:hint="eastAsia" w:ascii="宋体" w:hAnsi="宋体"/>
                <w:color w:val="auto"/>
                <w:sz w:val="21"/>
                <w:szCs w:val="21"/>
                <w:highlight w:val="none"/>
                <w:lang w:eastAsia="zh-CN"/>
              </w:rPr>
              <w:t>底前</w:t>
            </w:r>
            <w:r>
              <w:rPr>
                <w:rFonts w:hint="eastAsia" w:ascii="宋体" w:hAnsi="宋体" w:eastAsia="宋体"/>
                <w:color w:val="auto"/>
                <w:sz w:val="21"/>
                <w:szCs w:val="21"/>
                <w:highlight w:val="none"/>
                <w:lang w:eastAsia="zh-CN"/>
              </w:rPr>
              <w:t>对中标人6月</w:t>
            </w:r>
            <w:r>
              <w:rPr>
                <w:rFonts w:ascii="宋体" w:hAnsi="宋体" w:eastAsia="宋体"/>
                <w:color w:val="auto"/>
                <w:kern w:val="2"/>
                <w:sz w:val="21"/>
                <w:szCs w:val="21"/>
                <w:highlight w:val="none"/>
                <w:lang w:eastAsia="zh-CN"/>
              </w:rPr>
              <w:t>至</w:t>
            </w:r>
            <w:r>
              <w:rPr>
                <w:rFonts w:hint="eastAsia" w:ascii="宋体" w:hAnsi="宋体" w:eastAsia="宋体"/>
                <w:color w:val="auto"/>
                <w:sz w:val="21"/>
                <w:szCs w:val="21"/>
                <w:highlight w:val="none"/>
                <w:lang w:eastAsia="zh-CN"/>
              </w:rPr>
              <w:t>8月</w:t>
            </w:r>
            <w:r>
              <w:rPr>
                <w:rFonts w:hint="eastAsia" w:ascii="宋体" w:hAnsi="宋体" w:eastAsia="宋体" w:cs="仿宋_GB2312"/>
                <w:color w:val="auto"/>
                <w:sz w:val="21"/>
                <w:szCs w:val="21"/>
                <w:highlight w:val="none"/>
                <w:lang w:eastAsia="zh-CN"/>
              </w:rPr>
              <w:t>服务情况进行履约验收考核；</w:t>
            </w:r>
          </w:p>
        </w:tc>
      </w:tr>
      <w:tr>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第3次验收</w:t>
            </w:r>
          </w:p>
        </w:tc>
        <w:tc>
          <w:tcPr>
            <w:tcW w:w="671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lang w:eastAsia="zh-CN"/>
              </w:rPr>
            </w:pPr>
            <w:r>
              <w:rPr>
                <w:rFonts w:hint="eastAsia" w:ascii="宋体" w:hAnsi="宋体" w:eastAsia="宋体"/>
                <w:color w:val="auto"/>
                <w:sz w:val="21"/>
                <w:szCs w:val="21"/>
                <w:highlight w:val="none"/>
                <w:lang w:eastAsia="zh-CN"/>
              </w:rPr>
              <w:t>采购人12月</w:t>
            </w:r>
            <w:r>
              <w:rPr>
                <w:rFonts w:hint="eastAsia" w:ascii="宋体" w:hAnsi="宋体"/>
                <w:color w:val="auto"/>
                <w:sz w:val="21"/>
                <w:szCs w:val="21"/>
                <w:highlight w:val="none"/>
                <w:lang w:eastAsia="zh-CN"/>
              </w:rPr>
              <w:t>底前</w:t>
            </w:r>
            <w:r>
              <w:rPr>
                <w:rFonts w:hint="eastAsia" w:ascii="宋体" w:hAnsi="宋体" w:eastAsia="宋体"/>
                <w:color w:val="auto"/>
                <w:sz w:val="21"/>
                <w:szCs w:val="21"/>
                <w:highlight w:val="none"/>
                <w:lang w:eastAsia="zh-CN"/>
              </w:rPr>
              <w:t>对中标人9月</w:t>
            </w:r>
            <w:r>
              <w:rPr>
                <w:rFonts w:ascii="宋体" w:hAnsi="宋体" w:eastAsia="宋体"/>
                <w:color w:val="auto"/>
                <w:kern w:val="2"/>
                <w:sz w:val="21"/>
                <w:szCs w:val="21"/>
                <w:highlight w:val="none"/>
                <w:lang w:eastAsia="zh-CN"/>
              </w:rPr>
              <w:t>至</w:t>
            </w:r>
            <w:r>
              <w:rPr>
                <w:rFonts w:hint="eastAsia" w:ascii="宋体" w:hAnsi="宋体" w:eastAsia="宋体"/>
                <w:color w:val="auto"/>
                <w:sz w:val="21"/>
                <w:szCs w:val="21"/>
                <w:highlight w:val="none"/>
                <w:lang w:eastAsia="zh-CN"/>
              </w:rPr>
              <w:t>11月</w:t>
            </w:r>
            <w:r>
              <w:rPr>
                <w:rFonts w:hint="eastAsia" w:ascii="宋体" w:hAnsi="宋体" w:eastAsia="宋体" w:cs="仿宋_GB2312"/>
                <w:color w:val="auto"/>
                <w:sz w:val="21"/>
                <w:szCs w:val="21"/>
                <w:highlight w:val="none"/>
                <w:lang w:eastAsia="zh-CN"/>
              </w:rPr>
              <w:t>服务情况进行履约验收考核。</w:t>
            </w:r>
          </w:p>
        </w:tc>
      </w:tr>
      <w:tr>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rPr>
            </w:pPr>
            <w:bookmarkStart w:id="53" w:name="_Toc202710775"/>
            <w:r>
              <w:rPr>
                <w:rFonts w:hint="eastAsia" w:ascii="宋体" w:hAnsi="宋体" w:eastAsia="宋体" w:cs="仿宋_GB2312"/>
                <w:color w:val="auto"/>
                <w:sz w:val="21"/>
                <w:szCs w:val="21"/>
                <w:highlight w:val="none"/>
              </w:rPr>
              <w:t>第</w:t>
            </w:r>
            <w:r>
              <w:rPr>
                <w:rFonts w:hint="eastAsia" w:ascii="宋体" w:hAnsi="宋体" w:eastAsia="宋体" w:cs="仿宋_GB2312"/>
                <w:color w:val="auto"/>
                <w:sz w:val="21"/>
                <w:szCs w:val="21"/>
                <w:highlight w:val="none"/>
                <w:lang w:eastAsia="zh-CN"/>
              </w:rPr>
              <w:t>4</w:t>
            </w:r>
            <w:r>
              <w:rPr>
                <w:rFonts w:hint="eastAsia" w:ascii="宋体" w:hAnsi="宋体" w:eastAsia="宋体" w:cs="仿宋_GB2312"/>
                <w:color w:val="auto"/>
                <w:sz w:val="21"/>
                <w:szCs w:val="21"/>
                <w:highlight w:val="none"/>
              </w:rPr>
              <w:t>次验收</w:t>
            </w:r>
          </w:p>
        </w:tc>
        <w:tc>
          <w:tcPr>
            <w:tcW w:w="6712" w:type="dxa"/>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lang w:eastAsia="zh-CN"/>
              </w:rPr>
            </w:pPr>
            <w:r>
              <w:rPr>
                <w:rFonts w:hint="eastAsia" w:ascii="宋体" w:hAnsi="宋体" w:eastAsia="宋体"/>
                <w:color w:val="auto"/>
                <w:sz w:val="21"/>
                <w:szCs w:val="21"/>
                <w:highlight w:val="none"/>
                <w:lang w:eastAsia="zh-CN"/>
              </w:rPr>
              <w:t>采购人次年3月</w:t>
            </w:r>
            <w:r>
              <w:rPr>
                <w:rFonts w:hint="eastAsia" w:ascii="宋体" w:hAnsi="宋体"/>
                <w:color w:val="auto"/>
                <w:sz w:val="21"/>
                <w:szCs w:val="21"/>
                <w:highlight w:val="none"/>
                <w:lang w:eastAsia="zh-CN"/>
              </w:rPr>
              <w:t>底前</w:t>
            </w:r>
            <w:r>
              <w:rPr>
                <w:rFonts w:hint="eastAsia" w:ascii="宋体" w:hAnsi="宋体" w:eastAsia="宋体"/>
                <w:color w:val="auto"/>
                <w:sz w:val="21"/>
                <w:szCs w:val="21"/>
                <w:highlight w:val="none"/>
                <w:lang w:eastAsia="zh-CN"/>
              </w:rPr>
              <w:t>对中标人12月</w:t>
            </w:r>
            <w:r>
              <w:rPr>
                <w:rFonts w:ascii="宋体" w:hAnsi="宋体" w:eastAsia="宋体"/>
                <w:color w:val="auto"/>
                <w:kern w:val="2"/>
                <w:sz w:val="21"/>
                <w:szCs w:val="21"/>
                <w:highlight w:val="none"/>
                <w:lang w:eastAsia="zh-CN"/>
              </w:rPr>
              <w:t>至</w:t>
            </w:r>
            <w:r>
              <w:rPr>
                <w:rFonts w:hint="eastAsia" w:ascii="宋体" w:hAnsi="宋体" w:eastAsia="宋体"/>
                <w:color w:val="auto"/>
                <w:sz w:val="21"/>
                <w:szCs w:val="21"/>
                <w:highlight w:val="none"/>
                <w:lang w:eastAsia="zh-CN"/>
              </w:rPr>
              <w:t>次年2月</w:t>
            </w:r>
            <w:r>
              <w:rPr>
                <w:rFonts w:hint="eastAsia" w:ascii="宋体" w:hAnsi="宋体" w:eastAsia="宋体" w:cs="仿宋_GB2312"/>
                <w:color w:val="auto"/>
                <w:sz w:val="21"/>
                <w:szCs w:val="21"/>
                <w:highlight w:val="none"/>
                <w:lang w:eastAsia="zh-CN"/>
              </w:rPr>
              <w:t>服务情况进行履约验收考核。</w:t>
            </w:r>
          </w:p>
        </w:tc>
      </w:tr>
    </w:tbl>
    <w:p>
      <w:pPr>
        <w:pStyle w:val="4"/>
        <w:keepNext w:val="0"/>
        <w:spacing w:before="0" w:after="0" w:line="300" w:lineRule="auto"/>
        <w:rPr>
          <w:rFonts w:ascii="宋体" w:hAnsi="宋体" w:eastAsia="宋体" w:cs="仿宋_GB2312"/>
          <w:color w:val="auto"/>
          <w:sz w:val="21"/>
          <w:szCs w:val="21"/>
          <w:highlight w:val="none"/>
          <w:lang w:eastAsia="zh-CN"/>
        </w:rPr>
      </w:pPr>
      <w:bookmarkStart w:id="54" w:name="_Toc29614"/>
      <w:r>
        <w:rPr>
          <w:rFonts w:ascii="宋体" w:hAnsi="宋体" w:eastAsia="宋体" w:cs="仿宋_GB2312"/>
          <w:i w:val="0"/>
          <w:iCs w:val="0"/>
          <w:color w:val="auto"/>
          <w:sz w:val="21"/>
          <w:szCs w:val="21"/>
          <w:highlight w:val="none"/>
          <w:lang w:eastAsia="zh-CN"/>
        </w:rPr>
        <w:t>7.2验收考核标准与要求</w:t>
      </w:r>
      <w:bookmarkEnd w:id="53"/>
      <w:bookmarkEnd w:id="54"/>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项目每年进行4次验收考核，验收考核内容及标准见《服务满意度测评表》，结果作为付款的依据。每次验收考核由采购人进行服务满意度测评，以8个物业点《服务满意度测评表》的得分平均值为最终得分。具体要求如下：</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1.最终得分达到80分的，按合同约定支付该笔合同款，即支付当年合同金额的25%；</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r>
        <w:rPr>
          <w:rFonts w:hint="eastAsia"/>
          <w:color w:val="auto"/>
          <w:highlight w:val="none"/>
          <w:lang w:eastAsia="zh-CN"/>
        </w:rPr>
        <w:t xml:space="preserve"> </w:t>
      </w:r>
      <w:r>
        <w:rPr>
          <w:rFonts w:hint="eastAsia" w:ascii="宋体" w:hAnsi="宋体" w:eastAsia="宋体"/>
          <w:color w:val="auto"/>
          <w:sz w:val="21"/>
          <w:szCs w:val="21"/>
          <w:highlight w:val="none"/>
          <w:lang w:eastAsia="zh-CN"/>
        </w:rPr>
        <w:t>最终得分达到70分、不满80分的，在对应付款时扣除当年合同金额的1%，即支付当年合同金额的24%；</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w:t>
      </w:r>
      <w:r>
        <w:rPr>
          <w:rFonts w:hint="eastAsia"/>
          <w:color w:val="auto"/>
          <w:highlight w:val="none"/>
          <w:lang w:eastAsia="zh-CN"/>
        </w:rPr>
        <w:t xml:space="preserve"> </w:t>
      </w:r>
      <w:r>
        <w:rPr>
          <w:rFonts w:hint="eastAsia" w:ascii="宋体" w:hAnsi="宋体" w:eastAsia="宋体"/>
          <w:color w:val="auto"/>
          <w:sz w:val="21"/>
          <w:szCs w:val="21"/>
          <w:highlight w:val="none"/>
          <w:lang w:eastAsia="zh-CN"/>
        </w:rPr>
        <w:t>最终得分达到60分、不满70分的，在对应付款时扣除当年合同金额的2%，即支付当年合同金额的23%；</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w:t>
      </w:r>
      <w:r>
        <w:rPr>
          <w:rFonts w:hint="eastAsia"/>
          <w:color w:val="auto"/>
          <w:highlight w:val="none"/>
          <w:lang w:eastAsia="zh-CN"/>
        </w:rPr>
        <w:t xml:space="preserve"> </w:t>
      </w:r>
      <w:r>
        <w:rPr>
          <w:rFonts w:hint="eastAsia" w:ascii="宋体" w:hAnsi="宋体" w:eastAsia="宋体"/>
          <w:color w:val="auto"/>
          <w:sz w:val="21"/>
          <w:szCs w:val="21"/>
          <w:highlight w:val="none"/>
          <w:lang w:eastAsia="zh-CN"/>
        </w:rPr>
        <w:t>最终得分不满60分的，在对应付款时扣除当年合同金额的3%，即支付当年合同金额的22%。</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采购人有权在其认为必要时，对照《服务满意度测评表》中的内容对中标人提供物业管理服务进行履约检查，抽查服务质量，对不符合要求的督促中标人整改。采购人通过履约检查，如发现并经确认中标人存在不符合物业管理服务有关规定和服务承诺的行为，且涉及重大安全问题或造成不良影响的，每次从该物业点对应期间的《服务满意度测评表》总得分中扣除5分（扣完为止）。</w:t>
      </w:r>
    </w:p>
    <w:tbl>
      <w:tblPr>
        <w:tblStyle w:val="16"/>
        <w:tblW w:w="9210" w:type="dxa"/>
        <w:jc w:val="center"/>
        <w:tblLayout w:type="fixed"/>
        <w:tblCellMar>
          <w:top w:w="0" w:type="dxa"/>
          <w:left w:w="108" w:type="dxa"/>
          <w:bottom w:w="0" w:type="dxa"/>
          <w:right w:w="108" w:type="dxa"/>
        </w:tblCellMar>
      </w:tblPr>
      <w:tblGrid>
        <w:gridCol w:w="1149"/>
        <w:gridCol w:w="381"/>
        <w:gridCol w:w="1320"/>
        <w:gridCol w:w="3119"/>
        <w:gridCol w:w="850"/>
        <w:gridCol w:w="851"/>
        <w:gridCol w:w="842"/>
        <w:gridCol w:w="698"/>
      </w:tblGrid>
      <w:tr>
        <w:tblPrEx>
          <w:tblCellMar>
            <w:top w:w="0" w:type="dxa"/>
            <w:left w:w="108" w:type="dxa"/>
            <w:bottom w:w="0" w:type="dxa"/>
            <w:right w:w="108" w:type="dxa"/>
          </w:tblCellMar>
        </w:tblPrEx>
        <w:trPr>
          <w:trHeight w:val="454" w:hRule="atLeast"/>
          <w:jc w:val="center"/>
        </w:trPr>
        <w:tc>
          <w:tcPr>
            <w:tcW w:w="9210" w:type="dxa"/>
            <w:gridSpan w:val="8"/>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服务满意度测评表</w:t>
            </w:r>
          </w:p>
        </w:tc>
      </w:tr>
      <w:tr>
        <w:tblPrEx>
          <w:tblCellMar>
            <w:top w:w="0" w:type="dxa"/>
            <w:left w:w="108" w:type="dxa"/>
            <w:bottom w:w="0" w:type="dxa"/>
            <w:right w:w="108" w:type="dxa"/>
          </w:tblCellMar>
        </w:tblPrEx>
        <w:trPr>
          <w:trHeight w:val="454" w:hRule="atLeast"/>
          <w:jc w:val="center"/>
        </w:trPr>
        <w:tc>
          <w:tcPr>
            <w:tcW w:w="1149"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分类</w:t>
            </w:r>
          </w:p>
        </w:tc>
        <w:tc>
          <w:tcPr>
            <w:tcW w:w="1701" w:type="dxa"/>
            <w:gridSpan w:val="2"/>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评价项目</w:t>
            </w:r>
          </w:p>
        </w:tc>
        <w:tc>
          <w:tcPr>
            <w:tcW w:w="3119"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评价标准</w:t>
            </w:r>
          </w:p>
        </w:tc>
        <w:tc>
          <w:tcPr>
            <w:tcW w:w="850"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满意</w:t>
            </w:r>
          </w:p>
        </w:tc>
        <w:tc>
          <w:tcPr>
            <w:tcW w:w="851"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基本满意</w:t>
            </w:r>
          </w:p>
        </w:tc>
        <w:tc>
          <w:tcPr>
            <w:tcW w:w="842"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不满意</w:t>
            </w:r>
          </w:p>
        </w:tc>
        <w:tc>
          <w:tcPr>
            <w:tcW w:w="698"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得分</w:t>
            </w: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基本服务</w:t>
            </w:r>
          </w:p>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服务人员配备</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服务人员总数到达</w:t>
            </w:r>
            <w:r>
              <w:rPr>
                <w:rFonts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lang w:eastAsia="zh-CN"/>
              </w:rPr>
              <w:t>3人，满足各岗位所需服务时长或时段，考勤记录完整、准确</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仪容仪表规范</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着装分类统一，仪容整洁、姿态端正、举止文明</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管理制度</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建立健全各项管理制度，各岗位工作标准、工作流程及考核办法</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信报服务</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邮件、报刊、杂志收发及时准确无差错</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房屋和公用设施设备维护服务</w:t>
            </w:r>
          </w:p>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维</w:t>
            </w:r>
            <w:r>
              <w:rPr>
                <w:rFonts w:hint="eastAsia" w:ascii="宋体" w:hAnsi="宋体" w:eastAsia="宋体" w:cs="宋体"/>
                <w:color w:val="auto"/>
                <w:sz w:val="21"/>
                <w:szCs w:val="21"/>
                <w:highlight w:val="none"/>
                <w:lang w:eastAsia="zh-CN"/>
              </w:rPr>
              <w:t>护</w:t>
            </w:r>
            <w:r>
              <w:rPr>
                <w:rFonts w:hint="eastAsia" w:ascii="宋体" w:hAnsi="宋体" w:eastAsia="宋体" w:cs="宋体"/>
                <w:color w:val="auto"/>
                <w:sz w:val="21"/>
                <w:szCs w:val="21"/>
                <w:highlight w:val="none"/>
              </w:rPr>
              <w:t>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服务及时热情周到，主动服务，事事有反馈</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维</w:t>
            </w:r>
            <w:r>
              <w:rPr>
                <w:rFonts w:hint="eastAsia" w:ascii="宋体" w:hAnsi="宋体" w:eastAsia="宋体" w:cs="宋体"/>
                <w:color w:val="auto"/>
                <w:sz w:val="21"/>
                <w:szCs w:val="21"/>
                <w:highlight w:val="none"/>
                <w:lang w:eastAsia="zh-CN"/>
              </w:rPr>
              <w:t>护</w:t>
            </w:r>
            <w:r>
              <w:rPr>
                <w:rFonts w:hint="eastAsia" w:ascii="宋体" w:hAnsi="宋体" w:eastAsia="宋体" w:cs="宋体"/>
                <w:color w:val="auto"/>
                <w:sz w:val="21"/>
                <w:szCs w:val="21"/>
                <w:highlight w:val="none"/>
              </w:rPr>
              <w:t>及时性</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及时对房屋和公用设施设备提供维护</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维护服务质量</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保证房屋完好，公用设施设备完好有效，维修合格率达到100%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维修应急处理</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应急处理及时，处置得当</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w:t>
            </w:r>
          </w:p>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公共区域卫生</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道路地面无杂物、积尘、污迹、积水</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卫生间卫生</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台面地面无尘无污，客用品充足</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按规定时间完成清洁工作，达到规定清扫频率和质量</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保洁工具</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保洁工具摆放规范有序，能定期更换保证清洁使用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绿化服务</w:t>
            </w:r>
          </w:p>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室内</w:t>
            </w:r>
            <w:r>
              <w:rPr>
                <w:rFonts w:hint="eastAsia" w:ascii="宋体" w:hAnsi="宋体" w:eastAsia="宋体"/>
                <w:color w:val="auto"/>
                <w:sz w:val="21"/>
                <w:szCs w:val="21"/>
                <w:highlight w:val="none"/>
              </w:rPr>
              <w:t>绿化</w:t>
            </w:r>
            <w:r>
              <w:rPr>
                <w:rFonts w:hint="eastAsia" w:ascii="宋体" w:hAnsi="宋体" w:eastAsia="宋体" w:cs="宋体"/>
                <w:color w:val="auto"/>
                <w:sz w:val="21"/>
                <w:szCs w:val="21"/>
                <w:highlight w:val="none"/>
              </w:rPr>
              <w:t>租摆</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盆栽美观长势良好，花盆干净，更换应季</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室外绿化养护</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定期修剪树木、花卉等，灌乔木生长正常花枝新鲜</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保安服务</w:t>
            </w:r>
          </w:p>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出入管理、车辆停放</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接待规范、处置合理，相关记录填写规范、保存完好，车辆停放规范有序</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值班巡查、监控值守</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执行24小时值班巡查，监控室实行专人24小时值班</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消防安全管理</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确保设备完好有效、无故障，发现问题及时报修处理</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突发事件处理</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保安人员熟知突发事件处置流程</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会议服务</w:t>
            </w:r>
          </w:p>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会议服务质量</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按照要求完成会场保洁、会场布置、用具摆放、会场内温度和灯光音响投影等的调节调试</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会议服务态度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服务及时热情周到，充分了解会议需求高效完成会议服务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5969"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85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sz w:val="21"/>
                <w:szCs w:val="21"/>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jc w:val="center"/>
        </w:trPr>
        <w:tc>
          <w:tcPr>
            <w:tcW w:w="153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扣除项</w:t>
            </w:r>
          </w:p>
        </w:tc>
        <w:tc>
          <w:tcPr>
            <w:tcW w:w="4439"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涉及重大安全问题或造成不良影响的</w:t>
            </w:r>
          </w:p>
        </w:tc>
        <w:tc>
          <w:tcPr>
            <w:tcW w:w="2543"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每次扣5分（扣完为止）</w:t>
            </w:r>
          </w:p>
        </w:tc>
        <w:tc>
          <w:tcPr>
            <w:tcW w:w="69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sz w:val="21"/>
                <w:szCs w:val="21"/>
                <w:highlight w:val="none"/>
                <w:lang w:eastAsia="zh-CN"/>
              </w:rPr>
            </w:pPr>
          </w:p>
        </w:tc>
      </w:tr>
      <w:tr>
        <w:tblPrEx>
          <w:tblCellMar>
            <w:top w:w="0" w:type="dxa"/>
            <w:left w:w="108" w:type="dxa"/>
            <w:bottom w:w="0" w:type="dxa"/>
            <w:right w:w="108" w:type="dxa"/>
          </w:tblCellMar>
        </w:tblPrEx>
        <w:trPr>
          <w:trHeight w:val="454" w:hRule="atLeast"/>
          <w:jc w:val="center"/>
        </w:trPr>
        <w:tc>
          <w:tcPr>
            <w:tcW w:w="8512" w:type="dxa"/>
            <w:gridSpan w:val="7"/>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最终得分</w:t>
            </w:r>
          </w:p>
        </w:tc>
        <w:tc>
          <w:tcPr>
            <w:tcW w:w="69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sz w:val="21"/>
                <w:szCs w:val="21"/>
                <w:highlight w:val="none"/>
              </w:rPr>
            </w:pPr>
          </w:p>
        </w:tc>
      </w:tr>
    </w:tbl>
    <w:p>
      <w:pPr>
        <w:spacing w:line="300" w:lineRule="auto"/>
        <w:jc w:val="both"/>
        <w:rPr>
          <w:rFonts w:ascii="宋体" w:hAnsi="宋体" w:eastAsia="宋体" w:cs="仿宋_GB2312"/>
          <w:color w:val="auto"/>
          <w:sz w:val="21"/>
          <w:szCs w:val="21"/>
          <w:highlight w:val="none"/>
          <w:lang w:eastAsia="zh-CN"/>
        </w:rPr>
      </w:pPr>
    </w:p>
    <w:p>
      <w:pPr>
        <w:pStyle w:val="3"/>
        <w:keepNext w:val="0"/>
        <w:spacing w:before="0" w:after="0" w:line="300" w:lineRule="auto"/>
        <w:jc w:val="center"/>
        <w:rPr>
          <w:rFonts w:ascii="宋体" w:hAnsi="宋体" w:eastAsia="宋体" w:cs="仿宋_GB2312"/>
          <w:color w:val="auto"/>
          <w:sz w:val="28"/>
          <w:szCs w:val="28"/>
          <w:highlight w:val="none"/>
          <w:lang w:eastAsia="zh-CN"/>
        </w:rPr>
      </w:pPr>
      <w:bookmarkStart w:id="55" w:name="_Toc13772"/>
      <w:bookmarkStart w:id="56" w:name="_Toc202710776"/>
      <w:r>
        <w:rPr>
          <w:rFonts w:ascii="宋体" w:hAnsi="宋体" w:eastAsia="宋体" w:cs="仿宋_GB2312"/>
          <w:color w:val="auto"/>
          <w:kern w:val="36"/>
          <w:sz w:val="28"/>
          <w:szCs w:val="28"/>
          <w:highlight w:val="none"/>
          <w:lang w:eastAsia="zh-CN"/>
        </w:rPr>
        <w:t>8其他要求</w:t>
      </w:r>
      <w:bookmarkEnd w:id="55"/>
      <w:bookmarkEnd w:id="56"/>
    </w:p>
    <w:p>
      <w:pPr>
        <w:pStyle w:val="4"/>
        <w:keepNext w:val="0"/>
        <w:spacing w:before="0" w:after="0" w:line="300" w:lineRule="auto"/>
        <w:rPr>
          <w:rFonts w:ascii="宋体" w:hAnsi="宋体" w:eastAsia="宋体" w:cs="仿宋_GB2312"/>
          <w:color w:val="auto"/>
          <w:sz w:val="21"/>
          <w:szCs w:val="21"/>
          <w:highlight w:val="none"/>
          <w:lang w:eastAsia="zh-CN"/>
        </w:rPr>
      </w:pPr>
      <w:bookmarkStart w:id="57" w:name="_Toc32318"/>
      <w:bookmarkStart w:id="58" w:name="_Toc202710777"/>
      <w:r>
        <w:rPr>
          <w:rFonts w:ascii="宋体" w:hAnsi="宋体" w:eastAsia="宋体" w:cs="仿宋_GB2312"/>
          <w:i w:val="0"/>
          <w:iCs w:val="0"/>
          <w:color w:val="auto"/>
          <w:sz w:val="21"/>
          <w:szCs w:val="21"/>
          <w:highlight w:val="none"/>
          <w:lang w:eastAsia="zh-CN"/>
        </w:rPr>
        <w:t>8.1付款安排</w:t>
      </w:r>
      <w:bookmarkEnd w:id="57"/>
      <w:bookmarkEnd w:id="58"/>
    </w:p>
    <w:tbl>
      <w:tblPr>
        <w:tblStyle w:val="16"/>
        <w:tblW w:w="9037" w:type="dxa"/>
        <w:tblInd w:w="30" w:type="dxa"/>
        <w:tblLayout w:type="fixed"/>
        <w:tblCellMar>
          <w:top w:w="0" w:type="dxa"/>
          <w:left w:w="108" w:type="dxa"/>
          <w:bottom w:w="0" w:type="dxa"/>
          <w:right w:w="108" w:type="dxa"/>
        </w:tblCellMar>
      </w:tblPr>
      <w:tblGrid>
        <w:gridCol w:w="1531"/>
        <w:gridCol w:w="6006"/>
        <w:gridCol w:w="1500"/>
      </w:tblGrid>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widowControl w:val="0"/>
              <w:spacing w:line="300" w:lineRule="auto"/>
              <w:jc w:val="center"/>
              <w:rPr>
                <w:rFonts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付款名称</w:t>
            </w:r>
          </w:p>
        </w:tc>
        <w:tc>
          <w:tcPr>
            <w:tcW w:w="6006"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widowControl w:val="0"/>
              <w:spacing w:line="300" w:lineRule="auto"/>
              <w:jc w:val="center"/>
              <w:rPr>
                <w:rFonts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付款要求</w:t>
            </w:r>
          </w:p>
        </w:tc>
        <w:tc>
          <w:tcPr>
            <w:tcW w:w="1500"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widowControl w:val="0"/>
              <w:spacing w:line="300" w:lineRule="auto"/>
              <w:jc w:val="center"/>
              <w:rPr>
                <w:rFonts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付款比例(%)</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第1次付款</w:t>
            </w:r>
          </w:p>
        </w:tc>
        <w:tc>
          <w:tcPr>
            <w:tcW w:w="6006"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lang w:eastAsia="zh-CN"/>
              </w:rPr>
            </w:pPr>
            <w:r>
              <w:rPr>
                <w:rFonts w:hint="eastAsia" w:ascii="宋体" w:hAnsi="宋体" w:eastAsia="宋体"/>
                <w:color w:val="auto"/>
                <w:sz w:val="21"/>
                <w:szCs w:val="21"/>
                <w:highlight w:val="none"/>
                <w:lang w:eastAsia="zh-CN"/>
              </w:rPr>
              <w:t>采购人在对中标人3月</w:t>
            </w:r>
            <w:r>
              <w:rPr>
                <w:rFonts w:ascii="宋体" w:hAnsi="宋体" w:eastAsia="宋体"/>
                <w:color w:val="auto"/>
                <w:kern w:val="2"/>
                <w:sz w:val="21"/>
                <w:szCs w:val="21"/>
                <w:highlight w:val="none"/>
                <w:lang w:eastAsia="zh-CN"/>
              </w:rPr>
              <w:t>至</w:t>
            </w:r>
            <w:r>
              <w:rPr>
                <w:rFonts w:hint="eastAsia" w:ascii="宋体" w:hAnsi="宋体" w:eastAsia="宋体"/>
                <w:color w:val="auto"/>
                <w:sz w:val="21"/>
                <w:szCs w:val="21"/>
                <w:highlight w:val="none"/>
                <w:lang w:eastAsia="zh-CN"/>
              </w:rPr>
              <w:t>5月服务情况进行履约验收考核后，根据履约验收考核结果在收到发票后10个工作日内支付当年合同金额的25%</w:t>
            </w:r>
            <w:r>
              <w:rPr>
                <w:rFonts w:hint="eastAsia" w:ascii="宋体" w:hAnsi="宋体" w:eastAsia="宋体" w:cs="仿宋_GB2312"/>
                <w:color w:val="auto"/>
                <w:sz w:val="21"/>
                <w:szCs w:val="21"/>
                <w:highlight w:val="none"/>
                <w:lang w:eastAsia="zh-CN"/>
              </w:rPr>
              <w:t>；</w:t>
            </w:r>
          </w:p>
        </w:tc>
        <w:tc>
          <w:tcPr>
            <w:tcW w:w="15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25</w:t>
            </w:r>
            <w:r>
              <w:rPr>
                <w:rFonts w:hint="eastAsia" w:ascii="宋体" w:hAnsi="宋体" w:eastAsia="宋体" w:cs="仿宋_GB2312"/>
                <w:color w:val="auto"/>
                <w:sz w:val="21"/>
                <w:szCs w:val="21"/>
                <w:highlight w:val="none"/>
              </w:rPr>
              <w:t>.0</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第2次付款</w:t>
            </w:r>
          </w:p>
        </w:tc>
        <w:tc>
          <w:tcPr>
            <w:tcW w:w="6006"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lang w:eastAsia="zh-CN"/>
              </w:rPr>
            </w:pPr>
            <w:r>
              <w:rPr>
                <w:rFonts w:hint="eastAsia" w:ascii="宋体" w:hAnsi="宋体" w:eastAsia="宋体"/>
                <w:color w:val="auto"/>
                <w:sz w:val="21"/>
                <w:szCs w:val="21"/>
                <w:highlight w:val="none"/>
                <w:lang w:eastAsia="zh-CN"/>
              </w:rPr>
              <w:t>采购人在对中标人6月</w:t>
            </w:r>
            <w:r>
              <w:rPr>
                <w:rFonts w:ascii="宋体" w:hAnsi="宋体" w:eastAsia="宋体"/>
                <w:color w:val="auto"/>
                <w:kern w:val="2"/>
                <w:sz w:val="21"/>
                <w:szCs w:val="21"/>
                <w:highlight w:val="none"/>
                <w:lang w:eastAsia="zh-CN"/>
              </w:rPr>
              <w:t>至</w:t>
            </w:r>
            <w:r>
              <w:rPr>
                <w:rFonts w:hint="eastAsia" w:ascii="宋体" w:hAnsi="宋体" w:eastAsia="宋体"/>
                <w:color w:val="auto"/>
                <w:sz w:val="21"/>
                <w:szCs w:val="21"/>
                <w:highlight w:val="none"/>
                <w:lang w:eastAsia="zh-CN"/>
              </w:rPr>
              <w:t>8月服务情况进行履约验收考核后，根据履约验收考核结果在收到发票后10个工作日内支付当年合同金额的25%</w:t>
            </w:r>
            <w:r>
              <w:rPr>
                <w:rFonts w:hint="eastAsia" w:ascii="宋体" w:hAnsi="宋体" w:eastAsia="宋体" w:cs="仿宋_GB2312"/>
                <w:color w:val="auto"/>
                <w:sz w:val="21"/>
                <w:szCs w:val="21"/>
                <w:highlight w:val="none"/>
                <w:lang w:eastAsia="zh-CN"/>
              </w:rPr>
              <w:t>；</w:t>
            </w:r>
          </w:p>
        </w:tc>
        <w:tc>
          <w:tcPr>
            <w:tcW w:w="15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25</w:t>
            </w:r>
            <w:r>
              <w:rPr>
                <w:rFonts w:hint="eastAsia" w:ascii="宋体" w:hAnsi="宋体" w:eastAsia="宋体" w:cs="仿宋_GB2312"/>
                <w:color w:val="auto"/>
                <w:sz w:val="21"/>
                <w:szCs w:val="21"/>
                <w:highlight w:val="none"/>
              </w:rPr>
              <w:t>.0</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第3次付款</w:t>
            </w:r>
          </w:p>
        </w:tc>
        <w:tc>
          <w:tcPr>
            <w:tcW w:w="6006"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lang w:eastAsia="zh-CN"/>
              </w:rPr>
            </w:pPr>
            <w:r>
              <w:rPr>
                <w:rFonts w:hint="eastAsia" w:ascii="宋体" w:hAnsi="宋体" w:eastAsia="宋体"/>
                <w:color w:val="auto"/>
                <w:sz w:val="21"/>
                <w:szCs w:val="21"/>
                <w:highlight w:val="none"/>
                <w:lang w:eastAsia="zh-CN"/>
              </w:rPr>
              <w:t>采购人在对中标人9月</w:t>
            </w:r>
            <w:r>
              <w:rPr>
                <w:rFonts w:ascii="宋体" w:hAnsi="宋体" w:eastAsia="宋体"/>
                <w:color w:val="auto"/>
                <w:kern w:val="2"/>
                <w:sz w:val="21"/>
                <w:szCs w:val="21"/>
                <w:highlight w:val="none"/>
                <w:lang w:eastAsia="zh-CN"/>
              </w:rPr>
              <w:t>至</w:t>
            </w:r>
            <w:r>
              <w:rPr>
                <w:rFonts w:hint="eastAsia" w:ascii="宋体" w:hAnsi="宋体" w:eastAsia="宋体"/>
                <w:color w:val="auto"/>
                <w:sz w:val="21"/>
                <w:szCs w:val="21"/>
                <w:highlight w:val="none"/>
                <w:lang w:eastAsia="zh-CN"/>
              </w:rPr>
              <w:t>11月服务情况进行履约验收考核后，根据履约验收考核结果在收到发票后10个工作日内支付当年合同金额的25%；</w:t>
            </w:r>
          </w:p>
        </w:tc>
        <w:tc>
          <w:tcPr>
            <w:tcW w:w="15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25</w:t>
            </w:r>
            <w:r>
              <w:rPr>
                <w:rFonts w:hint="eastAsia" w:ascii="宋体" w:hAnsi="宋体" w:eastAsia="宋体" w:cs="仿宋_GB2312"/>
                <w:color w:val="auto"/>
                <w:sz w:val="21"/>
                <w:szCs w:val="21"/>
                <w:highlight w:val="none"/>
              </w:rPr>
              <w:t>.0</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rPr>
            </w:pPr>
            <w:bookmarkStart w:id="59" w:name="_Toc202710778"/>
            <w:r>
              <w:rPr>
                <w:rFonts w:hint="eastAsia" w:ascii="宋体" w:hAnsi="宋体" w:eastAsia="宋体" w:cs="仿宋_GB2312"/>
                <w:color w:val="auto"/>
                <w:sz w:val="21"/>
                <w:szCs w:val="21"/>
                <w:highlight w:val="none"/>
              </w:rPr>
              <w:t>第</w:t>
            </w:r>
            <w:r>
              <w:rPr>
                <w:rFonts w:hint="eastAsia" w:ascii="宋体" w:hAnsi="宋体" w:eastAsia="宋体" w:cs="仿宋_GB2312"/>
                <w:color w:val="auto"/>
                <w:sz w:val="21"/>
                <w:szCs w:val="21"/>
                <w:highlight w:val="none"/>
                <w:lang w:eastAsia="zh-CN"/>
              </w:rPr>
              <w:t>4</w:t>
            </w:r>
            <w:r>
              <w:rPr>
                <w:rFonts w:hint="eastAsia" w:ascii="宋体" w:hAnsi="宋体" w:eastAsia="宋体" w:cs="仿宋_GB2312"/>
                <w:color w:val="auto"/>
                <w:sz w:val="21"/>
                <w:szCs w:val="21"/>
                <w:highlight w:val="none"/>
              </w:rPr>
              <w:t>次付款</w:t>
            </w:r>
          </w:p>
        </w:tc>
        <w:tc>
          <w:tcPr>
            <w:tcW w:w="6006"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采购人在对中标人12月</w:t>
            </w:r>
            <w:r>
              <w:rPr>
                <w:rFonts w:ascii="宋体" w:hAnsi="宋体" w:eastAsia="宋体"/>
                <w:color w:val="auto"/>
                <w:kern w:val="2"/>
                <w:sz w:val="21"/>
                <w:szCs w:val="21"/>
                <w:highlight w:val="none"/>
                <w:lang w:eastAsia="zh-CN"/>
              </w:rPr>
              <w:t>至</w:t>
            </w:r>
            <w:r>
              <w:rPr>
                <w:rFonts w:hint="eastAsia" w:ascii="宋体" w:hAnsi="宋体" w:eastAsia="宋体"/>
                <w:color w:val="auto"/>
                <w:sz w:val="21"/>
                <w:szCs w:val="21"/>
                <w:highlight w:val="none"/>
                <w:lang w:eastAsia="zh-CN"/>
              </w:rPr>
              <w:t>次年2月服务情况进行履约验收考核后，根据履约验收考核结果在收到发票后10个工作日内支付当年合同金额的25%。</w:t>
            </w:r>
          </w:p>
        </w:tc>
        <w:tc>
          <w:tcPr>
            <w:tcW w:w="15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25</w:t>
            </w:r>
            <w:r>
              <w:rPr>
                <w:rFonts w:hint="eastAsia" w:ascii="宋体" w:hAnsi="宋体" w:eastAsia="宋体" w:cs="仿宋_GB2312"/>
                <w:color w:val="auto"/>
                <w:sz w:val="21"/>
                <w:szCs w:val="21"/>
                <w:highlight w:val="none"/>
              </w:rPr>
              <w:t>.0</w:t>
            </w:r>
          </w:p>
        </w:tc>
      </w:tr>
    </w:tbl>
    <w:p>
      <w:pPr>
        <w:pStyle w:val="4"/>
        <w:keepNext w:val="0"/>
        <w:spacing w:before="0" w:after="0" w:line="300" w:lineRule="auto"/>
        <w:rPr>
          <w:rFonts w:ascii="宋体" w:hAnsi="宋体" w:eastAsia="宋体" w:cs="仿宋_GB2312"/>
          <w:color w:val="auto"/>
          <w:sz w:val="21"/>
          <w:szCs w:val="21"/>
          <w:highlight w:val="none"/>
          <w:lang w:eastAsia="zh-CN"/>
        </w:rPr>
      </w:pPr>
      <w:bookmarkStart w:id="60" w:name="_Toc5686"/>
      <w:r>
        <w:rPr>
          <w:rFonts w:ascii="宋体" w:hAnsi="宋体" w:eastAsia="宋体" w:cs="仿宋_GB2312"/>
          <w:i w:val="0"/>
          <w:iCs w:val="0"/>
          <w:color w:val="auto"/>
          <w:sz w:val="21"/>
          <w:szCs w:val="21"/>
          <w:highlight w:val="none"/>
          <w:lang w:eastAsia="zh-CN"/>
        </w:rPr>
        <w:t>8.2其他要求</w:t>
      </w:r>
      <w:bookmarkEnd w:id="59"/>
      <w:bookmarkEnd w:id="60"/>
    </w:p>
    <w:p>
      <w:pPr>
        <w:pStyle w:val="5"/>
        <w:keepNext w:val="0"/>
        <w:spacing w:before="0" w:after="0" w:line="300" w:lineRule="auto"/>
        <w:rPr>
          <w:rFonts w:ascii="宋体" w:hAnsi="宋体" w:eastAsia="宋体" w:cs="仿宋_GB2312"/>
          <w:color w:val="auto"/>
          <w:sz w:val="21"/>
          <w:szCs w:val="21"/>
          <w:highlight w:val="none"/>
          <w:lang w:eastAsia="zh-CN"/>
        </w:rPr>
      </w:pPr>
      <w:bookmarkStart w:id="61" w:name="_Toc24918"/>
      <w:bookmarkStart w:id="62" w:name="_Toc202710779"/>
      <w:r>
        <w:rPr>
          <w:rFonts w:ascii="宋体" w:hAnsi="宋体" w:eastAsia="宋体" w:cs="仿宋_GB2312"/>
          <w:color w:val="auto"/>
          <w:sz w:val="21"/>
          <w:szCs w:val="21"/>
          <w:highlight w:val="none"/>
          <w:lang w:eastAsia="zh-CN"/>
        </w:rPr>
        <w:t>8.2.1需要说明的其他事项</w:t>
      </w:r>
      <w:bookmarkEnd w:id="61"/>
      <w:bookmarkEnd w:id="62"/>
    </w:p>
    <w:p>
      <w:pPr>
        <w:spacing w:line="300" w:lineRule="auto"/>
        <w:ind w:firstLine="422" w:firstLineChars="200"/>
        <w:jc w:val="both"/>
        <w:rPr>
          <w:rFonts w:ascii="宋体" w:hAnsi="宋体" w:eastAsia="宋体" w:cs="Calibri"/>
          <w:b/>
          <w:bCs/>
          <w:color w:val="auto"/>
          <w:sz w:val="21"/>
          <w:szCs w:val="21"/>
          <w:highlight w:val="none"/>
          <w:lang w:eastAsia="zh-CN"/>
        </w:rPr>
      </w:pPr>
      <w:r>
        <w:rPr>
          <w:rFonts w:ascii="宋体" w:hAnsi="宋体" w:eastAsia="宋体"/>
          <w:b/>
          <w:bCs/>
          <w:color w:val="auto"/>
          <w:sz w:val="21"/>
          <w:szCs w:val="21"/>
          <w:highlight w:val="none"/>
          <w:lang w:eastAsia="zh-CN"/>
        </w:rPr>
        <w:t>8.2.1</w:t>
      </w:r>
      <w:r>
        <w:rPr>
          <w:rFonts w:hint="eastAsia" w:ascii="宋体" w:hAnsi="宋体" w:eastAsia="宋体"/>
          <w:b/>
          <w:bCs/>
          <w:color w:val="auto"/>
          <w:sz w:val="21"/>
          <w:szCs w:val="21"/>
          <w:highlight w:val="none"/>
          <w:lang w:eastAsia="zh-CN"/>
        </w:rPr>
        <w:t>.1零星维修材料费用</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涉及以下情形的，相关费用包含在物业管理服务采购合同金额之内，由供应商承担：合同所列建（构）筑物、公用设施设备单次维修金额在3000元</w:t>
      </w:r>
      <w:r>
        <w:rPr>
          <w:rFonts w:ascii="宋体" w:hAnsi="宋体" w:eastAsia="宋体"/>
          <w:color w:val="auto"/>
          <w:sz w:val="21"/>
          <w:szCs w:val="21"/>
          <w:highlight w:val="none"/>
          <w:lang w:eastAsia="zh-CN"/>
        </w:rPr>
        <w:t>(含）以内</w:t>
      </w:r>
      <w:r>
        <w:rPr>
          <w:rFonts w:hint="eastAsia" w:ascii="宋体" w:hAnsi="宋体" w:eastAsia="宋体"/>
          <w:color w:val="auto"/>
          <w:sz w:val="21"/>
          <w:szCs w:val="21"/>
          <w:highlight w:val="none"/>
          <w:lang w:eastAsia="zh-CN"/>
        </w:rPr>
        <w:t>的。</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涉及以下情形的，由采购人承担：</w:t>
      </w:r>
      <w:r>
        <w:rPr>
          <w:rFonts w:hint="eastAsia" w:ascii="宋体" w:hAnsi="宋体" w:eastAsia="宋体"/>
          <w:color w:val="auto"/>
          <w:sz w:val="21"/>
          <w:szCs w:val="21"/>
          <w:highlight w:val="none"/>
          <w:lang w:eastAsia="zh-CN"/>
        </w:rPr>
        <w:t>合同所列建（构）筑物、公用设施设备单次维修金额超过3000元的。</w:t>
      </w:r>
    </w:p>
    <w:p>
      <w:pPr>
        <w:spacing w:line="300" w:lineRule="auto"/>
        <w:ind w:firstLine="422" w:firstLineChars="200"/>
        <w:jc w:val="both"/>
        <w:rPr>
          <w:rFonts w:ascii="宋体" w:hAnsi="宋体" w:eastAsia="宋体"/>
          <w:b/>
          <w:bCs/>
          <w:color w:val="auto"/>
          <w:sz w:val="21"/>
          <w:szCs w:val="21"/>
          <w:highlight w:val="none"/>
          <w:lang w:eastAsia="zh-CN"/>
        </w:rPr>
      </w:pPr>
      <w:r>
        <w:rPr>
          <w:rFonts w:ascii="宋体" w:hAnsi="宋体" w:eastAsia="宋体"/>
          <w:b/>
          <w:bCs/>
          <w:color w:val="auto"/>
          <w:sz w:val="21"/>
          <w:szCs w:val="21"/>
          <w:highlight w:val="none"/>
          <w:lang w:eastAsia="zh-CN"/>
        </w:rPr>
        <w:t>8.2.1</w:t>
      </w:r>
      <w:r>
        <w:rPr>
          <w:rFonts w:hint="eastAsia" w:ascii="宋体" w:hAnsi="宋体" w:eastAsia="宋体"/>
          <w:b/>
          <w:bCs/>
          <w:color w:val="auto"/>
          <w:sz w:val="21"/>
          <w:szCs w:val="21"/>
          <w:highlight w:val="none"/>
          <w:lang w:eastAsia="zh-CN"/>
        </w:rPr>
        <w:t>.2低值易耗品费用</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相关费用包含在物业管理服务采购合同金额之内，由供应商承担：包括但不限于杀虫剂、电蚊香、洗手液、去污粉（洗衣粉、洗衣液）、84消毒液、厕用卫生纸（抽纸、卷纸）、垃圾袋、卫生清扫工具等。</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涉及以下情形的，由采购人承担：办公及餐厅用抽纸。</w:t>
      </w:r>
    </w:p>
    <w:p>
      <w:pPr>
        <w:spacing w:line="300" w:lineRule="auto"/>
        <w:ind w:firstLine="422" w:firstLineChars="200"/>
        <w:jc w:val="both"/>
        <w:rPr>
          <w:rFonts w:ascii="宋体" w:hAnsi="宋体" w:eastAsia="宋体"/>
          <w:b/>
          <w:bCs/>
          <w:color w:val="auto"/>
          <w:sz w:val="21"/>
          <w:szCs w:val="21"/>
          <w:highlight w:val="none"/>
          <w:lang w:eastAsia="zh-CN"/>
        </w:rPr>
      </w:pPr>
      <w:r>
        <w:rPr>
          <w:rFonts w:ascii="宋体" w:hAnsi="宋体" w:eastAsia="宋体"/>
          <w:b/>
          <w:bCs/>
          <w:color w:val="auto"/>
          <w:sz w:val="21"/>
          <w:szCs w:val="21"/>
          <w:highlight w:val="none"/>
          <w:lang w:eastAsia="zh-CN"/>
        </w:rPr>
        <w:t>8.2.1</w:t>
      </w:r>
      <w:r>
        <w:rPr>
          <w:rFonts w:hint="eastAsia" w:ascii="宋体" w:hAnsi="宋体" w:eastAsia="宋体"/>
          <w:b/>
          <w:bCs/>
          <w:color w:val="auto"/>
          <w:sz w:val="21"/>
          <w:szCs w:val="21"/>
          <w:highlight w:val="none"/>
          <w:lang w:eastAsia="zh-CN"/>
        </w:rPr>
        <w:t>.3苗木费用</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涉及以下情形的，相关费用包含在物业管理服务采购合同金额之内，由供应商承担：室内外时花、苗木、盆栽及室内绿化、摆花等。</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涉及以下情形的，由采购人承担：无。</w:t>
      </w:r>
    </w:p>
    <w:p>
      <w:pPr>
        <w:spacing w:line="300" w:lineRule="auto"/>
        <w:ind w:firstLine="422" w:firstLineChars="200"/>
        <w:jc w:val="both"/>
        <w:rPr>
          <w:rFonts w:ascii="宋体" w:hAnsi="宋体" w:eastAsia="宋体"/>
          <w:b/>
          <w:bCs/>
          <w:color w:val="auto"/>
          <w:sz w:val="21"/>
          <w:szCs w:val="21"/>
          <w:highlight w:val="none"/>
          <w:lang w:eastAsia="zh-CN"/>
        </w:rPr>
      </w:pPr>
      <w:r>
        <w:rPr>
          <w:rFonts w:ascii="宋体" w:hAnsi="宋体" w:eastAsia="宋体"/>
          <w:b/>
          <w:bCs/>
          <w:color w:val="auto"/>
          <w:sz w:val="21"/>
          <w:szCs w:val="21"/>
          <w:highlight w:val="none"/>
          <w:lang w:eastAsia="zh-CN"/>
        </w:rPr>
        <w:t>8.2.1</w:t>
      </w:r>
      <w:r>
        <w:rPr>
          <w:rFonts w:hint="eastAsia" w:ascii="宋体" w:hAnsi="宋体" w:eastAsia="宋体"/>
          <w:b/>
          <w:bCs/>
          <w:color w:val="auto"/>
          <w:sz w:val="21"/>
          <w:szCs w:val="21"/>
          <w:highlight w:val="none"/>
          <w:lang w:eastAsia="zh-CN"/>
        </w:rPr>
        <w:t>.4客耗品费用</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涉及以下情形的，相关费用包含在物业管理服务采购合同金额之内，由供应商承担：值班室各类</w:t>
      </w:r>
      <w:r>
        <w:rPr>
          <w:rFonts w:hint="eastAsia" w:ascii="宋体" w:hAnsi="宋体" w:eastAsia="宋体" w:cs="宋体"/>
          <w:color w:val="auto"/>
          <w:sz w:val="21"/>
          <w:szCs w:val="21"/>
          <w:highlight w:val="none"/>
          <w:lang w:eastAsia="zh-CN"/>
        </w:rPr>
        <w:t>用品</w:t>
      </w:r>
      <w:r>
        <w:rPr>
          <w:rFonts w:hint="eastAsia" w:ascii="宋体" w:hAnsi="宋体" w:eastAsia="宋体"/>
          <w:color w:val="auto"/>
          <w:sz w:val="21"/>
          <w:szCs w:val="21"/>
          <w:highlight w:val="none"/>
          <w:lang w:eastAsia="zh-CN"/>
        </w:rPr>
        <w:t>，包括牙刷、拖鞋、床单、被罩、枕套、牙膏、洗发水、沐浴液、电热蚊香、蚊香液等费用。</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涉及以下情形的，由采购人承担：无。</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本款涉及的低值易耗品、苗木、客耗品费用，不论是由供应商，还是采购人承担，涉及的相关服务由供应商承担，服务费用包含在物业服务项目合同金额之内。</w:t>
      </w:r>
    </w:p>
    <w:p>
      <w:pPr>
        <w:spacing w:line="300" w:lineRule="auto"/>
        <w:ind w:firstLine="420" w:firstLineChars="200"/>
        <w:jc w:val="both"/>
        <w:rPr>
          <w:rFonts w:ascii="宋体" w:hAnsi="宋体" w:eastAsia="宋体"/>
          <w:color w:val="auto"/>
          <w:sz w:val="21"/>
          <w:szCs w:val="21"/>
          <w:highlight w:val="none"/>
          <w:lang w:eastAsia="zh-CN"/>
        </w:rPr>
      </w:pPr>
    </w:p>
    <w:p>
      <w:pPr>
        <w:spacing w:line="300" w:lineRule="auto"/>
        <w:ind w:firstLine="420" w:firstLineChars="200"/>
        <w:jc w:val="both"/>
        <w:rPr>
          <w:rFonts w:ascii="宋体" w:hAnsi="宋体" w:eastAsia="宋体"/>
          <w:color w:val="auto"/>
          <w:sz w:val="21"/>
          <w:szCs w:val="21"/>
          <w:highlight w:val="none"/>
          <w:lang w:eastAsia="zh-CN"/>
        </w:rPr>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pPr>
    <w:r>
      <w:fldChar w:fldCharType="begin"/>
    </w:r>
    <w:r>
      <w:instrText xml:space="preserve"> PAGE </w:instrText>
    </w:r>
    <w:r>
      <w:fldChar w:fldCharType="separate"/>
    </w:r>
    <w:r>
      <w:t>36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05A66"/>
    <w:multiLevelType w:val="singleLevel"/>
    <w:tmpl w:val="D4D05A66"/>
    <w:lvl w:ilvl="0" w:tentative="0">
      <w:start w:val="1"/>
      <w:numFmt w:val="decimal"/>
      <w:suff w:val="nothing"/>
      <w:lvlText w:val="（%1）"/>
      <w:lvlJc w:val="left"/>
    </w:lvl>
  </w:abstractNum>
  <w:abstractNum w:abstractNumId="1">
    <w:nsid w:val="E0C58E0F"/>
    <w:multiLevelType w:val="singleLevel"/>
    <w:tmpl w:val="E0C58E0F"/>
    <w:lvl w:ilvl="0" w:tentative="0">
      <w:start w:val="1"/>
      <w:numFmt w:val="decimal"/>
      <w:suff w:val="nothing"/>
      <w:lvlText w:val="（%1）"/>
      <w:lvlJc w:val="left"/>
    </w:lvl>
  </w:abstractNum>
  <w:abstractNum w:abstractNumId="2">
    <w:nsid w:val="027F756F"/>
    <w:multiLevelType w:val="multilevel"/>
    <w:tmpl w:val="027F756F"/>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41EDCD3"/>
    <w:multiLevelType w:val="singleLevel"/>
    <w:tmpl w:val="041EDCD3"/>
    <w:lvl w:ilvl="0" w:tentative="0">
      <w:start w:val="1"/>
      <w:numFmt w:val="decimal"/>
      <w:suff w:val="nothing"/>
      <w:lvlText w:val="（%1）"/>
      <w:lvlJc w:val="left"/>
    </w:lvl>
  </w:abstractNum>
  <w:abstractNum w:abstractNumId="4">
    <w:nsid w:val="35CAC795"/>
    <w:multiLevelType w:val="singleLevel"/>
    <w:tmpl w:val="35CAC795"/>
    <w:lvl w:ilvl="0" w:tentative="0">
      <w:start w:val="1"/>
      <w:numFmt w:val="decimal"/>
      <w:suff w:val="nothing"/>
      <w:lvlText w:val="（%1）"/>
      <w:lvlJc w:val="left"/>
    </w:lvl>
  </w:abstractNum>
  <w:abstractNum w:abstractNumId="5">
    <w:nsid w:val="3EFB9B87"/>
    <w:multiLevelType w:val="singleLevel"/>
    <w:tmpl w:val="3EFB9B87"/>
    <w:lvl w:ilvl="0" w:tentative="0">
      <w:start w:val="1"/>
      <w:numFmt w:val="decimal"/>
      <w:suff w:val="nothing"/>
      <w:lvlText w:val="（%1）"/>
      <w:lvlJc w:val="left"/>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23E4"/>
    <w:rsid w:val="00011C1D"/>
    <w:rsid w:val="00021B74"/>
    <w:rsid w:val="00024582"/>
    <w:rsid w:val="00031F12"/>
    <w:rsid w:val="00040A88"/>
    <w:rsid w:val="00042C7A"/>
    <w:rsid w:val="0005003E"/>
    <w:rsid w:val="00052F30"/>
    <w:rsid w:val="00053765"/>
    <w:rsid w:val="00056558"/>
    <w:rsid w:val="000603C0"/>
    <w:rsid w:val="00064F19"/>
    <w:rsid w:val="00073C9A"/>
    <w:rsid w:val="0007640E"/>
    <w:rsid w:val="0008269D"/>
    <w:rsid w:val="000838E1"/>
    <w:rsid w:val="00093C93"/>
    <w:rsid w:val="000A12F5"/>
    <w:rsid w:val="000A22E7"/>
    <w:rsid w:val="000A4376"/>
    <w:rsid w:val="000D2144"/>
    <w:rsid w:val="000D2E45"/>
    <w:rsid w:val="000F18BD"/>
    <w:rsid w:val="000F5530"/>
    <w:rsid w:val="0010057E"/>
    <w:rsid w:val="00110A77"/>
    <w:rsid w:val="00122858"/>
    <w:rsid w:val="00133593"/>
    <w:rsid w:val="00143625"/>
    <w:rsid w:val="00152EA9"/>
    <w:rsid w:val="00160AAE"/>
    <w:rsid w:val="00162F7F"/>
    <w:rsid w:val="001717B7"/>
    <w:rsid w:val="00181ED2"/>
    <w:rsid w:val="00190ECA"/>
    <w:rsid w:val="001B1B01"/>
    <w:rsid w:val="001D0479"/>
    <w:rsid w:val="001D44A4"/>
    <w:rsid w:val="001D7D31"/>
    <w:rsid w:val="001E07F2"/>
    <w:rsid w:val="001E26F3"/>
    <w:rsid w:val="001E322B"/>
    <w:rsid w:val="001F28D1"/>
    <w:rsid w:val="00201F6F"/>
    <w:rsid w:val="0020262A"/>
    <w:rsid w:val="0020468E"/>
    <w:rsid w:val="002054A7"/>
    <w:rsid w:val="002107A8"/>
    <w:rsid w:val="0021119B"/>
    <w:rsid w:val="00213EF3"/>
    <w:rsid w:val="00223C26"/>
    <w:rsid w:val="0024615D"/>
    <w:rsid w:val="0025257E"/>
    <w:rsid w:val="002536DA"/>
    <w:rsid w:val="002578B3"/>
    <w:rsid w:val="00265B8F"/>
    <w:rsid w:val="002722FA"/>
    <w:rsid w:val="00272842"/>
    <w:rsid w:val="0027464E"/>
    <w:rsid w:val="0028254F"/>
    <w:rsid w:val="00286900"/>
    <w:rsid w:val="0028707E"/>
    <w:rsid w:val="00292D08"/>
    <w:rsid w:val="002A244C"/>
    <w:rsid w:val="002B169A"/>
    <w:rsid w:val="002B7F77"/>
    <w:rsid w:val="002E39AF"/>
    <w:rsid w:val="002E6172"/>
    <w:rsid w:val="002F3B79"/>
    <w:rsid w:val="003022AD"/>
    <w:rsid w:val="00311B3C"/>
    <w:rsid w:val="003126BC"/>
    <w:rsid w:val="00313A9A"/>
    <w:rsid w:val="00316DF0"/>
    <w:rsid w:val="00322121"/>
    <w:rsid w:val="00334B68"/>
    <w:rsid w:val="00334F36"/>
    <w:rsid w:val="003429A7"/>
    <w:rsid w:val="0034424C"/>
    <w:rsid w:val="003459AB"/>
    <w:rsid w:val="00347021"/>
    <w:rsid w:val="00351FC2"/>
    <w:rsid w:val="0036071B"/>
    <w:rsid w:val="003808F3"/>
    <w:rsid w:val="00380A81"/>
    <w:rsid w:val="003A086B"/>
    <w:rsid w:val="003A6CA8"/>
    <w:rsid w:val="003B6E5F"/>
    <w:rsid w:val="003C52F5"/>
    <w:rsid w:val="003D161F"/>
    <w:rsid w:val="003F0E46"/>
    <w:rsid w:val="003F762C"/>
    <w:rsid w:val="00400984"/>
    <w:rsid w:val="00412832"/>
    <w:rsid w:val="00416DEB"/>
    <w:rsid w:val="00421F91"/>
    <w:rsid w:val="00423C05"/>
    <w:rsid w:val="00431C8D"/>
    <w:rsid w:val="00460889"/>
    <w:rsid w:val="00462CB3"/>
    <w:rsid w:val="004709E8"/>
    <w:rsid w:val="00474C43"/>
    <w:rsid w:val="0047710D"/>
    <w:rsid w:val="004925AC"/>
    <w:rsid w:val="004A2C0E"/>
    <w:rsid w:val="004D48CE"/>
    <w:rsid w:val="004D531E"/>
    <w:rsid w:val="004E4885"/>
    <w:rsid w:val="004E57F8"/>
    <w:rsid w:val="004E76F5"/>
    <w:rsid w:val="004F157A"/>
    <w:rsid w:val="004F4EC0"/>
    <w:rsid w:val="00502423"/>
    <w:rsid w:val="00521D2D"/>
    <w:rsid w:val="00522330"/>
    <w:rsid w:val="0053477A"/>
    <w:rsid w:val="00555872"/>
    <w:rsid w:val="00560200"/>
    <w:rsid w:val="00560E90"/>
    <w:rsid w:val="005655E7"/>
    <w:rsid w:val="00566A33"/>
    <w:rsid w:val="00576918"/>
    <w:rsid w:val="0058174F"/>
    <w:rsid w:val="00585E90"/>
    <w:rsid w:val="00586046"/>
    <w:rsid w:val="005B1B11"/>
    <w:rsid w:val="005C1894"/>
    <w:rsid w:val="005C3EAD"/>
    <w:rsid w:val="005E05C2"/>
    <w:rsid w:val="005E36A0"/>
    <w:rsid w:val="005F7F57"/>
    <w:rsid w:val="00602A39"/>
    <w:rsid w:val="00605AB4"/>
    <w:rsid w:val="006116D0"/>
    <w:rsid w:val="00612E75"/>
    <w:rsid w:val="006159F9"/>
    <w:rsid w:val="00622087"/>
    <w:rsid w:val="00635763"/>
    <w:rsid w:val="006466F1"/>
    <w:rsid w:val="0065053E"/>
    <w:rsid w:val="006530BC"/>
    <w:rsid w:val="00654EBA"/>
    <w:rsid w:val="0066267E"/>
    <w:rsid w:val="00665B6D"/>
    <w:rsid w:val="006711FF"/>
    <w:rsid w:val="00673B0A"/>
    <w:rsid w:val="00675CE6"/>
    <w:rsid w:val="00681BEA"/>
    <w:rsid w:val="00692B70"/>
    <w:rsid w:val="00693765"/>
    <w:rsid w:val="006A06AF"/>
    <w:rsid w:val="006A3986"/>
    <w:rsid w:val="006B086C"/>
    <w:rsid w:val="006C040E"/>
    <w:rsid w:val="006C2619"/>
    <w:rsid w:val="006D1CEE"/>
    <w:rsid w:val="006E1577"/>
    <w:rsid w:val="006E40BE"/>
    <w:rsid w:val="006E5448"/>
    <w:rsid w:val="006F3261"/>
    <w:rsid w:val="007047F5"/>
    <w:rsid w:val="00710A95"/>
    <w:rsid w:val="00714EE7"/>
    <w:rsid w:val="007236A4"/>
    <w:rsid w:val="00730BA3"/>
    <w:rsid w:val="0073323F"/>
    <w:rsid w:val="007367E2"/>
    <w:rsid w:val="007431A1"/>
    <w:rsid w:val="007444ED"/>
    <w:rsid w:val="00754BB3"/>
    <w:rsid w:val="007561BF"/>
    <w:rsid w:val="00756553"/>
    <w:rsid w:val="0076624D"/>
    <w:rsid w:val="0077321D"/>
    <w:rsid w:val="00774299"/>
    <w:rsid w:val="00775046"/>
    <w:rsid w:val="00775FA3"/>
    <w:rsid w:val="00782D81"/>
    <w:rsid w:val="0078462E"/>
    <w:rsid w:val="00787DCB"/>
    <w:rsid w:val="00797C8C"/>
    <w:rsid w:val="00797F2A"/>
    <w:rsid w:val="007A0BB9"/>
    <w:rsid w:val="007A0C99"/>
    <w:rsid w:val="007A1506"/>
    <w:rsid w:val="007A33C7"/>
    <w:rsid w:val="007B5012"/>
    <w:rsid w:val="007C01D9"/>
    <w:rsid w:val="007C17E1"/>
    <w:rsid w:val="007C602F"/>
    <w:rsid w:val="007C7768"/>
    <w:rsid w:val="007D3127"/>
    <w:rsid w:val="007E1D6C"/>
    <w:rsid w:val="007E2A12"/>
    <w:rsid w:val="007E6487"/>
    <w:rsid w:val="007E68A3"/>
    <w:rsid w:val="00816C22"/>
    <w:rsid w:val="00831BF5"/>
    <w:rsid w:val="00834BE8"/>
    <w:rsid w:val="00843B48"/>
    <w:rsid w:val="00845122"/>
    <w:rsid w:val="00853F46"/>
    <w:rsid w:val="0086416F"/>
    <w:rsid w:val="0087012C"/>
    <w:rsid w:val="00870C00"/>
    <w:rsid w:val="0087234B"/>
    <w:rsid w:val="00883A2B"/>
    <w:rsid w:val="0089005C"/>
    <w:rsid w:val="008A6567"/>
    <w:rsid w:val="008B00CA"/>
    <w:rsid w:val="008B0E07"/>
    <w:rsid w:val="008B2AF8"/>
    <w:rsid w:val="008B62A8"/>
    <w:rsid w:val="008B71CC"/>
    <w:rsid w:val="008C3CC3"/>
    <w:rsid w:val="008C48CF"/>
    <w:rsid w:val="008C4AF9"/>
    <w:rsid w:val="008D08AC"/>
    <w:rsid w:val="008D2A4E"/>
    <w:rsid w:val="008F3A8E"/>
    <w:rsid w:val="008F3BAE"/>
    <w:rsid w:val="00917A8C"/>
    <w:rsid w:val="00921928"/>
    <w:rsid w:val="00921A97"/>
    <w:rsid w:val="00937FA7"/>
    <w:rsid w:val="0094433C"/>
    <w:rsid w:val="00944B45"/>
    <w:rsid w:val="009477DC"/>
    <w:rsid w:val="009557A4"/>
    <w:rsid w:val="00956B6C"/>
    <w:rsid w:val="0095783E"/>
    <w:rsid w:val="00960AC8"/>
    <w:rsid w:val="00965838"/>
    <w:rsid w:val="00965F39"/>
    <w:rsid w:val="009856F2"/>
    <w:rsid w:val="009962AD"/>
    <w:rsid w:val="009B53D5"/>
    <w:rsid w:val="009B64F1"/>
    <w:rsid w:val="009C3A07"/>
    <w:rsid w:val="009C3AFC"/>
    <w:rsid w:val="009C5324"/>
    <w:rsid w:val="009C66CB"/>
    <w:rsid w:val="009C6F9A"/>
    <w:rsid w:val="009D08AB"/>
    <w:rsid w:val="009E3DA2"/>
    <w:rsid w:val="009E51E4"/>
    <w:rsid w:val="009F45E5"/>
    <w:rsid w:val="00A01530"/>
    <w:rsid w:val="00A03191"/>
    <w:rsid w:val="00A04E3F"/>
    <w:rsid w:val="00A05107"/>
    <w:rsid w:val="00A1037D"/>
    <w:rsid w:val="00A22005"/>
    <w:rsid w:val="00A53D2E"/>
    <w:rsid w:val="00A54BCC"/>
    <w:rsid w:val="00A6459B"/>
    <w:rsid w:val="00A74049"/>
    <w:rsid w:val="00A77B3E"/>
    <w:rsid w:val="00A845B3"/>
    <w:rsid w:val="00AA0B94"/>
    <w:rsid w:val="00AA35C2"/>
    <w:rsid w:val="00AB102B"/>
    <w:rsid w:val="00AB2B1F"/>
    <w:rsid w:val="00AC5FC9"/>
    <w:rsid w:val="00AF24E7"/>
    <w:rsid w:val="00AF65BB"/>
    <w:rsid w:val="00AF713E"/>
    <w:rsid w:val="00B058D8"/>
    <w:rsid w:val="00B12A7E"/>
    <w:rsid w:val="00B45E1B"/>
    <w:rsid w:val="00B54BF9"/>
    <w:rsid w:val="00B64F7E"/>
    <w:rsid w:val="00B74789"/>
    <w:rsid w:val="00B83725"/>
    <w:rsid w:val="00B9457F"/>
    <w:rsid w:val="00B959D3"/>
    <w:rsid w:val="00BA0349"/>
    <w:rsid w:val="00BB0DE5"/>
    <w:rsid w:val="00BB7F7B"/>
    <w:rsid w:val="00BC141B"/>
    <w:rsid w:val="00BE0D7F"/>
    <w:rsid w:val="00BE2245"/>
    <w:rsid w:val="00BE226B"/>
    <w:rsid w:val="00BE37DE"/>
    <w:rsid w:val="00BF45EC"/>
    <w:rsid w:val="00C247BA"/>
    <w:rsid w:val="00C254AD"/>
    <w:rsid w:val="00C27BC8"/>
    <w:rsid w:val="00C33969"/>
    <w:rsid w:val="00C36CE5"/>
    <w:rsid w:val="00C576ED"/>
    <w:rsid w:val="00C6421F"/>
    <w:rsid w:val="00C713E8"/>
    <w:rsid w:val="00C82CAE"/>
    <w:rsid w:val="00C86CA8"/>
    <w:rsid w:val="00C933C6"/>
    <w:rsid w:val="00C95A54"/>
    <w:rsid w:val="00CA2A55"/>
    <w:rsid w:val="00CB141C"/>
    <w:rsid w:val="00CB22A8"/>
    <w:rsid w:val="00CC01DF"/>
    <w:rsid w:val="00CC3AD9"/>
    <w:rsid w:val="00CC6896"/>
    <w:rsid w:val="00CE0C0E"/>
    <w:rsid w:val="00CE402A"/>
    <w:rsid w:val="00CF7F1A"/>
    <w:rsid w:val="00D01AA2"/>
    <w:rsid w:val="00D03536"/>
    <w:rsid w:val="00D135E6"/>
    <w:rsid w:val="00D17B21"/>
    <w:rsid w:val="00D17E2E"/>
    <w:rsid w:val="00D222CE"/>
    <w:rsid w:val="00D27913"/>
    <w:rsid w:val="00D34407"/>
    <w:rsid w:val="00D373CB"/>
    <w:rsid w:val="00D405EF"/>
    <w:rsid w:val="00D416B2"/>
    <w:rsid w:val="00D56F91"/>
    <w:rsid w:val="00D65B8D"/>
    <w:rsid w:val="00D82C41"/>
    <w:rsid w:val="00D87A89"/>
    <w:rsid w:val="00D90CA2"/>
    <w:rsid w:val="00D93390"/>
    <w:rsid w:val="00D95B25"/>
    <w:rsid w:val="00D96136"/>
    <w:rsid w:val="00DA2808"/>
    <w:rsid w:val="00DA68CC"/>
    <w:rsid w:val="00DA69C4"/>
    <w:rsid w:val="00DC5F9B"/>
    <w:rsid w:val="00DD0460"/>
    <w:rsid w:val="00DD0EF1"/>
    <w:rsid w:val="00DE2875"/>
    <w:rsid w:val="00E07DAF"/>
    <w:rsid w:val="00E278E0"/>
    <w:rsid w:val="00E33E4B"/>
    <w:rsid w:val="00E34818"/>
    <w:rsid w:val="00E3550B"/>
    <w:rsid w:val="00E4638B"/>
    <w:rsid w:val="00E61717"/>
    <w:rsid w:val="00E63745"/>
    <w:rsid w:val="00E674EE"/>
    <w:rsid w:val="00E72800"/>
    <w:rsid w:val="00E8083F"/>
    <w:rsid w:val="00E82A43"/>
    <w:rsid w:val="00E862E7"/>
    <w:rsid w:val="00E9505A"/>
    <w:rsid w:val="00E97F64"/>
    <w:rsid w:val="00EA1D44"/>
    <w:rsid w:val="00EA242E"/>
    <w:rsid w:val="00ED6491"/>
    <w:rsid w:val="00EE5533"/>
    <w:rsid w:val="00F059D2"/>
    <w:rsid w:val="00F12660"/>
    <w:rsid w:val="00F1585F"/>
    <w:rsid w:val="00F1693A"/>
    <w:rsid w:val="00F3482B"/>
    <w:rsid w:val="00F41D82"/>
    <w:rsid w:val="00F43652"/>
    <w:rsid w:val="00F469DF"/>
    <w:rsid w:val="00F5213B"/>
    <w:rsid w:val="00F61104"/>
    <w:rsid w:val="00F81A7D"/>
    <w:rsid w:val="00F84040"/>
    <w:rsid w:val="00F873E8"/>
    <w:rsid w:val="00F87DBE"/>
    <w:rsid w:val="00FA7B93"/>
    <w:rsid w:val="00FB15C2"/>
    <w:rsid w:val="00FB1DFF"/>
    <w:rsid w:val="00FB6012"/>
    <w:rsid w:val="00FC0015"/>
    <w:rsid w:val="00FC730E"/>
    <w:rsid w:val="00FD2851"/>
    <w:rsid w:val="00FD472F"/>
    <w:rsid w:val="00FE4536"/>
    <w:rsid w:val="00FF104F"/>
    <w:rsid w:val="00FF1DDB"/>
    <w:rsid w:val="00FF46C9"/>
    <w:rsid w:val="01AE4764"/>
    <w:rsid w:val="03AB3277"/>
    <w:rsid w:val="04821951"/>
    <w:rsid w:val="04EB042F"/>
    <w:rsid w:val="053279A5"/>
    <w:rsid w:val="05696E90"/>
    <w:rsid w:val="08961A12"/>
    <w:rsid w:val="08FC4308"/>
    <w:rsid w:val="091F5BD7"/>
    <w:rsid w:val="0A0E2543"/>
    <w:rsid w:val="0B7B3993"/>
    <w:rsid w:val="0D314E4D"/>
    <w:rsid w:val="0D3355BC"/>
    <w:rsid w:val="0E0D3A03"/>
    <w:rsid w:val="0E6A6868"/>
    <w:rsid w:val="0EBA2C39"/>
    <w:rsid w:val="0EDA36F4"/>
    <w:rsid w:val="103A0C04"/>
    <w:rsid w:val="111219D6"/>
    <w:rsid w:val="11511283"/>
    <w:rsid w:val="124C0DF9"/>
    <w:rsid w:val="12F72695"/>
    <w:rsid w:val="130A45A6"/>
    <w:rsid w:val="15FF90E2"/>
    <w:rsid w:val="16876210"/>
    <w:rsid w:val="16D648C4"/>
    <w:rsid w:val="1744088F"/>
    <w:rsid w:val="17B815A8"/>
    <w:rsid w:val="17D62D47"/>
    <w:rsid w:val="18991F7A"/>
    <w:rsid w:val="190B7F3E"/>
    <w:rsid w:val="19A2112A"/>
    <w:rsid w:val="1BE059BC"/>
    <w:rsid w:val="1C7D4C20"/>
    <w:rsid w:val="1C8C2C93"/>
    <w:rsid w:val="1D39036F"/>
    <w:rsid w:val="1DC10FB4"/>
    <w:rsid w:val="1DE37DEA"/>
    <w:rsid w:val="1E207262"/>
    <w:rsid w:val="1F515E25"/>
    <w:rsid w:val="1F5C0A92"/>
    <w:rsid w:val="1FED345F"/>
    <w:rsid w:val="21C677CE"/>
    <w:rsid w:val="21C97315"/>
    <w:rsid w:val="23D51123"/>
    <w:rsid w:val="23FB7A24"/>
    <w:rsid w:val="257F5214"/>
    <w:rsid w:val="25F3318F"/>
    <w:rsid w:val="26091D50"/>
    <w:rsid w:val="26651797"/>
    <w:rsid w:val="26A30712"/>
    <w:rsid w:val="28E219C5"/>
    <w:rsid w:val="2B8B5E9C"/>
    <w:rsid w:val="2D9F596E"/>
    <w:rsid w:val="2F1B2590"/>
    <w:rsid w:val="2F722F92"/>
    <w:rsid w:val="2F764390"/>
    <w:rsid w:val="2FDBBCC8"/>
    <w:rsid w:val="3058320C"/>
    <w:rsid w:val="305F1A21"/>
    <w:rsid w:val="322D545D"/>
    <w:rsid w:val="323613D1"/>
    <w:rsid w:val="32B52D13"/>
    <w:rsid w:val="33F36CDE"/>
    <w:rsid w:val="34056EAF"/>
    <w:rsid w:val="34C93A39"/>
    <w:rsid w:val="34DA5C46"/>
    <w:rsid w:val="34DE664D"/>
    <w:rsid w:val="34FDD93F"/>
    <w:rsid w:val="35EFB98E"/>
    <w:rsid w:val="36562E24"/>
    <w:rsid w:val="367F7F17"/>
    <w:rsid w:val="36FF7363"/>
    <w:rsid w:val="37897E4A"/>
    <w:rsid w:val="37B9411B"/>
    <w:rsid w:val="397028B0"/>
    <w:rsid w:val="398E5AA6"/>
    <w:rsid w:val="3A2E7844"/>
    <w:rsid w:val="3ABC55FA"/>
    <w:rsid w:val="3AE51279"/>
    <w:rsid w:val="3AE73137"/>
    <w:rsid w:val="3B0A6447"/>
    <w:rsid w:val="3CC66AB0"/>
    <w:rsid w:val="3CFD5E39"/>
    <w:rsid w:val="3D375D91"/>
    <w:rsid w:val="3D4B7774"/>
    <w:rsid w:val="3D9C72D6"/>
    <w:rsid w:val="3DFF6FD7"/>
    <w:rsid w:val="3EFEECB5"/>
    <w:rsid w:val="3F6052CA"/>
    <w:rsid w:val="3F89ED02"/>
    <w:rsid w:val="3F971986"/>
    <w:rsid w:val="3FBA459B"/>
    <w:rsid w:val="3FF652E7"/>
    <w:rsid w:val="3FFF47E8"/>
    <w:rsid w:val="40A60A41"/>
    <w:rsid w:val="41C86118"/>
    <w:rsid w:val="41E731F3"/>
    <w:rsid w:val="420A2D51"/>
    <w:rsid w:val="43015F8F"/>
    <w:rsid w:val="45050ABD"/>
    <w:rsid w:val="45086A21"/>
    <w:rsid w:val="451F6441"/>
    <w:rsid w:val="4553686C"/>
    <w:rsid w:val="45B96A3E"/>
    <w:rsid w:val="45E65DC1"/>
    <w:rsid w:val="46873754"/>
    <w:rsid w:val="46E94C67"/>
    <w:rsid w:val="47093FC9"/>
    <w:rsid w:val="47587C28"/>
    <w:rsid w:val="47F41BB5"/>
    <w:rsid w:val="47F47167"/>
    <w:rsid w:val="47FF5A2E"/>
    <w:rsid w:val="485608C7"/>
    <w:rsid w:val="4AC318FA"/>
    <w:rsid w:val="4ADD0719"/>
    <w:rsid w:val="4B4F83A0"/>
    <w:rsid w:val="4E6F6C65"/>
    <w:rsid w:val="4F78C7CE"/>
    <w:rsid w:val="509B5A22"/>
    <w:rsid w:val="523B5FCA"/>
    <w:rsid w:val="52A10A00"/>
    <w:rsid w:val="538037E2"/>
    <w:rsid w:val="54AA100F"/>
    <w:rsid w:val="54F912D5"/>
    <w:rsid w:val="56B90D27"/>
    <w:rsid w:val="577F5554"/>
    <w:rsid w:val="57AE3E7A"/>
    <w:rsid w:val="57FF4CF5"/>
    <w:rsid w:val="57FFDF17"/>
    <w:rsid w:val="5B3969D0"/>
    <w:rsid w:val="5B9456C4"/>
    <w:rsid w:val="5BFF6894"/>
    <w:rsid w:val="5C292D60"/>
    <w:rsid w:val="5C302F21"/>
    <w:rsid w:val="5C434222"/>
    <w:rsid w:val="5C522131"/>
    <w:rsid w:val="5C735EB5"/>
    <w:rsid w:val="5C8A1451"/>
    <w:rsid w:val="5CF46164"/>
    <w:rsid w:val="5D8E4944"/>
    <w:rsid w:val="5E4B212D"/>
    <w:rsid w:val="5E9554B2"/>
    <w:rsid w:val="5ED713DA"/>
    <w:rsid w:val="5F55295B"/>
    <w:rsid w:val="5F7B1BFC"/>
    <w:rsid w:val="5F93F16E"/>
    <w:rsid w:val="5FE54FD9"/>
    <w:rsid w:val="5FF94243"/>
    <w:rsid w:val="5FFD6E0A"/>
    <w:rsid w:val="60091280"/>
    <w:rsid w:val="609465FD"/>
    <w:rsid w:val="60B6F2BC"/>
    <w:rsid w:val="610B1BDC"/>
    <w:rsid w:val="61B054B5"/>
    <w:rsid w:val="61E11401"/>
    <w:rsid w:val="62432EF2"/>
    <w:rsid w:val="631C253B"/>
    <w:rsid w:val="639F56B3"/>
    <w:rsid w:val="63A95943"/>
    <w:rsid w:val="63E05D4F"/>
    <w:rsid w:val="64BE4DA7"/>
    <w:rsid w:val="64FA1012"/>
    <w:rsid w:val="65192B73"/>
    <w:rsid w:val="658F25D2"/>
    <w:rsid w:val="65FD740F"/>
    <w:rsid w:val="66220F54"/>
    <w:rsid w:val="66303069"/>
    <w:rsid w:val="669E0E44"/>
    <w:rsid w:val="67303C95"/>
    <w:rsid w:val="677BB9A1"/>
    <w:rsid w:val="682138CD"/>
    <w:rsid w:val="68257D4D"/>
    <w:rsid w:val="68704C37"/>
    <w:rsid w:val="689C3F07"/>
    <w:rsid w:val="693C7AAE"/>
    <w:rsid w:val="6A0A28D9"/>
    <w:rsid w:val="6A927975"/>
    <w:rsid w:val="6ADC0446"/>
    <w:rsid w:val="6B9B1BEA"/>
    <w:rsid w:val="6C7E38C1"/>
    <w:rsid w:val="6D3C1942"/>
    <w:rsid w:val="6D5111C0"/>
    <w:rsid w:val="6DAF7490"/>
    <w:rsid w:val="6DD11BF3"/>
    <w:rsid w:val="6DDFA0AD"/>
    <w:rsid w:val="6DFBE28A"/>
    <w:rsid w:val="6E991CD7"/>
    <w:rsid w:val="6EC5004F"/>
    <w:rsid w:val="6F057507"/>
    <w:rsid w:val="6FF303B3"/>
    <w:rsid w:val="72C95FB4"/>
    <w:rsid w:val="731FF8BA"/>
    <w:rsid w:val="737B8745"/>
    <w:rsid w:val="7384425B"/>
    <w:rsid w:val="7400051E"/>
    <w:rsid w:val="74FAC9A9"/>
    <w:rsid w:val="758A675F"/>
    <w:rsid w:val="75AF4F7C"/>
    <w:rsid w:val="75E215EC"/>
    <w:rsid w:val="762F648F"/>
    <w:rsid w:val="76771F1B"/>
    <w:rsid w:val="767D4A7C"/>
    <w:rsid w:val="768C7E47"/>
    <w:rsid w:val="76983573"/>
    <w:rsid w:val="76B65FC8"/>
    <w:rsid w:val="77732023"/>
    <w:rsid w:val="778A5C11"/>
    <w:rsid w:val="77EDC99E"/>
    <w:rsid w:val="789F734A"/>
    <w:rsid w:val="79872B48"/>
    <w:rsid w:val="79EA60DF"/>
    <w:rsid w:val="7A85177D"/>
    <w:rsid w:val="7AD4446B"/>
    <w:rsid w:val="7B604D97"/>
    <w:rsid w:val="7BBD8257"/>
    <w:rsid w:val="7BFB2C5F"/>
    <w:rsid w:val="7BFCFD36"/>
    <w:rsid w:val="7C124706"/>
    <w:rsid w:val="7C484ED1"/>
    <w:rsid w:val="7CE56503"/>
    <w:rsid w:val="7CF7F698"/>
    <w:rsid w:val="7DB9D8FC"/>
    <w:rsid w:val="7DEF7BD1"/>
    <w:rsid w:val="7E3EC2A8"/>
    <w:rsid w:val="7E5F1937"/>
    <w:rsid w:val="7E6B417A"/>
    <w:rsid w:val="7E9E5E53"/>
    <w:rsid w:val="7EBCBD2C"/>
    <w:rsid w:val="7F324AA5"/>
    <w:rsid w:val="7F762FB4"/>
    <w:rsid w:val="7FBEC769"/>
    <w:rsid w:val="7FEA1C09"/>
    <w:rsid w:val="7FF55128"/>
    <w:rsid w:val="7FFB8BDC"/>
    <w:rsid w:val="92DA4916"/>
    <w:rsid w:val="92FCDED0"/>
    <w:rsid w:val="95EFE736"/>
    <w:rsid w:val="9F64DADC"/>
    <w:rsid w:val="A2D16160"/>
    <w:rsid w:val="B2FCDE52"/>
    <w:rsid w:val="BB5EE52B"/>
    <w:rsid w:val="BBCBE163"/>
    <w:rsid w:val="BCBDBCF7"/>
    <w:rsid w:val="BDF9B3CD"/>
    <w:rsid w:val="BDFF5934"/>
    <w:rsid w:val="BEFFB74C"/>
    <w:rsid w:val="BF0BB9B7"/>
    <w:rsid w:val="BF7AD174"/>
    <w:rsid w:val="BF9BF738"/>
    <w:rsid w:val="BFE7D6C2"/>
    <w:rsid w:val="BFF7C38A"/>
    <w:rsid w:val="C72381BF"/>
    <w:rsid w:val="CEFDF4C4"/>
    <w:rsid w:val="CF6E8A60"/>
    <w:rsid w:val="D77FA06A"/>
    <w:rsid w:val="D7CFEC6F"/>
    <w:rsid w:val="D7EACEF6"/>
    <w:rsid w:val="DDFC7002"/>
    <w:rsid w:val="DE7DD0B7"/>
    <w:rsid w:val="DEFA6B29"/>
    <w:rsid w:val="DF2D80AC"/>
    <w:rsid w:val="DFA8F32D"/>
    <w:rsid w:val="E79E23FE"/>
    <w:rsid w:val="E7FE9679"/>
    <w:rsid w:val="EA3D4E54"/>
    <w:rsid w:val="EBBD24E8"/>
    <w:rsid w:val="EC5186E5"/>
    <w:rsid w:val="EDC76DBD"/>
    <w:rsid w:val="EDF83D85"/>
    <w:rsid w:val="EF635B9C"/>
    <w:rsid w:val="EFF69339"/>
    <w:rsid w:val="F3ED66E6"/>
    <w:rsid w:val="F7B99D37"/>
    <w:rsid w:val="F7EF0EF5"/>
    <w:rsid w:val="FBBF891C"/>
    <w:rsid w:val="FDAF7734"/>
    <w:rsid w:val="FDDFE328"/>
    <w:rsid w:val="FDF791B5"/>
    <w:rsid w:val="FE534D85"/>
    <w:rsid w:val="FF2FDA53"/>
    <w:rsid w:val="FF6F903E"/>
    <w:rsid w:val="FF7E1601"/>
    <w:rsid w:val="FFD4095E"/>
    <w:rsid w:val="FFDFCEBD"/>
    <w:rsid w:val="FFFDC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3">
    <w:name w:val="heading 1"/>
    <w:basedOn w:val="1"/>
    <w:next w:val="1"/>
    <w:link w:val="21"/>
    <w:qFormat/>
    <w:uiPriority w:val="0"/>
    <w:pPr>
      <w:keepNext/>
      <w:spacing w:before="240" w:after="60"/>
      <w:outlineLvl w:val="0"/>
    </w:pPr>
    <w:rPr>
      <w:rFonts w:ascii="Arial" w:hAnsi="Arial" w:cs="Arial"/>
      <w:b/>
      <w:bCs/>
      <w:kern w:val="32"/>
      <w:sz w:val="32"/>
      <w:szCs w:val="32"/>
    </w:rPr>
  </w:style>
  <w:style w:type="paragraph" w:styleId="4">
    <w:name w:val="heading 2"/>
    <w:basedOn w:val="1"/>
    <w:next w:val="1"/>
    <w:link w:val="22"/>
    <w:qFormat/>
    <w:uiPriority w:val="0"/>
    <w:pPr>
      <w:keepNext/>
      <w:spacing w:before="240" w:after="60"/>
      <w:outlineLvl w:val="1"/>
    </w:pPr>
    <w:rPr>
      <w:rFonts w:ascii="Arial" w:hAnsi="Arial" w:cs="Arial"/>
      <w:b/>
      <w:bCs/>
      <w:i/>
      <w:iCs/>
      <w:sz w:val="28"/>
      <w:szCs w:val="28"/>
    </w:rPr>
  </w:style>
  <w:style w:type="paragraph" w:styleId="5">
    <w:name w:val="heading 3"/>
    <w:basedOn w:val="1"/>
    <w:next w:val="1"/>
    <w:qFormat/>
    <w:uiPriority w:val="0"/>
    <w:pPr>
      <w:keepNext/>
      <w:spacing w:before="240" w:after="60"/>
      <w:outlineLvl w:val="2"/>
    </w:pPr>
    <w:rPr>
      <w:rFonts w:ascii="Arial" w:hAnsi="Arial" w:cs="Arial"/>
      <w:b/>
      <w:bCs/>
      <w:sz w:val="26"/>
      <w:szCs w:val="26"/>
    </w:rPr>
  </w:style>
  <w:style w:type="paragraph" w:styleId="6">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9"/>
    <w:unhideWhenUsed/>
    <w:qFormat/>
    <w:uiPriority w:val="99"/>
    <w:pPr>
      <w:snapToGrid w:val="0"/>
      <w:textAlignment w:val="center"/>
    </w:pPr>
    <w:rPr>
      <w:rFonts w:ascii="宋体" w:hAnsi="Courier New" w:eastAsia="宋体"/>
      <w:kern w:val="2"/>
      <w:sz w:val="21"/>
      <w:szCs w:val="21"/>
      <w:lang w:eastAsia="zh-CN"/>
    </w:rPr>
  </w:style>
  <w:style w:type="paragraph" w:styleId="7">
    <w:name w:val="annotation text"/>
    <w:basedOn w:val="1"/>
    <w:link w:val="26"/>
    <w:qFormat/>
    <w:uiPriority w:val="0"/>
  </w:style>
  <w:style w:type="paragraph" w:styleId="8">
    <w:name w:val="Body Text"/>
    <w:basedOn w:val="1"/>
    <w:link w:val="33"/>
    <w:unhideWhenUsed/>
    <w:qFormat/>
    <w:uiPriority w:val="99"/>
    <w:pPr>
      <w:widowControl w:val="0"/>
      <w:snapToGrid w:val="0"/>
      <w:spacing w:after="120" w:line="300" w:lineRule="auto"/>
      <w:jc w:val="both"/>
    </w:pPr>
    <w:rPr>
      <w:rFonts w:ascii="Calibri" w:hAnsi="Calibri" w:eastAsia="宋体" w:cs="Calibri"/>
      <w:kern w:val="2"/>
      <w:sz w:val="21"/>
      <w:szCs w:val="21"/>
      <w:lang w:eastAsia="zh-CN"/>
    </w:rPr>
  </w:style>
  <w:style w:type="paragraph" w:styleId="9">
    <w:name w:val="toc 3"/>
    <w:basedOn w:val="1"/>
    <w:next w:val="1"/>
    <w:qFormat/>
    <w:uiPriority w:val="39"/>
    <w:pPr>
      <w:ind w:left="480"/>
    </w:pPr>
  </w:style>
  <w:style w:type="paragraph" w:styleId="10">
    <w:name w:val="Balloon Text"/>
    <w:basedOn w:val="1"/>
    <w:link w:val="28"/>
    <w:qFormat/>
    <w:uiPriority w:val="0"/>
    <w:rPr>
      <w:sz w:val="18"/>
      <w:szCs w:val="18"/>
    </w:rPr>
  </w:style>
  <w:style w:type="paragraph" w:styleId="11">
    <w:name w:val="footer"/>
    <w:basedOn w:val="1"/>
    <w:link w:val="25"/>
    <w:qFormat/>
    <w:uiPriority w:val="0"/>
    <w:pPr>
      <w:tabs>
        <w:tab w:val="center" w:pos="4153"/>
        <w:tab w:val="right" w:pos="8306"/>
      </w:tabs>
      <w:snapToGrid w:val="0"/>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240"/>
    </w:pPr>
  </w:style>
  <w:style w:type="paragraph" w:styleId="15">
    <w:name w:val="annotation subject"/>
    <w:basedOn w:val="7"/>
    <w:next w:val="7"/>
    <w:link w:val="27"/>
    <w:qFormat/>
    <w:uiPriority w:val="0"/>
    <w:rPr>
      <w:b/>
      <w:bCs/>
    </w:rPr>
  </w:style>
  <w:style w:type="table" w:styleId="17">
    <w:name w:val="Table Grid"/>
    <w:basedOn w:val="16"/>
    <w:qFormat/>
    <w:uiPriority w:val="59"/>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99"/>
    <w:rPr>
      <w:color w:val="0000FF"/>
      <w:u w:val="single"/>
    </w:rPr>
  </w:style>
  <w:style w:type="character" w:styleId="20">
    <w:name w:val="annotation reference"/>
    <w:basedOn w:val="18"/>
    <w:qFormat/>
    <w:uiPriority w:val="0"/>
    <w:rPr>
      <w:sz w:val="21"/>
      <w:szCs w:val="21"/>
    </w:rPr>
  </w:style>
  <w:style w:type="character" w:customStyle="1" w:styleId="21">
    <w:name w:val="标题 1 Char"/>
    <w:link w:val="3"/>
    <w:qFormat/>
    <w:uiPriority w:val="0"/>
    <w:rPr>
      <w:rFonts w:ascii="Arial" w:hAnsi="Arial" w:cs="Arial"/>
      <w:b/>
      <w:bCs/>
      <w:kern w:val="32"/>
      <w:sz w:val="32"/>
      <w:szCs w:val="32"/>
    </w:rPr>
  </w:style>
  <w:style w:type="character" w:customStyle="1" w:styleId="22">
    <w:name w:val="标题 2 Char"/>
    <w:basedOn w:val="18"/>
    <w:link w:val="4"/>
    <w:qFormat/>
    <w:uiPriority w:val="0"/>
    <w:rPr>
      <w:rFonts w:ascii="Arial" w:hAnsi="Arial" w:cs="Arial"/>
      <w:b/>
      <w:bCs/>
      <w:i/>
      <w:iCs/>
      <w:sz w:val="28"/>
      <w:szCs w:val="28"/>
    </w:rPr>
  </w:style>
  <w:style w:type="paragraph" w:customStyle="1" w:styleId="23">
    <w:name w:val="MsoNormal"/>
    <w:basedOn w:val="1"/>
    <w:qFormat/>
    <w:uiPriority w:val="0"/>
  </w:style>
  <w:style w:type="character" w:customStyle="1" w:styleId="24">
    <w:name w:val="页眉 Char"/>
    <w:basedOn w:val="18"/>
    <w:link w:val="12"/>
    <w:qFormat/>
    <w:uiPriority w:val="0"/>
    <w:rPr>
      <w:sz w:val="18"/>
      <w:szCs w:val="18"/>
    </w:rPr>
  </w:style>
  <w:style w:type="character" w:customStyle="1" w:styleId="25">
    <w:name w:val="页脚 Char"/>
    <w:basedOn w:val="18"/>
    <w:link w:val="11"/>
    <w:qFormat/>
    <w:uiPriority w:val="0"/>
    <w:rPr>
      <w:sz w:val="18"/>
      <w:szCs w:val="18"/>
    </w:rPr>
  </w:style>
  <w:style w:type="character" w:customStyle="1" w:styleId="26">
    <w:name w:val="批注文字 Char"/>
    <w:basedOn w:val="18"/>
    <w:link w:val="7"/>
    <w:qFormat/>
    <w:uiPriority w:val="0"/>
    <w:rPr>
      <w:sz w:val="24"/>
      <w:szCs w:val="24"/>
    </w:rPr>
  </w:style>
  <w:style w:type="character" w:customStyle="1" w:styleId="27">
    <w:name w:val="批注主题 Char"/>
    <w:basedOn w:val="26"/>
    <w:link w:val="15"/>
    <w:qFormat/>
    <w:uiPriority w:val="0"/>
    <w:rPr>
      <w:b/>
      <w:bCs/>
    </w:rPr>
  </w:style>
  <w:style w:type="character" w:customStyle="1" w:styleId="28">
    <w:name w:val="批注框文本 Char"/>
    <w:basedOn w:val="18"/>
    <w:link w:val="10"/>
    <w:qFormat/>
    <w:uiPriority w:val="0"/>
    <w:rPr>
      <w:sz w:val="18"/>
      <w:szCs w:val="18"/>
    </w:rPr>
  </w:style>
  <w:style w:type="character" w:customStyle="1" w:styleId="29">
    <w:name w:val="纯文本 Char"/>
    <w:basedOn w:val="18"/>
    <w:link w:val="2"/>
    <w:qFormat/>
    <w:uiPriority w:val="99"/>
    <w:rPr>
      <w:rFonts w:ascii="宋体" w:hAnsi="Courier New" w:eastAsia="宋体"/>
      <w:kern w:val="2"/>
      <w:sz w:val="21"/>
      <w:szCs w:val="21"/>
      <w:lang w:eastAsia="zh-CN"/>
    </w:rPr>
  </w:style>
  <w:style w:type="character" w:customStyle="1" w:styleId="30">
    <w:name w:val="font21"/>
    <w:basedOn w:val="18"/>
    <w:qFormat/>
    <w:uiPriority w:val="0"/>
    <w:rPr>
      <w:rFonts w:hint="eastAsia" w:ascii="仿宋_GB2312" w:hAnsi="仿宋_GB2312" w:eastAsia="仿宋_GB2312"/>
      <w:color w:val="000000"/>
      <w:sz w:val="20"/>
      <w:szCs w:val="20"/>
      <w:u w:val="none"/>
    </w:rPr>
  </w:style>
  <w:style w:type="character" w:customStyle="1" w:styleId="31">
    <w:name w:val="font11"/>
    <w:basedOn w:val="18"/>
    <w:qFormat/>
    <w:uiPriority w:val="0"/>
    <w:rPr>
      <w:rFonts w:hint="eastAsia" w:ascii="仿宋_GB2312" w:hAnsi="仿宋_GB2312" w:eastAsia="仿宋_GB2312"/>
      <w:color w:val="000000"/>
      <w:sz w:val="20"/>
      <w:szCs w:val="20"/>
      <w:u w:val="none"/>
    </w:rPr>
  </w:style>
  <w:style w:type="paragraph" w:customStyle="1" w:styleId="32">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33">
    <w:name w:val="正文文本 Char"/>
    <w:basedOn w:val="18"/>
    <w:link w:val="8"/>
    <w:qFormat/>
    <w:uiPriority w:val="99"/>
    <w:rPr>
      <w:rFonts w:ascii="Calibri" w:hAnsi="Calibri" w:eastAsia="宋体" w:cs="Calibri"/>
      <w:kern w:val="2"/>
      <w:sz w:val="21"/>
      <w:szCs w:val="21"/>
      <w:lang w:eastAsia="zh-CN"/>
    </w:rPr>
  </w:style>
  <w:style w:type="paragraph" w:customStyle="1" w:styleId="34">
    <w:name w:val="列出段落1"/>
    <w:basedOn w:val="1"/>
    <w:qFormat/>
    <w:uiPriority w:val="99"/>
    <w:pPr>
      <w:snapToGrid w:val="0"/>
      <w:ind w:firstLine="420" w:firstLineChars="200"/>
      <w:textAlignment w:val="center"/>
    </w:pPr>
    <w:rPr>
      <w:rFonts w:eastAsia="宋体"/>
      <w:kern w:val="2"/>
      <w:sz w:val="21"/>
      <w:szCs w:val="2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38</Pages>
  <Words>8208</Words>
  <Characters>10184</Characters>
  <Lines>210</Lines>
  <Paragraphs>59</Paragraphs>
  <TotalTime>50</TotalTime>
  <ScaleCrop>false</ScaleCrop>
  <LinksUpToDate>false</LinksUpToDate>
  <CharactersWithSpaces>10233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2025-12-10T08:48:00Z</dcterms:created>
  <dc:creator>user</dc:creator>
  <cp:lastModifiedBy>李玲玲</cp:lastModifiedBy>
  <dcterms:modified xsi:type="dcterms:W3CDTF">2025-12-11T13:41:18Z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38B33AB93F31F31F57593A6921A9D22B_43</vt:lpwstr>
  </property>
  <property fmtid="{D5CDD505-2E9C-101B-9397-08002B2CF9AE}" pid="4" name="KSOTemplateDocerSaveRecord">
    <vt:lpwstr>eyJoZGlkIjoiZjM3NGM2YTk3ZmU5MmJjNWM3NWQ4YzQ3NjliNDY3MjMifQ==</vt:lpwstr>
  </property>
</Properties>
</file>