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09066">
      <w:pPr>
        <w:ind w:firstLine="0" w:firstLineChars="0"/>
        <w:jc w:val="center"/>
        <w:rPr>
          <w:rFonts w:ascii="Times New Roman" w:hAnsi="Times New Roman" w:eastAsia="黑体"/>
          <w:sz w:val="48"/>
          <w:szCs w:val="48"/>
        </w:rPr>
      </w:pPr>
    </w:p>
    <w:p w14:paraId="5E90633B">
      <w:pPr>
        <w:ind w:firstLine="0" w:firstLineChars="0"/>
        <w:jc w:val="center"/>
        <w:rPr>
          <w:rFonts w:ascii="Times New Roman" w:hAnsi="Times New Roman" w:eastAsia="黑体"/>
          <w:sz w:val="48"/>
          <w:szCs w:val="48"/>
        </w:rPr>
      </w:pPr>
    </w:p>
    <w:p w14:paraId="643BC7E4">
      <w:pPr>
        <w:ind w:firstLine="0" w:firstLineChars="0"/>
        <w:jc w:val="center"/>
        <w:rPr>
          <w:rFonts w:ascii="Times New Roman" w:hAnsi="Times New Roman" w:eastAsia="黑体"/>
          <w:sz w:val="48"/>
          <w:szCs w:val="48"/>
        </w:rPr>
      </w:pPr>
    </w:p>
    <w:p w14:paraId="64706086">
      <w:pPr>
        <w:ind w:firstLine="0" w:firstLineChars="0"/>
        <w:jc w:val="center"/>
        <w:rPr>
          <w:rFonts w:ascii="Times New Roman" w:hAnsi="Times New Roman" w:eastAsia="黑体"/>
          <w:sz w:val="48"/>
          <w:szCs w:val="48"/>
        </w:rPr>
      </w:pPr>
    </w:p>
    <w:p w14:paraId="4633E7B2">
      <w:pPr>
        <w:spacing w:line="480" w:lineRule="auto"/>
        <w:ind w:firstLine="0" w:firstLineChars="0"/>
        <w:jc w:val="center"/>
        <w:rPr>
          <w:rFonts w:ascii="Times New Roman" w:hAnsi="Times New Roman" w:eastAsia="黑体"/>
          <w:sz w:val="44"/>
          <w:szCs w:val="44"/>
        </w:rPr>
      </w:pPr>
      <w:r>
        <w:rPr>
          <w:rFonts w:hint="eastAsia" w:ascii="Times New Roman" w:hAnsi="Times New Roman" w:eastAsia="黑体"/>
          <w:sz w:val="44"/>
          <w:szCs w:val="44"/>
        </w:rPr>
        <w:t>上海市电动自行车充换电设施安全监测预警子系统建设项目</w:t>
      </w:r>
    </w:p>
    <w:p w14:paraId="504C6A89">
      <w:pPr>
        <w:spacing w:line="480" w:lineRule="auto"/>
        <w:ind w:firstLine="0" w:firstLineChars="0"/>
        <w:jc w:val="center"/>
        <w:rPr>
          <w:rFonts w:ascii="Times New Roman" w:hAnsi="Times New Roman" w:eastAsia="黑体"/>
          <w:sz w:val="44"/>
          <w:szCs w:val="44"/>
        </w:rPr>
      </w:pPr>
      <w:r>
        <w:rPr>
          <w:rFonts w:hint="eastAsia" w:ascii="Times New Roman" w:hAnsi="Times New Roman" w:eastAsia="黑体"/>
          <w:sz w:val="44"/>
          <w:szCs w:val="44"/>
        </w:rPr>
        <w:t>2026年度采购需求</w:t>
      </w:r>
    </w:p>
    <w:p w14:paraId="1E9FDF91">
      <w:pPr>
        <w:ind w:firstLine="0" w:firstLineChars="0"/>
        <w:jc w:val="center"/>
        <w:rPr>
          <w:rFonts w:ascii="Times New Roman" w:hAnsi="Times New Roman" w:eastAsia="黑体"/>
          <w:sz w:val="72"/>
          <w:szCs w:val="72"/>
        </w:rPr>
      </w:pPr>
    </w:p>
    <w:p w14:paraId="76507053">
      <w:pPr>
        <w:ind w:firstLine="0" w:firstLineChars="0"/>
        <w:jc w:val="center"/>
        <w:rPr>
          <w:rFonts w:ascii="Times New Roman" w:hAnsi="Times New Roman" w:eastAsia="黑体"/>
          <w:sz w:val="48"/>
          <w:szCs w:val="48"/>
        </w:rPr>
      </w:pPr>
    </w:p>
    <w:p w14:paraId="06F21844">
      <w:pPr>
        <w:ind w:firstLine="0" w:firstLineChars="0"/>
        <w:jc w:val="center"/>
        <w:rPr>
          <w:rFonts w:ascii="Times New Roman" w:hAnsi="Times New Roman" w:eastAsia="黑体"/>
          <w:sz w:val="52"/>
          <w:szCs w:val="52"/>
        </w:rPr>
      </w:pPr>
    </w:p>
    <w:p w14:paraId="1099A2C7">
      <w:pPr>
        <w:ind w:firstLine="1040"/>
        <w:rPr>
          <w:rFonts w:ascii="Times New Roman" w:hAnsi="Times New Roman" w:eastAsia="黑体"/>
          <w:sz w:val="52"/>
          <w:szCs w:val="52"/>
        </w:rPr>
      </w:pPr>
    </w:p>
    <w:p w14:paraId="71065700">
      <w:pPr>
        <w:rPr>
          <w:rFonts w:ascii="Times New Roman" w:hAnsi="Times New Roman"/>
        </w:rPr>
      </w:pPr>
    </w:p>
    <w:p w14:paraId="1B44895F">
      <w:pPr>
        <w:rPr>
          <w:rFonts w:ascii="Times New Roman" w:hAnsi="Times New Roman"/>
        </w:rPr>
      </w:pPr>
    </w:p>
    <w:p w14:paraId="2F56CA6B">
      <w:pPr>
        <w:rPr>
          <w:rFonts w:ascii="Times New Roman" w:hAnsi="Times New Roman"/>
        </w:rPr>
      </w:pPr>
    </w:p>
    <w:p w14:paraId="2FA03A99">
      <w:pPr>
        <w:pStyle w:val="17"/>
      </w:pPr>
    </w:p>
    <w:p w14:paraId="30F4BD40">
      <w:pPr>
        <w:pStyle w:val="18"/>
        <w:rPr>
          <w:rFonts w:ascii="Times New Roman" w:hAnsi="Times New Roman"/>
        </w:rPr>
      </w:pPr>
    </w:p>
    <w:p w14:paraId="380D0689">
      <w:pPr>
        <w:rPr>
          <w:rFonts w:ascii="Times New Roman" w:hAnsi="Times New Roman"/>
        </w:rPr>
      </w:pPr>
    </w:p>
    <w:p w14:paraId="66C077C8">
      <w:pPr>
        <w:pStyle w:val="17"/>
      </w:pPr>
    </w:p>
    <w:p w14:paraId="00C00E79">
      <w:pPr>
        <w:rPr>
          <w:rFonts w:ascii="Times New Roman" w:hAnsi="Times New Roman"/>
        </w:rPr>
      </w:pPr>
    </w:p>
    <w:p w14:paraId="62F7F120">
      <w:pPr>
        <w:rPr>
          <w:rFonts w:ascii="Times New Roman" w:hAnsi="Times New Roman"/>
        </w:rPr>
      </w:pPr>
    </w:p>
    <w:p w14:paraId="5CEA492B">
      <w:pPr>
        <w:ind w:firstLine="1040"/>
        <w:rPr>
          <w:rFonts w:ascii="Times New Roman" w:hAnsi="Times New Roman" w:eastAsia="黑体"/>
          <w:sz w:val="52"/>
          <w:szCs w:val="52"/>
        </w:rPr>
      </w:pPr>
    </w:p>
    <w:p w14:paraId="2DF75CB6">
      <w:pPr>
        <w:ind w:firstLine="0" w:firstLineChars="0"/>
        <w:jc w:val="center"/>
        <w:rPr>
          <w:rFonts w:ascii="Times New Roman" w:hAnsi="Times New Roman"/>
        </w:rPr>
        <w:sectPr>
          <w:footerReference r:id="rId8" w:type="first"/>
          <w:footerReference r:id="rId6" w:type="default"/>
          <w:headerReference r:id="rId5" w:type="even"/>
          <w:footerReference r:id="rId7" w:type="even"/>
          <w:pgSz w:w="11906" w:h="16838"/>
          <w:pgMar w:top="1134" w:right="1797" w:bottom="1135" w:left="1797" w:header="340" w:footer="7" w:gutter="0"/>
          <w:pgNumType w:start="1"/>
          <w:cols w:space="720" w:num="1"/>
          <w:titlePg/>
          <w:docGrid w:type="linesAndChars" w:linePitch="326" w:charSpace="0"/>
        </w:sectPr>
      </w:pPr>
      <w:r>
        <w:rPr>
          <w:rFonts w:hint="eastAsia" w:ascii="Times New Roman" w:hAnsi="Times New Roman" w:eastAsia="仿宋" w:cs="仿宋"/>
          <w:sz w:val="32"/>
          <w:szCs w:val="32"/>
        </w:rPr>
        <w:t>2025年12月</w:t>
      </w:r>
    </w:p>
    <w:p w14:paraId="31D02865">
      <w:pPr>
        <w:pStyle w:val="2"/>
        <w:ind w:left="-2" w:leftChars="-1" w:firstLine="1"/>
        <w:rPr>
          <w:rFonts w:ascii="Times New Roman" w:hAnsi="Times New Roman"/>
        </w:rPr>
      </w:pPr>
      <w:bookmarkStart w:id="0" w:name="_Toc63785461"/>
      <w:r>
        <w:rPr>
          <w:rFonts w:hint="eastAsia" w:ascii="Times New Roman" w:hAnsi="Times New Roman"/>
        </w:rPr>
        <w:t>项目概况</w:t>
      </w:r>
      <w:bookmarkEnd w:id="0"/>
    </w:p>
    <w:p w14:paraId="19AA66A3">
      <w:pPr>
        <w:rPr>
          <w:rFonts w:ascii="Times New Roman" w:hAnsi="Times New Roman"/>
        </w:rPr>
      </w:pPr>
      <w:r>
        <w:rPr>
          <w:rFonts w:hint="eastAsia" w:ascii="Times New Roman" w:hAnsi="Times New Roman"/>
        </w:rPr>
        <w:t>近年来电动自行车火灾事故快速增加，严重威胁人民群众生命财产安全。为贯彻落实国务院常务会议精神和</w:t>
      </w:r>
      <w:bookmarkStart w:id="24" w:name="_GoBack"/>
      <w:bookmarkEnd w:id="24"/>
      <w:r>
        <w:rPr>
          <w:rFonts w:hint="eastAsia" w:ascii="Times New Roman" w:hAnsi="Times New Roman"/>
        </w:rPr>
        <w:t>市领导指示要求，上海市多部门联合推动电动自行车安全隐患整治。</w:t>
      </w:r>
    </w:p>
    <w:p w14:paraId="39303AAE">
      <w:pPr>
        <w:rPr>
          <w:rFonts w:ascii="Times New Roman" w:hAnsi="Times New Roman"/>
        </w:rPr>
      </w:pPr>
      <w:r>
        <w:rPr>
          <w:rFonts w:hint="eastAsia" w:ascii="Times New Roman" w:hAnsi="Times New Roman"/>
        </w:rPr>
        <w:t>围绕落实市专班工作任务要求，上海市电动自行车充电设施安全监测预警子系统建设聚焦“充电设施”重要环节，进一步完善重点数据汇聚，夯实充电设施数字化监管底数</w:t>
      </w:r>
      <w:r>
        <w:t>。</w:t>
      </w:r>
    </w:p>
    <w:p w14:paraId="0A47F949">
      <w:pPr>
        <w:rPr>
          <w:rFonts w:ascii="Times New Roman" w:hAnsi="Times New Roman"/>
        </w:rPr>
      </w:pPr>
      <w:r>
        <w:rPr>
          <w:rFonts w:hint="eastAsia" w:ascii="Times New Roman" w:hAnsi="Times New Roman"/>
        </w:rPr>
        <w:t>建设期限：合同签订之日起8个月内</w:t>
      </w:r>
    </w:p>
    <w:p w14:paraId="0633115B">
      <w:pPr>
        <w:rPr>
          <w:rFonts w:ascii="Times New Roman" w:hAnsi="Times New Roman"/>
        </w:rPr>
      </w:pPr>
      <w:r>
        <w:rPr>
          <w:rFonts w:hint="eastAsia" w:ascii="Times New Roman" w:hAnsi="Times New Roman"/>
        </w:rPr>
        <w:t>建设地点：上海市民防大厦（复兴中路593号）</w:t>
      </w:r>
    </w:p>
    <w:p w14:paraId="702D8D7F">
      <w:pPr>
        <w:rPr>
          <w:rFonts w:ascii="Times New Roman" w:hAnsi="Times New Roman"/>
        </w:rPr>
      </w:pPr>
      <w:r>
        <w:rPr>
          <w:rFonts w:hint="eastAsia" w:ascii="Times New Roman" w:hAnsi="Times New Roman"/>
        </w:rPr>
        <w:t>预算金额：1812500元</w:t>
      </w:r>
    </w:p>
    <w:p w14:paraId="1E9A3F3E">
      <w:pPr>
        <w:rPr>
          <w:rFonts w:ascii="Times New Roman" w:hAnsi="Times New Roman"/>
        </w:rPr>
      </w:pPr>
      <w:r>
        <w:rPr>
          <w:rFonts w:hint="eastAsia" w:ascii="Times New Roman" w:hAnsi="Times New Roman"/>
        </w:rPr>
        <w:t>采购金额（最高限价）：1812500元</w:t>
      </w:r>
    </w:p>
    <w:p w14:paraId="1E78FBFA">
      <w:pPr>
        <w:rPr>
          <w:rFonts w:ascii="Times New Roman" w:hAnsi="Times New Roman"/>
        </w:rPr>
      </w:pPr>
      <w:r>
        <w:rPr>
          <w:rFonts w:hint="eastAsia" w:ascii="Times New Roman" w:hAnsi="Times New Roman"/>
        </w:rPr>
        <w:t>组织形式：集中采购</w:t>
      </w:r>
    </w:p>
    <w:p w14:paraId="2267601E">
      <w:pPr>
        <w:rPr>
          <w:rFonts w:ascii="Times New Roman" w:hAnsi="Times New Roman"/>
        </w:rPr>
      </w:pPr>
      <w:r>
        <w:rPr>
          <w:rFonts w:hint="eastAsia" w:ascii="Times New Roman" w:hAnsi="Times New Roman"/>
        </w:rPr>
        <w:t>采购方式：竞争性磋商</w:t>
      </w:r>
    </w:p>
    <w:p w14:paraId="72DF1E83">
      <w:pPr>
        <w:rPr>
          <w:rFonts w:ascii="Times New Roman" w:hAnsi="Times New Roman"/>
        </w:rPr>
      </w:pPr>
      <w:r>
        <w:rPr>
          <w:rFonts w:hint="eastAsia" w:ascii="Times New Roman" w:hAnsi="Times New Roman"/>
        </w:rPr>
        <w:t>是否接受联合体投标：否</w:t>
      </w:r>
    </w:p>
    <w:p w14:paraId="74A26998">
      <w:pPr>
        <w:rPr>
          <w:rFonts w:ascii="Times New Roman" w:hAnsi="Times New Roman"/>
        </w:rPr>
      </w:pPr>
      <w:r>
        <w:rPr>
          <w:rFonts w:hint="eastAsia" w:ascii="Times New Roman" w:hAnsi="Times New Roman"/>
        </w:rPr>
        <w:t>是否按XC要求建设：是</w:t>
      </w:r>
    </w:p>
    <w:p w14:paraId="15B9DC8A">
      <w:pPr>
        <w:rPr>
          <w:rFonts w:ascii="Times New Roman" w:hAnsi="Times New Roman"/>
        </w:rPr>
      </w:pPr>
      <w:r>
        <w:rPr>
          <w:rFonts w:hint="eastAsia" w:ascii="Times New Roman" w:hAnsi="Times New Roman"/>
        </w:rPr>
        <w:t>运维后所属大系统：上海市应急管理综合应用大系统</w:t>
      </w:r>
    </w:p>
    <w:p w14:paraId="164E5867">
      <w:pPr>
        <w:pStyle w:val="2"/>
        <w:ind w:left="-2" w:leftChars="-1" w:firstLine="1"/>
        <w:rPr>
          <w:rFonts w:ascii="Times New Roman" w:hAnsi="Times New Roman"/>
        </w:rPr>
      </w:pPr>
      <w:bookmarkStart w:id="1" w:name="_Toc47531634"/>
      <w:bookmarkEnd w:id="1"/>
      <w:bookmarkStart w:id="2" w:name="_Toc47537134"/>
      <w:bookmarkEnd w:id="2"/>
      <w:bookmarkStart w:id="3" w:name="_Toc47536272"/>
      <w:bookmarkEnd w:id="3"/>
      <w:bookmarkStart w:id="4" w:name="_Toc47532255"/>
      <w:bookmarkEnd w:id="4"/>
      <w:bookmarkStart w:id="5" w:name="_Toc47539070"/>
      <w:bookmarkEnd w:id="5"/>
      <w:bookmarkStart w:id="6" w:name="_Toc47532891"/>
      <w:bookmarkEnd w:id="6"/>
      <w:bookmarkStart w:id="7" w:name="_Toc47536644"/>
      <w:bookmarkEnd w:id="7"/>
      <w:bookmarkStart w:id="8" w:name="_Toc47533256"/>
      <w:bookmarkEnd w:id="8"/>
      <w:bookmarkStart w:id="9" w:name="_Toc63785463"/>
      <w:bookmarkStart w:id="10" w:name="_Toc48223882"/>
      <w:r>
        <w:rPr>
          <w:rFonts w:hint="eastAsia" w:ascii="Times New Roman" w:hAnsi="Times New Roman"/>
        </w:rPr>
        <w:t>建设目标</w:t>
      </w:r>
      <w:bookmarkEnd w:id="9"/>
      <w:bookmarkEnd w:id="10"/>
    </w:p>
    <w:p w14:paraId="56A218B8">
      <w:pPr>
        <w:pStyle w:val="133"/>
        <w:ind w:firstLine="480"/>
        <w:rPr>
          <w:rFonts w:ascii="Times New Roman" w:hAnsi="Times New Roman" w:eastAsia="宋体"/>
          <w:sz w:val="24"/>
          <w:szCs w:val="24"/>
        </w:rPr>
      </w:pPr>
      <w:r>
        <w:rPr>
          <w:rFonts w:hint="eastAsia" w:ascii="Times New Roman" w:hAnsi="Times New Roman" w:eastAsia="宋体"/>
          <w:sz w:val="24"/>
          <w:szCs w:val="24"/>
        </w:rPr>
        <w:t>为积极响应国务院安委办及市委市政府对电动自行车安全管理工作要求，在既有上海市电动自行车全链条安全监管信息系统项目成果基础上，本项目致力于创新数字化管理手段，强化数智赋能，构建并完善上海市电动自行车充换电设施安全监测预警子系统。通过全面强化充电设施的运营与监管，规范电动自行车充电行为，依托市级“图码链数”等共性能力，积极探索人工智能、大模型、数字孪生、区块链等前沿新技术的创新应用，切实提升市民安全充电的便利性、幸福感与满意度，持续深化并拓展本市电动自行车全链条安全治理新格局。具体目标如下：</w:t>
      </w:r>
    </w:p>
    <w:p w14:paraId="239B389E">
      <w:pPr>
        <w:pStyle w:val="133"/>
        <w:ind w:firstLine="480"/>
        <w:rPr>
          <w:rFonts w:ascii="Times New Roman" w:hAnsi="Times New Roman" w:eastAsia="宋体"/>
          <w:sz w:val="24"/>
          <w:szCs w:val="24"/>
        </w:rPr>
      </w:pPr>
      <w:r>
        <w:rPr>
          <w:rFonts w:hint="eastAsia" w:ascii="Times New Roman" w:hAnsi="Times New Roman" w:eastAsia="宋体"/>
          <w:sz w:val="24"/>
          <w:szCs w:val="24"/>
        </w:rPr>
        <w:t>1、电动自行车充电市民移动端：通过市民移动端，提供移动端充电桩位置分布等便民服务。</w:t>
      </w:r>
    </w:p>
    <w:p w14:paraId="14D7BCD9">
      <w:pPr>
        <w:pStyle w:val="133"/>
        <w:ind w:firstLine="480"/>
        <w:rPr>
          <w:rFonts w:ascii="Times New Roman" w:hAnsi="Times New Roman" w:eastAsia="宋体"/>
          <w:sz w:val="24"/>
          <w:szCs w:val="24"/>
        </w:rPr>
      </w:pPr>
      <w:r>
        <w:rPr>
          <w:rFonts w:hint="eastAsia" w:ascii="Times New Roman" w:hAnsi="Times New Roman" w:eastAsia="宋体"/>
          <w:sz w:val="24"/>
          <w:szCs w:val="24"/>
        </w:rPr>
        <w:t>2、充电桩/电池数据的重点接入及上报：建立全市统一的数据标准，实现充电桩/电池的企业侧相关数据接入及上传，涵盖设施、电池的日常状态及业务订单、预警相关数据，实现自动化的数据提取及采集能力。</w:t>
      </w:r>
    </w:p>
    <w:p w14:paraId="33749432">
      <w:pPr>
        <w:pStyle w:val="133"/>
        <w:ind w:firstLine="480"/>
        <w:rPr>
          <w:rFonts w:ascii="Times New Roman" w:hAnsi="Times New Roman" w:eastAsia="宋体"/>
          <w:sz w:val="24"/>
          <w:szCs w:val="24"/>
        </w:rPr>
      </w:pPr>
      <w:r>
        <w:rPr>
          <w:rFonts w:hint="eastAsia" w:ascii="Times New Roman" w:hAnsi="Times New Roman" w:eastAsia="宋体"/>
          <w:sz w:val="24"/>
          <w:szCs w:val="24"/>
        </w:rPr>
        <w:t>3、充电桩/电池数据治理：针对企业上报的数据，通过加工治理核验等多个环节，形成较高质量数据产出能力，为后续管理提供数据支撑。</w:t>
      </w:r>
    </w:p>
    <w:p w14:paraId="1A6600F5">
      <w:pPr>
        <w:pStyle w:val="133"/>
        <w:ind w:firstLine="480"/>
        <w:rPr>
          <w:rFonts w:ascii="Times New Roman" w:hAnsi="Times New Roman" w:eastAsia="宋体"/>
          <w:sz w:val="24"/>
          <w:szCs w:val="24"/>
        </w:rPr>
      </w:pPr>
      <w:r>
        <w:rPr>
          <w:rFonts w:hint="eastAsia" w:ascii="Times New Roman" w:hAnsi="Times New Roman" w:eastAsia="宋体"/>
          <w:sz w:val="24"/>
          <w:szCs w:val="24"/>
        </w:rPr>
        <w:t>4、充电设施建设与运营服务监管：整合充电设施分布点位、运行状态、预警监测、用电成本等运营数据，构建多维度监管平台。实现安全隐患排查、运营成本分析等功能的集中管理。</w:t>
      </w:r>
    </w:p>
    <w:p w14:paraId="563F72B9">
      <w:pPr>
        <w:pStyle w:val="133"/>
        <w:ind w:firstLine="480"/>
        <w:rPr>
          <w:rFonts w:ascii="Times New Roman" w:hAnsi="Times New Roman" w:eastAsia="宋体"/>
          <w:sz w:val="24"/>
          <w:szCs w:val="24"/>
        </w:rPr>
      </w:pPr>
      <w:r>
        <w:rPr>
          <w:rFonts w:hint="eastAsia" w:ascii="Times New Roman" w:hAnsi="Times New Roman" w:eastAsia="宋体"/>
          <w:sz w:val="24"/>
          <w:szCs w:val="24"/>
        </w:rPr>
        <w:t>5、充电设施数字孪生实时监测预警示范应用：建设充电设施数字孪生示范点，通过物联感知、视频监控等多模态数据融合，实现实时监测风险。</w:t>
      </w:r>
    </w:p>
    <w:p w14:paraId="5B20F421">
      <w:pPr>
        <w:pStyle w:val="133"/>
        <w:ind w:firstLine="480"/>
        <w:rPr>
          <w:rFonts w:ascii="Times New Roman" w:hAnsi="Times New Roman" w:eastAsia="宋体"/>
          <w:sz w:val="24"/>
          <w:szCs w:val="24"/>
        </w:rPr>
      </w:pPr>
      <w:r>
        <w:rPr>
          <w:rFonts w:hint="eastAsia" w:ascii="Times New Roman" w:hAnsi="Times New Roman" w:eastAsia="宋体"/>
          <w:sz w:val="24"/>
          <w:szCs w:val="24"/>
        </w:rPr>
        <w:t>6、建设电动自行车扫牌查证应用：通过识别车牌号查验电动自行车排查填报、牌照（登记、电池、所属街镇）等信息，赋能电动自行车现场核查。</w:t>
      </w:r>
    </w:p>
    <w:p w14:paraId="1A42766C">
      <w:pPr>
        <w:pStyle w:val="2"/>
        <w:ind w:left="-2" w:leftChars="-1" w:firstLine="1"/>
        <w:rPr>
          <w:rFonts w:ascii="Times New Roman" w:hAnsi="Times New Roman"/>
        </w:rPr>
      </w:pPr>
      <w:bookmarkStart w:id="11" w:name="_Toc47533288"/>
      <w:bookmarkEnd w:id="11"/>
      <w:bookmarkStart w:id="12" w:name="_Toc47532923"/>
      <w:bookmarkEnd w:id="12"/>
      <w:bookmarkStart w:id="13" w:name="_Toc47536676"/>
      <w:bookmarkEnd w:id="13"/>
      <w:bookmarkStart w:id="14" w:name="_Toc47536304"/>
      <w:bookmarkEnd w:id="14"/>
      <w:bookmarkStart w:id="15" w:name="_Toc47539102"/>
      <w:bookmarkEnd w:id="15"/>
      <w:bookmarkStart w:id="16" w:name="_Toc47537166"/>
      <w:bookmarkEnd w:id="16"/>
      <w:r>
        <w:rPr>
          <w:rFonts w:hint="eastAsia" w:ascii="Times New Roman" w:hAnsi="Times New Roman"/>
        </w:rPr>
        <w:t>项目建设内容</w:t>
      </w:r>
    </w:p>
    <w:p w14:paraId="02C5DE50">
      <w:pPr>
        <w:pStyle w:val="4"/>
        <w:ind w:left="1" w:hanging="1"/>
        <w:rPr>
          <w:rFonts w:ascii="Times New Roman" w:hAnsi="Times New Roman"/>
        </w:rPr>
      </w:pPr>
      <w:r>
        <w:rPr>
          <w:rFonts w:hint="eastAsia" w:ascii="Times New Roman" w:hAnsi="Times New Roman"/>
        </w:rPr>
        <w:t>建设内容概述</w:t>
      </w:r>
    </w:p>
    <w:p w14:paraId="7BEE44B4">
      <w:pPr>
        <w:pStyle w:val="133"/>
        <w:ind w:firstLine="480"/>
        <w:rPr>
          <w:rFonts w:ascii="Times New Roman" w:hAnsi="Times New Roman" w:eastAsia="宋体"/>
          <w:sz w:val="24"/>
          <w:szCs w:val="24"/>
        </w:rPr>
      </w:pPr>
      <w:r>
        <w:rPr>
          <w:rFonts w:hint="eastAsia" w:ascii="Times New Roman" w:hAnsi="Times New Roman" w:eastAsia="宋体"/>
          <w:sz w:val="24"/>
          <w:szCs w:val="24"/>
        </w:rPr>
        <w:t>根据本项目建设目标，拆建后本期建设内容包括如下：</w:t>
      </w:r>
    </w:p>
    <w:p w14:paraId="7ECE9C95">
      <w:pPr>
        <w:pStyle w:val="133"/>
        <w:ind w:firstLine="480"/>
        <w:rPr>
          <w:rFonts w:ascii="Times New Roman" w:hAnsi="Times New Roman" w:eastAsia="宋体"/>
          <w:sz w:val="24"/>
          <w:szCs w:val="24"/>
        </w:rPr>
      </w:pPr>
      <w:r>
        <w:rPr>
          <w:rFonts w:hint="eastAsia" w:ascii="Times New Roman" w:hAnsi="Times New Roman" w:eastAsia="宋体"/>
          <w:sz w:val="24"/>
          <w:szCs w:val="24"/>
        </w:rPr>
        <w:t>（1）建设充电设施建设与安全态势分析</w:t>
      </w:r>
    </w:p>
    <w:p w14:paraId="575A0653">
      <w:pPr>
        <w:pStyle w:val="133"/>
        <w:ind w:firstLine="480"/>
        <w:rPr>
          <w:rFonts w:ascii="Times New Roman" w:hAnsi="Times New Roman" w:eastAsia="宋体"/>
          <w:sz w:val="24"/>
          <w:szCs w:val="24"/>
        </w:rPr>
      </w:pPr>
      <w:r>
        <w:rPr>
          <w:rFonts w:hint="eastAsia" w:ascii="Times New Roman" w:hAnsi="Times New Roman" w:eastAsia="宋体"/>
          <w:sz w:val="24"/>
          <w:szCs w:val="24"/>
        </w:rPr>
        <w:t>建设充电设施运营安全态势数据接入、汇聚、融合、分析应用，将全市相关设施基础信息、均衡分布情况，充换电安全状态、价费分离情况等数据进行融合分析，为提升充换电设施安全管理效能和精细化水平提供数据赋能支撑。</w:t>
      </w:r>
    </w:p>
    <w:p w14:paraId="33B18448">
      <w:pPr>
        <w:pStyle w:val="133"/>
        <w:ind w:firstLine="480"/>
        <w:rPr>
          <w:rFonts w:ascii="Times New Roman" w:hAnsi="Times New Roman" w:eastAsia="宋体"/>
          <w:sz w:val="24"/>
          <w:szCs w:val="24"/>
        </w:rPr>
      </w:pPr>
      <w:r>
        <w:rPr>
          <w:rFonts w:hint="eastAsia" w:ascii="Times New Roman" w:hAnsi="Times New Roman" w:eastAsia="宋体"/>
          <w:sz w:val="24"/>
          <w:szCs w:val="24"/>
        </w:rPr>
        <w:t>（2）建设充电设施数字孪生安全态势感知示范场景</w:t>
      </w:r>
    </w:p>
    <w:p w14:paraId="3C2C87BD">
      <w:pPr>
        <w:pStyle w:val="133"/>
        <w:ind w:firstLine="480"/>
        <w:rPr>
          <w:rFonts w:ascii="Times New Roman" w:hAnsi="Times New Roman" w:eastAsia="宋体"/>
          <w:sz w:val="24"/>
          <w:szCs w:val="24"/>
        </w:rPr>
      </w:pPr>
      <w:r>
        <w:rPr>
          <w:rFonts w:hint="eastAsia" w:ascii="Times New Roman" w:hAnsi="Times New Roman" w:eastAsia="宋体"/>
          <w:sz w:val="24"/>
          <w:szCs w:val="24"/>
        </w:rPr>
        <w:t>建设充换电设施数字孪生示范场景，通过物联感知、视频监控等多模态安全态势数据融合，实现实时监测风险。</w:t>
      </w:r>
    </w:p>
    <w:p w14:paraId="13601F60">
      <w:pPr>
        <w:pStyle w:val="133"/>
        <w:ind w:firstLine="480"/>
        <w:rPr>
          <w:rFonts w:ascii="Times New Roman" w:hAnsi="Times New Roman" w:eastAsia="宋体"/>
          <w:sz w:val="24"/>
          <w:szCs w:val="24"/>
        </w:rPr>
      </w:pPr>
      <w:r>
        <w:rPr>
          <w:rFonts w:hint="eastAsia" w:ascii="Times New Roman" w:hAnsi="Times New Roman" w:eastAsia="宋体"/>
          <w:sz w:val="24"/>
          <w:szCs w:val="24"/>
        </w:rPr>
        <w:t>（3）建设电动自行车充电服务市民移动端</w:t>
      </w:r>
    </w:p>
    <w:p w14:paraId="69A064D0">
      <w:pPr>
        <w:pStyle w:val="133"/>
        <w:ind w:firstLine="480"/>
        <w:rPr>
          <w:rFonts w:ascii="Times New Roman" w:hAnsi="Times New Roman" w:eastAsia="宋体"/>
          <w:sz w:val="24"/>
          <w:szCs w:val="24"/>
        </w:rPr>
      </w:pPr>
      <w:r>
        <w:rPr>
          <w:rFonts w:hint="eastAsia" w:ascii="Times New Roman" w:hAnsi="Times New Roman" w:eastAsia="宋体"/>
          <w:sz w:val="24"/>
          <w:szCs w:val="24"/>
        </w:rPr>
        <w:t>通过市民移动端，提供附近找柜找桩等服务。</w:t>
      </w:r>
    </w:p>
    <w:p w14:paraId="49486F94">
      <w:pPr>
        <w:pStyle w:val="133"/>
        <w:ind w:firstLine="480"/>
        <w:rPr>
          <w:rFonts w:ascii="Times New Roman" w:hAnsi="Times New Roman" w:eastAsia="宋体"/>
          <w:sz w:val="24"/>
          <w:szCs w:val="24"/>
        </w:rPr>
      </w:pPr>
      <w:r>
        <w:rPr>
          <w:rFonts w:hint="eastAsia" w:ascii="Times New Roman" w:hAnsi="Times New Roman" w:eastAsia="宋体"/>
          <w:sz w:val="24"/>
          <w:szCs w:val="24"/>
        </w:rPr>
        <w:t>（4）建设充电设施数据区块链存证取证应用</w:t>
      </w:r>
    </w:p>
    <w:p w14:paraId="7AED6FCE">
      <w:pPr>
        <w:pStyle w:val="133"/>
        <w:ind w:firstLine="480"/>
        <w:rPr>
          <w:rFonts w:ascii="Times New Roman" w:hAnsi="Times New Roman" w:eastAsia="宋体"/>
          <w:sz w:val="24"/>
          <w:szCs w:val="24"/>
        </w:rPr>
      </w:pPr>
      <w:r>
        <w:rPr>
          <w:rFonts w:hint="eastAsia" w:ascii="Times New Roman" w:hAnsi="Times New Roman" w:eastAsia="宋体"/>
          <w:sz w:val="24"/>
          <w:szCs w:val="24"/>
        </w:rPr>
        <w:t>运用智能合约实现电池数据自动上链存证。建设区块链安全监管与数据溯源体系，落实跨部门协同治理与数据共享机制，推进电池生产激活、设备维护、充电订单、异常风险等核心环节的智能合约存证及查询，实现充换电设施数据不可篡改、透明可追溯，支撑监管分析、政务协同及管理。</w:t>
      </w:r>
    </w:p>
    <w:p w14:paraId="01E73963">
      <w:pPr>
        <w:pStyle w:val="133"/>
        <w:ind w:firstLine="480"/>
        <w:rPr>
          <w:rFonts w:ascii="Times New Roman" w:hAnsi="Times New Roman" w:eastAsia="宋体"/>
          <w:sz w:val="24"/>
          <w:szCs w:val="24"/>
        </w:rPr>
      </w:pPr>
      <w:r>
        <w:rPr>
          <w:rFonts w:hint="eastAsia" w:ascii="Times New Roman" w:hAnsi="Times New Roman" w:eastAsia="宋体"/>
          <w:sz w:val="24"/>
          <w:szCs w:val="24"/>
        </w:rPr>
        <w:t>（5）建设电动自行车扫牌查证应用</w:t>
      </w:r>
    </w:p>
    <w:p w14:paraId="1E912EB5">
      <w:pPr>
        <w:pStyle w:val="133"/>
        <w:ind w:firstLine="480"/>
        <w:rPr>
          <w:rFonts w:ascii="Times New Roman" w:hAnsi="Times New Roman" w:eastAsia="宋体"/>
          <w:sz w:val="24"/>
          <w:szCs w:val="24"/>
        </w:rPr>
      </w:pPr>
      <w:r>
        <w:rPr>
          <w:rFonts w:hint="eastAsia" w:ascii="Times New Roman" w:hAnsi="Times New Roman" w:eastAsia="宋体"/>
          <w:sz w:val="24"/>
          <w:szCs w:val="24"/>
        </w:rPr>
        <w:t>运用移动端智能识别算法，通过识别车牌号查验电动自行车排查填报、牌照（登记、电池、所属街镇）等信息，赋能电动自行车现场核查</w:t>
      </w:r>
      <w:r>
        <w:rPr>
          <w:rFonts w:ascii="Times New Roman" w:hAnsi="Times New Roman" w:eastAsia="宋体"/>
          <w:sz w:val="24"/>
          <w:szCs w:val="24"/>
        </w:rPr>
        <w:t>。</w:t>
      </w:r>
    </w:p>
    <w:p w14:paraId="42B9A1E2">
      <w:pPr>
        <w:pStyle w:val="4"/>
        <w:ind w:left="1" w:hanging="1"/>
        <w:rPr>
          <w:rFonts w:ascii="Times New Roman" w:hAnsi="Times New Roman"/>
        </w:rPr>
      </w:pPr>
      <w:r>
        <w:rPr>
          <w:rFonts w:hint="eastAsia" w:ascii="Times New Roman" w:hAnsi="Times New Roman"/>
        </w:rPr>
        <w:t>软件开发需求</w:t>
      </w:r>
    </w:p>
    <w:tbl>
      <w:tblPr>
        <w:tblStyle w:val="38"/>
        <w:tblW w:w="4927" w:type="pct"/>
        <w:jc w:val="center"/>
        <w:tblLayout w:type="autofit"/>
        <w:tblCellMar>
          <w:top w:w="0" w:type="dxa"/>
          <w:left w:w="108" w:type="dxa"/>
          <w:bottom w:w="0" w:type="dxa"/>
          <w:right w:w="108" w:type="dxa"/>
        </w:tblCellMar>
      </w:tblPr>
      <w:tblGrid>
        <w:gridCol w:w="638"/>
        <w:gridCol w:w="849"/>
        <w:gridCol w:w="849"/>
        <w:gridCol w:w="3020"/>
        <w:gridCol w:w="3047"/>
      </w:tblGrid>
      <w:tr w14:paraId="2182DD9D">
        <w:tblPrEx>
          <w:tblCellMar>
            <w:top w:w="0" w:type="dxa"/>
            <w:left w:w="108" w:type="dxa"/>
            <w:bottom w:w="0" w:type="dxa"/>
            <w:right w:w="108" w:type="dxa"/>
          </w:tblCellMar>
        </w:tblPrEx>
        <w:trPr>
          <w:trHeight w:val="746" w:hRule="atLeast"/>
          <w:jc w:val="center"/>
        </w:trPr>
        <w:tc>
          <w:tcPr>
            <w:tcW w:w="380"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66843A8F">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序号</w:t>
            </w:r>
          </w:p>
        </w:tc>
        <w:tc>
          <w:tcPr>
            <w:tcW w:w="505" w:type="pct"/>
            <w:tcBorders>
              <w:top w:val="single" w:color="auto" w:sz="4" w:space="0"/>
              <w:left w:val="nil"/>
              <w:bottom w:val="single" w:color="auto" w:sz="4" w:space="0"/>
              <w:right w:val="single" w:color="auto" w:sz="4" w:space="0"/>
            </w:tcBorders>
            <w:shd w:val="clear" w:color="000000" w:fill="F3F8FC"/>
            <w:noWrap/>
            <w:vAlign w:val="center"/>
          </w:tcPr>
          <w:p w14:paraId="79C76985">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应用系</w:t>
            </w:r>
          </w:p>
          <w:p w14:paraId="722810E5">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统名称</w:t>
            </w:r>
          </w:p>
        </w:tc>
        <w:tc>
          <w:tcPr>
            <w:tcW w:w="505" w:type="pct"/>
            <w:tcBorders>
              <w:top w:val="single" w:color="auto" w:sz="4" w:space="0"/>
              <w:left w:val="nil"/>
              <w:bottom w:val="single" w:color="auto" w:sz="4" w:space="0"/>
              <w:right w:val="single" w:color="auto" w:sz="4" w:space="0"/>
            </w:tcBorders>
            <w:shd w:val="clear" w:color="000000" w:fill="F3F8FC"/>
            <w:noWrap/>
            <w:vAlign w:val="center"/>
          </w:tcPr>
          <w:p w14:paraId="061D0B85">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一级模</w:t>
            </w:r>
          </w:p>
          <w:p w14:paraId="234F9734">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块名称</w:t>
            </w:r>
          </w:p>
        </w:tc>
        <w:tc>
          <w:tcPr>
            <w:tcW w:w="1797" w:type="pct"/>
            <w:tcBorders>
              <w:top w:val="single" w:color="auto" w:sz="4" w:space="0"/>
              <w:left w:val="nil"/>
              <w:bottom w:val="single" w:color="auto" w:sz="4" w:space="0"/>
              <w:right w:val="single" w:color="auto" w:sz="4" w:space="0"/>
            </w:tcBorders>
            <w:shd w:val="clear" w:color="000000" w:fill="F3F8FC"/>
            <w:vAlign w:val="center"/>
          </w:tcPr>
          <w:p w14:paraId="3F686DF9">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二级模块名称</w:t>
            </w:r>
          </w:p>
        </w:tc>
        <w:tc>
          <w:tcPr>
            <w:tcW w:w="1813" w:type="pct"/>
            <w:tcBorders>
              <w:top w:val="single" w:color="auto" w:sz="4" w:space="0"/>
              <w:left w:val="nil"/>
              <w:bottom w:val="single" w:color="auto" w:sz="4" w:space="0"/>
              <w:right w:val="single" w:color="auto" w:sz="4" w:space="0"/>
            </w:tcBorders>
            <w:shd w:val="clear" w:color="000000" w:fill="F3F8FC"/>
            <w:vAlign w:val="center"/>
          </w:tcPr>
          <w:p w14:paraId="244FB942">
            <w:pPr>
              <w:widowControl/>
              <w:spacing w:line="240" w:lineRule="auto"/>
              <w:ind w:firstLine="0" w:firstLineChars="0"/>
              <w:jc w:val="center"/>
              <w:rPr>
                <w:rFonts w:hint="eastAsia" w:cs="宋体"/>
                <w:b/>
                <w:color w:val="000000"/>
                <w:kern w:val="0"/>
                <w:sz w:val="21"/>
                <w:szCs w:val="21"/>
              </w:rPr>
            </w:pPr>
            <w:r>
              <w:rPr>
                <w:rFonts w:hint="eastAsia" w:cs="宋体"/>
                <w:b/>
                <w:color w:val="000000"/>
                <w:kern w:val="0"/>
                <w:sz w:val="21"/>
                <w:szCs w:val="21"/>
              </w:rPr>
              <w:t>模块描述</w:t>
            </w:r>
          </w:p>
        </w:tc>
      </w:tr>
      <w:tr w14:paraId="798B22F1">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47C923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1</w:t>
            </w:r>
          </w:p>
        </w:tc>
        <w:tc>
          <w:tcPr>
            <w:tcW w:w="505" w:type="pct"/>
            <w:vMerge w:val="restart"/>
            <w:tcBorders>
              <w:top w:val="single" w:color="auto" w:sz="4" w:space="0"/>
              <w:left w:val="nil"/>
              <w:right w:val="single" w:color="auto" w:sz="4" w:space="0"/>
            </w:tcBorders>
            <w:shd w:val="clear" w:color="auto" w:fill="FFFFFF"/>
            <w:vAlign w:val="center"/>
          </w:tcPr>
          <w:p w14:paraId="2A0170EA">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上海市电动自行车充换电设施安全监测预警子系统</w:t>
            </w:r>
          </w:p>
        </w:tc>
        <w:tc>
          <w:tcPr>
            <w:tcW w:w="505" w:type="pct"/>
            <w:vMerge w:val="restart"/>
            <w:tcBorders>
              <w:top w:val="single" w:color="auto" w:sz="4" w:space="0"/>
              <w:left w:val="nil"/>
              <w:right w:val="single" w:color="auto" w:sz="4" w:space="0"/>
            </w:tcBorders>
            <w:shd w:val="clear" w:color="auto" w:fill="FFFFFF"/>
            <w:vAlign w:val="center"/>
          </w:tcPr>
          <w:p w14:paraId="1455984D">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充换电设施安全分析（政务侧）</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32C08CE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‌充换电设施基础信息管理移动端-一桩（柜）一档详情信息查询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FEA45F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查看设备信息，关联电池健康评测数据</w:t>
            </w:r>
          </w:p>
        </w:tc>
      </w:tr>
      <w:tr w14:paraId="4E5E77D6">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9C86E4F">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w:t>
            </w:r>
          </w:p>
        </w:tc>
        <w:tc>
          <w:tcPr>
            <w:tcW w:w="505" w:type="pct"/>
            <w:vMerge w:val="continue"/>
            <w:tcBorders>
              <w:left w:val="nil"/>
              <w:right w:val="single" w:color="auto" w:sz="4" w:space="0"/>
            </w:tcBorders>
            <w:shd w:val="clear" w:color="auto" w:fill="FFFFFF"/>
            <w:vAlign w:val="center"/>
          </w:tcPr>
          <w:p w14:paraId="493CC928">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BFDD20F">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3704AB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充换电设施基础信息管理移动端-充换电设施地图展示及分布情况查询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5EF09F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基于GPS定位展示周边充电桩各项信息、均衡分布情况等。</w:t>
            </w:r>
          </w:p>
        </w:tc>
      </w:tr>
      <w:tr w14:paraId="3F333847">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928398A">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w:t>
            </w:r>
          </w:p>
        </w:tc>
        <w:tc>
          <w:tcPr>
            <w:tcW w:w="505" w:type="pct"/>
            <w:vMerge w:val="continue"/>
            <w:tcBorders>
              <w:left w:val="nil"/>
              <w:right w:val="single" w:color="auto" w:sz="4" w:space="0"/>
            </w:tcBorders>
            <w:shd w:val="clear" w:color="auto" w:fill="FFFFFF"/>
            <w:vAlign w:val="center"/>
          </w:tcPr>
          <w:p w14:paraId="37343315">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8987F3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D54A7D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‌充换电设施基础信息管理移动端-充换电设施实时状态信息查询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3B699B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对接数据，实时查询设备信息，支持地图标注与状态筛选。</w:t>
            </w:r>
          </w:p>
        </w:tc>
      </w:tr>
      <w:tr w14:paraId="5BB5060F">
        <w:tblPrEx>
          <w:tblCellMar>
            <w:top w:w="0" w:type="dxa"/>
            <w:left w:w="108" w:type="dxa"/>
            <w:bottom w:w="0" w:type="dxa"/>
            <w:right w:w="108" w:type="dxa"/>
          </w:tblCellMar>
        </w:tblPrEx>
        <w:trPr>
          <w:trHeight w:val="27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B02C3F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4</w:t>
            </w:r>
          </w:p>
        </w:tc>
        <w:tc>
          <w:tcPr>
            <w:tcW w:w="505" w:type="pct"/>
            <w:vMerge w:val="continue"/>
            <w:tcBorders>
              <w:left w:val="nil"/>
              <w:right w:val="single" w:color="auto" w:sz="4" w:space="0"/>
            </w:tcBorders>
            <w:shd w:val="clear" w:color="auto" w:fill="FFFFFF"/>
            <w:vAlign w:val="center"/>
          </w:tcPr>
          <w:p w14:paraId="2424180C">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17BB44E0">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64E07E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‌充换电设施基础信息管理移动端-充换电设施运营企业信息查询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A925AD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通过企业营业执照</w:t>
            </w:r>
            <w:r>
              <w:rPr>
                <w:rFonts w:cs="宋体"/>
                <w:color w:val="000000"/>
                <w:kern w:val="0"/>
                <w:sz w:val="21"/>
                <w:szCs w:val="21"/>
              </w:rPr>
              <w:t>/设备铭牌</w:t>
            </w:r>
            <w:r>
              <w:rPr>
                <w:rFonts w:hint="eastAsia" w:cs="宋体"/>
                <w:color w:val="000000"/>
                <w:kern w:val="0"/>
                <w:sz w:val="21"/>
                <w:szCs w:val="21"/>
              </w:rPr>
              <w:t>信息，可查询运营资质状态、企业运营信息。</w:t>
            </w:r>
          </w:p>
        </w:tc>
      </w:tr>
      <w:tr w14:paraId="4A9328B4">
        <w:tblPrEx>
          <w:tblCellMar>
            <w:top w:w="0" w:type="dxa"/>
            <w:left w:w="108" w:type="dxa"/>
            <w:bottom w:w="0" w:type="dxa"/>
            <w:right w:w="108" w:type="dxa"/>
          </w:tblCellMar>
        </w:tblPrEx>
        <w:trPr>
          <w:trHeight w:val="322"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AB660C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5</w:t>
            </w:r>
          </w:p>
        </w:tc>
        <w:tc>
          <w:tcPr>
            <w:tcW w:w="505" w:type="pct"/>
            <w:vMerge w:val="continue"/>
            <w:tcBorders>
              <w:left w:val="nil"/>
              <w:right w:val="single" w:color="auto" w:sz="4" w:space="0"/>
            </w:tcBorders>
            <w:shd w:val="clear" w:color="auto" w:fill="FFFFFF"/>
            <w:vAlign w:val="center"/>
          </w:tcPr>
          <w:p w14:paraId="51AB0795">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94ECAC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EC6F4F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‌充换电设施基础信息管理移动端-充换电设施经营企业保单数据查询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1B1519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可查看企业保单信息。</w:t>
            </w:r>
          </w:p>
        </w:tc>
      </w:tr>
      <w:tr w14:paraId="5261FEEB">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A8D52FE">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6</w:t>
            </w:r>
          </w:p>
        </w:tc>
        <w:tc>
          <w:tcPr>
            <w:tcW w:w="505" w:type="pct"/>
            <w:vMerge w:val="continue"/>
            <w:tcBorders>
              <w:left w:val="nil"/>
              <w:right w:val="single" w:color="auto" w:sz="4" w:space="0"/>
            </w:tcBorders>
            <w:shd w:val="clear" w:color="auto" w:fill="FFFFFF"/>
            <w:vAlign w:val="center"/>
          </w:tcPr>
          <w:p w14:paraId="6AB58654">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0EF3D39">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50CA57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‌充换电设施基础信息管理移动端-充换电设施品牌企业产品质检报告查询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133FC4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通过质检报告模块查询不同产品型号对应的质检报告。</w:t>
            </w:r>
          </w:p>
        </w:tc>
      </w:tr>
      <w:tr w14:paraId="37CC42FB">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47D5005">
            <w:pPr>
              <w:widowControl/>
              <w:spacing w:line="240" w:lineRule="auto"/>
              <w:ind w:firstLine="0" w:firstLineChars="0"/>
              <w:jc w:val="center"/>
              <w:rPr>
                <w:rFonts w:hint="eastAsia" w:cs="宋体"/>
                <w:color w:val="000000"/>
                <w:sz w:val="21"/>
                <w:szCs w:val="21"/>
              </w:rPr>
            </w:pPr>
            <w:r>
              <w:rPr>
                <w:rFonts w:hint="eastAsia" w:cs="宋体"/>
                <w:color w:val="000000"/>
                <w:sz w:val="21"/>
                <w:szCs w:val="21"/>
              </w:rPr>
              <w:t>7</w:t>
            </w:r>
          </w:p>
        </w:tc>
        <w:tc>
          <w:tcPr>
            <w:tcW w:w="505" w:type="pct"/>
            <w:vMerge w:val="continue"/>
            <w:tcBorders>
              <w:left w:val="nil"/>
              <w:right w:val="single" w:color="auto" w:sz="4" w:space="0"/>
            </w:tcBorders>
            <w:shd w:val="clear" w:color="auto" w:fill="FFFFFF"/>
            <w:vAlign w:val="center"/>
          </w:tcPr>
          <w:p w14:paraId="267390B5">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A832EC5">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55A60C3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充换电设施基础信息管理移动端-车牌智能识别车辆、车主及相关信息查询及督查信息备忘录记录</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E2E785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查询被识别车牌号相关的车辆信息</w:t>
            </w:r>
            <w:r>
              <w:rPr>
                <w:rFonts w:hint="eastAsia" w:cs="宋体"/>
                <w:color w:val="FF0000"/>
                <w:kern w:val="0"/>
                <w:sz w:val="21"/>
                <w:szCs w:val="21"/>
              </w:rPr>
              <w:t>。</w:t>
            </w:r>
          </w:p>
        </w:tc>
      </w:tr>
      <w:tr w14:paraId="421391B3">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2325DB1">
            <w:pPr>
              <w:widowControl/>
              <w:spacing w:line="240" w:lineRule="auto"/>
              <w:ind w:firstLine="0" w:firstLineChars="0"/>
              <w:jc w:val="center"/>
              <w:rPr>
                <w:rFonts w:hint="eastAsia" w:cs="宋体"/>
                <w:color w:val="000000"/>
                <w:sz w:val="21"/>
                <w:szCs w:val="21"/>
              </w:rPr>
            </w:pPr>
            <w:r>
              <w:rPr>
                <w:rFonts w:hint="eastAsia" w:cs="宋体"/>
                <w:color w:val="000000"/>
                <w:sz w:val="21"/>
                <w:szCs w:val="21"/>
              </w:rPr>
              <w:t>8</w:t>
            </w:r>
          </w:p>
        </w:tc>
        <w:tc>
          <w:tcPr>
            <w:tcW w:w="505" w:type="pct"/>
            <w:vMerge w:val="continue"/>
            <w:tcBorders>
              <w:left w:val="nil"/>
              <w:right w:val="single" w:color="auto" w:sz="4" w:space="0"/>
            </w:tcBorders>
            <w:shd w:val="clear" w:color="auto" w:fill="FFFFFF"/>
            <w:vAlign w:val="center"/>
          </w:tcPr>
          <w:p w14:paraId="51412638">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B6400C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567F4C6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充换电设施基础信息管理PC端-电动自行车一桩一档</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CA2F16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为每个充电桩建立唯一电子档案。</w:t>
            </w:r>
          </w:p>
        </w:tc>
      </w:tr>
      <w:tr w14:paraId="3AF7C770">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3C949FC">
            <w:pPr>
              <w:widowControl/>
              <w:spacing w:line="240" w:lineRule="auto"/>
              <w:ind w:firstLine="0" w:firstLineChars="0"/>
              <w:jc w:val="center"/>
              <w:rPr>
                <w:rFonts w:hint="eastAsia" w:cs="宋体"/>
                <w:color w:val="000000"/>
                <w:sz w:val="21"/>
                <w:szCs w:val="21"/>
              </w:rPr>
            </w:pPr>
            <w:r>
              <w:rPr>
                <w:rFonts w:hint="eastAsia" w:cs="宋体"/>
                <w:color w:val="000000"/>
                <w:sz w:val="21"/>
                <w:szCs w:val="21"/>
              </w:rPr>
              <w:t>9</w:t>
            </w:r>
          </w:p>
        </w:tc>
        <w:tc>
          <w:tcPr>
            <w:tcW w:w="505" w:type="pct"/>
            <w:vMerge w:val="continue"/>
            <w:tcBorders>
              <w:left w:val="nil"/>
              <w:right w:val="single" w:color="auto" w:sz="4" w:space="0"/>
            </w:tcBorders>
            <w:shd w:val="clear" w:color="auto" w:fill="FFFFFF"/>
            <w:vAlign w:val="center"/>
          </w:tcPr>
          <w:p w14:paraId="5C2806BC">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697515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61901F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充换电设施基础信息管理PC端-电动自行车充换电网点</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86CA4B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管理不同载体区域的设备网点信息，并可筛选。</w:t>
            </w:r>
          </w:p>
        </w:tc>
      </w:tr>
      <w:tr w14:paraId="6B96D354">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EAAEE0D">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10</w:t>
            </w:r>
          </w:p>
        </w:tc>
        <w:tc>
          <w:tcPr>
            <w:tcW w:w="505" w:type="pct"/>
            <w:vMerge w:val="continue"/>
            <w:tcBorders>
              <w:left w:val="nil"/>
              <w:right w:val="single" w:color="auto" w:sz="4" w:space="0"/>
            </w:tcBorders>
            <w:shd w:val="clear" w:color="auto" w:fill="FFFFFF"/>
            <w:vAlign w:val="center"/>
          </w:tcPr>
          <w:p w14:paraId="0E7B44D0">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A0B9C1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A7088A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‌充换电设施基础信息管理PC端-电动自行车充电桩/换电柜设备柜口/端口信息</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A376E7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管理充电桩编号、功率、占用信息。</w:t>
            </w:r>
          </w:p>
        </w:tc>
      </w:tr>
      <w:tr w14:paraId="37718A04">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4362B83">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11</w:t>
            </w:r>
          </w:p>
        </w:tc>
        <w:tc>
          <w:tcPr>
            <w:tcW w:w="505" w:type="pct"/>
            <w:vMerge w:val="continue"/>
            <w:tcBorders>
              <w:left w:val="nil"/>
              <w:right w:val="single" w:color="auto" w:sz="4" w:space="0"/>
            </w:tcBorders>
            <w:shd w:val="clear" w:color="auto" w:fill="FFFFFF"/>
            <w:vAlign w:val="center"/>
          </w:tcPr>
          <w:p w14:paraId="7D300CF0">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76D56EA">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8AC0F1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充换电设施基础信息管理PC端-电动自行车充/换电订单信息</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BCB0AF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提取设施订单数据。支持查阅及管理。</w:t>
            </w:r>
          </w:p>
        </w:tc>
      </w:tr>
      <w:tr w14:paraId="10F385AA">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9C889E8">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12</w:t>
            </w:r>
          </w:p>
        </w:tc>
        <w:tc>
          <w:tcPr>
            <w:tcW w:w="505" w:type="pct"/>
            <w:vMerge w:val="continue"/>
            <w:tcBorders>
              <w:left w:val="nil"/>
              <w:right w:val="single" w:color="auto" w:sz="4" w:space="0"/>
            </w:tcBorders>
            <w:shd w:val="clear" w:color="auto" w:fill="FFFFFF"/>
            <w:vAlign w:val="center"/>
          </w:tcPr>
          <w:p w14:paraId="3D5F4393">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AB0446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73C1F3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充换电设施基础信息管理PC端-价费分离现状获取信息管理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8877DD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获取和管理各街镇、区价费分离情况数据。</w:t>
            </w:r>
          </w:p>
        </w:tc>
      </w:tr>
      <w:tr w14:paraId="0E1669DC">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95B7517">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13</w:t>
            </w:r>
          </w:p>
        </w:tc>
        <w:tc>
          <w:tcPr>
            <w:tcW w:w="505" w:type="pct"/>
            <w:vMerge w:val="continue"/>
            <w:tcBorders>
              <w:left w:val="nil"/>
              <w:right w:val="single" w:color="auto" w:sz="4" w:space="0"/>
            </w:tcBorders>
            <w:shd w:val="clear" w:color="auto" w:fill="FFFFFF"/>
            <w:vAlign w:val="center"/>
          </w:tcPr>
          <w:p w14:paraId="74A7E53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8127F5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8AB5A1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充换电设施基础信息管理PC端-价费分离融合分析</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0ACBE8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融合分析价费分离数据和订单信息数据，形成收费情况统计表</w:t>
            </w:r>
          </w:p>
        </w:tc>
      </w:tr>
      <w:tr w14:paraId="50AC6B1D">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CE7D978">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14</w:t>
            </w:r>
          </w:p>
        </w:tc>
        <w:tc>
          <w:tcPr>
            <w:tcW w:w="505" w:type="pct"/>
            <w:vMerge w:val="continue"/>
            <w:tcBorders>
              <w:left w:val="nil"/>
              <w:right w:val="single" w:color="auto" w:sz="4" w:space="0"/>
            </w:tcBorders>
            <w:shd w:val="clear" w:color="auto" w:fill="FFFFFF"/>
            <w:vAlign w:val="center"/>
          </w:tcPr>
          <w:p w14:paraId="358E7B14">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61487B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CA7E62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‌充换电设施基础信息管理PC端-现场监控设备接入及调取播放</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034479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接入充电场所视频监控，可调取播放监控资源。</w:t>
            </w:r>
          </w:p>
        </w:tc>
      </w:tr>
      <w:tr w14:paraId="5A716684">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19614E6">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505" w:type="pct"/>
            <w:vMerge w:val="continue"/>
            <w:tcBorders>
              <w:left w:val="nil"/>
              <w:right w:val="single" w:color="auto" w:sz="4" w:space="0"/>
            </w:tcBorders>
            <w:shd w:val="clear" w:color="auto" w:fill="FFFFFF"/>
            <w:vAlign w:val="center"/>
          </w:tcPr>
          <w:p w14:paraId="75AC7B7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509821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8D1578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‌充换电设施安全态势分析及管理PC端（市、区、街三级赋能）-网点、点位区域业态、充换电设施信息统计分析管理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218549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网点、点位区域业态、充换电设施信息统计分析管理 以区域及点位为核心进行统计分析，支持多级权限控制。</w:t>
            </w:r>
          </w:p>
        </w:tc>
      </w:tr>
      <w:tr w14:paraId="50BF0DED">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B76AAFF">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16</w:t>
            </w:r>
          </w:p>
        </w:tc>
        <w:tc>
          <w:tcPr>
            <w:tcW w:w="505" w:type="pct"/>
            <w:vMerge w:val="continue"/>
            <w:tcBorders>
              <w:left w:val="nil"/>
              <w:right w:val="single" w:color="auto" w:sz="4" w:space="0"/>
            </w:tcBorders>
            <w:shd w:val="clear" w:color="auto" w:fill="FFFFFF"/>
            <w:vAlign w:val="center"/>
          </w:tcPr>
          <w:p w14:paraId="228AD8B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3A7F94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E12359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充换电设施安全态势分析及管理PC端（市、区、街三级赋能）-企业运营状态分析及统计管理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B9EA8D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展示运营商企业登记数量结果，结合企业维度进行分析。</w:t>
            </w:r>
          </w:p>
        </w:tc>
      </w:tr>
      <w:tr w14:paraId="31734863">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C86192F">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17</w:t>
            </w:r>
          </w:p>
        </w:tc>
        <w:tc>
          <w:tcPr>
            <w:tcW w:w="505" w:type="pct"/>
            <w:vMerge w:val="continue"/>
            <w:tcBorders>
              <w:left w:val="nil"/>
              <w:right w:val="single" w:color="auto" w:sz="4" w:space="0"/>
            </w:tcBorders>
            <w:shd w:val="clear" w:color="auto" w:fill="FFFFFF"/>
            <w:vAlign w:val="center"/>
          </w:tcPr>
          <w:p w14:paraId="4F8102FB">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35C2809">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178945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充换电设施安全态势分析及管理PC端（市、区、街三级赋能）-设备设施风险分析</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9E0D5B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提供风险分析信息列表，按照市、区、街镇三级进行信息分发共享。</w:t>
            </w:r>
          </w:p>
        </w:tc>
      </w:tr>
      <w:tr w14:paraId="15F7FBA2">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EACCA51">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505" w:type="pct"/>
            <w:vMerge w:val="continue"/>
            <w:tcBorders>
              <w:left w:val="nil"/>
              <w:right w:val="single" w:color="auto" w:sz="4" w:space="0"/>
            </w:tcBorders>
            <w:shd w:val="clear" w:color="auto" w:fill="FFFFFF"/>
            <w:vAlign w:val="center"/>
          </w:tcPr>
          <w:p w14:paraId="35DA62C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160C9F4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D47FE1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充换电设施安全态势分析及管理PC端（市、区、街三级赋能）-充换电设施风险分析规则、算法管理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DECF17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管理风险分析规则及算法。</w:t>
            </w:r>
          </w:p>
        </w:tc>
      </w:tr>
      <w:tr w14:paraId="1586E10B">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57D3F6E">
            <w:pPr>
              <w:widowControl/>
              <w:spacing w:line="240" w:lineRule="auto"/>
              <w:ind w:firstLine="0" w:firstLineChars="0"/>
              <w:jc w:val="center"/>
              <w:rPr>
                <w:rFonts w:hint="eastAsia" w:cs="宋体"/>
                <w:color w:val="000000"/>
                <w:sz w:val="21"/>
                <w:szCs w:val="21"/>
              </w:rPr>
            </w:pPr>
            <w:r>
              <w:rPr>
                <w:rFonts w:hint="eastAsia" w:cs="宋体"/>
                <w:color w:val="000000"/>
                <w:sz w:val="21"/>
                <w:szCs w:val="21"/>
              </w:rPr>
              <w:t>19</w:t>
            </w:r>
          </w:p>
        </w:tc>
        <w:tc>
          <w:tcPr>
            <w:tcW w:w="505" w:type="pct"/>
            <w:vMerge w:val="continue"/>
            <w:tcBorders>
              <w:left w:val="nil"/>
              <w:right w:val="single" w:color="auto" w:sz="4" w:space="0"/>
            </w:tcBorders>
            <w:shd w:val="clear" w:color="auto" w:fill="FFFFFF"/>
            <w:vAlign w:val="center"/>
          </w:tcPr>
          <w:p w14:paraId="10F7470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96D099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715160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充换电设施安全态势分析及管理PC端（市、区、街三级赋能）-电池健康检测分析-‌多维度健康风险评估及建议管理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EFC063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实时监测充电数据，动态计算健康指数，分级预警。</w:t>
            </w:r>
          </w:p>
        </w:tc>
      </w:tr>
      <w:tr w14:paraId="131E5F67">
        <w:tblPrEx>
          <w:tblCellMar>
            <w:top w:w="0" w:type="dxa"/>
            <w:left w:w="108" w:type="dxa"/>
            <w:bottom w:w="0" w:type="dxa"/>
            <w:right w:w="108" w:type="dxa"/>
          </w:tblCellMar>
        </w:tblPrEx>
        <w:trPr>
          <w:trHeight w:val="2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27428E7">
            <w:pPr>
              <w:widowControl/>
              <w:spacing w:line="240" w:lineRule="auto"/>
              <w:ind w:firstLine="0" w:firstLineChars="0"/>
              <w:jc w:val="center"/>
              <w:rPr>
                <w:rFonts w:hint="eastAsia" w:cs="宋体"/>
                <w:color w:val="000000"/>
                <w:sz w:val="21"/>
                <w:szCs w:val="21"/>
              </w:rPr>
            </w:pPr>
            <w:r>
              <w:rPr>
                <w:rFonts w:hint="eastAsia" w:cs="宋体"/>
                <w:color w:val="000000"/>
                <w:sz w:val="21"/>
                <w:szCs w:val="21"/>
              </w:rPr>
              <w:t>20</w:t>
            </w:r>
          </w:p>
        </w:tc>
        <w:tc>
          <w:tcPr>
            <w:tcW w:w="505" w:type="pct"/>
            <w:vMerge w:val="continue"/>
            <w:tcBorders>
              <w:left w:val="nil"/>
              <w:right w:val="single" w:color="auto" w:sz="4" w:space="0"/>
            </w:tcBorders>
            <w:shd w:val="clear" w:color="auto" w:fill="FFFFFF"/>
            <w:vAlign w:val="center"/>
          </w:tcPr>
          <w:p w14:paraId="6D5211D0">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08247F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11045E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充换电设施安全态势分析及管理PC端（市、区、街三级赋能）-设备离线判定分析算法及阈值参数管理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08572B2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结合设备多项参数判断设备的在线情况，支持调整阈值参数。</w:t>
            </w:r>
          </w:p>
        </w:tc>
      </w:tr>
      <w:tr w14:paraId="16027458">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F3EBC6A">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21</w:t>
            </w:r>
          </w:p>
        </w:tc>
        <w:tc>
          <w:tcPr>
            <w:tcW w:w="505" w:type="pct"/>
            <w:vMerge w:val="continue"/>
            <w:tcBorders>
              <w:left w:val="nil"/>
              <w:right w:val="single" w:color="auto" w:sz="4" w:space="0"/>
            </w:tcBorders>
            <w:shd w:val="clear" w:color="auto" w:fill="FFFFFF"/>
            <w:vAlign w:val="center"/>
          </w:tcPr>
          <w:p w14:paraId="74CEDCFF">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F012AD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AD4860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充换电设施安全态势分析及管理PC端（市、区、街三级赋能）-大功率电瓶判定分析算法及阈值参数管理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6271FF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分析并判断电池是否属于大功率电池，支持调整阈值参数。</w:t>
            </w:r>
          </w:p>
        </w:tc>
      </w:tr>
      <w:tr w14:paraId="468ABD6E">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736021F">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22</w:t>
            </w:r>
          </w:p>
        </w:tc>
        <w:tc>
          <w:tcPr>
            <w:tcW w:w="505" w:type="pct"/>
            <w:vMerge w:val="continue"/>
            <w:tcBorders>
              <w:left w:val="nil"/>
              <w:right w:val="single" w:color="auto" w:sz="4" w:space="0"/>
            </w:tcBorders>
            <w:shd w:val="clear" w:color="auto" w:fill="FFFFFF"/>
            <w:vAlign w:val="center"/>
          </w:tcPr>
          <w:p w14:paraId="6DFC5B44">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5463139">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0DB126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充换电设施安全态势分析及管理PC端（市、区、街三级赋能）-充换电设施及电池极端情况判定分析算法及阈值参数管理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F5CCF5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分析判断充电过程中发生的极端情况，支持调整判断阈值。</w:t>
            </w:r>
          </w:p>
        </w:tc>
      </w:tr>
      <w:tr w14:paraId="669321E2">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391FEB9">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23</w:t>
            </w:r>
          </w:p>
        </w:tc>
        <w:tc>
          <w:tcPr>
            <w:tcW w:w="505" w:type="pct"/>
            <w:vMerge w:val="continue"/>
            <w:tcBorders>
              <w:left w:val="nil"/>
              <w:right w:val="single" w:color="auto" w:sz="4" w:space="0"/>
            </w:tcBorders>
            <w:shd w:val="clear" w:color="auto" w:fill="FFFFFF"/>
            <w:vAlign w:val="center"/>
          </w:tcPr>
          <w:p w14:paraId="22E5F04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A3F8AF0">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2C20D6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充换电设施大屏端综合看板-市充换电设施安全态势信息体征看板</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0988F7B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展示工作进展、问题清单、责任单位等信息，提供数据统计等功能。</w:t>
            </w:r>
          </w:p>
        </w:tc>
      </w:tr>
      <w:tr w14:paraId="45405C88">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587BA1D">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24</w:t>
            </w:r>
          </w:p>
        </w:tc>
        <w:tc>
          <w:tcPr>
            <w:tcW w:w="505" w:type="pct"/>
            <w:vMerge w:val="continue"/>
            <w:tcBorders>
              <w:left w:val="nil"/>
              <w:right w:val="single" w:color="auto" w:sz="4" w:space="0"/>
            </w:tcBorders>
            <w:shd w:val="clear" w:color="auto" w:fill="FFFFFF"/>
            <w:vAlign w:val="center"/>
          </w:tcPr>
          <w:p w14:paraId="32FBAA4D">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BC1158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964AA4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充换电设施大屏端综合看板-基层赋能-区充换电设施安全态势信息体征看板</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5E60AF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展示工作进展、问题清单、责任单位等信息，实时监测与分析安全隐患。</w:t>
            </w:r>
          </w:p>
        </w:tc>
      </w:tr>
      <w:tr w14:paraId="69D70EE3">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12AB854">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25</w:t>
            </w:r>
          </w:p>
        </w:tc>
        <w:tc>
          <w:tcPr>
            <w:tcW w:w="505" w:type="pct"/>
            <w:vMerge w:val="continue"/>
            <w:tcBorders>
              <w:left w:val="nil"/>
              <w:right w:val="single" w:color="auto" w:sz="4" w:space="0"/>
            </w:tcBorders>
            <w:shd w:val="clear" w:color="auto" w:fill="FFFFFF"/>
            <w:vAlign w:val="center"/>
          </w:tcPr>
          <w:p w14:paraId="6EEE501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782AF69">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B90262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充换电设施大屏端综合看板-基层赋能-街镇充换电设施安全态势信息体征看板</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413E22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展示辖区内充电设施整治情况，实时监测与分析安全隐患。</w:t>
            </w:r>
          </w:p>
        </w:tc>
      </w:tr>
      <w:tr w14:paraId="6F675ECB">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A6300D0">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26</w:t>
            </w:r>
          </w:p>
        </w:tc>
        <w:tc>
          <w:tcPr>
            <w:tcW w:w="505" w:type="pct"/>
            <w:vMerge w:val="continue"/>
            <w:tcBorders>
              <w:left w:val="nil"/>
              <w:right w:val="single" w:color="auto" w:sz="4" w:space="0"/>
            </w:tcBorders>
            <w:shd w:val="clear" w:color="auto" w:fill="FFFFFF"/>
            <w:vAlign w:val="center"/>
          </w:tcPr>
          <w:p w14:paraId="43233069">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380507EF">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40E22D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充换电设施大屏端综合看板-充换电收费规范性数据看板</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D5C0CE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分析汇总收费规范数据，统计不合规收费情况，标注违规收费点位。</w:t>
            </w:r>
          </w:p>
        </w:tc>
      </w:tr>
      <w:tr w14:paraId="0D33CCA9">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BAC7506">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27</w:t>
            </w:r>
          </w:p>
        </w:tc>
        <w:tc>
          <w:tcPr>
            <w:tcW w:w="505" w:type="pct"/>
            <w:vMerge w:val="continue"/>
            <w:tcBorders>
              <w:left w:val="nil"/>
              <w:right w:val="single" w:color="auto" w:sz="4" w:space="0"/>
            </w:tcBorders>
            <w:shd w:val="clear" w:color="auto" w:fill="FFFFFF"/>
            <w:vAlign w:val="center"/>
          </w:tcPr>
          <w:p w14:paraId="52125AF1">
            <w:pPr>
              <w:widowControl/>
              <w:spacing w:line="240" w:lineRule="auto"/>
              <w:ind w:firstLine="0" w:firstLineChars="0"/>
              <w:jc w:val="center"/>
              <w:rPr>
                <w:rFonts w:hint="eastAsia" w:cs="宋体"/>
                <w:color w:val="000000"/>
                <w:kern w:val="0"/>
                <w:sz w:val="21"/>
                <w:szCs w:val="21"/>
              </w:rPr>
            </w:pPr>
          </w:p>
        </w:tc>
        <w:tc>
          <w:tcPr>
            <w:tcW w:w="505" w:type="pct"/>
            <w:vMerge w:val="restart"/>
            <w:tcBorders>
              <w:top w:val="single" w:color="auto" w:sz="4" w:space="0"/>
              <w:left w:val="nil"/>
              <w:right w:val="single" w:color="auto" w:sz="4" w:space="0"/>
            </w:tcBorders>
            <w:shd w:val="clear" w:color="auto" w:fill="FFFFFF"/>
            <w:vAlign w:val="center"/>
          </w:tcPr>
          <w:p w14:paraId="2537C1D2">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充换电设施市民服务（市民侧）</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671348D6">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市民服务移动端-地图服务-电动自行车电池检测、维修门店网点查询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9DE38B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基于LBS定位推荐附近检测网点，展示服务时间、收费标准。</w:t>
            </w:r>
          </w:p>
        </w:tc>
      </w:tr>
      <w:tr w14:paraId="27178D3B">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73F17A2">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28</w:t>
            </w:r>
          </w:p>
        </w:tc>
        <w:tc>
          <w:tcPr>
            <w:tcW w:w="505" w:type="pct"/>
            <w:vMerge w:val="continue"/>
            <w:tcBorders>
              <w:left w:val="nil"/>
              <w:right w:val="single" w:color="auto" w:sz="4" w:space="0"/>
            </w:tcBorders>
            <w:shd w:val="clear" w:color="auto" w:fill="FFFFFF"/>
            <w:vAlign w:val="center"/>
          </w:tcPr>
          <w:p w14:paraId="6A7A6A15">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7544855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0BD238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市民服务移动端-地图服务-充换电设施及详情信息图示交互</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3094E8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提供充电设施查询，展示设施信息，地图位置同步定位切换</w:t>
            </w:r>
          </w:p>
        </w:tc>
      </w:tr>
      <w:tr w14:paraId="4CA418BA">
        <w:tblPrEx>
          <w:tblCellMar>
            <w:top w:w="0" w:type="dxa"/>
            <w:left w:w="108" w:type="dxa"/>
            <w:bottom w:w="0" w:type="dxa"/>
            <w:right w:w="108" w:type="dxa"/>
          </w:tblCellMar>
        </w:tblPrEx>
        <w:trPr>
          <w:trHeight w:val="171"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D91DCA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29</w:t>
            </w:r>
          </w:p>
        </w:tc>
        <w:tc>
          <w:tcPr>
            <w:tcW w:w="505" w:type="pct"/>
            <w:vMerge w:val="continue"/>
            <w:tcBorders>
              <w:left w:val="nil"/>
              <w:right w:val="single" w:color="auto" w:sz="4" w:space="0"/>
            </w:tcBorders>
            <w:shd w:val="clear" w:color="auto" w:fill="FFFFFF"/>
            <w:vAlign w:val="center"/>
          </w:tcPr>
          <w:p w14:paraId="6FCA28A3">
            <w:pPr>
              <w:widowControl/>
              <w:spacing w:line="240" w:lineRule="auto"/>
              <w:ind w:firstLine="0" w:firstLineChars="0"/>
              <w:jc w:val="center"/>
              <w:rPr>
                <w:rFonts w:hint="eastAsia" w:cs="宋体"/>
                <w:color w:val="000000"/>
                <w:kern w:val="0"/>
                <w:sz w:val="21"/>
                <w:szCs w:val="21"/>
              </w:rPr>
            </w:pPr>
          </w:p>
        </w:tc>
        <w:tc>
          <w:tcPr>
            <w:tcW w:w="505" w:type="pct"/>
            <w:vMerge w:val="restart"/>
            <w:tcBorders>
              <w:top w:val="single" w:color="auto" w:sz="4" w:space="0"/>
              <w:left w:val="nil"/>
              <w:right w:val="single" w:color="auto" w:sz="4" w:space="0"/>
            </w:tcBorders>
            <w:shd w:val="clear" w:color="auto" w:fill="FFFFFF"/>
            <w:vAlign w:val="center"/>
          </w:tcPr>
          <w:p w14:paraId="3985E3BC">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充电桩/换电柜数据接入及共享接口配置、管理及数据核验</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607E7A2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充换电数据初始数据字典及元数据管理-充换电设施数据字典及初始化基础信息维护管理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F207E8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动态管理全市标准化数据字典，兼容自定义字段。</w:t>
            </w:r>
            <w:r>
              <w:rPr>
                <w:rFonts w:hint="eastAsia" w:cs="宋体"/>
                <w:color w:val="000000"/>
                <w:kern w:val="0"/>
                <w:sz w:val="21"/>
                <w:szCs w:val="21"/>
              </w:rPr>
              <w:br w:type="textWrapping"/>
            </w:r>
            <w:r>
              <w:rPr>
                <w:rFonts w:hint="eastAsia" w:cs="宋体"/>
                <w:color w:val="000000"/>
                <w:kern w:val="0"/>
                <w:sz w:val="21"/>
                <w:szCs w:val="21"/>
              </w:rPr>
              <w:t>提供初始化数据维护管理功能。</w:t>
            </w:r>
          </w:p>
        </w:tc>
      </w:tr>
      <w:tr w14:paraId="0F3A5A6F">
        <w:tblPrEx>
          <w:tblCellMar>
            <w:top w:w="0" w:type="dxa"/>
            <w:left w:w="108" w:type="dxa"/>
            <w:bottom w:w="0" w:type="dxa"/>
            <w:right w:w="108" w:type="dxa"/>
          </w:tblCellMar>
        </w:tblPrEx>
        <w:trPr>
          <w:trHeight w:val="144"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E557D3F">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30</w:t>
            </w:r>
          </w:p>
        </w:tc>
        <w:tc>
          <w:tcPr>
            <w:tcW w:w="505" w:type="pct"/>
            <w:vMerge w:val="continue"/>
            <w:tcBorders>
              <w:left w:val="nil"/>
              <w:right w:val="single" w:color="auto" w:sz="4" w:space="0"/>
            </w:tcBorders>
            <w:shd w:val="clear" w:color="auto" w:fill="FFFFFF"/>
            <w:vAlign w:val="center"/>
          </w:tcPr>
          <w:p w14:paraId="40B2C66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571780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D16FAB1">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充换电数据初始数据字典及元数据管理-充换电设施源数据管理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59C10B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存储原始采集的非结构化数据，建立原始数据层。</w:t>
            </w:r>
          </w:p>
        </w:tc>
      </w:tr>
      <w:tr w14:paraId="42336C6B">
        <w:tblPrEx>
          <w:tblCellMar>
            <w:top w:w="0" w:type="dxa"/>
            <w:left w:w="108" w:type="dxa"/>
            <w:bottom w:w="0" w:type="dxa"/>
            <w:right w:w="108" w:type="dxa"/>
          </w:tblCellMar>
        </w:tblPrEx>
        <w:trPr>
          <w:trHeight w:val="58"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CAC03E7">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31</w:t>
            </w:r>
          </w:p>
        </w:tc>
        <w:tc>
          <w:tcPr>
            <w:tcW w:w="505" w:type="pct"/>
            <w:vMerge w:val="continue"/>
            <w:tcBorders>
              <w:left w:val="nil"/>
              <w:right w:val="single" w:color="auto" w:sz="4" w:space="0"/>
            </w:tcBorders>
            <w:shd w:val="clear" w:color="auto" w:fill="FFFFFF"/>
            <w:vAlign w:val="center"/>
          </w:tcPr>
          <w:p w14:paraId="7E1E9BD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74E838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A18402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充电桩/换电柜企业侧数据上报接口-充电桩/换电柜企业侧网点及设施设备信息上报接口服务</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F6148D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支持经营企业上报网点位置、设备数量等数据。</w:t>
            </w:r>
          </w:p>
        </w:tc>
      </w:tr>
      <w:tr w14:paraId="39646934">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9D30D54">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32</w:t>
            </w:r>
          </w:p>
        </w:tc>
        <w:tc>
          <w:tcPr>
            <w:tcW w:w="505" w:type="pct"/>
            <w:vMerge w:val="continue"/>
            <w:tcBorders>
              <w:left w:val="nil"/>
              <w:right w:val="single" w:color="auto" w:sz="4" w:space="0"/>
            </w:tcBorders>
            <w:shd w:val="clear" w:color="auto" w:fill="FFFFFF"/>
            <w:vAlign w:val="center"/>
          </w:tcPr>
          <w:p w14:paraId="40B31BCB">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23E1124">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224561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充电桩/换电柜企业侧数据上报接口-充电桩/换电柜企业侧设备告警信息上报接口服务</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7086DA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企业实时数据上报，经营企业实时推送告警事件。</w:t>
            </w:r>
          </w:p>
        </w:tc>
      </w:tr>
      <w:tr w14:paraId="5A1AB41F">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C24C42F">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33</w:t>
            </w:r>
          </w:p>
        </w:tc>
        <w:tc>
          <w:tcPr>
            <w:tcW w:w="505" w:type="pct"/>
            <w:vMerge w:val="continue"/>
            <w:tcBorders>
              <w:left w:val="nil"/>
              <w:right w:val="single" w:color="auto" w:sz="4" w:space="0"/>
            </w:tcBorders>
            <w:shd w:val="clear" w:color="auto" w:fill="FFFFFF"/>
            <w:vAlign w:val="center"/>
          </w:tcPr>
          <w:p w14:paraId="0987262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0D063C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591153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充电桩/换电柜企业侧数据上报接口-充电桩/换电柜企业侧投放网点充电记录订单信息上报接口服务</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9E8FC0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企业上报充电订单记录数据。</w:t>
            </w:r>
          </w:p>
        </w:tc>
      </w:tr>
      <w:tr w14:paraId="2837EB0E">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D7CFFF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34</w:t>
            </w:r>
          </w:p>
        </w:tc>
        <w:tc>
          <w:tcPr>
            <w:tcW w:w="505" w:type="pct"/>
            <w:vMerge w:val="continue"/>
            <w:tcBorders>
              <w:left w:val="nil"/>
              <w:right w:val="single" w:color="auto" w:sz="4" w:space="0"/>
            </w:tcBorders>
            <w:shd w:val="clear" w:color="auto" w:fill="FFFFFF"/>
            <w:vAlign w:val="center"/>
          </w:tcPr>
          <w:p w14:paraId="4F73DC53">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AD84E3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73C992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充电桩/换电柜企业侧数据上报接口-充电桩/换电柜企业侧设备心跳参数数据上报接口服务</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ACD11F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企业上报设备运行参数，平台监控设备在线状态。</w:t>
            </w:r>
          </w:p>
        </w:tc>
      </w:tr>
      <w:tr w14:paraId="5EE2C23D">
        <w:tblPrEx>
          <w:tblCellMar>
            <w:top w:w="0" w:type="dxa"/>
            <w:left w:w="108" w:type="dxa"/>
            <w:bottom w:w="0" w:type="dxa"/>
            <w:right w:w="108" w:type="dxa"/>
          </w:tblCellMar>
        </w:tblPrEx>
        <w:trPr>
          <w:trHeight w:val="90"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4415154">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35</w:t>
            </w:r>
          </w:p>
        </w:tc>
        <w:tc>
          <w:tcPr>
            <w:tcW w:w="505" w:type="pct"/>
            <w:vMerge w:val="continue"/>
            <w:tcBorders>
              <w:left w:val="nil"/>
              <w:right w:val="single" w:color="auto" w:sz="4" w:space="0"/>
            </w:tcBorders>
            <w:shd w:val="clear" w:color="auto" w:fill="FFFFFF"/>
            <w:vAlign w:val="center"/>
          </w:tcPr>
          <w:p w14:paraId="58D9C3C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53989D5">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B697B9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充电桩/换电柜企业侧数据上报接口-电池状态及信息上报接口服务</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8B7D13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充电桩企业对适配型号的电池进行详细状态回传</w:t>
            </w:r>
          </w:p>
        </w:tc>
      </w:tr>
      <w:tr w14:paraId="59D3A738">
        <w:tblPrEx>
          <w:tblCellMar>
            <w:top w:w="0" w:type="dxa"/>
            <w:left w:w="108" w:type="dxa"/>
            <w:bottom w:w="0" w:type="dxa"/>
            <w:right w:w="108" w:type="dxa"/>
          </w:tblCellMar>
        </w:tblPrEx>
        <w:trPr>
          <w:trHeight w:val="425"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C427707">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36</w:t>
            </w:r>
          </w:p>
        </w:tc>
        <w:tc>
          <w:tcPr>
            <w:tcW w:w="505" w:type="pct"/>
            <w:vMerge w:val="continue"/>
            <w:tcBorders>
              <w:left w:val="nil"/>
              <w:right w:val="single" w:color="auto" w:sz="4" w:space="0"/>
            </w:tcBorders>
            <w:shd w:val="clear" w:color="auto" w:fill="FFFFFF"/>
            <w:vAlign w:val="center"/>
          </w:tcPr>
          <w:p w14:paraId="5CDD0B5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709644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E5980F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充电桩/换电柜企业侧数据上报接口-电池告警信息上报接口</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AB556E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超规格电池触发告警并上传平台</w:t>
            </w:r>
          </w:p>
        </w:tc>
      </w:tr>
      <w:tr w14:paraId="11CA9E03">
        <w:tblPrEx>
          <w:tblCellMar>
            <w:top w:w="0" w:type="dxa"/>
            <w:left w:w="108" w:type="dxa"/>
            <w:bottom w:w="0" w:type="dxa"/>
            <w:right w:w="108" w:type="dxa"/>
          </w:tblCellMar>
        </w:tblPrEx>
        <w:trPr>
          <w:trHeight w:val="417"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7C2FE3D">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37</w:t>
            </w:r>
          </w:p>
        </w:tc>
        <w:tc>
          <w:tcPr>
            <w:tcW w:w="505" w:type="pct"/>
            <w:vMerge w:val="continue"/>
            <w:tcBorders>
              <w:left w:val="nil"/>
              <w:right w:val="single" w:color="auto" w:sz="4" w:space="0"/>
            </w:tcBorders>
            <w:shd w:val="clear" w:color="auto" w:fill="FFFFFF"/>
            <w:vAlign w:val="center"/>
          </w:tcPr>
          <w:p w14:paraId="7EA03D6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460910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7A98AA5">
            <w:pPr>
              <w:widowControl/>
              <w:spacing w:line="240" w:lineRule="auto"/>
              <w:ind w:firstLine="0" w:firstLineChars="0"/>
              <w:textAlignment w:val="center"/>
              <w:rPr>
                <w:rFonts w:hint="eastAsia" w:cs="宋体"/>
                <w:color w:val="000000"/>
                <w:kern w:val="0"/>
                <w:sz w:val="21"/>
                <w:szCs w:val="21"/>
                <w:highlight w:val="yellow"/>
              </w:rPr>
            </w:pPr>
            <w:r>
              <w:rPr>
                <w:rFonts w:hint="eastAsia" w:cs="宋体"/>
                <w:color w:val="000000"/>
                <w:kern w:val="0"/>
                <w:sz w:val="21"/>
                <w:szCs w:val="21"/>
              </w:rPr>
              <w:t>充电桩/换电柜企业侧数据上报接口-电池报废/回收批量登记接口</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E38BD7F">
            <w:pPr>
              <w:widowControl/>
              <w:spacing w:line="240" w:lineRule="auto"/>
              <w:ind w:firstLine="0" w:firstLineChars="0"/>
              <w:textAlignment w:val="center"/>
              <w:rPr>
                <w:rFonts w:hint="eastAsia" w:cs="宋体"/>
                <w:color w:val="000000"/>
                <w:kern w:val="0"/>
                <w:sz w:val="21"/>
                <w:szCs w:val="21"/>
              </w:rPr>
            </w:pPr>
            <w:r>
              <w:rPr>
                <w:rFonts w:cs="宋体"/>
                <w:color w:val="000000"/>
                <w:kern w:val="0"/>
                <w:sz w:val="21"/>
                <w:szCs w:val="21"/>
              </w:rPr>
              <w:t>开放给电池回收企业或者是运营企业的电池报废回收登记接口</w:t>
            </w:r>
          </w:p>
        </w:tc>
      </w:tr>
      <w:tr w14:paraId="4C64A4CC">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51C89B8">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38</w:t>
            </w:r>
          </w:p>
        </w:tc>
        <w:tc>
          <w:tcPr>
            <w:tcW w:w="505" w:type="pct"/>
            <w:vMerge w:val="continue"/>
            <w:tcBorders>
              <w:left w:val="nil"/>
              <w:right w:val="single" w:color="auto" w:sz="4" w:space="0"/>
            </w:tcBorders>
            <w:shd w:val="clear" w:color="auto" w:fill="FFFFFF"/>
            <w:vAlign w:val="center"/>
          </w:tcPr>
          <w:p w14:paraId="52DC2D43">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3C13FE0">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7BC5AB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充电桩/换电柜企业侧数据上报接口-电池评估单位健康评测报告批量上传</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FF1700E">
            <w:pPr>
              <w:widowControl/>
              <w:spacing w:line="240" w:lineRule="auto"/>
              <w:ind w:firstLine="0" w:firstLineChars="0"/>
              <w:textAlignment w:val="center"/>
              <w:rPr>
                <w:rFonts w:hint="eastAsia" w:cs="宋体"/>
                <w:color w:val="000000"/>
                <w:kern w:val="0"/>
                <w:sz w:val="21"/>
                <w:szCs w:val="21"/>
              </w:rPr>
            </w:pPr>
            <w:r>
              <w:rPr>
                <w:rFonts w:cs="宋体"/>
                <w:color w:val="000000"/>
                <w:kern w:val="0"/>
                <w:sz w:val="21"/>
                <w:szCs w:val="21"/>
              </w:rPr>
              <w:t>开放可</w:t>
            </w:r>
            <w:r>
              <w:rPr>
                <w:rFonts w:hint="eastAsia" w:cs="宋体"/>
                <w:color w:val="000000"/>
                <w:kern w:val="0"/>
                <w:sz w:val="21"/>
                <w:szCs w:val="21"/>
              </w:rPr>
              <w:t>上传电池检测报告的相关信息及报告附件及相关照片接口。</w:t>
            </w:r>
          </w:p>
        </w:tc>
      </w:tr>
      <w:tr w14:paraId="6C2F4540">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C130C89">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39</w:t>
            </w:r>
          </w:p>
        </w:tc>
        <w:tc>
          <w:tcPr>
            <w:tcW w:w="505" w:type="pct"/>
            <w:vMerge w:val="continue"/>
            <w:tcBorders>
              <w:left w:val="nil"/>
              <w:right w:val="single" w:color="auto" w:sz="4" w:space="0"/>
            </w:tcBorders>
            <w:shd w:val="clear" w:color="auto" w:fill="FFFFFF"/>
            <w:vAlign w:val="center"/>
          </w:tcPr>
          <w:p w14:paraId="11D4C93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B38674D">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DDFB56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充换电设施管理侧数据共享及接入-“锂康码”平台充换电柜数据接入及映射管理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A3F5F1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提取锂康码充电设施信息入池，实现电池数据同步。</w:t>
            </w:r>
          </w:p>
        </w:tc>
      </w:tr>
      <w:tr w14:paraId="0C50B529">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C809113">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40</w:t>
            </w:r>
          </w:p>
        </w:tc>
        <w:tc>
          <w:tcPr>
            <w:tcW w:w="505" w:type="pct"/>
            <w:vMerge w:val="continue"/>
            <w:tcBorders>
              <w:left w:val="nil"/>
              <w:right w:val="single" w:color="auto" w:sz="4" w:space="0"/>
            </w:tcBorders>
            <w:shd w:val="clear" w:color="auto" w:fill="FFFFFF"/>
            <w:vAlign w:val="center"/>
          </w:tcPr>
          <w:p w14:paraId="1B4A643D">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FF44604">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92EB05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充换电设施管理侧数据共享及接入-充换电设施数据资产共享接口</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F30C05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实现对内的数据协同与共享。</w:t>
            </w:r>
          </w:p>
        </w:tc>
      </w:tr>
      <w:tr w14:paraId="25BA929D">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F42A5A9">
            <w:pPr>
              <w:widowControl/>
              <w:spacing w:line="240" w:lineRule="auto"/>
              <w:ind w:firstLine="0" w:firstLineChars="0"/>
              <w:jc w:val="center"/>
              <w:rPr>
                <w:rFonts w:hint="eastAsia" w:cs="宋体"/>
                <w:color w:val="000000"/>
                <w:kern w:val="0"/>
                <w:sz w:val="21"/>
                <w:szCs w:val="21"/>
              </w:rPr>
            </w:pPr>
            <w:r>
              <w:rPr>
                <w:rFonts w:hint="eastAsia" w:cs="宋体"/>
                <w:color w:val="000000"/>
                <w:sz w:val="21"/>
                <w:szCs w:val="21"/>
              </w:rPr>
              <w:t>41</w:t>
            </w:r>
          </w:p>
        </w:tc>
        <w:tc>
          <w:tcPr>
            <w:tcW w:w="505" w:type="pct"/>
            <w:vMerge w:val="continue"/>
            <w:tcBorders>
              <w:left w:val="nil"/>
              <w:right w:val="single" w:color="auto" w:sz="4" w:space="0"/>
            </w:tcBorders>
            <w:shd w:val="clear" w:color="auto" w:fill="FFFFFF"/>
            <w:vAlign w:val="center"/>
          </w:tcPr>
          <w:p w14:paraId="0ADA0DF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A56F188">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47CD3B6">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充换电设施管理侧数据共享及接入-充换电设施安全及预警信息统计数据共享接口</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3D2B6C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实现对内的数据协同与共享，实现统计数据调取。</w:t>
            </w:r>
          </w:p>
        </w:tc>
      </w:tr>
      <w:tr w14:paraId="171EB172">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1974BDC">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42</w:t>
            </w:r>
          </w:p>
        </w:tc>
        <w:tc>
          <w:tcPr>
            <w:tcW w:w="505" w:type="pct"/>
            <w:vMerge w:val="continue"/>
            <w:tcBorders>
              <w:left w:val="nil"/>
              <w:right w:val="single" w:color="auto" w:sz="4" w:space="0"/>
            </w:tcBorders>
            <w:shd w:val="clear" w:color="auto" w:fill="FFFFFF"/>
            <w:vAlign w:val="center"/>
          </w:tcPr>
          <w:p w14:paraId="2445DA9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6DF9804">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AD7A98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充换电设施数据治理统计及核验管理-数据治理统计及结果查询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E8FA0F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查看各项数据明细表，统计表，支持治理记录及治理完成数的统计。</w:t>
            </w:r>
          </w:p>
        </w:tc>
      </w:tr>
      <w:tr w14:paraId="7EC6117A">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F8A1F2F">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43</w:t>
            </w:r>
          </w:p>
        </w:tc>
        <w:tc>
          <w:tcPr>
            <w:tcW w:w="505" w:type="pct"/>
            <w:vMerge w:val="continue"/>
            <w:tcBorders>
              <w:left w:val="nil"/>
              <w:right w:val="single" w:color="auto" w:sz="4" w:space="0"/>
            </w:tcBorders>
            <w:shd w:val="clear" w:color="auto" w:fill="FFFFFF"/>
            <w:vAlign w:val="center"/>
          </w:tcPr>
          <w:p w14:paraId="40DB0D7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EA05B55">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58DCA23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充换电设施数据治理统计及核验管理-治理后核验功能</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3473B9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将存疑或无法治理的数据推送相关责任主体进行审核确认。</w:t>
            </w:r>
          </w:p>
        </w:tc>
      </w:tr>
      <w:tr w14:paraId="6F2CE403">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F997EAB">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44</w:t>
            </w:r>
          </w:p>
        </w:tc>
        <w:tc>
          <w:tcPr>
            <w:tcW w:w="505" w:type="pct"/>
            <w:vMerge w:val="continue"/>
            <w:tcBorders>
              <w:left w:val="nil"/>
              <w:right w:val="single" w:color="auto" w:sz="4" w:space="0"/>
            </w:tcBorders>
            <w:shd w:val="clear" w:color="auto" w:fill="FFFFFF"/>
            <w:vAlign w:val="center"/>
          </w:tcPr>
          <w:p w14:paraId="0E9D17A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3BA1179E">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E13D9D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统一身份认证对接及用户管理-用户账号、角色及功能菜单管理</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A991E51">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管理多类用户权限，支持账号的启停控制，动态调整功能菜单可见范围</w:t>
            </w:r>
          </w:p>
        </w:tc>
      </w:tr>
      <w:tr w14:paraId="6D8CCF36">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8343815">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45</w:t>
            </w:r>
          </w:p>
        </w:tc>
        <w:tc>
          <w:tcPr>
            <w:tcW w:w="505" w:type="pct"/>
            <w:vMerge w:val="continue"/>
            <w:tcBorders>
              <w:left w:val="nil"/>
              <w:right w:val="single" w:color="auto" w:sz="4" w:space="0"/>
            </w:tcBorders>
            <w:shd w:val="clear" w:color="auto" w:fill="FFFFFF"/>
            <w:vAlign w:val="center"/>
          </w:tcPr>
          <w:p w14:paraId="7658542B">
            <w:pPr>
              <w:widowControl/>
              <w:spacing w:line="240" w:lineRule="auto"/>
              <w:ind w:firstLine="0" w:firstLineChars="0"/>
              <w:jc w:val="center"/>
              <w:rPr>
                <w:rFonts w:hint="eastAsia" w:cs="宋体"/>
                <w:color w:val="000000"/>
                <w:kern w:val="0"/>
                <w:sz w:val="21"/>
                <w:szCs w:val="21"/>
              </w:rPr>
            </w:pPr>
          </w:p>
        </w:tc>
        <w:tc>
          <w:tcPr>
            <w:tcW w:w="505" w:type="pct"/>
            <w:vMerge w:val="restart"/>
            <w:tcBorders>
              <w:left w:val="nil"/>
              <w:right w:val="single" w:color="auto" w:sz="4" w:space="0"/>
            </w:tcBorders>
            <w:shd w:val="clear" w:color="auto" w:fill="FFFFFF"/>
            <w:vAlign w:val="center"/>
          </w:tcPr>
          <w:p w14:paraId="35A1EDF5">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充换电设施安全监管信息链</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20329F0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充电桩/换电柜电池智能合约-电池基本信息登记环节智能合约</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10CA7C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对电池基本信息数据上链存证</w:t>
            </w:r>
          </w:p>
        </w:tc>
      </w:tr>
      <w:tr w14:paraId="499C4608">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DF62F9F">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46</w:t>
            </w:r>
          </w:p>
        </w:tc>
        <w:tc>
          <w:tcPr>
            <w:tcW w:w="505" w:type="pct"/>
            <w:vMerge w:val="continue"/>
            <w:tcBorders>
              <w:left w:val="nil"/>
              <w:right w:val="single" w:color="auto" w:sz="4" w:space="0"/>
            </w:tcBorders>
            <w:shd w:val="clear" w:color="auto" w:fill="FFFFFF"/>
            <w:vAlign w:val="center"/>
          </w:tcPr>
          <w:p w14:paraId="788DBAE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0482F71">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C51084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充电桩/换电柜电池智能合约-电池激活使用环节智能合约</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BB63F0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对电池激活使用环节信息数据上链存证</w:t>
            </w:r>
          </w:p>
        </w:tc>
      </w:tr>
      <w:tr w14:paraId="25A773C2">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B378923">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47</w:t>
            </w:r>
          </w:p>
        </w:tc>
        <w:tc>
          <w:tcPr>
            <w:tcW w:w="505" w:type="pct"/>
            <w:vMerge w:val="continue"/>
            <w:tcBorders>
              <w:left w:val="nil"/>
              <w:right w:val="single" w:color="auto" w:sz="4" w:space="0"/>
            </w:tcBorders>
            <w:shd w:val="clear" w:color="auto" w:fill="FFFFFF"/>
            <w:vAlign w:val="center"/>
          </w:tcPr>
          <w:p w14:paraId="6C94AA3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1E535AD9">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ED1005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充电桩/换电柜电池智能合约-电动自行车充电订单环节智能合约</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306C45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对电动自行车充电订单环节环节信息数据上链存证</w:t>
            </w:r>
          </w:p>
        </w:tc>
      </w:tr>
      <w:tr w14:paraId="7647B0AB">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410A2C2">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48</w:t>
            </w:r>
          </w:p>
        </w:tc>
        <w:tc>
          <w:tcPr>
            <w:tcW w:w="505" w:type="pct"/>
            <w:vMerge w:val="continue"/>
            <w:tcBorders>
              <w:left w:val="nil"/>
              <w:right w:val="single" w:color="auto" w:sz="4" w:space="0"/>
            </w:tcBorders>
            <w:shd w:val="clear" w:color="auto" w:fill="FFFFFF"/>
            <w:vAlign w:val="center"/>
          </w:tcPr>
          <w:p w14:paraId="2D40B8A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6F9BAA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5579C75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充电桩/换电柜电池智能合约-电动自行车充电桩/换电柜电池设备高危异常告警环节智能合约</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BE25E4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对电动自行车充电桩电池设备高危异常告警环节信息数据上链存证</w:t>
            </w:r>
          </w:p>
        </w:tc>
      </w:tr>
      <w:tr w14:paraId="310A3DF1">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7517906">
            <w:pPr>
              <w:widowControl/>
              <w:spacing w:line="240" w:lineRule="auto"/>
              <w:ind w:firstLine="0" w:firstLineChars="0"/>
              <w:jc w:val="center"/>
              <w:rPr>
                <w:rFonts w:hint="eastAsia" w:cs="宋体"/>
                <w:color w:val="000000"/>
                <w:sz w:val="21"/>
                <w:szCs w:val="21"/>
              </w:rPr>
            </w:pPr>
            <w:r>
              <w:rPr>
                <w:rFonts w:hint="eastAsia" w:cs="宋体"/>
                <w:color w:val="000000"/>
                <w:sz w:val="21"/>
                <w:szCs w:val="21"/>
              </w:rPr>
              <w:t>49</w:t>
            </w:r>
          </w:p>
        </w:tc>
        <w:tc>
          <w:tcPr>
            <w:tcW w:w="505" w:type="pct"/>
            <w:vMerge w:val="continue"/>
            <w:tcBorders>
              <w:left w:val="nil"/>
              <w:right w:val="single" w:color="auto" w:sz="4" w:space="0"/>
            </w:tcBorders>
            <w:shd w:val="clear" w:color="auto" w:fill="FFFFFF"/>
            <w:vAlign w:val="center"/>
          </w:tcPr>
          <w:p w14:paraId="4B9C9A0B">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1CE810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A397628">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充电桩/换电柜电池智能合约-电动自行车充电桩/换电柜电池设备投保环节智能合约</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0976E3B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对电动自行车充电桩电池设备投保环节信息数据上链存证</w:t>
            </w:r>
          </w:p>
        </w:tc>
      </w:tr>
      <w:tr w14:paraId="10CC6EF5">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0F72050">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50</w:t>
            </w:r>
          </w:p>
        </w:tc>
        <w:tc>
          <w:tcPr>
            <w:tcW w:w="505" w:type="pct"/>
            <w:vMerge w:val="continue"/>
            <w:tcBorders>
              <w:left w:val="nil"/>
              <w:right w:val="single" w:color="auto" w:sz="4" w:space="0"/>
            </w:tcBorders>
            <w:shd w:val="clear" w:color="auto" w:fill="FFFFFF"/>
            <w:vAlign w:val="center"/>
          </w:tcPr>
          <w:p w14:paraId="539F8E21">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B1C659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B718D38">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充电桩/换电柜监管链稽核辅助功能-牵头单位链上数据订阅</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E438ED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可订阅充电桩监管链场景中上链的所有数据。</w:t>
            </w:r>
            <w:r>
              <w:rPr>
                <w:rFonts w:hint="eastAsia" w:cs="宋体"/>
                <w:color w:val="000000"/>
                <w:kern w:val="0"/>
                <w:sz w:val="21"/>
                <w:szCs w:val="21"/>
              </w:rPr>
              <w:br w:type="textWrapping"/>
            </w:r>
          </w:p>
        </w:tc>
      </w:tr>
      <w:tr w14:paraId="5BA12169">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DC9691A">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51</w:t>
            </w:r>
          </w:p>
        </w:tc>
        <w:tc>
          <w:tcPr>
            <w:tcW w:w="505" w:type="pct"/>
            <w:vMerge w:val="continue"/>
            <w:tcBorders>
              <w:left w:val="nil"/>
              <w:right w:val="single" w:color="auto" w:sz="4" w:space="0"/>
            </w:tcBorders>
            <w:shd w:val="clear" w:color="auto" w:fill="FFFFFF"/>
            <w:vAlign w:val="center"/>
          </w:tcPr>
          <w:p w14:paraId="02D1B17D">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192ADE0">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3253D5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充电桩/换电柜监管链稽核辅助功能-链上业务及操作记录数据统计功能</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6AE668E">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定制区块链链交易查询功能，</w:t>
            </w:r>
            <w:r>
              <w:rPr>
                <w:rFonts w:hint="eastAsia" w:cs="宋体"/>
                <w:color w:val="000000"/>
                <w:kern w:val="0"/>
                <w:sz w:val="21"/>
                <w:szCs w:val="21"/>
              </w:rPr>
              <w:br w:type="textWrapping"/>
            </w:r>
            <w:r>
              <w:rPr>
                <w:rFonts w:hint="eastAsia" w:cs="宋体"/>
                <w:color w:val="000000"/>
                <w:kern w:val="0"/>
                <w:sz w:val="21"/>
                <w:szCs w:val="21"/>
              </w:rPr>
              <w:t>开发数据接口。</w:t>
            </w:r>
          </w:p>
        </w:tc>
      </w:tr>
      <w:tr w14:paraId="2C91DD02">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F8BB274">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52</w:t>
            </w:r>
          </w:p>
        </w:tc>
        <w:tc>
          <w:tcPr>
            <w:tcW w:w="505" w:type="pct"/>
            <w:vMerge w:val="continue"/>
            <w:tcBorders>
              <w:left w:val="nil"/>
              <w:right w:val="single" w:color="auto" w:sz="4" w:space="0"/>
            </w:tcBorders>
            <w:shd w:val="clear" w:color="auto" w:fill="FFFFFF"/>
            <w:vAlign w:val="center"/>
          </w:tcPr>
          <w:p w14:paraId="3D49E8E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778BAD0">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DA38FA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充换电设施数据区块链存证功能-充电桩/换电柜及电池基本信息登记区块链存证</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6CC096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支持高性能的数据上传，提供电池基本信息上传接口。</w:t>
            </w:r>
            <w:r>
              <w:rPr>
                <w:rFonts w:hint="eastAsia" w:cs="宋体"/>
                <w:color w:val="000000"/>
                <w:kern w:val="0"/>
                <w:sz w:val="21"/>
                <w:szCs w:val="21"/>
              </w:rPr>
              <w:br w:type="textWrapping"/>
            </w:r>
          </w:p>
        </w:tc>
      </w:tr>
      <w:tr w14:paraId="0660D8EB">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2D863B9">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53</w:t>
            </w:r>
          </w:p>
        </w:tc>
        <w:tc>
          <w:tcPr>
            <w:tcW w:w="505" w:type="pct"/>
            <w:vMerge w:val="continue"/>
            <w:tcBorders>
              <w:left w:val="nil"/>
              <w:right w:val="single" w:color="auto" w:sz="4" w:space="0"/>
            </w:tcBorders>
            <w:shd w:val="clear" w:color="auto" w:fill="FFFFFF"/>
            <w:vAlign w:val="center"/>
          </w:tcPr>
          <w:p w14:paraId="7276B3C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EDBD7FF">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2FA3178">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充换电设施数据区块链存证功能-电池激活使用环节存证</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348AEA6">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支持高性能的数据上传，提供电池激活信息上传及编号标记接口。</w:t>
            </w:r>
          </w:p>
        </w:tc>
      </w:tr>
      <w:tr w14:paraId="4280DBFA">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C6E7534">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54</w:t>
            </w:r>
          </w:p>
        </w:tc>
        <w:tc>
          <w:tcPr>
            <w:tcW w:w="505" w:type="pct"/>
            <w:vMerge w:val="continue"/>
            <w:tcBorders>
              <w:left w:val="nil"/>
              <w:right w:val="single" w:color="auto" w:sz="4" w:space="0"/>
            </w:tcBorders>
            <w:shd w:val="clear" w:color="auto" w:fill="FFFFFF"/>
            <w:vAlign w:val="center"/>
          </w:tcPr>
          <w:p w14:paraId="449330D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DC4B577">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5E72738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充换电设施数据区块链存证功能-非机动车设施充电订单环节存证</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7C66E4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支持高性能的数据上传，提供订单完成标记接口。</w:t>
            </w:r>
          </w:p>
        </w:tc>
      </w:tr>
      <w:tr w14:paraId="6785BA71">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483E547">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55</w:t>
            </w:r>
          </w:p>
        </w:tc>
        <w:tc>
          <w:tcPr>
            <w:tcW w:w="505" w:type="pct"/>
            <w:vMerge w:val="continue"/>
            <w:tcBorders>
              <w:left w:val="nil"/>
              <w:right w:val="single" w:color="auto" w:sz="4" w:space="0"/>
            </w:tcBorders>
            <w:shd w:val="clear" w:color="auto" w:fill="FFFFFF"/>
            <w:vAlign w:val="center"/>
          </w:tcPr>
          <w:p w14:paraId="32FFBE5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1836F35E">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F23211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充换电设施数据区块链存证功能-高危异常告警环节存证</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1B9FF58">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支持高性能的数据上传，提供告警处理标记接口。</w:t>
            </w:r>
          </w:p>
        </w:tc>
      </w:tr>
      <w:tr w14:paraId="2094B493">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04E7B56">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56</w:t>
            </w:r>
          </w:p>
        </w:tc>
        <w:tc>
          <w:tcPr>
            <w:tcW w:w="505" w:type="pct"/>
            <w:vMerge w:val="continue"/>
            <w:tcBorders>
              <w:left w:val="nil"/>
              <w:right w:val="single" w:color="auto" w:sz="4" w:space="0"/>
            </w:tcBorders>
            <w:shd w:val="clear" w:color="auto" w:fill="FFFFFF"/>
            <w:vAlign w:val="center"/>
          </w:tcPr>
          <w:p w14:paraId="2DDE5681">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5A9588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CB6C9D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充换电设施数据区块链存证功能-设备投保环节存证</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B6A859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支持高性能的数据上传，提供投保完成标记接口。</w:t>
            </w:r>
          </w:p>
        </w:tc>
      </w:tr>
      <w:tr w14:paraId="63296CAE">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3E02B65">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57</w:t>
            </w:r>
          </w:p>
        </w:tc>
        <w:tc>
          <w:tcPr>
            <w:tcW w:w="505" w:type="pct"/>
            <w:vMerge w:val="continue"/>
            <w:tcBorders>
              <w:left w:val="nil"/>
              <w:right w:val="single" w:color="auto" w:sz="4" w:space="0"/>
            </w:tcBorders>
            <w:shd w:val="clear" w:color="auto" w:fill="FFFFFF"/>
            <w:vAlign w:val="center"/>
          </w:tcPr>
          <w:p w14:paraId="49ED79D0">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3666FC47">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7E8EFD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充换电设施数据区块链存证功能-上链失败异常记录日志记录</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E468A03">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记录上链失败日志，可查看日志或自动重发。</w:t>
            </w:r>
          </w:p>
        </w:tc>
      </w:tr>
      <w:tr w14:paraId="6237B8DA">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73B3603">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58</w:t>
            </w:r>
          </w:p>
        </w:tc>
        <w:tc>
          <w:tcPr>
            <w:tcW w:w="505" w:type="pct"/>
            <w:vMerge w:val="continue"/>
            <w:tcBorders>
              <w:left w:val="nil"/>
              <w:right w:val="single" w:color="auto" w:sz="4" w:space="0"/>
            </w:tcBorders>
            <w:shd w:val="clear" w:color="auto" w:fill="FFFFFF"/>
            <w:vAlign w:val="center"/>
          </w:tcPr>
          <w:p w14:paraId="4593F305">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7DEF02A">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1EB063EF">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充换电设施数据区块链取证功能-充电桩/换电柜及电池基本信息取证查询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FF6982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查询符合条件的充电桩或电池上链全量信息</w:t>
            </w:r>
          </w:p>
        </w:tc>
      </w:tr>
      <w:tr w14:paraId="3FAE6006">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EBB7550">
            <w:pPr>
              <w:widowControl/>
              <w:spacing w:line="240" w:lineRule="auto"/>
              <w:ind w:firstLine="0" w:firstLineChars="0"/>
              <w:jc w:val="center"/>
              <w:rPr>
                <w:rFonts w:hint="eastAsia" w:cs="宋体"/>
                <w:color w:val="000000"/>
                <w:sz w:val="21"/>
                <w:szCs w:val="21"/>
              </w:rPr>
            </w:pPr>
            <w:r>
              <w:rPr>
                <w:rFonts w:hint="eastAsia" w:cs="宋体"/>
                <w:color w:val="000000"/>
                <w:sz w:val="21"/>
                <w:szCs w:val="21"/>
              </w:rPr>
              <w:t>59</w:t>
            </w:r>
          </w:p>
        </w:tc>
        <w:tc>
          <w:tcPr>
            <w:tcW w:w="505" w:type="pct"/>
            <w:vMerge w:val="continue"/>
            <w:tcBorders>
              <w:left w:val="nil"/>
              <w:right w:val="single" w:color="auto" w:sz="4" w:space="0"/>
            </w:tcBorders>
            <w:shd w:val="clear" w:color="auto" w:fill="FFFFFF"/>
            <w:vAlign w:val="center"/>
          </w:tcPr>
          <w:p w14:paraId="48904A0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275428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785967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充换电设施数据区块链取证功能-电池激活使用记录取证查询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6AEA759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查询符合条件的电池激活上链记录及相关字段信息。</w:t>
            </w:r>
          </w:p>
        </w:tc>
      </w:tr>
      <w:tr w14:paraId="3220D143">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FA6A052">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60</w:t>
            </w:r>
          </w:p>
        </w:tc>
        <w:tc>
          <w:tcPr>
            <w:tcW w:w="505" w:type="pct"/>
            <w:vMerge w:val="continue"/>
            <w:tcBorders>
              <w:left w:val="nil"/>
              <w:right w:val="single" w:color="auto" w:sz="4" w:space="0"/>
            </w:tcBorders>
            <w:shd w:val="clear" w:color="auto" w:fill="FFFFFF"/>
            <w:vAlign w:val="center"/>
          </w:tcPr>
          <w:p w14:paraId="566130F8">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9A0895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4EC2848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充换电设施数据区块链取证功能-非机动车设施充电订单记录/高危异常告警记录取证查询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1762534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查询符合条件的上链订单信息和高危异常告警信息。</w:t>
            </w:r>
          </w:p>
        </w:tc>
      </w:tr>
      <w:tr w14:paraId="3B604858">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008B95A">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61</w:t>
            </w:r>
          </w:p>
        </w:tc>
        <w:tc>
          <w:tcPr>
            <w:tcW w:w="505" w:type="pct"/>
            <w:vMerge w:val="continue"/>
            <w:tcBorders>
              <w:left w:val="nil"/>
              <w:right w:val="single" w:color="auto" w:sz="4" w:space="0"/>
            </w:tcBorders>
            <w:shd w:val="clear" w:color="auto" w:fill="FFFFFF"/>
            <w:vAlign w:val="center"/>
          </w:tcPr>
          <w:p w14:paraId="59BB8C8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0B0A36C4">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1E3A10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充换电设施数据区块链取证功能-设备投保环记录取证查询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4A50FE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查询符合条件的充电桩投保记录及相关信息</w:t>
            </w:r>
          </w:p>
        </w:tc>
      </w:tr>
      <w:tr w14:paraId="7C8EB696">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7C4249E">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62</w:t>
            </w:r>
          </w:p>
        </w:tc>
        <w:tc>
          <w:tcPr>
            <w:tcW w:w="505" w:type="pct"/>
            <w:vMerge w:val="continue"/>
            <w:tcBorders>
              <w:left w:val="nil"/>
              <w:right w:val="single" w:color="auto" w:sz="4" w:space="0"/>
            </w:tcBorders>
            <w:shd w:val="clear" w:color="auto" w:fill="FFFFFF"/>
            <w:vAlign w:val="center"/>
          </w:tcPr>
          <w:p w14:paraId="3ABDBAA2">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1BADAEC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11788B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充电桩/换电柜信息链企业侧取证共享接口-订单/告警信息取证查询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EE4048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向授权企业/政府部门提供充电订单查询服务和电池异常状态查询功能。</w:t>
            </w:r>
          </w:p>
        </w:tc>
      </w:tr>
      <w:tr w14:paraId="21D1E489">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9FF88E3">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63</w:t>
            </w:r>
          </w:p>
        </w:tc>
        <w:tc>
          <w:tcPr>
            <w:tcW w:w="505" w:type="pct"/>
            <w:vMerge w:val="continue"/>
            <w:tcBorders>
              <w:left w:val="nil"/>
              <w:right w:val="single" w:color="auto" w:sz="4" w:space="0"/>
            </w:tcBorders>
            <w:shd w:val="clear" w:color="auto" w:fill="FFFFFF"/>
            <w:vAlign w:val="center"/>
          </w:tcPr>
          <w:p w14:paraId="2B3331A0">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660393B3">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2462C4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充电桩/换电柜信息链企业侧取证共享接口-充电桩/换电柜及电池信息取证查询</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491E132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开放充电桩及电池的基本信息的取证查询。</w:t>
            </w:r>
          </w:p>
        </w:tc>
      </w:tr>
      <w:tr w14:paraId="7D5E1513">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C39310B">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64</w:t>
            </w:r>
          </w:p>
        </w:tc>
        <w:tc>
          <w:tcPr>
            <w:tcW w:w="505" w:type="pct"/>
            <w:vMerge w:val="continue"/>
            <w:tcBorders>
              <w:left w:val="nil"/>
              <w:right w:val="single" w:color="auto" w:sz="4" w:space="0"/>
            </w:tcBorders>
            <w:shd w:val="clear" w:color="auto" w:fill="FFFFFF"/>
            <w:vAlign w:val="center"/>
          </w:tcPr>
          <w:p w14:paraId="091B1B3C">
            <w:pPr>
              <w:widowControl/>
              <w:spacing w:line="240" w:lineRule="auto"/>
              <w:ind w:firstLine="0" w:firstLineChars="0"/>
              <w:jc w:val="center"/>
              <w:rPr>
                <w:rFonts w:hint="eastAsia" w:cs="宋体"/>
                <w:color w:val="000000"/>
                <w:kern w:val="0"/>
                <w:sz w:val="21"/>
                <w:szCs w:val="21"/>
              </w:rPr>
            </w:pPr>
          </w:p>
        </w:tc>
        <w:tc>
          <w:tcPr>
            <w:tcW w:w="505" w:type="pct"/>
            <w:vMerge w:val="restart"/>
            <w:tcBorders>
              <w:left w:val="nil"/>
              <w:right w:val="single" w:color="auto" w:sz="4" w:space="0"/>
            </w:tcBorders>
            <w:shd w:val="clear" w:color="auto" w:fill="FFFFFF"/>
            <w:vAlign w:val="center"/>
          </w:tcPr>
          <w:p w14:paraId="6FF09506">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充换电设施数字孪生态势感知场景</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7B920B46">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充电桩/换电柜网点数字孪生模型及示范场景建设-定制化API接口开发</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CC785A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1、定制化开发异常情况效果模拟调用API接口。</w:t>
            </w:r>
            <w:r>
              <w:rPr>
                <w:rFonts w:hint="eastAsia" w:cs="宋体"/>
                <w:color w:val="000000"/>
                <w:kern w:val="0"/>
                <w:sz w:val="21"/>
                <w:szCs w:val="21"/>
              </w:rPr>
              <w:br w:type="textWrapping"/>
            </w:r>
            <w:r>
              <w:rPr>
                <w:rFonts w:hint="eastAsia" w:cs="宋体"/>
                <w:color w:val="000000"/>
                <w:kern w:val="0"/>
                <w:sz w:val="21"/>
                <w:szCs w:val="21"/>
              </w:rPr>
              <w:t>2、定制化开发设施撒点工具API接口。</w:t>
            </w:r>
          </w:p>
        </w:tc>
      </w:tr>
      <w:tr w14:paraId="1072E25D">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D5B84D2">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65</w:t>
            </w:r>
          </w:p>
        </w:tc>
        <w:tc>
          <w:tcPr>
            <w:tcW w:w="505" w:type="pct"/>
            <w:vMerge w:val="continue"/>
            <w:tcBorders>
              <w:left w:val="nil"/>
              <w:right w:val="single" w:color="auto" w:sz="4" w:space="0"/>
            </w:tcBorders>
            <w:shd w:val="clear" w:color="auto" w:fill="FFFFFF"/>
            <w:vAlign w:val="center"/>
          </w:tcPr>
          <w:p w14:paraId="5B033D23">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264D412E">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7CCA56E7">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充电桩/换电柜网点数字孪生实时监测应用场景交互功能建设-充电桩/换电柜网点图上分析及基础信息展示</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974C9E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实现点位落图及区域范围信息交互展示，弹窗展示充电桩的基础信息数据，并实时文字列表显示设备的实时运行状态。</w:t>
            </w:r>
          </w:p>
        </w:tc>
      </w:tr>
      <w:tr w14:paraId="6F78EB8A">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262C0DC">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66</w:t>
            </w:r>
          </w:p>
        </w:tc>
        <w:tc>
          <w:tcPr>
            <w:tcW w:w="505" w:type="pct"/>
            <w:vMerge w:val="continue"/>
            <w:tcBorders>
              <w:left w:val="nil"/>
              <w:right w:val="single" w:color="auto" w:sz="4" w:space="0"/>
            </w:tcBorders>
            <w:shd w:val="clear" w:color="auto" w:fill="FFFFFF"/>
            <w:vAlign w:val="center"/>
          </w:tcPr>
          <w:p w14:paraId="418D7ECE">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6C46783B">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67F4FA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充电桩/换电柜网点数字孪生实时监测应用场景交互功能建设-载体区域信息落图及充电桩/换电柜数据概览</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D1F291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支持查看区、街镇、居委、小区的充电桩数据。</w:t>
            </w:r>
          </w:p>
        </w:tc>
      </w:tr>
      <w:tr w14:paraId="5ABA0DA1">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CF0FB35">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67</w:t>
            </w:r>
          </w:p>
        </w:tc>
        <w:tc>
          <w:tcPr>
            <w:tcW w:w="505" w:type="pct"/>
            <w:vMerge w:val="continue"/>
            <w:tcBorders>
              <w:left w:val="nil"/>
              <w:right w:val="single" w:color="auto" w:sz="4" w:space="0"/>
            </w:tcBorders>
            <w:shd w:val="clear" w:color="auto" w:fill="FFFFFF"/>
            <w:vAlign w:val="center"/>
          </w:tcPr>
          <w:p w14:paraId="13E1CD4A">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88D49BA">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3F52471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‌充电桩/换电柜网点数字孪生实时监测应用场景交互功能建设-实时设备及场所传感状态监测展示</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527E84D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可查看网点的充电桩、电池实时状态，并同步调取现场感知信息。</w:t>
            </w:r>
          </w:p>
        </w:tc>
      </w:tr>
      <w:tr w14:paraId="1905BD03">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EA9D32C">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68</w:t>
            </w:r>
          </w:p>
        </w:tc>
        <w:tc>
          <w:tcPr>
            <w:tcW w:w="505" w:type="pct"/>
            <w:vMerge w:val="continue"/>
            <w:tcBorders>
              <w:left w:val="nil"/>
              <w:right w:val="single" w:color="auto" w:sz="4" w:space="0"/>
            </w:tcBorders>
            <w:shd w:val="clear" w:color="auto" w:fill="FFFFFF"/>
            <w:vAlign w:val="center"/>
          </w:tcPr>
          <w:p w14:paraId="44171839">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4509295C">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B84826C">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‌充电桩/换电柜网点数字孪生实时监测应用场景交互功能建设-环境风险感知分析</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58C0E19">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识别充电区域可燃物堆积；</w:t>
            </w:r>
            <w:r>
              <w:rPr>
                <w:rFonts w:hint="eastAsia" w:cs="宋体"/>
                <w:color w:val="000000"/>
                <w:kern w:val="0"/>
                <w:sz w:val="21"/>
                <w:szCs w:val="21"/>
              </w:rPr>
              <w:br w:type="textWrapping"/>
            </w:r>
            <w:r>
              <w:rPr>
                <w:rFonts w:hint="eastAsia" w:cs="宋体"/>
                <w:color w:val="000000"/>
                <w:kern w:val="0"/>
                <w:sz w:val="21"/>
                <w:szCs w:val="21"/>
              </w:rPr>
              <w:t>分析消防通道占用情况。</w:t>
            </w:r>
          </w:p>
        </w:tc>
      </w:tr>
      <w:tr w14:paraId="57C03D3C">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C30CD2C">
            <w:pPr>
              <w:widowControl/>
              <w:spacing w:line="240" w:lineRule="auto"/>
              <w:ind w:firstLine="0" w:firstLineChars="0"/>
              <w:jc w:val="center"/>
              <w:rPr>
                <w:rFonts w:hint="eastAsia" w:cs="宋体"/>
                <w:color w:val="000000"/>
                <w:sz w:val="21"/>
                <w:szCs w:val="21"/>
              </w:rPr>
            </w:pPr>
            <w:r>
              <w:rPr>
                <w:rFonts w:hint="eastAsia" w:cs="宋体"/>
                <w:color w:val="000000"/>
                <w:sz w:val="21"/>
                <w:szCs w:val="21"/>
              </w:rPr>
              <w:t>69</w:t>
            </w:r>
          </w:p>
        </w:tc>
        <w:tc>
          <w:tcPr>
            <w:tcW w:w="505" w:type="pct"/>
            <w:vMerge w:val="continue"/>
            <w:tcBorders>
              <w:left w:val="nil"/>
              <w:right w:val="single" w:color="auto" w:sz="4" w:space="0"/>
            </w:tcBorders>
            <w:shd w:val="clear" w:color="auto" w:fill="FFFFFF"/>
            <w:vAlign w:val="center"/>
          </w:tcPr>
          <w:p w14:paraId="473BC37C">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5AC75638">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2C438AF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充电桩/换电柜网点数字孪生实时监测应用场景交互功能建设-孪生场景隐患模拟、预警推送及效果展示</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6362F45">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弹窗实时滚动显示充电桩的关键运行数据，实现隐患发现到闭环处置的全流程数字化。</w:t>
            </w:r>
          </w:p>
        </w:tc>
      </w:tr>
      <w:tr w14:paraId="521D1BE6">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4FA1878">
            <w:pPr>
              <w:widowControl/>
              <w:spacing w:line="240" w:lineRule="auto"/>
              <w:ind w:firstLine="0" w:firstLineChars="0"/>
              <w:jc w:val="center"/>
              <w:rPr>
                <w:rFonts w:hint="eastAsia" w:cs="宋体"/>
                <w:color w:val="000000"/>
                <w:sz w:val="21"/>
                <w:szCs w:val="21"/>
              </w:rPr>
            </w:pPr>
            <w:r>
              <w:rPr>
                <w:rFonts w:hint="eastAsia" w:cs="宋体"/>
                <w:color w:val="000000"/>
                <w:sz w:val="21"/>
                <w:szCs w:val="21"/>
              </w:rPr>
              <w:t>70</w:t>
            </w:r>
          </w:p>
        </w:tc>
        <w:tc>
          <w:tcPr>
            <w:tcW w:w="505" w:type="pct"/>
            <w:vMerge w:val="continue"/>
            <w:tcBorders>
              <w:left w:val="nil"/>
              <w:right w:val="single" w:color="auto" w:sz="4" w:space="0"/>
            </w:tcBorders>
            <w:shd w:val="clear" w:color="auto" w:fill="FFFFFF"/>
            <w:vAlign w:val="center"/>
          </w:tcPr>
          <w:p w14:paraId="098955C4">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right w:val="single" w:color="auto" w:sz="4" w:space="0"/>
            </w:tcBorders>
            <w:shd w:val="clear" w:color="auto" w:fill="FFFFFF"/>
            <w:vAlign w:val="center"/>
          </w:tcPr>
          <w:p w14:paraId="74ABED15">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02B3374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‌充电桩/换电柜网点数字孪生实时监测应用场景交互功能建设-供需匹配分析视图</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05BF044">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预测高峰时段充电需求，生成错峰使用建议。</w:t>
            </w:r>
          </w:p>
        </w:tc>
      </w:tr>
      <w:tr w14:paraId="4CF0ECEC">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1C42411">
            <w:pPr>
              <w:widowControl/>
              <w:spacing w:line="240" w:lineRule="auto"/>
              <w:ind w:firstLine="0" w:firstLineChars="0"/>
              <w:jc w:val="center"/>
              <w:rPr>
                <w:rFonts w:hint="eastAsia" w:cs="宋体"/>
                <w:color w:val="000000"/>
                <w:sz w:val="21"/>
                <w:szCs w:val="21"/>
              </w:rPr>
            </w:pPr>
            <w:r>
              <w:rPr>
                <w:rFonts w:hint="eastAsia" w:cs="宋体"/>
                <w:color w:val="000000"/>
                <w:sz w:val="21"/>
                <w:szCs w:val="21"/>
              </w:rPr>
              <w:t>71</w:t>
            </w:r>
          </w:p>
        </w:tc>
        <w:tc>
          <w:tcPr>
            <w:tcW w:w="505" w:type="pct"/>
            <w:vMerge w:val="continue"/>
            <w:tcBorders>
              <w:left w:val="nil"/>
              <w:right w:val="single" w:color="auto" w:sz="4" w:space="0"/>
            </w:tcBorders>
            <w:shd w:val="clear" w:color="auto" w:fill="FFFFFF"/>
            <w:vAlign w:val="center"/>
          </w:tcPr>
          <w:p w14:paraId="1CA86E0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0491D1D2">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92B1F82">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充电桩/换电柜网点数字孪生实时监测应用场景交互功能建设-充电桩/换电柜维修报警记录及统计分析</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36649D3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弹窗展示设备报警次数及报警记录，可查看每条报警记录的报警类型。</w:t>
            </w:r>
          </w:p>
        </w:tc>
      </w:tr>
      <w:tr w14:paraId="5B49F9CA">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1BE09AD">
            <w:pPr>
              <w:widowControl/>
              <w:spacing w:line="240" w:lineRule="auto"/>
              <w:ind w:firstLine="0" w:firstLineChars="0"/>
              <w:jc w:val="center"/>
              <w:rPr>
                <w:rFonts w:hint="eastAsia" w:cs="宋体"/>
                <w:color w:val="000000"/>
                <w:sz w:val="21"/>
                <w:szCs w:val="21"/>
              </w:rPr>
            </w:pPr>
            <w:r>
              <w:rPr>
                <w:rFonts w:hint="eastAsia" w:cs="宋体"/>
                <w:color w:val="000000"/>
                <w:sz w:val="21"/>
                <w:szCs w:val="21"/>
              </w:rPr>
              <w:t>72</w:t>
            </w:r>
          </w:p>
        </w:tc>
        <w:tc>
          <w:tcPr>
            <w:tcW w:w="505" w:type="pct"/>
            <w:vMerge w:val="continue"/>
            <w:tcBorders>
              <w:left w:val="nil"/>
              <w:right w:val="single" w:color="auto" w:sz="4" w:space="0"/>
            </w:tcBorders>
            <w:shd w:val="clear" w:color="auto" w:fill="FFFFFF"/>
            <w:vAlign w:val="center"/>
          </w:tcPr>
          <w:p w14:paraId="028619ED">
            <w:pPr>
              <w:widowControl/>
              <w:spacing w:line="240" w:lineRule="auto"/>
              <w:ind w:firstLine="0" w:firstLineChars="0"/>
              <w:jc w:val="center"/>
              <w:rPr>
                <w:rFonts w:hint="eastAsia" w:cs="宋体"/>
                <w:color w:val="000000"/>
                <w:kern w:val="0"/>
                <w:sz w:val="21"/>
                <w:szCs w:val="21"/>
              </w:rPr>
            </w:pPr>
          </w:p>
        </w:tc>
        <w:tc>
          <w:tcPr>
            <w:tcW w:w="505" w:type="pct"/>
            <w:vMerge w:val="restart"/>
            <w:tcBorders>
              <w:left w:val="nil"/>
              <w:right w:val="single" w:color="auto" w:sz="4" w:space="0"/>
            </w:tcBorders>
            <w:shd w:val="clear" w:color="auto" w:fill="FFFFFF"/>
            <w:vAlign w:val="center"/>
          </w:tcPr>
          <w:p w14:paraId="6D9D5809">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电动自行车智能应用</w:t>
            </w:r>
          </w:p>
        </w:tc>
        <w:tc>
          <w:tcPr>
            <w:tcW w:w="1797" w:type="pct"/>
            <w:tcBorders>
              <w:top w:val="single" w:color="auto" w:sz="4" w:space="0"/>
              <w:left w:val="nil"/>
              <w:bottom w:val="single" w:color="auto" w:sz="4" w:space="0"/>
              <w:right w:val="single" w:color="auto" w:sz="4" w:space="0"/>
            </w:tcBorders>
            <w:shd w:val="clear" w:color="auto" w:fill="FFFFFF"/>
            <w:vAlign w:val="center"/>
          </w:tcPr>
          <w:p w14:paraId="4847414A">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电动自行车车牌智能识别-拍摄扫描电动自行车车牌</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70A09390">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拍摄扫描电动自行车车牌，上传至服务器端。</w:t>
            </w:r>
          </w:p>
        </w:tc>
      </w:tr>
      <w:tr w14:paraId="6D64FE79">
        <w:tblPrEx>
          <w:tblCellMar>
            <w:top w:w="0" w:type="dxa"/>
            <w:left w:w="108" w:type="dxa"/>
            <w:bottom w:w="0" w:type="dxa"/>
            <w:right w:w="108" w:type="dxa"/>
          </w:tblCellMar>
        </w:tblPrEx>
        <w:trPr>
          <w:trHeight w:val="409" w:hRule="atLeast"/>
          <w:jc w:val="center"/>
        </w:trPr>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000AB9A">
            <w:pPr>
              <w:widowControl/>
              <w:spacing w:line="240" w:lineRule="auto"/>
              <w:ind w:firstLine="0" w:firstLineChars="0"/>
              <w:jc w:val="center"/>
              <w:rPr>
                <w:rFonts w:hint="eastAsia" w:cs="宋体"/>
                <w:color w:val="000000"/>
                <w:sz w:val="21"/>
                <w:szCs w:val="21"/>
              </w:rPr>
            </w:pPr>
            <w:r>
              <w:rPr>
                <w:rFonts w:hint="eastAsia" w:cs="宋体"/>
                <w:color w:val="000000"/>
                <w:sz w:val="21"/>
                <w:szCs w:val="21"/>
              </w:rPr>
              <w:t>73</w:t>
            </w:r>
          </w:p>
        </w:tc>
        <w:tc>
          <w:tcPr>
            <w:tcW w:w="505" w:type="pct"/>
            <w:vMerge w:val="continue"/>
            <w:tcBorders>
              <w:left w:val="nil"/>
              <w:bottom w:val="single" w:color="auto" w:sz="4" w:space="0"/>
              <w:right w:val="single" w:color="auto" w:sz="4" w:space="0"/>
            </w:tcBorders>
            <w:shd w:val="clear" w:color="auto" w:fill="FFFFFF"/>
            <w:vAlign w:val="center"/>
          </w:tcPr>
          <w:p w14:paraId="74C3F807">
            <w:pPr>
              <w:widowControl/>
              <w:spacing w:line="240" w:lineRule="auto"/>
              <w:ind w:firstLine="0" w:firstLineChars="0"/>
              <w:jc w:val="center"/>
              <w:rPr>
                <w:rFonts w:hint="eastAsia" w:cs="宋体"/>
                <w:color w:val="000000"/>
                <w:kern w:val="0"/>
                <w:sz w:val="21"/>
                <w:szCs w:val="21"/>
              </w:rPr>
            </w:pPr>
          </w:p>
        </w:tc>
        <w:tc>
          <w:tcPr>
            <w:tcW w:w="505" w:type="pct"/>
            <w:vMerge w:val="continue"/>
            <w:tcBorders>
              <w:left w:val="nil"/>
              <w:bottom w:val="single" w:color="auto" w:sz="4" w:space="0"/>
              <w:right w:val="single" w:color="auto" w:sz="4" w:space="0"/>
            </w:tcBorders>
            <w:shd w:val="clear" w:color="auto" w:fill="FFFFFF"/>
            <w:vAlign w:val="center"/>
          </w:tcPr>
          <w:p w14:paraId="1D0F1084">
            <w:pPr>
              <w:widowControl/>
              <w:spacing w:line="240" w:lineRule="auto"/>
              <w:ind w:firstLine="0" w:firstLineChars="0"/>
              <w:jc w:val="center"/>
              <w:rPr>
                <w:rFonts w:hint="eastAsia" w:cs="宋体"/>
                <w:color w:val="000000"/>
                <w:kern w:val="0"/>
                <w:sz w:val="21"/>
                <w:szCs w:val="21"/>
              </w:rPr>
            </w:pPr>
          </w:p>
        </w:tc>
        <w:tc>
          <w:tcPr>
            <w:tcW w:w="1797" w:type="pct"/>
            <w:tcBorders>
              <w:top w:val="single" w:color="auto" w:sz="4" w:space="0"/>
              <w:left w:val="nil"/>
              <w:bottom w:val="single" w:color="auto" w:sz="4" w:space="0"/>
              <w:right w:val="single" w:color="auto" w:sz="4" w:space="0"/>
            </w:tcBorders>
            <w:shd w:val="clear" w:color="auto" w:fill="FFFFFF"/>
            <w:vAlign w:val="center"/>
          </w:tcPr>
          <w:p w14:paraId="65F9680D">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电动自行车车牌智能识别-图像识别与车牌信息提取</w:t>
            </w:r>
          </w:p>
        </w:tc>
        <w:tc>
          <w:tcPr>
            <w:tcW w:w="1813" w:type="pct"/>
            <w:tcBorders>
              <w:top w:val="single" w:color="auto" w:sz="4" w:space="0"/>
              <w:left w:val="nil"/>
              <w:bottom w:val="single" w:color="auto" w:sz="4" w:space="0"/>
              <w:right w:val="single" w:color="auto" w:sz="4" w:space="0"/>
            </w:tcBorders>
            <w:shd w:val="clear" w:color="auto" w:fill="FFFFFF"/>
            <w:vAlign w:val="center"/>
          </w:tcPr>
          <w:p w14:paraId="2C199B3B">
            <w:pPr>
              <w:widowControl/>
              <w:spacing w:line="240" w:lineRule="auto"/>
              <w:ind w:firstLine="0" w:firstLineChars="0"/>
              <w:textAlignment w:val="center"/>
              <w:rPr>
                <w:rFonts w:hint="eastAsia" w:cs="宋体"/>
                <w:color w:val="000000"/>
                <w:kern w:val="0"/>
                <w:sz w:val="21"/>
                <w:szCs w:val="21"/>
              </w:rPr>
            </w:pPr>
            <w:r>
              <w:rPr>
                <w:rFonts w:hint="eastAsia" w:cs="宋体"/>
                <w:color w:val="000000"/>
                <w:kern w:val="0"/>
                <w:sz w:val="21"/>
                <w:szCs w:val="21"/>
              </w:rPr>
              <w:t>运用视觉识别算法，提取车牌号码</w:t>
            </w:r>
            <w:r>
              <w:rPr>
                <w:rFonts w:cs="宋体"/>
                <w:color w:val="000000"/>
                <w:kern w:val="0"/>
                <w:sz w:val="21"/>
                <w:szCs w:val="21"/>
              </w:rPr>
              <w:t>、查询显示车牌相关信息</w:t>
            </w:r>
            <w:r>
              <w:rPr>
                <w:rFonts w:hint="eastAsia" w:cs="宋体"/>
                <w:color w:val="000000"/>
                <w:kern w:val="0"/>
                <w:sz w:val="21"/>
                <w:szCs w:val="21"/>
              </w:rPr>
              <w:t>。</w:t>
            </w:r>
          </w:p>
        </w:tc>
      </w:tr>
    </w:tbl>
    <w:p w14:paraId="56835234">
      <w:pPr>
        <w:pStyle w:val="4"/>
        <w:ind w:left="1" w:hanging="1"/>
        <w:rPr>
          <w:rFonts w:ascii="Times New Roman" w:hAnsi="Times New Roman"/>
        </w:rPr>
      </w:pPr>
      <w:r>
        <w:rPr>
          <w:rFonts w:hint="eastAsia" w:ascii="Times New Roman" w:hAnsi="Times New Roman"/>
        </w:rPr>
        <w:t>数据治理服务需求</w:t>
      </w:r>
    </w:p>
    <w:p w14:paraId="06F5849D">
      <w:pPr>
        <w:pStyle w:val="3"/>
        <w:ind w:firstLine="480"/>
        <w:rPr>
          <w:rFonts w:ascii="Times New Roman" w:hAnsi="Times New Roman"/>
        </w:rPr>
      </w:pPr>
      <w:r>
        <w:rPr>
          <w:rFonts w:hint="eastAsia" w:ascii="Times New Roman" w:hAnsi="Times New Roman"/>
        </w:rPr>
        <w:t>本次项目数据治理服务主要包含以下三方面的治理内容：</w:t>
      </w:r>
    </w:p>
    <w:p w14:paraId="13ED27D8">
      <w:pPr>
        <w:pStyle w:val="3"/>
        <w:numPr>
          <w:ilvl w:val="0"/>
          <w:numId w:val="4"/>
        </w:numPr>
        <w:ind w:firstLine="480"/>
        <w:rPr>
          <w:rFonts w:ascii="Times New Roman" w:hAnsi="Times New Roman"/>
        </w:rPr>
      </w:pPr>
      <w:r>
        <w:rPr>
          <w:rFonts w:hint="eastAsia" w:ascii="Times New Roman" w:hAnsi="Times New Roman"/>
        </w:rPr>
        <w:t>数据归集，归集充电设施运营、元数据管理、监控运维日志等数据，构建相应数据库、目录与体系。</w:t>
      </w:r>
    </w:p>
    <w:p w14:paraId="0C1E54C6">
      <w:pPr>
        <w:pStyle w:val="3"/>
        <w:numPr>
          <w:ilvl w:val="0"/>
          <w:numId w:val="4"/>
        </w:numPr>
        <w:ind w:firstLine="480"/>
        <w:rPr>
          <w:rFonts w:ascii="Times New Roman" w:hAnsi="Times New Roman"/>
        </w:rPr>
      </w:pPr>
      <w:r>
        <w:rPr>
          <w:rFonts w:ascii="Times New Roman" w:hAnsi="Times New Roman"/>
        </w:rPr>
        <w:t>数据标签，针对</w:t>
      </w:r>
      <w:r>
        <w:rPr>
          <w:rFonts w:hint="eastAsia" w:ascii="Times New Roman" w:hAnsi="Times New Roman"/>
        </w:rPr>
        <w:t>充</w:t>
      </w:r>
      <w:r>
        <w:rPr>
          <w:rFonts w:ascii="Times New Roman" w:hAnsi="Times New Roman"/>
        </w:rPr>
        <w:t>电设施运营标准化、清洗规则配置、质量评估、异常预警处置、对账校验、专班接口等生成各类标签清单</w:t>
      </w:r>
      <w:r>
        <w:rPr>
          <w:rFonts w:hint="eastAsia" w:ascii="Times New Roman" w:hAnsi="Times New Roman"/>
        </w:rPr>
        <w:t>。</w:t>
      </w:r>
    </w:p>
    <w:p w14:paraId="02A6F877">
      <w:pPr>
        <w:pStyle w:val="3"/>
        <w:numPr>
          <w:ilvl w:val="0"/>
          <w:numId w:val="4"/>
        </w:numPr>
        <w:ind w:firstLine="480"/>
        <w:rPr>
          <w:rFonts w:ascii="Times New Roman" w:hAnsi="Times New Roman"/>
        </w:rPr>
      </w:pPr>
      <w:r>
        <w:rPr>
          <w:rFonts w:ascii="Times New Roman" w:hAnsi="Times New Roman"/>
        </w:rPr>
        <w:t>数据融合，治理更新充电设施相关区域、电池健康检测、设备离线、大功率电池、极端情况、价费分离等数据，输出各类数据表与专题库。</w:t>
      </w:r>
    </w:p>
    <w:p w14:paraId="5A969A1C">
      <w:pPr>
        <w:pStyle w:val="5"/>
        <w:ind w:hanging="480"/>
        <w:jc w:val="left"/>
        <w:rPr>
          <w:rFonts w:hint="eastAsia" w:hAnsi="仿宋"/>
          <w:vanish/>
          <w:sz w:val="24"/>
          <w:szCs w:val="40"/>
        </w:rPr>
      </w:pPr>
      <w:r>
        <w:rPr>
          <w:rFonts w:hint="eastAsia"/>
        </w:rPr>
        <w:t>服务需求清单</w:t>
      </w:r>
    </w:p>
    <w:tbl>
      <w:tblPr>
        <w:tblStyle w:val="3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778"/>
        <w:gridCol w:w="1080"/>
        <w:gridCol w:w="5850"/>
      </w:tblGrid>
      <w:tr w14:paraId="1A36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40" w:type="dxa"/>
            <w:shd w:val="clear" w:color="auto" w:fill="D8D8D8" w:themeFill="background1" w:themeFillShade="D9"/>
            <w:vAlign w:val="center"/>
          </w:tcPr>
          <w:p w14:paraId="5EA31CCF">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序号</w:t>
            </w:r>
          </w:p>
        </w:tc>
        <w:tc>
          <w:tcPr>
            <w:tcW w:w="778" w:type="dxa"/>
            <w:shd w:val="clear" w:color="auto" w:fill="D8D8D8" w:themeFill="background1" w:themeFillShade="D9"/>
            <w:vAlign w:val="center"/>
          </w:tcPr>
          <w:p w14:paraId="32950C9D">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服务类别</w:t>
            </w:r>
          </w:p>
        </w:tc>
        <w:tc>
          <w:tcPr>
            <w:tcW w:w="1080" w:type="dxa"/>
            <w:shd w:val="clear" w:color="auto" w:fill="D8D8D8" w:themeFill="background1" w:themeFillShade="D9"/>
            <w:vAlign w:val="center"/>
          </w:tcPr>
          <w:p w14:paraId="1B11AD97">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子类别</w:t>
            </w:r>
          </w:p>
        </w:tc>
        <w:tc>
          <w:tcPr>
            <w:tcW w:w="5850" w:type="dxa"/>
            <w:shd w:val="clear" w:color="auto" w:fill="D8D8D8" w:themeFill="background1" w:themeFillShade="D9"/>
            <w:vAlign w:val="center"/>
          </w:tcPr>
          <w:p w14:paraId="103D496F">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服务内容</w:t>
            </w:r>
          </w:p>
        </w:tc>
      </w:tr>
      <w:tr w14:paraId="0B2F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44E5029C">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w:t>
            </w:r>
          </w:p>
        </w:tc>
        <w:tc>
          <w:tcPr>
            <w:tcW w:w="778" w:type="dxa"/>
            <w:vMerge w:val="restart"/>
            <w:vAlign w:val="center"/>
          </w:tcPr>
          <w:p w14:paraId="20A2024D">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数据采集</w:t>
            </w:r>
          </w:p>
        </w:tc>
        <w:tc>
          <w:tcPr>
            <w:tcW w:w="1080" w:type="dxa"/>
            <w:vMerge w:val="restart"/>
            <w:vAlign w:val="center"/>
          </w:tcPr>
          <w:p w14:paraId="023EFF78">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数据归集</w:t>
            </w:r>
          </w:p>
        </w:tc>
        <w:tc>
          <w:tcPr>
            <w:tcW w:w="5850" w:type="dxa"/>
            <w:vAlign w:val="center"/>
          </w:tcPr>
          <w:p w14:paraId="45DB5A9C">
            <w:pPr>
              <w:widowControl/>
              <w:spacing w:line="240" w:lineRule="auto"/>
              <w:ind w:firstLine="0" w:firstLineChars="0"/>
              <w:jc w:val="center"/>
              <w:textAlignment w:val="center"/>
              <w:rPr>
                <w:rFonts w:hint="eastAsia" w:cs="宋体"/>
                <w:color w:val="000000"/>
                <w:kern w:val="0"/>
                <w:sz w:val="21"/>
                <w:szCs w:val="21"/>
              </w:rPr>
            </w:pPr>
            <w:r>
              <w:rPr>
                <w:rFonts w:hint="eastAsia" w:ascii="Times New Roman" w:hAnsi="Times New Roman"/>
              </w:rPr>
              <w:t>充</w:t>
            </w:r>
            <w:r>
              <w:rPr>
                <w:rFonts w:hint="eastAsia" w:cs="宋体"/>
                <w:color w:val="000000"/>
                <w:kern w:val="0"/>
                <w:sz w:val="21"/>
                <w:szCs w:val="21"/>
              </w:rPr>
              <w:t>电设施运营数据归集</w:t>
            </w:r>
          </w:p>
        </w:tc>
      </w:tr>
      <w:tr w14:paraId="6E66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4B68858B">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2</w:t>
            </w:r>
          </w:p>
        </w:tc>
        <w:tc>
          <w:tcPr>
            <w:tcW w:w="778" w:type="dxa"/>
            <w:vMerge w:val="continue"/>
            <w:vAlign w:val="center"/>
          </w:tcPr>
          <w:p w14:paraId="03D8155E">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13B871E5">
            <w:pPr>
              <w:widowControl/>
              <w:spacing w:line="240" w:lineRule="auto"/>
              <w:ind w:firstLine="0" w:firstLineChars="0"/>
              <w:jc w:val="center"/>
              <w:rPr>
                <w:rFonts w:hint="eastAsia" w:cs="宋体"/>
                <w:color w:val="000000"/>
                <w:kern w:val="0"/>
                <w:sz w:val="21"/>
                <w:szCs w:val="21"/>
              </w:rPr>
            </w:pPr>
          </w:p>
        </w:tc>
        <w:tc>
          <w:tcPr>
            <w:tcW w:w="5850" w:type="dxa"/>
            <w:vAlign w:val="center"/>
          </w:tcPr>
          <w:p w14:paraId="25F62141">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元数据管理</w:t>
            </w:r>
          </w:p>
        </w:tc>
      </w:tr>
      <w:tr w14:paraId="337B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1040" w:type="dxa"/>
            <w:vAlign w:val="center"/>
          </w:tcPr>
          <w:p w14:paraId="6DDEB464">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3</w:t>
            </w:r>
          </w:p>
        </w:tc>
        <w:tc>
          <w:tcPr>
            <w:tcW w:w="778" w:type="dxa"/>
            <w:vMerge w:val="continue"/>
            <w:vAlign w:val="center"/>
          </w:tcPr>
          <w:p w14:paraId="13BB5632">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14E66501">
            <w:pPr>
              <w:widowControl/>
              <w:spacing w:line="240" w:lineRule="auto"/>
              <w:ind w:firstLine="0" w:firstLineChars="0"/>
              <w:jc w:val="center"/>
              <w:rPr>
                <w:rFonts w:hint="eastAsia" w:cs="宋体"/>
                <w:color w:val="000000"/>
                <w:kern w:val="0"/>
                <w:sz w:val="21"/>
                <w:szCs w:val="21"/>
              </w:rPr>
            </w:pPr>
          </w:p>
        </w:tc>
        <w:tc>
          <w:tcPr>
            <w:tcW w:w="5850" w:type="dxa"/>
            <w:vAlign w:val="center"/>
          </w:tcPr>
          <w:p w14:paraId="65BD8A9D">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监控与运维机制</w:t>
            </w:r>
          </w:p>
        </w:tc>
      </w:tr>
      <w:tr w14:paraId="2099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40" w:type="dxa"/>
            <w:vAlign w:val="center"/>
          </w:tcPr>
          <w:p w14:paraId="25BD0D03">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4</w:t>
            </w:r>
          </w:p>
        </w:tc>
        <w:tc>
          <w:tcPr>
            <w:tcW w:w="778" w:type="dxa"/>
            <w:vMerge w:val="restart"/>
            <w:vAlign w:val="center"/>
          </w:tcPr>
          <w:p w14:paraId="60A8F930">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数据加工</w:t>
            </w:r>
          </w:p>
        </w:tc>
        <w:tc>
          <w:tcPr>
            <w:tcW w:w="1080" w:type="dxa"/>
            <w:vMerge w:val="restart"/>
            <w:vAlign w:val="center"/>
          </w:tcPr>
          <w:p w14:paraId="4D6CA31E">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数据标签</w:t>
            </w:r>
          </w:p>
        </w:tc>
        <w:tc>
          <w:tcPr>
            <w:tcW w:w="5850" w:type="dxa"/>
            <w:vAlign w:val="center"/>
          </w:tcPr>
          <w:p w14:paraId="5BBA9954">
            <w:pPr>
              <w:widowControl/>
              <w:spacing w:line="240" w:lineRule="auto"/>
              <w:ind w:firstLine="0" w:firstLineChars="0"/>
              <w:jc w:val="center"/>
              <w:textAlignment w:val="center"/>
              <w:rPr>
                <w:rFonts w:hint="eastAsia" w:cs="宋体"/>
                <w:color w:val="000000"/>
                <w:kern w:val="0"/>
                <w:sz w:val="21"/>
                <w:szCs w:val="21"/>
              </w:rPr>
            </w:pPr>
            <w:r>
              <w:rPr>
                <w:rFonts w:hint="eastAsia" w:ascii="Times New Roman" w:hAnsi="Times New Roman"/>
              </w:rPr>
              <w:t>充</w:t>
            </w:r>
            <w:r>
              <w:rPr>
                <w:rFonts w:hint="eastAsia" w:cs="宋体"/>
                <w:color w:val="000000"/>
                <w:kern w:val="0"/>
                <w:sz w:val="21"/>
                <w:szCs w:val="21"/>
              </w:rPr>
              <w:t>电设施运营数据标准化</w:t>
            </w:r>
          </w:p>
        </w:tc>
      </w:tr>
      <w:tr w14:paraId="0965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40" w:type="dxa"/>
            <w:vAlign w:val="center"/>
          </w:tcPr>
          <w:p w14:paraId="29A5E346">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5</w:t>
            </w:r>
          </w:p>
        </w:tc>
        <w:tc>
          <w:tcPr>
            <w:tcW w:w="778" w:type="dxa"/>
            <w:vMerge w:val="continue"/>
            <w:vAlign w:val="center"/>
          </w:tcPr>
          <w:p w14:paraId="5C0CCC3F">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7204623A">
            <w:pPr>
              <w:widowControl/>
              <w:spacing w:line="240" w:lineRule="auto"/>
              <w:ind w:firstLine="0" w:firstLineChars="0"/>
              <w:jc w:val="center"/>
              <w:rPr>
                <w:rFonts w:hint="eastAsia" w:cs="宋体"/>
                <w:color w:val="000000"/>
                <w:kern w:val="0"/>
                <w:sz w:val="21"/>
                <w:szCs w:val="21"/>
              </w:rPr>
            </w:pPr>
          </w:p>
        </w:tc>
        <w:tc>
          <w:tcPr>
            <w:tcW w:w="5850" w:type="dxa"/>
            <w:vAlign w:val="center"/>
          </w:tcPr>
          <w:p w14:paraId="2D394701">
            <w:pPr>
              <w:widowControl/>
              <w:spacing w:line="240" w:lineRule="auto"/>
              <w:ind w:firstLine="0" w:firstLineChars="0"/>
              <w:jc w:val="center"/>
              <w:textAlignment w:val="center"/>
              <w:rPr>
                <w:rFonts w:hint="eastAsia" w:cs="宋体"/>
                <w:color w:val="000000"/>
                <w:kern w:val="0"/>
                <w:sz w:val="21"/>
                <w:szCs w:val="21"/>
              </w:rPr>
            </w:pPr>
            <w:r>
              <w:rPr>
                <w:rFonts w:hint="eastAsia" w:ascii="Times New Roman" w:hAnsi="Times New Roman"/>
              </w:rPr>
              <w:t>充</w:t>
            </w:r>
            <w:r>
              <w:rPr>
                <w:rFonts w:hint="eastAsia" w:cs="宋体"/>
                <w:color w:val="000000"/>
                <w:kern w:val="0"/>
                <w:sz w:val="21"/>
                <w:szCs w:val="21"/>
              </w:rPr>
              <w:t>电设施运营数据清洗规则配置</w:t>
            </w:r>
          </w:p>
        </w:tc>
      </w:tr>
      <w:tr w14:paraId="301F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vAlign w:val="center"/>
          </w:tcPr>
          <w:p w14:paraId="1DF580D0">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6</w:t>
            </w:r>
          </w:p>
        </w:tc>
        <w:tc>
          <w:tcPr>
            <w:tcW w:w="778" w:type="dxa"/>
            <w:vMerge w:val="continue"/>
            <w:vAlign w:val="center"/>
          </w:tcPr>
          <w:p w14:paraId="6E5B5C30">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41EC9938">
            <w:pPr>
              <w:widowControl/>
              <w:spacing w:line="240" w:lineRule="auto"/>
              <w:ind w:firstLine="0" w:firstLineChars="0"/>
              <w:jc w:val="center"/>
              <w:rPr>
                <w:rFonts w:hint="eastAsia" w:cs="宋体"/>
                <w:color w:val="000000"/>
                <w:kern w:val="0"/>
                <w:sz w:val="21"/>
                <w:szCs w:val="21"/>
              </w:rPr>
            </w:pPr>
          </w:p>
        </w:tc>
        <w:tc>
          <w:tcPr>
            <w:tcW w:w="5850" w:type="dxa"/>
            <w:vAlign w:val="center"/>
          </w:tcPr>
          <w:p w14:paraId="2CBED5E2">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数据质量评估服务</w:t>
            </w:r>
          </w:p>
        </w:tc>
      </w:tr>
      <w:tr w14:paraId="1061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040" w:type="dxa"/>
            <w:vAlign w:val="center"/>
          </w:tcPr>
          <w:p w14:paraId="5689F3D7">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7</w:t>
            </w:r>
          </w:p>
        </w:tc>
        <w:tc>
          <w:tcPr>
            <w:tcW w:w="778" w:type="dxa"/>
            <w:vMerge w:val="continue"/>
            <w:vAlign w:val="center"/>
          </w:tcPr>
          <w:p w14:paraId="055C5AD2">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4314EA5A">
            <w:pPr>
              <w:widowControl/>
              <w:spacing w:line="240" w:lineRule="auto"/>
              <w:ind w:firstLine="0" w:firstLineChars="0"/>
              <w:jc w:val="center"/>
              <w:rPr>
                <w:rFonts w:hint="eastAsia" w:cs="宋体"/>
                <w:color w:val="000000"/>
                <w:kern w:val="0"/>
                <w:sz w:val="21"/>
                <w:szCs w:val="21"/>
              </w:rPr>
            </w:pPr>
          </w:p>
        </w:tc>
        <w:tc>
          <w:tcPr>
            <w:tcW w:w="5850" w:type="dxa"/>
            <w:vAlign w:val="center"/>
          </w:tcPr>
          <w:p w14:paraId="146F6427">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异常数据预警与处置服务</w:t>
            </w:r>
          </w:p>
        </w:tc>
      </w:tr>
      <w:tr w14:paraId="535F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40" w:type="dxa"/>
            <w:vAlign w:val="center"/>
          </w:tcPr>
          <w:p w14:paraId="1577527F">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8</w:t>
            </w:r>
          </w:p>
        </w:tc>
        <w:tc>
          <w:tcPr>
            <w:tcW w:w="778" w:type="dxa"/>
            <w:vMerge w:val="continue"/>
            <w:vAlign w:val="center"/>
          </w:tcPr>
          <w:p w14:paraId="1DA48DB5">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4CDD1BBD">
            <w:pPr>
              <w:widowControl/>
              <w:spacing w:line="240" w:lineRule="auto"/>
              <w:ind w:firstLine="0" w:firstLineChars="0"/>
              <w:jc w:val="center"/>
              <w:rPr>
                <w:rFonts w:hint="eastAsia" w:cs="宋体"/>
                <w:color w:val="000000"/>
                <w:kern w:val="0"/>
                <w:sz w:val="21"/>
                <w:szCs w:val="21"/>
              </w:rPr>
            </w:pPr>
          </w:p>
        </w:tc>
        <w:tc>
          <w:tcPr>
            <w:tcW w:w="5850" w:type="dxa"/>
            <w:vAlign w:val="center"/>
          </w:tcPr>
          <w:p w14:paraId="597E0A55">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对账与一致性校验服务</w:t>
            </w:r>
          </w:p>
        </w:tc>
      </w:tr>
      <w:tr w14:paraId="2105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40" w:type="dxa"/>
            <w:vAlign w:val="center"/>
          </w:tcPr>
          <w:p w14:paraId="0B626ABB">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9</w:t>
            </w:r>
          </w:p>
        </w:tc>
        <w:tc>
          <w:tcPr>
            <w:tcW w:w="778" w:type="dxa"/>
            <w:vMerge w:val="continue"/>
            <w:vAlign w:val="center"/>
          </w:tcPr>
          <w:p w14:paraId="59A52D3F">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30C5B543">
            <w:pPr>
              <w:widowControl/>
              <w:spacing w:line="240" w:lineRule="auto"/>
              <w:ind w:firstLine="0" w:firstLineChars="0"/>
              <w:jc w:val="center"/>
              <w:rPr>
                <w:rFonts w:hint="eastAsia" w:cs="宋体"/>
                <w:color w:val="000000"/>
                <w:kern w:val="0"/>
                <w:sz w:val="21"/>
                <w:szCs w:val="21"/>
              </w:rPr>
            </w:pPr>
          </w:p>
        </w:tc>
        <w:tc>
          <w:tcPr>
            <w:tcW w:w="5850" w:type="dxa"/>
            <w:vAlign w:val="center"/>
          </w:tcPr>
          <w:p w14:paraId="2BC789FB">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市专班查询 API 接口</w:t>
            </w:r>
          </w:p>
        </w:tc>
      </w:tr>
      <w:tr w14:paraId="1B01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40" w:type="dxa"/>
            <w:vAlign w:val="center"/>
          </w:tcPr>
          <w:p w14:paraId="60020DAE">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10</w:t>
            </w:r>
          </w:p>
        </w:tc>
        <w:tc>
          <w:tcPr>
            <w:tcW w:w="778" w:type="dxa"/>
            <w:vMerge w:val="continue"/>
            <w:vAlign w:val="center"/>
          </w:tcPr>
          <w:p w14:paraId="49D3ABE5">
            <w:pPr>
              <w:widowControl/>
              <w:spacing w:line="240" w:lineRule="auto"/>
              <w:ind w:firstLine="0" w:firstLineChars="0"/>
              <w:jc w:val="center"/>
              <w:rPr>
                <w:rFonts w:hint="eastAsia" w:cs="宋体"/>
                <w:color w:val="000000"/>
                <w:kern w:val="0"/>
                <w:sz w:val="21"/>
                <w:szCs w:val="21"/>
              </w:rPr>
            </w:pPr>
          </w:p>
        </w:tc>
        <w:tc>
          <w:tcPr>
            <w:tcW w:w="1080" w:type="dxa"/>
            <w:vMerge w:val="restart"/>
            <w:vAlign w:val="center"/>
          </w:tcPr>
          <w:p w14:paraId="5876484E">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数据融合</w:t>
            </w:r>
          </w:p>
        </w:tc>
        <w:tc>
          <w:tcPr>
            <w:tcW w:w="5850" w:type="dxa"/>
            <w:vAlign w:val="center"/>
          </w:tcPr>
          <w:p w14:paraId="4CC0C98D">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充电设施网点、设备、订单、设备状态、告警信息的行政区划村居载体区域归属及属性信息标准化治理</w:t>
            </w:r>
          </w:p>
        </w:tc>
      </w:tr>
      <w:tr w14:paraId="2A14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1040" w:type="dxa"/>
            <w:vAlign w:val="center"/>
          </w:tcPr>
          <w:p w14:paraId="130FB919">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11</w:t>
            </w:r>
          </w:p>
        </w:tc>
        <w:tc>
          <w:tcPr>
            <w:tcW w:w="778" w:type="dxa"/>
            <w:vMerge w:val="continue"/>
            <w:vAlign w:val="center"/>
          </w:tcPr>
          <w:p w14:paraId="5D3C9DBE">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797C5B8F">
            <w:pPr>
              <w:widowControl/>
              <w:spacing w:line="240" w:lineRule="auto"/>
              <w:ind w:firstLine="0" w:firstLineChars="0"/>
              <w:jc w:val="center"/>
              <w:rPr>
                <w:rFonts w:hint="eastAsia" w:cs="宋体"/>
                <w:color w:val="000000"/>
                <w:kern w:val="0"/>
                <w:sz w:val="21"/>
                <w:szCs w:val="21"/>
              </w:rPr>
            </w:pPr>
          </w:p>
        </w:tc>
        <w:tc>
          <w:tcPr>
            <w:tcW w:w="5850" w:type="dxa"/>
            <w:vAlign w:val="center"/>
          </w:tcPr>
          <w:p w14:paraId="32D17F7A">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电池健康检测分析专题库</w:t>
            </w:r>
          </w:p>
        </w:tc>
      </w:tr>
      <w:tr w14:paraId="698A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40" w:type="dxa"/>
            <w:vAlign w:val="center"/>
          </w:tcPr>
          <w:p w14:paraId="635B2DD8">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12</w:t>
            </w:r>
          </w:p>
        </w:tc>
        <w:tc>
          <w:tcPr>
            <w:tcW w:w="778" w:type="dxa"/>
            <w:vMerge w:val="continue"/>
            <w:vAlign w:val="center"/>
          </w:tcPr>
          <w:p w14:paraId="3BFAAF6E">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1B28E162">
            <w:pPr>
              <w:widowControl/>
              <w:spacing w:line="240" w:lineRule="auto"/>
              <w:ind w:firstLine="0" w:firstLineChars="0"/>
              <w:jc w:val="center"/>
              <w:rPr>
                <w:rFonts w:hint="eastAsia" w:cs="宋体"/>
                <w:color w:val="000000"/>
                <w:kern w:val="0"/>
                <w:sz w:val="21"/>
                <w:szCs w:val="21"/>
              </w:rPr>
            </w:pPr>
          </w:p>
        </w:tc>
        <w:tc>
          <w:tcPr>
            <w:tcW w:w="5850" w:type="dxa"/>
            <w:vAlign w:val="center"/>
          </w:tcPr>
          <w:p w14:paraId="0A5B3EF4">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设备离线分析专题库</w:t>
            </w:r>
          </w:p>
        </w:tc>
      </w:tr>
      <w:tr w14:paraId="6892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vAlign w:val="center"/>
          </w:tcPr>
          <w:p w14:paraId="0A4DEB89">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13</w:t>
            </w:r>
          </w:p>
        </w:tc>
        <w:tc>
          <w:tcPr>
            <w:tcW w:w="778" w:type="dxa"/>
            <w:vMerge w:val="continue"/>
            <w:vAlign w:val="center"/>
          </w:tcPr>
          <w:p w14:paraId="6A518F87">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55FC270D">
            <w:pPr>
              <w:widowControl/>
              <w:spacing w:line="240" w:lineRule="auto"/>
              <w:ind w:firstLine="0" w:firstLineChars="0"/>
              <w:jc w:val="center"/>
              <w:rPr>
                <w:rFonts w:hint="eastAsia" w:cs="宋体"/>
                <w:color w:val="000000"/>
                <w:kern w:val="0"/>
                <w:sz w:val="21"/>
                <w:szCs w:val="21"/>
              </w:rPr>
            </w:pPr>
          </w:p>
        </w:tc>
        <w:tc>
          <w:tcPr>
            <w:tcW w:w="5850" w:type="dxa"/>
            <w:vAlign w:val="center"/>
          </w:tcPr>
          <w:p w14:paraId="457304F9">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大功率电池分析专题库</w:t>
            </w:r>
          </w:p>
        </w:tc>
      </w:tr>
      <w:tr w14:paraId="4A84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40" w:type="dxa"/>
            <w:vAlign w:val="center"/>
          </w:tcPr>
          <w:p w14:paraId="5D8A475D">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14</w:t>
            </w:r>
          </w:p>
        </w:tc>
        <w:tc>
          <w:tcPr>
            <w:tcW w:w="778" w:type="dxa"/>
            <w:vMerge w:val="continue"/>
            <w:vAlign w:val="center"/>
          </w:tcPr>
          <w:p w14:paraId="1CE0A5B6">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7141F24F">
            <w:pPr>
              <w:widowControl/>
              <w:spacing w:line="240" w:lineRule="auto"/>
              <w:ind w:firstLine="0" w:firstLineChars="0"/>
              <w:jc w:val="center"/>
              <w:rPr>
                <w:rFonts w:hint="eastAsia" w:cs="宋体"/>
                <w:color w:val="000000"/>
                <w:kern w:val="0"/>
                <w:sz w:val="21"/>
                <w:szCs w:val="21"/>
              </w:rPr>
            </w:pPr>
          </w:p>
        </w:tc>
        <w:tc>
          <w:tcPr>
            <w:tcW w:w="5850" w:type="dxa"/>
            <w:vAlign w:val="center"/>
          </w:tcPr>
          <w:p w14:paraId="09F9AD93">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充电设施及电池极端情况分析专题库</w:t>
            </w:r>
          </w:p>
        </w:tc>
      </w:tr>
      <w:tr w14:paraId="1B72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rPr>
        <w:tc>
          <w:tcPr>
            <w:tcW w:w="1040" w:type="dxa"/>
            <w:vAlign w:val="center"/>
          </w:tcPr>
          <w:p w14:paraId="5ABCB553">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15</w:t>
            </w:r>
          </w:p>
        </w:tc>
        <w:tc>
          <w:tcPr>
            <w:tcW w:w="778" w:type="dxa"/>
            <w:vMerge w:val="continue"/>
            <w:vAlign w:val="center"/>
          </w:tcPr>
          <w:p w14:paraId="14850DB1">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4F6AFF4A">
            <w:pPr>
              <w:widowControl/>
              <w:spacing w:line="240" w:lineRule="auto"/>
              <w:ind w:firstLine="0" w:firstLineChars="0"/>
              <w:jc w:val="center"/>
              <w:rPr>
                <w:rFonts w:hint="eastAsia" w:cs="宋体"/>
                <w:color w:val="000000"/>
                <w:kern w:val="0"/>
                <w:sz w:val="21"/>
                <w:szCs w:val="21"/>
              </w:rPr>
            </w:pPr>
          </w:p>
        </w:tc>
        <w:tc>
          <w:tcPr>
            <w:tcW w:w="5850" w:type="dxa"/>
            <w:vAlign w:val="center"/>
          </w:tcPr>
          <w:p w14:paraId="56D0985E">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价费分离分析专题库</w:t>
            </w:r>
          </w:p>
        </w:tc>
      </w:tr>
      <w:tr w14:paraId="185B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040" w:type="dxa"/>
            <w:vAlign w:val="center"/>
          </w:tcPr>
          <w:p w14:paraId="05BCC35A">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16</w:t>
            </w:r>
          </w:p>
        </w:tc>
        <w:tc>
          <w:tcPr>
            <w:tcW w:w="778" w:type="dxa"/>
            <w:vMerge w:val="continue"/>
            <w:vAlign w:val="center"/>
          </w:tcPr>
          <w:p w14:paraId="359F12C9">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32A0809D">
            <w:pPr>
              <w:widowControl/>
              <w:spacing w:line="240" w:lineRule="auto"/>
              <w:ind w:firstLine="0" w:firstLineChars="0"/>
              <w:jc w:val="center"/>
              <w:rPr>
                <w:rFonts w:hint="eastAsia" w:cs="宋体"/>
                <w:color w:val="000000"/>
                <w:kern w:val="0"/>
                <w:sz w:val="21"/>
                <w:szCs w:val="21"/>
              </w:rPr>
            </w:pPr>
          </w:p>
        </w:tc>
        <w:tc>
          <w:tcPr>
            <w:tcW w:w="5850" w:type="dxa"/>
            <w:vAlign w:val="center"/>
          </w:tcPr>
          <w:p w14:paraId="5272C779">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一桩一柜一档专题库</w:t>
            </w:r>
          </w:p>
        </w:tc>
      </w:tr>
      <w:tr w14:paraId="6B19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40" w:type="dxa"/>
            <w:vAlign w:val="center"/>
          </w:tcPr>
          <w:p w14:paraId="01EE43D1">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17</w:t>
            </w:r>
          </w:p>
        </w:tc>
        <w:tc>
          <w:tcPr>
            <w:tcW w:w="778" w:type="dxa"/>
            <w:vMerge w:val="continue"/>
            <w:vAlign w:val="center"/>
          </w:tcPr>
          <w:p w14:paraId="2CAC6B3D">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6D9AD37C">
            <w:pPr>
              <w:widowControl/>
              <w:spacing w:line="240" w:lineRule="auto"/>
              <w:ind w:firstLine="0" w:firstLineChars="0"/>
              <w:jc w:val="center"/>
              <w:rPr>
                <w:rFonts w:hint="eastAsia" w:cs="宋体"/>
                <w:color w:val="000000"/>
                <w:kern w:val="0"/>
                <w:sz w:val="21"/>
                <w:szCs w:val="21"/>
              </w:rPr>
            </w:pPr>
          </w:p>
        </w:tc>
        <w:tc>
          <w:tcPr>
            <w:tcW w:w="5850" w:type="dxa"/>
            <w:vAlign w:val="center"/>
          </w:tcPr>
          <w:p w14:paraId="67B02219">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入网设备动态变更匹配网点、点位信息去重、新增、撤销更新治理</w:t>
            </w:r>
          </w:p>
        </w:tc>
      </w:tr>
      <w:tr w14:paraId="1658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39767F06">
            <w:pPr>
              <w:widowControl/>
              <w:spacing w:line="240" w:lineRule="auto"/>
              <w:ind w:firstLine="0" w:firstLineChars="0"/>
              <w:jc w:val="center"/>
              <w:rPr>
                <w:rFonts w:hint="eastAsia" w:cs="宋体"/>
                <w:color w:val="000000"/>
                <w:kern w:val="0"/>
                <w:sz w:val="21"/>
                <w:szCs w:val="21"/>
              </w:rPr>
            </w:pPr>
            <w:r>
              <w:rPr>
                <w:rFonts w:hint="eastAsia" w:cs="宋体"/>
                <w:color w:val="000000"/>
                <w:kern w:val="0"/>
                <w:sz w:val="21"/>
                <w:szCs w:val="21"/>
              </w:rPr>
              <w:t>18</w:t>
            </w:r>
          </w:p>
        </w:tc>
        <w:tc>
          <w:tcPr>
            <w:tcW w:w="778" w:type="dxa"/>
            <w:vMerge w:val="continue"/>
            <w:vAlign w:val="center"/>
          </w:tcPr>
          <w:p w14:paraId="11F3E605">
            <w:pPr>
              <w:widowControl/>
              <w:spacing w:line="240" w:lineRule="auto"/>
              <w:ind w:firstLine="0" w:firstLineChars="0"/>
              <w:jc w:val="center"/>
              <w:rPr>
                <w:rFonts w:hint="eastAsia" w:cs="宋体"/>
                <w:color w:val="000000"/>
                <w:kern w:val="0"/>
                <w:sz w:val="21"/>
                <w:szCs w:val="21"/>
              </w:rPr>
            </w:pPr>
          </w:p>
        </w:tc>
        <w:tc>
          <w:tcPr>
            <w:tcW w:w="1080" w:type="dxa"/>
            <w:vMerge w:val="continue"/>
            <w:vAlign w:val="center"/>
          </w:tcPr>
          <w:p w14:paraId="54CC0350">
            <w:pPr>
              <w:widowControl/>
              <w:spacing w:line="240" w:lineRule="auto"/>
              <w:ind w:firstLine="0" w:firstLineChars="0"/>
              <w:jc w:val="center"/>
              <w:rPr>
                <w:rFonts w:hint="eastAsia" w:cs="宋体"/>
                <w:color w:val="000000"/>
                <w:kern w:val="0"/>
                <w:sz w:val="21"/>
                <w:szCs w:val="21"/>
              </w:rPr>
            </w:pPr>
          </w:p>
        </w:tc>
        <w:tc>
          <w:tcPr>
            <w:tcW w:w="5850" w:type="dxa"/>
            <w:vAlign w:val="center"/>
          </w:tcPr>
          <w:p w14:paraId="31A8086D">
            <w:pPr>
              <w:widowControl/>
              <w:spacing w:line="240" w:lineRule="auto"/>
              <w:ind w:firstLine="0" w:firstLineChars="0"/>
              <w:jc w:val="center"/>
              <w:textAlignment w:val="center"/>
              <w:rPr>
                <w:rFonts w:hint="eastAsia" w:cs="宋体"/>
                <w:color w:val="000000"/>
                <w:kern w:val="0"/>
                <w:sz w:val="21"/>
                <w:szCs w:val="21"/>
              </w:rPr>
            </w:pPr>
            <w:r>
              <w:rPr>
                <w:rFonts w:hint="eastAsia" w:cs="宋体"/>
                <w:color w:val="000000"/>
                <w:kern w:val="0"/>
                <w:sz w:val="21"/>
                <w:szCs w:val="21"/>
              </w:rPr>
              <w:t>充电设施多维度统计数据仓库搭建（市、区、街镇、村居四级）</w:t>
            </w:r>
          </w:p>
        </w:tc>
      </w:tr>
    </w:tbl>
    <w:p w14:paraId="4D094F8A">
      <w:pPr>
        <w:pStyle w:val="3"/>
        <w:ind w:firstLine="480"/>
        <w:rPr>
          <w:rFonts w:hint="eastAsia"/>
        </w:rPr>
      </w:pPr>
    </w:p>
    <w:p w14:paraId="793D40E3">
      <w:pPr>
        <w:pStyle w:val="4"/>
        <w:ind w:left="1" w:hanging="1"/>
        <w:rPr>
          <w:rFonts w:hint="eastAsia"/>
        </w:rPr>
      </w:pPr>
      <w:r>
        <w:rPr>
          <w:rFonts w:hint="eastAsia"/>
        </w:rPr>
        <w:t>业务绩效考核目标</w:t>
      </w:r>
    </w:p>
    <w:tbl>
      <w:tblPr>
        <w:tblStyle w:val="38"/>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387"/>
        <w:gridCol w:w="1559"/>
      </w:tblGrid>
      <w:tr w14:paraId="6B94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04" w:type="dxa"/>
            <w:vAlign w:val="center"/>
          </w:tcPr>
          <w:p w14:paraId="3DEF49EA">
            <w:pPr>
              <w:widowControl/>
              <w:ind w:firstLine="0" w:firstLineChars="0"/>
              <w:jc w:val="center"/>
              <w:rPr>
                <w:rFonts w:hint="eastAsia" w:asciiTheme="minorEastAsia" w:hAnsiTheme="minorEastAsia" w:eastAsiaTheme="minorEastAsia"/>
                <w:b/>
                <w:bCs/>
                <w:color w:val="000000"/>
                <w:kern w:val="0"/>
                <w:sz w:val="21"/>
                <w:szCs w:val="21"/>
              </w:rPr>
            </w:pPr>
            <w:r>
              <w:rPr>
                <w:rFonts w:hint="eastAsia" w:asciiTheme="minorEastAsia" w:hAnsiTheme="minorEastAsia" w:eastAsiaTheme="minorEastAsia"/>
                <w:b/>
                <w:bCs/>
                <w:color w:val="000000"/>
                <w:kern w:val="0"/>
                <w:sz w:val="21"/>
                <w:szCs w:val="21"/>
              </w:rPr>
              <w:t>序号</w:t>
            </w:r>
          </w:p>
        </w:tc>
        <w:tc>
          <w:tcPr>
            <w:tcW w:w="5387" w:type="dxa"/>
            <w:vAlign w:val="center"/>
          </w:tcPr>
          <w:p w14:paraId="1FF35CD1">
            <w:pPr>
              <w:widowControl/>
              <w:ind w:firstLine="0" w:firstLineChars="0"/>
              <w:jc w:val="center"/>
              <w:rPr>
                <w:rFonts w:hint="eastAsia"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业务项</w:t>
            </w:r>
          </w:p>
        </w:tc>
        <w:tc>
          <w:tcPr>
            <w:tcW w:w="1559" w:type="dxa"/>
            <w:vAlign w:val="center"/>
          </w:tcPr>
          <w:p w14:paraId="563C8A5A">
            <w:pPr>
              <w:widowControl/>
              <w:ind w:firstLine="0" w:firstLineChars="0"/>
              <w:jc w:val="center"/>
              <w:rPr>
                <w:rFonts w:hint="eastAsia"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指标</w:t>
            </w:r>
          </w:p>
        </w:tc>
      </w:tr>
      <w:tr w14:paraId="5B2C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4" w:type="dxa"/>
            <w:vAlign w:val="center"/>
          </w:tcPr>
          <w:p w14:paraId="3B735F56">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1</w:t>
            </w:r>
          </w:p>
        </w:tc>
        <w:tc>
          <w:tcPr>
            <w:tcW w:w="5387" w:type="dxa"/>
            <w:vAlign w:val="center"/>
          </w:tcPr>
          <w:p w14:paraId="541D3E48">
            <w:pPr>
              <w:pStyle w:val="89"/>
              <w:rPr>
                <w:rFonts w:hint="eastAsia" w:cs="宋体" w:asciiTheme="minorEastAsia" w:hAnsiTheme="minorEastAsia"/>
                <w:color w:val="000000"/>
                <w:kern w:val="0"/>
                <w:szCs w:val="21"/>
              </w:rPr>
            </w:pPr>
            <w:r>
              <w:rPr>
                <w:rFonts w:hint="eastAsia" w:asciiTheme="minorEastAsia" w:hAnsiTheme="minorEastAsia"/>
                <w:szCs w:val="21"/>
              </w:rPr>
              <w:t>支持并发用户数</w:t>
            </w:r>
          </w:p>
        </w:tc>
        <w:tc>
          <w:tcPr>
            <w:tcW w:w="1559" w:type="dxa"/>
            <w:vAlign w:val="center"/>
          </w:tcPr>
          <w:p w14:paraId="00EB3A69">
            <w:pPr>
              <w:pStyle w:val="89"/>
              <w:rPr>
                <w:rFonts w:hint="eastAsia" w:cs="宋体" w:asciiTheme="minorEastAsia" w:hAnsiTheme="minorEastAsia"/>
                <w:color w:val="000000"/>
                <w:kern w:val="0"/>
                <w:szCs w:val="21"/>
              </w:rPr>
            </w:pPr>
            <w:r>
              <w:rPr>
                <w:rFonts w:hint="eastAsia" w:asciiTheme="minorEastAsia" w:hAnsiTheme="minorEastAsia"/>
                <w:szCs w:val="21"/>
              </w:rPr>
              <w:t>≥50人</w:t>
            </w:r>
          </w:p>
        </w:tc>
      </w:tr>
      <w:tr w14:paraId="0BCB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4" w:type="dxa"/>
            <w:vAlign w:val="center"/>
          </w:tcPr>
          <w:p w14:paraId="52F75F25">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2</w:t>
            </w:r>
          </w:p>
        </w:tc>
        <w:tc>
          <w:tcPr>
            <w:tcW w:w="5387" w:type="dxa"/>
            <w:vAlign w:val="center"/>
          </w:tcPr>
          <w:p w14:paraId="7709ED73">
            <w:pPr>
              <w:pStyle w:val="89"/>
              <w:rPr>
                <w:rFonts w:hint="eastAsia" w:cs="宋体" w:asciiTheme="minorEastAsia" w:hAnsiTheme="minorEastAsia"/>
                <w:color w:val="000000"/>
                <w:kern w:val="0"/>
                <w:szCs w:val="21"/>
              </w:rPr>
            </w:pPr>
            <w:r>
              <w:rPr>
                <w:rFonts w:hint="eastAsia" w:asciiTheme="minorEastAsia" w:hAnsiTheme="minorEastAsia"/>
                <w:szCs w:val="21"/>
              </w:rPr>
              <w:t>系统登录时间</w:t>
            </w:r>
          </w:p>
        </w:tc>
        <w:tc>
          <w:tcPr>
            <w:tcW w:w="1559" w:type="dxa"/>
            <w:vAlign w:val="center"/>
          </w:tcPr>
          <w:p w14:paraId="52E73AE7">
            <w:pPr>
              <w:pStyle w:val="89"/>
              <w:rPr>
                <w:rFonts w:hint="eastAsia" w:cs="宋体" w:asciiTheme="minorEastAsia" w:hAnsiTheme="minorEastAsia"/>
                <w:color w:val="000000"/>
                <w:kern w:val="0"/>
                <w:szCs w:val="21"/>
              </w:rPr>
            </w:pPr>
            <w:r>
              <w:rPr>
                <w:rFonts w:hint="eastAsia" w:asciiTheme="minorEastAsia" w:hAnsiTheme="minorEastAsia"/>
                <w:szCs w:val="21"/>
              </w:rPr>
              <w:t>≤3秒</w:t>
            </w:r>
          </w:p>
        </w:tc>
      </w:tr>
      <w:tr w14:paraId="1925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04" w:type="dxa"/>
            <w:vAlign w:val="center"/>
          </w:tcPr>
          <w:p w14:paraId="1DC382DF">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3</w:t>
            </w:r>
          </w:p>
        </w:tc>
        <w:tc>
          <w:tcPr>
            <w:tcW w:w="5387" w:type="dxa"/>
            <w:vAlign w:val="center"/>
          </w:tcPr>
          <w:p w14:paraId="70805FD4">
            <w:pPr>
              <w:pStyle w:val="89"/>
              <w:rPr>
                <w:rFonts w:hint="eastAsia" w:cs="宋体" w:asciiTheme="minorEastAsia" w:hAnsiTheme="minorEastAsia"/>
                <w:color w:val="000000"/>
                <w:kern w:val="0"/>
                <w:szCs w:val="21"/>
              </w:rPr>
            </w:pPr>
            <w:r>
              <w:rPr>
                <w:rFonts w:hint="eastAsia" w:asciiTheme="minorEastAsia" w:hAnsiTheme="minorEastAsia"/>
                <w:szCs w:val="21"/>
              </w:rPr>
              <w:t>一般查询和写入操作响应时间（90%的操作页面）</w:t>
            </w:r>
          </w:p>
        </w:tc>
        <w:tc>
          <w:tcPr>
            <w:tcW w:w="1559" w:type="dxa"/>
            <w:vAlign w:val="center"/>
          </w:tcPr>
          <w:p w14:paraId="07E93869">
            <w:pPr>
              <w:pStyle w:val="89"/>
              <w:rPr>
                <w:rFonts w:hint="eastAsia" w:cs="宋体" w:asciiTheme="minorEastAsia" w:hAnsiTheme="minorEastAsia"/>
                <w:color w:val="000000"/>
                <w:kern w:val="0"/>
                <w:szCs w:val="21"/>
              </w:rPr>
            </w:pPr>
            <w:r>
              <w:rPr>
                <w:rFonts w:hint="eastAsia" w:asciiTheme="minorEastAsia" w:hAnsiTheme="minorEastAsia"/>
                <w:szCs w:val="21"/>
              </w:rPr>
              <w:t>≤3秒</w:t>
            </w:r>
          </w:p>
        </w:tc>
      </w:tr>
      <w:tr w14:paraId="2323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4" w:type="dxa"/>
            <w:vAlign w:val="center"/>
          </w:tcPr>
          <w:p w14:paraId="5C0E51E9">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4</w:t>
            </w:r>
          </w:p>
        </w:tc>
        <w:tc>
          <w:tcPr>
            <w:tcW w:w="5387" w:type="dxa"/>
            <w:vAlign w:val="center"/>
          </w:tcPr>
          <w:p w14:paraId="2C6949E9">
            <w:pPr>
              <w:pStyle w:val="89"/>
              <w:rPr>
                <w:rFonts w:hint="eastAsia" w:cs="宋体" w:asciiTheme="minorEastAsia" w:hAnsiTheme="minorEastAsia"/>
                <w:color w:val="000000"/>
                <w:kern w:val="0"/>
                <w:szCs w:val="21"/>
              </w:rPr>
            </w:pPr>
            <w:r>
              <w:rPr>
                <w:rFonts w:hint="eastAsia" w:asciiTheme="minorEastAsia" w:hAnsiTheme="minorEastAsia"/>
                <w:szCs w:val="21"/>
              </w:rPr>
              <w:t>搜索类操作响应时间（90%的搜索页面）</w:t>
            </w:r>
          </w:p>
        </w:tc>
        <w:tc>
          <w:tcPr>
            <w:tcW w:w="1559" w:type="dxa"/>
            <w:vAlign w:val="center"/>
          </w:tcPr>
          <w:p w14:paraId="5E45498F">
            <w:pPr>
              <w:pStyle w:val="89"/>
              <w:rPr>
                <w:rFonts w:hint="eastAsia" w:cs="宋体" w:asciiTheme="minorEastAsia" w:hAnsiTheme="minorEastAsia"/>
                <w:color w:val="000000"/>
                <w:kern w:val="0"/>
                <w:szCs w:val="21"/>
              </w:rPr>
            </w:pPr>
            <w:r>
              <w:rPr>
                <w:rFonts w:hint="eastAsia" w:asciiTheme="minorEastAsia" w:hAnsiTheme="minorEastAsia"/>
                <w:szCs w:val="21"/>
              </w:rPr>
              <w:t>≤3秒</w:t>
            </w:r>
          </w:p>
        </w:tc>
      </w:tr>
      <w:tr w14:paraId="3C26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4" w:type="dxa"/>
            <w:vAlign w:val="center"/>
          </w:tcPr>
          <w:p w14:paraId="2F463520">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5</w:t>
            </w:r>
          </w:p>
        </w:tc>
        <w:tc>
          <w:tcPr>
            <w:tcW w:w="5387" w:type="dxa"/>
            <w:vAlign w:val="center"/>
          </w:tcPr>
          <w:p w14:paraId="3370DB3A">
            <w:pPr>
              <w:pStyle w:val="89"/>
              <w:rPr>
                <w:rFonts w:hint="eastAsia" w:cs="宋体" w:asciiTheme="minorEastAsia" w:hAnsiTheme="minorEastAsia"/>
                <w:color w:val="000000"/>
                <w:kern w:val="0"/>
                <w:szCs w:val="21"/>
              </w:rPr>
            </w:pPr>
            <w:r>
              <w:rPr>
                <w:rFonts w:hint="eastAsia" w:asciiTheme="minorEastAsia" w:hAnsiTheme="minorEastAsia"/>
                <w:szCs w:val="21"/>
              </w:rPr>
              <w:t>报表统计类操作响应时间（90%的报表页面）</w:t>
            </w:r>
          </w:p>
        </w:tc>
        <w:tc>
          <w:tcPr>
            <w:tcW w:w="1559" w:type="dxa"/>
            <w:vAlign w:val="center"/>
          </w:tcPr>
          <w:p w14:paraId="0B97084E">
            <w:pPr>
              <w:pStyle w:val="89"/>
              <w:rPr>
                <w:rFonts w:hint="eastAsia" w:cs="宋体" w:asciiTheme="minorEastAsia" w:hAnsiTheme="minorEastAsia"/>
                <w:color w:val="000000"/>
                <w:kern w:val="0"/>
                <w:szCs w:val="21"/>
              </w:rPr>
            </w:pPr>
            <w:r>
              <w:rPr>
                <w:rFonts w:hint="eastAsia" w:asciiTheme="minorEastAsia" w:hAnsiTheme="minorEastAsia"/>
                <w:szCs w:val="21"/>
              </w:rPr>
              <w:t>≤5秒</w:t>
            </w:r>
          </w:p>
        </w:tc>
      </w:tr>
      <w:tr w14:paraId="5EC4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4" w:type="dxa"/>
            <w:vAlign w:val="center"/>
          </w:tcPr>
          <w:p w14:paraId="24CCB583">
            <w:pPr>
              <w:widowControl/>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6</w:t>
            </w:r>
          </w:p>
        </w:tc>
        <w:tc>
          <w:tcPr>
            <w:tcW w:w="5387" w:type="dxa"/>
            <w:vAlign w:val="center"/>
          </w:tcPr>
          <w:p w14:paraId="5C5C2580">
            <w:pPr>
              <w:pStyle w:val="89"/>
              <w:rPr>
                <w:rFonts w:hint="eastAsia" w:cs="宋体" w:asciiTheme="minorEastAsia" w:hAnsiTheme="minorEastAsia"/>
                <w:color w:val="000000"/>
                <w:kern w:val="0"/>
                <w:szCs w:val="21"/>
              </w:rPr>
            </w:pPr>
            <w:r>
              <w:rPr>
                <w:rFonts w:hint="eastAsia" w:asciiTheme="minorEastAsia" w:hAnsiTheme="minorEastAsia"/>
                <w:szCs w:val="21"/>
              </w:rPr>
              <w:t>充电桩运营商企业接入</w:t>
            </w:r>
          </w:p>
        </w:tc>
        <w:tc>
          <w:tcPr>
            <w:tcW w:w="1559" w:type="dxa"/>
            <w:vAlign w:val="center"/>
          </w:tcPr>
          <w:p w14:paraId="56178135">
            <w:pPr>
              <w:pStyle w:val="89"/>
              <w:rPr>
                <w:rFonts w:hint="eastAsia" w:cs="宋体" w:asciiTheme="minorEastAsia" w:hAnsiTheme="minorEastAsia"/>
                <w:color w:val="000000"/>
                <w:kern w:val="0"/>
                <w:szCs w:val="21"/>
              </w:rPr>
            </w:pPr>
            <w:r>
              <w:rPr>
                <w:rFonts w:hint="eastAsia" w:asciiTheme="minorEastAsia" w:hAnsiTheme="minorEastAsia"/>
                <w:szCs w:val="21"/>
              </w:rPr>
              <w:t>≥5家</w:t>
            </w:r>
          </w:p>
        </w:tc>
      </w:tr>
    </w:tbl>
    <w:p w14:paraId="38A27BB4">
      <w:pPr>
        <w:pStyle w:val="4"/>
        <w:ind w:left="1" w:hanging="1"/>
        <w:rPr>
          <w:rFonts w:ascii="Times New Roman" w:hAnsi="Times New Roman"/>
        </w:rPr>
      </w:pPr>
      <w:r>
        <w:rPr>
          <w:rFonts w:hint="eastAsia" w:ascii="Times New Roman" w:hAnsi="Times New Roman"/>
        </w:rPr>
        <w:t>技术绩效指标需求</w:t>
      </w:r>
    </w:p>
    <w:tbl>
      <w:tblPr>
        <w:tblStyle w:val="38"/>
        <w:tblW w:w="7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111"/>
        <w:gridCol w:w="2268"/>
      </w:tblGrid>
      <w:tr w14:paraId="006A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4C707797">
            <w:pPr>
              <w:widowControl/>
              <w:ind w:firstLine="0" w:firstLineChars="0"/>
              <w:jc w:val="center"/>
              <w:rPr>
                <w:rFonts w:hint="eastAsia"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序号</w:t>
            </w:r>
          </w:p>
        </w:tc>
        <w:tc>
          <w:tcPr>
            <w:tcW w:w="4111" w:type="dxa"/>
            <w:vAlign w:val="center"/>
          </w:tcPr>
          <w:p w14:paraId="11A8B579">
            <w:pPr>
              <w:widowControl/>
              <w:ind w:firstLine="0" w:firstLineChars="0"/>
              <w:jc w:val="center"/>
              <w:rPr>
                <w:rFonts w:hint="eastAsia"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技术考核指标</w:t>
            </w:r>
          </w:p>
        </w:tc>
        <w:tc>
          <w:tcPr>
            <w:tcW w:w="2268" w:type="dxa"/>
            <w:vAlign w:val="center"/>
          </w:tcPr>
          <w:p w14:paraId="10469FBA">
            <w:pPr>
              <w:widowControl/>
              <w:ind w:firstLine="0" w:firstLineChars="0"/>
              <w:jc w:val="center"/>
              <w:rPr>
                <w:rFonts w:hint="eastAsia"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指标值</w:t>
            </w:r>
          </w:p>
        </w:tc>
      </w:tr>
      <w:tr w14:paraId="46E2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0C3CE779">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1</w:t>
            </w:r>
          </w:p>
        </w:tc>
        <w:tc>
          <w:tcPr>
            <w:tcW w:w="4111" w:type="dxa"/>
            <w:vAlign w:val="center"/>
          </w:tcPr>
          <w:p w14:paraId="1788BCEA">
            <w:pPr>
              <w:pStyle w:val="89"/>
              <w:rPr>
                <w:rFonts w:hint="eastAsia" w:cs="宋体" w:asciiTheme="minorEastAsia" w:hAnsiTheme="minorEastAsia"/>
                <w:color w:val="000000"/>
                <w:kern w:val="0"/>
                <w:szCs w:val="21"/>
              </w:rPr>
            </w:pPr>
            <w:r>
              <w:rPr>
                <w:rFonts w:hint="eastAsia" w:asciiTheme="minorEastAsia" w:hAnsiTheme="minorEastAsia"/>
                <w:szCs w:val="21"/>
              </w:rPr>
              <w:t>软件开发完成率</w:t>
            </w:r>
          </w:p>
        </w:tc>
        <w:tc>
          <w:tcPr>
            <w:tcW w:w="2268" w:type="dxa"/>
            <w:vAlign w:val="center"/>
          </w:tcPr>
          <w:p w14:paraId="73C42593">
            <w:pPr>
              <w:pStyle w:val="89"/>
              <w:rPr>
                <w:rFonts w:hint="eastAsia" w:cs="宋体" w:asciiTheme="minorEastAsia" w:hAnsiTheme="minorEastAsia"/>
                <w:color w:val="000000"/>
                <w:kern w:val="0"/>
                <w:szCs w:val="21"/>
              </w:rPr>
            </w:pPr>
            <w:r>
              <w:rPr>
                <w:rFonts w:hint="eastAsia" w:asciiTheme="minorEastAsia" w:hAnsiTheme="minorEastAsia"/>
                <w:szCs w:val="21"/>
              </w:rPr>
              <w:t>100%</w:t>
            </w:r>
          </w:p>
        </w:tc>
      </w:tr>
      <w:tr w14:paraId="1460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75E27A7D">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2</w:t>
            </w:r>
          </w:p>
        </w:tc>
        <w:tc>
          <w:tcPr>
            <w:tcW w:w="4111" w:type="dxa"/>
            <w:vAlign w:val="center"/>
          </w:tcPr>
          <w:p w14:paraId="0C820F0A">
            <w:pPr>
              <w:pStyle w:val="89"/>
              <w:rPr>
                <w:rFonts w:hint="eastAsia" w:cs="宋体" w:asciiTheme="minorEastAsia" w:hAnsiTheme="minorEastAsia"/>
                <w:color w:val="000000"/>
                <w:kern w:val="0"/>
                <w:szCs w:val="21"/>
              </w:rPr>
            </w:pPr>
            <w:r>
              <w:rPr>
                <w:rFonts w:hint="eastAsia" w:asciiTheme="minorEastAsia" w:hAnsiTheme="minorEastAsia"/>
                <w:szCs w:val="21"/>
              </w:rPr>
              <w:t>一次性验收合格率</w:t>
            </w:r>
          </w:p>
        </w:tc>
        <w:tc>
          <w:tcPr>
            <w:tcW w:w="2268" w:type="dxa"/>
            <w:vAlign w:val="center"/>
          </w:tcPr>
          <w:p w14:paraId="7487AF66">
            <w:pPr>
              <w:pStyle w:val="89"/>
              <w:rPr>
                <w:rFonts w:hint="eastAsia" w:cs="宋体" w:asciiTheme="minorEastAsia" w:hAnsiTheme="minorEastAsia"/>
                <w:color w:val="000000"/>
                <w:kern w:val="0"/>
                <w:szCs w:val="21"/>
              </w:rPr>
            </w:pPr>
            <w:r>
              <w:rPr>
                <w:rFonts w:hint="eastAsia" w:asciiTheme="minorEastAsia" w:hAnsiTheme="minorEastAsia"/>
                <w:szCs w:val="21"/>
              </w:rPr>
              <w:t>100%</w:t>
            </w:r>
          </w:p>
        </w:tc>
      </w:tr>
      <w:tr w14:paraId="7816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5EF7EF73">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5</w:t>
            </w:r>
          </w:p>
        </w:tc>
        <w:tc>
          <w:tcPr>
            <w:tcW w:w="4111" w:type="dxa"/>
            <w:vAlign w:val="center"/>
          </w:tcPr>
          <w:p w14:paraId="68A9F307">
            <w:pPr>
              <w:pStyle w:val="89"/>
              <w:rPr>
                <w:rFonts w:hint="eastAsia" w:cs="宋体" w:asciiTheme="minorEastAsia" w:hAnsiTheme="minorEastAsia"/>
                <w:color w:val="000000"/>
                <w:kern w:val="0"/>
                <w:szCs w:val="21"/>
              </w:rPr>
            </w:pPr>
            <w:r>
              <w:rPr>
                <w:rFonts w:hint="eastAsia" w:asciiTheme="minorEastAsia" w:hAnsiTheme="minorEastAsia"/>
                <w:szCs w:val="21"/>
              </w:rPr>
              <w:t>系统稳定性</w:t>
            </w:r>
          </w:p>
        </w:tc>
        <w:tc>
          <w:tcPr>
            <w:tcW w:w="2268" w:type="dxa"/>
            <w:vAlign w:val="center"/>
          </w:tcPr>
          <w:p w14:paraId="5ADD5518">
            <w:pPr>
              <w:pStyle w:val="89"/>
              <w:rPr>
                <w:rFonts w:hint="eastAsia" w:cs="宋体" w:asciiTheme="minorEastAsia" w:hAnsiTheme="minorEastAsia"/>
                <w:color w:val="000000"/>
                <w:kern w:val="0"/>
                <w:szCs w:val="21"/>
              </w:rPr>
            </w:pPr>
            <w:r>
              <w:rPr>
                <w:rFonts w:hint="eastAsia" w:asciiTheme="minorEastAsia" w:hAnsiTheme="minorEastAsia"/>
                <w:szCs w:val="21"/>
              </w:rPr>
              <w:t>≥99%</w:t>
            </w:r>
          </w:p>
        </w:tc>
      </w:tr>
      <w:tr w14:paraId="760B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0BE3C2E0">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6</w:t>
            </w:r>
          </w:p>
        </w:tc>
        <w:tc>
          <w:tcPr>
            <w:tcW w:w="4111" w:type="dxa"/>
            <w:vAlign w:val="center"/>
          </w:tcPr>
          <w:p w14:paraId="3BB7BA0E">
            <w:pPr>
              <w:pStyle w:val="89"/>
              <w:rPr>
                <w:rFonts w:hint="eastAsia" w:cs="宋体" w:asciiTheme="minorEastAsia" w:hAnsiTheme="minorEastAsia"/>
                <w:color w:val="000000"/>
                <w:kern w:val="0"/>
                <w:szCs w:val="21"/>
              </w:rPr>
            </w:pPr>
            <w:r>
              <w:rPr>
                <w:rFonts w:hint="eastAsia" w:asciiTheme="minorEastAsia" w:hAnsiTheme="minorEastAsia"/>
                <w:szCs w:val="21"/>
              </w:rPr>
              <w:t>软件测试</w:t>
            </w:r>
          </w:p>
        </w:tc>
        <w:tc>
          <w:tcPr>
            <w:tcW w:w="2268" w:type="dxa"/>
            <w:vAlign w:val="center"/>
          </w:tcPr>
          <w:p w14:paraId="12698B26">
            <w:pPr>
              <w:pStyle w:val="89"/>
              <w:rPr>
                <w:rFonts w:hint="eastAsia" w:cs="宋体" w:asciiTheme="minorEastAsia" w:hAnsiTheme="minorEastAsia"/>
                <w:color w:val="000000"/>
                <w:kern w:val="0"/>
                <w:szCs w:val="21"/>
              </w:rPr>
            </w:pPr>
            <w:r>
              <w:rPr>
                <w:rFonts w:hint="eastAsia" w:asciiTheme="minorEastAsia" w:hAnsiTheme="minorEastAsia"/>
                <w:szCs w:val="21"/>
              </w:rPr>
              <w:t>通过</w:t>
            </w:r>
          </w:p>
        </w:tc>
      </w:tr>
      <w:tr w14:paraId="65E7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407838E2">
            <w:pPr>
              <w:widowControl/>
              <w:ind w:firstLine="0" w:firstLineChars="0"/>
              <w:jc w:val="center"/>
              <w:rPr>
                <w:rFonts w:hint="eastAsia"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7</w:t>
            </w:r>
          </w:p>
        </w:tc>
        <w:tc>
          <w:tcPr>
            <w:tcW w:w="4111" w:type="dxa"/>
            <w:vAlign w:val="center"/>
          </w:tcPr>
          <w:p w14:paraId="5F2AFD0F">
            <w:pPr>
              <w:pStyle w:val="89"/>
              <w:rPr>
                <w:rFonts w:hint="eastAsia" w:cs="宋体" w:asciiTheme="minorEastAsia" w:hAnsiTheme="minorEastAsia"/>
                <w:color w:val="000000"/>
                <w:kern w:val="0"/>
                <w:szCs w:val="21"/>
              </w:rPr>
            </w:pPr>
            <w:r>
              <w:rPr>
                <w:rFonts w:hint="eastAsia" w:asciiTheme="minorEastAsia" w:hAnsiTheme="minorEastAsia"/>
                <w:szCs w:val="21"/>
              </w:rPr>
              <w:t>密码测评</w:t>
            </w:r>
          </w:p>
        </w:tc>
        <w:tc>
          <w:tcPr>
            <w:tcW w:w="2268" w:type="dxa"/>
            <w:vAlign w:val="center"/>
          </w:tcPr>
          <w:p w14:paraId="0F3B02D1">
            <w:pPr>
              <w:pStyle w:val="89"/>
              <w:rPr>
                <w:rFonts w:hint="eastAsia" w:cs="宋体" w:asciiTheme="minorEastAsia" w:hAnsiTheme="minorEastAsia"/>
                <w:color w:val="000000"/>
                <w:kern w:val="0"/>
                <w:szCs w:val="21"/>
              </w:rPr>
            </w:pPr>
            <w:r>
              <w:rPr>
                <w:rFonts w:hint="eastAsia" w:asciiTheme="minorEastAsia" w:hAnsiTheme="minorEastAsia"/>
                <w:szCs w:val="21"/>
              </w:rPr>
              <w:t>通过</w:t>
            </w:r>
          </w:p>
        </w:tc>
      </w:tr>
      <w:tr w14:paraId="1FC3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06FCE037">
            <w:pPr>
              <w:widowControl/>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8</w:t>
            </w:r>
          </w:p>
        </w:tc>
        <w:tc>
          <w:tcPr>
            <w:tcW w:w="4111" w:type="dxa"/>
            <w:vAlign w:val="center"/>
          </w:tcPr>
          <w:p w14:paraId="2E324877">
            <w:pPr>
              <w:pStyle w:val="89"/>
              <w:rPr>
                <w:rFonts w:hint="eastAsia" w:asciiTheme="minorEastAsia" w:hAnsiTheme="minorEastAsia"/>
                <w:szCs w:val="21"/>
              </w:rPr>
            </w:pPr>
            <w:r>
              <w:rPr>
                <w:rFonts w:hint="eastAsia" w:asciiTheme="minorEastAsia" w:hAnsiTheme="minorEastAsia"/>
                <w:szCs w:val="21"/>
              </w:rPr>
              <w:t>安全测评</w:t>
            </w:r>
          </w:p>
        </w:tc>
        <w:tc>
          <w:tcPr>
            <w:tcW w:w="2268" w:type="dxa"/>
            <w:vAlign w:val="center"/>
          </w:tcPr>
          <w:p w14:paraId="5A12D6B2">
            <w:pPr>
              <w:pStyle w:val="89"/>
              <w:rPr>
                <w:rFonts w:hint="eastAsia" w:asciiTheme="minorEastAsia" w:hAnsiTheme="minorEastAsia"/>
                <w:szCs w:val="21"/>
              </w:rPr>
            </w:pPr>
            <w:r>
              <w:rPr>
                <w:rFonts w:hint="eastAsia" w:asciiTheme="minorEastAsia" w:hAnsiTheme="minorEastAsia"/>
                <w:szCs w:val="21"/>
              </w:rPr>
              <w:t>通过</w:t>
            </w:r>
          </w:p>
        </w:tc>
      </w:tr>
      <w:tr w14:paraId="6CFA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3" w:type="dxa"/>
            <w:vAlign w:val="center"/>
          </w:tcPr>
          <w:p w14:paraId="2075A28E">
            <w:pPr>
              <w:widowControl/>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9</w:t>
            </w:r>
          </w:p>
        </w:tc>
        <w:tc>
          <w:tcPr>
            <w:tcW w:w="4111" w:type="dxa"/>
            <w:vAlign w:val="center"/>
          </w:tcPr>
          <w:p w14:paraId="5BE9EDF0">
            <w:pPr>
              <w:pStyle w:val="89"/>
              <w:rPr>
                <w:rFonts w:hint="eastAsia" w:asciiTheme="minorEastAsia" w:hAnsiTheme="minorEastAsia"/>
                <w:szCs w:val="21"/>
              </w:rPr>
            </w:pPr>
            <w:r>
              <w:rPr>
                <w:rFonts w:hint="eastAsia" w:asciiTheme="minorEastAsia" w:hAnsiTheme="minorEastAsia"/>
                <w:szCs w:val="21"/>
              </w:rPr>
              <w:t>系统用户量</w:t>
            </w:r>
          </w:p>
        </w:tc>
        <w:tc>
          <w:tcPr>
            <w:tcW w:w="2268" w:type="dxa"/>
            <w:vAlign w:val="center"/>
          </w:tcPr>
          <w:p w14:paraId="3859ED8D">
            <w:pPr>
              <w:pStyle w:val="89"/>
              <w:rPr>
                <w:rFonts w:hint="eastAsia" w:asciiTheme="minorEastAsia" w:hAnsiTheme="minorEastAsia"/>
                <w:szCs w:val="21"/>
              </w:rPr>
            </w:pPr>
            <w:r>
              <w:rPr>
                <w:rFonts w:hint="eastAsia" w:asciiTheme="minorEastAsia" w:hAnsiTheme="minorEastAsia"/>
                <w:szCs w:val="21"/>
              </w:rPr>
              <w:t>≥100人</w:t>
            </w:r>
          </w:p>
        </w:tc>
      </w:tr>
    </w:tbl>
    <w:p w14:paraId="735AE83A">
      <w:pPr>
        <w:pStyle w:val="4"/>
        <w:ind w:left="1" w:hanging="1"/>
        <w:rPr>
          <w:rFonts w:ascii="Times New Roman" w:hAnsi="Times New Roman"/>
        </w:rPr>
      </w:pPr>
      <w:r>
        <w:rPr>
          <w:rFonts w:hint="eastAsia" w:ascii="Times New Roman" w:hAnsi="Times New Roman"/>
        </w:rPr>
        <w:t>性能指标需求</w:t>
      </w:r>
    </w:p>
    <w:p w14:paraId="018BFF45">
      <w:pPr>
        <w:rPr>
          <w:rFonts w:hint="eastAsia" w:asciiTheme="minorEastAsia" w:hAnsiTheme="minorEastAsia" w:eastAsiaTheme="minorEastAsia"/>
        </w:rPr>
      </w:pPr>
      <w:r>
        <w:rPr>
          <w:rFonts w:hint="eastAsia" w:asciiTheme="minorEastAsia" w:hAnsiTheme="minorEastAsia" w:eastAsiaTheme="minorEastAsia"/>
        </w:rPr>
        <w:t>本项目系统性能需求如下：</w:t>
      </w:r>
    </w:p>
    <w:p w14:paraId="72CCB9D4">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用户数≥1</w:t>
      </w:r>
      <w:r>
        <w:rPr>
          <w:rFonts w:asciiTheme="minorEastAsia" w:hAnsiTheme="minorEastAsia" w:eastAsiaTheme="minorEastAsia"/>
        </w:rPr>
        <w:t>00</w:t>
      </w:r>
      <w:r>
        <w:rPr>
          <w:rFonts w:hint="eastAsia" w:asciiTheme="minorEastAsia" w:hAnsiTheme="minorEastAsia" w:eastAsiaTheme="minorEastAsia"/>
        </w:rPr>
        <w:t>；</w:t>
      </w:r>
    </w:p>
    <w:p w14:paraId="3301E9F6">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并发用户数≥50；</w:t>
      </w:r>
    </w:p>
    <w:p w14:paraId="6B794F9E">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系统登陆时间≤3秒；</w:t>
      </w:r>
    </w:p>
    <w:p w14:paraId="27F044A8">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一般查询和写入操作响应时间（</w:t>
      </w:r>
      <w:r>
        <w:rPr>
          <w:rFonts w:asciiTheme="minorEastAsia" w:hAnsiTheme="minorEastAsia" w:eastAsiaTheme="minorEastAsia"/>
        </w:rPr>
        <w:t>90%</w:t>
      </w:r>
      <w:r>
        <w:rPr>
          <w:rFonts w:hint="eastAsia" w:asciiTheme="minorEastAsia" w:hAnsiTheme="minorEastAsia" w:eastAsiaTheme="minorEastAsia"/>
        </w:rPr>
        <w:t>的操作页面）≤3秒；</w:t>
      </w:r>
    </w:p>
    <w:p w14:paraId="47869601">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搜索类操作响应时间≤3秒；</w:t>
      </w:r>
    </w:p>
    <w:p w14:paraId="11358E51">
      <w:pPr>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报表统计类操作响应时间≤</w:t>
      </w:r>
      <w:r>
        <w:rPr>
          <w:rFonts w:asciiTheme="minorEastAsia" w:hAnsiTheme="minorEastAsia" w:eastAsiaTheme="minorEastAsia"/>
        </w:rPr>
        <w:t>5</w:t>
      </w:r>
      <w:r>
        <w:rPr>
          <w:rFonts w:hint="eastAsia" w:asciiTheme="minorEastAsia" w:hAnsiTheme="minorEastAsia" w:eastAsiaTheme="minorEastAsia"/>
        </w:rPr>
        <w:t>秒；</w:t>
      </w:r>
    </w:p>
    <w:p w14:paraId="4EA166C2">
      <w:pPr>
        <w:pStyle w:val="2"/>
        <w:ind w:left="-2" w:leftChars="-1" w:firstLine="1"/>
        <w:rPr>
          <w:rFonts w:ascii="Times New Roman" w:hAnsi="Times New Roman"/>
        </w:rPr>
      </w:pPr>
      <w:bookmarkStart w:id="17" w:name="_Toc63785502"/>
      <w:r>
        <w:rPr>
          <w:rFonts w:hint="eastAsia" w:ascii="Times New Roman" w:hAnsi="Times New Roman"/>
        </w:rPr>
        <w:t>电子政务云资源需求</w:t>
      </w:r>
      <w:bookmarkEnd w:id="17"/>
    </w:p>
    <w:p w14:paraId="20EFF632">
      <w:pPr>
        <w:rPr>
          <w:rFonts w:ascii="Times New Roman" w:hAnsi="Times New Roman"/>
        </w:rPr>
      </w:pPr>
      <w:r>
        <w:rPr>
          <w:rFonts w:hint="eastAsia" w:ascii="Times New Roman" w:hAnsi="Times New Roman"/>
        </w:rPr>
        <w:t>1、政务云资源情况如下：</w:t>
      </w:r>
    </w:p>
    <w:p w14:paraId="30C4AE36">
      <w:pPr>
        <w:ind w:firstLine="0" w:firstLineChars="0"/>
        <w:rPr>
          <w:rFonts w:ascii="Times New Roman" w:hAnsi="Times New Roman"/>
        </w:rPr>
      </w:pPr>
      <w:r>
        <w:rPr>
          <w:rFonts w:hint="eastAsia" w:ascii="Times New Roman" w:hAnsi="Times New Roman"/>
        </w:rPr>
        <w:t>本次建设根据估算拟向电子政务云申请虚拟机、存储。</w:t>
      </w:r>
    </w:p>
    <w:p w14:paraId="045C237D">
      <w:pPr>
        <w:rPr>
          <w:rFonts w:ascii="Times New Roman" w:hAnsi="Times New Roman"/>
        </w:rPr>
      </w:pPr>
      <w:r>
        <w:rPr>
          <w:rFonts w:hint="eastAsia" w:ascii="Times New Roman" w:hAnsi="Times New Roman"/>
        </w:rPr>
        <w:t>2、P</w:t>
      </w:r>
      <w:r>
        <w:rPr>
          <w:rFonts w:ascii="Times New Roman" w:hAnsi="Times New Roman"/>
        </w:rPr>
        <w:t>aaS</w:t>
      </w:r>
      <w:r>
        <w:rPr>
          <w:rFonts w:hint="eastAsia" w:ascii="Times New Roman" w:hAnsi="Times New Roman"/>
        </w:rPr>
        <w:t>服务资源需求如下，需在该范围内进行系统设计。</w:t>
      </w:r>
    </w:p>
    <w:tbl>
      <w:tblPr>
        <w:tblStyle w:val="38"/>
        <w:tblW w:w="33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4569"/>
      </w:tblGrid>
      <w:tr w14:paraId="3D6F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5DCA2C07">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序号</w:t>
            </w:r>
          </w:p>
        </w:tc>
        <w:tc>
          <w:tcPr>
            <w:tcW w:w="4017" w:type="pct"/>
            <w:noWrap/>
          </w:tcPr>
          <w:p w14:paraId="3007FC89">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资源名称</w:t>
            </w:r>
          </w:p>
        </w:tc>
      </w:tr>
      <w:tr w14:paraId="395F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83" w:type="pct"/>
            <w:noWrap/>
          </w:tcPr>
          <w:p w14:paraId="054401AA">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1</w:t>
            </w:r>
          </w:p>
        </w:tc>
        <w:tc>
          <w:tcPr>
            <w:tcW w:w="4017" w:type="pct"/>
            <w:noWrap/>
          </w:tcPr>
          <w:p w14:paraId="1D008E48">
            <w:pPr>
              <w:widowControl/>
              <w:spacing w:line="240" w:lineRule="auto"/>
              <w:ind w:firstLine="0" w:firstLineChars="0"/>
              <w:jc w:val="center"/>
              <w:rPr>
                <w:rFonts w:ascii="Times New Roman" w:hAnsi="Times New Roman" w:cs="宋体" w:eastAsiaTheme="minorEastAsia"/>
                <w:color w:val="000000"/>
                <w:kern w:val="0"/>
              </w:rPr>
            </w:pPr>
            <w:r>
              <w:rPr>
                <w:rFonts w:hint="eastAsia" w:cs="宋体"/>
                <w:color w:val="000000"/>
                <w:kern w:val="0"/>
                <w:sz w:val="22"/>
                <w:szCs w:val="22"/>
              </w:rPr>
              <w:t>操作系统服务-麒麟</w:t>
            </w:r>
          </w:p>
        </w:tc>
      </w:tr>
      <w:tr w14:paraId="70D0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12EDB815">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2</w:t>
            </w:r>
          </w:p>
        </w:tc>
        <w:tc>
          <w:tcPr>
            <w:tcW w:w="4017" w:type="pct"/>
            <w:noWrap/>
            <w:vAlign w:val="center"/>
          </w:tcPr>
          <w:p w14:paraId="44BBB9B9">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中间件</w:t>
            </w:r>
          </w:p>
        </w:tc>
      </w:tr>
      <w:tr w14:paraId="74F2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983" w:type="pct"/>
            <w:noWrap/>
          </w:tcPr>
          <w:p w14:paraId="12BA1B81">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3</w:t>
            </w:r>
          </w:p>
        </w:tc>
        <w:tc>
          <w:tcPr>
            <w:tcW w:w="4017" w:type="pct"/>
            <w:noWrap/>
            <w:vAlign w:val="center"/>
          </w:tcPr>
          <w:p w14:paraId="08BDD073">
            <w:pPr>
              <w:widowControl/>
              <w:spacing w:line="240" w:lineRule="auto"/>
              <w:ind w:firstLine="0" w:firstLineChars="0"/>
              <w:jc w:val="center"/>
              <w:textAlignment w:val="center"/>
              <w:rPr>
                <w:rFonts w:hint="eastAsia" w:cs="宋体"/>
                <w:kern w:val="0"/>
              </w:rPr>
            </w:pPr>
            <w:r>
              <w:rPr>
                <w:rFonts w:hint="eastAsia" w:cs="宋体"/>
                <w:kern w:val="0"/>
                <w:sz w:val="22"/>
                <w:szCs w:val="22"/>
              </w:rPr>
              <w:t>数据库服务</w:t>
            </w:r>
          </w:p>
        </w:tc>
      </w:tr>
      <w:tr w14:paraId="018A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1678CD3F">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4</w:t>
            </w:r>
          </w:p>
        </w:tc>
        <w:tc>
          <w:tcPr>
            <w:tcW w:w="4017" w:type="pct"/>
            <w:noWrap/>
            <w:vAlign w:val="center"/>
          </w:tcPr>
          <w:p w14:paraId="336695B9">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安全防病毒(服务器端)</w:t>
            </w:r>
          </w:p>
        </w:tc>
      </w:tr>
      <w:tr w14:paraId="4E75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3CE8930C">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5</w:t>
            </w:r>
          </w:p>
        </w:tc>
        <w:tc>
          <w:tcPr>
            <w:tcW w:w="4017" w:type="pct"/>
            <w:noWrap/>
            <w:vAlign w:val="center"/>
          </w:tcPr>
          <w:p w14:paraId="415E01BC">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安全认证网关服务</w:t>
            </w:r>
          </w:p>
        </w:tc>
      </w:tr>
      <w:tr w14:paraId="5FC7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0A1B13DD">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6</w:t>
            </w:r>
          </w:p>
        </w:tc>
        <w:tc>
          <w:tcPr>
            <w:tcW w:w="4017" w:type="pct"/>
            <w:noWrap/>
            <w:vAlign w:val="center"/>
          </w:tcPr>
          <w:p w14:paraId="4BD5AFD8">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签名验签服务</w:t>
            </w:r>
          </w:p>
        </w:tc>
      </w:tr>
      <w:tr w14:paraId="3442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983" w:type="pct"/>
            <w:noWrap/>
          </w:tcPr>
          <w:p w14:paraId="0FCC5BFE">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7</w:t>
            </w:r>
          </w:p>
        </w:tc>
        <w:tc>
          <w:tcPr>
            <w:tcW w:w="4017" w:type="pct"/>
            <w:noWrap/>
            <w:vAlign w:val="center"/>
          </w:tcPr>
          <w:p w14:paraId="2DF1E748">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可信密码服务</w:t>
            </w:r>
          </w:p>
        </w:tc>
      </w:tr>
      <w:tr w14:paraId="3EB3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75E81BAA">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8</w:t>
            </w:r>
          </w:p>
        </w:tc>
        <w:tc>
          <w:tcPr>
            <w:tcW w:w="4017" w:type="pct"/>
            <w:noWrap/>
            <w:vAlign w:val="center"/>
          </w:tcPr>
          <w:p w14:paraId="647A30E8">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身份认证服务 - 个人多源认证</w:t>
            </w:r>
          </w:p>
        </w:tc>
      </w:tr>
      <w:tr w14:paraId="3C2F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78FA6CDC">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9</w:t>
            </w:r>
          </w:p>
        </w:tc>
        <w:tc>
          <w:tcPr>
            <w:tcW w:w="4017" w:type="pct"/>
            <w:noWrap/>
            <w:vAlign w:val="center"/>
          </w:tcPr>
          <w:p w14:paraId="3A2F1B19">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身份认证服务 - 公务人员统一身份认证</w:t>
            </w:r>
          </w:p>
        </w:tc>
      </w:tr>
      <w:tr w14:paraId="104A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83" w:type="pct"/>
            <w:noWrap/>
          </w:tcPr>
          <w:p w14:paraId="0264D264">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10</w:t>
            </w:r>
          </w:p>
        </w:tc>
        <w:tc>
          <w:tcPr>
            <w:tcW w:w="4017" w:type="pct"/>
            <w:noWrap/>
            <w:vAlign w:val="center"/>
          </w:tcPr>
          <w:p w14:paraId="70E80664">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文字识别服务（OCR）</w:t>
            </w:r>
          </w:p>
        </w:tc>
      </w:tr>
      <w:tr w14:paraId="1A3D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983" w:type="pct"/>
            <w:noWrap/>
          </w:tcPr>
          <w:p w14:paraId="044C5A54">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11</w:t>
            </w:r>
          </w:p>
        </w:tc>
        <w:tc>
          <w:tcPr>
            <w:tcW w:w="4017" w:type="pct"/>
            <w:noWrap/>
            <w:vAlign w:val="center"/>
          </w:tcPr>
          <w:p w14:paraId="003206DC">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数字证书服务 - SSL证书-通配符</w:t>
            </w:r>
          </w:p>
        </w:tc>
      </w:tr>
      <w:tr w14:paraId="7787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3" w:type="pct"/>
            <w:noWrap/>
          </w:tcPr>
          <w:p w14:paraId="5281E773">
            <w:pPr>
              <w:widowControl/>
              <w:spacing w:line="240" w:lineRule="auto"/>
              <w:ind w:firstLine="0" w:firstLineChars="0"/>
              <w:jc w:val="center"/>
              <w:rPr>
                <w:rFonts w:ascii="Times New Roman" w:hAnsi="Times New Roman" w:cs="宋体" w:eastAsiaTheme="minorEastAsia"/>
                <w:color w:val="000000"/>
                <w:kern w:val="0"/>
              </w:rPr>
            </w:pPr>
            <w:r>
              <w:rPr>
                <w:rFonts w:hint="eastAsia" w:ascii="Times New Roman" w:hAnsi="Times New Roman" w:cs="宋体" w:eastAsiaTheme="minorEastAsia"/>
                <w:color w:val="000000"/>
                <w:kern w:val="0"/>
              </w:rPr>
              <w:t>12</w:t>
            </w:r>
          </w:p>
        </w:tc>
        <w:tc>
          <w:tcPr>
            <w:tcW w:w="4017" w:type="pct"/>
            <w:noWrap/>
            <w:vAlign w:val="center"/>
          </w:tcPr>
          <w:p w14:paraId="5C991354">
            <w:pPr>
              <w:widowControl/>
              <w:spacing w:line="240" w:lineRule="auto"/>
              <w:ind w:firstLine="0" w:firstLineChars="0"/>
              <w:jc w:val="center"/>
              <w:textAlignment w:val="center"/>
              <w:rPr>
                <w:rFonts w:hint="eastAsia" w:cs="宋体"/>
                <w:color w:val="000000"/>
                <w:kern w:val="0"/>
              </w:rPr>
            </w:pPr>
            <w:r>
              <w:rPr>
                <w:rFonts w:hint="eastAsia" w:cs="宋体"/>
                <w:color w:val="000000"/>
                <w:kern w:val="0"/>
                <w:sz w:val="22"/>
                <w:szCs w:val="22"/>
              </w:rPr>
              <w:t>短信服务</w:t>
            </w:r>
          </w:p>
        </w:tc>
      </w:tr>
    </w:tbl>
    <w:p w14:paraId="207F3517">
      <w:pPr>
        <w:pStyle w:val="2"/>
        <w:ind w:left="-2" w:leftChars="-1" w:firstLine="1"/>
        <w:rPr>
          <w:rFonts w:ascii="Times New Roman" w:hAnsi="Times New Roman"/>
        </w:rPr>
      </w:pPr>
      <w:bookmarkStart w:id="18" w:name="_Toc63785503"/>
      <w:r>
        <w:rPr>
          <w:rFonts w:hint="eastAsia" w:ascii="Times New Roman" w:hAnsi="Times New Roman"/>
        </w:rPr>
        <w:t>其他工作要求</w:t>
      </w:r>
      <w:bookmarkEnd w:id="18"/>
    </w:p>
    <w:p w14:paraId="4B2487CD">
      <w:pPr>
        <w:pStyle w:val="4"/>
        <w:ind w:left="1" w:hanging="1"/>
        <w:rPr>
          <w:rFonts w:ascii="Times New Roman" w:hAnsi="Times New Roman"/>
        </w:rPr>
      </w:pPr>
      <w:r>
        <w:rPr>
          <w:rFonts w:hint="eastAsia" w:ascii="Times New Roman" w:hAnsi="Times New Roman"/>
        </w:rPr>
        <w:t>售后服务要求</w:t>
      </w:r>
    </w:p>
    <w:p w14:paraId="537A9226">
      <w:pPr>
        <w:pStyle w:val="106"/>
        <w:snapToGrid w:val="0"/>
        <w:spacing w:line="360" w:lineRule="auto"/>
        <w:ind w:firstLine="480"/>
        <w:rPr>
          <w:sz w:val="24"/>
          <w:szCs w:val="24"/>
        </w:rPr>
      </w:pPr>
      <w:r>
        <w:rPr>
          <w:rFonts w:hint="eastAsia"/>
          <w:sz w:val="24"/>
          <w:szCs w:val="24"/>
        </w:rPr>
        <w:t>本项目从系统验收通过之日起1年内提供7*24小时免费技术支持和售后服务，1年后进入有偿维护期。</w:t>
      </w:r>
    </w:p>
    <w:p w14:paraId="20458B02">
      <w:pPr>
        <w:pStyle w:val="106"/>
        <w:snapToGrid w:val="0"/>
        <w:spacing w:line="360" w:lineRule="auto"/>
        <w:ind w:firstLine="480"/>
        <w:rPr>
          <w:sz w:val="24"/>
          <w:szCs w:val="24"/>
        </w:rPr>
      </w:pPr>
      <w:r>
        <w:rPr>
          <w:rFonts w:hint="eastAsia"/>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26F27EFB">
      <w:pPr>
        <w:pStyle w:val="106"/>
        <w:snapToGrid w:val="0"/>
        <w:spacing w:line="360" w:lineRule="auto"/>
        <w:ind w:firstLine="480"/>
        <w:rPr>
          <w:sz w:val="24"/>
          <w:szCs w:val="24"/>
        </w:rPr>
      </w:pPr>
      <w:r>
        <w:rPr>
          <w:rFonts w:hint="eastAsia"/>
          <w:sz w:val="24"/>
          <w:szCs w:val="24"/>
        </w:rPr>
        <w:t>在质量保证期内，供应商负责信息系统的运行维护工作，确保信息系统安全、稳定、可靠地运行。本项目涉及的运行维护工作范围为：上海市电动自行车充换电设施安全监测预警子系统。</w:t>
      </w:r>
    </w:p>
    <w:p w14:paraId="3FFE1FF3">
      <w:pPr>
        <w:pStyle w:val="4"/>
        <w:ind w:left="1" w:hanging="1"/>
        <w:rPr>
          <w:rFonts w:ascii="Times New Roman" w:hAnsi="Times New Roman"/>
        </w:rPr>
      </w:pPr>
      <w:r>
        <w:rPr>
          <w:rFonts w:hint="eastAsia" w:ascii="Times New Roman" w:hAnsi="Times New Roman"/>
        </w:rPr>
        <w:t>应急响应要求</w:t>
      </w:r>
    </w:p>
    <w:p w14:paraId="131C9308">
      <w:pPr>
        <w:snapToGrid w:val="0"/>
        <w:rPr>
          <w:rFonts w:hint="eastAsia"/>
        </w:rPr>
      </w:pPr>
      <w:r>
        <w:rPr>
          <w:rFonts w:hint="eastAsia"/>
        </w:rPr>
        <w:t>供应商对系统故障应能够实时响应，若系统发生故障，接到通知后30分钟之内响应，专业工程师2小时内到达现场。特殊故障与客户沟通协商后，按照协商的方式制定解决方案并进行处理。</w:t>
      </w:r>
    </w:p>
    <w:p w14:paraId="4A416702">
      <w:pPr>
        <w:snapToGrid w:val="0"/>
        <w:rPr>
          <w:rFonts w:hint="eastAsia"/>
        </w:rPr>
      </w:pPr>
      <w:r>
        <w:rPr>
          <w:rFonts w:hint="eastAsia"/>
        </w:rPr>
        <w:t>具体故障级别及对应的应急响应要求如下：</w:t>
      </w:r>
    </w:p>
    <w:p w14:paraId="4A198E0B">
      <w:pPr>
        <w:snapToGrid w:val="0"/>
        <w:rPr>
          <w:rFonts w:hint="eastAsia"/>
        </w:rPr>
      </w:pPr>
      <w:r>
        <w:rPr>
          <w:rFonts w:hint="eastAsia"/>
        </w:rPr>
        <w:t>一级故障：在1小时内确诊，总故障解决时间不超过4小时。</w:t>
      </w:r>
    </w:p>
    <w:p w14:paraId="516B1F6D">
      <w:pPr>
        <w:snapToGrid w:val="0"/>
        <w:rPr>
          <w:rFonts w:hint="eastAsia"/>
        </w:rPr>
      </w:pPr>
      <w:r>
        <w:rPr>
          <w:rFonts w:hint="eastAsia"/>
        </w:rPr>
        <w:t>二级故障：在2小时内确诊，并在4小时内由专家到达现场确诊并解决，总故障解决时间不超过8小时；</w:t>
      </w:r>
    </w:p>
    <w:p w14:paraId="15A173DD">
      <w:pPr>
        <w:snapToGrid w:val="0"/>
        <w:rPr>
          <w:rFonts w:hint="eastAsia"/>
        </w:rPr>
      </w:pPr>
      <w:r>
        <w:rPr>
          <w:rFonts w:hint="eastAsia"/>
        </w:rPr>
        <w:t>三、四级故障：在4小时内确诊故障，总故障解决时间不超过16小时</w:t>
      </w:r>
      <w:r>
        <w:t>。</w:t>
      </w:r>
    </w:p>
    <w:p w14:paraId="6DE6A1E6">
      <w:pPr>
        <w:pStyle w:val="4"/>
        <w:ind w:left="1" w:hanging="1"/>
        <w:rPr>
          <w:rFonts w:ascii="Times New Roman" w:hAnsi="Times New Roman"/>
        </w:rPr>
      </w:pPr>
      <w:bookmarkStart w:id="19" w:name="_Toc63785507"/>
      <w:r>
        <w:rPr>
          <w:rFonts w:hint="eastAsia" w:ascii="Times New Roman" w:hAnsi="Times New Roman"/>
        </w:rPr>
        <w:t>培训要求</w:t>
      </w:r>
      <w:bookmarkEnd w:id="19"/>
    </w:p>
    <w:p w14:paraId="43DDF2BC">
      <w:pPr>
        <w:rPr>
          <w:rFonts w:ascii="Times New Roman" w:hAnsi="Times New Roman"/>
        </w:rPr>
      </w:pPr>
      <w:r>
        <w:rPr>
          <w:rFonts w:hint="eastAsia" w:ascii="Times New Roman" w:hAnsi="Times New Roman"/>
        </w:rPr>
        <w:t>对系统使用单位提供业务操作培训，应提供详细培训方案。</w:t>
      </w:r>
    </w:p>
    <w:p w14:paraId="34B5EBA4">
      <w:pPr>
        <w:rPr>
          <w:rFonts w:ascii="Times New Roman" w:hAnsi="Times New Roman"/>
        </w:rPr>
      </w:pPr>
      <w:r>
        <w:rPr>
          <w:rFonts w:hint="eastAsia" w:ascii="Times New Roman" w:hAnsi="Times New Roman"/>
        </w:rPr>
        <w:t>(1)在12个月的质量保证期内，提供1次以上与项目相关的必要培训。</w:t>
      </w:r>
    </w:p>
    <w:p w14:paraId="421DC825">
      <w:pPr>
        <w:rPr>
          <w:rFonts w:ascii="Times New Roman" w:hAnsi="Times New Roman"/>
        </w:rPr>
      </w:pPr>
      <w:r>
        <w:rPr>
          <w:rFonts w:hint="eastAsia" w:ascii="Times New Roman" w:hAnsi="Times New Roman"/>
        </w:rPr>
        <w:t>(2)供应商需要开展分层次的人员培训工作，每次培训后应对参加培训人员进行测试，评估培训成果。培训应具有培训教材、培训环境和高水平的培训讲师。</w:t>
      </w:r>
    </w:p>
    <w:p w14:paraId="0B941DEB">
      <w:pPr>
        <w:rPr>
          <w:rFonts w:ascii="Times New Roman" w:hAnsi="Times New Roman"/>
        </w:rPr>
      </w:pPr>
      <w:r>
        <w:rPr>
          <w:rFonts w:hint="eastAsia" w:ascii="Times New Roman" w:hAnsi="Times New Roman"/>
        </w:rPr>
        <w:t>(3)供应商应提供一般用户的基础操作培训和部门信息管理员的日常应用维护的培训，确保用户对象能够掌握对应的操作技能</w:t>
      </w:r>
      <w:r>
        <w:rPr>
          <w:rFonts w:ascii="Times New Roman" w:hAnsi="Times New Roman"/>
        </w:rPr>
        <w:t>。</w:t>
      </w:r>
    </w:p>
    <w:p w14:paraId="4C4C781E">
      <w:pPr>
        <w:pStyle w:val="4"/>
        <w:ind w:left="1" w:hanging="1"/>
        <w:rPr>
          <w:rFonts w:ascii="Times New Roman" w:hAnsi="Times New Roman"/>
        </w:rPr>
      </w:pPr>
      <w:bookmarkStart w:id="20" w:name="_Toc63785508"/>
      <w:bookmarkStart w:id="21" w:name="_Toc63785506"/>
      <w:r>
        <w:rPr>
          <w:rFonts w:hint="eastAsia" w:ascii="Times New Roman" w:hAnsi="Times New Roman"/>
        </w:rPr>
        <w:t>验收要求</w:t>
      </w:r>
      <w:bookmarkEnd w:id="20"/>
    </w:p>
    <w:p w14:paraId="2CA8F622">
      <w:pPr>
        <w:rPr>
          <w:rFonts w:ascii="Times New Roman" w:hAnsi="Times New Roman"/>
          <w:szCs w:val="21"/>
        </w:rPr>
      </w:pPr>
      <w:r>
        <w:rPr>
          <w:rFonts w:hint="eastAsia" w:ascii="Times New Roman" w:hAnsi="Times New Roman"/>
          <w:szCs w:val="21"/>
        </w:rPr>
        <w:t>本项目按下述方式开展验收。</w:t>
      </w:r>
    </w:p>
    <w:p w14:paraId="68F74B05">
      <w:pPr>
        <w:rPr>
          <w:rFonts w:ascii="Times New Roman" w:hAnsi="Times New Roman"/>
          <w:szCs w:val="21"/>
        </w:rPr>
      </w:pPr>
      <w:r>
        <w:rPr>
          <w:rFonts w:hint="eastAsia" w:ascii="Times New Roman" w:hAnsi="Times New Roman"/>
          <w:szCs w:val="21"/>
        </w:rPr>
        <w:t>（1）</w:t>
      </w:r>
      <w:r>
        <w:rPr>
          <w:rFonts w:ascii="Times New Roman" w:hAnsi="Times New Roman"/>
          <w:szCs w:val="21"/>
        </w:rPr>
        <w:t>本项目采用一次性验收方式</w:t>
      </w:r>
      <w:r>
        <w:rPr>
          <w:rFonts w:hint="eastAsia" w:ascii="Times New Roman" w:hAnsi="Times New Roman"/>
          <w:szCs w:val="21"/>
        </w:rPr>
        <w:t>。</w:t>
      </w:r>
    </w:p>
    <w:p w14:paraId="7205E265">
      <w:pPr>
        <w:rPr>
          <w:rFonts w:ascii="Times New Roman" w:hAnsi="Times New Roman"/>
          <w:szCs w:val="21"/>
        </w:rPr>
      </w:pPr>
      <w:r>
        <w:rPr>
          <w:rFonts w:hint="eastAsia" w:ascii="Times New Roman" w:hAnsi="Times New Roman"/>
          <w:szCs w:val="21"/>
        </w:rPr>
        <w:t>（2）验收前，供应商须完成软件开发、软硬件安装和信息系统的调试等，并对本项目进行功能和运行检测，确保所有信息系统功能模块能够正常运行且已达到本项目约定的各类标准要求。当信息系统试运行期已经达到本项目约定的时间，经供应商确认信息系统具备正常运行条件，且信息系统通过运行测试，供应商应以书面形式通知招标方信息系统已准备就绪等待验收。招标方在收到验收通知后的10个工作日内发起组织专家验收会。招标方有权委托第三方检测机构进行验收，对此供应商应当配合。</w:t>
      </w:r>
    </w:p>
    <w:p w14:paraId="66CB25E4">
      <w:pPr>
        <w:rPr>
          <w:rFonts w:ascii="Times New Roman" w:hAnsi="Times New Roman"/>
          <w:szCs w:val="21"/>
        </w:rPr>
      </w:pPr>
      <w:r>
        <w:rPr>
          <w:rFonts w:hint="eastAsia" w:ascii="Times New Roman" w:hAnsi="Times New Roman"/>
          <w:szCs w:val="21"/>
        </w:rPr>
        <w:t>（3）验收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验收通过。如有缺陷，招标方应向供应商出具书面报告，陈述需要改进的缺陷。供应商应立即严格依照招标方的书面报告中的要求改进缺陷，并再次进行验收。</w:t>
      </w:r>
    </w:p>
    <w:p w14:paraId="1A797692">
      <w:pPr>
        <w:rPr>
          <w:rFonts w:ascii="Times New Roman" w:hAnsi="Times New Roman"/>
          <w:szCs w:val="21"/>
        </w:rPr>
      </w:pPr>
      <w:r>
        <w:rPr>
          <w:rFonts w:hint="eastAsia" w:ascii="Times New Roman" w:hAnsi="Times New Roman"/>
          <w:szCs w:val="21"/>
        </w:rPr>
        <w:t>（4）如果属于供应商原因致使本项目未能通过验收，供应商应当排除缺陷，直至本项目完全符合验收标准，由上述情形而产生的相关费用应由供应商自行承担。</w:t>
      </w:r>
    </w:p>
    <w:p w14:paraId="40C6713E">
      <w:pPr>
        <w:rPr>
          <w:rFonts w:ascii="Times New Roman" w:hAnsi="Times New Roman"/>
          <w:szCs w:val="21"/>
        </w:rPr>
      </w:pPr>
      <w:r>
        <w:rPr>
          <w:rFonts w:hint="eastAsia" w:ascii="Times New Roman" w:hAnsi="Times New Roman"/>
          <w:szCs w:val="21"/>
        </w:rPr>
        <w:t>（5）如果由于招标方原因导致本项目在验收通过前出现故障或问题，供应商应及时配合排除该方面的故障或问题。</w:t>
      </w:r>
    </w:p>
    <w:p w14:paraId="17F325D4">
      <w:pPr>
        <w:rPr>
          <w:rFonts w:ascii="Times New Roman" w:hAnsi="Times New Roman"/>
          <w:szCs w:val="21"/>
        </w:rPr>
      </w:pPr>
      <w:r>
        <w:rPr>
          <w:rFonts w:hint="eastAsia" w:ascii="Times New Roman" w:hAnsi="Times New Roman"/>
          <w:szCs w:val="21"/>
        </w:rPr>
        <w:t>（6）如本项目连续3次验收未通过，招标方有权解除项目，并有权依照本项目约定的违约条款追究供应商的违约责任</w:t>
      </w:r>
      <w:r>
        <w:rPr>
          <w:rFonts w:ascii="Times New Roman" w:hAnsi="Times New Roman"/>
          <w:szCs w:val="21"/>
        </w:rPr>
        <w:t>。</w:t>
      </w:r>
    </w:p>
    <w:bookmarkEnd w:id="21"/>
    <w:p w14:paraId="65FEE25F">
      <w:pPr>
        <w:pStyle w:val="4"/>
        <w:ind w:left="1" w:hanging="1"/>
        <w:rPr>
          <w:rFonts w:ascii="Times New Roman" w:hAnsi="Times New Roman"/>
        </w:rPr>
      </w:pPr>
      <w:bookmarkStart w:id="22" w:name="_Toc63785509"/>
      <w:bookmarkStart w:id="23" w:name="_Toc63785505"/>
      <w:r>
        <w:rPr>
          <w:rFonts w:hint="eastAsia" w:ascii="Times New Roman" w:hAnsi="Times New Roman"/>
        </w:rPr>
        <w:t>进度要求</w:t>
      </w:r>
      <w:bookmarkEnd w:id="22"/>
    </w:p>
    <w:p w14:paraId="7E3F44BA">
      <w:pPr>
        <w:rPr>
          <w:rFonts w:ascii="Times New Roman" w:hAnsi="Times New Roman"/>
        </w:rPr>
      </w:pPr>
      <w:r>
        <w:rPr>
          <w:rFonts w:hint="eastAsia" w:ascii="Times New Roman" w:hAnsi="Times New Roman"/>
        </w:rPr>
        <w:t>投标人应根据建设内容，分阶段制定合理的时间进度，并且应根据招标方要求进行调整和细化。</w:t>
      </w:r>
    </w:p>
    <w:p w14:paraId="5C3C9B30">
      <w:pPr>
        <w:rPr>
          <w:rFonts w:ascii="Times New Roman" w:hAnsi="Times New Roman"/>
        </w:rPr>
      </w:pPr>
      <w:r>
        <w:rPr>
          <w:rFonts w:hint="eastAsia" w:ascii="Times New Roman" w:hAnsi="Times New Roman"/>
        </w:rPr>
        <w:t>总建设周期为8个月，分为三个阶段。</w:t>
      </w:r>
    </w:p>
    <w:p w14:paraId="1C1A77F3">
      <w:pPr>
        <w:rPr>
          <w:rFonts w:ascii="Times New Roman" w:hAnsi="Times New Roman"/>
        </w:rPr>
      </w:pPr>
      <w:r>
        <w:rPr>
          <w:rFonts w:hint="eastAsia" w:ascii="Times New Roman" w:hAnsi="Times New Roman"/>
        </w:rPr>
        <w:t>第一阶段为1个月，完成需求细化和设计确认；</w:t>
      </w:r>
    </w:p>
    <w:p w14:paraId="3E787441">
      <w:pPr>
        <w:rPr>
          <w:rFonts w:ascii="Times New Roman" w:hAnsi="Times New Roman"/>
        </w:rPr>
      </w:pPr>
      <w:r>
        <w:rPr>
          <w:rFonts w:hint="eastAsia" w:ascii="Times New Roman" w:hAnsi="Times New Roman"/>
        </w:rPr>
        <w:t>第二阶段为6个月，完成软件部分主体建设工作、数据治理服务；</w:t>
      </w:r>
    </w:p>
    <w:p w14:paraId="2E10A653">
      <w:pPr>
        <w:rPr>
          <w:rFonts w:ascii="Times New Roman" w:hAnsi="Times New Roman"/>
        </w:rPr>
      </w:pPr>
      <w:r>
        <w:rPr>
          <w:rFonts w:hint="eastAsia" w:ascii="Times New Roman" w:hAnsi="Times New Roman"/>
        </w:rPr>
        <w:t>第三阶段为1个月，完成试运行和迭代开发、项目验收</w:t>
      </w:r>
      <w:r>
        <w:t>。</w:t>
      </w:r>
    </w:p>
    <w:p w14:paraId="4FC98748">
      <w:pPr>
        <w:ind w:firstLine="0" w:firstLineChars="0"/>
        <w:rPr>
          <w:rFonts w:ascii="Times New Roman" w:hAnsi="Times New Roman"/>
        </w:rPr>
      </w:pPr>
    </w:p>
    <w:p w14:paraId="0157B9CA">
      <w:pPr>
        <w:pStyle w:val="4"/>
        <w:ind w:left="1" w:hanging="1"/>
        <w:rPr>
          <w:rFonts w:ascii="Times New Roman" w:hAnsi="Times New Roman"/>
        </w:rPr>
      </w:pPr>
      <w:r>
        <w:rPr>
          <w:rFonts w:hint="eastAsia" w:ascii="Times New Roman" w:hAnsi="Times New Roman"/>
        </w:rPr>
        <w:t>项目团队及驻场人员要求</w:t>
      </w:r>
    </w:p>
    <w:p w14:paraId="1D7F2BB0">
      <w:pPr>
        <w:pStyle w:val="127"/>
        <w:ind w:firstLine="480"/>
      </w:pPr>
      <w:r>
        <w:rPr>
          <w:rFonts w:hint="eastAsia"/>
        </w:rPr>
        <w:t>1）投标人须具有稳定的在职技术保障力量，能够提供及时的技术支援或服务，应针对本项目提供不少于9人的项目服务团队（包括项目经理、技术经理、开发人员等），投标单位的相关服务人员需具备相应的服务能力，需提供相关证明。</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180"/>
        <w:gridCol w:w="1896"/>
        <w:gridCol w:w="1180"/>
      </w:tblGrid>
      <w:tr w14:paraId="4507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32BBC659">
            <w:pPr>
              <w:widowControl/>
              <w:spacing w:line="240" w:lineRule="auto"/>
              <w:ind w:firstLine="0" w:firstLineChars="0"/>
              <w:jc w:val="center"/>
              <w:rPr>
                <w:rFonts w:hint="eastAsia"/>
                <w:b/>
                <w:sz w:val="21"/>
                <w:szCs w:val="21"/>
              </w:rPr>
            </w:pPr>
            <w:r>
              <w:rPr>
                <w:rFonts w:hint="eastAsia"/>
                <w:b/>
                <w:sz w:val="21"/>
                <w:szCs w:val="21"/>
              </w:rPr>
              <w:t>角色</w:t>
            </w:r>
          </w:p>
        </w:tc>
        <w:tc>
          <w:tcPr>
            <w:tcW w:w="0" w:type="auto"/>
            <w:noWrap/>
            <w:vAlign w:val="center"/>
          </w:tcPr>
          <w:p w14:paraId="68B50747">
            <w:pPr>
              <w:widowControl/>
              <w:spacing w:line="240" w:lineRule="auto"/>
              <w:ind w:firstLine="0" w:firstLineChars="0"/>
              <w:jc w:val="center"/>
              <w:rPr>
                <w:rFonts w:hint="eastAsia"/>
                <w:b/>
                <w:sz w:val="21"/>
                <w:szCs w:val="21"/>
              </w:rPr>
            </w:pPr>
            <w:r>
              <w:rPr>
                <w:rFonts w:hint="eastAsia"/>
                <w:b/>
                <w:sz w:val="21"/>
                <w:szCs w:val="21"/>
              </w:rPr>
              <w:t>主要职责</w:t>
            </w:r>
          </w:p>
        </w:tc>
        <w:tc>
          <w:tcPr>
            <w:tcW w:w="0" w:type="auto"/>
            <w:noWrap/>
            <w:vAlign w:val="center"/>
          </w:tcPr>
          <w:p w14:paraId="03E5272B">
            <w:pPr>
              <w:widowControl/>
              <w:spacing w:line="240" w:lineRule="auto"/>
              <w:ind w:firstLine="0" w:firstLineChars="0"/>
              <w:jc w:val="center"/>
              <w:rPr>
                <w:rFonts w:hint="eastAsia"/>
                <w:b/>
                <w:sz w:val="21"/>
                <w:szCs w:val="21"/>
              </w:rPr>
            </w:pPr>
            <w:r>
              <w:rPr>
                <w:rFonts w:hint="eastAsia"/>
                <w:b/>
                <w:sz w:val="21"/>
                <w:szCs w:val="21"/>
              </w:rPr>
              <w:t>人员数量</w:t>
            </w:r>
          </w:p>
        </w:tc>
        <w:tc>
          <w:tcPr>
            <w:tcW w:w="0" w:type="auto"/>
            <w:vAlign w:val="center"/>
          </w:tcPr>
          <w:p w14:paraId="091C5BDD">
            <w:pPr>
              <w:widowControl/>
              <w:spacing w:line="240" w:lineRule="auto"/>
              <w:ind w:firstLine="0" w:firstLineChars="0"/>
              <w:jc w:val="center"/>
              <w:rPr>
                <w:rFonts w:hint="eastAsia"/>
                <w:b/>
                <w:sz w:val="21"/>
                <w:szCs w:val="21"/>
              </w:rPr>
            </w:pPr>
            <w:r>
              <w:rPr>
                <w:rFonts w:hint="eastAsia"/>
                <w:b/>
                <w:sz w:val="21"/>
                <w:szCs w:val="21"/>
              </w:rPr>
              <w:t>人员要求</w:t>
            </w:r>
          </w:p>
        </w:tc>
        <w:tc>
          <w:tcPr>
            <w:tcW w:w="0" w:type="auto"/>
            <w:noWrap/>
            <w:vAlign w:val="center"/>
          </w:tcPr>
          <w:p w14:paraId="1FFCEC74">
            <w:pPr>
              <w:widowControl/>
              <w:spacing w:line="240" w:lineRule="auto"/>
              <w:ind w:firstLine="0" w:firstLineChars="0"/>
              <w:jc w:val="center"/>
              <w:rPr>
                <w:rFonts w:hint="eastAsia"/>
                <w:b/>
                <w:sz w:val="21"/>
                <w:szCs w:val="21"/>
              </w:rPr>
            </w:pPr>
            <w:r>
              <w:rPr>
                <w:rFonts w:hint="eastAsia"/>
                <w:b/>
                <w:sz w:val="21"/>
                <w:szCs w:val="21"/>
              </w:rPr>
              <w:t>驻场要求</w:t>
            </w:r>
          </w:p>
        </w:tc>
      </w:tr>
      <w:tr w14:paraId="4B5E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58B683EC">
            <w:pPr>
              <w:widowControl/>
              <w:spacing w:line="240" w:lineRule="auto"/>
              <w:ind w:firstLine="0" w:firstLineChars="0"/>
              <w:jc w:val="center"/>
              <w:rPr>
                <w:rFonts w:hint="eastAsia"/>
                <w:sz w:val="21"/>
                <w:szCs w:val="21"/>
              </w:rPr>
            </w:pPr>
            <w:r>
              <w:rPr>
                <w:rFonts w:hint="eastAsia"/>
                <w:sz w:val="21"/>
                <w:szCs w:val="21"/>
              </w:rPr>
              <w:t>项目经理</w:t>
            </w:r>
          </w:p>
        </w:tc>
        <w:tc>
          <w:tcPr>
            <w:tcW w:w="0" w:type="auto"/>
            <w:vAlign w:val="center"/>
          </w:tcPr>
          <w:p w14:paraId="6CEFD70A">
            <w:pPr>
              <w:widowControl/>
              <w:spacing w:line="240" w:lineRule="auto"/>
              <w:ind w:firstLine="0" w:firstLineChars="0"/>
              <w:jc w:val="left"/>
              <w:rPr>
                <w:rFonts w:hint="eastAsia"/>
                <w:sz w:val="21"/>
                <w:szCs w:val="21"/>
              </w:rPr>
            </w:pPr>
            <w:r>
              <w:rPr>
                <w:rFonts w:hint="eastAsia"/>
                <w:sz w:val="21"/>
                <w:szCs w:val="21"/>
              </w:rPr>
              <w:t>负责项目质量和进度控制</w:t>
            </w:r>
          </w:p>
        </w:tc>
        <w:tc>
          <w:tcPr>
            <w:tcW w:w="0" w:type="auto"/>
            <w:noWrap/>
            <w:vAlign w:val="center"/>
          </w:tcPr>
          <w:p w14:paraId="48198076">
            <w:pPr>
              <w:widowControl/>
              <w:spacing w:line="240" w:lineRule="auto"/>
              <w:ind w:firstLine="0" w:firstLineChars="0"/>
              <w:jc w:val="center"/>
              <w:rPr>
                <w:rFonts w:hint="eastAsia"/>
                <w:sz w:val="21"/>
                <w:szCs w:val="21"/>
              </w:rPr>
            </w:pPr>
            <w:r>
              <w:rPr>
                <w:rFonts w:hint="eastAsia"/>
                <w:sz w:val="21"/>
                <w:szCs w:val="21"/>
              </w:rPr>
              <w:t>1人</w:t>
            </w:r>
          </w:p>
        </w:tc>
        <w:tc>
          <w:tcPr>
            <w:tcW w:w="0" w:type="auto"/>
            <w:vAlign w:val="center"/>
          </w:tcPr>
          <w:p w14:paraId="6BBC510B">
            <w:pPr>
              <w:widowControl/>
              <w:spacing w:line="240" w:lineRule="auto"/>
              <w:ind w:firstLine="0" w:firstLineChars="0"/>
              <w:jc w:val="center"/>
              <w:rPr>
                <w:rFonts w:hint="eastAsia"/>
                <w:sz w:val="21"/>
                <w:szCs w:val="21"/>
              </w:rPr>
            </w:pPr>
            <w:r>
              <w:rPr>
                <w:rFonts w:hint="eastAsia"/>
                <w:sz w:val="21"/>
                <w:szCs w:val="21"/>
              </w:rPr>
              <w:t>具有硕士及以上学位，具备系统集成项目</w:t>
            </w:r>
          </w:p>
          <w:p w14:paraId="327E020A">
            <w:pPr>
              <w:widowControl/>
              <w:spacing w:line="240" w:lineRule="auto"/>
              <w:ind w:firstLine="0" w:firstLineChars="0"/>
              <w:jc w:val="center"/>
              <w:rPr>
                <w:rFonts w:hint="eastAsia"/>
                <w:sz w:val="21"/>
                <w:szCs w:val="21"/>
              </w:rPr>
            </w:pPr>
            <w:r>
              <w:rPr>
                <w:rFonts w:hint="eastAsia"/>
                <w:sz w:val="21"/>
                <w:szCs w:val="21"/>
              </w:rPr>
              <w:t>管理工程师（中级）</w:t>
            </w:r>
          </w:p>
          <w:p w14:paraId="27211AF7">
            <w:pPr>
              <w:widowControl/>
              <w:spacing w:line="240" w:lineRule="auto"/>
              <w:ind w:firstLine="0" w:firstLineChars="0"/>
              <w:jc w:val="center"/>
              <w:rPr>
                <w:rFonts w:hint="eastAsia"/>
                <w:sz w:val="21"/>
                <w:szCs w:val="21"/>
              </w:rPr>
            </w:pPr>
            <w:r>
              <w:rPr>
                <w:rFonts w:hint="eastAsia"/>
                <w:sz w:val="21"/>
                <w:szCs w:val="21"/>
              </w:rPr>
              <w:t>或信息系统项目管</w:t>
            </w:r>
          </w:p>
          <w:p w14:paraId="15620304">
            <w:pPr>
              <w:widowControl/>
              <w:spacing w:line="240" w:lineRule="auto"/>
              <w:ind w:firstLine="0" w:firstLineChars="0"/>
              <w:jc w:val="center"/>
              <w:rPr>
                <w:rFonts w:hint="eastAsia"/>
                <w:sz w:val="21"/>
                <w:szCs w:val="21"/>
              </w:rPr>
            </w:pPr>
            <w:r>
              <w:rPr>
                <w:rFonts w:hint="eastAsia"/>
                <w:sz w:val="21"/>
                <w:szCs w:val="21"/>
              </w:rPr>
              <w:t>理师（高级），具备5年及以上相关管理经验</w:t>
            </w:r>
          </w:p>
        </w:tc>
        <w:tc>
          <w:tcPr>
            <w:tcW w:w="0" w:type="auto"/>
            <w:noWrap/>
            <w:vAlign w:val="center"/>
          </w:tcPr>
          <w:p w14:paraId="6C1A6341">
            <w:pPr>
              <w:widowControl/>
              <w:spacing w:line="240" w:lineRule="auto"/>
              <w:ind w:firstLine="0" w:firstLineChars="0"/>
              <w:jc w:val="center"/>
              <w:rPr>
                <w:rFonts w:hint="eastAsia"/>
                <w:sz w:val="21"/>
                <w:szCs w:val="21"/>
              </w:rPr>
            </w:pPr>
            <w:r>
              <w:rPr>
                <w:rFonts w:hint="eastAsia"/>
                <w:sz w:val="21"/>
                <w:szCs w:val="21"/>
              </w:rPr>
              <w:t>按需驻场</w:t>
            </w:r>
          </w:p>
        </w:tc>
      </w:tr>
      <w:tr w14:paraId="0513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66BFFCE">
            <w:pPr>
              <w:widowControl/>
              <w:spacing w:line="240" w:lineRule="auto"/>
              <w:ind w:firstLine="0" w:firstLineChars="0"/>
              <w:jc w:val="center"/>
              <w:rPr>
                <w:rFonts w:hint="eastAsia"/>
                <w:sz w:val="21"/>
                <w:szCs w:val="21"/>
              </w:rPr>
            </w:pPr>
            <w:r>
              <w:rPr>
                <w:rFonts w:hint="eastAsia"/>
                <w:sz w:val="21"/>
                <w:szCs w:val="21"/>
              </w:rPr>
              <w:t>技术经理</w:t>
            </w:r>
          </w:p>
        </w:tc>
        <w:tc>
          <w:tcPr>
            <w:tcW w:w="2856" w:type="dxa"/>
            <w:vAlign w:val="center"/>
          </w:tcPr>
          <w:p w14:paraId="78412D4B">
            <w:pPr>
              <w:widowControl/>
              <w:spacing w:line="240" w:lineRule="auto"/>
              <w:ind w:firstLine="0" w:firstLineChars="0"/>
              <w:jc w:val="center"/>
              <w:rPr>
                <w:rFonts w:hint="eastAsia"/>
                <w:sz w:val="21"/>
                <w:szCs w:val="21"/>
              </w:rPr>
            </w:pPr>
            <w:r>
              <w:rPr>
                <w:rFonts w:hint="eastAsia"/>
                <w:sz w:val="21"/>
                <w:szCs w:val="21"/>
              </w:rPr>
              <w:t>负责系统架构设计、需求评估与分析</w:t>
            </w:r>
          </w:p>
        </w:tc>
        <w:tc>
          <w:tcPr>
            <w:tcW w:w="1180" w:type="dxa"/>
            <w:noWrap/>
            <w:vAlign w:val="center"/>
          </w:tcPr>
          <w:p w14:paraId="77737D92">
            <w:pPr>
              <w:widowControl/>
              <w:spacing w:line="240" w:lineRule="auto"/>
              <w:ind w:firstLine="0" w:firstLineChars="0"/>
              <w:jc w:val="center"/>
              <w:rPr>
                <w:rFonts w:hint="eastAsia"/>
                <w:sz w:val="21"/>
                <w:szCs w:val="21"/>
              </w:rPr>
            </w:pPr>
            <w:r>
              <w:rPr>
                <w:rFonts w:hint="eastAsia"/>
                <w:sz w:val="21"/>
                <w:szCs w:val="21"/>
              </w:rPr>
              <w:t>1人</w:t>
            </w:r>
          </w:p>
        </w:tc>
        <w:tc>
          <w:tcPr>
            <w:tcW w:w="1896" w:type="dxa"/>
            <w:vAlign w:val="center"/>
          </w:tcPr>
          <w:p w14:paraId="71660EAD">
            <w:pPr>
              <w:widowControl/>
              <w:spacing w:line="240" w:lineRule="auto"/>
              <w:ind w:firstLine="0" w:firstLineChars="0"/>
              <w:jc w:val="left"/>
              <w:rPr>
                <w:rFonts w:hint="eastAsia"/>
                <w:sz w:val="21"/>
                <w:szCs w:val="21"/>
              </w:rPr>
            </w:pPr>
            <w:r>
              <w:rPr>
                <w:rFonts w:hint="eastAsia"/>
                <w:sz w:val="21"/>
                <w:szCs w:val="21"/>
              </w:rPr>
              <w:t>具有本科及以上学位，具备系</w:t>
            </w:r>
          </w:p>
          <w:p w14:paraId="734DE633">
            <w:pPr>
              <w:widowControl/>
              <w:spacing w:line="240" w:lineRule="auto"/>
              <w:ind w:firstLine="0" w:firstLineChars="0"/>
              <w:jc w:val="left"/>
              <w:rPr>
                <w:rFonts w:hint="eastAsia"/>
                <w:sz w:val="21"/>
                <w:szCs w:val="21"/>
              </w:rPr>
            </w:pPr>
            <w:r>
              <w:rPr>
                <w:rFonts w:hint="eastAsia"/>
                <w:sz w:val="21"/>
                <w:szCs w:val="21"/>
              </w:rPr>
              <w:t>统集成项目管理工</w:t>
            </w:r>
          </w:p>
          <w:p w14:paraId="0E852D57">
            <w:pPr>
              <w:widowControl/>
              <w:spacing w:line="240" w:lineRule="auto"/>
              <w:ind w:firstLine="0" w:firstLineChars="0"/>
              <w:jc w:val="left"/>
              <w:rPr>
                <w:rFonts w:hint="eastAsia"/>
                <w:sz w:val="21"/>
                <w:szCs w:val="21"/>
              </w:rPr>
            </w:pPr>
            <w:r>
              <w:rPr>
                <w:rFonts w:hint="eastAsia"/>
                <w:sz w:val="21"/>
                <w:szCs w:val="21"/>
              </w:rPr>
              <w:t>程师（中级）资格</w:t>
            </w:r>
          </w:p>
          <w:p w14:paraId="24A53676">
            <w:pPr>
              <w:widowControl/>
              <w:spacing w:line="240" w:lineRule="auto"/>
              <w:ind w:firstLine="0" w:firstLineChars="0"/>
              <w:jc w:val="left"/>
              <w:rPr>
                <w:rFonts w:hint="eastAsia"/>
                <w:sz w:val="21"/>
                <w:szCs w:val="21"/>
              </w:rPr>
            </w:pPr>
            <w:r>
              <w:rPr>
                <w:rFonts w:hint="eastAsia"/>
                <w:sz w:val="21"/>
                <w:szCs w:val="21"/>
              </w:rPr>
              <w:t>证书职称，具备5年及以上相关工作经验</w:t>
            </w:r>
          </w:p>
        </w:tc>
        <w:tc>
          <w:tcPr>
            <w:tcW w:w="1180" w:type="dxa"/>
            <w:noWrap/>
            <w:vAlign w:val="center"/>
          </w:tcPr>
          <w:p w14:paraId="71272069">
            <w:pPr>
              <w:widowControl/>
              <w:spacing w:line="240" w:lineRule="auto"/>
              <w:ind w:firstLine="0" w:firstLineChars="0"/>
              <w:jc w:val="center"/>
              <w:rPr>
                <w:rFonts w:hint="eastAsia"/>
                <w:sz w:val="21"/>
                <w:szCs w:val="21"/>
              </w:rPr>
            </w:pPr>
            <w:r>
              <w:rPr>
                <w:rFonts w:hint="eastAsia"/>
                <w:sz w:val="21"/>
                <w:szCs w:val="21"/>
              </w:rPr>
              <w:t>按需驻场</w:t>
            </w:r>
          </w:p>
        </w:tc>
      </w:tr>
      <w:tr w14:paraId="2CAA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1D49D3F">
            <w:pPr>
              <w:widowControl/>
              <w:spacing w:line="240" w:lineRule="auto"/>
              <w:ind w:firstLine="0" w:firstLineChars="0"/>
              <w:jc w:val="both"/>
              <w:rPr>
                <w:rFonts w:hint="eastAsia"/>
                <w:sz w:val="21"/>
                <w:szCs w:val="21"/>
              </w:rPr>
            </w:pPr>
            <w:r>
              <w:rPr>
                <w:rFonts w:hint="eastAsia"/>
                <w:sz w:val="21"/>
                <w:szCs w:val="21"/>
              </w:rPr>
              <w:t>大数据分析师</w:t>
            </w:r>
          </w:p>
        </w:tc>
        <w:tc>
          <w:tcPr>
            <w:tcW w:w="2856" w:type="dxa"/>
            <w:noWrap/>
            <w:vAlign w:val="center"/>
          </w:tcPr>
          <w:p w14:paraId="34A16928">
            <w:pPr>
              <w:widowControl/>
              <w:spacing w:line="240" w:lineRule="auto"/>
              <w:ind w:firstLine="0" w:firstLineChars="0"/>
              <w:jc w:val="left"/>
              <w:rPr>
                <w:rFonts w:hint="eastAsia"/>
                <w:sz w:val="21"/>
                <w:szCs w:val="21"/>
              </w:rPr>
            </w:pPr>
            <w:r>
              <w:rPr>
                <w:rFonts w:hint="eastAsia"/>
                <w:sz w:val="21"/>
                <w:szCs w:val="21"/>
              </w:rPr>
              <w:t>数据分析</w:t>
            </w:r>
          </w:p>
        </w:tc>
        <w:tc>
          <w:tcPr>
            <w:tcW w:w="1180" w:type="dxa"/>
            <w:noWrap/>
            <w:vAlign w:val="center"/>
          </w:tcPr>
          <w:p w14:paraId="2F4BF342">
            <w:pPr>
              <w:widowControl/>
              <w:spacing w:line="240" w:lineRule="auto"/>
              <w:ind w:firstLine="0" w:firstLineChars="0"/>
              <w:jc w:val="center"/>
              <w:rPr>
                <w:rFonts w:hint="eastAsia"/>
                <w:sz w:val="21"/>
                <w:szCs w:val="21"/>
              </w:rPr>
            </w:pPr>
            <w:r>
              <w:rPr>
                <w:rFonts w:hint="eastAsia"/>
                <w:sz w:val="21"/>
                <w:szCs w:val="21"/>
              </w:rPr>
              <w:t>1人</w:t>
            </w:r>
          </w:p>
        </w:tc>
        <w:tc>
          <w:tcPr>
            <w:tcW w:w="1896" w:type="dxa"/>
            <w:vAlign w:val="center"/>
          </w:tcPr>
          <w:p w14:paraId="0FBFE8A5">
            <w:pPr>
              <w:widowControl/>
              <w:spacing w:line="240" w:lineRule="auto"/>
              <w:ind w:firstLine="0" w:firstLineChars="0"/>
              <w:jc w:val="left"/>
              <w:rPr>
                <w:rFonts w:hint="eastAsia"/>
                <w:sz w:val="21"/>
                <w:szCs w:val="21"/>
              </w:rPr>
            </w:pPr>
            <w:r>
              <w:rPr>
                <w:rFonts w:hint="eastAsia"/>
                <w:sz w:val="21"/>
                <w:szCs w:val="21"/>
              </w:rPr>
              <w:t>本科或以上，大数据分析师证书</w:t>
            </w:r>
          </w:p>
        </w:tc>
        <w:tc>
          <w:tcPr>
            <w:tcW w:w="1180" w:type="dxa"/>
            <w:noWrap/>
            <w:vAlign w:val="center"/>
          </w:tcPr>
          <w:p w14:paraId="504CC839">
            <w:pPr>
              <w:widowControl/>
              <w:spacing w:line="240" w:lineRule="auto"/>
              <w:ind w:firstLine="0" w:firstLineChars="0"/>
              <w:jc w:val="center"/>
              <w:rPr>
                <w:rFonts w:hint="eastAsia"/>
                <w:sz w:val="21"/>
                <w:szCs w:val="21"/>
              </w:rPr>
            </w:pPr>
            <w:r>
              <w:rPr>
                <w:rFonts w:hint="eastAsia"/>
                <w:sz w:val="21"/>
                <w:szCs w:val="21"/>
              </w:rPr>
              <w:t>按需驻场</w:t>
            </w:r>
          </w:p>
        </w:tc>
      </w:tr>
      <w:tr w14:paraId="6C86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5015D352">
            <w:pPr>
              <w:widowControl/>
              <w:spacing w:line="240" w:lineRule="auto"/>
              <w:ind w:firstLine="0" w:firstLineChars="0"/>
              <w:jc w:val="center"/>
              <w:rPr>
                <w:rFonts w:hint="eastAsia"/>
                <w:sz w:val="21"/>
                <w:szCs w:val="21"/>
              </w:rPr>
            </w:pPr>
            <w:r>
              <w:rPr>
                <w:rFonts w:hint="eastAsia"/>
                <w:sz w:val="21"/>
                <w:szCs w:val="21"/>
              </w:rPr>
              <w:t>开发人员（技术工程师）</w:t>
            </w:r>
          </w:p>
        </w:tc>
        <w:tc>
          <w:tcPr>
            <w:tcW w:w="2856" w:type="dxa"/>
            <w:noWrap/>
            <w:vAlign w:val="center"/>
          </w:tcPr>
          <w:p w14:paraId="7058D3D7">
            <w:pPr>
              <w:widowControl/>
              <w:spacing w:line="240" w:lineRule="auto"/>
              <w:ind w:firstLine="0" w:firstLineChars="0"/>
              <w:jc w:val="left"/>
              <w:rPr>
                <w:rFonts w:hint="eastAsia"/>
                <w:sz w:val="21"/>
                <w:szCs w:val="21"/>
              </w:rPr>
            </w:pPr>
            <w:r>
              <w:rPr>
                <w:rFonts w:hint="eastAsia"/>
                <w:sz w:val="21"/>
                <w:szCs w:val="21"/>
              </w:rPr>
              <w:t>负责项目具体开发与实施</w:t>
            </w:r>
          </w:p>
        </w:tc>
        <w:tc>
          <w:tcPr>
            <w:tcW w:w="1180" w:type="dxa"/>
            <w:noWrap/>
            <w:vAlign w:val="center"/>
          </w:tcPr>
          <w:p w14:paraId="1AC3E441">
            <w:pPr>
              <w:widowControl/>
              <w:spacing w:line="240" w:lineRule="auto"/>
              <w:ind w:firstLine="0" w:firstLineChars="0"/>
              <w:jc w:val="center"/>
              <w:rPr>
                <w:rFonts w:hint="eastAsia"/>
                <w:sz w:val="21"/>
                <w:szCs w:val="21"/>
              </w:rPr>
            </w:pPr>
            <w:r>
              <w:rPr>
                <w:rFonts w:hint="eastAsia"/>
                <w:sz w:val="21"/>
                <w:szCs w:val="21"/>
              </w:rPr>
              <w:t>6人</w:t>
            </w:r>
          </w:p>
        </w:tc>
        <w:tc>
          <w:tcPr>
            <w:tcW w:w="1896" w:type="dxa"/>
            <w:vAlign w:val="center"/>
          </w:tcPr>
          <w:p w14:paraId="681862E9">
            <w:pPr>
              <w:widowControl/>
              <w:spacing w:line="240" w:lineRule="auto"/>
              <w:ind w:firstLine="0" w:firstLineChars="0"/>
              <w:jc w:val="left"/>
              <w:rPr>
                <w:rFonts w:hint="eastAsia"/>
                <w:sz w:val="21"/>
                <w:szCs w:val="21"/>
              </w:rPr>
            </w:pPr>
            <w:r>
              <w:rPr>
                <w:rFonts w:hint="eastAsia"/>
                <w:sz w:val="21"/>
                <w:szCs w:val="21"/>
              </w:rPr>
              <w:t>具有本科及以上学历，具备2年及以上相关工作经验</w:t>
            </w:r>
          </w:p>
        </w:tc>
        <w:tc>
          <w:tcPr>
            <w:tcW w:w="1180" w:type="dxa"/>
            <w:noWrap/>
            <w:vAlign w:val="center"/>
          </w:tcPr>
          <w:p w14:paraId="0A97618F">
            <w:pPr>
              <w:widowControl/>
              <w:spacing w:line="240" w:lineRule="auto"/>
              <w:ind w:firstLine="0" w:firstLineChars="0"/>
              <w:jc w:val="center"/>
              <w:rPr>
                <w:rFonts w:hint="eastAsia"/>
                <w:sz w:val="21"/>
                <w:szCs w:val="21"/>
              </w:rPr>
            </w:pPr>
            <w:r>
              <w:rPr>
                <w:rFonts w:hint="eastAsia"/>
                <w:sz w:val="21"/>
                <w:szCs w:val="21"/>
              </w:rPr>
              <w:t>按需驻场</w:t>
            </w:r>
          </w:p>
        </w:tc>
      </w:tr>
    </w:tbl>
    <w:p w14:paraId="7B3A3DBF">
      <w:pPr>
        <w:pStyle w:val="4"/>
        <w:ind w:left="1" w:hanging="1"/>
        <w:rPr>
          <w:rFonts w:ascii="Times New Roman" w:hAnsi="Times New Roman"/>
        </w:rPr>
      </w:pPr>
      <w:r>
        <w:rPr>
          <w:rFonts w:hint="eastAsia" w:ascii="Times New Roman" w:hAnsi="Times New Roman"/>
        </w:rPr>
        <w:t>安全测评</w:t>
      </w:r>
      <w:r>
        <w:rPr>
          <w:rFonts w:ascii="Times New Roman" w:hAnsi="Times New Roman"/>
        </w:rPr>
        <w:t>要求</w:t>
      </w:r>
    </w:p>
    <w:p w14:paraId="045FCC7D">
      <w:pPr>
        <w:rPr>
          <w:rFonts w:hint="eastAsia"/>
        </w:rPr>
      </w:pPr>
      <w:r>
        <w:rPr>
          <w:rFonts w:hint="eastAsia"/>
        </w:rPr>
        <w:t>本项目等级保护要求：三级</w:t>
      </w:r>
      <w:r>
        <w:t>。</w:t>
      </w:r>
    </w:p>
    <w:p w14:paraId="6A3493E0">
      <w:pPr>
        <w:pStyle w:val="4"/>
        <w:ind w:left="1" w:hanging="1"/>
        <w:rPr>
          <w:rFonts w:ascii="Times New Roman" w:hAnsi="Times New Roman"/>
        </w:rPr>
      </w:pPr>
      <w:r>
        <w:rPr>
          <w:rFonts w:hint="eastAsia" w:ascii="Times New Roman" w:hAnsi="Times New Roman"/>
        </w:rPr>
        <w:t>商业密码应用需求</w:t>
      </w:r>
    </w:p>
    <w:p w14:paraId="7E19E89D">
      <w:pPr>
        <w:rPr>
          <w:rFonts w:hint="eastAsia"/>
        </w:rPr>
      </w:pPr>
      <w:r>
        <w:rPr>
          <w:rFonts w:hint="eastAsia"/>
        </w:rPr>
        <w:t>满足密码应用建设安全，按照《信息安全技术信息系统密码应用基本要求》（GB/T 39786-2021），并通过密码应用安全测评。具体测评单元及指标如下:</w:t>
      </w:r>
    </w:p>
    <w:p w14:paraId="42FDD2FC">
      <w:pPr>
        <w:rPr>
          <w:rFonts w:hint="eastAsia"/>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559"/>
        <w:gridCol w:w="5245"/>
        <w:gridCol w:w="1190"/>
      </w:tblGrid>
      <w:tr w14:paraId="7CC2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gridSpan w:val="2"/>
          </w:tcPr>
          <w:p w14:paraId="1E93E271">
            <w:pPr>
              <w:widowControl/>
              <w:spacing w:line="240" w:lineRule="auto"/>
              <w:ind w:firstLine="0" w:firstLineChars="0"/>
              <w:jc w:val="center"/>
              <w:rPr>
                <w:rFonts w:hint="eastAsia" w:cs="宋体" w:asciiTheme="minorEastAsia" w:hAnsiTheme="minorEastAsia" w:eastAsiaTheme="minorEastAsia"/>
                <w:color w:val="000000"/>
                <w:kern w:val="0"/>
              </w:rPr>
            </w:pPr>
            <w:r>
              <w:rPr>
                <w:rFonts w:hint="eastAsia" w:cs="宋体" w:asciiTheme="minorEastAsia" w:hAnsiTheme="minorEastAsia" w:eastAsiaTheme="minorEastAsia"/>
                <w:color w:val="000000"/>
                <w:kern w:val="0"/>
                <w:sz w:val="22"/>
                <w:szCs w:val="22"/>
              </w:rPr>
              <w:t>测评单元</w:t>
            </w:r>
          </w:p>
        </w:tc>
        <w:tc>
          <w:tcPr>
            <w:tcW w:w="5245" w:type="dxa"/>
          </w:tcPr>
          <w:p w14:paraId="2A62DB2D">
            <w:pPr>
              <w:widowControl/>
              <w:spacing w:line="240" w:lineRule="auto"/>
              <w:ind w:firstLine="0" w:firstLineChars="0"/>
              <w:jc w:val="center"/>
              <w:rPr>
                <w:rFonts w:hint="eastAsia" w:cs="宋体" w:asciiTheme="minorEastAsia" w:hAnsiTheme="minorEastAsia" w:eastAsiaTheme="minorEastAsia"/>
                <w:color w:val="000000"/>
                <w:kern w:val="0"/>
              </w:rPr>
            </w:pPr>
            <w:r>
              <w:rPr>
                <w:rFonts w:hint="eastAsia" w:cs="宋体" w:asciiTheme="minorEastAsia" w:hAnsiTheme="minorEastAsia" w:eastAsiaTheme="minorEastAsia"/>
                <w:color w:val="000000"/>
                <w:kern w:val="0"/>
                <w:sz w:val="22"/>
                <w:szCs w:val="22"/>
              </w:rPr>
              <w:t>测评指标</w:t>
            </w:r>
          </w:p>
        </w:tc>
        <w:tc>
          <w:tcPr>
            <w:tcW w:w="1190" w:type="dxa"/>
          </w:tcPr>
          <w:p w14:paraId="2D7F03D2">
            <w:pPr>
              <w:widowControl/>
              <w:spacing w:line="240" w:lineRule="auto"/>
              <w:ind w:firstLine="0" w:firstLineChars="0"/>
              <w:jc w:val="center"/>
              <w:rPr>
                <w:rFonts w:hint="eastAsia" w:cs="宋体" w:asciiTheme="minorEastAsia" w:hAnsiTheme="minorEastAsia" w:eastAsiaTheme="minorEastAsia"/>
                <w:color w:val="000000"/>
                <w:kern w:val="0"/>
              </w:rPr>
            </w:pPr>
            <w:r>
              <w:rPr>
                <w:rFonts w:hint="eastAsia" w:cs="宋体" w:asciiTheme="minorEastAsia" w:hAnsiTheme="minorEastAsia" w:eastAsiaTheme="minorEastAsia"/>
                <w:color w:val="000000"/>
                <w:kern w:val="0"/>
                <w:sz w:val="22"/>
                <w:szCs w:val="22"/>
              </w:rPr>
              <w:t>应用要求</w:t>
            </w:r>
          </w:p>
        </w:tc>
      </w:tr>
      <w:tr w14:paraId="1E0E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14:paraId="4995852B">
            <w:pPr>
              <w:ind w:firstLine="0" w:firstLineChars="0"/>
              <w:jc w:val="center"/>
              <w:rPr>
                <w:rFonts w:hint="eastAsia"/>
              </w:rPr>
            </w:pPr>
            <w:r>
              <w:rPr>
                <w:rFonts w:hint="eastAsia"/>
                <w:sz w:val="22"/>
                <w:szCs w:val="22"/>
              </w:rPr>
              <w:t>应用和数据安全</w:t>
            </w:r>
          </w:p>
        </w:tc>
        <w:tc>
          <w:tcPr>
            <w:tcW w:w="1559" w:type="dxa"/>
            <w:vAlign w:val="center"/>
          </w:tcPr>
          <w:p w14:paraId="08229FE9">
            <w:pPr>
              <w:ind w:firstLine="0" w:firstLineChars="0"/>
              <w:rPr>
                <w:rFonts w:hint="eastAsia"/>
              </w:rPr>
            </w:pPr>
            <w:r>
              <w:rPr>
                <w:rFonts w:hint="eastAsia"/>
                <w:sz w:val="22"/>
                <w:szCs w:val="22"/>
              </w:rPr>
              <w:t>身份鉴别</w:t>
            </w:r>
          </w:p>
        </w:tc>
        <w:tc>
          <w:tcPr>
            <w:tcW w:w="5245" w:type="dxa"/>
          </w:tcPr>
          <w:p w14:paraId="335D6697">
            <w:pPr>
              <w:ind w:firstLine="0" w:firstLineChars="0"/>
              <w:rPr>
                <w:rFonts w:hint="eastAsia"/>
              </w:rPr>
            </w:pPr>
            <w:r>
              <w:rPr>
                <w:rFonts w:hint="eastAsia"/>
                <w:sz w:val="22"/>
                <w:szCs w:val="22"/>
              </w:rPr>
              <w:t>宜采用密码技术对登录用户进行身份鉴别，保证应用系统用户身份的真实性</w:t>
            </w:r>
          </w:p>
        </w:tc>
        <w:tc>
          <w:tcPr>
            <w:tcW w:w="1190" w:type="dxa"/>
            <w:vAlign w:val="center"/>
          </w:tcPr>
          <w:p w14:paraId="21358A7F">
            <w:pPr>
              <w:ind w:firstLine="0" w:firstLineChars="0"/>
              <w:jc w:val="center"/>
              <w:rPr>
                <w:rFonts w:hint="eastAsia"/>
              </w:rPr>
            </w:pPr>
            <w:r>
              <w:rPr>
                <w:rFonts w:hint="eastAsia"/>
                <w:sz w:val="22"/>
                <w:szCs w:val="22"/>
              </w:rPr>
              <w:t>宜</w:t>
            </w:r>
          </w:p>
        </w:tc>
      </w:tr>
      <w:tr w14:paraId="4F8A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3C303802">
            <w:pPr>
              <w:ind w:firstLine="0" w:firstLineChars="0"/>
              <w:jc w:val="center"/>
              <w:rPr>
                <w:rFonts w:hint="eastAsia"/>
              </w:rPr>
            </w:pPr>
          </w:p>
        </w:tc>
        <w:tc>
          <w:tcPr>
            <w:tcW w:w="1559" w:type="dxa"/>
            <w:vAlign w:val="center"/>
          </w:tcPr>
          <w:p w14:paraId="20E17BF2">
            <w:pPr>
              <w:ind w:firstLine="0" w:firstLineChars="0"/>
              <w:rPr>
                <w:rFonts w:hint="eastAsia"/>
              </w:rPr>
            </w:pPr>
            <w:r>
              <w:rPr>
                <w:rFonts w:hint="eastAsia"/>
                <w:sz w:val="22"/>
                <w:szCs w:val="22"/>
              </w:rPr>
              <w:t>访问控制信息完整性</w:t>
            </w:r>
          </w:p>
        </w:tc>
        <w:tc>
          <w:tcPr>
            <w:tcW w:w="5245" w:type="dxa"/>
          </w:tcPr>
          <w:p w14:paraId="055CB6E1">
            <w:pPr>
              <w:ind w:firstLine="0" w:firstLineChars="0"/>
              <w:rPr>
                <w:rFonts w:hint="eastAsia"/>
              </w:rPr>
            </w:pPr>
            <w:r>
              <w:rPr>
                <w:rFonts w:hint="eastAsia"/>
                <w:sz w:val="22"/>
                <w:szCs w:val="22"/>
              </w:rPr>
              <w:t>可采用密码技术保证信息系统应用的访问控制信息的完整性；</w:t>
            </w:r>
          </w:p>
        </w:tc>
        <w:tc>
          <w:tcPr>
            <w:tcW w:w="1190" w:type="dxa"/>
            <w:vAlign w:val="center"/>
          </w:tcPr>
          <w:p w14:paraId="50E07F8C">
            <w:pPr>
              <w:ind w:firstLine="0" w:firstLineChars="0"/>
              <w:jc w:val="center"/>
              <w:rPr>
                <w:rFonts w:hint="eastAsia"/>
              </w:rPr>
            </w:pPr>
            <w:r>
              <w:rPr>
                <w:rFonts w:hint="eastAsia"/>
                <w:sz w:val="22"/>
                <w:szCs w:val="22"/>
              </w:rPr>
              <w:t>可</w:t>
            </w:r>
          </w:p>
        </w:tc>
      </w:tr>
      <w:tr w14:paraId="07A1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vMerge w:val="continue"/>
            <w:vAlign w:val="center"/>
          </w:tcPr>
          <w:p w14:paraId="7CFB8829">
            <w:pPr>
              <w:ind w:firstLine="0" w:firstLineChars="0"/>
              <w:jc w:val="center"/>
              <w:rPr>
                <w:rFonts w:hint="eastAsia"/>
              </w:rPr>
            </w:pPr>
          </w:p>
        </w:tc>
        <w:tc>
          <w:tcPr>
            <w:tcW w:w="1559" w:type="dxa"/>
            <w:vAlign w:val="center"/>
          </w:tcPr>
          <w:p w14:paraId="58A37784">
            <w:pPr>
              <w:ind w:firstLine="0" w:firstLineChars="0"/>
              <w:rPr>
                <w:rFonts w:hint="eastAsia"/>
              </w:rPr>
            </w:pPr>
            <w:r>
              <w:rPr>
                <w:rFonts w:hint="eastAsia"/>
                <w:sz w:val="22"/>
                <w:szCs w:val="22"/>
              </w:rPr>
              <w:t>重要数据传输机密性</w:t>
            </w:r>
          </w:p>
        </w:tc>
        <w:tc>
          <w:tcPr>
            <w:tcW w:w="5245" w:type="dxa"/>
          </w:tcPr>
          <w:p w14:paraId="122CEF14">
            <w:pPr>
              <w:ind w:firstLine="0" w:firstLineChars="0"/>
              <w:rPr>
                <w:rFonts w:hint="eastAsia"/>
              </w:rPr>
            </w:pPr>
            <w:r>
              <w:rPr>
                <w:rFonts w:hint="eastAsia"/>
                <w:sz w:val="22"/>
                <w:szCs w:val="22"/>
              </w:rPr>
              <w:t>宜采用密码技术保证信息系统应用的重要数据在传输过程中的机密性；</w:t>
            </w:r>
          </w:p>
        </w:tc>
        <w:tc>
          <w:tcPr>
            <w:tcW w:w="1190" w:type="dxa"/>
            <w:vAlign w:val="center"/>
          </w:tcPr>
          <w:p w14:paraId="60DC89DC">
            <w:pPr>
              <w:ind w:firstLine="0" w:firstLineChars="0"/>
              <w:jc w:val="center"/>
              <w:rPr>
                <w:rFonts w:hint="eastAsia"/>
              </w:rPr>
            </w:pPr>
            <w:r>
              <w:rPr>
                <w:rFonts w:hint="eastAsia"/>
                <w:sz w:val="22"/>
                <w:szCs w:val="22"/>
              </w:rPr>
              <w:t>宜</w:t>
            </w:r>
          </w:p>
        </w:tc>
      </w:tr>
      <w:tr w14:paraId="2331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6199950A">
            <w:pPr>
              <w:ind w:firstLine="0" w:firstLineChars="0"/>
              <w:jc w:val="center"/>
              <w:rPr>
                <w:rFonts w:hint="eastAsia"/>
              </w:rPr>
            </w:pPr>
          </w:p>
        </w:tc>
        <w:tc>
          <w:tcPr>
            <w:tcW w:w="1559" w:type="dxa"/>
            <w:vAlign w:val="center"/>
          </w:tcPr>
          <w:p w14:paraId="5BF78376">
            <w:pPr>
              <w:ind w:firstLine="0" w:firstLineChars="0"/>
              <w:rPr>
                <w:rFonts w:hint="eastAsia"/>
              </w:rPr>
            </w:pPr>
            <w:r>
              <w:rPr>
                <w:rFonts w:hint="eastAsia"/>
                <w:sz w:val="22"/>
                <w:szCs w:val="22"/>
              </w:rPr>
              <w:t>重要数据存储机密性</w:t>
            </w:r>
          </w:p>
        </w:tc>
        <w:tc>
          <w:tcPr>
            <w:tcW w:w="5245" w:type="dxa"/>
          </w:tcPr>
          <w:p w14:paraId="417B361C">
            <w:pPr>
              <w:ind w:firstLine="0" w:firstLineChars="0"/>
              <w:rPr>
                <w:rFonts w:hint="eastAsia"/>
              </w:rPr>
            </w:pPr>
            <w:r>
              <w:rPr>
                <w:rFonts w:hint="eastAsia"/>
                <w:sz w:val="22"/>
                <w:szCs w:val="22"/>
              </w:rPr>
              <w:t>宜采用密码技术保证信息系统应用的重要数据在存储过程中的机密性</w:t>
            </w:r>
          </w:p>
        </w:tc>
        <w:tc>
          <w:tcPr>
            <w:tcW w:w="1190" w:type="dxa"/>
            <w:vAlign w:val="center"/>
          </w:tcPr>
          <w:p w14:paraId="2ED7ADC2">
            <w:pPr>
              <w:ind w:firstLine="0" w:firstLineChars="0"/>
              <w:jc w:val="center"/>
              <w:rPr>
                <w:rFonts w:hint="eastAsia"/>
              </w:rPr>
            </w:pPr>
            <w:r>
              <w:rPr>
                <w:rFonts w:hint="eastAsia"/>
                <w:sz w:val="22"/>
                <w:szCs w:val="22"/>
              </w:rPr>
              <w:t>宜</w:t>
            </w:r>
          </w:p>
        </w:tc>
      </w:tr>
      <w:tr w14:paraId="3AA1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46AAEEC3">
            <w:pPr>
              <w:ind w:firstLine="0" w:firstLineChars="0"/>
              <w:jc w:val="center"/>
              <w:rPr>
                <w:rFonts w:hint="eastAsia"/>
              </w:rPr>
            </w:pPr>
          </w:p>
        </w:tc>
        <w:tc>
          <w:tcPr>
            <w:tcW w:w="1559" w:type="dxa"/>
            <w:vAlign w:val="center"/>
          </w:tcPr>
          <w:p w14:paraId="26968FCD">
            <w:pPr>
              <w:ind w:firstLine="0" w:firstLineChars="0"/>
              <w:rPr>
                <w:rFonts w:hint="eastAsia"/>
              </w:rPr>
            </w:pPr>
            <w:r>
              <w:rPr>
                <w:rFonts w:hint="eastAsia"/>
                <w:sz w:val="22"/>
                <w:szCs w:val="22"/>
              </w:rPr>
              <w:t>重要数据传输完整性</w:t>
            </w:r>
          </w:p>
        </w:tc>
        <w:tc>
          <w:tcPr>
            <w:tcW w:w="5245" w:type="dxa"/>
          </w:tcPr>
          <w:p w14:paraId="79176098">
            <w:pPr>
              <w:ind w:firstLine="0" w:firstLineChars="0"/>
              <w:rPr>
                <w:rFonts w:hint="eastAsia"/>
              </w:rPr>
            </w:pPr>
            <w:r>
              <w:rPr>
                <w:rFonts w:hint="eastAsia"/>
                <w:sz w:val="22"/>
                <w:szCs w:val="22"/>
              </w:rPr>
              <w:t>宜采用密码技术保证信息系统应用的重要数据在传输过程中的完整性；</w:t>
            </w:r>
          </w:p>
        </w:tc>
        <w:tc>
          <w:tcPr>
            <w:tcW w:w="1190" w:type="dxa"/>
            <w:vAlign w:val="center"/>
          </w:tcPr>
          <w:p w14:paraId="10E19F1B">
            <w:pPr>
              <w:ind w:firstLine="0" w:firstLineChars="0"/>
              <w:jc w:val="center"/>
              <w:rPr>
                <w:rFonts w:hint="eastAsia"/>
              </w:rPr>
            </w:pPr>
            <w:r>
              <w:rPr>
                <w:rFonts w:hint="eastAsia"/>
                <w:sz w:val="22"/>
                <w:szCs w:val="22"/>
              </w:rPr>
              <w:t>宜</w:t>
            </w:r>
          </w:p>
        </w:tc>
      </w:tr>
      <w:tr w14:paraId="5700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64A7D2CE">
            <w:pPr>
              <w:ind w:firstLine="0" w:firstLineChars="0"/>
              <w:jc w:val="center"/>
              <w:rPr>
                <w:rFonts w:hint="eastAsia"/>
              </w:rPr>
            </w:pPr>
          </w:p>
        </w:tc>
        <w:tc>
          <w:tcPr>
            <w:tcW w:w="1559" w:type="dxa"/>
            <w:vAlign w:val="center"/>
          </w:tcPr>
          <w:p w14:paraId="154F1A35">
            <w:pPr>
              <w:ind w:firstLine="0" w:firstLineChars="0"/>
              <w:rPr>
                <w:rFonts w:hint="eastAsia"/>
              </w:rPr>
            </w:pPr>
            <w:r>
              <w:rPr>
                <w:rFonts w:hint="eastAsia"/>
                <w:sz w:val="22"/>
                <w:szCs w:val="22"/>
              </w:rPr>
              <w:t>重要数据存储完整性</w:t>
            </w:r>
          </w:p>
        </w:tc>
        <w:tc>
          <w:tcPr>
            <w:tcW w:w="5245" w:type="dxa"/>
          </w:tcPr>
          <w:p w14:paraId="16AD0FEA">
            <w:pPr>
              <w:ind w:firstLine="0" w:firstLineChars="0"/>
              <w:rPr>
                <w:rFonts w:hint="eastAsia"/>
              </w:rPr>
            </w:pPr>
            <w:r>
              <w:rPr>
                <w:rFonts w:hint="eastAsia"/>
                <w:sz w:val="22"/>
                <w:szCs w:val="22"/>
              </w:rPr>
              <w:t>宜采用密码技术保证信息系统应用的重要数据在存储过程中的完整性；</w:t>
            </w:r>
          </w:p>
        </w:tc>
        <w:tc>
          <w:tcPr>
            <w:tcW w:w="1190" w:type="dxa"/>
            <w:vAlign w:val="center"/>
          </w:tcPr>
          <w:p w14:paraId="08484161">
            <w:pPr>
              <w:ind w:firstLine="0" w:firstLineChars="0"/>
              <w:jc w:val="center"/>
              <w:rPr>
                <w:rFonts w:hint="eastAsia"/>
              </w:rPr>
            </w:pPr>
            <w:r>
              <w:rPr>
                <w:rFonts w:hint="eastAsia"/>
                <w:sz w:val="22"/>
                <w:szCs w:val="22"/>
              </w:rPr>
              <w:t>宜</w:t>
            </w:r>
          </w:p>
        </w:tc>
      </w:tr>
    </w:tbl>
    <w:p w14:paraId="555142CD">
      <w:pPr>
        <w:rPr>
          <w:rFonts w:hint="eastAsia"/>
        </w:rPr>
      </w:pPr>
    </w:p>
    <w:p w14:paraId="297C8BCA">
      <w:pPr>
        <w:pStyle w:val="4"/>
        <w:ind w:left="1" w:hanging="1"/>
        <w:rPr>
          <w:rFonts w:ascii="Times New Roman" w:hAnsi="Times New Roman"/>
        </w:rPr>
      </w:pPr>
      <w:r>
        <w:rPr>
          <w:rFonts w:hint="eastAsia" w:ascii="Times New Roman" w:hAnsi="Times New Roman"/>
        </w:rPr>
        <w:t>技术文件要求</w:t>
      </w:r>
    </w:p>
    <w:p w14:paraId="2A0B8BA4">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17F8E274">
      <w:pPr>
        <w:rPr>
          <w:rFonts w:hint="eastAsia"/>
        </w:rPr>
      </w:pPr>
      <w:r>
        <w:rPr>
          <w:rFonts w:hint="eastAsia"/>
        </w:rPr>
        <w:t xml:space="preserve">－ 系统说明文件； </w:t>
      </w:r>
    </w:p>
    <w:p w14:paraId="421447BE">
      <w:pPr>
        <w:rPr>
          <w:rFonts w:hint="eastAsia"/>
        </w:rPr>
      </w:pPr>
      <w:r>
        <w:rPr>
          <w:rFonts w:hint="eastAsia"/>
        </w:rPr>
        <w:t xml:space="preserve">－ 技术手册(安装、测试、操作、维护、故障排除等)； </w:t>
      </w:r>
    </w:p>
    <w:p w14:paraId="1F11286E">
      <w:pPr>
        <w:rPr>
          <w:rFonts w:hint="eastAsia"/>
        </w:rPr>
      </w:pPr>
      <w:r>
        <w:rPr>
          <w:rFonts w:hint="eastAsia"/>
        </w:rPr>
        <w:t>－ 项目文档，应该包括：</w:t>
      </w:r>
    </w:p>
    <w:p w14:paraId="7048C6B8">
      <w:pPr>
        <w:ind w:firstLine="960" w:firstLineChars="400"/>
        <w:rPr>
          <w:rFonts w:hint="eastAsia"/>
        </w:rPr>
      </w:pPr>
      <w:r>
        <w:rPr>
          <w:rFonts w:hint="eastAsia"/>
        </w:rPr>
        <w:t>(1)软件需求说明书</w:t>
      </w:r>
    </w:p>
    <w:p w14:paraId="32FC7AFA">
      <w:pPr>
        <w:ind w:firstLine="960" w:firstLineChars="400"/>
        <w:rPr>
          <w:rFonts w:hint="eastAsia"/>
        </w:rPr>
      </w:pPr>
      <w:r>
        <w:rPr>
          <w:rFonts w:hint="eastAsia"/>
        </w:rPr>
        <w:t>(2)系统总体设计说明书</w:t>
      </w:r>
    </w:p>
    <w:p w14:paraId="1B06A5A9">
      <w:pPr>
        <w:ind w:firstLine="960" w:firstLineChars="400"/>
        <w:rPr>
          <w:rFonts w:hint="eastAsia"/>
        </w:rPr>
      </w:pPr>
      <w:r>
        <w:rPr>
          <w:rFonts w:hint="eastAsia"/>
        </w:rPr>
        <w:t>(3)应用软件功能清单</w:t>
      </w:r>
    </w:p>
    <w:p w14:paraId="690DF9E4">
      <w:pPr>
        <w:rPr>
          <w:rFonts w:hint="eastAsia"/>
        </w:rPr>
      </w:pPr>
      <w:r>
        <w:rPr>
          <w:rFonts w:hint="eastAsia"/>
        </w:rPr>
        <w:t>提供全套技术文件纸介质3套以及电子文件1套</w:t>
      </w:r>
      <w:r>
        <w:t>。</w:t>
      </w:r>
    </w:p>
    <w:p w14:paraId="58BA909F">
      <w:pPr>
        <w:keepNext/>
        <w:keepLines/>
        <w:numPr>
          <w:ilvl w:val="0"/>
          <w:numId w:val="1"/>
        </w:numPr>
        <w:spacing w:before="120" w:after="120"/>
        <w:ind w:firstLine="0" w:firstLineChars="0"/>
        <w:outlineLvl w:val="0"/>
        <w:rPr>
          <w:rFonts w:hint="eastAsia" w:eastAsia="黑体"/>
          <w:b/>
          <w:bCs/>
          <w:kern w:val="44"/>
          <w:sz w:val="32"/>
          <w:szCs w:val="28"/>
        </w:rPr>
      </w:pPr>
      <w:r>
        <w:rPr>
          <w:rFonts w:hint="eastAsia" w:eastAsia="黑体"/>
          <w:b/>
          <w:bCs/>
          <w:kern w:val="44"/>
          <w:sz w:val="32"/>
          <w:szCs w:val="28"/>
        </w:rPr>
        <w:t>供应商管理要求</w:t>
      </w:r>
    </w:p>
    <w:p w14:paraId="084B0C37">
      <w:pPr>
        <w:rPr>
          <w:rFonts w:hint="eastAsia"/>
        </w:rPr>
      </w:pPr>
      <w:r>
        <w:rPr>
          <w:rFonts w:hint="eastAsia"/>
        </w:rPr>
        <w:t>1、在项目实施期间，中标人应严格执行国家、地方、行业有关本项目业务管理和安全作业的法律、法规和制度并按规定承担相应的费用。中标人因违反规定等原因造成的一切损失和责任由中标人自行承担。</w:t>
      </w:r>
    </w:p>
    <w:p w14:paraId="42205566">
      <w:pPr>
        <w:rPr>
          <w:rFonts w:hint="eastAsia"/>
        </w:rPr>
      </w:pPr>
      <w:r>
        <w:rPr>
          <w:rFonts w:hint="eastAsia"/>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6D790577">
      <w:pPr>
        <w:rPr>
          <w:rFonts w:hint="eastAsia"/>
        </w:rPr>
      </w:pPr>
      <w:r>
        <w:rPr>
          <w:rFonts w:hint="eastAsia"/>
        </w:rPr>
        <w:t>3、中标人在项目实施期间，应按项目实际进度与环节落实所对应项目整体及各环节管理工作，按照规范做好项目实施期间相关管理与实施记录。</w:t>
      </w:r>
    </w:p>
    <w:p w14:paraId="56D39725">
      <w:pPr>
        <w:rPr>
          <w:rFonts w:hint="eastAsia"/>
        </w:rPr>
      </w:pPr>
      <w:r>
        <w:rPr>
          <w:rFonts w:hint="eastAsia"/>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0E5A5C75">
      <w:pPr>
        <w:rPr>
          <w:rFonts w:hint="eastAsia"/>
        </w:rPr>
      </w:pPr>
      <w:r>
        <w:rPr>
          <w:rFonts w:hint="eastAsia"/>
        </w:rPr>
        <w:t>5、中标人在项目实施期间必须遵守采购人的规章制度并提供实施人员名单。</w:t>
      </w:r>
    </w:p>
    <w:p w14:paraId="3B99AB34">
      <w:pPr>
        <w:rPr>
          <w:rFonts w:hint="eastAsia"/>
        </w:rPr>
      </w:pPr>
      <w:r>
        <w:rPr>
          <w:rFonts w:hint="eastAsia"/>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1149B44C">
      <w:pPr>
        <w:rPr>
          <w:rFonts w:hint="eastAsia"/>
        </w:rPr>
      </w:pPr>
      <w:r>
        <w:rPr>
          <w:rFonts w:hint="eastAsia"/>
        </w:rPr>
        <w:t>7、本项目软件开发及调试将纳入采购人的管理范围，中标人在此过程中须服从上述单位的管理协调。</w:t>
      </w:r>
    </w:p>
    <w:p w14:paraId="5396893F">
      <w:pPr>
        <w:rPr>
          <w:rFonts w:hint="eastAsia"/>
        </w:rPr>
      </w:pPr>
      <w:r>
        <w:rPr>
          <w:rFonts w:hint="eastAsia"/>
        </w:rPr>
        <w:t>8、具有信息安全管理体系认证证书、质量管理体系认证证书、信息技术服务管理体系认证证书、CCRC信息安全服务资质认证证书（软件安全开发）等证书。</w:t>
      </w:r>
    </w:p>
    <w:p w14:paraId="533B9900">
      <w:pPr>
        <w:keepNext/>
        <w:keepLines/>
        <w:numPr>
          <w:ilvl w:val="0"/>
          <w:numId w:val="1"/>
        </w:numPr>
        <w:spacing w:before="120" w:after="120"/>
        <w:ind w:firstLine="0" w:firstLineChars="0"/>
        <w:outlineLvl w:val="0"/>
        <w:rPr>
          <w:rFonts w:hint="eastAsia" w:eastAsia="黑体"/>
          <w:b/>
          <w:bCs/>
          <w:kern w:val="44"/>
          <w:sz w:val="32"/>
          <w:szCs w:val="28"/>
        </w:rPr>
      </w:pPr>
      <w:r>
        <w:rPr>
          <w:rFonts w:hint="eastAsia" w:eastAsia="黑体"/>
          <w:b/>
          <w:bCs/>
          <w:kern w:val="44"/>
          <w:sz w:val="32"/>
          <w:szCs w:val="28"/>
        </w:rPr>
        <w:t>附录</w:t>
      </w:r>
    </w:p>
    <w:p w14:paraId="306974D6">
      <w:pPr>
        <w:ind w:firstLine="482"/>
        <w:rPr>
          <w:rFonts w:hint="eastAsia"/>
        </w:rPr>
      </w:pPr>
      <w:r>
        <w:rPr>
          <w:rFonts w:hint="eastAsia"/>
          <w:b/>
        </w:rPr>
        <w:t>若项目建设过程中需符合相关技术标准或规范文件的要求，请将相关文件作为附件列出。参考如下：</w:t>
      </w:r>
    </w:p>
    <w:p w14:paraId="58B3F56E">
      <w:pPr>
        <w:ind w:firstLine="0" w:firstLineChars="0"/>
        <w:rPr>
          <w:rFonts w:hint="eastAsia"/>
        </w:rPr>
      </w:pPr>
      <w:r>
        <w:rPr>
          <w:rFonts w:hint="eastAsia"/>
        </w:rPr>
        <w:t>1、</w:t>
      </w:r>
      <w:r>
        <w:t>《政务网络安全监测平台总体技术要求》</w:t>
      </w:r>
    </w:p>
    <w:p w14:paraId="0ADB65F0">
      <w:pPr>
        <w:ind w:firstLine="0" w:firstLineChars="0"/>
        <w:rPr>
          <w:rFonts w:hint="eastAsia"/>
        </w:rPr>
      </w:pPr>
      <w:r>
        <w:object>
          <v:shape id="_x0000_i1025" o:spt="75" type="#_x0000_t75" style="height:53.5pt;width:76pt;" o:ole="t" filled="f" o:preferrelative="t" stroked="f" coordsize="21600,21600">
            <v:path/>
            <v:fill on="f" focussize="0,0"/>
            <v:stroke on="f" joinstyle="miter"/>
            <v:imagedata r:id="rId12" o:title=""/>
            <o:lock v:ext="edit" aspectratio="t"/>
            <w10:wrap type="none"/>
            <w10:anchorlock/>
          </v:shape>
          <o:OLEObject Type="Embed" ProgID="Package" ShapeID="_x0000_i1025" DrawAspect="Icon" ObjectID="_1468075725" r:id="rId11">
            <o:LockedField>false</o:LockedField>
          </o:OLEObject>
        </w:object>
      </w:r>
    </w:p>
    <w:p w14:paraId="1DE26E06">
      <w:pPr>
        <w:ind w:firstLine="0" w:firstLineChars="0"/>
        <w:jc w:val="left"/>
        <w:rPr>
          <w:rFonts w:hint="eastAsia"/>
        </w:rPr>
      </w:pPr>
      <w:r>
        <w:rPr>
          <w:rFonts w:hint="eastAsia"/>
        </w:rPr>
        <w:t>2、《上海市电子政务外网建设和运行管理指南（试行）》</w:t>
      </w:r>
    </w:p>
    <w:p w14:paraId="12A39ABF">
      <w:pPr>
        <w:ind w:firstLine="0" w:firstLineChars="0"/>
        <w:jc w:val="left"/>
        <w:rPr>
          <w:rFonts w:hint="eastAsia"/>
        </w:rPr>
      </w:pPr>
      <w:r>
        <w:object>
          <v:shape id="_x0000_i1026" o:spt="75" type="#_x0000_t75" style="height:53.5pt;width:76pt;" o:ole="t" filled="f" o:preferrelative="t" stroked="f" coordsize="21600,21600">
            <v:path/>
            <v:fill on="f" focussize="0,0"/>
            <v:stroke on="f" joinstyle="miter"/>
            <v:imagedata r:id="rId14" o:title=""/>
            <o:lock v:ext="edit" aspectratio="t"/>
            <w10:wrap type="none"/>
            <w10:anchorlock/>
          </v:shape>
          <o:OLEObject Type="Embed" ProgID="Package" ShapeID="_x0000_i1026" DrawAspect="Icon" ObjectID="_1468075726" r:id="rId13">
            <o:LockedField>false</o:LockedField>
          </o:OLEObject>
        </w:object>
      </w:r>
    </w:p>
    <w:p w14:paraId="29745E91">
      <w:pPr>
        <w:ind w:firstLine="0" w:firstLineChars="0"/>
        <w:jc w:val="left"/>
        <w:rPr>
          <w:rFonts w:hint="eastAsia"/>
          <w:b/>
          <w:bCs/>
        </w:rPr>
      </w:pPr>
      <w:r>
        <w:rPr>
          <w:rFonts w:hint="eastAsia"/>
        </w:rPr>
        <w:t>3、其他标准</w:t>
      </w:r>
    </w:p>
    <w:bookmarkEnd w:id="23"/>
    <w:p w14:paraId="705C9798">
      <w:pPr>
        <w:rPr>
          <w:rFonts w:ascii="Times New Roman" w:hAnsi="Times New Roman"/>
        </w:rPr>
      </w:pPr>
    </w:p>
    <w:p w14:paraId="2B30A7E4">
      <w:pPr>
        <w:rPr>
          <w:rFonts w:hint="eastAsia"/>
        </w:rPr>
      </w:pPr>
    </w:p>
    <w:sectPr>
      <w:footerReference r:id="rId9"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Courier New">
    <w:altName w:val="DejaVu Sans"/>
    <w:panose1 w:val="02070309020205020404"/>
    <w:charset w:val="00"/>
    <w:family w:val="modern"/>
    <w:pitch w:val="default"/>
    <w:sig w:usb0="00000000" w:usb1="00000000" w:usb2="00000009" w:usb3="00000000" w:csb0="000001FF"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9878E">
    <w:pPr>
      <w:ind w:firstLine="0" w:firstLineChars="0"/>
      <w:jc w:val="center"/>
      <w:rPr>
        <w:rFonts w:hint="eastAsia"/>
      </w:rPr>
    </w:pPr>
    <w:r>
      <w:fldChar w:fldCharType="begin"/>
    </w:r>
    <w:r>
      <w:instrText xml:space="preserve">PAGE   \* MERGEFORMAT</w:instrText>
    </w:r>
    <w:r>
      <w:fldChar w:fldCharType="separate"/>
    </w:r>
    <w:r>
      <w:rPr>
        <w:lang w:val="zh-CN"/>
      </w:rPr>
      <w:t>10</w:t>
    </w:r>
    <w:r>
      <w:rPr>
        <w:lang w:val="zh-CN"/>
      </w:rPr>
      <w:fldChar w:fldCharType="end"/>
    </w:r>
  </w:p>
  <w:p w14:paraId="0A520C5C">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ADD34">
    <w:pPr>
      <w:rPr>
        <w:rFonts w:hint="eastAsia"/>
      </w:rPr>
    </w:pPr>
  </w:p>
  <w:p w14:paraId="19950928">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CC3">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48CA8">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29F4C427">
    <w:pPr>
      <w:rPr>
        <w:rFonts w:hint="eastAsia"/>
      </w:rPr>
    </w:pPr>
  </w:p>
  <w:p w14:paraId="2E15CBB5">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1DE19">
    <w:pPr>
      <w:rPr>
        <w:rFonts w:hint="eastAsia"/>
      </w:rPr>
    </w:pPr>
  </w:p>
  <w:p w14:paraId="26E22991">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F8E31"/>
    <w:multiLevelType w:val="singleLevel"/>
    <w:tmpl w:val="A66F8E31"/>
    <w:lvl w:ilvl="0" w:tentative="0">
      <w:start w:val="1"/>
      <w:numFmt w:val="decimal"/>
      <w:suff w:val="nothing"/>
      <w:lvlText w:val="%1、"/>
      <w:lvlJc w:val="left"/>
    </w:lvl>
  </w:abstractNum>
  <w:abstractNum w:abstractNumId="1">
    <w:nsid w:val="43D33190"/>
    <w:multiLevelType w:val="multilevel"/>
    <w:tmpl w:val="43D33190"/>
    <w:lvl w:ilvl="0" w:tentative="0">
      <w:start w:val="1"/>
      <w:numFmt w:val="bullet"/>
      <w:pStyle w:val="20"/>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1827" w:hanging="567"/>
      </w:pPr>
    </w:lvl>
    <w:lvl w:ilvl="2" w:tentative="0">
      <w:start w:val="1"/>
      <w:numFmt w:val="decimal"/>
      <w:pStyle w:val="5"/>
      <w:isLgl/>
      <w:suff w:val="nothing"/>
      <w:lvlText w:val="%1.%2.%3、"/>
      <w:lvlJc w:val="left"/>
      <w:pPr>
        <w:ind w:left="480"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RhZmI4MDVmMTQ2MjVkZjFlZGQ5NmFkYTRlMjc0MmEifQ=="/>
  </w:docVars>
  <w:rsids>
    <w:rsidRoot w:val="0040598C"/>
    <w:rsid w:val="00055735"/>
    <w:rsid w:val="00055967"/>
    <w:rsid w:val="00077C16"/>
    <w:rsid w:val="000B17BD"/>
    <w:rsid w:val="000B2164"/>
    <w:rsid w:val="000C1934"/>
    <w:rsid w:val="000E0F25"/>
    <w:rsid w:val="000E54F1"/>
    <w:rsid w:val="000F1C93"/>
    <w:rsid w:val="00100E2C"/>
    <w:rsid w:val="00102494"/>
    <w:rsid w:val="00190443"/>
    <w:rsid w:val="001B0D69"/>
    <w:rsid w:val="001B146D"/>
    <w:rsid w:val="001B2D31"/>
    <w:rsid w:val="001C2828"/>
    <w:rsid w:val="001C651A"/>
    <w:rsid w:val="001F0A30"/>
    <w:rsid w:val="00246423"/>
    <w:rsid w:val="002832FC"/>
    <w:rsid w:val="002C57E4"/>
    <w:rsid w:val="002D6D62"/>
    <w:rsid w:val="00345834"/>
    <w:rsid w:val="00356A1D"/>
    <w:rsid w:val="0039226E"/>
    <w:rsid w:val="003C72D1"/>
    <w:rsid w:val="0040598C"/>
    <w:rsid w:val="004157DA"/>
    <w:rsid w:val="00436BB9"/>
    <w:rsid w:val="00462002"/>
    <w:rsid w:val="0049513D"/>
    <w:rsid w:val="004B0475"/>
    <w:rsid w:val="00524299"/>
    <w:rsid w:val="005540CB"/>
    <w:rsid w:val="005B1681"/>
    <w:rsid w:val="005D75CF"/>
    <w:rsid w:val="006012AB"/>
    <w:rsid w:val="00620257"/>
    <w:rsid w:val="006C288F"/>
    <w:rsid w:val="00700140"/>
    <w:rsid w:val="007020C4"/>
    <w:rsid w:val="00715420"/>
    <w:rsid w:val="007162EC"/>
    <w:rsid w:val="00727DD1"/>
    <w:rsid w:val="00757AFC"/>
    <w:rsid w:val="00777857"/>
    <w:rsid w:val="00821787"/>
    <w:rsid w:val="00834E2F"/>
    <w:rsid w:val="00876658"/>
    <w:rsid w:val="00880B16"/>
    <w:rsid w:val="00884C16"/>
    <w:rsid w:val="00917CB6"/>
    <w:rsid w:val="009203A2"/>
    <w:rsid w:val="00936A31"/>
    <w:rsid w:val="009407A1"/>
    <w:rsid w:val="0095028C"/>
    <w:rsid w:val="00954D89"/>
    <w:rsid w:val="00A472AF"/>
    <w:rsid w:val="00A54785"/>
    <w:rsid w:val="00A7633A"/>
    <w:rsid w:val="00A91A54"/>
    <w:rsid w:val="00A934A8"/>
    <w:rsid w:val="00B400A2"/>
    <w:rsid w:val="00B547FD"/>
    <w:rsid w:val="00B54C51"/>
    <w:rsid w:val="00B71858"/>
    <w:rsid w:val="00B82AC0"/>
    <w:rsid w:val="00C056BB"/>
    <w:rsid w:val="00C23BFA"/>
    <w:rsid w:val="00C33729"/>
    <w:rsid w:val="00C81C20"/>
    <w:rsid w:val="00CE56F7"/>
    <w:rsid w:val="00CF313A"/>
    <w:rsid w:val="00D00B90"/>
    <w:rsid w:val="00D354A9"/>
    <w:rsid w:val="00D453A3"/>
    <w:rsid w:val="00D56A22"/>
    <w:rsid w:val="00D83B1C"/>
    <w:rsid w:val="00E130F6"/>
    <w:rsid w:val="00E31601"/>
    <w:rsid w:val="00E74F8F"/>
    <w:rsid w:val="00E76A0B"/>
    <w:rsid w:val="00EC2BD9"/>
    <w:rsid w:val="00F51C1C"/>
    <w:rsid w:val="00FD4D33"/>
    <w:rsid w:val="00FF5E9F"/>
    <w:rsid w:val="5D746187"/>
    <w:rsid w:val="7F7F435D"/>
    <w:rsid w:val="B7BF45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3"/>
    <w:link w:val="45"/>
    <w:qFormat/>
    <w:uiPriority w:val="99"/>
    <w:pPr>
      <w:keepNext/>
      <w:keepLines/>
      <w:numPr>
        <w:ilvl w:val="0"/>
        <w:numId w:val="1"/>
      </w:numPr>
      <w:spacing w:before="120" w:after="120"/>
      <w:ind w:firstLine="0" w:firstLineChars="0"/>
      <w:outlineLvl w:val="0"/>
    </w:pPr>
    <w:rPr>
      <w:rFonts w:eastAsia="黑体"/>
      <w:b/>
      <w:bCs/>
      <w:kern w:val="44"/>
      <w:sz w:val="32"/>
      <w:szCs w:val="28"/>
    </w:rPr>
  </w:style>
  <w:style w:type="paragraph" w:styleId="4">
    <w:name w:val="heading 2"/>
    <w:basedOn w:val="1"/>
    <w:next w:val="3"/>
    <w:link w:val="46"/>
    <w:qFormat/>
    <w:uiPriority w:val="0"/>
    <w:pPr>
      <w:keepNext/>
      <w:keepLines/>
      <w:numPr>
        <w:ilvl w:val="1"/>
        <w:numId w:val="1"/>
      </w:numPr>
      <w:spacing w:before="120" w:after="120"/>
      <w:ind w:left="1049" w:firstLine="0" w:firstLineChars="0"/>
      <w:outlineLvl w:val="1"/>
    </w:pPr>
    <w:rPr>
      <w:b/>
      <w:bCs/>
      <w:sz w:val="30"/>
      <w:szCs w:val="32"/>
    </w:rPr>
  </w:style>
  <w:style w:type="paragraph" w:styleId="5">
    <w:name w:val="heading 3"/>
    <w:basedOn w:val="1"/>
    <w:next w:val="1"/>
    <w:link w:val="47"/>
    <w:qFormat/>
    <w:uiPriority w:val="0"/>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48"/>
    <w:qFormat/>
    <w:uiPriority w:val="9"/>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49"/>
    <w:qFormat/>
    <w:uiPriority w:val="9"/>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50"/>
    <w:qFormat/>
    <w:uiPriority w:val="9"/>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51"/>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52"/>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53"/>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3">
    <w:name w:val="正文内容"/>
    <w:basedOn w:val="1"/>
    <w:qFormat/>
    <w:uiPriority w:val="0"/>
    <w:pPr>
      <w:snapToGrid w:val="0"/>
      <w:ind w:firstLine="200"/>
      <w:jc w:val="left"/>
    </w:pPr>
    <w:rPr>
      <w:rFonts w:hAnsi="仿宋"/>
      <w:bCs/>
      <w:szCs w:val="40"/>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Normal Indent"/>
    <w:basedOn w:val="1"/>
    <w:next w:val="1"/>
    <w:link w:val="60"/>
    <w:unhideWhenUsed/>
    <w:qFormat/>
    <w:uiPriority w:val="99"/>
    <w:pPr>
      <w:spacing w:line="240" w:lineRule="auto"/>
      <w:ind w:firstLine="420"/>
    </w:pPr>
    <w:rPr>
      <w:rFonts w:ascii="Calibri" w:hAnsi="Calibri"/>
      <w:sz w:val="21"/>
    </w:rPr>
  </w:style>
  <w:style w:type="paragraph" w:styleId="14">
    <w:name w:val="caption"/>
    <w:basedOn w:val="1"/>
    <w:next w:val="1"/>
    <w:link w:val="61"/>
    <w:qFormat/>
    <w:uiPriority w:val="35"/>
    <w:pPr>
      <w:spacing w:afterLines="50"/>
      <w:ind w:firstLine="200"/>
    </w:pPr>
    <w:rPr>
      <w:rFonts w:ascii="Arial" w:hAnsi="Arial" w:eastAsia="黑体"/>
      <w:sz w:val="20"/>
      <w:szCs w:val="20"/>
    </w:rPr>
  </w:style>
  <w:style w:type="paragraph" w:styleId="15">
    <w:name w:val="Document Map"/>
    <w:basedOn w:val="1"/>
    <w:link w:val="62"/>
    <w:qFormat/>
    <w:uiPriority w:val="99"/>
    <w:rPr>
      <w:rFonts w:hAnsi="Times New Roman"/>
      <w:sz w:val="18"/>
      <w:szCs w:val="18"/>
    </w:rPr>
  </w:style>
  <w:style w:type="paragraph" w:styleId="16">
    <w:name w:val="annotation text"/>
    <w:basedOn w:val="1"/>
    <w:link w:val="63"/>
    <w:qFormat/>
    <w:uiPriority w:val="99"/>
    <w:pPr>
      <w:jc w:val="left"/>
    </w:pPr>
    <w:rPr>
      <w:rFonts w:ascii="Times New Roman" w:hAnsi="Times New Roman" w:eastAsia="仿宋"/>
      <w:sz w:val="28"/>
    </w:rPr>
  </w:style>
  <w:style w:type="paragraph" w:styleId="17">
    <w:name w:val="Body Text"/>
    <w:basedOn w:val="1"/>
    <w:next w:val="18"/>
    <w:link w:val="65"/>
    <w:unhideWhenUsed/>
    <w:qFormat/>
    <w:uiPriority w:val="99"/>
    <w:pPr>
      <w:spacing w:after="120" w:line="240" w:lineRule="auto"/>
      <w:ind w:firstLine="0" w:firstLineChars="0"/>
    </w:pPr>
    <w:rPr>
      <w:rFonts w:ascii="Times New Roman" w:hAnsi="Times New Roman"/>
      <w:sz w:val="21"/>
    </w:rPr>
  </w:style>
  <w:style w:type="paragraph" w:styleId="18">
    <w:name w:val="Plain Text"/>
    <w:basedOn w:val="1"/>
    <w:next w:val="1"/>
    <w:link w:val="64"/>
    <w:qFormat/>
    <w:uiPriority w:val="99"/>
    <w:pPr>
      <w:spacing w:line="240" w:lineRule="auto"/>
      <w:ind w:firstLine="0" w:firstLineChars="0"/>
    </w:pPr>
    <w:rPr>
      <w:rFonts w:hAnsi="Courier New"/>
      <w:sz w:val="21"/>
      <w:szCs w:val="20"/>
    </w:rPr>
  </w:style>
  <w:style w:type="paragraph" w:styleId="19">
    <w:name w:val="Body Text Indent"/>
    <w:basedOn w:val="1"/>
    <w:link w:val="66"/>
    <w:qFormat/>
    <w:uiPriority w:val="99"/>
    <w:pPr>
      <w:spacing w:after="120"/>
      <w:ind w:firstLine="200"/>
    </w:pPr>
    <w:rPr>
      <w:rFonts w:ascii="Times New Roman" w:hAnsi="Times New Roman"/>
      <w:sz w:val="21"/>
      <w:szCs w:val="20"/>
    </w:rPr>
  </w:style>
  <w:style w:type="paragraph" w:styleId="20">
    <w:name w:val="List Number 3"/>
    <w:basedOn w:val="1"/>
    <w:qFormat/>
    <w:uiPriority w:val="0"/>
    <w:pPr>
      <w:widowControl/>
      <w:numPr>
        <w:ilvl w:val="0"/>
        <w:numId w:val="2"/>
      </w:numPr>
      <w:tabs>
        <w:tab w:val="left" w:pos="360"/>
        <w:tab w:val="left" w:pos="1200"/>
      </w:tabs>
      <w:spacing w:after="200" w:line="276" w:lineRule="auto"/>
      <w:ind w:firstLine="200"/>
      <w:jc w:val="left"/>
    </w:pPr>
    <w:rPr>
      <w:rFonts w:ascii="Calibri" w:hAnsi="Calibri" w:eastAsia="仿宋"/>
      <w:kern w:val="0"/>
      <w:sz w:val="20"/>
      <w:szCs w:val="21"/>
      <w:lang w:eastAsia="en-US" w:bidi="en-US"/>
    </w:rPr>
  </w:style>
  <w:style w:type="paragraph" w:styleId="21">
    <w:name w:val="toc 5"/>
    <w:basedOn w:val="1"/>
    <w:next w:val="1"/>
    <w:unhideWhenUsed/>
    <w:qFormat/>
    <w:uiPriority w:val="39"/>
    <w:pPr>
      <w:ind w:left="1680" w:leftChars="800"/>
    </w:pPr>
    <w:rPr>
      <w:rFonts w:ascii="等线" w:hAnsi="等线" w:eastAsia="等线"/>
      <w:szCs w:val="22"/>
    </w:rPr>
  </w:style>
  <w:style w:type="paragraph" w:styleId="22">
    <w:name w:val="toc 3"/>
    <w:basedOn w:val="1"/>
    <w:next w:val="1"/>
    <w:qFormat/>
    <w:uiPriority w:val="39"/>
    <w:pPr>
      <w:tabs>
        <w:tab w:val="right" w:leader="dot" w:pos="8302"/>
      </w:tabs>
      <w:ind w:left="840" w:leftChars="400"/>
    </w:pPr>
  </w:style>
  <w:style w:type="paragraph" w:styleId="23">
    <w:name w:val="toc 8"/>
    <w:basedOn w:val="1"/>
    <w:next w:val="1"/>
    <w:unhideWhenUsed/>
    <w:qFormat/>
    <w:uiPriority w:val="39"/>
    <w:pPr>
      <w:ind w:left="2940" w:leftChars="1400"/>
    </w:pPr>
    <w:rPr>
      <w:rFonts w:ascii="等线" w:hAnsi="等线" w:eastAsia="等线"/>
      <w:szCs w:val="22"/>
    </w:rPr>
  </w:style>
  <w:style w:type="paragraph" w:styleId="24">
    <w:name w:val="Date"/>
    <w:basedOn w:val="1"/>
    <w:next w:val="1"/>
    <w:link w:val="67"/>
    <w:qFormat/>
    <w:uiPriority w:val="99"/>
    <w:pPr>
      <w:ind w:left="100" w:leftChars="2500"/>
    </w:pPr>
    <w:rPr>
      <w:rFonts w:ascii="Times New Roman" w:hAnsi="Times New Roman"/>
      <w:sz w:val="21"/>
    </w:rPr>
  </w:style>
  <w:style w:type="paragraph" w:styleId="25">
    <w:name w:val="Balloon Text"/>
    <w:basedOn w:val="1"/>
    <w:link w:val="68"/>
    <w:qFormat/>
    <w:uiPriority w:val="99"/>
    <w:rPr>
      <w:rFonts w:ascii="Times New Roman" w:hAnsi="Times New Roman"/>
      <w:sz w:val="18"/>
      <w:szCs w:val="18"/>
    </w:rPr>
  </w:style>
  <w:style w:type="paragraph" w:styleId="26">
    <w:name w:val="footer"/>
    <w:basedOn w:val="1"/>
    <w:link w:val="55"/>
    <w:unhideWhenUsed/>
    <w:qFormat/>
    <w:uiPriority w:val="99"/>
    <w:pPr>
      <w:tabs>
        <w:tab w:val="center" w:pos="4680"/>
        <w:tab w:val="right" w:pos="9360"/>
      </w:tabs>
      <w:spacing w:line="240" w:lineRule="auto"/>
    </w:pPr>
  </w:style>
  <w:style w:type="paragraph" w:styleId="27">
    <w:name w:val="header"/>
    <w:basedOn w:val="1"/>
    <w:link w:val="54"/>
    <w:unhideWhenUsed/>
    <w:qFormat/>
    <w:uiPriority w:val="99"/>
    <w:pPr>
      <w:tabs>
        <w:tab w:val="center" w:pos="4680"/>
        <w:tab w:val="right" w:pos="9360"/>
      </w:tabs>
      <w:spacing w:line="240" w:lineRule="auto"/>
    </w:pPr>
  </w:style>
  <w:style w:type="paragraph" w:styleId="28">
    <w:name w:val="toc 1"/>
    <w:basedOn w:val="1"/>
    <w:next w:val="1"/>
    <w:qFormat/>
    <w:uiPriority w:val="39"/>
  </w:style>
  <w:style w:type="paragraph" w:styleId="29">
    <w:name w:val="toc 4"/>
    <w:basedOn w:val="1"/>
    <w:next w:val="1"/>
    <w:unhideWhenUsed/>
    <w:qFormat/>
    <w:uiPriority w:val="39"/>
    <w:pPr>
      <w:ind w:left="1260" w:leftChars="600"/>
    </w:pPr>
    <w:rPr>
      <w:rFonts w:ascii="等线" w:hAnsi="等线" w:eastAsia="等线"/>
      <w:szCs w:val="22"/>
    </w:rPr>
  </w:style>
  <w:style w:type="paragraph" w:styleId="30">
    <w:name w:val="Subtitle"/>
    <w:basedOn w:val="1"/>
    <w:next w:val="1"/>
    <w:link w:val="69"/>
    <w:qFormat/>
    <w:uiPriority w:val="99"/>
    <w:pPr>
      <w:spacing w:before="240" w:after="60" w:line="312" w:lineRule="auto"/>
      <w:jc w:val="center"/>
      <w:outlineLvl w:val="1"/>
    </w:pPr>
    <w:rPr>
      <w:rFonts w:ascii="Calibri Light" w:hAnsi="Calibri Light"/>
      <w:b/>
      <w:bCs/>
      <w:kern w:val="28"/>
      <w:sz w:val="32"/>
      <w:szCs w:val="32"/>
    </w:rPr>
  </w:style>
  <w:style w:type="paragraph" w:styleId="31">
    <w:name w:val="toc 6"/>
    <w:basedOn w:val="1"/>
    <w:next w:val="1"/>
    <w:unhideWhenUsed/>
    <w:qFormat/>
    <w:uiPriority w:val="39"/>
    <w:pPr>
      <w:ind w:left="2100" w:leftChars="1000"/>
    </w:pPr>
    <w:rPr>
      <w:rFonts w:ascii="等线" w:hAnsi="等线" w:eastAsia="等线"/>
      <w:szCs w:val="22"/>
    </w:rPr>
  </w:style>
  <w:style w:type="paragraph" w:styleId="32">
    <w:name w:val="toc 2"/>
    <w:basedOn w:val="1"/>
    <w:next w:val="1"/>
    <w:qFormat/>
    <w:uiPriority w:val="39"/>
    <w:pPr>
      <w:tabs>
        <w:tab w:val="right" w:leader="dot" w:pos="8302"/>
      </w:tabs>
      <w:ind w:left="420" w:leftChars="200"/>
    </w:pPr>
  </w:style>
  <w:style w:type="paragraph" w:styleId="33">
    <w:name w:val="toc 9"/>
    <w:basedOn w:val="1"/>
    <w:next w:val="1"/>
    <w:unhideWhenUsed/>
    <w:qFormat/>
    <w:uiPriority w:val="39"/>
    <w:pPr>
      <w:ind w:left="3360" w:leftChars="1600"/>
    </w:pPr>
    <w:rPr>
      <w:rFonts w:ascii="等线" w:hAnsi="等线" w:eastAsia="等线"/>
      <w:szCs w:val="22"/>
    </w:rPr>
  </w:style>
  <w:style w:type="paragraph" w:styleId="34">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5">
    <w:name w:val="Title"/>
    <w:basedOn w:val="1"/>
    <w:next w:val="1"/>
    <w:link w:val="70"/>
    <w:qFormat/>
    <w:uiPriority w:val="99"/>
    <w:pPr>
      <w:spacing w:before="240" w:after="60" w:line="960" w:lineRule="auto"/>
      <w:jc w:val="center"/>
    </w:pPr>
    <w:rPr>
      <w:rFonts w:ascii="Cambria" w:hAnsi="Cambria" w:eastAsia="黑体"/>
      <w:b/>
      <w:bCs/>
      <w:sz w:val="52"/>
      <w:szCs w:val="32"/>
    </w:rPr>
  </w:style>
  <w:style w:type="paragraph" w:styleId="36">
    <w:name w:val="annotation subject"/>
    <w:basedOn w:val="16"/>
    <w:next w:val="16"/>
    <w:link w:val="71"/>
    <w:qFormat/>
    <w:uiPriority w:val="99"/>
    <w:rPr>
      <w:b/>
      <w:bCs/>
      <w:sz w:val="21"/>
    </w:rPr>
  </w:style>
  <w:style w:type="paragraph" w:styleId="37">
    <w:name w:val="Body Text First Indent"/>
    <w:basedOn w:val="17"/>
    <w:link w:val="72"/>
    <w:qFormat/>
    <w:uiPriority w:val="99"/>
    <w:pPr>
      <w:adjustRightInd w:val="0"/>
      <w:spacing w:before="100" w:beforeAutospacing="1" w:afterAutospacing="1" w:line="400" w:lineRule="atLeast"/>
      <w:ind w:firstLine="420" w:firstLineChars="100"/>
      <w:textAlignment w:val="baseline"/>
    </w:pPr>
    <w:rPr>
      <w:kern w:val="0"/>
      <w:sz w:val="24"/>
      <w:szCs w:val="20"/>
    </w:rPr>
  </w:style>
  <w:style w:type="table" w:styleId="39">
    <w:name w:val="Table Grid"/>
    <w:basedOn w:val="38"/>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basedOn w:val="40"/>
    <w:qFormat/>
    <w:uiPriority w:val="0"/>
  </w:style>
  <w:style w:type="character" w:styleId="42">
    <w:name w:val="FollowedHyperlink"/>
    <w:unhideWhenUsed/>
    <w:qFormat/>
    <w:uiPriority w:val="99"/>
    <w:rPr>
      <w:color w:val="954F72"/>
      <w:u w:val="single"/>
    </w:rPr>
  </w:style>
  <w:style w:type="character" w:styleId="43">
    <w:name w:val="Hyperlink"/>
    <w:qFormat/>
    <w:uiPriority w:val="99"/>
    <w:rPr>
      <w:color w:val="0000FF"/>
      <w:u w:val="single"/>
    </w:rPr>
  </w:style>
  <w:style w:type="character" w:styleId="44">
    <w:name w:val="annotation reference"/>
    <w:qFormat/>
    <w:uiPriority w:val="99"/>
    <w:rPr>
      <w:sz w:val="21"/>
      <w:szCs w:val="21"/>
    </w:rPr>
  </w:style>
  <w:style w:type="character" w:customStyle="1" w:styleId="45">
    <w:name w:val="标题 1 字符1"/>
    <w:link w:val="2"/>
    <w:qFormat/>
    <w:uiPriority w:val="99"/>
    <w:rPr>
      <w:rFonts w:ascii="宋体" w:hAnsi="宋体" w:eastAsia="黑体" w:cs="Times New Roman"/>
      <w:b/>
      <w:bCs/>
      <w:kern w:val="44"/>
      <w:sz w:val="32"/>
      <w:szCs w:val="28"/>
    </w:rPr>
  </w:style>
  <w:style w:type="character" w:customStyle="1" w:styleId="46">
    <w:name w:val="标题 2 字符"/>
    <w:basedOn w:val="40"/>
    <w:link w:val="4"/>
    <w:qFormat/>
    <w:uiPriority w:val="0"/>
    <w:rPr>
      <w:rFonts w:ascii="宋体" w:hAnsi="宋体" w:eastAsia="宋体" w:cs="Times New Roman"/>
      <w:b/>
      <w:bCs/>
      <w:kern w:val="2"/>
      <w:sz w:val="30"/>
      <w:szCs w:val="32"/>
    </w:rPr>
  </w:style>
  <w:style w:type="character" w:customStyle="1" w:styleId="47">
    <w:name w:val="标题 3 字符2"/>
    <w:basedOn w:val="40"/>
    <w:link w:val="5"/>
    <w:qFormat/>
    <w:uiPriority w:val="0"/>
    <w:rPr>
      <w:rFonts w:ascii="宋体" w:hAnsi="宋体" w:eastAsia="宋体" w:cs="Times New Roman"/>
      <w:b/>
      <w:bCs/>
      <w:kern w:val="2"/>
      <w:sz w:val="28"/>
      <w:szCs w:val="28"/>
    </w:rPr>
  </w:style>
  <w:style w:type="character" w:customStyle="1" w:styleId="48">
    <w:name w:val="标题 4 字符"/>
    <w:basedOn w:val="40"/>
    <w:link w:val="6"/>
    <w:qFormat/>
    <w:uiPriority w:val="9"/>
    <w:rPr>
      <w:rFonts w:ascii="宋体" w:hAnsi="宋体" w:eastAsia="宋体" w:cs="Times New Roman"/>
      <w:b/>
      <w:bCs/>
      <w:kern w:val="2"/>
      <w:sz w:val="30"/>
      <w:szCs w:val="30"/>
    </w:rPr>
  </w:style>
  <w:style w:type="character" w:customStyle="1" w:styleId="49">
    <w:name w:val="标题 5 字符"/>
    <w:basedOn w:val="40"/>
    <w:link w:val="7"/>
    <w:qFormat/>
    <w:uiPriority w:val="9"/>
    <w:rPr>
      <w:rFonts w:ascii="宋体" w:hAnsi="宋体" w:eastAsia="宋体" w:cs="Times New Roman"/>
      <w:b/>
      <w:bCs/>
      <w:kern w:val="2"/>
      <w:sz w:val="24"/>
      <w:szCs w:val="28"/>
    </w:rPr>
  </w:style>
  <w:style w:type="character" w:customStyle="1" w:styleId="50">
    <w:name w:val="标题 6 字符"/>
    <w:basedOn w:val="40"/>
    <w:link w:val="8"/>
    <w:qFormat/>
    <w:uiPriority w:val="9"/>
    <w:rPr>
      <w:rFonts w:ascii="Cambria" w:hAnsi="Cambria" w:eastAsia="宋体" w:cs="Times New Roman"/>
      <w:b/>
      <w:bCs/>
      <w:kern w:val="2"/>
      <w:sz w:val="24"/>
      <w:szCs w:val="24"/>
    </w:rPr>
  </w:style>
  <w:style w:type="character" w:customStyle="1" w:styleId="51">
    <w:name w:val="标题 7 字符"/>
    <w:basedOn w:val="40"/>
    <w:link w:val="9"/>
    <w:qFormat/>
    <w:uiPriority w:val="9"/>
    <w:rPr>
      <w:rFonts w:ascii="Times New Roman" w:hAnsi="Times New Roman" w:eastAsia="宋体" w:cs="Times New Roman"/>
      <w:b/>
      <w:bCs/>
      <w:kern w:val="2"/>
      <w:sz w:val="21"/>
      <w:szCs w:val="24"/>
    </w:rPr>
  </w:style>
  <w:style w:type="character" w:customStyle="1" w:styleId="52">
    <w:name w:val="标题 8 字符"/>
    <w:basedOn w:val="40"/>
    <w:link w:val="10"/>
    <w:qFormat/>
    <w:uiPriority w:val="9"/>
    <w:rPr>
      <w:rFonts w:ascii="Cambria" w:hAnsi="Cambria" w:eastAsia="宋体" w:cs="Times New Roman"/>
      <w:kern w:val="2"/>
      <w:sz w:val="21"/>
      <w:szCs w:val="24"/>
    </w:rPr>
  </w:style>
  <w:style w:type="character" w:customStyle="1" w:styleId="53">
    <w:name w:val="标题 9 字符"/>
    <w:basedOn w:val="40"/>
    <w:link w:val="11"/>
    <w:qFormat/>
    <w:uiPriority w:val="9"/>
    <w:rPr>
      <w:rFonts w:ascii="Cambria" w:hAnsi="Cambria" w:eastAsia="宋体" w:cs="Times New Roman"/>
      <w:kern w:val="2"/>
      <w:sz w:val="21"/>
      <w:szCs w:val="21"/>
    </w:rPr>
  </w:style>
  <w:style w:type="character" w:customStyle="1" w:styleId="54">
    <w:name w:val="页眉 字符"/>
    <w:basedOn w:val="40"/>
    <w:link w:val="27"/>
    <w:qFormat/>
    <w:uiPriority w:val="99"/>
  </w:style>
  <w:style w:type="character" w:customStyle="1" w:styleId="55">
    <w:name w:val="页脚 字符1"/>
    <w:basedOn w:val="40"/>
    <w:link w:val="26"/>
    <w:qFormat/>
    <w:uiPriority w:val="99"/>
  </w:style>
  <w:style w:type="character" w:customStyle="1" w:styleId="56">
    <w:name w:val="标题 1 Char"/>
    <w:basedOn w:val="40"/>
    <w:qFormat/>
    <w:uiPriority w:val="0"/>
    <w:rPr>
      <w:rFonts w:asciiTheme="majorHAnsi" w:hAnsiTheme="majorHAnsi" w:eastAsiaTheme="majorEastAsia" w:cstheme="majorBidi"/>
      <w:b/>
      <w:bCs/>
      <w:color w:val="376092" w:themeColor="accent1" w:themeShade="BF"/>
      <w:kern w:val="2"/>
      <w:sz w:val="28"/>
      <w:szCs w:val="28"/>
    </w:rPr>
  </w:style>
  <w:style w:type="character" w:customStyle="1" w:styleId="57">
    <w:name w:val="标题 7 Char"/>
    <w:basedOn w:val="40"/>
    <w:qFormat/>
    <w:uiPriority w:val="99"/>
    <w:rPr>
      <w:rFonts w:asciiTheme="majorHAnsi" w:hAnsiTheme="majorHAnsi" w:eastAsiaTheme="majorEastAsia" w:cstheme="majorBidi"/>
      <w:i/>
      <w:iCs/>
      <w:color w:val="404040" w:themeColor="text1" w:themeTint="BF"/>
      <w:kern w:val="2"/>
      <w:sz w:val="24"/>
      <w:szCs w:val="24"/>
      <w14:textFill>
        <w14:solidFill>
          <w14:schemeClr w14:val="tx1">
            <w14:lumMod w14:val="75000"/>
            <w14:lumOff w14:val="25000"/>
          </w14:schemeClr>
        </w14:solidFill>
      </w14:textFill>
    </w:rPr>
  </w:style>
  <w:style w:type="character" w:customStyle="1" w:styleId="58">
    <w:name w:val="标题 8 Char"/>
    <w:basedOn w:val="40"/>
    <w:qFormat/>
    <w:uiPriority w:val="99"/>
    <w:rPr>
      <w:rFonts w:asciiTheme="majorHAnsi" w:hAnsiTheme="majorHAnsi" w:eastAsiaTheme="majorEastAsia" w:cstheme="majorBidi"/>
      <w:color w:val="404040" w:themeColor="text1" w:themeTint="BF"/>
      <w:kern w:val="2"/>
      <w:sz w:val="20"/>
      <w:szCs w:val="20"/>
      <w14:textFill>
        <w14:solidFill>
          <w14:schemeClr w14:val="tx1">
            <w14:lumMod w14:val="75000"/>
            <w14:lumOff w14:val="25000"/>
          </w14:schemeClr>
        </w14:solidFill>
      </w14:textFill>
    </w:rPr>
  </w:style>
  <w:style w:type="character" w:customStyle="1" w:styleId="59">
    <w:name w:val="标题 9 Char"/>
    <w:basedOn w:val="40"/>
    <w:qFormat/>
    <w:uiPriority w:val="99"/>
    <w:rPr>
      <w:rFonts w:asciiTheme="majorHAnsi" w:hAnsiTheme="majorHAnsi" w:eastAsiaTheme="majorEastAsia" w:cstheme="majorBidi"/>
      <w:i/>
      <w:iCs/>
      <w:color w:val="404040" w:themeColor="text1" w:themeTint="BF"/>
      <w:kern w:val="2"/>
      <w:sz w:val="20"/>
      <w:szCs w:val="20"/>
      <w14:textFill>
        <w14:solidFill>
          <w14:schemeClr w14:val="tx1">
            <w14:lumMod w14:val="75000"/>
            <w14:lumOff w14:val="25000"/>
          </w14:schemeClr>
        </w14:solidFill>
      </w14:textFill>
    </w:rPr>
  </w:style>
  <w:style w:type="character" w:customStyle="1" w:styleId="60">
    <w:name w:val="正文缩进 字符"/>
    <w:basedOn w:val="40"/>
    <w:link w:val="13"/>
    <w:qFormat/>
    <w:uiPriority w:val="99"/>
    <w:rPr>
      <w:rFonts w:ascii="Calibri" w:hAnsi="Calibri" w:eastAsia="宋体" w:cs="Times New Roman"/>
      <w:kern w:val="2"/>
      <w:sz w:val="21"/>
      <w:szCs w:val="24"/>
    </w:rPr>
  </w:style>
  <w:style w:type="character" w:customStyle="1" w:styleId="61">
    <w:name w:val="题注 字符"/>
    <w:basedOn w:val="40"/>
    <w:link w:val="14"/>
    <w:qFormat/>
    <w:uiPriority w:val="35"/>
    <w:rPr>
      <w:rFonts w:ascii="Arial" w:hAnsi="Arial" w:eastAsia="黑体" w:cs="Times New Roman"/>
      <w:kern w:val="2"/>
      <w:sz w:val="20"/>
      <w:szCs w:val="20"/>
    </w:rPr>
  </w:style>
  <w:style w:type="character" w:customStyle="1" w:styleId="62">
    <w:name w:val="文档结构图 字符"/>
    <w:basedOn w:val="40"/>
    <w:link w:val="15"/>
    <w:qFormat/>
    <w:uiPriority w:val="99"/>
    <w:rPr>
      <w:rFonts w:ascii="宋体" w:hAnsi="Times New Roman" w:eastAsia="宋体" w:cs="Times New Roman"/>
      <w:kern w:val="2"/>
      <w:sz w:val="18"/>
      <w:szCs w:val="18"/>
    </w:rPr>
  </w:style>
  <w:style w:type="character" w:customStyle="1" w:styleId="63">
    <w:name w:val="批注文字 字符1"/>
    <w:basedOn w:val="40"/>
    <w:link w:val="16"/>
    <w:qFormat/>
    <w:uiPriority w:val="99"/>
    <w:rPr>
      <w:rFonts w:ascii="Times New Roman" w:hAnsi="Times New Roman" w:eastAsia="仿宋" w:cs="Times New Roman"/>
      <w:kern w:val="2"/>
      <w:sz w:val="28"/>
      <w:szCs w:val="24"/>
    </w:rPr>
  </w:style>
  <w:style w:type="character" w:customStyle="1" w:styleId="64">
    <w:name w:val="纯文本 字符1"/>
    <w:basedOn w:val="40"/>
    <w:link w:val="18"/>
    <w:qFormat/>
    <w:uiPriority w:val="99"/>
    <w:rPr>
      <w:rFonts w:ascii="宋体" w:hAnsi="Courier New" w:eastAsia="宋体" w:cs="Times New Roman"/>
      <w:kern w:val="2"/>
      <w:sz w:val="21"/>
      <w:szCs w:val="20"/>
    </w:rPr>
  </w:style>
  <w:style w:type="character" w:customStyle="1" w:styleId="65">
    <w:name w:val="正文文本 字符"/>
    <w:basedOn w:val="40"/>
    <w:link w:val="17"/>
    <w:qFormat/>
    <w:uiPriority w:val="99"/>
    <w:rPr>
      <w:rFonts w:ascii="Times New Roman" w:hAnsi="Times New Roman" w:eastAsia="宋体" w:cs="Times New Roman"/>
      <w:kern w:val="2"/>
      <w:sz w:val="21"/>
      <w:szCs w:val="24"/>
    </w:rPr>
  </w:style>
  <w:style w:type="character" w:customStyle="1" w:styleId="66">
    <w:name w:val="正文文本缩进 字符"/>
    <w:basedOn w:val="40"/>
    <w:link w:val="19"/>
    <w:qFormat/>
    <w:uiPriority w:val="99"/>
    <w:rPr>
      <w:rFonts w:ascii="Times New Roman" w:hAnsi="Times New Roman" w:eastAsia="宋体" w:cs="Times New Roman"/>
      <w:kern w:val="2"/>
      <w:sz w:val="21"/>
      <w:szCs w:val="20"/>
    </w:rPr>
  </w:style>
  <w:style w:type="character" w:customStyle="1" w:styleId="67">
    <w:name w:val="日期 字符"/>
    <w:basedOn w:val="40"/>
    <w:link w:val="24"/>
    <w:qFormat/>
    <w:uiPriority w:val="99"/>
    <w:rPr>
      <w:rFonts w:ascii="Times New Roman" w:hAnsi="Times New Roman" w:eastAsia="宋体" w:cs="Times New Roman"/>
      <w:kern w:val="2"/>
      <w:sz w:val="21"/>
      <w:szCs w:val="24"/>
    </w:rPr>
  </w:style>
  <w:style w:type="character" w:customStyle="1" w:styleId="68">
    <w:name w:val="批注框文本 字符"/>
    <w:basedOn w:val="40"/>
    <w:link w:val="25"/>
    <w:qFormat/>
    <w:uiPriority w:val="99"/>
    <w:rPr>
      <w:rFonts w:ascii="Times New Roman" w:hAnsi="Times New Roman" w:eastAsia="宋体" w:cs="Times New Roman"/>
      <w:kern w:val="2"/>
      <w:sz w:val="18"/>
      <w:szCs w:val="18"/>
    </w:rPr>
  </w:style>
  <w:style w:type="character" w:customStyle="1" w:styleId="69">
    <w:name w:val="副标题 字符1"/>
    <w:basedOn w:val="40"/>
    <w:link w:val="30"/>
    <w:qFormat/>
    <w:uiPriority w:val="99"/>
    <w:rPr>
      <w:rFonts w:ascii="Calibri Light" w:hAnsi="Calibri Light" w:eastAsia="宋体" w:cs="Times New Roman"/>
      <w:b/>
      <w:bCs/>
      <w:kern w:val="28"/>
      <w:sz w:val="32"/>
      <w:szCs w:val="32"/>
    </w:rPr>
  </w:style>
  <w:style w:type="character" w:customStyle="1" w:styleId="70">
    <w:name w:val="标题 字符1"/>
    <w:basedOn w:val="40"/>
    <w:link w:val="35"/>
    <w:qFormat/>
    <w:uiPriority w:val="99"/>
    <w:rPr>
      <w:rFonts w:ascii="Cambria" w:hAnsi="Cambria" w:eastAsia="黑体" w:cs="Times New Roman"/>
      <w:b/>
      <w:bCs/>
      <w:kern w:val="2"/>
      <w:sz w:val="52"/>
      <w:szCs w:val="32"/>
    </w:rPr>
  </w:style>
  <w:style w:type="character" w:customStyle="1" w:styleId="71">
    <w:name w:val="批注主题 字符"/>
    <w:basedOn w:val="63"/>
    <w:link w:val="36"/>
    <w:qFormat/>
    <w:uiPriority w:val="99"/>
    <w:rPr>
      <w:rFonts w:ascii="Times New Roman" w:hAnsi="Times New Roman" w:eastAsia="仿宋" w:cs="Times New Roman"/>
      <w:b/>
      <w:bCs/>
      <w:kern w:val="2"/>
      <w:sz w:val="21"/>
      <w:szCs w:val="24"/>
    </w:rPr>
  </w:style>
  <w:style w:type="character" w:customStyle="1" w:styleId="72">
    <w:name w:val="正文文本首行缩进 字符"/>
    <w:basedOn w:val="65"/>
    <w:link w:val="37"/>
    <w:qFormat/>
    <w:uiPriority w:val="99"/>
    <w:rPr>
      <w:rFonts w:ascii="Times New Roman" w:hAnsi="Times New Roman" w:eastAsia="宋体" w:cs="Times New Roman"/>
      <w:kern w:val="2"/>
      <w:sz w:val="24"/>
      <w:szCs w:val="20"/>
    </w:rPr>
  </w:style>
  <w:style w:type="character" w:customStyle="1" w:styleId="73">
    <w:name w:val="标题 3 字符1"/>
    <w:qFormat/>
    <w:uiPriority w:val="0"/>
    <w:rPr>
      <w:rFonts w:ascii="宋体" w:hAnsi="宋体"/>
      <w:b/>
      <w:bCs/>
      <w:kern w:val="2"/>
      <w:sz w:val="28"/>
      <w:szCs w:val="28"/>
    </w:rPr>
  </w:style>
  <w:style w:type="character" w:customStyle="1" w:styleId="74">
    <w:name w:val="首行缩进正文 Char"/>
    <w:link w:val="75"/>
    <w:qFormat/>
    <w:uiPriority w:val="0"/>
    <w:rPr>
      <w:kern w:val="2"/>
      <w:sz w:val="24"/>
    </w:rPr>
  </w:style>
  <w:style w:type="paragraph" w:customStyle="1" w:styleId="75">
    <w:name w:val="首行缩进正文"/>
    <w:basedOn w:val="1"/>
    <w:link w:val="74"/>
    <w:qFormat/>
    <w:uiPriority w:val="0"/>
    <w:pPr>
      <w:widowControl/>
      <w:adjustRightInd w:val="0"/>
      <w:snapToGrid w:val="0"/>
      <w:spacing w:afterLines="50" w:line="276" w:lineRule="auto"/>
      <w:ind w:firstLine="420" w:firstLineChars="0"/>
      <w:jc w:val="left"/>
    </w:pPr>
    <w:rPr>
      <w:rFonts w:asciiTheme="minorHAnsi" w:hAnsiTheme="minorHAnsi" w:eastAsiaTheme="minorEastAsia" w:cstheme="minorBidi"/>
      <w:szCs w:val="22"/>
    </w:rPr>
  </w:style>
  <w:style w:type="character" w:customStyle="1" w:styleId="76">
    <w:name w:val="未处理的提及1"/>
    <w:unhideWhenUsed/>
    <w:qFormat/>
    <w:uiPriority w:val="99"/>
    <w:rPr>
      <w:color w:val="605E5C"/>
      <w:shd w:val="clear" w:color="auto" w:fill="E1DFDD"/>
    </w:rPr>
  </w:style>
  <w:style w:type="character" w:customStyle="1" w:styleId="77">
    <w:name w:val="标题 1 字符"/>
    <w:qFormat/>
    <w:uiPriority w:val="9"/>
    <w:rPr>
      <w:rFonts w:ascii="宋体" w:hAnsi="宋体"/>
      <w:b/>
      <w:bCs/>
      <w:kern w:val="44"/>
      <w:sz w:val="44"/>
      <w:szCs w:val="44"/>
    </w:rPr>
  </w:style>
  <w:style w:type="character" w:customStyle="1" w:styleId="78">
    <w:name w:val="页脚 字符"/>
    <w:qFormat/>
    <w:uiPriority w:val="99"/>
  </w:style>
  <w:style w:type="character" w:customStyle="1" w:styleId="79">
    <w:name w:val="题注 Char"/>
    <w:qFormat/>
    <w:locked/>
    <w:uiPriority w:val="35"/>
    <w:rPr>
      <w:rFonts w:ascii="Arial" w:hAnsi="Arial" w:eastAsia="黑体"/>
      <w:kern w:val="2"/>
    </w:rPr>
  </w:style>
  <w:style w:type="character" w:customStyle="1" w:styleId="80">
    <w:name w:val="纯文本 字符"/>
    <w:qFormat/>
    <w:uiPriority w:val="0"/>
    <w:rPr>
      <w:rFonts w:ascii="宋体" w:hAnsi="Courier New" w:cs="Courier New"/>
      <w:kern w:val="2"/>
      <w:sz w:val="21"/>
      <w:szCs w:val="21"/>
    </w:rPr>
  </w:style>
  <w:style w:type="character" w:customStyle="1" w:styleId="81">
    <w:name w:val="列表段落 字符"/>
    <w:link w:val="82"/>
    <w:qFormat/>
    <w:uiPriority w:val="34"/>
    <w:rPr>
      <w:kern w:val="2"/>
      <w:sz w:val="21"/>
    </w:rPr>
  </w:style>
  <w:style w:type="paragraph" w:customStyle="1" w:styleId="82">
    <w:name w:val="列表段落1"/>
    <w:basedOn w:val="1"/>
    <w:link w:val="81"/>
    <w:qFormat/>
    <w:uiPriority w:val="34"/>
    <w:pPr>
      <w:widowControl/>
      <w:spacing w:after="200" w:line="276" w:lineRule="auto"/>
      <w:ind w:left="720" w:firstLine="0" w:firstLineChars="0"/>
      <w:contextualSpacing/>
      <w:jc w:val="left"/>
    </w:pPr>
    <w:rPr>
      <w:rFonts w:asciiTheme="minorHAnsi" w:hAnsiTheme="minorHAnsi" w:eastAsiaTheme="minorEastAsia" w:cstheme="minorBidi"/>
      <w:sz w:val="21"/>
      <w:szCs w:val="22"/>
    </w:rPr>
  </w:style>
  <w:style w:type="character" w:customStyle="1" w:styleId="83">
    <w:name w:val="列表段落 字符1"/>
    <w:link w:val="84"/>
    <w:qFormat/>
    <w:uiPriority w:val="34"/>
    <w:rPr>
      <w:kern w:val="2"/>
      <w:sz w:val="21"/>
      <w:szCs w:val="24"/>
    </w:rPr>
  </w:style>
  <w:style w:type="paragraph" w:styleId="84">
    <w:name w:val="List Paragraph"/>
    <w:basedOn w:val="1"/>
    <w:link w:val="83"/>
    <w:qFormat/>
    <w:uiPriority w:val="34"/>
    <w:pPr>
      <w:ind w:firstLine="420"/>
    </w:pPr>
    <w:rPr>
      <w:rFonts w:asciiTheme="minorHAnsi" w:hAnsiTheme="minorHAnsi" w:eastAsiaTheme="minorEastAsia" w:cstheme="minorBidi"/>
      <w:sz w:val="21"/>
    </w:rPr>
  </w:style>
  <w:style w:type="character" w:customStyle="1" w:styleId="85">
    <w:name w:val="font21"/>
    <w:qFormat/>
    <w:uiPriority w:val="0"/>
    <w:rPr>
      <w:rFonts w:ascii="Calibri" w:hAnsi="Calibri" w:cs="Calibri"/>
      <w:color w:val="000000"/>
      <w:sz w:val="21"/>
      <w:szCs w:val="21"/>
      <w:u w:val="none"/>
    </w:rPr>
  </w:style>
  <w:style w:type="character" w:customStyle="1" w:styleId="86">
    <w:name w:val="*正文 Char"/>
    <w:link w:val="87"/>
    <w:qFormat/>
    <w:uiPriority w:val="0"/>
    <w:rPr>
      <w:rFonts w:ascii="time" w:hAnsi="time"/>
      <w:sz w:val="24"/>
      <w:szCs w:val="24"/>
      <w:lang w:bidi="en-US"/>
    </w:rPr>
  </w:style>
  <w:style w:type="paragraph" w:customStyle="1" w:styleId="87">
    <w:name w:val="*正文"/>
    <w:basedOn w:val="1"/>
    <w:link w:val="86"/>
    <w:qFormat/>
    <w:uiPriority w:val="0"/>
    <w:pPr>
      <w:widowControl/>
      <w:ind w:firstLine="200"/>
      <w:contextualSpacing/>
    </w:pPr>
    <w:rPr>
      <w:rFonts w:ascii="time" w:hAnsi="time" w:eastAsiaTheme="minorEastAsia" w:cstheme="minorBidi"/>
      <w:kern w:val="0"/>
      <w:lang w:bidi="en-US"/>
    </w:rPr>
  </w:style>
  <w:style w:type="character" w:customStyle="1" w:styleId="88">
    <w:name w:val="my正文 Char"/>
    <w:link w:val="89"/>
    <w:qFormat/>
    <w:uiPriority w:val="0"/>
    <w:rPr>
      <w:kern w:val="2"/>
      <w:sz w:val="21"/>
      <w:szCs w:val="24"/>
    </w:rPr>
  </w:style>
  <w:style w:type="paragraph" w:customStyle="1" w:styleId="89">
    <w:name w:val="my正文"/>
    <w:basedOn w:val="1"/>
    <w:link w:val="88"/>
    <w:qFormat/>
    <w:uiPriority w:val="0"/>
    <w:pPr>
      <w:spacing w:line="240" w:lineRule="auto"/>
      <w:ind w:firstLine="0" w:firstLineChars="0"/>
    </w:pPr>
    <w:rPr>
      <w:rFonts w:asciiTheme="minorHAnsi" w:hAnsiTheme="minorHAnsi" w:eastAsiaTheme="minorEastAsia" w:cstheme="minorBidi"/>
      <w:sz w:val="21"/>
    </w:rPr>
  </w:style>
  <w:style w:type="character" w:customStyle="1" w:styleId="90">
    <w:name w:val="正文2 字符"/>
    <w:link w:val="91"/>
    <w:qFormat/>
    <w:uiPriority w:val="0"/>
    <w:rPr>
      <w:kern w:val="2"/>
      <w:sz w:val="21"/>
      <w:szCs w:val="24"/>
    </w:rPr>
  </w:style>
  <w:style w:type="paragraph" w:customStyle="1" w:styleId="91">
    <w:name w:val="正文2"/>
    <w:basedOn w:val="1"/>
    <w:link w:val="90"/>
    <w:qFormat/>
    <w:uiPriority w:val="0"/>
    <w:pPr>
      <w:ind w:firstLine="420"/>
    </w:pPr>
    <w:rPr>
      <w:rFonts w:asciiTheme="minorHAnsi" w:hAnsiTheme="minorHAnsi" w:eastAsiaTheme="minorEastAsia" w:cstheme="minorBidi"/>
      <w:sz w:val="21"/>
    </w:rPr>
  </w:style>
  <w:style w:type="character" w:customStyle="1" w:styleId="92">
    <w:name w:val="font41"/>
    <w:qFormat/>
    <w:uiPriority w:val="0"/>
    <w:rPr>
      <w:rFonts w:hint="eastAsia" w:ascii="宋体" w:hAnsi="宋体" w:eastAsia="宋体" w:cs="宋体"/>
      <w:color w:val="000000"/>
      <w:sz w:val="21"/>
      <w:szCs w:val="21"/>
      <w:u w:val="none"/>
    </w:rPr>
  </w:style>
  <w:style w:type="character" w:customStyle="1" w:styleId="93">
    <w:name w:val="副标题 Char1"/>
    <w:qFormat/>
    <w:uiPriority w:val="0"/>
    <w:rPr>
      <w:rFonts w:ascii="Calibri Light" w:hAnsi="Calibri Light" w:cs="Times New Roman"/>
      <w:b/>
      <w:bCs/>
      <w:kern w:val="28"/>
      <w:sz w:val="32"/>
      <w:szCs w:val="32"/>
    </w:rPr>
  </w:style>
  <w:style w:type="character" w:customStyle="1" w:styleId="94">
    <w:name w:val="批注文字 字符"/>
    <w:qFormat/>
    <w:uiPriority w:val="99"/>
    <w:rPr>
      <w:rFonts w:ascii="宋体" w:hAnsi="宋体"/>
      <w:kern w:val="2"/>
      <w:sz w:val="24"/>
      <w:szCs w:val="24"/>
    </w:rPr>
  </w:style>
  <w:style w:type="character" w:customStyle="1" w:styleId="95">
    <w:name w:val="正文正文2 Char"/>
    <w:link w:val="96"/>
    <w:qFormat/>
    <w:uiPriority w:val="0"/>
    <w:rPr>
      <w:rFonts w:ascii="宋体" w:hAnsi="宋体"/>
      <w:kern w:val="2"/>
      <w:sz w:val="21"/>
      <w:szCs w:val="21"/>
    </w:rPr>
  </w:style>
  <w:style w:type="paragraph" w:customStyle="1" w:styleId="96">
    <w:name w:val="正文正文2"/>
    <w:basedOn w:val="1"/>
    <w:link w:val="95"/>
    <w:qFormat/>
    <w:uiPriority w:val="0"/>
    <w:pPr>
      <w:ind w:firstLine="460"/>
    </w:pPr>
    <w:rPr>
      <w:rFonts w:eastAsiaTheme="minorEastAsia" w:cstheme="minorBidi"/>
      <w:sz w:val="21"/>
      <w:szCs w:val="21"/>
    </w:rPr>
  </w:style>
  <w:style w:type="character" w:customStyle="1" w:styleId="97">
    <w:name w:val="font31"/>
    <w:qFormat/>
    <w:uiPriority w:val="0"/>
    <w:rPr>
      <w:rFonts w:hint="eastAsia" w:ascii="宋体" w:hAnsi="宋体" w:eastAsia="宋体" w:cs="宋体"/>
      <w:color w:val="000000"/>
      <w:sz w:val="21"/>
      <w:szCs w:val="21"/>
      <w:u w:val="none"/>
    </w:rPr>
  </w:style>
  <w:style w:type="character" w:customStyle="1" w:styleId="98">
    <w:name w:val="标准正文 Char"/>
    <w:link w:val="99"/>
    <w:qFormat/>
    <w:uiPriority w:val="0"/>
    <w:rPr>
      <w:rFonts w:ascii="Arial" w:hAnsi="Arial"/>
      <w:kern w:val="2"/>
      <w:sz w:val="24"/>
    </w:rPr>
  </w:style>
  <w:style w:type="paragraph" w:customStyle="1" w:styleId="99">
    <w:name w:val="标准正文"/>
    <w:basedOn w:val="19"/>
    <w:link w:val="98"/>
    <w:qFormat/>
    <w:uiPriority w:val="0"/>
    <w:pPr>
      <w:spacing w:before="60" w:after="60"/>
      <w:ind w:firstLine="482" w:firstLineChars="0"/>
    </w:pPr>
    <w:rPr>
      <w:rFonts w:ascii="Arial" w:hAnsi="Arial" w:eastAsiaTheme="minorEastAsia" w:cstheme="minorBidi"/>
      <w:sz w:val="24"/>
      <w:szCs w:val="22"/>
    </w:rPr>
  </w:style>
  <w:style w:type="character" w:customStyle="1" w:styleId="100">
    <w:name w:val="标题 字符"/>
    <w:qFormat/>
    <w:uiPriority w:val="99"/>
    <w:rPr>
      <w:rFonts w:ascii="等线 Light" w:hAnsi="等线 Light" w:eastAsia="等线 Light" w:cs="Times New Roman"/>
      <w:b/>
      <w:bCs/>
      <w:kern w:val="2"/>
      <w:sz w:val="32"/>
      <w:szCs w:val="32"/>
    </w:rPr>
  </w:style>
  <w:style w:type="character" w:customStyle="1" w:styleId="101">
    <w:name w:val="副标题 字符"/>
    <w:qFormat/>
    <w:uiPriority w:val="99"/>
    <w:rPr>
      <w:rFonts w:ascii="等线" w:hAnsi="等线" w:eastAsia="等线" w:cs="Times New Roman"/>
      <w:b/>
      <w:bCs/>
      <w:kern w:val="28"/>
      <w:sz w:val="32"/>
      <w:szCs w:val="32"/>
    </w:rPr>
  </w:style>
  <w:style w:type="paragraph" w:customStyle="1" w:styleId="102">
    <w:name w:val="xl72"/>
    <w:basedOn w:val="1"/>
    <w:qFormat/>
    <w:uiPriority w:val="99"/>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99"/>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99"/>
    <w:pPr>
      <w:spacing w:line="240" w:lineRule="auto"/>
      <w:ind w:firstLine="420"/>
    </w:pPr>
    <w:rPr>
      <w:rFonts w:ascii="Times New Roman" w:hAnsi="Times New Roman"/>
      <w:sz w:val="21"/>
      <w:szCs w:val="20"/>
    </w:rPr>
  </w:style>
  <w:style w:type="paragraph" w:customStyle="1" w:styleId="107">
    <w:name w:val="xl68"/>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99"/>
    <w:pPr>
      <w:ind w:firstLine="150" w:firstLineChars="150"/>
    </w:pPr>
  </w:style>
  <w:style w:type="paragraph" w:customStyle="1" w:styleId="110">
    <w:name w:val="msonormal"/>
    <w:basedOn w:val="1"/>
    <w:qFormat/>
    <w:uiPriority w:val="99"/>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99"/>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99"/>
    <w:pPr>
      <w:numPr>
        <w:ilvl w:val="0"/>
        <w:numId w:val="3"/>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99"/>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99"/>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99"/>
    <w:pPr>
      <w:widowControl/>
      <w:spacing w:after="160" w:line="240" w:lineRule="exact"/>
      <w:jc w:val="left"/>
    </w:pPr>
  </w:style>
  <w:style w:type="paragraph" w:customStyle="1" w:styleId="118">
    <w:name w:val="PM_Body"/>
    <w:basedOn w:val="1"/>
    <w:qFormat/>
    <w:locked/>
    <w:uiPriority w:val="99"/>
    <w:rPr>
      <w:szCs w:val="21"/>
    </w:rPr>
  </w:style>
  <w:style w:type="paragraph" w:customStyle="1" w:styleId="119">
    <w:name w:val="Char Char1"/>
    <w:basedOn w:val="1"/>
    <w:qFormat/>
    <w:uiPriority w:val="99"/>
    <w:pPr>
      <w:widowControl/>
      <w:spacing w:before="120" w:after="120"/>
    </w:pPr>
    <w:rPr>
      <w:rFonts w:ascii="Times New Roman" w:hAnsi="Times New Roman" w:cs="宋体"/>
    </w:rPr>
  </w:style>
  <w:style w:type="paragraph" w:customStyle="1" w:styleId="120">
    <w:name w:val="xl71"/>
    <w:basedOn w:val="1"/>
    <w:qFormat/>
    <w:uiPriority w:val="99"/>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99"/>
    <w:pPr>
      <w:spacing w:line="240" w:lineRule="auto"/>
      <w:ind w:firstLine="420"/>
    </w:pPr>
    <w:rPr>
      <w:rFonts w:ascii="等线" w:hAnsi="等线" w:eastAsia="等线" w:cs="等线"/>
      <w:sz w:val="21"/>
      <w:szCs w:val="21"/>
    </w:rPr>
  </w:style>
  <w:style w:type="paragraph" w:customStyle="1" w:styleId="123">
    <w:name w:val="xl69"/>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99"/>
    <w:pPr>
      <w:ind w:firstLine="200"/>
    </w:pPr>
    <w:rPr>
      <w:rFonts w:ascii="Times New Roman" w:hAnsi="Times New Roman" w:eastAsia="仿宋_GB2312"/>
      <w:color w:val="000000"/>
      <w:szCs w:val="28"/>
    </w:rPr>
  </w:style>
  <w:style w:type="paragraph" w:customStyle="1" w:styleId="126">
    <w:name w:val="xl65"/>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99"/>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8"/>
    <w:unhideWhenUsed/>
    <w:qFormat/>
    <w:uiPriority w:val="59"/>
    <w:rPr>
      <w:rFonts w:ascii="Times New Roman" w:hAnsi="Times New Roman" w:eastAsia="宋体" w:cs="Times New Roman"/>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纯文本 Char2"/>
    <w:qFormat/>
    <w:uiPriority w:val="0"/>
    <w:rPr>
      <w:rFonts w:ascii="宋体" w:hAnsi="宋体" w:eastAsia="宋体" w:cs="Times New Roman"/>
      <w:color w:val="000000"/>
      <w:kern w:val="0"/>
      <w:sz w:val="24"/>
      <w:szCs w:val="24"/>
    </w:rPr>
  </w:style>
  <w:style w:type="paragraph" w:customStyle="1" w:styleId="133">
    <w:name w:val="可研正文"/>
    <w:basedOn w:val="1"/>
    <w:link w:val="134"/>
    <w:qFormat/>
    <w:uiPriority w:val="0"/>
    <w:pPr>
      <w:ind w:firstLine="200"/>
    </w:pPr>
    <w:rPr>
      <w:rFonts w:ascii="仿宋" w:hAnsi="仿宋" w:eastAsia="仿宋" w:cstheme="minorBidi"/>
      <w:sz w:val="28"/>
      <w:szCs w:val="28"/>
    </w:rPr>
  </w:style>
  <w:style w:type="character" w:customStyle="1" w:styleId="134">
    <w:name w:val="可研正文 Char"/>
    <w:link w:val="133"/>
    <w:qFormat/>
    <w:uiPriority w:val="0"/>
    <w:rPr>
      <w:rFonts w:ascii="仿宋" w:hAnsi="仿宋" w:eastAsia="仿宋"/>
      <w:kern w:val="2"/>
      <w:sz w:val="28"/>
      <w:szCs w:val="28"/>
    </w:rPr>
  </w:style>
  <w:style w:type="paragraph" w:customStyle="1" w:styleId="135">
    <w:name w:val="font5"/>
    <w:basedOn w:val="1"/>
    <w:qFormat/>
    <w:uiPriority w:val="99"/>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36">
    <w:name w:val="xl63"/>
    <w:basedOn w:val="1"/>
    <w:qFormat/>
    <w:uiPriority w:val="99"/>
    <w:pPr>
      <w:widowControl/>
      <w:spacing w:before="100" w:beforeAutospacing="1" w:after="100" w:afterAutospacing="1" w:line="240" w:lineRule="auto"/>
      <w:ind w:firstLine="0" w:firstLineChars="0"/>
      <w:jc w:val="left"/>
    </w:pPr>
    <w:rPr>
      <w:rFonts w:cs="宋体"/>
      <w:kern w:val="0"/>
    </w:rPr>
  </w:style>
  <w:style w:type="paragraph" w:customStyle="1" w:styleId="137">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cs="宋体"/>
      <w:kern w:val="0"/>
    </w:rPr>
  </w:style>
  <w:style w:type="paragraph" w:customStyle="1" w:styleId="138">
    <w:name w:val="0可研正文"/>
    <w:basedOn w:val="1"/>
    <w:link w:val="139"/>
    <w:qFormat/>
    <w:uiPriority w:val="0"/>
    <w:pPr>
      <w:ind w:firstLine="200"/>
    </w:pPr>
    <w:rPr>
      <w:rFonts w:ascii="仿宋" w:hAnsi="仿宋" w:eastAsia="仿宋" w:cstheme="minorBidi"/>
      <w:sz w:val="28"/>
      <w:szCs w:val="28"/>
    </w:rPr>
  </w:style>
  <w:style w:type="character" w:customStyle="1" w:styleId="139">
    <w:name w:val="0可研正文 字符"/>
    <w:link w:val="138"/>
    <w:qFormat/>
    <w:uiPriority w:val="0"/>
    <w:rPr>
      <w:rFonts w:ascii="仿宋" w:hAnsi="仿宋" w:eastAsia="仿宋"/>
      <w:kern w:val="2"/>
      <w:sz w:val="28"/>
      <w:szCs w:val="28"/>
    </w:rPr>
  </w:style>
  <w:style w:type="paragraph" w:customStyle="1" w:styleId="140">
    <w:name w:val="0表格"/>
    <w:basedOn w:val="1"/>
    <w:link w:val="141"/>
    <w:qFormat/>
    <w:uiPriority w:val="0"/>
    <w:pPr>
      <w:ind w:firstLine="0" w:firstLineChars="0"/>
    </w:pPr>
    <w:rPr>
      <w:rFonts w:ascii="仿宋" w:hAnsi="仿宋" w:eastAsia="仿宋"/>
    </w:rPr>
  </w:style>
  <w:style w:type="character" w:customStyle="1" w:styleId="141">
    <w:name w:val="0表格 Char"/>
    <w:basedOn w:val="40"/>
    <w:link w:val="140"/>
    <w:qFormat/>
    <w:uiPriority w:val="0"/>
    <w:rPr>
      <w:rFonts w:ascii="仿宋" w:hAnsi="仿宋" w:eastAsia="仿宋" w:cs="Times New Roman"/>
      <w:kern w:val="2"/>
      <w:sz w:val="24"/>
      <w:szCs w:val="24"/>
    </w:rPr>
  </w:style>
  <w:style w:type="paragraph" w:customStyle="1" w:styleId="142">
    <w:name w:val="0table"/>
    <w:basedOn w:val="140"/>
    <w:link w:val="143"/>
    <w:qFormat/>
    <w:uiPriority w:val="0"/>
    <w:pPr>
      <w:spacing w:line="288" w:lineRule="auto"/>
    </w:pPr>
    <w:rPr>
      <w:sz w:val="21"/>
      <w:szCs w:val="21"/>
    </w:rPr>
  </w:style>
  <w:style w:type="character" w:customStyle="1" w:styleId="143">
    <w:name w:val="0table Char"/>
    <w:basedOn w:val="141"/>
    <w:link w:val="142"/>
    <w:qFormat/>
    <w:uiPriority w:val="0"/>
    <w:rPr>
      <w:rFonts w:ascii="仿宋" w:hAnsi="仿宋" w:eastAsia="仿宋" w:cs="Times New Roman"/>
      <w:kern w:val="2"/>
      <w:sz w:val="21"/>
      <w:szCs w:val="21"/>
    </w:rPr>
  </w:style>
  <w:style w:type="paragraph" w:customStyle="1" w:styleId="144">
    <w:name w:val="0正文"/>
    <w:basedOn w:val="1"/>
    <w:link w:val="145"/>
    <w:qFormat/>
    <w:uiPriority w:val="0"/>
    <w:pPr>
      <w:ind w:firstLine="200"/>
    </w:pPr>
    <w:rPr>
      <w:rFonts w:ascii="仿宋" w:hAnsi="仿宋" w:eastAsia="仿宋" w:cstheme="minorBidi"/>
      <w:sz w:val="28"/>
      <w:szCs w:val="28"/>
    </w:rPr>
  </w:style>
  <w:style w:type="character" w:customStyle="1" w:styleId="145">
    <w:name w:val="0正文 Char"/>
    <w:link w:val="144"/>
    <w:qFormat/>
    <w:uiPriority w:val="0"/>
    <w:rPr>
      <w:rFonts w:ascii="仿宋" w:hAnsi="仿宋" w:eastAsia="仿宋"/>
      <w:kern w:val="2"/>
      <w:sz w:val="28"/>
      <w:szCs w:val="28"/>
    </w:rPr>
  </w:style>
  <w:style w:type="character" w:customStyle="1" w:styleId="146">
    <w:name w:val="0标题3"/>
    <w:basedOn w:val="40"/>
    <w:qFormat/>
    <w:uiPriority w:val="0"/>
    <w:rPr>
      <w:sz w:val="28"/>
    </w:rPr>
  </w:style>
  <w:style w:type="paragraph" w:customStyle="1" w:styleId="147">
    <w:name w:val="修订2"/>
    <w:hidden/>
    <w:semiHidden/>
    <w:qFormat/>
    <w:uiPriority w:val="99"/>
    <w:rPr>
      <w:rFonts w:ascii="宋体" w:hAnsi="宋体" w:eastAsia="宋体" w:cs="Times New Roman"/>
      <w:kern w:val="2"/>
      <w:sz w:val="24"/>
      <w:szCs w:val="24"/>
      <w:lang w:val="en-US" w:eastAsia="zh-CN" w:bidi="ar-SA"/>
    </w:rPr>
  </w:style>
  <w:style w:type="paragraph" w:customStyle="1" w:styleId="148">
    <w:name w:val="TOC 标题2"/>
    <w:basedOn w:val="2"/>
    <w:next w:val="1"/>
    <w:semiHidden/>
    <w:unhideWhenUsed/>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character" w:customStyle="1" w:styleId="149">
    <w:name w:val="副标题 字符2"/>
    <w:basedOn w:val="40"/>
    <w:qFormat/>
    <w:uiPriority w:val="11"/>
    <w:rPr>
      <w:rFonts w:hint="default" w:asciiTheme="minorHAnsi" w:hAnsiTheme="minorHAnsi" w:eastAsiaTheme="minorEastAsia" w:cstheme="minorBidi"/>
      <w:b/>
      <w:bCs/>
      <w:kern w:val="28"/>
      <w:sz w:val="32"/>
      <w:szCs w:val="32"/>
    </w:rPr>
  </w:style>
  <w:style w:type="character" w:customStyle="1" w:styleId="150">
    <w:name w:val="标题 字符2"/>
    <w:basedOn w:val="40"/>
    <w:qFormat/>
    <w:uiPriority w:val="10"/>
    <w:rPr>
      <w:rFonts w:hint="default" w:asciiTheme="majorHAnsi" w:hAnsiTheme="majorHAnsi" w:eastAsiaTheme="majorEastAsia" w:cstheme="majorBidi"/>
      <w:b/>
      <w:bCs/>
      <w:kern w:val="2"/>
      <w:sz w:val="32"/>
      <w:szCs w:val="32"/>
    </w:rPr>
  </w:style>
  <w:style w:type="character" w:customStyle="1" w:styleId="151">
    <w:name w:val="font11"/>
    <w:basedOn w:val="40"/>
    <w:qFormat/>
    <w:uiPriority w:val="0"/>
    <w:rPr>
      <w:rFonts w:hint="eastAsia" w:ascii="宋体" w:hAnsi="宋体" w:eastAsia="宋体" w:cs="宋体"/>
      <w:b/>
      <w:bCs/>
      <w:color w:val="000000"/>
      <w:sz w:val="21"/>
      <w:szCs w:val="21"/>
      <w:u w:val="none"/>
    </w:rPr>
  </w:style>
  <w:style w:type="character" w:customStyle="1" w:styleId="152">
    <w:name w:val="font51"/>
    <w:basedOn w:val="40"/>
    <w:qFormat/>
    <w:uiPriority w:val="0"/>
    <w:rPr>
      <w:rFonts w:hint="eastAsia" w:ascii="宋体" w:hAnsi="宋体" w:eastAsia="宋体" w:cs="宋体"/>
      <w:color w:val="000000"/>
      <w:sz w:val="21"/>
      <w:szCs w:val="21"/>
      <w:u w:val="none"/>
    </w:rPr>
  </w:style>
  <w:style w:type="paragraph" w:customStyle="1" w:styleId="153">
    <w:name w:val="修订3"/>
    <w:hidden/>
    <w:unhideWhenUsed/>
    <w:qFormat/>
    <w:uiPriority w:val="99"/>
    <w:rPr>
      <w:rFonts w:ascii="宋体" w:hAnsi="宋体" w:eastAsia="宋体" w:cs="Times New Roman"/>
      <w:kern w:val="2"/>
      <w:sz w:val="24"/>
      <w:szCs w:val="24"/>
      <w:lang w:val="en-US" w:eastAsia="zh-CN" w:bidi="ar-SA"/>
    </w:rPr>
  </w:style>
  <w:style w:type="paragraph" w:customStyle="1" w:styleId="154">
    <w:name w:val="表格"/>
    <w:basedOn w:val="1"/>
    <w:qFormat/>
    <w:uiPriority w:val="0"/>
    <w:pPr>
      <w:ind w:firstLine="0" w:firstLineChars="0"/>
      <w:jc w:val="center"/>
    </w:pPr>
    <w:rPr>
      <w:rFonts w:ascii="仿宋" w:hAnsi="仿宋" w:cs="宋体"/>
      <w:szCs w:val="20"/>
    </w:rPr>
  </w:style>
  <w:style w:type="paragraph" w:customStyle="1" w:styleId="155">
    <w:name w:val="修订4"/>
    <w:hidden/>
    <w:unhideWhenUsed/>
    <w:qFormat/>
    <w:uiPriority w:val="99"/>
    <w:rPr>
      <w:rFonts w:ascii="宋体" w:hAnsi="宋体" w:eastAsia="宋体" w:cs="Times New Roman"/>
      <w:kern w:val="2"/>
      <w:sz w:val="24"/>
      <w:szCs w:val="24"/>
      <w:lang w:val="en-US" w:eastAsia="zh-CN" w:bidi="ar-SA"/>
    </w:rPr>
  </w:style>
  <w:style w:type="paragraph" w:customStyle="1" w:styleId="156">
    <w:name w:val="修订5"/>
    <w:hidden/>
    <w:unhideWhenUsed/>
    <w:qFormat/>
    <w:uiPriority w:val="99"/>
    <w:rPr>
      <w:rFonts w:ascii="宋体" w:hAnsi="宋体" w:eastAsia="宋体" w:cs="Times New Roman"/>
      <w:kern w:val="2"/>
      <w:sz w:val="24"/>
      <w:szCs w:val="24"/>
      <w:lang w:val="en-US" w:eastAsia="zh-CN" w:bidi="ar-SA"/>
    </w:rPr>
  </w:style>
  <w:style w:type="paragraph" w:customStyle="1" w:styleId="157">
    <w:name w:val="表格字体样式"/>
    <w:basedOn w:val="1"/>
    <w:qFormat/>
    <w:uiPriority w:val="0"/>
    <w:pPr>
      <w:widowControl/>
      <w:bidi/>
      <w:spacing w:beforeLines="30" w:afterLines="30" w:line="300" w:lineRule="exact"/>
      <w:jc w:val="left"/>
    </w:pPr>
    <w:rPr>
      <w:rFonts w:hint="eastAsia"/>
      <w:kern w:val="0"/>
    </w:rPr>
  </w:style>
  <w:style w:type="paragraph" w:customStyle="1" w:styleId="158">
    <w:name w:val="图片"/>
    <w:basedOn w:val="1"/>
    <w:qFormat/>
    <w:uiPriority w:val="0"/>
    <w:pPr>
      <w:widowControl/>
      <w:jc w:val="center"/>
    </w:pPr>
    <w:rPr>
      <w:rFonts w:hint="eastAsia"/>
      <w:kern w:val="0"/>
      <w:szCs w:val="21"/>
    </w:rPr>
  </w:style>
  <w:style w:type="character" w:customStyle="1" w:styleId="159">
    <w:name w:val="font01"/>
    <w:basedOn w:val="40"/>
    <w:qFormat/>
    <w:uiPriority w:val="0"/>
    <w:rPr>
      <w:rFonts w:hint="eastAsia" w:ascii="宋体" w:hAnsi="宋体" w:eastAsia="宋体" w:cs="宋体"/>
      <w:color w:val="000000"/>
      <w:sz w:val="22"/>
      <w:szCs w:val="22"/>
      <w:u w:val="none"/>
    </w:rPr>
  </w:style>
  <w:style w:type="paragraph" w:customStyle="1" w:styleId="160">
    <w:name w:val="修订6"/>
    <w:hidden/>
    <w:unhideWhenUsed/>
    <w:qFormat/>
    <w:uiPriority w:val="99"/>
    <w:rPr>
      <w:rFonts w:ascii="宋体" w:hAnsi="宋体" w:eastAsia="宋体" w:cs="Times New Roman"/>
      <w:kern w:val="2"/>
      <w:sz w:val="24"/>
      <w:szCs w:val="24"/>
      <w:lang w:val="en-US" w:eastAsia="zh-CN" w:bidi="ar-SA"/>
    </w:rPr>
  </w:style>
  <w:style w:type="paragraph" w:customStyle="1" w:styleId="161">
    <w:name w:val="【三级】"/>
    <w:basedOn w:val="5"/>
    <w:link w:val="162"/>
    <w:qFormat/>
    <w:uiPriority w:val="0"/>
    <w:pPr>
      <w:spacing w:before="260" w:after="260" w:line="416" w:lineRule="auto"/>
      <w:ind w:left="0"/>
    </w:pPr>
    <w:rPr>
      <w:rFonts w:ascii="黑体" w:hAnsi="黑体" w:eastAsia="黑体" w:cstheme="minorBidi"/>
      <w:sz w:val="32"/>
      <w:szCs w:val="32"/>
    </w:rPr>
  </w:style>
  <w:style w:type="character" w:customStyle="1" w:styleId="162">
    <w:name w:val="【三级】 字符"/>
    <w:basedOn w:val="163"/>
    <w:link w:val="161"/>
    <w:qFormat/>
    <w:uiPriority w:val="0"/>
    <w:rPr>
      <w:rFonts w:ascii="黑体" w:hAnsi="黑体" w:eastAsia="黑体"/>
      <w:kern w:val="2"/>
      <w:sz w:val="32"/>
      <w:szCs w:val="32"/>
    </w:rPr>
  </w:style>
  <w:style w:type="character" w:customStyle="1" w:styleId="163">
    <w:name w:val="标题 3 字符"/>
    <w:semiHidden/>
    <w:qFormat/>
    <w:uiPriority w:val="9"/>
    <w:rPr>
      <w:rFonts w:ascii="宋体" w:hAnsi="宋体"/>
      <w:b/>
      <w:bCs/>
      <w:kern w:val="2"/>
      <w:sz w:val="32"/>
      <w:szCs w:val="32"/>
    </w:rPr>
  </w:style>
  <w:style w:type="paragraph" w:customStyle="1" w:styleId="164">
    <w:name w:val="修订7"/>
    <w:hidden/>
    <w:semiHidden/>
    <w:qFormat/>
    <w:uiPriority w:val="99"/>
    <w:rPr>
      <w:rFonts w:ascii="宋体" w:hAnsi="宋体" w:eastAsia="宋体" w:cs="Times New Roman"/>
      <w:kern w:val="2"/>
      <w:sz w:val="24"/>
      <w:szCs w:val="24"/>
      <w:lang w:val="en-US" w:eastAsia="zh-CN" w:bidi="ar-SA"/>
    </w:rPr>
  </w:style>
  <w:style w:type="paragraph" w:customStyle="1" w:styleId="165">
    <w:name w:val="修订8"/>
    <w:hidden/>
    <w:unhideWhenUsed/>
    <w:qFormat/>
    <w:uiPriority w:val="99"/>
    <w:rPr>
      <w:rFonts w:ascii="宋体" w:hAnsi="宋体" w:eastAsia="宋体" w:cs="Times New Roman"/>
      <w:kern w:val="2"/>
      <w:sz w:val="24"/>
      <w:szCs w:val="24"/>
      <w:lang w:val="en-US" w:eastAsia="zh-CN" w:bidi="ar-SA"/>
    </w:rPr>
  </w:style>
  <w:style w:type="paragraph" w:customStyle="1" w:styleId="166">
    <w:name w:val="Table Text"/>
    <w:basedOn w:val="1"/>
    <w:semiHidden/>
    <w:qFormat/>
    <w:uiPriority w:val="0"/>
    <w:rPr>
      <w:rFonts w:cs="宋体"/>
      <w:sz w:val="21"/>
      <w:szCs w:val="21"/>
      <w:lang w:eastAsia="en-US"/>
    </w:rPr>
  </w:style>
  <w:style w:type="paragraph" w:customStyle="1" w:styleId="167">
    <w:name w:val="修订9"/>
    <w:hidden/>
    <w:semiHidden/>
    <w:qFormat/>
    <w:uiPriority w:val="99"/>
    <w:rPr>
      <w:rFonts w:ascii="宋体" w:hAnsi="宋体" w:eastAsia="宋体" w:cs="Times New Roman"/>
      <w:kern w:val="2"/>
      <w:sz w:val="24"/>
      <w:szCs w:val="24"/>
      <w:lang w:val="en-US" w:eastAsia="zh-CN" w:bidi="ar-SA"/>
    </w:rPr>
  </w:style>
  <w:style w:type="paragraph" w:customStyle="1" w:styleId="168">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B1973B1-4F9C-4896-9792-BD82D597F704}">
  <ds:schemaRefs/>
</ds:datastoreItem>
</file>

<file path=docProps/app.xml><?xml version="1.0" encoding="utf-8"?>
<Properties xmlns="http://schemas.openxmlformats.org/officeDocument/2006/extended-properties" xmlns:vt="http://schemas.openxmlformats.org/officeDocument/2006/docPropsVTypes">
  <Template>Normal</Template>
  <Pages>16</Pages>
  <Words>7531</Words>
  <Characters>7683</Characters>
  <Lines>960</Lines>
  <Paragraphs>894</Paragraphs>
  <TotalTime>2</TotalTime>
  <ScaleCrop>false</ScaleCrop>
  <LinksUpToDate>false</LinksUpToDate>
  <CharactersWithSpaces>14320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2026-01-10T15:16:00Z</dcterms:created>
  <dc:creator>DELL</dc:creator>
  <cp:lastModifiedBy>user</cp:lastModifiedBy>
  <dcterms:modified xsi:type="dcterms:W3CDTF">2026-01-30T16:27:20Z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7A80ACBA31E7F49A81B56069D31D460A_42</vt:lpwstr>
  </property>
</Properties>
</file>