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779EB">
      <w:pPr>
        <w:spacing w:line="360" w:lineRule="auto"/>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项目名称：城市运行精细化综合治理分析服务工作项目</w:t>
      </w:r>
    </w:p>
    <w:p w14:paraId="41294EA9">
      <w:pPr>
        <w:spacing w:line="360" w:lineRule="auto"/>
        <w:rPr>
          <w:rFonts w:ascii="方正仿宋_GB2312" w:hAnsi="方正仿宋_GB2312" w:eastAsia="方正仿宋_GB2312" w:cs="方正仿宋_GB2312"/>
          <w:b/>
          <w:bCs/>
          <w:sz w:val="32"/>
          <w:szCs w:val="32"/>
        </w:rPr>
      </w:pPr>
    </w:p>
    <w:p w14:paraId="1F837776">
      <w:pPr>
        <w:pStyle w:val="7"/>
        <w:numPr>
          <w:ilvl w:val="0"/>
          <w:numId w:val="1"/>
        </w:numPr>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项目概述</w:t>
      </w:r>
    </w:p>
    <w:p w14:paraId="3AEA73F4">
      <w:pPr>
        <w:numPr>
          <w:ilvl w:val="0"/>
          <w:numId w:val="2"/>
        </w:numPr>
        <w:spacing w:line="360" w:lineRule="auto"/>
        <w:rPr>
          <w:rFonts w:ascii="宋体" w:hAnsi="宋体" w:eastAsia="宋体" w:cs="宋体"/>
          <w:b/>
          <w:bCs/>
          <w:sz w:val="24"/>
        </w:rPr>
      </w:pPr>
      <w:r>
        <w:rPr>
          <w:rFonts w:hint="eastAsia" w:ascii="宋体" w:hAnsi="宋体" w:eastAsia="宋体" w:cs="宋体"/>
          <w:b/>
          <w:bCs/>
          <w:sz w:val="24"/>
        </w:rPr>
        <w:t>项目背景</w:t>
      </w:r>
    </w:p>
    <w:p w14:paraId="2E966C02">
      <w:pPr>
        <w:spacing w:line="360" w:lineRule="auto"/>
        <w:ind w:firstLine="480" w:firstLineChars="200"/>
        <w:rPr>
          <w:sz w:val="24"/>
        </w:rPr>
      </w:pPr>
      <w:r>
        <w:rPr>
          <w:rFonts w:hint="eastAsia"/>
          <w:sz w:val="24"/>
        </w:rPr>
        <w:t>为深入贯彻中央城市工作会议精神，全面落实习近平总书记关于“城市管理应该像绣花一样精细”“一流城市要有一流治理，注重在科学化、精细化、智能化上下功夫”“抓好城市运行‘一网统管’”等重要指示精神，紧扣上海超大城市治理现代化的总体要求，依据《上海城市管理精细化三年行动计划（2024—2026 年）》部署安排，聚焦市住建委在城市精细化管理中的数据汇聚、治理、挖掘与智能应用需求，以数字化转型全面赋能城市治理体系和治理能力现代化，系统推进跨部门、跨业务、多场景的数据整合、标准统一、质量提升与价值挖掘，持续增强数据要素对城市管理的支撑能力、驱动能力与赋能效能，为上海城市管理精细化提质增效与城市运行“一网统管”能级跃升提供坚实、可靠、高效的数据底座与技术支撑。</w:t>
      </w:r>
    </w:p>
    <w:p w14:paraId="5BBA4FAF">
      <w:pPr>
        <w:spacing w:line="360" w:lineRule="auto"/>
        <w:ind w:firstLine="480" w:firstLineChars="200"/>
        <w:rPr>
          <w:sz w:val="24"/>
        </w:rPr>
      </w:pPr>
      <w:r>
        <w:rPr>
          <w:rFonts w:hint="eastAsia"/>
          <w:sz w:val="24"/>
        </w:rPr>
        <w:t>当前，上海已依托城市运行“一网统管”平台，初步汇聚整合市民服务热线、网格化管理、网络舆情、物联感知、行业监管等多源异构城市管理数据，初步形成城市运行数据汇聚基础。但在实际应用中仍存在突出短板：一是数据资源分散、标准不统一，跨部门数据融合共享与深度利用不足；二是业务壁垒尚未根本打破，条块协同与流程联动不够顺畅；三是数据背后的规律挖掘、知识关联与智能推演能力偏弱，对管理决策的前瞻支撑不足；四是住建领域热点主题库、专题数据库与知识图谱体系尚不健全，智能研判、风险预警、短板识别能力难以满足精细化管理需要。</w:t>
      </w:r>
    </w:p>
    <w:p w14:paraId="01351667">
      <w:pPr>
        <w:spacing w:line="360" w:lineRule="auto"/>
        <w:ind w:firstLine="480" w:firstLineChars="200"/>
        <w:rPr>
          <w:sz w:val="24"/>
        </w:rPr>
      </w:pPr>
      <w:r>
        <w:rPr>
          <w:rFonts w:hint="eastAsia"/>
          <w:sz w:val="24"/>
        </w:rPr>
        <w:t>本项目坚持以数字化转型赋能城市精细化治理为核心导向，以提升城市管理质效与民生服务水平为目标，全面整合网格化巡查、市民热线诉求、网络舆情动态、行业监管信息等多维度数据资源，系统开展数据清洗治理、规律统计分析、热点主题库建设、知识图谱构建、发展趋势研判、运行短板识别等关键任务。通过打通数据壁垒、贯通业务链条、强化数据驱动、优化协同机制，精准定位城市管理中的痛点、堵点、难点与薄弱环节，靶向推动问题整治与源头治理，高效响应市民群众急难愁盼，持续提升城市管理的预见性、精准性、高效性，为上海加快建设具有世界影响力的社会主义现代化国际大都市、打造超大城市精细化治理典范，提供坚实的数据支撑、技术保障与应用示范。</w:t>
      </w:r>
    </w:p>
    <w:p w14:paraId="7A385586">
      <w:pPr>
        <w:pStyle w:val="11"/>
      </w:pPr>
    </w:p>
    <w:p w14:paraId="705E012F">
      <w:pPr>
        <w:numPr>
          <w:ilvl w:val="0"/>
          <w:numId w:val="2"/>
        </w:numPr>
        <w:spacing w:line="360" w:lineRule="auto"/>
        <w:rPr>
          <w:rFonts w:ascii="宋体" w:hAnsi="宋体" w:eastAsia="宋体" w:cs="宋体"/>
          <w:b/>
          <w:bCs/>
          <w:sz w:val="24"/>
        </w:rPr>
      </w:pPr>
      <w:r>
        <w:rPr>
          <w:rFonts w:hint="eastAsia" w:ascii="宋体" w:hAnsi="宋体" w:eastAsia="宋体" w:cs="宋体"/>
          <w:b/>
          <w:bCs/>
          <w:sz w:val="24"/>
        </w:rPr>
        <w:t>城市运行精细化管理场景基础</w:t>
      </w:r>
    </w:p>
    <w:p w14:paraId="4D7DDDD1">
      <w:pPr>
        <w:pStyle w:val="11"/>
        <w:numPr>
          <w:ilvl w:val="0"/>
          <w:numId w:val="3"/>
        </w:numPr>
        <w:spacing w:line="360" w:lineRule="auto"/>
        <w:rPr>
          <w:rFonts w:ascii="宋体" w:hAnsi="宋体" w:eastAsia="宋体" w:cs="宋体"/>
          <w:b/>
          <w:bCs/>
          <w:color w:val="auto"/>
        </w:rPr>
      </w:pPr>
      <w:r>
        <w:rPr>
          <w:rFonts w:hint="eastAsia" w:ascii="宋体" w:hAnsi="宋体" w:eastAsia="宋体" w:cs="宋体"/>
          <w:b/>
          <w:bCs/>
          <w:color w:val="auto"/>
        </w:rPr>
        <w:t>网格化管理</w:t>
      </w:r>
    </w:p>
    <w:p w14:paraId="77CC8187">
      <w:pPr>
        <w:spacing w:line="360" w:lineRule="auto"/>
        <w:ind w:firstLine="480" w:firstLineChars="200"/>
        <w:rPr>
          <w:rFonts w:ascii="宋体" w:hAnsi="宋体" w:eastAsia="宋体" w:cs="宋体"/>
          <w:sz w:val="24"/>
        </w:rPr>
      </w:pPr>
      <w:bookmarkStart w:id="0" w:name="OLE_LINK102"/>
      <w:r>
        <w:rPr>
          <w:rFonts w:hint="eastAsia" w:ascii="宋体" w:hAnsi="宋体" w:eastAsia="宋体" w:cs="宋体"/>
          <w:sz w:val="24"/>
        </w:rPr>
        <w:t>网格化管理的内涵是把管理内容划分为部件和事件, 把管理范围划分成以万米网格为最小管理单位, 明确管理的标准和流程, 建立相应的组织保障体系, 配置先进的信息化技术手段和设备, 形成科学、封闭的管理系统, 实现主动发现问题、主动解决问题的机制, 提高城市管理的能级和水平。当前，上海城市网格化管理托市、区、街镇三级管理体系，深化拓展网格化管理内容和范围，优化网格化管理标准和流程，形成了标准明确、管理规范、联动高效的城市综合管理指挥监督体系。</w:t>
      </w:r>
    </w:p>
    <w:p w14:paraId="6EBE7BB0">
      <w:pPr>
        <w:spacing w:line="360" w:lineRule="auto"/>
        <w:ind w:firstLine="480" w:firstLineChars="200"/>
        <w:rPr>
          <w:rFonts w:ascii="宋体" w:hAnsi="宋体" w:eastAsia="宋体" w:cs="宋体"/>
          <w:sz w:val="24"/>
        </w:rPr>
      </w:pPr>
      <w:r>
        <w:rPr>
          <w:rFonts w:hint="eastAsia" w:ascii="宋体" w:hAnsi="宋体" w:eastAsia="宋体" w:cs="宋体"/>
          <w:sz w:val="24"/>
        </w:rPr>
        <w:t>通过强化市、区、街镇城市网格化综合管理机构在城市管理中的指挥协调、监督评价作用，以主动发现这种方式提高实时发现各类城市管理问题的能力。分析网格化日常管理数据，能够对城市管理的各业务条线起到重要的支撑作用，一方面能作为城市综合管理工作的重要考核依据，对管理流程再造，完善联席会商研判机制，另外一方面能够推动相关部门打破部门壁垒、主动跨前协调，提高派单能力和联合处置能力。</w:t>
      </w:r>
      <w:bookmarkEnd w:id="0"/>
    </w:p>
    <w:p w14:paraId="471575C4">
      <w:pPr>
        <w:pStyle w:val="11"/>
        <w:numPr>
          <w:ilvl w:val="0"/>
          <w:numId w:val="3"/>
        </w:numPr>
        <w:spacing w:line="360" w:lineRule="auto"/>
        <w:rPr>
          <w:rFonts w:ascii="宋体" w:hAnsi="宋体" w:eastAsia="宋体" w:cs="宋体"/>
          <w:b/>
          <w:bCs/>
          <w:color w:val="auto"/>
        </w:rPr>
      </w:pPr>
      <w:r>
        <w:rPr>
          <w:rFonts w:hint="eastAsia" w:ascii="宋体" w:hAnsi="宋体" w:eastAsia="宋体" w:cs="宋体"/>
          <w:b/>
          <w:bCs/>
          <w:color w:val="auto"/>
        </w:rPr>
        <w:t>12319、12345热线</w:t>
      </w:r>
    </w:p>
    <w:p w14:paraId="1D80E359">
      <w:pPr>
        <w:spacing w:line="360" w:lineRule="auto"/>
        <w:ind w:firstLine="480" w:firstLineChars="200"/>
        <w:rPr>
          <w:rFonts w:ascii="宋体" w:hAnsi="宋体" w:eastAsia="宋体" w:cs="宋体"/>
          <w:sz w:val="24"/>
        </w:rPr>
      </w:pPr>
      <w:r>
        <w:rPr>
          <w:rFonts w:hint="eastAsia" w:ascii="宋体" w:hAnsi="宋体" w:eastAsia="宋体" w:cs="宋体"/>
          <w:sz w:val="24"/>
        </w:rPr>
        <w:t>“12319”城建服务热线内容涵盖了建设系统中的供水、路政、供气、排水防汛、房地产开发与管理、园林绿化、城市交通、市容环卫、建筑建材业管理、城管监察等7个相关的职能部门的多种行业，受理这些行业相关的投诉、咨询、建议及部分报修业务。“12345”市民热线涉及住建领域的服务内容涵盖城乡建设、城管执法、住房保障等相关职能部门的多种行业，如绿化维护、物业安保、物业管理不善、房屋老化、违法建筑、损坏侵占公用设施、工程质量、违规拆迁等各案件的投诉、咨询、建议等。</w:t>
      </w:r>
    </w:p>
    <w:p w14:paraId="01024864">
      <w:pPr>
        <w:spacing w:line="360" w:lineRule="auto"/>
        <w:ind w:firstLine="480" w:firstLineChars="200"/>
        <w:rPr>
          <w:rFonts w:ascii="宋体" w:hAnsi="宋体" w:eastAsia="宋体" w:cs="宋体"/>
          <w:sz w:val="24"/>
        </w:rPr>
      </w:pPr>
      <w:r>
        <w:rPr>
          <w:rFonts w:hint="eastAsia" w:ascii="宋体" w:hAnsi="宋体" w:eastAsia="宋体" w:cs="宋体"/>
          <w:sz w:val="24"/>
        </w:rPr>
        <w:t>12345、12319等相关热线作为市民投诉和咨询的电话受理平台，将市民反映的城市网格化管理问题，通过数据接口和网格化系统进行交互，由数据分发汇总子系统自动分发到各区监督受理进入网格化区内处理流程，并将最终处理结果数据反馈至相关热线平台，是获取老百姓对管理满意度信息的前沿阵地。通过对热线获取的被动反馈数据分析，能够较好的帮助管理人员掌握老百姓对管理的满意程度，同时了解老百姓关注的问题和诉求。</w:t>
      </w:r>
    </w:p>
    <w:p w14:paraId="5C80A22F">
      <w:pPr>
        <w:pStyle w:val="11"/>
        <w:numPr>
          <w:ilvl w:val="0"/>
          <w:numId w:val="3"/>
        </w:numPr>
        <w:spacing w:line="360" w:lineRule="auto"/>
        <w:rPr>
          <w:rFonts w:ascii="宋体" w:hAnsi="宋体" w:eastAsia="宋体" w:cs="宋体"/>
          <w:b/>
          <w:bCs/>
          <w:color w:val="auto"/>
        </w:rPr>
      </w:pPr>
      <w:r>
        <w:rPr>
          <w:rFonts w:hint="eastAsia" w:ascii="宋体" w:hAnsi="宋体" w:eastAsia="宋体" w:cs="宋体"/>
          <w:b/>
          <w:bCs/>
          <w:color w:val="auto"/>
        </w:rPr>
        <w:t>住建委“一网统管”业务场景</w:t>
      </w:r>
    </w:p>
    <w:p w14:paraId="168FCE63">
      <w:pPr>
        <w:spacing w:line="360" w:lineRule="auto"/>
        <w:ind w:firstLine="480" w:firstLineChars="200"/>
        <w:rPr>
          <w:rFonts w:ascii="宋体" w:hAnsi="宋体" w:eastAsia="宋体" w:cs="宋体"/>
          <w:sz w:val="24"/>
        </w:rPr>
      </w:pPr>
      <w:r>
        <w:rPr>
          <w:rFonts w:hint="eastAsia" w:ascii="宋体" w:hAnsi="宋体" w:eastAsia="宋体" w:cs="宋体"/>
          <w:sz w:val="24"/>
        </w:rPr>
        <w:t>为贯彻落实城市精细化管理和“一网统管”等工作要求，住建领域“一网统管”系统建设以大数据、人工智能等新一代信息技术为支撑，结合住建委一委两局业务实际，整合汇聚共享城市地理空间、视频、物联设备、业务运行等相关数据资源，不断丰富住建领域“一网统管”场景应用，加强对住建领域业务运行状况的实时监测、风险预警、统一指挥和业务协同，不断提升住建领域“一网统管”水平，推进住建领域治理变革，服务城运中心建设。按照住建委“一网统管”的要求，优先建设住建业务领域的12个协同应用场景，后续场景根据业务需求逐步拓展。</w:t>
      </w:r>
    </w:p>
    <w:p w14:paraId="69073BEF">
      <w:pPr>
        <w:pStyle w:val="11"/>
        <w:numPr>
          <w:ilvl w:val="0"/>
          <w:numId w:val="3"/>
        </w:numPr>
        <w:spacing w:line="360" w:lineRule="auto"/>
        <w:rPr>
          <w:rFonts w:ascii="宋体" w:hAnsi="宋体" w:eastAsia="宋体" w:cs="宋体"/>
          <w:b/>
          <w:bCs/>
          <w:color w:val="auto"/>
        </w:rPr>
      </w:pPr>
      <w:r>
        <w:rPr>
          <w:rFonts w:hint="eastAsia" w:ascii="宋体" w:hAnsi="宋体" w:eastAsia="宋体" w:cs="宋体"/>
          <w:b/>
          <w:bCs/>
          <w:color w:val="auto"/>
        </w:rPr>
        <w:t>上海城市运行综合管理场景</w:t>
      </w:r>
    </w:p>
    <w:p w14:paraId="559335FC">
      <w:pPr>
        <w:spacing w:line="360" w:lineRule="auto"/>
        <w:ind w:firstLine="480" w:firstLineChars="200"/>
        <w:rPr>
          <w:rFonts w:ascii="宋体" w:hAnsi="宋体" w:eastAsia="宋体" w:cs="宋体"/>
          <w:sz w:val="24"/>
        </w:rPr>
      </w:pPr>
      <w:r>
        <w:rPr>
          <w:rFonts w:hint="eastAsia" w:ascii="宋体" w:hAnsi="宋体" w:eastAsia="宋体" w:cs="宋体"/>
          <w:sz w:val="24"/>
        </w:rPr>
        <w:t>上海城市运行综合管理场景聚焦上海建设交通领域，重点关注城市基础设施运行、城市日常管理、民生重点关切等，围绕“安全、干净、有序、畅通、民生”等五个维度，基于真实动态数据，构建覆年、月为周期的城市运行动态监测指标体系。</w:t>
      </w:r>
    </w:p>
    <w:p w14:paraId="707DAA1D">
      <w:pPr>
        <w:spacing w:line="360" w:lineRule="auto"/>
        <w:ind w:firstLine="480" w:firstLineChars="200"/>
        <w:rPr>
          <w:rFonts w:ascii="宋体" w:hAnsi="宋体" w:eastAsia="宋体" w:cs="宋体"/>
          <w:b/>
          <w:bCs/>
        </w:rPr>
      </w:pPr>
      <w:r>
        <w:rPr>
          <w:rFonts w:hint="eastAsia" w:ascii="宋体" w:hAnsi="宋体" w:eastAsia="宋体" w:cs="宋体"/>
          <w:sz w:val="24"/>
        </w:rPr>
        <w:t>“安全、干净、有序、畅通、民生”五大维度指标，初步涵盖城市运行监测核心需求。安全是底线，有序是根本、干净是形象、畅通是质量、民生是风向。针对五大维度指标，进一步划分二级指标，构建逻辑来自超大城市治理的系统性需求与数字化转型的实践导向，精准衡量城市运行工作保障、卫生状况衡量、公众出行强度、市民关注重点诉求等，为“人民城市为人民”提供精准依据和工作导向。</w:t>
      </w:r>
    </w:p>
    <w:p w14:paraId="05BDB811">
      <w:pPr>
        <w:pStyle w:val="11"/>
        <w:numPr>
          <w:ilvl w:val="0"/>
          <w:numId w:val="3"/>
        </w:numPr>
        <w:spacing w:line="360" w:lineRule="auto"/>
        <w:rPr>
          <w:rFonts w:ascii="宋体" w:hAnsi="宋体" w:eastAsia="宋体" w:cs="宋体"/>
          <w:b/>
          <w:bCs/>
          <w:color w:val="auto"/>
        </w:rPr>
      </w:pPr>
      <w:r>
        <w:rPr>
          <w:rFonts w:hint="eastAsia" w:ascii="宋体" w:hAnsi="宋体" w:eastAsia="宋体" w:cs="宋体"/>
          <w:b/>
          <w:bCs/>
          <w:color w:val="auto"/>
        </w:rPr>
        <w:t>地下空间综合管理</w:t>
      </w:r>
    </w:p>
    <w:p w14:paraId="5D57AD44">
      <w:pPr>
        <w:spacing w:line="360" w:lineRule="auto"/>
        <w:ind w:firstLine="480" w:firstLineChars="200"/>
        <w:rPr>
          <w:rFonts w:ascii="宋体" w:hAnsi="宋体" w:eastAsia="宋体" w:cs="宋体"/>
          <w:sz w:val="24"/>
        </w:rPr>
      </w:pPr>
      <w:r>
        <w:rPr>
          <w:rFonts w:hint="eastAsia" w:ascii="宋体" w:hAnsi="宋体" w:eastAsia="宋体" w:cs="宋体"/>
          <w:sz w:val="24"/>
        </w:rPr>
        <w:t>上海地下空间经过多年发展，开发利用规模庞大。截至2024年底，开发利用总量已达1.65亿平方米，地下空间的开发利用仍处于快速发展阶段，发展模式由大规模成片开发向成片规模开发与存量资源利用并重的方向转变。</w:t>
      </w:r>
      <w:bookmarkStart w:id="1" w:name="_Hlk195865624"/>
      <w:r>
        <w:rPr>
          <w:rFonts w:hint="eastAsia" w:ascii="宋体" w:hAnsi="宋体" w:eastAsia="宋体" w:cs="宋体"/>
          <w:sz w:val="24"/>
        </w:rPr>
        <w:t>上海市地下工程综合管理信息系统</w:t>
      </w:r>
      <w:bookmarkEnd w:id="1"/>
      <w:r>
        <w:rPr>
          <w:rFonts w:hint="eastAsia" w:ascii="宋体" w:hAnsi="宋体" w:eastAsia="宋体" w:cs="宋体"/>
          <w:sz w:val="24"/>
        </w:rPr>
        <w:t>沿用过去的“覆盖市区两级的一体化系统的”架构，包含使用备案管理、安全监督检查管理、基础信息管理、应急预案管理、行业监督考核管理五个业务子系统以及一个用于信息空间分析和展示全市普通地下室Geographic Information System（以下简称“GIS”）子系统。</w:t>
      </w:r>
    </w:p>
    <w:p w14:paraId="3640DC65">
      <w:pPr>
        <w:pStyle w:val="7"/>
        <w:numPr>
          <w:ilvl w:val="0"/>
          <w:numId w:val="1"/>
        </w:numPr>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项目采购内容</w:t>
      </w:r>
    </w:p>
    <w:p w14:paraId="741870AD">
      <w:pPr>
        <w:numPr>
          <w:ilvl w:val="0"/>
          <w:numId w:val="4"/>
        </w:numPr>
        <w:spacing w:line="360" w:lineRule="auto"/>
        <w:rPr>
          <w:rFonts w:ascii="宋体" w:hAnsi="宋体" w:eastAsia="宋体" w:cs="宋体"/>
          <w:sz w:val="24"/>
        </w:rPr>
      </w:pPr>
      <w:bookmarkStart w:id="2" w:name="OLE_LINK13"/>
      <w:bookmarkStart w:id="3" w:name="_Hlk195706760"/>
      <w:r>
        <w:rPr>
          <w:rFonts w:hint="eastAsia"/>
          <w:sz w:val="24"/>
        </w:rPr>
        <w:t>聚焦中央城市工作会议“韧性”城市建设要求，以城市运行精细化综合治理多源异构大数据为核心要素，围绕路灯、地下空间、房屋质量等市住建委开展城市管理的重点工作内容，以及在治理过程中发现的痛点难点问题（如民生诉求、“三跨”等），完成2025年8月至2026年7月</w:t>
      </w:r>
      <w:bookmarkEnd w:id="2"/>
      <w:r>
        <w:rPr>
          <w:rFonts w:hint="eastAsia"/>
          <w:sz w:val="24"/>
        </w:rPr>
        <w:t>超过600万条城市网格化管理、市民热线、新闻舆情等城市管理数据</w:t>
      </w:r>
      <w:bookmarkStart w:id="4" w:name="OLE_LINK14"/>
      <w:r>
        <w:rPr>
          <w:rFonts w:hint="eastAsia"/>
          <w:sz w:val="24"/>
        </w:rPr>
        <w:t>治理，</w:t>
      </w:r>
      <w:bookmarkEnd w:id="4"/>
      <w:r>
        <w:rPr>
          <w:rFonts w:hint="eastAsia" w:ascii="宋体" w:hAnsi="宋体" w:eastAsia="宋体" w:cs="宋体"/>
          <w:sz w:val="24"/>
        </w:rPr>
        <w:t>开展主题数据标定、数理分析、现状研判等。</w:t>
      </w:r>
      <w:bookmarkEnd w:id="3"/>
    </w:p>
    <w:p w14:paraId="095F8640">
      <w:pPr>
        <w:numPr>
          <w:ilvl w:val="0"/>
          <w:numId w:val="4"/>
        </w:numPr>
        <w:spacing w:line="360" w:lineRule="auto"/>
        <w:rPr>
          <w:rFonts w:ascii="宋体" w:hAnsi="宋体" w:eastAsia="宋体" w:cs="宋体"/>
          <w:sz w:val="24"/>
        </w:rPr>
      </w:pPr>
      <w:r>
        <w:rPr>
          <w:rFonts w:hint="eastAsia"/>
          <w:sz w:val="24"/>
        </w:rPr>
        <w:t>围绕中央城市工作会议“创新”城市建设要求，</w:t>
      </w:r>
      <w:r>
        <w:rPr>
          <w:rFonts w:hint="eastAsia" w:ascii="宋体" w:hAnsi="宋体" w:eastAsia="宋体" w:cs="宋体"/>
          <w:sz w:val="24"/>
        </w:rPr>
        <w:t>针对城市管理热点与民生诉求，聚合业务管理相关数据，建设并形成城市管理热点主题数据库；以AI大模型+深化文本语义抽取和文本语义分析，挖掘市民热线、新闻舆情中的关键信息，构建主题知识图谱，以链路结构表示主题特征，锚定管理重点与百姓关切，践行“人民城市”理念。</w:t>
      </w:r>
    </w:p>
    <w:p w14:paraId="2B64D84C">
      <w:pPr>
        <w:numPr>
          <w:ilvl w:val="0"/>
          <w:numId w:val="4"/>
        </w:numPr>
        <w:spacing w:line="360" w:lineRule="auto"/>
        <w:rPr>
          <w:sz w:val="24"/>
        </w:rPr>
      </w:pPr>
      <w:bookmarkStart w:id="5" w:name="_Hlk195706877"/>
      <w:r>
        <w:rPr>
          <w:rFonts w:hint="eastAsia" w:ascii="宋体" w:hAnsi="宋体" w:eastAsia="宋体" w:cs="宋体"/>
          <w:sz w:val="24"/>
        </w:rPr>
        <w:t>根据</w:t>
      </w:r>
      <w:r>
        <w:rPr>
          <w:rFonts w:hint="eastAsia"/>
          <w:sz w:val="24"/>
        </w:rPr>
        <w:t>中央城市工作会议“智慧”城市建设要求，立足上海城市综合管理现状，聚焦上海建设交通领域日常管理事项，围绕“安全、干净、有序、畅通、民生”五个维度</w:t>
      </w:r>
      <w:r>
        <w:rPr>
          <w:sz w:val="24"/>
        </w:rPr>
        <w:t>，</w:t>
      </w:r>
      <w:r>
        <w:rPr>
          <w:rFonts w:hint="eastAsia"/>
          <w:sz w:val="24"/>
        </w:rPr>
        <w:t>基于城市运行综合数据，设计并构建多维指标体系，量化分析评价上海市城市综合管理水平，完成上海市城市运行工作月报</w:t>
      </w:r>
      <w:bookmarkStart w:id="6" w:name="OLE_LINK24"/>
      <w:r>
        <w:rPr>
          <w:rFonts w:hint="eastAsia"/>
          <w:sz w:val="24"/>
        </w:rPr>
        <w:t>和年</w:t>
      </w:r>
      <w:bookmarkEnd w:id="6"/>
      <w:r>
        <w:rPr>
          <w:rFonts w:hint="eastAsia"/>
          <w:sz w:val="24"/>
        </w:rPr>
        <w:t>报。</w:t>
      </w:r>
      <w:bookmarkEnd w:id="5"/>
    </w:p>
    <w:p w14:paraId="0A6ADF05">
      <w:pPr>
        <w:numPr>
          <w:ilvl w:val="0"/>
          <w:numId w:val="4"/>
        </w:numPr>
        <w:spacing w:line="360" w:lineRule="auto"/>
        <w:rPr>
          <w:rFonts w:ascii="宋体" w:hAnsi="宋体" w:eastAsia="宋体" w:cs="宋体"/>
          <w:sz w:val="24"/>
        </w:rPr>
      </w:pPr>
      <w:r>
        <w:rPr>
          <w:rFonts w:hint="eastAsia" w:ascii="宋体" w:hAnsi="宋体" w:eastAsia="宋体" w:cs="宋体"/>
          <w:sz w:val="24"/>
        </w:rPr>
        <w:t>以推动上海城市管理高质量发展为目标，根据市住建委城市管理有关重点工作要求，结合“十五五”规划关键议题，选取典型主题开展深度研究，针对突出症结难题开展延伸调研与论证，系统分析背后问题，剖析问题并提出建设性意见，形成专题分析报告、决策咨询专报。</w:t>
      </w:r>
    </w:p>
    <w:p w14:paraId="1736EE34">
      <w:pPr>
        <w:numPr>
          <w:ilvl w:val="0"/>
          <w:numId w:val="4"/>
        </w:numPr>
        <w:spacing w:line="360" w:lineRule="auto"/>
        <w:rPr>
          <w:rFonts w:ascii="宋体" w:hAnsi="宋体" w:eastAsia="宋体" w:cs="宋体"/>
          <w:sz w:val="24"/>
        </w:rPr>
      </w:pPr>
      <w:r>
        <w:rPr>
          <w:rFonts w:hint="eastAsia" w:ascii="宋体" w:hAnsi="宋体" w:eastAsia="宋体" w:cs="宋体"/>
          <w:sz w:val="24"/>
        </w:rPr>
        <w:t>完成《城市运行精细化综合治理分析》项目报告。</w:t>
      </w:r>
    </w:p>
    <w:p w14:paraId="46608FFC">
      <w:pPr>
        <w:spacing w:line="360" w:lineRule="auto"/>
        <w:rPr>
          <w:rFonts w:ascii="宋体" w:hAnsi="宋体" w:eastAsia="宋体" w:cs="宋体"/>
          <w:sz w:val="24"/>
        </w:rPr>
      </w:pPr>
    </w:p>
    <w:p w14:paraId="0B2B8912">
      <w:pPr>
        <w:spacing w:line="360" w:lineRule="auto"/>
        <w:rPr>
          <w:sz w:val="24"/>
        </w:rPr>
      </w:pPr>
      <w:r>
        <w:rPr>
          <w:rFonts w:hint="eastAsia" w:ascii="方正仿宋_GB2312" w:hAnsi="方正仿宋_GB2312" w:eastAsia="方正仿宋_GB2312" w:cs="方正仿宋_GB2312"/>
          <w:b/>
          <w:bCs/>
          <w:sz w:val="32"/>
          <w:szCs w:val="32"/>
          <w:lang w:val="en-US" w:eastAsia="zh-CN"/>
        </w:rPr>
        <w:t>三、</w:t>
      </w:r>
      <w:r>
        <w:rPr>
          <w:rFonts w:hint="eastAsia" w:ascii="方正仿宋_GB2312" w:hAnsi="方正仿宋_GB2312" w:eastAsia="方正仿宋_GB2312" w:cs="方正仿宋_GB2312"/>
          <w:b/>
          <w:bCs/>
          <w:sz w:val="32"/>
          <w:szCs w:val="32"/>
        </w:rPr>
        <w:t>项目采购要求</w:t>
      </w:r>
    </w:p>
    <w:p w14:paraId="04A83A08">
      <w:pPr>
        <w:spacing w:line="360" w:lineRule="auto"/>
        <w:rPr>
          <w:rFonts w:ascii="宋体" w:hAnsi="宋体" w:eastAsia="宋体" w:cs="宋体"/>
          <w:b/>
          <w:bCs/>
          <w:sz w:val="24"/>
        </w:rPr>
      </w:pPr>
      <w:r>
        <w:rPr>
          <w:rFonts w:hint="eastAsia" w:ascii="宋体" w:hAnsi="宋体" w:eastAsia="宋体" w:cs="宋体"/>
          <w:b/>
          <w:bCs/>
          <w:sz w:val="24"/>
          <w:lang w:val="en-US" w:eastAsia="zh-CN"/>
        </w:rPr>
        <w:t>1</w:t>
      </w:r>
      <w:r>
        <w:rPr>
          <w:rFonts w:hint="eastAsia" w:ascii="宋体" w:hAnsi="宋体" w:eastAsia="宋体" w:cs="宋体"/>
          <w:b/>
          <w:bCs/>
          <w:sz w:val="24"/>
        </w:rPr>
        <w:t>、团队要求</w:t>
      </w:r>
    </w:p>
    <w:p w14:paraId="143F3503">
      <w:pPr>
        <w:spacing w:line="360" w:lineRule="auto"/>
        <w:rPr>
          <w:sz w:val="24"/>
        </w:rPr>
      </w:pPr>
      <w:r>
        <w:rPr>
          <w:rFonts w:hint="eastAsia"/>
          <w:sz w:val="24"/>
        </w:rPr>
        <w:t>（1）投标人须具有稳定的在职技术保障力量，能够提供及时优质的服务，要求整个项目团队人员不少</w:t>
      </w:r>
      <w:r>
        <w:rPr>
          <w:rFonts w:hint="eastAsia"/>
          <w:color w:val="auto"/>
          <w:sz w:val="24"/>
        </w:rPr>
        <w:t>于</w:t>
      </w:r>
      <w:r>
        <w:rPr>
          <w:rFonts w:hint="eastAsia"/>
          <w:color w:val="auto"/>
          <w:sz w:val="24"/>
          <w:lang w:val="en-US" w:eastAsia="zh-CN"/>
        </w:rPr>
        <w:t>15</w:t>
      </w:r>
      <w:r>
        <w:rPr>
          <w:rFonts w:hint="eastAsia"/>
          <w:color w:val="auto"/>
          <w:sz w:val="24"/>
        </w:rPr>
        <w:t>人</w:t>
      </w:r>
      <w:r>
        <w:rPr>
          <w:rFonts w:hint="eastAsia"/>
          <w:color w:val="auto"/>
          <w:sz w:val="24"/>
          <w:lang w:eastAsia="zh-CN"/>
        </w:rPr>
        <w:t>（含项目负责人</w:t>
      </w:r>
      <w:bookmarkStart w:id="7" w:name="_GoBack"/>
      <w:bookmarkEnd w:id="7"/>
      <w:r>
        <w:rPr>
          <w:rFonts w:hint="eastAsia"/>
          <w:color w:val="auto"/>
          <w:sz w:val="24"/>
          <w:lang w:eastAsia="zh-CN"/>
        </w:rPr>
        <w:t>）</w:t>
      </w:r>
      <w:r>
        <w:rPr>
          <w:rFonts w:hint="eastAsia"/>
          <w:sz w:val="24"/>
        </w:rPr>
        <w:t>提供专职服务（需</w:t>
      </w:r>
      <w:r>
        <w:rPr>
          <w:rFonts w:hint="eastAsia"/>
          <w:sz w:val="24"/>
          <w:lang w:val="en-US" w:eastAsia="zh-CN"/>
        </w:rPr>
        <w:t>提供开标前三个月任意一个月的社保证明</w:t>
      </w:r>
      <w:r>
        <w:rPr>
          <w:rFonts w:hint="eastAsia"/>
          <w:sz w:val="24"/>
        </w:rPr>
        <w:t>），具有中级或高级职称的优先考虑。</w:t>
      </w:r>
    </w:p>
    <w:p w14:paraId="6B103D5E">
      <w:pPr>
        <w:spacing w:line="360" w:lineRule="auto"/>
        <w:rPr>
          <w:sz w:val="24"/>
          <w:highlight w:val="none"/>
        </w:rPr>
      </w:pPr>
      <w:r>
        <w:rPr>
          <w:rFonts w:hint="eastAsia"/>
          <w:sz w:val="24"/>
        </w:rPr>
        <w:t>（2）项目负责人不少于1人，同时应具有多年相关工作经验</w:t>
      </w:r>
      <w:r>
        <w:rPr>
          <w:rFonts w:hint="eastAsia"/>
          <w:sz w:val="24"/>
          <w:lang w:eastAsia="zh-CN"/>
        </w:rPr>
        <w:t>，具有中级职称优先考虑，具有高级</w:t>
      </w:r>
      <w:r>
        <w:rPr>
          <w:rFonts w:hint="eastAsia"/>
          <w:sz w:val="24"/>
          <w:highlight w:val="none"/>
          <w:lang w:eastAsia="zh-CN"/>
        </w:rPr>
        <w:t>及以上职称证书的更优</w:t>
      </w:r>
      <w:r>
        <w:rPr>
          <w:rFonts w:hint="eastAsia"/>
          <w:sz w:val="24"/>
          <w:highlight w:val="none"/>
        </w:rPr>
        <w:t>。</w:t>
      </w:r>
    </w:p>
    <w:p w14:paraId="2C713524">
      <w:pPr>
        <w:spacing w:line="360" w:lineRule="auto"/>
        <w:rPr>
          <w:rFonts w:ascii="宋体" w:hAnsi="宋体" w:eastAsia="宋体" w:cs="宋体"/>
          <w:b/>
          <w:bCs/>
          <w:sz w:val="24"/>
          <w:highlight w:val="none"/>
        </w:rPr>
      </w:pPr>
      <w:r>
        <w:rPr>
          <w:rFonts w:hint="eastAsia" w:ascii="宋体" w:hAnsi="宋体" w:eastAsia="宋体" w:cs="宋体"/>
          <w:b/>
          <w:bCs/>
          <w:sz w:val="24"/>
          <w:highlight w:val="none"/>
          <w:lang w:val="en-US" w:eastAsia="zh-CN"/>
        </w:rPr>
        <w:t>2</w:t>
      </w:r>
      <w:r>
        <w:rPr>
          <w:rFonts w:hint="eastAsia" w:ascii="宋体" w:hAnsi="宋体" w:eastAsia="宋体" w:cs="宋体"/>
          <w:b/>
          <w:bCs/>
          <w:sz w:val="24"/>
          <w:highlight w:val="none"/>
        </w:rPr>
        <w:t>、其他要求</w:t>
      </w:r>
    </w:p>
    <w:p w14:paraId="734A452B">
      <w:pPr>
        <w:numPr>
          <w:ilvl w:val="0"/>
          <w:numId w:val="5"/>
        </w:numPr>
        <w:spacing w:line="360" w:lineRule="auto"/>
        <w:rPr>
          <w:sz w:val="24"/>
          <w:highlight w:val="none"/>
        </w:rPr>
      </w:pPr>
      <w:r>
        <w:rPr>
          <w:rFonts w:hint="eastAsia" w:ascii="宋体" w:hAnsi="宋体" w:cs="宋体"/>
          <w:sz w:val="24"/>
          <w:highlight w:val="none"/>
        </w:rPr>
        <w:t>对用以支撑本项目所使用的自有数据（包括城市网格化管理、城建服务热线等数据），投标人应拥有完全的、合法的使用权利。</w:t>
      </w:r>
    </w:p>
    <w:p w14:paraId="5B6D588A">
      <w:pPr>
        <w:widowControl w:val="0"/>
        <w:numPr>
          <w:ilvl w:val="0"/>
          <w:numId w:val="5"/>
        </w:numPr>
        <w:spacing w:line="360" w:lineRule="auto"/>
        <w:jc w:val="both"/>
        <w:rPr>
          <w:rFonts w:hint="eastAsia"/>
          <w:sz w:val="24"/>
          <w:szCs w:val="32"/>
          <w:highlight w:val="none"/>
          <w:lang w:eastAsia="zh-CN"/>
        </w:rPr>
      </w:pPr>
      <w:r>
        <w:rPr>
          <w:rFonts w:hint="eastAsia"/>
          <w:sz w:val="24"/>
          <w:szCs w:val="32"/>
          <w:highlight w:val="none"/>
          <w:lang w:eastAsia="zh-CN"/>
        </w:rPr>
        <w:t>投标人具有近三年类似项目业绩的优先考虑。</w:t>
      </w:r>
    </w:p>
    <w:p w14:paraId="693A4580">
      <w:pPr>
        <w:spacing w:line="360" w:lineRule="auto"/>
        <w:rPr>
          <w:sz w:val="24"/>
        </w:rPr>
      </w:pPr>
    </w:p>
    <w:p w14:paraId="76FD6B8F">
      <w:pPr>
        <w:pStyle w:val="7"/>
        <w:numPr>
          <w:ilvl w:val="0"/>
          <w:numId w:val="0"/>
        </w:numPr>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四、</w:t>
      </w:r>
      <w:r>
        <w:rPr>
          <w:rFonts w:hint="eastAsia" w:ascii="方正仿宋_GB2312" w:hAnsi="方正仿宋_GB2312" w:eastAsia="方正仿宋_GB2312" w:cs="方正仿宋_GB2312"/>
          <w:b/>
          <w:bCs/>
          <w:sz w:val="32"/>
          <w:szCs w:val="32"/>
          <w:lang w:eastAsia="zh-CN"/>
        </w:rPr>
        <w:t>工作内容</w:t>
      </w:r>
      <w:r>
        <w:rPr>
          <w:rFonts w:hint="eastAsia" w:ascii="方正仿宋_GB2312" w:hAnsi="方正仿宋_GB2312" w:eastAsia="方正仿宋_GB2312" w:cs="方正仿宋_GB2312"/>
          <w:b/>
          <w:bCs/>
          <w:sz w:val="32"/>
          <w:szCs w:val="32"/>
        </w:rPr>
        <w:t>组成</w:t>
      </w:r>
    </w:p>
    <w:p w14:paraId="3B8E317A">
      <w:pPr>
        <w:spacing w:line="360" w:lineRule="auto"/>
        <w:ind w:firstLine="480" w:firstLineChars="200"/>
        <w:rPr>
          <w:sz w:val="24"/>
        </w:rPr>
      </w:pPr>
      <w:r>
        <w:rPr>
          <w:rFonts w:hint="eastAsia"/>
          <w:sz w:val="24"/>
        </w:rPr>
        <w:t>本项目总体</w:t>
      </w:r>
      <w:r>
        <w:rPr>
          <w:rFonts w:hint="eastAsia"/>
          <w:sz w:val="24"/>
          <w:lang w:eastAsia="zh-CN"/>
        </w:rPr>
        <w:t>工作内容</w:t>
      </w:r>
      <w:r>
        <w:rPr>
          <w:rFonts w:hint="eastAsia"/>
          <w:sz w:val="24"/>
        </w:rPr>
        <w:t>组成如下：</w:t>
      </w:r>
    </w:p>
    <w:tbl>
      <w:tblPr>
        <w:tblStyle w:val="9"/>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3187"/>
        <w:gridCol w:w="2739"/>
        <w:gridCol w:w="1805"/>
      </w:tblGrid>
      <w:tr w14:paraId="3FF84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3D0E">
            <w:pPr>
              <w:keepNext w:val="0"/>
              <w:keepLines w:val="0"/>
              <w:widowControl/>
              <w:suppressLineNumbers w:val="0"/>
              <w:jc w:val="center"/>
              <w:textAlignment w:val="center"/>
              <w:rPr>
                <w:rFonts w:ascii="仿宋_GB2312" w:hAnsi="等线" w:eastAsia="仿宋_GB2312" w:cs="仿宋_GB2312"/>
                <w:b/>
                <w:bCs/>
                <w:i w:val="0"/>
                <w:iCs w:val="0"/>
                <w:color w:val="000000"/>
                <w:sz w:val="24"/>
                <w:szCs w:val="24"/>
                <w:u w:val="none"/>
              </w:rPr>
            </w:pPr>
            <w:r>
              <w:rPr>
                <w:rFonts w:hint="eastAsia" w:ascii="仿宋_GB2312" w:hAnsi="等线" w:eastAsia="仿宋_GB2312" w:cs="仿宋_GB2312"/>
                <w:b/>
                <w:bCs/>
                <w:i w:val="0"/>
                <w:iCs w:val="0"/>
                <w:color w:val="000000"/>
                <w:kern w:val="0"/>
                <w:sz w:val="24"/>
                <w:szCs w:val="24"/>
                <w:u w:val="none"/>
                <w:lang w:val="en-US" w:eastAsia="zh-CN" w:bidi="ar"/>
              </w:rPr>
              <w:t>序号</w:t>
            </w:r>
          </w:p>
        </w:tc>
        <w:tc>
          <w:tcPr>
            <w:tcW w:w="3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EE4E">
            <w:pPr>
              <w:keepNext w:val="0"/>
              <w:keepLines w:val="0"/>
              <w:widowControl/>
              <w:suppressLineNumbers w:val="0"/>
              <w:jc w:val="center"/>
              <w:textAlignment w:val="center"/>
              <w:rPr>
                <w:rFonts w:hint="eastAsia" w:ascii="仿宋_GB2312" w:hAnsi="等线" w:eastAsia="仿宋_GB2312" w:cs="仿宋_GB2312"/>
                <w:b/>
                <w:bCs/>
                <w:i w:val="0"/>
                <w:iCs w:val="0"/>
                <w:color w:val="000000"/>
                <w:sz w:val="24"/>
                <w:szCs w:val="24"/>
                <w:u w:val="none"/>
              </w:rPr>
            </w:pPr>
            <w:r>
              <w:rPr>
                <w:rFonts w:hint="eastAsia" w:ascii="仿宋_GB2312" w:hAnsi="等线" w:eastAsia="仿宋_GB2312" w:cs="仿宋_GB2312"/>
                <w:b/>
                <w:bCs/>
                <w:i w:val="0"/>
                <w:iCs w:val="0"/>
                <w:color w:val="000000"/>
                <w:kern w:val="0"/>
                <w:sz w:val="24"/>
                <w:szCs w:val="24"/>
                <w:u w:val="none"/>
                <w:lang w:val="en-US" w:eastAsia="zh-CN" w:bidi="ar"/>
              </w:rPr>
              <w:t>项目需求</w:t>
            </w:r>
          </w:p>
        </w:tc>
        <w:tc>
          <w:tcPr>
            <w:tcW w:w="2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96953">
            <w:pPr>
              <w:keepNext w:val="0"/>
              <w:keepLines w:val="0"/>
              <w:widowControl/>
              <w:suppressLineNumbers w:val="0"/>
              <w:jc w:val="center"/>
              <w:textAlignment w:val="center"/>
              <w:rPr>
                <w:rFonts w:hint="eastAsia" w:ascii="仿宋_GB2312" w:hAnsi="等线" w:eastAsia="仿宋_GB2312" w:cs="仿宋_GB2312"/>
                <w:b/>
                <w:bCs/>
                <w:i w:val="0"/>
                <w:iCs w:val="0"/>
                <w:color w:val="000000"/>
                <w:sz w:val="24"/>
                <w:szCs w:val="24"/>
                <w:u w:val="none"/>
              </w:rPr>
            </w:pPr>
            <w:r>
              <w:rPr>
                <w:rFonts w:hint="eastAsia" w:ascii="仿宋_GB2312" w:hAnsi="等线" w:eastAsia="仿宋_GB2312" w:cs="仿宋_GB2312"/>
                <w:b/>
                <w:bCs/>
                <w:i w:val="0"/>
                <w:iCs w:val="0"/>
                <w:color w:val="000000"/>
                <w:kern w:val="0"/>
                <w:sz w:val="24"/>
                <w:szCs w:val="24"/>
                <w:u w:val="none"/>
                <w:lang w:val="en-US" w:eastAsia="zh-CN" w:bidi="ar"/>
              </w:rPr>
              <w:t>明细内容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C6F1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78ABF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1B3E8A24">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1</w:t>
            </w:r>
          </w:p>
        </w:tc>
        <w:tc>
          <w:tcPr>
            <w:tcW w:w="3187" w:type="dxa"/>
            <w:vMerge w:val="restart"/>
            <w:tcBorders>
              <w:top w:val="single" w:color="000000" w:sz="4" w:space="0"/>
              <w:left w:val="single" w:color="000000" w:sz="4" w:space="0"/>
              <w:bottom w:val="nil"/>
              <w:right w:val="single" w:color="000000" w:sz="4" w:space="0"/>
            </w:tcBorders>
            <w:shd w:val="clear" w:color="auto" w:fill="auto"/>
            <w:vAlign w:val="center"/>
          </w:tcPr>
          <w:p w14:paraId="215EE7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以城市运行精细化综合治理多源异构大数据为核心要素，围绕路灯、地下空间、房屋质量等市住建委开展城市管理的重点工作内容，以及在治理过程中发现的痛点难点问题(如民生诉求、”等)，完成2025年8月至2026年7月超过600万条城市网格化管理、市民热线、新闻舆情等城市管理数据治理，开展主题数据标定、数理分析、现状研判等。</w:t>
            </w: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FFE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网格化管理数理统计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E9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处理城市精细化综合管理业务数据不少于600万条；城市管理业务或场景数理统计完成数不少于2个</w:t>
            </w:r>
          </w:p>
        </w:tc>
      </w:tr>
      <w:tr w14:paraId="10DB2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3214787">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549C1BC8">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CA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热线数理统计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3C40F">
            <w:pPr>
              <w:jc w:val="center"/>
              <w:rPr>
                <w:rFonts w:hint="eastAsia" w:ascii="宋体" w:hAnsi="宋体" w:eastAsia="宋体" w:cs="宋体"/>
                <w:i w:val="0"/>
                <w:iCs w:val="0"/>
                <w:color w:val="000000"/>
                <w:sz w:val="24"/>
                <w:szCs w:val="24"/>
                <w:u w:val="none"/>
              </w:rPr>
            </w:pPr>
          </w:p>
        </w:tc>
      </w:tr>
      <w:tr w14:paraId="0221E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065CF79">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79D65D92">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7E6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路灯专题数理统计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3756B">
            <w:pPr>
              <w:jc w:val="center"/>
              <w:rPr>
                <w:rFonts w:hint="eastAsia" w:ascii="宋体" w:hAnsi="宋体" w:eastAsia="宋体" w:cs="宋体"/>
                <w:i w:val="0"/>
                <w:iCs w:val="0"/>
                <w:color w:val="000000"/>
                <w:sz w:val="24"/>
                <w:szCs w:val="24"/>
                <w:u w:val="none"/>
              </w:rPr>
            </w:pPr>
          </w:p>
        </w:tc>
      </w:tr>
      <w:tr w14:paraId="0F42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7F4F5CC1">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1AA6AA37">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E8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安全隐患排查数理统计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42BF6">
            <w:pPr>
              <w:jc w:val="center"/>
              <w:rPr>
                <w:rFonts w:hint="eastAsia" w:ascii="宋体" w:hAnsi="宋体" w:eastAsia="宋体" w:cs="宋体"/>
                <w:i w:val="0"/>
                <w:iCs w:val="0"/>
                <w:color w:val="000000"/>
                <w:sz w:val="24"/>
                <w:szCs w:val="24"/>
                <w:u w:val="none"/>
              </w:rPr>
            </w:pPr>
          </w:p>
        </w:tc>
      </w:tr>
      <w:tr w14:paraId="0A396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0FD595C">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15B0FD30">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AB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重点区域监管数理统计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E9A80">
            <w:pPr>
              <w:jc w:val="center"/>
              <w:rPr>
                <w:rFonts w:hint="eastAsia" w:ascii="宋体" w:hAnsi="宋体" w:eastAsia="宋体" w:cs="宋体"/>
                <w:i w:val="0"/>
                <w:iCs w:val="0"/>
                <w:color w:val="000000"/>
                <w:sz w:val="24"/>
                <w:szCs w:val="24"/>
                <w:u w:val="none"/>
              </w:rPr>
            </w:pPr>
          </w:p>
        </w:tc>
      </w:tr>
      <w:tr w14:paraId="6AEF2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2C715D0D">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250BBBDC">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D6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夏令热线数据态势研判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57310">
            <w:pPr>
              <w:jc w:val="center"/>
              <w:rPr>
                <w:rFonts w:hint="eastAsia" w:ascii="宋体" w:hAnsi="宋体" w:eastAsia="宋体" w:cs="宋体"/>
                <w:i w:val="0"/>
                <w:iCs w:val="0"/>
                <w:color w:val="000000"/>
                <w:sz w:val="24"/>
                <w:szCs w:val="24"/>
                <w:u w:val="none"/>
              </w:rPr>
            </w:pPr>
          </w:p>
        </w:tc>
      </w:tr>
      <w:tr w14:paraId="3511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686FA9A6">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392624AB">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5D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地下空间数据质量评估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645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地下空间数据质量评估不小于1万条，数据归类整理不小于4万条</w:t>
            </w:r>
          </w:p>
        </w:tc>
      </w:tr>
      <w:tr w14:paraId="18F5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83E538C">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1D975D1B">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31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地下空间数据归类管理</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D0DC2">
            <w:pPr>
              <w:jc w:val="center"/>
              <w:rPr>
                <w:rFonts w:hint="eastAsia" w:ascii="宋体" w:hAnsi="宋体" w:eastAsia="宋体" w:cs="宋体"/>
                <w:i w:val="0"/>
                <w:iCs w:val="0"/>
                <w:color w:val="000000"/>
                <w:sz w:val="24"/>
                <w:szCs w:val="24"/>
                <w:u w:val="none"/>
              </w:rPr>
            </w:pPr>
          </w:p>
        </w:tc>
      </w:tr>
      <w:tr w14:paraId="7DF9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28CB3511">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4E054B12">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40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地下空间数据分析</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64968">
            <w:pPr>
              <w:jc w:val="center"/>
              <w:rPr>
                <w:rFonts w:hint="eastAsia" w:ascii="宋体" w:hAnsi="宋体" w:eastAsia="宋体" w:cs="宋体"/>
                <w:i w:val="0"/>
                <w:iCs w:val="0"/>
                <w:color w:val="000000"/>
                <w:sz w:val="24"/>
                <w:szCs w:val="24"/>
                <w:u w:val="none"/>
              </w:rPr>
            </w:pPr>
          </w:p>
        </w:tc>
      </w:tr>
      <w:tr w14:paraId="58BCA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338FE2B">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nil"/>
              <w:right w:val="single" w:color="000000" w:sz="4" w:space="0"/>
            </w:tcBorders>
            <w:shd w:val="clear" w:color="auto" w:fill="auto"/>
            <w:vAlign w:val="center"/>
          </w:tcPr>
          <w:p w14:paraId="36041DC8">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6C1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地下空间数据评估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F9EFF">
            <w:pPr>
              <w:jc w:val="center"/>
              <w:rPr>
                <w:rFonts w:hint="eastAsia" w:ascii="宋体" w:hAnsi="宋体" w:eastAsia="宋体" w:cs="宋体"/>
                <w:i w:val="0"/>
                <w:iCs w:val="0"/>
                <w:color w:val="000000"/>
                <w:sz w:val="24"/>
                <w:szCs w:val="24"/>
                <w:u w:val="none"/>
              </w:rPr>
            </w:pPr>
          </w:p>
        </w:tc>
      </w:tr>
      <w:tr w14:paraId="1C65E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896AC">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2</w:t>
            </w:r>
          </w:p>
        </w:tc>
        <w:tc>
          <w:tcPr>
            <w:tcW w:w="3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E01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挖掘市民热线、新闻舆情中的关键信息，构建主题知识图谱，以链路结构表示主题特征，锚定管理重点与百姓关切，践行“人民城市”理念。</w:t>
            </w: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B67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舆情报道数据采集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5DD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进行数据采集、数据组织的舆情数据不少于1.5万条</w:t>
            </w:r>
          </w:p>
        </w:tc>
      </w:tr>
      <w:tr w14:paraId="65C0F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B23D">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88E78">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5F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新闻舆情数据组织</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6799F">
            <w:pPr>
              <w:jc w:val="center"/>
              <w:rPr>
                <w:rFonts w:hint="eastAsia" w:ascii="宋体" w:hAnsi="宋体" w:eastAsia="宋体" w:cs="宋体"/>
                <w:i w:val="0"/>
                <w:iCs w:val="0"/>
                <w:color w:val="000000"/>
                <w:sz w:val="24"/>
                <w:szCs w:val="24"/>
                <w:u w:val="none"/>
              </w:rPr>
            </w:pPr>
          </w:p>
        </w:tc>
      </w:tr>
      <w:tr w14:paraId="0EB69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AD54">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6AA67">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D3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新闻舆情语义与关键词抽取</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024F8">
            <w:pPr>
              <w:jc w:val="center"/>
              <w:rPr>
                <w:rFonts w:hint="eastAsia" w:ascii="宋体" w:hAnsi="宋体" w:eastAsia="宋体" w:cs="宋体"/>
                <w:i w:val="0"/>
                <w:iCs w:val="0"/>
                <w:color w:val="000000"/>
                <w:sz w:val="24"/>
                <w:szCs w:val="24"/>
                <w:u w:val="none"/>
              </w:rPr>
            </w:pPr>
          </w:p>
        </w:tc>
      </w:tr>
      <w:tr w14:paraId="10DEE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46D3">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EB83B">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2B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新闻数据分析挖掘</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6504F">
            <w:pPr>
              <w:jc w:val="center"/>
              <w:rPr>
                <w:rFonts w:hint="eastAsia" w:ascii="宋体" w:hAnsi="宋体" w:eastAsia="宋体" w:cs="宋体"/>
                <w:i w:val="0"/>
                <w:iCs w:val="0"/>
                <w:color w:val="000000"/>
                <w:sz w:val="24"/>
                <w:szCs w:val="24"/>
                <w:u w:val="none"/>
              </w:rPr>
            </w:pPr>
          </w:p>
        </w:tc>
      </w:tr>
      <w:tr w14:paraId="04E45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A50EA">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03FBF">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D8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舆情库表组织与结构化</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0EE57">
            <w:pPr>
              <w:jc w:val="center"/>
              <w:rPr>
                <w:rFonts w:hint="eastAsia" w:ascii="宋体" w:hAnsi="宋体" w:eastAsia="宋体" w:cs="宋体"/>
                <w:i w:val="0"/>
                <w:iCs w:val="0"/>
                <w:color w:val="000000"/>
                <w:sz w:val="24"/>
                <w:szCs w:val="24"/>
                <w:u w:val="none"/>
              </w:rPr>
            </w:pPr>
          </w:p>
        </w:tc>
      </w:tr>
      <w:tr w14:paraId="39FE9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08D5">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904CC">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28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热点主题数据资源库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72E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面向分析挖掘的数据资源目录及明细列表1套</w:t>
            </w:r>
          </w:p>
        </w:tc>
      </w:tr>
      <w:tr w14:paraId="7675D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F0045">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C058A">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3B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主题知识图谱本体模型设计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ADF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城市管理业务或场景知识图谱构建数不少于2个；数据挖掘分析模型不少于2个</w:t>
            </w:r>
          </w:p>
        </w:tc>
      </w:tr>
      <w:tr w14:paraId="4B0AD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E483">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743A4">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04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热线文本数据标注</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FA36">
            <w:pPr>
              <w:jc w:val="center"/>
              <w:rPr>
                <w:rFonts w:hint="eastAsia" w:ascii="宋体" w:hAnsi="宋体" w:eastAsia="宋体" w:cs="宋体"/>
                <w:i w:val="0"/>
                <w:iCs w:val="0"/>
                <w:color w:val="000000"/>
                <w:sz w:val="24"/>
                <w:szCs w:val="24"/>
                <w:u w:val="none"/>
              </w:rPr>
            </w:pPr>
          </w:p>
        </w:tc>
      </w:tr>
      <w:tr w14:paraId="0AF3F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1682C">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3E13E">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5B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文本语义知识抽取</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7AF1F">
            <w:pPr>
              <w:jc w:val="center"/>
              <w:rPr>
                <w:rFonts w:hint="eastAsia" w:ascii="宋体" w:hAnsi="宋体" w:eastAsia="宋体" w:cs="宋体"/>
                <w:i w:val="0"/>
                <w:iCs w:val="0"/>
                <w:color w:val="000000"/>
                <w:sz w:val="24"/>
                <w:szCs w:val="24"/>
                <w:u w:val="none"/>
              </w:rPr>
            </w:pPr>
          </w:p>
        </w:tc>
      </w:tr>
      <w:tr w14:paraId="20909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07DD">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62604">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6B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知识图谱构建与存储</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939D8">
            <w:pPr>
              <w:jc w:val="center"/>
              <w:rPr>
                <w:rFonts w:hint="eastAsia" w:ascii="宋体" w:hAnsi="宋体" w:eastAsia="宋体" w:cs="宋体"/>
                <w:i w:val="0"/>
                <w:iCs w:val="0"/>
                <w:color w:val="000000"/>
                <w:sz w:val="24"/>
                <w:szCs w:val="24"/>
                <w:u w:val="none"/>
              </w:rPr>
            </w:pPr>
          </w:p>
        </w:tc>
      </w:tr>
      <w:tr w14:paraId="45C8E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3791">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3</w:t>
            </w:r>
          </w:p>
        </w:tc>
        <w:tc>
          <w:tcPr>
            <w:tcW w:w="3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468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基于城市运行综合数据，设计并构建多维指标体系，量化分析评价上海市城市综合管理水平，完成上海市城市运行工作月报和年报。</w:t>
            </w: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DB3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城市运行管理分析年报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39A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形成城市管理分析年报1份，月报12份</w:t>
            </w:r>
          </w:p>
        </w:tc>
      </w:tr>
      <w:tr w14:paraId="04FD4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44B8F">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B9940">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FB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网格化管理数据态势研判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7B4B1">
            <w:pPr>
              <w:jc w:val="center"/>
              <w:rPr>
                <w:rFonts w:hint="eastAsia" w:ascii="宋体" w:hAnsi="宋体" w:eastAsia="宋体" w:cs="宋体"/>
                <w:i w:val="0"/>
                <w:iCs w:val="0"/>
                <w:color w:val="000000"/>
                <w:sz w:val="24"/>
                <w:szCs w:val="24"/>
                <w:u w:val="none"/>
              </w:rPr>
            </w:pPr>
          </w:p>
        </w:tc>
      </w:tr>
      <w:tr w14:paraId="0377E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11F2">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1D313">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792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热线数据态势研判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E935F">
            <w:pPr>
              <w:jc w:val="center"/>
              <w:rPr>
                <w:rFonts w:hint="eastAsia" w:ascii="宋体" w:hAnsi="宋体" w:eastAsia="宋体" w:cs="宋体"/>
                <w:i w:val="0"/>
                <w:iCs w:val="0"/>
                <w:color w:val="000000"/>
                <w:sz w:val="24"/>
                <w:szCs w:val="24"/>
                <w:u w:val="none"/>
              </w:rPr>
            </w:pPr>
          </w:p>
        </w:tc>
      </w:tr>
      <w:tr w14:paraId="0F376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2656">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6BE6C">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3C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房屋质量管理数据态势研判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7E08A">
            <w:pPr>
              <w:jc w:val="center"/>
              <w:rPr>
                <w:rFonts w:hint="eastAsia" w:ascii="宋体" w:hAnsi="宋体" w:eastAsia="宋体" w:cs="宋体"/>
                <w:i w:val="0"/>
                <w:iCs w:val="0"/>
                <w:color w:val="000000"/>
                <w:sz w:val="24"/>
                <w:szCs w:val="24"/>
                <w:u w:val="none"/>
              </w:rPr>
            </w:pPr>
          </w:p>
        </w:tc>
      </w:tr>
      <w:tr w14:paraId="27918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64094">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92045">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17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重点区域监管态势研判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ADD98">
            <w:pPr>
              <w:jc w:val="center"/>
              <w:rPr>
                <w:rFonts w:hint="eastAsia" w:ascii="宋体" w:hAnsi="宋体" w:eastAsia="宋体" w:cs="宋体"/>
                <w:i w:val="0"/>
                <w:iCs w:val="0"/>
                <w:color w:val="000000"/>
                <w:sz w:val="24"/>
                <w:szCs w:val="24"/>
                <w:u w:val="none"/>
              </w:rPr>
            </w:pPr>
          </w:p>
        </w:tc>
      </w:tr>
      <w:tr w14:paraId="69343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D44B">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61EA6">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D5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网格化管理数据阈值计算</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D2906">
            <w:pPr>
              <w:jc w:val="center"/>
              <w:rPr>
                <w:rFonts w:hint="eastAsia" w:ascii="宋体" w:hAnsi="宋体" w:eastAsia="宋体" w:cs="宋体"/>
                <w:i w:val="0"/>
                <w:iCs w:val="0"/>
                <w:color w:val="000000"/>
                <w:sz w:val="24"/>
                <w:szCs w:val="24"/>
                <w:u w:val="none"/>
              </w:rPr>
            </w:pPr>
          </w:p>
        </w:tc>
      </w:tr>
      <w:tr w14:paraId="568C4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5952">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38541">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7C6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热线数据阈值计算</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D09F3">
            <w:pPr>
              <w:jc w:val="center"/>
              <w:rPr>
                <w:rFonts w:hint="eastAsia" w:ascii="宋体" w:hAnsi="宋体" w:eastAsia="宋体" w:cs="宋体"/>
                <w:i w:val="0"/>
                <w:iCs w:val="0"/>
                <w:color w:val="000000"/>
                <w:sz w:val="24"/>
                <w:szCs w:val="24"/>
                <w:u w:val="none"/>
              </w:rPr>
            </w:pPr>
          </w:p>
        </w:tc>
      </w:tr>
      <w:tr w14:paraId="58399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C1433">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85E0A">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96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安全隐患排查数据阈值计算</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92E94">
            <w:pPr>
              <w:jc w:val="center"/>
              <w:rPr>
                <w:rFonts w:hint="eastAsia" w:ascii="宋体" w:hAnsi="宋体" w:eastAsia="宋体" w:cs="宋体"/>
                <w:i w:val="0"/>
                <w:iCs w:val="0"/>
                <w:color w:val="000000"/>
                <w:sz w:val="24"/>
                <w:szCs w:val="24"/>
                <w:u w:val="none"/>
              </w:rPr>
            </w:pPr>
          </w:p>
        </w:tc>
      </w:tr>
      <w:tr w14:paraId="10EF3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B3937">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9F48B">
            <w:pPr>
              <w:jc w:val="center"/>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CA6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重点区域监管数据阈值计算</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525B4">
            <w:pPr>
              <w:jc w:val="center"/>
              <w:rPr>
                <w:rFonts w:hint="eastAsia" w:ascii="宋体" w:hAnsi="宋体" w:eastAsia="宋体" w:cs="宋体"/>
                <w:i w:val="0"/>
                <w:iCs w:val="0"/>
                <w:color w:val="000000"/>
                <w:sz w:val="24"/>
                <w:szCs w:val="24"/>
                <w:u w:val="none"/>
              </w:rPr>
            </w:pPr>
          </w:p>
        </w:tc>
      </w:tr>
      <w:tr w14:paraId="216C9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D94A">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4</w:t>
            </w:r>
          </w:p>
        </w:tc>
        <w:tc>
          <w:tcPr>
            <w:tcW w:w="3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ED6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针对突出症结难题开展延伸调研与论证，系统分析背后问题，剖析问题并提出建设性意见，形成专题分析报告、决策咨询专报。</w:t>
            </w: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7F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热线跨域数据融合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6C60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形成短板弱项清单及报告1份，决策咨询专报1份</w:t>
            </w:r>
          </w:p>
        </w:tc>
      </w:tr>
      <w:tr w14:paraId="15674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97E24">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C5C91">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C3E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重点区域监管跨域数据融合</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F2690">
            <w:pPr>
              <w:jc w:val="center"/>
              <w:rPr>
                <w:rFonts w:hint="eastAsia" w:ascii="宋体" w:hAnsi="宋体" w:eastAsia="宋体" w:cs="宋体"/>
                <w:i w:val="0"/>
                <w:iCs w:val="0"/>
                <w:color w:val="000000"/>
                <w:sz w:val="24"/>
                <w:szCs w:val="24"/>
                <w:u w:val="none"/>
              </w:rPr>
            </w:pPr>
          </w:p>
        </w:tc>
      </w:tr>
      <w:tr w14:paraId="00D06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996E6">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E2D57">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8F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统计信息分类调阅</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3389C">
            <w:pPr>
              <w:jc w:val="center"/>
              <w:rPr>
                <w:rFonts w:hint="eastAsia" w:ascii="宋体" w:hAnsi="宋体" w:eastAsia="宋体" w:cs="宋体"/>
                <w:i w:val="0"/>
                <w:iCs w:val="0"/>
                <w:color w:val="000000"/>
                <w:sz w:val="24"/>
                <w:szCs w:val="24"/>
                <w:u w:val="none"/>
              </w:rPr>
            </w:pPr>
          </w:p>
        </w:tc>
      </w:tr>
      <w:tr w14:paraId="54565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3CEF5">
            <w:pPr>
              <w:jc w:val="center"/>
              <w:rPr>
                <w:rFonts w:hint="eastAsia" w:ascii="等线" w:hAnsi="等线" w:eastAsia="等线" w:cs="等线"/>
                <w:i w:val="0"/>
                <w:iCs w:val="0"/>
                <w:color w:val="000000"/>
                <w:sz w:val="22"/>
                <w:szCs w:val="22"/>
                <w:u w:val="none"/>
              </w:rPr>
            </w:pPr>
          </w:p>
        </w:tc>
        <w:tc>
          <w:tcPr>
            <w:tcW w:w="3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18CE5">
            <w:pPr>
              <w:jc w:val="left"/>
              <w:rPr>
                <w:rFonts w:hint="eastAsia" w:ascii="宋体" w:hAnsi="宋体" w:eastAsia="宋体" w:cs="宋体"/>
                <w:i w:val="0"/>
                <w:iCs w:val="0"/>
                <w:color w:val="000000"/>
                <w:sz w:val="24"/>
                <w:szCs w:val="24"/>
                <w:u w:val="none"/>
              </w:rPr>
            </w:pP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0A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问题清单推送</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F42FF">
            <w:pPr>
              <w:jc w:val="center"/>
              <w:rPr>
                <w:rFonts w:hint="eastAsia" w:ascii="宋体" w:hAnsi="宋体" w:eastAsia="宋体" w:cs="宋体"/>
                <w:i w:val="0"/>
                <w:iCs w:val="0"/>
                <w:color w:val="000000"/>
                <w:sz w:val="24"/>
                <w:szCs w:val="24"/>
                <w:u w:val="none"/>
              </w:rPr>
            </w:pPr>
          </w:p>
        </w:tc>
      </w:tr>
      <w:tr w14:paraId="5F307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5362">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5</w:t>
            </w:r>
          </w:p>
        </w:tc>
        <w:tc>
          <w:tcPr>
            <w:tcW w:w="3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FCB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完成《城市运行精细化综合治理分析》项目报告</w:t>
            </w:r>
          </w:p>
        </w:tc>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B8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报告整理撰写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0D2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提交城市运行精细化综合治理分析项目报告1份</w:t>
            </w:r>
          </w:p>
        </w:tc>
      </w:tr>
    </w:tbl>
    <w:p w14:paraId="5017B06C"/>
    <w:p w14:paraId="7FDD68C1">
      <w:pPr>
        <w:pStyle w:val="7"/>
        <w:numPr>
          <w:ilvl w:val="0"/>
          <w:numId w:val="0"/>
        </w:numPr>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五、</w:t>
      </w:r>
      <w:r>
        <w:rPr>
          <w:rFonts w:hint="eastAsia" w:ascii="方正仿宋_GB2312" w:hAnsi="方正仿宋_GB2312" w:eastAsia="方正仿宋_GB2312" w:cs="方正仿宋_GB2312"/>
          <w:b/>
          <w:bCs/>
          <w:sz w:val="32"/>
          <w:szCs w:val="32"/>
        </w:rPr>
        <w:t>服务周期要求</w:t>
      </w:r>
    </w:p>
    <w:p w14:paraId="70D0DFB4">
      <w:pPr>
        <w:spacing w:line="360" w:lineRule="auto"/>
        <w:rPr>
          <w:rFonts w:ascii="宋体" w:hAnsi="宋体" w:eastAsia="宋体" w:cs="宋体"/>
          <w:sz w:val="24"/>
        </w:rPr>
      </w:pPr>
      <w:r>
        <w:rPr>
          <w:rFonts w:hint="eastAsia" w:ascii="宋体" w:hAnsi="宋体" w:eastAsia="宋体" w:cs="宋体"/>
          <w:sz w:val="24"/>
        </w:rPr>
        <w:t>1、为有效掌控项目实施进程，采取阶段节点进度报表的方式进行项目实施的监督和推进，每月的第5个工作日前要求递交项目推进月报，包括但不限于已完成的研究内容、正在实施的内容、存在的问题以及解决的措施、资金使用情况等。</w:t>
      </w:r>
    </w:p>
    <w:p w14:paraId="3A11DADC">
      <w:pPr>
        <w:spacing w:line="360" w:lineRule="auto"/>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202</w:t>
      </w:r>
      <w:r>
        <w:rPr>
          <w:rFonts w:hint="eastAsia" w:ascii="宋体" w:hAnsi="宋体" w:eastAsia="宋体" w:cs="宋体"/>
          <w:sz w:val="24"/>
        </w:rPr>
        <w:t>6</w:t>
      </w:r>
      <w:r>
        <w:rPr>
          <w:rFonts w:ascii="宋体" w:hAnsi="宋体" w:eastAsia="宋体" w:cs="宋体"/>
          <w:sz w:val="24"/>
        </w:rPr>
        <w:t>年5月</w:t>
      </w:r>
      <w:r>
        <w:rPr>
          <w:rFonts w:hint="eastAsia" w:ascii="宋体" w:hAnsi="宋体" w:eastAsia="宋体" w:cs="宋体"/>
          <w:sz w:val="24"/>
        </w:rPr>
        <w:t>30</w:t>
      </w:r>
      <w:r>
        <w:rPr>
          <w:rFonts w:ascii="宋体" w:hAnsi="宋体" w:eastAsia="宋体" w:cs="宋体"/>
          <w:sz w:val="24"/>
        </w:rPr>
        <w:t>日前</w:t>
      </w:r>
      <w:r>
        <w:rPr>
          <w:rFonts w:hint="eastAsia" w:ascii="宋体" w:hAnsi="宋体" w:eastAsia="宋体" w:cs="宋体"/>
          <w:sz w:val="24"/>
        </w:rPr>
        <w:t>提交</w:t>
      </w:r>
      <w:r>
        <w:rPr>
          <w:rFonts w:ascii="宋体" w:hAnsi="宋体" w:eastAsia="宋体" w:cs="宋体"/>
          <w:sz w:val="24"/>
        </w:rPr>
        <w:t>中期报告，</w:t>
      </w:r>
      <w:r>
        <w:rPr>
          <w:rFonts w:hint="eastAsia" w:ascii="宋体" w:hAnsi="宋体" w:eastAsia="宋体" w:cs="宋体"/>
          <w:sz w:val="24"/>
        </w:rPr>
        <w:t>6月30日前完成中期验收。</w:t>
      </w:r>
    </w:p>
    <w:p w14:paraId="27BC1EAD">
      <w:pPr>
        <w:spacing w:line="360" w:lineRule="auto"/>
        <w:rPr>
          <w:rFonts w:ascii="宋体" w:hAnsi="宋体" w:eastAsia="宋体" w:cs="宋体"/>
          <w:sz w:val="24"/>
        </w:rPr>
      </w:pPr>
      <w:r>
        <w:rPr>
          <w:rFonts w:hint="eastAsia" w:ascii="宋体" w:hAnsi="宋体" w:eastAsia="宋体" w:cs="宋体"/>
          <w:sz w:val="24"/>
        </w:rPr>
        <w:t>3、</w:t>
      </w:r>
      <w:r>
        <w:rPr>
          <w:rFonts w:ascii="宋体" w:hAnsi="宋体" w:eastAsia="宋体" w:cs="宋体"/>
          <w:sz w:val="24"/>
        </w:rPr>
        <w:t>202</w:t>
      </w:r>
      <w:r>
        <w:rPr>
          <w:rFonts w:hint="eastAsia" w:ascii="宋体" w:hAnsi="宋体" w:eastAsia="宋体" w:cs="宋体"/>
          <w:sz w:val="24"/>
        </w:rPr>
        <w:t>6</w:t>
      </w:r>
      <w:r>
        <w:rPr>
          <w:rFonts w:ascii="宋体" w:hAnsi="宋体" w:eastAsia="宋体" w:cs="宋体"/>
          <w:sz w:val="24"/>
        </w:rPr>
        <w:t>年</w:t>
      </w:r>
      <w:r>
        <w:rPr>
          <w:rFonts w:hint="eastAsia" w:ascii="宋体" w:hAnsi="宋体" w:eastAsia="宋体" w:cs="宋体"/>
          <w:sz w:val="24"/>
        </w:rPr>
        <w:t>8</w:t>
      </w:r>
      <w:r>
        <w:rPr>
          <w:rFonts w:ascii="宋体" w:hAnsi="宋体" w:eastAsia="宋体" w:cs="宋体"/>
          <w:sz w:val="24"/>
        </w:rPr>
        <w:t>月</w:t>
      </w:r>
      <w:r>
        <w:rPr>
          <w:rFonts w:hint="eastAsia" w:ascii="宋体" w:hAnsi="宋体" w:eastAsia="宋体" w:cs="宋体"/>
          <w:sz w:val="24"/>
        </w:rPr>
        <w:t>30</w:t>
      </w:r>
      <w:r>
        <w:rPr>
          <w:rFonts w:ascii="宋体" w:hAnsi="宋体" w:eastAsia="宋体" w:cs="宋体"/>
          <w:sz w:val="24"/>
        </w:rPr>
        <w:t>日前</w:t>
      </w:r>
      <w:r>
        <w:rPr>
          <w:rFonts w:hint="eastAsia" w:ascii="宋体" w:hAnsi="宋体" w:eastAsia="宋体" w:cs="宋体"/>
          <w:sz w:val="24"/>
        </w:rPr>
        <w:t>提交项目成果报告</w:t>
      </w:r>
      <w:r>
        <w:rPr>
          <w:rFonts w:ascii="宋体" w:hAnsi="宋体" w:eastAsia="宋体" w:cs="宋体"/>
          <w:sz w:val="24"/>
        </w:rPr>
        <w:t>，</w:t>
      </w:r>
      <w:r>
        <w:rPr>
          <w:rFonts w:hint="eastAsia" w:ascii="宋体" w:hAnsi="宋体" w:eastAsia="宋体" w:cs="宋体"/>
          <w:sz w:val="24"/>
        </w:rPr>
        <w:t>9月30日前完成项目验收。</w:t>
      </w:r>
    </w:p>
    <w:p w14:paraId="411C0FEF">
      <w:pPr>
        <w:pStyle w:val="11"/>
      </w:pPr>
    </w:p>
    <w:p w14:paraId="284C0EB7">
      <w:pPr>
        <w:pStyle w:val="7"/>
        <w:numPr>
          <w:ilvl w:val="0"/>
          <w:numId w:val="0"/>
        </w:numPr>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六、</w:t>
      </w:r>
      <w:r>
        <w:rPr>
          <w:rFonts w:hint="eastAsia" w:ascii="方正仿宋_GB2312" w:hAnsi="方正仿宋_GB2312" w:eastAsia="方正仿宋_GB2312" w:cs="方正仿宋_GB2312"/>
          <w:b/>
          <w:bCs/>
          <w:sz w:val="32"/>
          <w:szCs w:val="32"/>
        </w:rPr>
        <w:t>项目验收要求</w:t>
      </w:r>
    </w:p>
    <w:p w14:paraId="7CD557AB">
      <w:pPr>
        <w:pStyle w:val="7"/>
        <w:numPr>
          <w:ilvl w:val="0"/>
          <w:numId w:val="6"/>
        </w:numPr>
        <w:spacing w:line="360" w:lineRule="auto"/>
        <w:rPr>
          <w:rFonts w:hAnsi="宋体" w:eastAsia="宋体" w:cs="宋体"/>
          <w:b/>
          <w:bCs/>
          <w:sz w:val="24"/>
          <w:szCs w:val="24"/>
        </w:rPr>
      </w:pPr>
      <w:r>
        <w:rPr>
          <w:rFonts w:hint="eastAsia" w:hAnsi="宋体" w:eastAsia="宋体" w:cs="宋体"/>
          <w:b/>
          <w:bCs/>
          <w:sz w:val="24"/>
          <w:szCs w:val="24"/>
        </w:rPr>
        <w:t>验收方式</w:t>
      </w:r>
    </w:p>
    <w:p w14:paraId="4C3A01F3">
      <w:pPr>
        <w:spacing w:line="360" w:lineRule="auto"/>
        <w:rPr>
          <w:rFonts w:ascii="宋体" w:hAnsi="宋体" w:eastAsia="宋体" w:cs="宋体"/>
          <w:sz w:val="24"/>
        </w:rPr>
      </w:pPr>
      <w:r>
        <w:rPr>
          <w:rFonts w:hint="eastAsia" w:ascii="宋体" w:hAnsi="宋体" w:eastAsia="宋体" w:cs="宋体"/>
          <w:sz w:val="24"/>
        </w:rPr>
        <w:t>本项目采用专家评审方式验收，提交的项目成果需通过专家评审会。</w:t>
      </w:r>
    </w:p>
    <w:p w14:paraId="3348B837">
      <w:pPr>
        <w:pStyle w:val="7"/>
        <w:spacing w:line="360" w:lineRule="auto"/>
        <w:rPr>
          <w:rFonts w:hAnsi="宋体" w:eastAsia="宋体" w:cs="宋体"/>
          <w:b/>
          <w:bCs/>
          <w:sz w:val="24"/>
          <w:szCs w:val="24"/>
        </w:rPr>
      </w:pPr>
      <w:r>
        <w:rPr>
          <w:rFonts w:hint="eastAsia" w:hAnsi="宋体" w:eastAsia="宋体" w:cs="宋体"/>
          <w:b/>
          <w:bCs/>
          <w:sz w:val="24"/>
          <w:szCs w:val="24"/>
        </w:rPr>
        <w:t>2、交付成果</w:t>
      </w:r>
    </w:p>
    <w:p w14:paraId="7B535D35">
      <w:pPr>
        <w:numPr>
          <w:ilvl w:val="0"/>
          <w:numId w:val="7"/>
        </w:numPr>
        <w:spacing w:line="360" w:lineRule="auto"/>
        <w:ind w:left="0" w:firstLine="0"/>
        <w:rPr>
          <w:rFonts w:ascii="宋体" w:hAnsi="宋体" w:eastAsia="宋体" w:cs="宋体"/>
          <w:sz w:val="24"/>
        </w:rPr>
      </w:pPr>
      <w:r>
        <w:rPr>
          <w:rFonts w:hint="eastAsia" w:ascii="宋体" w:hAnsi="宋体" w:eastAsia="宋体" w:cs="宋体"/>
          <w:sz w:val="24"/>
        </w:rPr>
        <w:t>对城市管理不同业务条线和场景的数据完成数理统计，城市精细化综合管理业务数据不少于600万条；</w:t>
      </w:r>
    </w:p>
    <w:p w14:paraId="449EABDA">
      <w:pPr>
        <w:numPr>
          <w:ilvl w:val="0"/>
          <w:numId w:val="7"/>
        </w:numPr>
        <w:spacing w:line="360" w:lineRule="auto"/>
        <w:ind w:left="0" w:firstLine="0"/>
        <w:rPr>
          <w:rFonts w:ascii="宋体" w:hAnsi="宋体" w:eastAsia="宋体" w:cs="宋体"/>
          <w:sz w:val="24"/>
        </w:rPr>
      </w:pPr>
      <w:r>
        <w:rPr>
          <w:rFonts w:hint="eastAsia" w:ascii="宋体" w:hAnsi="宋体" w:eastAsia="宋体" w:cs="宋体"/>
          <w:sz w:val="24"/>
        </w:rPr>
        <w:t>城市管理业务或场景数理统计完成数≥2个；</w:t>
      </w:r>
    </w:p>
    <w:p w14:paraId="4C55BE3A">
      <w:pPr>
        <w:numPr>
          <w:ilvl w:val="0"/>
          <w:numId w:val="7"/>
        </w:numPr>
        <w:spacing w:line="360" w:lineRule="auto"/>
        <w:ind w:left="0" w:firstLine="0"/>
        <w:rPr>
          <w:rFonts w:ascii="宋体" w:hAnsi="宋体" w:eastAsia="宋体" w:cs="宋体"/>
          <w:sz w:val="24"/>
        </w:rPr>
      </w:pPr>
      <w:r>
        <w:rPr>
          <w:rFonts w:hint="eastAsia" w:ascii="宋体" w:hAnsi="宋体" w:eastAsia="宋体" w:cs="宋体"/>
          <w:sz w:val="24"/>
        </w:rPr>
        <w:t>城市管理业务或场景知识图谱构建数≥2个；</w:t>
      </w:r>
    </w:p>
    <w:p w14:paraId="7A56D557">
      <w:pPr>
        <w:numPr>
          <w:ilvl w:val="0"/>
          <w:numId w:val="7"/>
        </w:numPr>
        <w:spacing w:line="360" w:lineRule="auto"/>
        <w:ind w:left="0" w:firstLine="0"/>
        <w:rPr>
          <w:rFonts w:ascii="宋体" w:hAnsi="宋体" w:eastAsia="宋体" w:cs="宋体"/>
          <w:sz w:val="24"/>
        </w:rPr>
      </w:pPr>
      <w:r>
        <w:rPr>
          <w:rFonts w:hint="eastAsia" w:ascii="宋体" w:hAnsi="宋体" w:eastAsia="宋体" w:cs="宋体"/>
          <w:sz w:val="24"/>
        </w:rPr>
        <w:t>数据挖掘分析模型≥3个；</w:t>
      </w:r>
    </w:p>
    <w:p w14:paraId="6F671836">
      <w:pPr>
        <w:numPr>
          <w:ilvl w:val="0"/>
          <w:numId w:val="7"/>
        </w:numPr>
        <w:spacing w:line="360" w:lineRule="auto"/>
        <w:ind w:left="0" w:firstLine="0"/>
        <w:rPr>
          <w:rFonts w:ascii="宋体" w:hAnsi="宋体" w:eastAsia="宋体" w:cs="宋体"/>
          <w:sz w:val="24"/>
        </w:rPr>
      </w:pPr>
      <w:r>
        <w:rPr>
          <w:rFonts w:ascii="宋体" w:hAnsi="宋体" w:eastAsia="宋体" w:cs="宋体"/>
          <w:sz w:val="24"/>
        </w:rPr>
        <w:t>面向分析挖掘的数据资源目录及明细列表1套</w:t>
      </w:r>
      <w:r>
        <w:rPr>
          <w:rFonts w:hint="eastAsia" w:ascii="宋体" w:hAnsi="宋体" w:eastAsia="宋体" w:cs="宋体"/>
          <w:sz w:val="24"/>
        </w:rPr>
        <w:t>；</w:t>
      </w:r>
    </w:p>
    <w:p w14:paraId="47167B86">
      <w:pPr>
        <w:numPr>
          <w:ilvl w:val="0"/>
          <w:numId w:val="7"/>
        </w:numPr>
        <w:spacing w:line="360" w:lineRule="auto"/>
        <w:ind w:left="0" w:firstLine="0"/>
        <w:rPr>
          <w:rFonts w:ascii="宋体" w:hAnsi="宋体" w:eastAsia="宋体" w:cs="宋体"/>
          <w:sz w:val="24"/>
        </w:rPr>
      </w:pPr>
      <w:r>
        <w:rPr>
          <w:rFonts w:ascii="宋体" w:hAnsi="宋体" w:eastAsia="宋体" w:cs="宋体"/>
          <w:sz w:val="24"/>
        </w:rPr>
        <w:t>短板弱项清单及报告1份</w:t>
      </w:r>
      <w:r>
        <w:rPr>
          <w:rFonts w:hint="eastAsia" w:ascii="宋体" w:hAnsi="宋体" w:eastAsia="宋体" w:cs="宋体"/>
          <w:sz w:val="24"/>
        </w:rPr>
        <w:t>；</w:t>
      </w:r>
    </w:p>
    <w:p w14:paraId="3EB519A6">
      <w:pPr>
        <w:numPr>
          <w:ilvl w:val="0"/>
          <w:numId w:val="7"/>
        </w:numPr>
        <w:spacing w:line="360" w:lineRule="auto"/>
        <w:ind w:left="0" w:firstLine="0"/>
        <w:rPr>
          <w:rFonts w:ascii="宋体" w:hAnsi="宋体" w:eastAsia="宋体" w:cs="宋体"/>
          <w:sz w:val="24"/>
        </w:rPr>
      </w:pPr>
      <w:r>
        <w:rPr>
          <w:rFonts w:ascii="宋体" w:hAnsi="宋体" w:eastAsia="宋体" w:cs="宋体"/>
          <w:sz w:val="24"/>
        </w:rPr>
        <w:t>短板弱项决策咨询专报1份</w:t>
      </w:r>
      <w:r>
        <w:rPr>
          <w:rFonts w:hint="eastAsia" w:ascii="宋体" w:hAnsi="宋体" w:eastAsia="宋体" w:cs="宋体"/>
          <w:sz w:val="24"/>
        </w:rPr>
        <w:t>；</w:t>
      </w:r>
    </w:p>
    <w:p w14:paraId="7BC00270">
      <w:pPr>
        <w:numPr>
          <w:ilvl w:val="0"/>
          <w:numId w:val="7"/>
        </w:numPr>
        <w:spacing w:line="360" w:lineRule="auto"/>
        <w:ind w:left="0" w:firstLine="0"/>
        <w:rPr>
          <w:rFonts w:ascii="宋体" w:hAnsi="宋体" w:eastAsia="宋体" w:cs="宋体"/>
          <w:sz w:val="24"/>
        </w:rPr>
      </w:pPr>
      <w:r>
        <w:rPr>
          <w:rFonts w:ascii="宋体" w:hAnsi="宋体" w:eastAsia="宋体" w:cs="宋体"/>
          <w:sz w:val="24"/>
        </w:rPr>
        <w:t>城市管理分析年报1份，月报</w:t>
      </w:r>
      <w:r>
        <w:rPr>
          <w:rFonts w:hint="eastAsia" w:ascii="宋体" w:hAnsi="宋体" w:eastAsia="宋体" w:cs="宋体"/>
          <w:sz w:val="24"/>
        </w:rPr>
        <w:t>12</w:t>
      </w:r>
      <w:r>
        <w:rPr>
          <w:rFonts w:ascii="宋体" w:hAnsi="宋体" w:eastAsia="宋体" w:cs="宋体"/>
          <w:sz w:val="24"/>
        </w:rPr>
        <w:t>份</w:t>
      </w:r>
      <w:r>
        <w:rPr>
          <w:rFonts w:hint="eastAsia" w:ascii="宋体" w:hAnsi="宋体" w:eastAsia="宋体" w:cs="宋体"/>
          <w:sz w:val="24"/>
        </w:rPr>
        <w:t>；</w:t>
      </w:r>
    </w:p>
    <w:p w14:paraId="4B41C99A">
      <w:pPr>
        <w:numPr>
          <w:ilvl w:val="0"/>
          <w:numId w:val="7"/>
        </w:numPr>
        <w:spacing w:line="360" w:lineRule="auto"/>
        <w:ind w:left="0" w:firstLine="0"/>
        <w:rPr>
          <w:rFonts w:ascii="宋体" w:hAnsi="宋体" w:eastAsia="宋体" w:cs="宋体"/>
          <w:sz w:val="24"/>
        </w:rPr>
      </w:pPr>
      <w:r>
        <w:rPr>
          <w:rFonts w:ascii="宋体" w:hAnsi="宋体" w:eastAsia="宋体" w:cs="宋体"/>
          <w:sz w:val="24"/>
        </w:rPr>
        <w:t>城市运行精细化综合治理分析项目报告1份</w:t>
      </w:r>
      <w:r>
        <w:rPr>
          <w:rFonts w:hint="eastAsia" w:ascii="宋体" w:hAnsi="宋体" w:eastAsia="宋体" w:cs="宋体"/>
          <w:sz w:val="24"/>
        </w:rPr>
        <w:t>。</w:t>
      </w:r>
    </w:p>
    <w:p w14:paraId="3C0ACB12">
      <w:pPr>
        <w:pStyle w:val="11"/>
      </w:pPr>
    </w:p>
    <w:p w14:paraId="6554E8EB">
      <w:pPr>
        <w:pStyle w:val="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98E76"/>
    <w:multiLevelType w:val="singleLevel"/>
    <w:tmpl w:val="83298E76"/>
    <w:lvl w:ilvl="0" w:tentative="0">
      <w:start w:val="1"/>
      <w:numFmt w:val="decimal"/>
      <w:suff w:val="nothing"/>
      <w:lvlText w:val="（%1）"/>
      <w:lvlJc w:val="left"/>
    </w:lvl>
  </w:abstractNum>
  <w:abstractNum w:abstractNumId="1">
    <w:nsid w:val="9B895094"/>
    <w:multiLevelType w:val="singleLevel"/>
    <w:tmpl w:val="9B895094"/>
    <w:lvl w:ilvl="0" w:tentative="0">
      <w:start w:val="1"/>
      <w:numFmt w:val="decimal"/>
      <w:suff w:val="nothing"/>
      <w:lvlText w:val="（%1）"/>
      <w:lvlJc w:val="left"/>
    </w:lvl>
  </w:abstractNum>
  <w:abstractNum w:abstractNumId="2">
    <w:nsid w:val="BA100FA6"/>
    <w:multiLevelType w:val="singleLevel"/>
    <w:tmpl w:val="BA100FA6"/>
    <w:lvl w:ilvl="0" w:tentative="0">
      <w:start w:val="1"/>
      <w:numFmt w:val="decimal"/>
      <w:lvlText w:val="(%1)"/>
      <w:lvlJc w:val="left"/>
      <w:pPr>
        <w:ind w:left="425" w:hanging="425"/>
      </w:pPr>
      <w:rPr>
        <w:rFonts w:hint="default"/>
      </w:rPr>
    </w:lvl>
  </w:abstractNum>
  <w:abstractNum w:abstractNumId="3">
    <w:nsid w:val="D114B7AC"/>
    <w:multiLevelType w:val="singleLevel"/>
    <w:tmpl w:val="D114B7AC"/>
    <w:lvl w:ilvl="0" w:tentative="0">
      <w:start w:val="1"/>
      <w:numFmt w:val="decimal"/>
      <w:suff w:val="nothing"/>
      <w:lvlText w:val="%1、"/>
      <w:lvlJc w:val="left"/>
    </w:lvl>
  </w:abstractNum>
  <w:abstractNum w:abstractNumId="4">
    <w:nsid w:val="EC397E68"/>
    <w:multiLevelType w:val="singleLevel"/>
    <w:tmpl w:val="EC397E68"/>
    <w:lvl w:ilvl="0" w:tentative="0">
      <w:start w:val="1"/>
      <w:numFmt w:val="decimal"/>
      <w:suff w:val="nothing"/>
      <w:lvlText w:val="%1、"/>
      <w:lvlJc w:val="left"/>
    </w:lvl>
  </w:abstractNum>
  <w:abstractNum w:abstractNumId="5">
    <w:nsid w:val="ED9675F3"/>
    <w:multiLevelType w:val="singleLevel"/>
    <w:tmpl w:val="ED9675F3"/>
    <w:lvl w:ilvl="0" w:tentative="0">
      <w:start w:val="1"/>
      <w:numFmt w:val="decimal"/>
      <w:suff w:val="nothing"/>
      <w:lvlText w:val="%1、"/>
      <w:lvlJc w:val="left"/>
    </w:lvl>
  </w:abstractNum>
  <w:abstractNum w:abstractNumId="6">
    <w:nsid w:val="08888BA0"/>
    <w:multiLevelType w:val="singleLevel"/>
    <w:tmpl w:val="08888BA0"/>
    <w:lvl w:ilvl="0" w:tentative="0">
      <w:start w:val="1"/>
      <w:numFmt w:val="chineseCounting"/>
      <w:suff w:val="nothing"/>
      <w:lvlText w:val="%1、"/>
      <w:lvlJc w:val="left"/>
      <w:rPr>
        <w:rFonts w:hint="eastAsia"/>
      </w:rPr>
    </w:lvl>
  </w:abstractNum>
  <w:num w:numId="1">
    <w:abstractNumId w:val="6"/>
  </w:num>
  <w:num w:numId="2">
    <w:abstractNumId w:val="5"/>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216A2F"/>
    <w:rsid w:val="00173E06"/>
    <w:rsid w:val="0050426C"/>
    <w:rsid w:val="005570B6"/>
    <w:rsid w:val="009049D8"/>
    <w:rsid w:val="00BD128A"/>
    <w:rsid w:val="00D3333B"/>
    <w:rsid w:val="02182ED7"/>
    <w:rsid w:val="06A80874"/>
    <w:rsid w:val="07597445"/>
    <w:rsid w:val="08716E9D"/>
    <w:rsid w:val="09CE1022"/>
    <w:rsid w:val="0B187AA4"/>
    <w:rsid w:val="0BE77549"/>
    <w:rsid w:val="0C943AA2"/>
    <w:rsid w:val="12977E48"/>
    <w:rsid w:val="12CC652A"/>
    <w:rsid w:val="16A93379"/>
    <w:rsid w:val="187650CA"/>
    <w:rsid w:val="1A135AFB"/>
    <w:rsid w:val="1D242ABF"/>
    <w:rsid w:val="1D911EEE"/>
    <w:rsid w:val="1E257757"/>
    <w:rsid w:val="1F3758BD"/>
    <w:rsid w:val="219F2875"/>
    <w:rsid w:val="223C00C4"/>
    <w:rsid w:val="27DB0851"/>
    <w:rsid w:val="28B5745D"/>
    <w:rsid w:val="2B946D50"/>
    <w:rsid w:val="2D8D6B4E"/>
    <w:rsid w:val="30B73737"/>
    <w:rsid w:val="317254D7"/>
    <w:rsid w:val="31B616AB"/>
    <w:rsid w:val="31D94B64"/>
    <w:rsid w:val="321B4DDA"/>
    <w:rsid w:val="35F96B90"/>
    <w:rsid w:val="3A216A2F"/>
    <w:rsid w:val="3A3F02FA"/>
    <w:rsid w:val="3B0752BB"/>
    <w:rsid w:val="3D30559C"/>
    <w:rsid w:val="3F32667F"/>
    <w:rsid w:val="40C85E7D"/>
    <w:rsid w:val="42063BB5"/>
    <w:rsid w:val="428A3F8F"/>
    <w:rsid w:val="438C2802"/>
    <w:rsid w:val="43A64109"/>
    <w:rsid w:val="45336CAD"/>
    <w:rsid w:val="45ED3300"/>
    <w:rsid w:val="4BC46D37"/>
    <w:rsid w:val="4DA31884"/>
    <w:rsid w:val="51861735"/>
    <w:rsid w:val="549A1256"/>
    <w:rsid w:val="554859C7"/>
    <w:rsid w:val="5A8E4C59"/>
    <w:rsid w:val="5C8A31FF"/>
    <w:rsid w:val="5CEB46F9"/>
    <w:rsid w:val="5D123920"/>
    <w:rsid w:val="5FCB7BC1"/>
    <w:rsid w:val="60504B3E"/>
    <w:rsid w:val="60C846E2"/>
    <w:rsid w:val="61F66F47"/>
    <w:rsid w:val="6554250B"/>
    <w:rsid w:val="65B06352"/>
    <w:rsid w:val="685A617B"/>
    <w:rsid w:val="69A258FA"/>
    <w:rsid w:val="6A117FAA"/>
    <w:rsid w:val="6C1C2589"/>
    <w:rsid w:val="6E1D5969"/>
    <w:rsid w:val="709D12FB"/>
    <w:rsid w:val="72FD0161"/>
    <w:rsid w:val="795310F0"/>
    <w:rsid w:val="79E70B47"/>
    <w:rsid w:val="7EFD78CD"/>
    <w:rsid w:val="AEEED053"/>
    <w:rsid w:val="BEF71739"/>
    <w:rsid w:val="DFE58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iPriority="99"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9"/>
    <w:pPr>
      <w:keepNext/>
      <w:keepLines/>
      <w:spacing w:before="260" w:after="260" w:line="413" w:lineRule="auto"/>
      <w:outlineLvl w:val="2"/>
    </w:pPr>
    <w:rPr>
      <w:b/>
      <w:kern w:val="0"/>
      <w:sz w:val="32"/>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index 6"/>
    <w:basedOn w:val="1"/>
    <w:next w:val="1"/>
    <w:qFormat/>
    <w:uiPriority w:val="0"/>
    <w:pPr>
      <w:ind w:left="2100"/>
    </w:pPr>
    <w:rPr>
      <w:rFonts w:ascii="Times New Roman" w:hAnsi="Times New Roman"/>
    </w:rPr>
  </w:style>
  <w:style w:type="paragraph" w:styleId="5">
    <w:name w:val="Body Text"/>
    <w:basedOn w:val="1"/>
    <w:next w:val="6"/>
    <w:qFormat/>
    <w:uiPriority w:val="99"/>
    <w:pPr>
      <w:spacing w:after="120"/>
    </w:pPr>
    <w:rPr>
      <w:szCs w:val="20"/>
    </w:rPr>
  </w:style>
  <w:style w:type="paragraph" w:styleId="6">
    <w:name w:val="Body Text First Indent"/>
    <w:basedOn w:val="5"/>
    <w:qFormat/>
    <w:uiPriority w:val="0"/>
    <w:pPr>
      <w:ind w:firstLine="420" w:firstLineChars="100"/>
    </w:pPr>
    <w:rPr>
      <w:szCs w:val="24"/>
    </w:rPr>
  </w:style>
  <w:style w:type="paragraph" w:styleId="7">
    <w:name w:val="Plain Text"/>
    <w:basedOn w:val="1"/>
    <w:qFormat/>
    <w:uiPriority w:val="0"/>
    <w:rPr>
      <w:rFonts w:ascii="宋体" w:hAnsi="Courier New"/>
      <w:szCs w:val="22"/>
    </w:rPr>
  </w:style>
  <w:style w:type="paragraph" w:styleId="8">
    <w:name w:val="Body Text 2"/>
    <w:basedOn w:val="1"/>
    <w:semiHidden/>
    <w:unhideWhenUsed/>
    <w:qFormat/>
    <w:uiPriority w:val="99"/>
    <w:pPr>
      <w:spacing w:after="120" w:line="480" w:lineRule="auto"/>
    </w:pPr>
  </w:style>
  <w:style w:type="paragraph" w:customStyle="1" w:styleId="11">
    <w:name w:val="Default"/>
    <w:next w:val="4"/>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4686</Words>
  <Characters>4784</Characters>
  <Lines>199</Lines>
  <Paragraphs>202</Paragraphs>
  <TotalTime>69</TotalTime>
  <ScaleCrop>false</ScaleCrop>
  <LinksUpToDate>false</LinksUpToDate>
  <CharactersWithSpaces>4795</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2026-03-06T11:17:00Z</dcterms:created>
  <dc:creator>怂猫猫</dc:creator>
  <cp:lastModifiedBy>张姝雅</cp:lastModifiedBy>
  <dcterms:modified xsi:type="dcterms:W3CDTF">2026-03-18T16:54:45Z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EDD414BCFC482FC4C354BA69BDB124E1_43</vt:lpwstr>
  </property>
  <property fmtid="{D5CDD505-2E9C-101B-9397-08002B2CF9AE}" pid="4" name="KSOTemplateDocerSaveRecord">
    <vt:lpwstr>eyJoZGlkIjoiNzMyOTY2YzhlNTgyOGQyMThiMTJlNjZlN2Y3NTA4ZmEiLCJ1c2VySWQiOiIyMjE2NzczNzUifQ==</vt:lpwstr>
  </property>
</Properties>
</file>