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FCAFF">
      <w:pPr>
        <w:jc w:val="center"/>
        <w:rPr>
          <w:b/>
          <w:sz w:val="28"/>
          <w:szCs w:val="28"/>
        </w:rPr>
      </w:pPr>
      <w:r>
        <w:rPr>
          <w:rFonts w:hint="eastAsia"/>
          <w:b/>
          <w:sz w:val="28"/>
          <w:szCs w:val="28"/>
        </w:rPr>
        <w:t>丁香路物业管理(保安)采购需求</w:t>
      </w:r>
    </w:p>
    <w:p w14:paraId="34B7BC00">
      <w:pPr>
        <w:rPr>
          <w:sz w:val="24"/>
          <w:szCs w:val="24"/>
        </w:rPr>
      </w:pPr>
    </w:p>
    <w:p w14:paraId="251BC65D">
      <w:pPr>
        <w:widowControl/>
        <w:tabs>
          <w:tab w:val="left" w:pos="567"/>
        </w:tabs>
        <w:spacing w:beforeLines="100" w:afterLines="50" w:line="360" w:lineRule="auto"/>
        <w:ind w:left="426" w:leftChars="203"/>
        <w:jc w:val="left"/>
        <w:outlineLvl w:val="0"/>
        <w:rPr>
          <w:rFonts w:ascii="宋体" w:hAnsi="宋体" w:cs="宋体"/>
          <w:color w:val="000000"/>
          <w:kern w:val="0"/>
          <w:sz w:val="24"/>
          <w:szCs w:val="24"/>
        </w:rPr>
      </w:pPr>
      <w:r>
        <w:rPr>
          <w:rFonts w:hint="eastAsia" w:ascii="Times New Roman" w:hAnsi="Times New Roman"/>
          <w:b/>
          <w:color w:val="000000"/>
          <w:kern w:val="0"/>
          <w:sz w:val="24"/>
          <w:szCs w:val="24"/>
        </w:rPr>
        <w:t>一、项目概况</w:t>
      </w:r>
      <w:r>
        <w:rPr>
          <w:rFonts w:ascii="Times New Roman" w:hAnsi="Times New Roman"/>
          <w:b/>
          <w:color w:val="000000"/>
          <w:kern w:val="0"/>
          <w:sz w:val="24"/>
          <w:szCs w:val="24"/>
        </w:rPr>
        <w:t xml:space="preserve">  </w:t>
      </w:r>
    </w:p>
    <w:p w14:paraId="3F0963A5">
      <w:pPr>
        <w:spacing w:line="360" w:lineRule="auto"/>
        <w:ind w:firstLine="422" w:firstLineChars="200"/>
        <w:rPr>
          <w:rFonts w:ascii="宋体"/>
          <w:b/>
          <w:bCs/>
        </w:rPr>
      </w:pPr>
      <w:r>
        <w:rPr>
          <w:rFonts w:hint="eastAsia" w:ascii="宋体" w:hAnsi="宋体"/>
          <w:b/>
          <w:bCs/>
        </w:rPr>
        <w:t>（一）基本情况</w:t>
      </w:r>
    </w:p>
    <w:p w14:paraId="59201D90">
      <w:pPr>
        <w:spacing w:line="360" w:lineRule="auto"/>
        <w:ind w:firstLine="420" w:firstLineChars="200"/>
        <w:rPr>
          <w:rFonts w:ascii="宋体" w:hAnsi="宋体"/>
          <w:u w:val="single"/>
        </w:rPr>
      </w:pPr>
      <w:r>
        <w:rPr>
          <w:rFonts w:hint="eastAsia" w:ascii="宋体" w:hAnsi="宋体"/>
        </w:rPr>
        <w:t>项目名称：</w:t>
      </w:r>
      <w:r>
        <w:rPr>
          <w:rFonts w:hint="eastAsia" w:ascii="宋体" w:hAnsi="宋体"/>
          <w:lang w:eastAsia="zh-CN"/>
        </w:rPr>
        <w:t>上</w:t>
      </w:r>
      <w:r>
        <w:rPr>
          <w:rFonts w:hint="eastAsia" w:ascii="宋体"/>
          <w:u w:val="single"/>
        </w:rPr>
        <w:t>海市浦东新区人民检察院丁香路物业管理(保安)</w:t>
      </w:r>
      <w:r>
        <w:rPr>
          <w:rFonts w:hint="eastAsia" w:ascii="宋体"/>
          <w:u w:val="single"/>
          <w:lang w:eastAsia="zh-CN"/>
        </w:rPr>
        <w:t>服务</w:t>
      </w:r>
    </w:p>
    <w:p w14:paraId="0AFA639E">
      <w:pPr>
        <w:spacing w:line="360" w:lineRule="auto"/>
        <w:ind w:firstLine="420" w:firstLineChars="200"/>
        <w:rPr>
          <w:rFonts w:ascii="宋体"/>
        </w:rPr>
      </w:pPr>
      <w:r>
        <w:rPr>
          <w:rFonts w:hint="eastAsia" w:ascii="宋体" w:hAnsi="宋体"/>
        </w:rPr>
        <w:t>坐落位置：</w:t>
      </w:r>
      <w:r>
        <w:rPr>
          <w:rFonts w:hint="eastAsia" w:ascii="宋体"/>
          <w:u w:val="single"/>
        </w:rPr>
        <w:t>上海</w:t>
      </w:r>
      <w:r>
        <w:rPr>
          <w:rFonts w:hint="eastAsia" w:ascii="宋体" w:hAnsi="宋体"/>
        </w:rPr>
        <w:t>市</w:t>
      </w:r>
      <w:r>
        <w:rPr>
          <w:rFonts w:hint="eastAsia" w:ascii="宋体"/>
          <w:u w:val="single"/>
        </w:rPr>
        <w:t>浦东新</w:t>
      </w:r>
      <w:r>
        <w:rPr>
          <w:rFonts w:hint="eastAsia" w:ascii="宋体" w:hAnsi="宋体"/>
        </w:rPr>
        <w:t>区</w:t>
      </w:r>
      <w:r>
        <w:rPr>
          <w:rFonts w:hint="eastAsia" w:ascii="宋体"/>
          <w:u w:val="single"/>
        </w:rPr>
        <w:t>丁香</w:t>
      </w:r>
      <w:r>
        <w:rPr>
          <w:rFonts w:hint="eastAsia" w:ascii="宋体"/>
        </w:rPr>
        <w:t>路</w:t>
      </w:r>
      <w:r>
        <w:rPr>
          <w:rFonts w:hint="eastAsia" w:ascii="宋体" w:hAnsi="宋体"/>
        </w:rPr>
        <w:t>路（街道）</w:t>
      </w:r>
      <w:r>
        <w:rPr>
          <w:rFonts w:ascii="宋体"/>
          <w:u w:val="single"/>
        </w:rPr>
        <w:t>633</w:t>
      </w:r>
      <w:r>
        <w:rPr>
          <w:rFonts w:hint="eastAsia" w:ascii="宋体" w:hAnsi="宋体"/>
        </w:rPr>
        <w:t>号</w:t>
      </w:r>
    </w:p>
    <w:p w14:paraId="6F516874">
      <w:pPr>
        <w:spacing w:line="360" w:lineRule="auto"/>
        <w:ind w:firstLine="420" w:firstLineChars="200"/>
        <w:rPr>
          <w:rFonts w:ascii="宋体" w:hAnsi="宋体"/>
          <w:u w:val="single"/>
        </w:rPr>
      </w:pPr>
      <w:r>
        <w:rPr>
          <w:rFonts w:hint="eastAsia" w:ascii="宋体" w:hAnsi="宋体"/>
        </w:rPr>
        <w:t>四面边界至：</w:t>
      </w:r>
      <w:r>
        <w:rPr>
          <w:rFonts w:hint="eastAsia" w:ascii="宋体"/>
        </w:rPr>
        <w:t>东</w:t>
      </w:r>
      <w:r>
        <w:rPr>
          <w:rFonts w:hint="eastAsia" w:ascii="宋体"/>
          <w:u w:val="single"/>
        </w:rPr>
        <w:t xml:space="preserve">   合欢路   </w:t>
      </w:r>
      <w:r>
        <w:rPr>
          <w:rFonts w:hint="eastAsia" w:ascii="宋体"/>
        </w:rPr>
        <w:t>南</w:t>
      </w:r>
      <w:r>
        <w:rPr>
          <w:rFonts w:hint="eastAsia" w:ascii="宋体"/>
          <w:u w:val="single"/>
        </w:rPr>
        <w:t xml:space="preserve">  丁香路      </w:t>
      </w:r>
      <w:r>
        <w:rPr>
          <w:rFonts w:hint="eastAsia" w:ascii="宋体"/>
        </w:rPr>
        <w:t>西</w:t>
      </w:r>
      <w:r>
        <w:rPr>
          <w:rFonts w:hint="eastAsia" w:ascii="宋体"/>
          <w:u w:val="single"/>
        </w:rPr>
        <w:t xml:space="preserve">   桃林路      </w:t>
      </w:r>
      <w:r>
        <w:rPr>
          <w:rFonts w:hint="eastAsia" w:ascii="宋体"/>
        </w:rPr>
        <w:t>北</w:t>
      </w:r>
      <w:r>
        <w:rPr>
          <w:rFonts w:hint="eastAsia" w:ascii="宋体"/>
          <w:u w:val="single"/>
        </w:rPr>
        <w:t xml:space="preserve">   杨高中路    </w:t>
      </w:r>
    </w:p>
    <w:p w14:paraId="2EBC456E">
      <w:pPr>
        <w:spacing w:line="360" w:lineRule="auto"/>
        <w:ind w:firstLine="420" w:firstLineChars="200"/>
        <w:rPr>
          <w:rFonts w:ascii="宋体"/>
        </w:rPr>
      </w:pPr>
      <w:r>
        <w:rPr>
          <w:rFonts w:hint="eastAsia" w:ascii="宋体" w:hAnsi="宋体"/>
        </w:rPr>
        <w:t>占地面积：</w:t>
      </w:r>
      <w:r>
        <w:rPr>
          <w:rFonts w:ascii="宋体"/>
          <w:u w:val="single"/>
        </w:rPr>
        <w:t>10568</w:t>
      </w:r>
      <w:r>
        <w:rPr>
          <w:rFonts w:hint="eastAsia" w:ascii="宋体" w:hAnsi="宋体"/>
        </w:rPr>
        <w:t>方米，其中绿地面积</w:t>
      </w:r>
      <w:r>
        <w:rPr>
          <w:rFonts w:ascii="宋体"/>
          <w:u w:val="single"/>
        </w:rPr>
        <w:t>3549</w:t>
      </w:r>
      <w:r>
        <w:rPr>
          <w:rFonts w:hint="eastAsia" w:ascii="宋体" w:hAnsi="宋体"/>
        </w:rPr>
        <w:t>平方米。</w:t>
      </w:r>
    </w:p>
    <w:p w14:paraId="2BB32499">
      <w:pPr>
        <w:spacing w:line="360" w:lineRule="auto"/>
        <w:ind w:firstLine="420" w:firstLineChars="200"/>
        <w:rPr>
          <w:rFonts w:ascii="宋体"/>
        </w:rPr>
      </w:pPr>
      <w:r>
        <w:rPr>
          <w:rFonts w:hint="eastAsia" w:ascii="宋体" w:hAnsi="宋体"/>
        </w:rPr>
        <w:t>建筑面积：</w:t>
      </w:r>
      <w:r>
        <w:rPr>
          <w:rFonts w:ascii="宋体"/>
          <w:u w:val="single"/>
        </w:rPr>
        <w:t>13893</w:t>
      </w:r>
      <w:r>
        <w:rPr>
          <w:rFonts w:hint="eastAsia" w:ascii="宋体" w:hAnsi="宋体"/>
        </w:rPr>
        <w:t>平方米，</w:t>
      </w:r>
    </w:p>
    <w:p w14:paraId="6837499A">
      <w:pPr>
        <w:spacing w:line="360" w:lineRule="auto"/>
        <w:ind w:firstLine="420" w:firstLineChars="200"/>
        <w:rPr>
          <w:rFonts w:ascii="宋体"/>
        </w:rPr>
      </w:pPr>
      <w:r>
        <w:rPr>
          <w:rFonts w:hint="eastAsia" w:ascii="宋体" w:hAnsi="宋体"/>
        </w:rPr>
        <w:t>其中</w:t>
      </w:r>
      <w:r>
        <w:rPr>
          <w:rFonts w:ascii="宋体" w:hAnsi="宋体"/>
        </w:rPr>
        <w:t>:</w:t>
      </w:r>
      <w:r>
        <w:rPr>
          <w:rFonts w:hint="eastAsia" w:ascii="宋体" w:hAnsi="宋体"/>
        </w:rPr>
        <w:t>办公楼</w:t>
      </w:r>
      <w:r>
        <w:rPr>
          <w:rFonts w:ascii="宋体"/>
          <w:u w:val="single"/>
        </w:rPr>
        <w:t>11817.96</w:t>
      </w:r>
      <w:r>
        <w:rPr>
          <w:rFonts w:hint="eastAsia" w:ascii="宋体" w:hAnsi="宋体"/>
        </w:rPr>
        <w:t>平方米（高层</w:t>
      </w:r>
      <w:r>
        <w:rPr>
          <w:rFonts w:ascii="宋体"/>
          <w:u w:val="single"/>
        </w:rPr>
        <w:t>10</w:t>
      </w:r>
      <w:r>
        <w:rPr>
          <w:rFonts w:hint="eastAsia" w:ascii="宋体"/>
          <w:u w:val="single"/>
        </w:rPr>
        <w:t>层</w:t>
      </w:r>
      <w:r>
        <w:rPr>
          <w:rFonts w:hint="eastAsia" w:ascii="宋体" w:hAnsi="宋体"/>
        </w:rPr>
        <w:t>）；</w:t>
      </w:r>
    </w:p>
    <w:p w14:paraId="17AD8B13">
      <w:pPr>
        <w:spacing w:line="360" w:lineRule="auto"/>
        <w:ind w:firstLine="420" w:firstLineChars="200"/>
        <w:rPr>
          <w:rFonts w:ascii="宋体"/>
        </w:rPr>
      </w:pPr>
      <w:r>
        <w:rPr>
          <w:rFonts w:hint="eastAsia" w:ascii="宋体" w:hAnsi="宋体"/>
        </w:rPr>
        <w:t>礼堂</w:t>
      </w:r>
      <w:r>
        <w:rPr>
          <w:rFonts w:ascii="宋体"/>
          <w:u w:val="single"/>
        </w:rPr>
        <w:t>395.64</w:t>
      </w:r>
      <w:r>
        <w:rPr>
          <w:rFonts w:hint="eastAsia" w:ascii="宋体" w:hAnsi="宋体"/>
        </w:rPr>
        <w:t>平方米；</w:t>
      </w:r>
    </w:p>
    <w:p w14:paraId="715626A9">
      <w:pPr>
        <w:spacing w:line="360" w:lineRule="auto"/>
        <w:ind w:firstLine="420" w:firstLineChars="200"/>
        <w:rPr>
          <w:rFonts w:ascii="宋体" w:hAnsi="宋体"/>
        </w:rPr>
      </w:pPr>
      <w:r>
        <w:rPr>
          <w:rFonts w:hint="eastAsia" w:ascii="宋体" w:hAnsi="宋体"/>
        </w:rPr>
        <w:t>停车场</w:t>
      </w:r>
      <w:r>
        <w:rPr>
          <w:rFonts w:ascii="宋体"/>
          <w:u w:val="single"/>
        </w:rPr>
        <w:t>1140</w:t>
      </w:r>
      <w:r>
        <w:rPr>
          <w:rFonts w:hint="eastAsia" w:ascii="宋体" w:hAnsi="宋体"/>
        </w:rPr>
        <w:t>平方米；</w:t>
      </w:r>
    </w:p>
    <w:p w14:paraId="0CBA9335">
      <w:pPr>
        <w:spacing w:line="360" w:lineRule="auto"/>
        <w:ind w:firstLine="420" w:firstLineChars="200"/>
        <w:rPr>
          <w:rFonts w:ascii="宋体" w:hAnsi="宋体"/>
        </w:rPr>
      </w:pPr>
      <w:r>
        <w:rPr>
          <w:rFonts w:hint="eastAsia" w:ascii="宋体" w:hAnsi="宋体"/>
        </w:rPr>
        <w:t>餐厅</w:t>
      </w:r>
      <w:r>
        <w:rPr>
          <w:rFonts w:ascii="宋体"/>
          <w:u w:val="single"/>
        </w:rPr>
        <w:t>4</w:t>
      </w:r>
      <w:r>
        <w:rPr>
          <w:rFonts w:hint="eastAsia" w:ascii="宋体" w:hAnsi="宋体"/>
        </w:rPr>
        <w:t xml:space="preserve">处，其中：小餐厅 </w:t>
      </w:r>
      <w:r>
        <w:rPr>
          <w:rFonts w:ascii="宋体"/>
          <w:u w:val="single"/>
        </w:rPr>
        <w:t>3</w:t>
      </w:r>
      <w:r>
        <w:rPr>
          <w:rFonts w:hint="eastAsia" w:ascii="宋体" w:hAnsi="宋体"/>
        </w:rPr>
        <w:t xml:space="preserve">  处， </w:t>
      </w:r>
      <w:r>
        <w:rPr>
          <w:rFonts w:ascii="宋体"/>
          <w:u w:val="single"/>
        </w:rPr>
        <w:t>115.2</w:t>
      </w:r>
      <w:r>
        <w:rPr>
          <w:rFonts w:hint="eastAsia" w:ascii="宋体" w:hAnsi="宋体"/>
        </w:rPr>
        <w:t xml:space="preserve">平方米；大餐厅 </w:t>
      </w:r>
      <w:r>
        <w:rPr>
          <w:rFonts w:ascii="宋体"/>
          <w:u w:val="single"/>
        </w:rPr>
        <w:t>1</w:t>
      </w:r>
      <w:r>
        <w:rPr>
          <w:rFonts w:hint="eastAsia" w:ascii="宋体" w:hAnsi="宋体"/>
        </w:rPr>
        <w:t xml:space="preserve"> 处，</w:t>
      </w:r>
      <w:r>
        <w:rPr>
          <w:rFonts w:ascii="宋体"/>
          <w:u w:val="single"/>
        </w:rPr>
        <w:t>208.8</w:t>
      </w:r>
      <w:r>
        <w:rPr>
          <w:rFonts w:hint="eastAsia" w:ascii="宋体" w:hAnsi="宋体"/>
        </w:rPr>
        <w:t>平方米；</w:t>
      </w:r>
    </w:p>
    <w:p w14:paraId="4BA707BB">
      <w:pPr>
        <w:spacing w:line="360" w:lineRule="auto"/>
        <w:ind w:firstLine="420" w:firstLineChars="200"/>
        <w:rPr>
          <w:rFonts w:ascii="宋体"/>
        </w:rPr>
      </w:pPr>
      <w:r>
        <w:rPr>
          <w:rFonts w:hint="eastAsia" w:ascii="宋体" w:hAnsi="宋体"/>
        </w:rPr>
        <w:t>厨房</w:t>
      </w:r>
      <w:r>
        <w:rPr>
          <w:rFonts w:ascii="宋体"/>
          <w:u w:val="single"/>
        </w:rPr>
        <w:t>1</w:t>
      </w:r>
      <w:r>
        <w:rPr>
          <w:rFonts w:hint="eastAsia" w:ascii="宋体" w:hAnsi="宋体"/>
        </w:rPr>
        <w:t>处，</w:t>
      </w:r>
      <w:r>
        <w:rPr>
          <w:rFonts w:ascii="宋体"/>
          <w:u w:val="single"/>
        </w:rPr>
        <w:t>216.4</w:t>
      </w:r>
      <w:r>
        <w:rPr>
          <w:rFonts w:hint="eastAsia" w:ascii="宋体" w:hAnsi="宋体"/>
        </w:rPr>
        <w:t>平方米；</w:t>
      </w:r>
    </w:p>
    <w:p w14:paraId="7FE0C3D0">
      <w:pPr>
        <w:spacing w:line="360" w:lineRule="auto"/>
        <w:ind w:firstLine="420" w:firstLineChars="200"/>
        <w:rPr>
          <w:rFonts w:ascii="宋体"/>
        </w:rPr>
      </w:pPr>
      <w:r>
        <w:rPr>
          <w:rFonts w:hint="eastAsia" w:ascii="宋体" w:hAnsi="宋体"/>
        </w:rPr>
        <w:t>带电梯办公楼共</w:t>
      </w:r>
      <w:r>
        <w:rPr>
          <w:rFonts w:ascii="宋体"/>
          <w:u w:val="single"/>
        </w:rPr>
        <w:t>1</w:t>
      </w:r>
      <w:r>
        <w:rPr>
          <w:rFonts w:hint="eastAsia" w:ascii="宋体" w:hAnsi="宋体"/>
        </w:rPr>
        <w:t>栋，办公楼单位</w:t>
      </w:r>
      <w:r>
        <w:rPr>
          <w:rFonts w:ascii="宋体"/>
          <w:u w:val="single"/>
        </w:rPr>
        <w:t>1</w:t>
      </w:r>
      <w:r>
        <w:rPr>
          <w:rFonts w:hint="eastAsia" w:ascii="宋体" w:hAnsi="宋体"/>
        </w:rPr>
        <w:t>套，建筑面积共</w:t>
      </w:r>
      <w:r>
        <w:rPr>
          <w:rFonts w:ascii="宋体"/>
          <w:u w:val="single"/>
        </w:rPr>
        <w:t>8607.16</w:t>
      </w:r>
      <w:r>
        <w:rPr>
          <w:rFonts w:hint="eastAsia" w:ascii="宋体" w:hAnsi="宋体"/>
        </w:rPr>
        <w:t>平方米。</w:t>
      </w:r>
    </w:p>
    <w:p w14:paraId="564C69C7">
      <w:pPr>
        <w:spacing w:line="360" w:lineRule="auto"/>
        <w:ind w:firstLine="420" w:firstLineChars="200"/>
        <w:rPr>
          <w:rFonts w:ascii="宋体"/>
        </w:rPr>
      </w:pPr>
      <w:r>
        <w:rPr>
          <w:rFonts w:hint="eastAsia" w:ascii="宋体" w:hAnsi="宋体"/>
        </w:rPr>
        <w:t>公用设施、设备及公共场所（地）情况：</w:t>
      </w:r>
    </w:p>
    <w:p w14:paraId="386B4D6B">
      <w:pPr>
        <w:spacing w:line="360" w:lineRule="auto"/>
        <w:ind w:firstLine="420" w:firstLineChars="200"/>
        <w:rPr>
          <w:rFonts w:ascii="宋体"/>
        </w:rPr>
      </w:pPr>
      <w:r>
        <w:rPr>
          <w:rFonts w:ascii="宋体" w:hAnsi="宋体"/>
        </w:rPr>
        <w:t>1</w:t>
      </w:r>
      <w:r>
        <w:rPr>
          <w:rFonts w:hint="eastAsia" w:ascii="宋体" w:hAnsi="宋体"/>
        </w:rPr>
        <w:t>、院区车辆出入口</w:t>
      </w:r>
      <w:r>
        <w:rPr>
          <w:rFonts w:ascii="宋体"/>
          <w:u w:val="single"/>
        </w:rPr>
        <w:t>2</w:t>
      </w:r>
      <w:r>
        <w:rPr>
          <w:rFonts w:hint="eastAsia" w:ascii="宋体" w:hAnsi="宋体"/>
        </w:rPr>
        <w:t>个，人行出入口</w:t>
      </w:r>
      <w:r>
        <w:rPr>
          <w:rFonts w:ascii="宋体"/>
          <w:u w:val="single"/>
        </w:rPr>
        <w:t>2</w:t>
      </w:r>
      <w:r>
        <w:rPr>
          <w:rFonts w:hint="eastAsia" w:ascii="宋体" w:hAnsi="宋体"/>
        </w:rPr>
        <w:t>个；</w:t>
      </w:r>
    </w:p>
    <w:p w14:paraId="5AE6FDF4">
      <w:pPr>
        <w:spacing w:line="360" w:lineRule="auto"/>
        <w:ind w:firstLine="420" w:firstLineChars="200"/>
        <w:rPr>
          <w:rFonts w:ascii="宋体"/>
        </w:rPr>
      </w:pPr>
      <w:r>
        <w:rPr>
          <w:rFonts w:ascii="宋体" w:hAnsi="宋体"/>
        </w:rPr>
        <w:t>2</w:t>
      </w:r>
      <w:r>
        <w:rPr>
          <w:rFonts w:hint="eastAsia" w:ascii="宋体" w:hAnsi="宋体"/>
        </w:rPr>
        <w:t>、道路、车行道</w:t>
      </w:r>
      <w:r>
        <w:rPr>
          <w:rFonts w:ascii="宋体"/>
          <w:u w:val="single"/>
        </w:rPr>
        <w:t>3130</w:t>
      </w:r>
      <w:r>
        <w:rPr>
          <w:rFonts w:hint="eastAsia" w:ascii="宋体" w:hAnsi="宋体"/>
        </w:rPr>
        <w:t>平方米，人行道</w:t>
      </w:r>
      <w:r>
        <w:rPr>
          <w:rFonts w:ascii="宋体"/>
          <w:u w:val="single"/>
        </w:rPr>
        <w:t>1000</w:t>
      </w:r>
      <w:r>
        <w:rPr>
          <w:rFonts w:hint="eastAsia" w:ascii="宋体" w:hAnsi="宋体"/>
        </w:rPr>
        <w:t>平方米；</w:t>
      </w:r>
    </w:p>
    <w:p w14:paraId="27430C6C">
      <w:pPr>
        <w:spacing w:line="360" w:lineRule="auto"/>
        <w:ind w:firstLine="420" w:firstLineChars="200"/>
        <w:rPr>
          <w:rFonts w:ascii="宋体"/>
        </w:rPr>
      </w:pPr>
      <w:r>
        <w:rPr>
          <w:rFonts w:hint="eastAsia" w:ascii="宋体" w:hAnsi="宋体"/>
        </w:rPr>
        <w:t>3、停车场：室内停车场</w:t>
      </w:r>
      <w:r>
        <w:rPr>
          <w:rFonts w:ascii="宋体"/>
          <w:u w:val="single"/>
        </w:rPr>
        <w:t>1</w:t>
      </w:r>
      <w:r>
        <w:rPr>
          <w:rFonts w:hint="eastAsia" w:ascii="宋体" w:hAnsi="宋体"/>
        </w:rPr>
        <w:t>个，面积共</w:t>
      </w:r>
      <w:r>
        <w:rPr>
          <w:rFonts w:ascii="宋体"/>
          <w:u w:val="single"/>
        </w:rPr>
        <w:t>1140</w:t>
      </w:r>
      <w:r>
        <w:rPr>
          <w:rFonts w:hint="eastAsia" w:ascii="宋体" w:hAnsi="宋体"/>
        </w:rPr>
        <w:t>平方米，停车位</w:t>
      </w:r>
      <w:r>
        <w:rPr>
          <w:rFonts w:ascii="宋体"/>
          <w:u w:val="single"/>
        </w:rPr>
        <w:t>25</w:t>
      </w:r>
      <w:r>
        <w:rPr>
          <w:rFonts w:hint="eastAsia" w:ascii="宋体" w:hAnsi="宋体"/>
        </w:rPr>
        <w:t>个；露天专用停车场</w:t>
      </w:r>
      <w:r>
        <w:rPr>
          <w:rFonts w:ascii="宋体"/>
          <w:u w:val="single"/>
        </w:rPr>
        <w:t>1</w:t>
      </w:r>
      <w:r>
        <w:rPr>
          <w:rFonts w:hint="eastAsia" w:ascii="宋体" w:hAnsi="宋体"/>
        </w:rPr>
        <w:t>个，占地面积共</w:t>
      </w:r>
      <w:r>
        <w:rPr>
          <w:rFonts w:ascii="宋体"/>
          <w:u w:val="single"/>
        </w:rPr>
        <w:t>572.25</w:t>
      </w:r>
      <w:r>
        <w:rPr>
          <w:rFonts w:hint="eastAsia" w:ascii="宋体" w:hAnsi="宋体"/>
        </w:rPr>
        <w:t>平方米，停车位</w:t>
      </w:r>
      <w:r>
        <w:rPr>
          <w:rFonts w:ascii="宋体"/>
          <w:u w:val="single"/>
        </w:rPr>
        <w:t>32</w:t>
      </w:r>
      <w:r>
        <w:rPr>
          <w:rFonts w:hint="eastAsia" w:ascii="宋体" w:hAnsi="宋体"/>
        </w:rPr>
        <w:t>位，露天零散停车位</w:t>
      </w:r>
      <w:r>
        <w:rPr>
          <w:rFonts w:ascii="宋体"/>
          <w:u w:val="single"/>
        </w:rPr>
        <w:t>96</w:t>
      </w:r>
      <w:r>
        <w:rPr>
          <w:rFonts w:hint="eastAsia" w:ascii="宋体" w:hAnsi="宋体"/>
        </w:rPr>
        <w:t>个；</w:t>
      </w:r>
      <w:r>
        <w:rPr>
          <w:rFonts w:hint="eastAsia" w:ascii="宋体"/>
        </w:rPr>
        <w:t>自行车停车位：自行车停放设在</w:t>
      </w:r>
      <w:r>
        <w:rPr>
          <w:rFonts w:hint="eastAsia" w:ascii="宋体"/>
          <w:u w:val="single"/>
        </w:rPr>
        <w:t>北广场</w:t>
      </w:r>
      <w:r>
        <w:rPr>
          <w:rFonts w:hint="eastAsia" w:ascii="宋体"/>
        </w:rPr>
        <w:t>。</w:t>
      </w:r>
    </w:p>
    <w:p w14:paraId="2B2CDD8E">
      <w:pPr>
        <w:spacing w:line="360" w:lineRule="auto"/>
        <w:ind w:firstLine="420" w:firstLineChars="200"/>
        <w:rPr>
          <w:rFonts w:ascii="宋体"/>
        </w:rPr>
      </w:pPr>
      <w:r>
        <w:rPr>
          <w:rFonts w:hint="eastAsia" w:ascii="宋体" w:hAnsi="宋体"/>
        </w:rPr>
        <w:t>4、消防自动报警系统情况及消防灭火器配备情况</w:t>
      </w:r>
      <w:r>
        <w:rPr>
          <w:rFonts w:hint="eastAsia" w:ascii="宋体"/>
          <w:u w:val="single"/>
        </w:rPr>
        <w:t>中控室内配备FAS火灾自动报警系统，大楼各楼层内配备消防灭火器86只</w:t>
      </w:r>
      <w:r>
        <w:rPr>
          <w:rFonts w:hint="eastAsia" w:ascii="宋体" w:hAnsi="宋体"/>
        </w:rPr>
        <w:t>；</w:t>
      </w:r>
    </w:p>
    <w:p w14:paraId="0D5A74AD">
      <w:pPr>
        <w:spacing w:line="360" w:lineRule="auto"/>
        <w:ind w:firstLine="420" w:firstLineChars="200"/>
        <w:rPr>
          <w:rFonts w:ascii="宋体"/>
        </w:rPr>
      </w:pPr>
      <w:r>
        <w:rPr>
          <w:rFonts w:hint="eastAsia" w:ascii="宋体" w:hAnsi="宋体"/>
        </w:rPr>
        <w:t>5、智能安防系统</w:t>
      </w:r>
      <w:r>
        <w:rPr>
          <w:rFonts w:hint="eastAsia" w:ascii="宋体"/>
          <w:u w:val="single"/>
        </w:rPr>
        <w:t>由BA控制的：中央空调系统，末端风机盘管系统，照明系统，空调箱系统，给排水系统</w:t>
      </w:r>
      <w:r>
        <w:rPr>
          <w:rFonts w:hint="eastAsia" w:ascii="宋体" w:hAnsi="宋体"/>
        </w:rPr>
        <w:t>。</w:t>
      </w:r>
    </w:p>
    <w:p w14:paraId="1802531B">
      <w:pPr>
        <w:spacing w:line="360" w:lineRule="auto"/>
        <w:ind w:firstLine="360"/>
        <w:rPr>
          <w:rFonts w:ascii="宋体"/>
        </w:rPr>
      </w:pPr>
    </w:p>
    <w:p w14:paraId="12B17E4F">
      <w:pPr>
        <w:spacing w:line="360" w:lineRule="auto"/>
        <w:rPr>
          <w:rFonts w:ascii="宋体"/>
        </w:rPr>
      </w:pPr>
      <w:r>
        <w:rPr>
          <w:rFonts w:hint="eastAsia" w:ascii="宋体"/>
          <w:b/>
        </w:rPr>
        <w:t>（二）各楼宇各层功能分布情况</w:t>
      </w:r>
    </w:p>
    <w:p w14:paraId="5A85721D">
      <w:pPr>
        <w:spacing w:line="360" w:lineRule="auto"/>
        <w:ind w:firstLine="525" w:firstLineChars="250"/>
        <w:rPr>
          <w:rFonts w:ascii="宋体"/>
        </w:rPr>
      </w:pPr>
      <w:r>
        <w:rPr>
          <w:rFonts w:hint="eastAsia" w:ascii="宋体"/>
        </w:rPr>
        <w:t>1F：机动车库、监控室、物业办公室、车辆调度室、仓库、男女洗手间、弱电机房、高压配电间、水泵房、茶水间；</w:t>
      </w:r>
    </w:p>
    <w:p w14:paraId="6A9999C8">
      <w:pPr>
        <w:spacing w:line="360" w:lineRule="auto"/>
        <w:ind w:firstLine="525" w:firstLineChars="250"/>
        <w:rPr>
          <w:rFonts w:ascii="宋体"/>
        </w:rPr>
      </w:pPr>
      <w:r>
        <w:rPr>
          <w:rFonts w:hint="eastAsia" w:ascii="宋体"/>
        </w:rPr>
        <w:t>2F：大堂、谈话室、器械室、陈列室、党建室、会议室、值班室、健身室、男女卫生间、弱电机房、风机房、茶水间；</w:t>
      </w:r>
    </w:p>
    <w:p w14:paraId="57BA42A5">
      <w:pPr>
        <w:spacing w:line="360" w:lineRule="auto"/>
        <w:ind w:firstLine="525" w:firstLineChars="250"/>
        <w:rPr>
          <w:rFonts w:ascii="宋体"/>
        </w:rPr>
      </w:pPr>
      <w:r>
        <w:rPr>
          <w:rFonts w:hint="eastAsia" w:ascii="宋体"/>
        </w:rPr>
        <w:t>3F：办公室、档案室、弱电机房、风机房、男女卫生间、茶水间；</w:t>
      </w:r>
    </w:p>
    <w:p w14:paraId="387B6ED1">
      <w:pPr>
        <w:spacing w:line="360" w:lineRule="auto"/>
        <w:ind w:firstLine="525" w:firstLineChars="250"/>
        <w:rPr>
          <w:rFonts w:ascii="宋体"/>
        </w:rPr>
      </w:pPr>
      <w:r>
        <w:rPr>
          <w:rFonts w:hint="eastAsia" w:ascii="宋体"/>
        </w:rPr>
        <w:t>4F：食堂、弱电机房、风机房、男女浴室、男女卫生间、理发室、茶水间；</w:t>
      </w:r>
    </w:p>
    <w:p w14:paraId="2619860B">
      <w:pPr>
        <w:spacing w:line="360" w:lineRule="auto"/>
        <w:ind w:firstLine="525" w:firstLineChars="250"/>
        <w:rPr>
          <w:rFonts w:ascii="宋体"/>
        </w:rPr>
      </w:pPr>
      <w:r>
        <w:rPr>
          <w:rFonts w:hint="eastAsia" w:ascii="宋体"/>
        </w:rPr>
        <w:t>5F:办公室、弱电机房、风机房、男女卫生间、茶水间；</w:t>
      </w:r>
    </w:p>
    <w:p w14:paraId="77384863">
      <w:pPr>
        <w:spacing w:line="360" w:lineRule="auto"/>
        <w:ind w:firstLine="525" w:firstLineChars="250"/>
        <w:rPr>
          <w:rFonts w:ascii="宋体"/>
        </w:rPr>
      </w:pPr>
      <w:r>
        <w:rPr>
          <w:rFonts w:hint="eastAsia" w:ascii="宋体"/>
        </w:rPr>
        <w:t>6F:办公室、弱电机房、风机房、男女卫生间、茶水间；</w:t>
      </w:r>
    </w:p>
    <w:p w14:paraId="61144E86">
      <w:pPr>
        <w:spacing w:line="360" w:lineRule="auto"/>
        <w:ind w:firstLine="525" w:firstLineChars="250"/>
        <w:rPr>
          <w:rFonts w:ascii="宋体"/>
        </w:rPr>
      </w:pPr>
      <w:r>
        <w:rPr>
          <w:rFonts w:hint="eastAsia" w:ascii="宋体"/>
        </w:rPr>
        <w:t>7F:办公室、会议室、弱电机房、风机房、男女卫生间、茶水间；</w:t>
      </w:r>
    </w:p>
    <w:p w14:paraId="7E8DFCC9">
      <w:pPr>
        <w:spacing w:line="360" w:lineRule="auto"/>
        <w:ind w:firstLine="525" w:firstLineChars="250"/>
        <w:rPr>
          <w:rFonts w:ascii="宋体"/>
        </w:rPr>
      </w:pPr>
      <w:r>
        <w:rPr>
          <w:rFonts w:hint="eastAsia" w:ascii="宋体"/>
        </w:rPr>
        <w:t>8F: 办公室、会议室、弱电机房、风机房、男女卫生间、茶水间；</w:t>
      </w:r>
    </w:p>
    <w:p w14:paraId="09F0FD98">
      <w:pPr>
        <w:spacing w:line="360" w:lineRule="auto"/>
        <w:ind w:firstLine="525" w:firstLineChars="250"/>
        <w:rPr>
          <w:rFonts w:ascii="宋体"/>
        </w:rPr>
      </w:pPr>
      <w:r>
        <w:rPr>
          <w:rFonts w:hint="eastAsia" w:ascii="宋体"/>
        </w:rPr>
        <w:t>9F:办公室、会议室、弱电机房、风机房、男女卫生间、茶水间；</w:t>
      </w:r>
    </w:p>
    <w:p w14:paraId="06C60FA7">
      <w:pPr>
        <w:spacing w:line="360" w:lineRule="auto"/>
        <w:ind w:firstLine="525" w:firstLineChars="250"/>
        <w:rPr>
          <w:rFonts w:ascii="宋体"/>
        </w:rPr>
      </w:pPr>
      <w:r>
        <w:rPr>
          <w:rFonts w:hint="eastAsia" w:ascii="宋体"/>
        </w:rPr>
        <w:t>10F：会议室、弱电机房、风机房、男女卫生间、茶水间。</w:t>
      </w:r>
    </w:p>
    <w:p w14:paraId="5293974F">
      <w:pPr>
        <w:spacing w:line="360" w:lineRule="auto"/>
        <w:ind w:firstLine="525" w:firstLineChars="250"/>
        <w:rPr>
          <w:rFonts w:ascii="宋体"/>
        </w:rPr>
      </w:pPr>
    </w:p>
    <w:p w14:paraId="0C8952C7">
      <w:pPr>
        <w:spacing w:line="360" w:lineRule="auto"/>
        <w:ind w:firstLine="413" w:firstLineChars="196"/>
        <w:rPr>
          <w:rFonts w:ascii="宋体" w:hAnsi="宋体"/>
          <w:b/>
          <w:szCs w:val="21"/>
        </w:rPr>
      </w:pPr>
      <w:r>
        <w:rPr>
          <w:rFonts w:hint="eastAsia" w:ascii="宋体"/>
          <w:b/>
        </w:rPr>
        <w:t>（三）业主方</w:t>
      </w:r>
      <w:r>
        <w:rPr>
          <w:rFonts w:hint="eastAsia" w:ascii="宋体" w:hAnsi="宋体"/>
          <w:b/>
          <w:szCs w:val="21"/>
        </w:rPr>
        <w:t>为保安服务企业提供的保安服务用房情况</w:t>
      </w:r>
    </w:p>
    <w:p w14:paraId="5DC01ED0">
      <w:pPr>
        <w:spacing w:line="360" w:lineRule="auto"/>
        <w:ind w:firstLine="420" w:firstLineChars="200"/>
        <w:rPr>
          <w:rFonts w:ascii="宋体" w:hAnsi="宋体"/>
        </w:rPr>
      </w:pPr>
      <w:r>
        <w:rPr>
          <w:rFonts w:hint="eastAsia" w:ascii="宋体" w:hAnsi="宋体"/>
        </w:rPr>
        <w:t>业主方提供保安服务管理用房面积</w:t>
      </w:r>
      <w:r>
        <w:rPr>
          <w:rFonts w:ascii="宋体"/>
          <w:u w:val="single"/>
        </w:rPr>
        <w:t>116</w:t>
      </w:r>
      <w:r>
        <w:rPr>
          <w:rFonts w:hint="eastAsia" w:ascii="宋体" w:hAnsi="宋体"/>
        </w:rPr>
        <w:t>平方米，其中办公房</w:t>
      </w:r>
      <w:r>
        <w:rPr>
          <w:rFonts w:ascii="宋体"/>
          <w:u w:val="single"/>
        </w:rPr>
        <w:t>4</w:t>
      </w:r>
      <w:r>
        <w:rPr>
          <w:rFonts w:hint="eastAsia" w:ascii="宋体" w:hAnsi="宋体"/>
          <w:u w:val="single"/>
        </w:rPr>
        <w:t>间</w:t>
      </w:r>
      <w:r>
        <w:rPr>
          <w:rFonts w:hint="eastAsia" w:ascii="宋体" w:hAnsi="宋体"/>
        </w:rPr>
        <w:t>；工作间</w:t>
      </w:r>
      <w:r>
        <w:rPr>
          <w:rFonts w:ascii="宋体"/>
          <w:u w:val="single"/>
        </w:rPr>
        <w:t>2</w:t>
      </w:r>
      <w:r>
        <w:rPr>
          <w:rFonts w:hint="eastAsia" w:ascii="宋体" w:hAnsi="宋体"/>
        </w:rPr>
        <w:t>间；仓库</w:t>
      </w:r>
      <w:r>
        <w:rPr>
          <w:rFonts w:ascii="宋体"/>
          <w:u w:val="single"/>
        </w:rPr>
        <w:t>1</w:t>
      </w:r>
      <w:r>
        <w:rPr>
          <w:rFonts w:hint="eastAsia" w:ascii="宋体" w:hAnsi="宋体"/>
        </w:rPr>
        <w:t>间。</w:t>
      </w:r>
    </w:p>
    <w:p w14:paraId="226EC9A8">
      <w:pPr>
        <w:spacing w:line="360" w:lineRule="auto"/>
        <w:ind w:firstLine="525" w:firstLineChars="250"/>
        <w:rPr>
          <w:rFonts w:ascii="宋体"/>
        </w:rPr>
      </w:pPr>
    </w:p>
    <w:p w14:paraId="454781E0">
      <w:pPr>
        <w:widowControl/>
        <w:numPr>
          <w:ilvl w:val="0"/>
          <w:numId w:val="1"/>
        </w:numPr>
        <w:tabs>
          <w:tab w:val="left" w:pos="567"/>
        </w:tabs>
        <w:spacing w:beforeLines="100" w:afterLines="50" w:line="360" w:lineRule="auto"/>
        <w:ind w:left="426" w:leftChars="203"/>
        <w:jc w:val="left"/>
        <w:outlineLvl w:val="0"/>
        <w:rPr>
          <w:rFonts w:ascii="宋体" w:hAnsi="宋体"/>
          <w:b/>
          <w:bCs/>
          <w:color w:val="FF0000"/>
          <w:sz w:val="24"/>
          <w:szCs w:val="24"/>
        </w:rPr>
      </w:pPr>
      <w:r>
        <w:rPr>
          <w:rFonts w:hint="eastAsia" w:ascii="Times New Roman" w:hAnsi="Times New Roman"/>
          <w:b/>
          <w:color w:val="000000"/>
          <w:kern w:val="0"/>
          <w:sz w:val="24"/>
          <w:szCs w:val="24"/>
        </w:rPr>
        <w:t>服务内容及要求</w:t>
      </w:r>
    </w:p>
    <w:p w14:paraId="2DC77807">
      <w:pPr>
        <w:pStyle w:val="6"/>
        <w:spacing w:line="360" w:lineRule="auto"/>
        <w:ind w:firstLine="480"/>
        <w:rPr>
          <w:b/>
          <w:bCs/>
        </w:rPr>
      </w:pPr>
      <w:r>
        <w:rPr>
          <w:rFonts w:hint="eastAsia"/>
          <w:b/>
          <w:bCs/>
        </w:rPr>
        <w:t>（一）保安管理要求与服务标准</w:t>
      </w:r>
    </w:p>
    <w:p w14:paraId="3F110854">
      <w:pPr>
        <w:pStyle w:val="6"/>
        <w:spacing w:line="360" w:lineRule="auto"/>
        <w:ind w:firstLine="480"/>
      </w:pPr>
      <w:r>
        <w:rPr>
          <w:rFonts w:hint="eastAsia"/>
        </w:rPr>
        <w:t>提供保安服务的单位和从业人员必须符合《保安服务管理条例》相关要求，并在其规定的权限内提供服务。</w:t>
      </w:r>
    </w:p>
    <w:p w14:paraId="66E1FBE8">
      <w:pPr>
        <w:pStyle w:val="6"/>
        <w:spacing w:line="360" w:lineRule="auto"/>
        <w:ind w:firstLine="480"/>
        <w:rPr>
          <w:b/>
          <w:bCs/>
        </w:rPr>
      </w:pPr>
      <w:r>
        <w:rPr>
          <w:rFonts w:hint="eastAsia"/>
          <w:b/>
          <w:bCs/>
        </w:rPr>
        <w:t>（二）工作目标与总体要求：</w:t>
      </w:r>
    </w:p>
    <w:p w14:paraId="3F14D0BA">
      <w:pPr>
        <w:pStyle w:val="6"/>
        <w:spacing w:line="360" w:lineRule="auto"/>
        <w:ind w:firstLine="480"/>
      </w:pPr>
      <w:r>
        <w:rPr>
          <w:rFonts w:hint="eastAsia"/>
        </w:rPr>
        <w:t>（1)提供保安服务的单位和从业人员必须符合《保安服务管理条例》相关要求，并在规定的权限内提供服务。</w:t>
      </w:r>
    </w:p>
    <w:p w14:paraId="06B33C15">
      <w:pPr>
        <w:pStyle w:val="6"/>
        <w:spacing w:line="360" w:lineRule="auto"/>
        <w:ind w:firstLine="480"/>
      </w:pPr>
      <w:r>
        <w:rPr>
          <w:rFonts w:hint="eastAsia"/>
        </w:rPr>
        <w:t>（2)严格遵守采购人的相关规定制度及规定，严格把关，保障院内正常的工作秩序， 制止任何影响、破坏秩序及环境的行为，树立良好的保安窗口服务形象，做好保安工作。</w:t>
      </w:r>
    </w:p>
    <w:p w14:paraId="091340D1">
      <w:pPr>
        <w:pStyle w:val="6"/>
        <w:spacing w:line="360" w:lineRule="auto"/>
        <w:ind w:firstLine="480"/>
      </w:pPr>
      <w:r>
        <w:rPr>
          <w:rFonts w:hint="eastAsia"/>
        </w:rPr>
        <w:t>（3)为本项目提供优质的保安服务，在行使职能过程中，如果出现纠纷或其他突发事件，按照规定的程序进行协调和处理；如果处理不成，及时向采购人报告。</w:t>
      </w:r>
    </w:p>
    <w:p w14:paraId="552F2019">
      <w:pPr>
        <w:pStyle w:val="6"/>
        <w:spacing w:line="360" w:lineRule="auto"/>
        <w:ind w:firstLine="480"/>
      </w:pPr>
      <w:r>
        <w:rPr>
          <w:rFonts w:hint="eastAsia"/>
        </w:rPr>
        <w:t>（4)针对本项目建立的各项规章制度应符合法律、法规的要求，在实施前要向采购人报备，采购人有审核权。</w:t>
      </w:r>
    </w:p>
    <w:p w14:paraId="06EA03E9">
      <w:pPr>
        <w:pStyle w:val="6"/>
        <w:spacing w:line="360" w:lineRule="auto"/>
        <w:ind w:firstLine="480"/>
      </w:pPr>
      <w:r>
        <w:rPr>
          <w:rFonts w:hint="eastAsia"/>
        </w:rPr>
        <w:t>（5)在处理特殊事件、紧急或突发事故时采购人对所辖区内的保安服务人员有直接指挥权。</w:t>
      </w:r>
    </w:p>
    <w:p w14:paraId="30CACC28">
      <w:pPr>
        <w:pStyle w:val="6"/>
        <w:spacing w:line="360" w:lineRule="auto"/>
        <w:ind w:firstLine="480"/>
      </w:pPr>
      <w:r>
        <w:rPr>
          <w:rFonts w:hint="eastAsia"/>
        </w:rPr>
        <w:t>（6)对所录用人员要进行审核，确保无犯罪记录。</w:t>
      </w:r>
    </w:p>
    <w:p w14:paraId="2AF9EB1A">
      <w:pPr>
        <w:pStyle w:val="6"/>
        <w:spacing w:line="360" w:lineRule="auto"/>
        <w:ind w:firstLine="480"/>
      </w:pPr>
      <w:r>
        <w:rPr>
          <w:rFonts w:hint="eastAsia"/>
        </w:rPr>
        <w:t>（7)保安员要按岗位要求统一着装、言行规范、注意仪容仪表、公众形象。</w:t>
      </w:r>
    </w:p>
    <w:p w14:paraId="2CFC74EC">
      <w:pPr>
        <w:pStyle w:val="6"/>
        <w:spacing w:line="360" w:lineRule="auto"/>
        <w:ind w:firstLine="480"/>
        <w:rPr>
          <w:rFonts w:hint="eastAsia"/>
          <w:b/>
          <w:bCs/>
        </w:rPr>
      </w:pPr>
      <w:r>
        <w:rPr>
          <w:rFonts w:hint="eastAsia"/>
          <w:b/>
          <w:bCs/>
        </w:rPr>
        <w:t>（三）岗位设置一览表</w:t>
      </w:r>
    </w:p>
    <w:p w14:paraId="1C17005B">
      <w:pPr>
        <w:pStyle w:val="6"/>
        <w:spacing w:line="360" w:lineRule="auto"/>
        <w:ind w:firstLine="480"/>
        <w:rPr>
          <w:rFonts w:hint="eastAsia"/>
          <w:b w:val="0"/>
          <w:bCs w:val="0"/>
        </w:rPr>
      </w:pPr>
      <w:r>
        <w:rPr>
          <w:rFonts w:hint="eastAsia" w:hAnsi="Courier New"/>
          <w:b w:val="0"/>
          <w:bCs w:val="0"/>
        </w:rPr>
        <w:t>★本项目物业管理与服务人员总数不得少于</w:t>
      </w:r>
      <w:r>
        <w:rPr>
          <w:rFonts w:hint="eastAsia" w:hAnsi="Courier New"/>
          <w:b w:val="0"/>
          <w:bCs w:val="0"/>
          <w:lang w:val="en-US" w:eastAsia="zh-CN"/>
        </w:rPr>
        <w:t>19</w:t>
      </w:r>
      <w:r>
        <w:rPr>
          <w:rFonts w:hint="eastAsia" w:hAnsi="Courier New"/>
          <w:b w:val="0"/>
          <w:bCs w:val="0"/>
        </w:rPr>
        <w:t>人。</w:t>
      </w:r>
    </w:p>
    <w:tbl>
      <w:tblPr>
        <w:tblStyle w:val="12"/>
        <w:tblW w:w="10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665"/>
        <w:gridCol w:w="2310"/>
        <w:gridCol w:w="1661"/>
        <w:gridCol w:w="2880"/>
      </w:tblGrid>
      <w:tr w14:paraId="4138F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10A6761A">
            <w:pPr>
              <w:spacing w:line="300" w:lineRule="exact"/>
              <w:ind w:left="27"/>
              <w:jc w:val="center"/>
              <w:rPr>
                <w:rFonts w:ascii="宋体" w:hAnsi="宋体" w:cs="宋体"/>
                <w:color w:val="000000"/>
                <w:kern w:val="0"/>
                <w:sz w:val="18"/>
                <w:szCs w:val="18"/>
              </w:rPr>
            </w:pPr>
            <w:r>
              <w:rPr>
                <w:rFonts w:hint="eastAsia" w:ascii="宋体" w:hAnsi="宋体" w:cs="宋体"/>
                <w:color w:val="000000"/>
                <w:kern w:val="0"/>
                <w:sz w:val="18"/>
                <w:szCs w:val="18"/>
              </w:rPr>
              <w:t>服务岗位</w:t>
            </w:r>
          </w:p>
        </w:tc>
        <w:tc>
          <w:tcPr>
            <w:tcW w:w="1665" w:type="dxa"/>
            <w:tcBorders>
              <w:top w:val="single" w:color="auto" w:sz="4" w:space="0"/>
              <w:left w:val="single" w:color="auto" w:sz="4" w:space="0"/>
              <w:bottom w:val="single" w:color="auto" w:sz="4" w:space="0"/>
              <w:right w:val="single" w:color="auto" w:sz="4" w:space="0"/>
            </w:tcBorders>
            <w:vAlign w:val="center"/>
          </w:tcPr>
          <w:p w14:paraId="7A2A4B27">
            <w:pPr>
              <w:spacing w:line="300" w:lineRule="exact"/>
              <w:ind w:left="27"/>
              <w:jc w:val="center"/>
              <w:rPr>
                <w:rFonts w:ascii="宋体" w:hAnsi="宋体"/>
                <w:spacing w:val="20"/>
                <w:sz w:val="18"/>
                <w:szCs w:val="18"/>
              </w:rPr>
            </w:pPr>
            <w:r>
              <w:rPr>
                <w:rFonts w:hint="eastAsia" w:ascii="宋体" w:hAnsi="宋体" w:cs="宋体"/>
                <w:color w:val="000000"/>
                <w:kern w:val="0"/>
                <w:sz w:val="18"/>
                <w:szCs w:val="18"/>
              </w:rPr>
              <w:t>岗位编制（该岗位同一时段内需要在岗人数）</w:t>
            </w:r>
          </w:p>
        </w:tc>
        <w:tc>
          <w:tcPr>
            <w:tcW w:w="2310" w:type="dxa"/>
            <w:tcBorders>
              <w:top w:val="single" w:color="auto" w:sz="4" w:space="0"/>
              <w:left w:val="single" w:color="auto" w:sz="4" w:space="0"/>
              <w:bottom w:val="single" w:color="auto" w:sz="4" w:space="0"/>
              <w:right w:val="single" w:color="auto" w:sz="4" w:space="0"/>
            </w:tcBorders>
            <w:vAlign w:val="center"/>
          </w:tcPr>
          <w:p w14:paraId="2BE581C6">
            <w:pPr>
              <w:spacing w:line="300" w:lineRule="exact"/>
              <w:jc w:val="center"/>
              <w:rPr>
                <w:rFonts w:ascii="宋体" w:hAnsi="宋体"/>
                <w:spacing w:val="20"/>
                <w:sz w:val="18"/>
                <w:szCs w:val="18"/>
              </w:rPr>
            </w:pPr>
            <w:r>
              <w:rPr>
                <w:rFonts w:hint="eastAsia" w:ascii="宋体" w:hAnsi="宋体" w:cs="宋体"/>
                <w:color w:val="000000"/>
                <w:kern w:val="0"/>
                <w:sz w:val="18"/>
                <w:szCs w:val="18"/>
              </w:rPr>
              <w:t>岗位人力配置数量（根据服务时长及岗位编制要求，配置的人数）</w:t>
            </w:r>
          </w:p>
        </w:tc>
        <w:tc>
          <w:tcPr>
            <w:tcW w:w="1661" w:type="dxa"/>
            <w:tcBorders>
              <w:top w:val="single" w:color="auto" w:sz="4" w:space="0"/>
              <w:left w:val="single" w:color="auto" w:sz="4" w:space="0"/>
              <w:bottom w:val="single" w:color="auto" w:sz="4" w:space="0"/>
              <w:right w:val="single" w:color="auto" w:sz="4" w:space="0"/>
            </w:tcBorders>
            <w:vAlign w:val="center"/>
          </w:tcPr>
          <w:p w14:paraId="1D74A7F1">
            <w:pPr>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需具备的上岗资格证（共5级）</w:t>
            </w:r>
          </w:p>
        </w:tc>
        <w:tc>
          <w:tcPr>
            <w:tcW w:w="2880" w:type="dxa"/>
            <w:tcBorders>
              <w:top w:val="single" w:color="auto" w:sz="4" w:space="0"/>
              <w:left w:val="single" w:color="auto" w:sz="4" w:space="0"/>
              <w:bottom w:val="single" w:color="auto" w:sz="4" w:space="0"/>
              <w:right w:val="single" w:color="auto" w:sz="4" w:space="0"/>
            </w:tcBorders>
            <w:vAlign w:val="center"/>
          </w:tcPr>
          <w:p w14:paraId="357C972A">
            <w:pPr>
              <w:spacing w:line="300" w:lineRule="exact"/>
              <w:jc w:val="center"/>
              <w:rPr>
                <w:rFonts w:ascii="宋体" w:hAnsi="宋体"/>
                <w:spacing w:val="20"/>
                <w:sz w:val="18"/>
                <w:szCs w:val="18"/>
              </w:rPr>
            </w:pPr>
            <w:r>
              <w:rPr>
                <w:rFonts w:hint="eastAsia" w:ascii="宋体" w:hAnsi="宋体" w:cs="宋体"/>
                <w:color w:val="000000"/>
                <w:kern w:val="0"/>
                <w:sz w:val="18"/>
                <w:szCs w:val="18"/>
              </w:rPr>
              <w:t>备注（岗位所需服务时长或时段、需具备的上岗资格证等）</w:t>
            </w:r>
          </w:p>
        </w:tc>
      </w:tr>
      <w:tr w14:paraId="661EF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2F14F63A">
            <w:pPr>
              <w:spacing w:line="300" w:lineRule="exact"/>
              <w:ind w:left="27"/>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保安队长</w:t>
            </w:r>
          </w:p>
        </w:tc>
        <w:tc>
          <w:tcPr>
            <w:tcW w:w="1665" w:type="dxa"/>
            <w:tcBorders>
              <w:top w:val="single" w:color="auto" w:sz="4" w:space="0"/>
              <w:left w:val="single" w:color="auto" w:sz="4" w:space="0"/>
              <w:bottom w:val="single" w:color="auto" w:sz="4" w:space="0"/>
              <w:right w:val="single" w:color="auto" w:sz="4" w:space="0"/>
            </w:tcBorders>
            <w:vAlign w:val="center"/>
          </w:tcPr>
          <w:p w14:paraId="645F22D4">
            <w:pPr>
              <w:spacing w:line="300" w:lineRule="exact"/>
              <w:jc w:val="center"/>
              <w:rPr>
                <w:rFonts w:ascii="宋体" w:hAnsi="宋体"/>
                <w:spacing w:val="20"/>
                <w:sz w:val="18"/>
                <w:szCs w:val="18"/>
              </w:rPr>
            </w:pPr>
            <w:r>
              <w:rPr>
                <w:rFonts w:hint="eastAsia" w:ascii="宋体" w:hAnsi="宋体"/>
                <w:spacing w:val="20"/>
                <w:sz w:val="18"/>
                <w:szCs w:val="18"/>
              </w:rPr>
              <w:t>1</w:t>
            </w:r>
          </w:p>
        </w:tc>
        <w:tc>
          <w:tcPr>
            <w:tcW w:w="2310" w:type="dxa"/>
            <w:tcBorders>
              <w:top w:val="single" w:color="auto" w:sz="4" w:space="0"/>
              <w:left w:val="single" w:color="auto" w:sz="4" w:space="0"/>
              <w:bottom w:val="single" w:color="auto" w:sz="4" w:space="0"/>
              <w:right w:val="single" w:color="auto" w:sz="4" w:space="0"/>
            </w:tcBorders>
            <w:vAlign w:val="center"/>
          </w:tcPr>
          <w:p w14:paraId="0E19B1BC">
            <w:pPr>
              <w:spacing w:line="300" w:lineRule="exact"/>
              <w:jc w:val="center"/>
              <w:rPr>
                <w:rFonts w:ascii="宋体" w:hAnsi="宋体"/>
                <w:spacing w:val="20"/>
                <w:sz w:val="18"/>
                <w:szCs w:val="18"/>
              </w:rPr>
            </w:pPr>
            <w:r>
              <w:rPr>
                <w:rFonts w:hint="eastAsia" w:ascii="宋体" w:hAnsi="宋体"/>
                <w:spacing w:val="20"/>
                <w:sz w:val="18"/>
                <w:szCs w:val="18"/>
              </w:rPr>
              <w:t>1</w:t>
            </w:r>
          </w:p>
        </w:tc>
        <w:tc>
          <w:tcPr>
            <w:tcW w:w="1661" w:type="dxa"/>
            <w:tcBorders>
              <w:top w:val="single" w:color="auto" w:sz="4" w:space="0"/>
              <w:left w:val="single" w:color="auto" w:sz="4" w:space="0"/>
              <w:bottom w:val="single" w:color="auto" w:sz="4" w:space="0"/>
              <w:right w:val="single" w:color="auto" w:sz="4" w:space="0"/>
            </w:tcBorders>
            <w:vAlign w:val="center"/>
          </w:tcPr>
          <w:p w14:paraId="7FDAB67D">
            <w:pPr>
              <w:spacing w:line="300" w:lineRule="exact"/>
              <w:jc w:val="center"/>
              <w:rPr>
                <w:rFonts w:ascii="宋体" w:hAnsi="宋体"/>
                <w:spacing w:val="20"/>
                <w:sz w:val="18"/>
                <w:szCs w:val="18"/>
              </w:rPr>
            </w:pPr>
            <w:r>
              <w:rPr>
                <w:rFonts w:hint="eastAsia" w:ascii="宋体" w:hAnsi="宋体"/>
                <w:spacing w:val="20"/>
                <w:sz w:val="18"/>
                <w:szCs w:val="18"/>
              </w:rPr>
              <w:t>保安员二级</w:t>
            </w:r>
          </w:p>
        </w:tc>
        <w:tc>
          <w:tcPr>
            <w:tcW w:w="2880" w:type="dxa"/>
            <w:tcBorders>
              <w:top w:val="single" w:color="auto" w:sz="4" w:space="0"/>
              <w:left w:val="single" w:color="auto" w:sz="4" w:space="0"/>
              <w:bottom w:val="single" w:color="auto" w:sz="4" w:space="0"/>
              <w:right w:val="single" w:color="auto" w:sz="4" w:space="0"/>
            </w:tcBorders>
            <w:vAlign w:val="center"/>
          </w:tcPr>
          <w:p w14:paraId="4B66DE8A">
            <w:pPr>
              <w:spacing w:line="300" w:lineRule="exact"/>
              <w:jc w:val="center"/>
              <w:rPr>
                <w:rFonts w:ascii="宋体" w:hAnsi="宋体"/>
                <w:spacing w:val="20"/>
                <w:sz w:val="18"/>
                <w:szCs w:val="18"/>
              </w:rPr>
            </w:pPr>
            <w:r>
              <w:rPr>
                <w:rFonts w:hint="eastAsia" w:ascii="宋体" w:hAnsi="宋体" w:cs="宋体"/>
                <w:color w:val="000000"/>
                <w:kern w:val="0"/>
                <w:sz w:val="18"/>
                <w:szCs w:val="18"/>
              </w:rPr>
              <w:t>8小时制、保安员上岗证</w:t>
            </w:r>
          </w:p>
        </w:tc>
      </w:tr>
      <w:tr w14:paraId="68D23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54AFBF9D">
            <w:pPr>
              <w:spacing w:line="300" w:lineRule="exact"/>
              <w:ind w:left="27"/>
              <w:jc w:val="center"/>
              <w:rPr>
                <w:rFonts w:ascii="宋体" w:hAnsi="宋体" w:cs="宋体"/>
                <w:color w:val="000000"/>
                <w:kern w:val="0"/>
                <w:sz w:val="18"/>
                <w:szCs w:val="18"/>
              </w:rPr>
            </w:pPr>
            <w:r>
              <w:rPr>
                <w:rFonts w:hint="eastAsia" w:ascii="宋体" w:hAnsi="宋体" w:cs="宋体"/>
                <w:color w:val="000000"/>
                <w:kern w:val="0"/>
                <w:sz w:val="18"/>
                <w:szCs w:val="18"/>
              </w:rPr>
              <w:t>领班兼巡视岗</w:t>
            </w:r>
          </w:p>
        </w:tc>
        <w:tc>
          <w:tcPr>
            <w:tcW w:w="1665" w:type="dxa"/>
            <w:tcBorders>
              <w:top w:val="single" w:color="auto" w:sz="4" w:space="0"/>
              <w:left w:val="single" w:color="auto" w:sz="4" w:space="0"/>
              <w:bottom w:val="single" w:color="auto" w:sz="4" w:space="0"/>
              <w:right w:val="single" w:color="auto" w:sz="4" w:space="0"/>
            </w:tcBorders>
            <w:vAlign w:val="center"/>
          </w:tcPr>
          <w:p w14:paraId="0017FCA9">
            <w:pPr>
              <w:spacing w:line="300" w:lineRule="exact"/>
              <w:jc w:val="center"/>
              <w:rPr>
                <w:rFonts w:ascii="宋体" w:hAnsi="宋体"/>
                <w:spacing w:val="20"/>
                <w:sz w:val="18"/>
                <w:szCs w:val="18"/>
              </w:rPr>
            </w:pPr>
            <w:r>
              <w:rPr>
                <w:rFonts w:hint="eastAsia" w:ascii="宋体" w:hAnsi="宋体"/>
                <w:spacing w:val="20"/>
                <w:sz w:val="18"/>
                <w:szCs w:val="18"/>
              </w:rPr>
              <w:t>1</w:t>
            </w:r>
          </w:p>
        </w:tc>
        <w:tc>
          <w:tcPr>
            <w:tcW w:w="2310" w:type="dxa"/>
            <w:tcBorders>
              <w:top w:val="single" w:color="auto" w:sz="4" w:space="0"/>
              <w:left w:val="single" w:color="auto" w:sz="4" w:space="0"/>
              <w:bottom w:val="single" w:color="auto" w:sz="4" w:space="0"/>
              <w:right w:val="single" w:color="auto" w:sz="4" w:space="0"/>
            </w:tcBorders>
            <w:vAlign w:val="center"/>
          </w:tcPr>
          <w:p w14:paraId="03A680ED">
            <w:pPr>
              <w:spacing w:line="300" w:lineRule="exact"/>
              <w:jc w:val="center"/>
              <w:rPr>
                <w:rFonts w:ascii="宋体" w:hAnsi="宋体"/>
                <w:spacing w:val="20"/>
                <w:sz w:val="18"/>
                <w:szCs w:val="18"/>
              </w:rPr>
            </w:pPr>
            <w:r>
              <w:rPr>
                <w:rFonts w:ascii="宋体" w:hAnsi="宋体"/>
                <w:spacing w:val="20"/>
                <w:sz w:val="18"/>
                <w:szCs w:val="18"/>
              </w:rPr>
              <w:t>2</w:t>
            </w:r>
          </w:p>
        </w:tc>
        <w:tc>
          <w:tcPr>
            <w:tcW w:w="1661" w:type="dxa"/>
            <w:tcBorders>
              <w:top w:val="single" w:color="auto" w:sz="4" w:space="0"/>
              <w:left w:val="single" w:color="auto" w:sz="4" w:space="0"/>
              <w:bottom w:val="single" w:color="auto" w:sz="4" w:space="0"/>
              <w:right w:val="single" w:color="auto" w:sz="4" w:space="0"/>
            </w:tcBorders>
            <w:vAlign w:val="center"/>
          </w:tcPr>
          <w:p w14:paraId="6EBA557B">
            <w:pPr>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保安员五级</w:t>
            </w:r>
          </w:p>
        </w:tc>
        <w:tc>
          <w:tcPr>
            <w:tcW w:w="2880" w:type="dxa"/>
            <w:tcBorders>
              <w:top w:val="single" w:color="auto" w:sz="4" w:space="0"/>
              <w:left w:val="single" w:color="auto" w:sz="4" w:space="0"/>
              <w:bottom w:val="single" w:color="auto" w:sz="4" w:space="0"/>
              <w:right w:val="single" w:color="auto" w:sz="4" w:space="0"/>
            </w:tcBorders>
            <w:vAlign w:val="center"/>
          </w:tcPr>
          <w:p w14:paraId="70096D46">
            <w:pPr>
              <w:spacing w:line="300" w:lineRule="exact"/>
              <w:jc w:val="center"/>
              <w:rPr>
                <w:rFonts w:ascii="宋体" w:hAnsi="宋体"/>
                <w:spacing w:val="2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4</w:t>
            </w:r>
            <w:r>
              <w:rPr>
                <w:rFonts w:hint="eastAsia" w:ascii="宋体" w:hAnsi="宋体" w:cs="宋体"/>
                <w:color w:val="000000"/>
                <w:kern w:val="0"/>
                <w:sz w:val="18"/>
                <w:szCs w:val="18"/>
              </w:rPr>
              <w:t>小时制、保安员上岗证</w:t>
            </w:r>
          </w:p>
        </w:tc>
      </w:tr>
      <w:tr w14:paraId="66869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32360BBB">
            <w:pPr>
              <w:spacing w:line="300" w:lineRule="exact"/>
              <w:ind w:left="27"/>
              <w:jc w:val="center"/>
              <w:rPr>
                <w:rFonts w:ascii="宋体" w:hAnsi="宋体" w:cs="宋体"/>
                <w:color w:val="000000"/>
                <w:kern w:val="0"/>
                <w:sz w:val="18"/>
                <w:szCs w:val="18"/>
              </w:rPr>
            </w:pPr>
            <w:r>
              <w:rPr>
                <w:rFonts w:hint="eastAsia" w:ascii="宋体" w:hAnsi="宋体" w:cs="宋体"/>
                <w:color w:val="000000"/>
                <w:kern w:val="0"/>
                <w:sz w:val="18"/>
                <w:szCs w:val="18"/>
              </w:rPr>
              <w:t>南门岗</w:t>
            </w:r>
          </w:p>
        </w:tc>
        <w:tc>
          <w:tcPr>
            <w:tcW w:w="1665" w:type="dxa"/>
            <w:tcBorders>
              <w:top w:val="single" w:color="auto" w:sz="4" w:space="0"/>
              <w:left w:val="single" w:color="auto" w:sz="4" w:space="0"/>
              <w:bottom w:val="single" w:color="auto" w:sz="4" w:space="0"/>
              <w:right w:val="single" w:color="auto" w:sz="4" w:space="0"/>
            </w:tcBorders>
            <w:vAlign w:val="center"/>
          </w:tcPr>
          <w:p w14:paraId="6E9EDD81">
            <w:pPr>
              <w:spacing w:line="300" w:lineRule="exact"/>
              <w:jc w:val="center"/>
              <w:rPr>
                <w:rFonts w:ascii="宋体" w:hAnsi="宋体"/>
                <w:spacing w:val="20"/>
                <w:sz w:val="18"/>
                <w:szCs w:val="18"/>
              </w:rPr>
            </w:pPr>
            <w:r>
              <w:rPr>
                <w:rFonts w:hint="eastAsia" w:ascii="宋体" w:hAnsi="宋体"/>
                <w:spacing w:val="20"/>
                <w:sz w:val="18"/>
                <w:szCs w:val="18"/>
              </w:rPr>
              <w:t>1</w:t>
            </w:r>
          </w:p>
        </w:tc>
        <w:tc>
          <w:tcPr>
            <w:tcW w:w="2310" w:type="dxa"/>
            <w:tcBorders>
              <w:top w:val="single" w:color="auto" w:sz="4" w:space="0"/>
              <w:left w:val="single" w:color="auto" w:sz="4" w:space="0"/>
              <w:bottom w:val="single" w:color="auto" w:sz="4" w:space="0"/>
              <w:right w:val="single" w:color="auto" w:sz="4" w:space="0"/>
            </w:tcBorders>
            <w:vAlign w:val="center"/>
          </w:tcPr>
          <w:p w14:paraId="0E71BACD">
            <w:pPr>
              <w:spacing w:line="300" w:lineRule="exact"/>
              <w:jc w:val="center"/>
              <w:rPr>
                <w:rFonts w:ascii="宋体" w:hAnsi="宋体"/>
                <w:spacing w:val="20"/>
                <w:sz w:val="18"/>
                <w:szCs w:val="18"/>
              </w:rPr>
            </w:pPr>
            <w:r>
              <w:rPr>
                <w:rFonts w:ascii="宋体" w:hAnsi="宋体"/>
                <w:spacing w:val="20"/>
                <w:sz w:val="18"/>
                <w:szCs w:val="18"/>
              </w:rPr>
              <w:t>3</w:t>
            </w:r>
          </w:p>
        </w:tc>
        <w:tc>
          <w:tcPr>
            <w:tcW w:w="1661" w:type="dxa"/>
            <w:tcBorders>
              <w:top w:val="single" w:color="auto" w:sz="4" w:space="0"/>
              <w:left w:val="single" w:color="auto" w:sz="4" w:space="0"/>
              <w:bottom w:val="single" w:color="auto" w:sz="4" w:space="0"/>
              <w:right w:val="single" w:color="auto" w:sz="4" w:space="0"/>
            </w:tcBorders>
            <w:vAlign w:val="center"/>
          </w:tcPr>
          <w:p w14:paraId="0F66DB7E">
            <w:pPr>
              <w:spacing w:line="300" w:lineRule="exact"/>
              <w:jc w:val="center"/>
              <w:rPr>
                <w:rFonts w:ascii="宋体" w:hAnsi="宋体"/>
                <w:spacing w:val="20"/>
                <w:sz w:val="18"/>
                <w:szCs w:val="18"/>
              </w:rPr>
            </w:pPr>
            <w:r>
              <w:rPr>
                <w:rFonts w:hint="eastAsia" w:ascii="宋体" w:hAnsi="宋体" w:cs="宋体"/>
                <w:color w:val="000000"/>
                <w:kern w:val="0"/>
                <w:sz w:val="18"/>
                <w:szCs w:val="18"/>
              </w:rPr>
              <w:t>保安员五级</w:t>
            </w:r>
          </w:p>
        </w:tc>
        <w:tc>
          <w:tcPr>
            <w:tcW w:w="2880" w:type="dxa"/>
            <w:tcBorders>
              <w:top w:val="single" w:color="auto" w:sz="4" w:space="0"/>
              <w:left w:val="single" w:color="auto" w:sz="4" w:space="0"/>
              <w:bottom w:val="single" w:color="auto" w:sz="4" w:space="0"/>
              <w:right w:val="single" w:color="auto" w:sz="4" w:space="0"/>
            </w:tcBorders>
            <w:vAlign w:val="center"/>
          </w:tcPr>
          <w:p w14:paraId="2A278987">
            <w:pPr>
              <w:spacing w:line="300" w:lineRule="exact"/>
              <w:jc w:val="center"/>
              <w:rPr>
                <w:rFonts w:ascii="宋体" w:hAnsi="宋体"/>
                <w:spacing w:val="2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4</w:t>
            </w:r>
            <w:r>
              <w:rPr>
                <w:rFonts w:hint="eastAsia" w:ascii="宋体" w:hAnsi="宋体" w:cs="宋体"/>
                <w:color w:val="000000"/>
                <w:kern w:val="0"/>
                <w:sz w:val="18"/>
                <w:szCs w:val="18"/>
              </w:rPr>
              <w:t>小时制、保安员上岗证</w:t>
            </w:r>
          </w:p>
        </w:tc>
      </w:tr>
      <w:tr w14:paraId="14A32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1A93C466">
            <w:pPr>
              <w:spacing w:line="300" w:lineRule="exact"/>
              <w:ind w:left="27"/>
              <w:jc w:val="center"/>
              <w:rPr>
                <w:rFonts w:ascii="宋体" w:hAnsi="宋体" w:cs="宋体"/>
                <w:color w:val="000000"/>
                <w:kern w:val="0"/>
                <w:sz w:val="18"/>
                <w:szCs w:val="18"/>
              </w:rPr>
            </w:pPr>
            <w:r>
              <w:rPr>
                <w:rFonts w:hint="eastAsia" w:ascii="宋体" w:hAnsi="宋体" w:cs="宋体"/>
                <w:color w:val="000000"/>
                <w:kern w:val="0"/>
                <w:sz w:val="18"/>
                <w:szCs w:val="18"/>
              </w:rPr>
              <w:t>北门岗</w:t>
            </w:r>
          </w:p>
        </w:tc>
        <w:tc>
          <w:tcPr>
            <w:tcW w:w="1665" w:type="dxa"/>
            <w:tcBorders>
              <w:top w:val="single" w:color="auto" w:sz="4" w:space="0"/>
              <w:left w:val="single" w:color="auto" w:sz="4" w:space="0"/>
              <w:bottom w:val="single" w:color="auto" w:sz="4" w:space="0"/>
              <w:right w:val="single" w:color="auto" w:sz="4" w:space="0"/>
            </w:tcBorders>
            <w:vAlign w:val="center"/>
          </w:tcPr>
          <w:p w14:paraId="2018DC4D">
            <w:pPr>
              <w:spacing w:line="300" w:lineRule="exact"/>
              <w:jc w:val="center"/>
              <w:rPr>
                <w:rFonts w:ascii="宋体" w:hAnsi="宋体"/>
                <w:spacing w:val="20"/>
                <w:sz w:val="18"/>
                <w:szCs w:val="18"/>
              </w:rPr>
            </w:pPr>
            <w:r>
              <w:rPr>
                <w:rFonts w:hint="eastAsia" w:ascii="宋体" w:hAnsi="宋体"/>
                <w:spacing w:val="20"/>
                <w:sz w:val="18"/>
                <w:szCs w:val="18"/>
              </w:rPr>
              <w:t>1</w:t>
            </w:r>
          </w:p>
        </w:tc>
        <w:tc>
          <w:tcPr>
            <w:tcW w:w="2310" w:type="dxa"/>
            <w:tcBorders>
              <w:top w:val="single" w:color="auto" w:sz="4" w:space="0"/>
              <w:left w:val="single" w:color="auto" w:sz="4" w:space="0"/>
              <w:bottom w:val="single" w:color="auto" w:sz="4" w:space="0"/>
              <w:right w:val="single" w:color="auto" w:sz="4" w:space="0"/>
            </w:tcBorders>
            <w:vAlign w:val="center"/>
          </w:tcPr>
          <w:p w14:paraId="727027E6">
            <w:pPr>
              <w:spacing w:line="300" w:lineRule="exact"/>
              <w:jc w:val="center"/>
              <w:rPr>
                <w:rFonts w:ascii="宋体" w:hAnsi="宋体"/>
                <w:spacing w:val="20"/>
                <w:sz w:val="18"/>
                <w:szCs w:val="18"/>
              </w:rPr>
            </w:pPr>
            <w:r>
              <w:rPr>
                <w:rFonts w:ascii="宋体" w:hAnsi="宋体"/>
                <w:spacing w:val="20"/>
                <w:sz w:val="18"/>
                <w:szCs w:val="18"/>
              </w:rPr>
              <w:t>3</w:t>
            </w:r>
          </w:p>
        </w:tc>
        <w:tc>
          <w:tcPr>
            <w:tcW w:w="1661" w:type="dxa"/>
            <w:tcBorders>
              <w:top w:val="single" w:color="auto" w:sz="4" w:space="0"/>
              <w:left w:val="single" w:color="auto" w:sz="4" w:space="0"/>
              <w:bottom w:val="single" w:color="auto" w:sz="4" w:space="0"/>
              <w:right w:val="single" w:color="auto" w:sz="4" w:space="0"/>
            </w:tcBorders>
            <w:vAlign w:val="center"/>
          </w:tcPr>
          <w:p w14:paraId="69E908CF">
            <w:pPr>
              <w:spacing w:line="300" w:lineRule="exact"/>
              <w:jc w:val="center"/>
              <w:rPr>
                <w:rFonts w:ascii="宋体" w:hAnsi="宋体"/>
                <w:spacing w:val="20"/>
                <w:sz w:val="18"/>
                <w:szCs w:val="18"/>
              </w:rPr>
            </w:pPr>
            <w:r>
              <w:rPr>
                <w:rFonts w:hint="eastAsia" w:ascii="宋体" w:hAnsi="宋体" w:cs="宋体"/>
                <w:color w:val="000000"/>
                <w:kern w:val="0"/>
                <w:sz w:val="18"/>
                <w:szCs w:val="18"/>
              </w:rPr>
              <w:t>保安员五级</w:t>
            </w:r>
          </w:p>
        </w:tc>
        <w:tc>
          <w:tcPr>
            <w:tcW w:w="2880" w:type="dxa"/>
            <w:tcBorders>
              <w:top w:val="single" w:color="auto" w:sz="4" w:space="0"/>
              <w:left w:val="single" w:color="auto" w:sz="4" w:space="0"/>
              <w:bottom w:val="single" w:color="auto" w:sz="4" w:space="0"/>
              <w:right w:val="single" w:color="auto" w:sz="4" w:space="0"/>
            </w:tcBorders>
            <w:vAlign w:val="center"/>
          </w:tcPr>
          <w:p w14:paraId="2D4C5709">
            <w:pPr>
              <w:spacing w:line="300" w:lineRule="exact"/>
              <w:jc w:val="center"/>
              <w:rPr>
                <w:rFonts w:ascii="宋体" w:hAnsi="宋体"/>
                <w:spacing w:val="2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4</w:t>
            </w:r>
            <w:r>
              <w:rPr>
                <w:rFonts w:hint="eastAsia" w:ascii="宋体" w:hAnsi="宋体" w:cs="宋体"/>
                <w:color w:val="000000"/>
                <w:kern w:val="0"/>
                <w:sz w:val="18"/>
                <w:szCs w:val="18"/>
              </w:rPr>
              <w:t>小时制、保安员上岗证</w:t>
            </w:r>
          </w:p>
        </w:tc>
      </w:tr>
      <w:tr w14:paraId="3B2A0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0AB8194E">
            <w:pPr>
              <w:spacing w:line="300" w:lineRule="exact"/>
              <w:jc w:val="center"/>
              <w:rPr>
                <w:rFonts w:ascii="宋体" w:hAnsi="宋体"/>
                <w:spacing w:val="20"/>
                <w:sz w:val="18"/>
                <w:szCs w:val="18"/>
              </w:rPr>
            </w:pPr>
            <w:r>
              <w:rPr>
                <w:rFonts w:hint="eastAsia" w:ascii="宋体" w:hAnsi="宋体" w:cs="宋体"/>
                <w:color w:val="000000"/>
                <w:kern w:val="0"/>
                <w:sz w:val="18"/>
                <w:szCs w:val="18"/>
              </w:rPr>
              <w:t>监控岗</w:t>
            </w:r>
          </w:p>
        </w:tc>
        <w:tc>
          <w:tcPr>
            <w:tcW w:w="1665" w:type="dxa"/>
            <w:tcBorders>
              <w:top w:val="single" w:color="auto" w:sz="4" w:space="0"/>
              <w:left w:val="single" w:color="auto" w:sz="4" w:space="0"/>
              <w:bottom w:val="single" w:color="auto" w:sz="4" w:space="0"/>
              <w:right w:val="single" w:color="auto" w:sz="4" w:space="0"/>
            </w:tcBorders>
            <w:vAlign w:val="center"/>
          </w:tcPr>
          <w:p w14:paraId="6B34B478">
            <w:pPr>
              <w:spacing w:line="300" w:lineRule="exact"/>
              <w:jc w:val="center"/>
              <w:rPr>
                <w:rFonts w:ascii="宋体" w:hAnsi="宋体"/>
                <w:spacing w:val="20"/>
                <w:sz w:val="18"/>
                <w:szCs w:val="18"/>
              </w:rPr>
            </w:pPr>
            <w:r>
              <w:rPr>
                <w:rFonts w:hint="eastAsia" w:ascii="宋体" w:hAnsi="宋体"/>
                <w:spacing w:val="20"/>
                <w:sz w:val="18"/>
                <w:szCs w:val="18"/>
              </w:rPr>
              <w:t>2</w:t>
            </w:r>
          </w:p>
        </w:tc>
        <w:tc>
          <w:tcPr>
            <w:tcW w:w="2310" w:type="dxa"/>
            <w:tcBorders>
              <w:top w:val="single" w:color="auto" w:sz="4" w:space="0"/>
              <w:left w:val="single" w:color="auto" w:sz="4" w:space="0"/>
              <w:bottom w:val="single" w:color="auto" w:sz="4" w:space="0"/>
              <w:right w:val="single" w:color="auto" w:sz="4" w:space="0"/>
            </w:tcBorders>
            <w:vAlign w:val="center"/>
          </w:tcPr>
          <w:p w14:paraId="646C18C0">
            <w:pPr>
              <w:spacing w:line="300" w:lineRule="exact"/>
              <w:jc w:val="center"/>
              <w:rPr>
                <w:rFonts w:ascii="宋体" w:hAnsi="宋体"/>
                <w:spacing w:val="20"/>
                <w:sz w:val="18"/>
                <w:szCs w:val="18"/>
              </w:rPr>
            </w:pPr>
            <w:r>
              <w:rPr>
                <w:rFonts w:ascii="宋体" w:hAnsi="宋体"/>
                <w:spacing w:val="20"/>
                <w:sz w:val="18"/>
                <w:szCs w:val="18"/>
              </w:rPr>
              <w:t>4</w:t>
            </w:r>
          </w:p>
        </w:tc>
        <w:tc>
          <w:tcPr>
            <w:tcW w:w="1661" w:type="dxa"/>
            <w:tcBorders>
              <w:top w:val="single" w:color="auto" w:sz="4" w:space="0"/>
              <w:left w:val="single" w:color="auto" w:sz="4" w:space="0"/>
              <w:bottom w:val="single" w:color="auto" w:sz="4" w:space="0"/>
              <w:right w:val="single" w:color="auto" w:sz="4" w:space="0"/>
            </w:tcBorders>
            <w:vAlign w:val="center"/>
          </w:tcPr>
          <w:p w14:paraId="270A4EA6">
            <w:pPr>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保安员五级</w:t>
            </w:r>
          </w:p>
        </w:tc>
        <w:tc>
          <w:tcPr>
            <w:tcW w:w="2880" w:type="dxa"/>
            <w:tcBorders>
              <w:top w:val="single" w:color="auto" w:sz="4" w:space="0"/>
              <w:left w:val="single" w:color="auto" w:sz="4" w:space="0"/>
              <w:bottom w:val="single" w:color="auto" w:sz="4" w:space="0"/>
              <w:right w:val="single" w:color="auto" w:sz="4" w:space="0"/>
            </w:tcBorders>
            <w:vAlign w:val="center"/>
          </w:tcPr>
          <w:p w14:paraId="6A1F6A55">
            <w:pPr>
              <w:spacing w:line="300" w:lineRule="exact"/>
              <w:jc w:val="center"/>
              <w:rPr>
                <w:rFonts w:ascii="宋体" w:hAnsi="宋体"/>
                <w:spacing w:val="2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4</w:t>
            </w:r>
            <w:r>
              <w:rPr>
                <w:rFonts w:hint="eastAsia" w:ascii="宋体" w:hAnsi="宋体" w:cs="宋体"/>
                <w:color w:val="000000"/>
                <w:kern w:val="0"/>
                <w:sz w:val="18"/>
                <w:szCs w:val="18"/>
              </w:rPr>
              <w:t>小时制、保安员上岗证、消防设施操作员</w:t>
            </w:r>
          </w:p>
        </w:tc>
      </w:tr>
      <w:tr w14:paraId="31C14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1B9C85F3">
            <w:pPr>
              <w:spacing w:line="300" w:lineRule="exact"/>
              <w:jc w:val="center"/>
              <w:rPr>
                <w:rFonts w:ascii="宋体" w:hAnsi="宋体"/>
                <w:spacing w:val="20"/>
                <w:sz w:val="18"/>
                <w:szCs w:val="18"/>
              </w:rPr>
            </w:pPr>
            <w:r>
              <w:rPr>
                <w:rFonts w:hint="eastAsia" w:ascii="宋体" w:hAnsi="宋体"/>
                <w:spacing w:val="20"/>
                <w:sz w:val="18"/>
                <w:szCs w:val="18"/>
              </w:rPr>
              <w:t>南门接待岗</w:t>
            </w:r>
          </w:p>
        </w:tc>
        <w:tc>
          <w:tcPr>
            <w:tcW w:w="1665" w:type="dxa"/>
            <w:tcBorders>
              <w:top w:val="single" w:color="auto" w:sz="4" w:space="0"/>
              <w:left w:val="single" w:color="auto" w:sz="4" w:space="0"/>
              <w:bottom w:val="single" w:color="auto" w:sz="4" w:space="0"/>
              <w:right w:val="single" w:color="auto" w:sz="4" w:space="0"/>
            </w:tcBorders>
            <w:vAlign w:val="center"/>
          </w:tcPr>
          <w:p w14:paraId="43759A85">
            <w:pPr>
              <w:spacing w:line="300" w:lineRule="exact"/>
              <w:jc w:val="center"/>
              <w:rPr>
                <w:rFonts w:ascii="宋体" w:hAnsi="宋体"/>
                <w:spacing w:val="20"/>
                <w:sz w:val="18"/>
                <w:szCs w:val="18"/>
              </w:rPr>
            </w:pPr>
            <w:r>
              <w:rPr>
                <w:rFonts w:hint="eastAsia" w:ascii="宋体" w:hAnsi="宋体"/>
                <w:spacing w:val="20"/>
                <w:sz w:val="18"/>
                <w:szCs w:val="18"/>
              </w:rPr>
              <w:t>1</w:t>
            </w:r>
          </w:p>
        </w:tc>
        <w:tc>
          <w:tcPr>
            <w:tcW w:w="2310" w:type="dxa"/>
            <w:tcBorders>
              <w:top w:val="single" w:color="auto" w:sz="4" w:space="0"/>
              <w:left w:val="single" w:color="auto" w:sz="4" w:space="0"/>
              <w:bottom w:val="single" w:color="auto" w:sz="4" w:space="0"/>
              <w:right w:val="single" w:color="auto" w:sz="4" w:space="0"/>
            </w:tcBorders>
            <w:vAlign w:val="center"/>
          </w:tcPr>
          <w:p w14:paraId="6D164DE8">
            <w:pPr>
              <w:spacing w:line="300" w:lineRule="exact"/>
              <w:jc w:val="center"/>
              <w:rPr>
                <w:rFonts w:ascii="宋体" w:hAnsi="宋体"/>
                <w:spacing w:val="20"/>
                <w:sz w:val="18"/>
                <w:szCs w:val="18"/>
              </w:rPr>
            </w:pPr>
            <w:r>
              <w:rPr>
                <w:rFonts w:hint="eastAsia" w:ascii="宋体" w:hAnsi="宋体"/>
                <w:spacing w:val="20"/>
                <w:sz w:val="18"/>
                <w:szCs w:val="18"/>
              </w:rPr>
              <w:t>1</w:t>
            </w:r>
          </w:p>
        </w:tc>
        <w:tc>
          <w:tcPr>
            <w:tcW w:w="1661" w:type="dxa"/>
            <w:tcBorders>
              <w:top w:val="single" w:color="auto" w:sz="4" w:space="0"/>
              <w:left w:val="single" w:color="auto" w:sz="4" w:space="0"/>
              <w:bottom w:val="single" w:color="auto" w:sz="4" w:space="0"/>
              <w:right w:val="single" w:color="auto" w:sz="4" w:space="0"/>
            </w:tcBorders>
            <w:vAlign w:val="center"/>
          </w:tcPr>
          <w:p w14:paraId="1102DE3B">
            <w:pPr>
              <w:spacing w:line="300" w:lineRule="exact"/>
              <w:jc w:val="center"/>
              <w:rPr>
                <w:rFonts w:ascii="宋体" w:hAnsi="宋体"/>
                <w:spacing w:val="20"/>
                <w:sz w:val="18"/>
                <w:szCs w:val="18"/>
              </w:rPr>
            </w:pPr>
            <w:r>
              <w:rPr>
                <w:rFonts w:hint="eastAsia" w:ascii="宋体" w:hAnsi="宋体" w:cs="宋体"/>
                <w:color w:val="000000"/>
                <w:kern w:val="0"/>
                <w:sz w:val="18"/>
                <w:szCs w:val="18"/>
              </w:rPr>
              <w:t>保安员五级</w:t>
            </w:r>
          </w:p>
        </w:tc>
        <w:tc>
          <w:tcPr>
            <w:tcW w:w="2880" w:type="dxa"/>
            <w:tcBorders>
              <w:top w:val="single" w:color="auto" w:sz="4" w:space="0"/>
              <w:left w:val="single" w:color="auto" w:sz="4" w:space="0"/>
              <w:bottom w:val="single" w:color="auto" w:sz="4" w:space="0"/>
              <w:right w:val="single" w:color="auto" w:sz="4" w:space="0"/>
            </w:tcBorders>
            <w:vAlign w:val="center"/>
          </w:tcPr>
          <w:p w14:paraId="53420747">
            <w:pPr>
              <w:spacing w:line="300" w:lineRule="exact"/>
              <w:jc w:val="center"/>
              <w:rPr>
                <w:rFonts w:ascii="宋体" w:hAnsi="宋体"/>
                <w:spacing w:val="20"/>
                <w:sz w:val="18"/>
                <w:szCs w:val="18"/>
              </w:rPr>
            </w:pPr>
            <w:r>
              <w:rPr>
                <w:rFonts w:hint="eastAsia" w:ascii="宋体" w:hAnsi="宋体" w:cs="宋体"/>
                <w:color w:val="000000"/>
                <w:kern w:val="0"/>
                <w:sz w:val="18"/>
                <w:szCs w:val="18"/>
              </w:rPr>
              <w:t>8小时制、保安员上岗证</w:t>
            </w:r>
          </w:p>
        </w:tc>
      </w:tr>
      <w:tr w14:paraId="10424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3F190F80">
            <w:pPr>
              <w:spacing w:line="300" w:lineRule="exact"/>
              <w:jc w:val="center"/>
              <w:rPr>
                <w:rFonts w:ascii="宋体" w:hAnsi="宋体"/>
                <w:spacing w:val="20"/>
                <w:sz w:val="18"/>
                <w:szCs w:val="18"/>
              </w:rPr>
            </w:pPr>
            <w:r>
              <w:rPr>
                <w:rFonts w:hint="eastAsia" w:ascii="宋体" w:hAnsi="宋体"/>
                <w:spacing w:val="20"/>
                <w:sz w:val="18"/>
                <w:szCs w:val="18"/>
              </w:rPr>
              <w:t>安检岗1</w:t>
            </w:r>
          </w:p>
        </w:tc>
        <w:tc>
          <w:tcPr>
            <w:tcW w:w="1665" w:type="dxa"/>
            <w:tcBorders>
              <w:top w:val="single" w:color="auto" w:sz="4" w:space="0"/>
              <w:left w:val="single" w:color="auto" w:sz="4" w:space="0"/>
              <w:bottom w:val="single" w:color="auto" w:sz="4" w:space="0"/>
              <w:right w:val="single" w:color="auto" w:sz="4" w:space="0"/>
            </w:tcBorders>
            <w:vAlign w:val="center"/>
          </w:tcPr>
          <w:p w14:paraId="656651BD">
            <w:pPr>
              <w:spacing w:line="300" w:lineRule="exact"/>
              <w:jc w:val="center"/>
              <w:rPr>
                <w:rFonts w:ascii="宋体" w:hAnsi="宋体"/>
                <w:spacing w:val="20"/>
                <w:sz w:val="18"/>
                <w:szCs w:val="18"/>
              </w:rPr>
            </w:pPr>
            <w:r>
              <w:rPr>
                <w:rFonts w:hint="eastAsia" w:ascii="宋体" w:hAnsi="宋体"/>
                <w:spacing w:val="20"/>
                <w:sz w:val="18"/>
                <w:szCs w:val="18"/>
              </w:rPr>
              <w:t>1</w:t>
            </w:r>
          </w:p>
        </w:tc>
        <w:tc>
          <w:tcPr>
            <w:tcW w:w="2310" w:type="dxa"/>
            <w:tcBorders>
              <w:top w:val="single" w:color="auto" w:sz="4" w:space="0"/>
              <w:left w:val="single" w:color="auto" w:sz="4" w:space="0"/>
              <w:bottom w:val="single" w:color="auto" w:sz="4" w:space="0"/>
              <w:right w:val="single" w:color="auto" w:sz="4" w:space="0"/>
            </w:tcBorders>
            <w:vAlign w:val="center"/>
          </w:tcPr>
          <w:p w14:paraId="493F0E94">
            <w:pPr>
              <w:spacing w:line="300" w:lineRule="exact"/>
              <w:jc w:val="center"/>
              <w:rPr>
                <w:rFonts w:ascii="宋体" w:hAnsi="宋体"/>
                <w:spacing w:val="20"/>
                <w:sz w:val="18"/>
                <w:szCs w:val="18"/>
              </w:rPr>
            </w:pPr>
            <w:r>
              <w:rPr>
                <w:rFonts w:hint="eastAsia" w:ascii="宋体" w:hAnsi="宋体"/>
                <w:spacing w:val="20"/>
                <w:sz w:val="18"/>
                <w:szCs w:val="18"/>
              </w:rPr>
              <w:t>1</w:t>
            </w:r>
          </w:p>
        </w:tc>
        <w:tc>
          <w:tcPr>
            <w:tcW w:w="1661" w:type="dxa"/>
            <w:tcBorders>
              <w:top w:val="single" w:color="auto" w:sz="4" w:space="0"/>
              <w:left w:val="single" w:color="auto" w:sz="4" w:space="0"/>
              <w:bottom w:val="single" w:color="auto" w:sz="4" w:space="0"/>
              <w:right w:val="single" w:color="auto" w:sz="4" w:space="0"/>
            </w:tcBorders>
            <w:vAlign w:val="center"/>
          </w:tcPr>
          <w:p w14:paraId="5311E568">
            <w:pPr>
              <w:spacing w:line="300" w:lineRule="exact"/>
              <w:jc w:val="center"/>
              <w:rPr>
                <w:rFonts w:ascii="宋体" w:hAnsi="宋体"/>
                <w:spacing w:val="20"/>
                <w:sz w:val="18"/>
                <w:szCs w:val="18"/>
              </w:rPr>
            </w:pPr>
            <w:r>
              <w:rPr>
                <w:rFonts w:hint="eastAsia" w:ascii="宋体" w:hAnsi="宋体" w:cs="宋体"/>
                <w:color w:val="000000"/>
                <w:kern w:val="0"/>
                <w:sz w:val="18"/>
                <w:szCs w:val="18"/>
              </w:rPr>
              <w:t>保安员五级</w:t>
            </w:r>
          </w:p>
        </w:tc>
        <w:tc>
          <w:tcPr>
            <w:tcW w:w="2880" w:type="dxa"/>
            <w:tcBorders>
              <w:top w:val="single" w:color="auto" w:sz="4" w:space="0"/>
              <w:left w:val="single" w:color="auto" w:sz="4" w:space="0"/>
              <w:bottom w:val="single" w:color="auto" w:sz="4" w:space="0"/>
              <w:right w:val="single" w:color="auto" w:sz="4" w:space="0"/>
            </w:tcBorders>
            <w:vAlign w:val="center"/>
          </w:tcPr>
          <w:p w14:paraId="0063D575">
            <w:pPr>
              <w:spacing w:line="300" w:lineRule="exact"/>
              <w:jc w:val="center"/>
              <w:rPr>
                <w:rFonts w:ascii="宋体" w:hAnsi="宋体"/>
                <w:spacing w:val="20"/>
                <w:sz w:val="18"/>
                <w:szCs w:val="18"/>
              </w:rPr>
            </w:pPr>
            <w:r>
              <w:rPr>
                <w:rFonts w:hint="eastAsia" w:ascii="宋体" w:hAnsi="宋体" w:cs="宋体"/>
                <w:color w:val="000000"/>
                <w:kern w:val="0"/>
                <w:sz w:val="18"/>
                <w:szCs w:val="18"/>
              </w:rPr>
              <w:t>8小时制、保安员上岗证、安检保安员专项培训资格证书</w:t>
            </w:r>
          </w:p>
        </w:tc>
      </w:tr>
      <w:tr w14:paraId="4E002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039EDBA8">
            <w:pPr>
              <w:spacing w:line="300" w:lineRule="exact"/>
              <w:jc w:val="center"/>
              <w:rPr>
                <w:rFonts w:ascii="宋体" w:hAnsi="宋体"/>
                <w:spacing w:val="20"/>
                <w:sz w:val="18"/>
                <w:szCs w:val="18"/>
              </w:rPr>
            </w:pPr>
            <w:r>
              <w:rPr>
                <w:rFonts w:hint="eastAsia" w:ascii="宋体" w:hAnsi="宋体"/>
                <w:spacing w:val="20"/>
                <w:sz w:val="18"/>
                <w:szCs w:val="18"/>
              </w:rPr>
              <w:t>安检岗</w:t>
            </w:r>
            <w:r>
              <w:rPr>
                <w:rFonts w:ascii="宋体" w:hAnsi="宋体"/>
                <w:spacing w:val="20"/>
                <w:sz w:val="18"/>
                <w:szCs w:val="18"/>
              </w:rPr>
              <w:t>2</w:t>
            </w:r>
          </w:p>
        </w:tc>
        <w:tc>
          <w:tcPr>
            <w:tcW w:w="1665" w:type="dxa"/>
            <w:tcBorders>
              <w:top w:val="single" w:color="auto" w:sz="4" w:space="0"/>
              <w:left w:val="single" w:color="auto" w:sz="4" w:space="0"/>
              <w:bottom w:val="single" w:color="auto" w:sz="4" w:space="0"/>
              <w:right w:val="single" w:color="auto" w:sz="4" w:space="0"/>
            </w:tcBorders>
            <w:vAlign w:val="center"/>
          </w:tcPr>
          <w:p w14:paraId="6E9980BB">
            <w:pPr>
              <w:spacing w:line="300" w:lineRule="exact"/>
              <w:jc w:val="center"/>
              <w:rPr>
                <w:rFonts w:ascii="宋体" w:hAnsi="宋体"/>
                <w:spacing w:val="20"/>
                <w:sz w:val="18"/>
                <w:szCs w:val="18"/>
              </w:rPr>
            </w:pPr>
            <w:r>
              <w:rPr>
                <w:rFonts w:hint="eastAsia" w:ascii="宋体" w:hAnsi="宋体"/>
                <w:spacing w:val="20"/>
                <w:sz w:val="18"/>
                <w:szCs w:val="18"/>
              </w:rPr>
              <w:t>1</w:t>
            </w:r>
          </w:p>
        </w:tc>
        <w:tc>
          <w:tcPr>
            <w:tcW w:w="2310" w:type="dxa"/>
            <w:tcBorders>
              <w:top w:val="single" w:color="auto" w:sz="4" w:space="0"/>
              <w:left w:val="single" w:color="auto" w:sz="4" w:space="0"/>
              <w:bottom w:val="single" w:color="auto" w:sz="4" w:space="0"/>
              <w:right w:val="single" w:color="auto" w:sz="4" w:space="0"/>
            </w:tcBorders>
            <w:vAlign w:val="center"/>
          </w:tcPr>
          <w:p w14:paraId="29E15CBB">
            <w:pPr>
              <w:spacing w:line="300" w:lineRule="exact"/>
              <w:jc w:val="center"/>
              <w:rPr>
                <w:rFonts w:ascii="宋体" w:hAnsi="宋体"/>
                <w:spacing w:val="20"/>
                <w:sz w:val="18"/>
                <w:szCs w:val="18"/>
              </w:rPr>
            </w:pPr>
            <w:r>
              <w:rPr>
                <w:rFonts w:hint="eastAsia" w:ascii="宋体" w:hAnsi="宋体"/>
                <w:spacing w:val="20"/>
                <w:sz w:val="18"/>
                <w:szCs w:val="18"/>
              </w:rPr>
              <w:t>1</w:t>
            </w:r>
          </w:p>
        </w:tc>
        <w:tc>
          <w:tcPr>
            <w:tcW w:w="1661" w:type="dxa"/>
            <w:tcBorders>
              <w:top w:val="single" w:color="auto" w:sz="4" w:space="0"/>
              <w:left w:val="single" w:color="auto" w:sz="4" w:space="0"/>
              <w:bottom w:val="single" w:color="auto" w:sz="4" w:space="0"/>
              <w:right w:val="single" w:color="auto" w:sz="4" w:space="0"/>
            </w:tcBorders>
            <w:vAlign w:val="center"/>
          </w:tcPr>
          <w:p w14:paraId="68876426">
            <w:pPr>
              <w:spacing w:line="300" w:lineRule="exact"/>
              <w:jc w:val="center"/>
              <w:rPr>
                <w:rFonts w:ascii="宋体" w:hAnsi="宋体"/>
                <w:spacing w:val="20"/>
                <w:sz w:val="18"/>
                <w:szCs w:val="18"/>
              </w:rPr>
            </w:pPr>
            <w:r>
              <w:rPr>
                <w:rFonts w:hint="eastAsia" w:ascii="宋体" w:hAnsi="宋体" w:cs="宋体"/>
                <w:color w:val="000000"/>
                <w:kern w:val="0"/>
                <w:sz w:val="18"/>
                <w:szCs w:val="18"/>
              </w:rPr>
              <w:t>保安员五级</w:t>
            </w:r>
          </w:p>
        </w:tc>
        <w:tc>
          <w:tcPr>
            <w:tcW w:w="2880" w:type="dxa"/>
            <w:tcBorders>
              <w:top w:val="single" w:color="auto" w:sz="4" w:space="0"/>
              <w:left w:val="single" w:color="auto" w:sz="4" w:space="0"/>
              <w:bottom w:val="single" w:color="auto" w:sz="4" w:space="0"/>
              <w:right w:val="single" w:color="auto" w:sz="4" w:space="0"/>
            </w:tcBorders>
            <w:vAlign w:val="center"/>
          </w:tcPr>
          <w:p w14:paraId="54E8CB37">
            <w:pPr>
              <w:spacing w:line="300" w:lineRule="exact"/>
              <w:jc w:val="center"/>
              <w:rPr>
                <w:rFonts w:ascii="宋体" w:hAnsi="宋体"/>
                <w:spacing w:val="20"/>
                <w:sz w:val="18"/>
                <w:szCs w:val="18"/>
              </w:rPr>
            </w:pPr>
            <w:r>
              <w:rPr>
                <w:rFonts w:hint="eastAsia" w:ascii="宋体" w:hAnsi="宋体" w:cs="宋体"/>
                <w:color w:val="000000"/>
                <w:kern w:val="0"/>
                <w:sz w:val="18"/>
                <w:szCs w:val="18"/>
              </w:rPr>
              <w:t>8小时制、保安员上岗证、安检保安员专项培训资格证书</w:t>
            </w:r>
          </w:p>
        </w:tc>
      </w:tr>
      <w:tr w14:paraId="08DC3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4186D8B2">
            <w:pPr>
              <w:spacing w:line="300" w:lineRule="exact"/>
              <w:jc w:val="center"/>
              <w:rPr>
                <w:rFonts w:ascii="宋体" w:hAnsi="宋体"/>
                <w:spacing w:val="20"/>
                <w:sz w:val="18"/>
                <w:szCs w:val="18"/>
              </w:rPr>
            </w:pPr>
            <w:r>
              <w:rPr>
                <w:rFonts w:hint="eastAsia" w:ascii="宋体" w:hAnsi="宋体"/>
                <w:spacing w:val="20"/>
                <w:sz w:val="18"/>
                <w:szCs w:val="18"/>
              </w:rPr>
              <w:t>接待岗</w:t>
            </w:r>
          </w:p>
        </w:tc>
        <w:tc>
          <w:tcPr>
            <w:tcW w:w="1665" w:type="dxa"/>
            <w:tcBorders>
              <w:top w:val="single" w:color="auto" w:sz="4" w:space="0"/>
              <w:left w:val="single" w:color="auto" w:sz="4" w:space="0"/>
              <w:bottom w:val="single" w:color="auto" w:sz="4" w:space="0"/>
              <w:right w:val="single" w:color="auto" w:sz="4" w:space="0"/>
            </w:tcBorders>
            <w:vAlign w:val="center"/>
          </w:tcPr>
          <w:p w14:paraId="3E14C556">
            <w:pPr>
              <w:spacing w:line="300" w:lineRule="exact"/>
              <w:jc w:val="center"/>
              <w:rPr>
                <w:rFonts w:ascii="宋体" w:hAnsi="宋体"/>
                <w:spacing w:val="20"/>
                <w:sz w:val="18"/>
                <w:szCs w:val="18"/>
              </w:rPr>
            </w:pPr>
            <w:r>
              <w:rPr>
                <w:rFonts w:hint="eastAsia" w:ascii="宋体" w:hAnsi="宋体"/>
                <w:spacing w:val="20"/>
                <w:sz w:val="18"/>
                <w:szCs w:val="18"/>
              </w:rPr>
              <w:t>3</w:t>
            </w:r>
          </w:p>
        </w:tc>
        <w:tc>
          <w:tcPr>
            <w:tcW w:w="2310" w:type="dxa"/>
            <w:tcBorders>
              <w:top w:val="single" w:color="auto" w:sz="4" w:space="0"/>
              <w:left w:val="single" w:color="auto" w:sz="4" w:space="0"/>
              <w:bottom w:val="single" w:color="auto" w:sz="4" w:space="0"/>
              <w:right w:val="single" w:color="auto" w:sz="4" w:space="0"/>
            </w:tcBorders>
            <w:vAlign w:val="center"/>
          </w:tcPr>
          <w:p w14:paraId="7C3D82F3">
            <w:pPr>
              <w:spacing w:line="300" w:lineRule="exact"/>
              <w:jc w:val="center"/>
              <w:rPr>
                <w:rFonts w:ascii="宋体" w:hAnsi="宋体"/>
                <w:spacing w:val="20"/>
                <w:sz w:val="18"/>
                <w:szCs w:val="18"/>
              </w:rPr>
            </w:pPr>
            <w:r>
              <w:rPr>
                <w:rFonts w:hint="eastAsia" w:ascii="宋体" w:hAnsi="宋体"/>
                <w:spacing w:val="20"/>
                <w:sz w:val="18"/>
                <w:szCs w:val="18"/>
              </w:rPr>
              <w:t>3</w:t>
            </w:r>
          </w:p>
        </w:tc>
        <w:tc>
          <w:tcPr>
            <w:tcW w:w="1661" w:type="dxa"/>
            <w:tcBorders>
              <w:top w:val="single" w:color="auto" w:sz="4" w:space="0"/>
              <w:left w:val="single" w:color="auto" w:sz="4" w:space="0"/>
              <w:bottom w:val="single" w:color="auto" w:sz="4" w:space="0"/>
              <w:right w:val="single" w:color="auto" w:sz="4" w:space="0"/>
            </w:tcBorders>
            <w:vAlign w:val="center"/>
          </w:tcPr>
          <w:p w14:paraId="239DFAC1">
            <w:pPr>
              <w:spacing w:line="300" w:lineRule="exact"/>
              <w:jc w:val="center"/>
              <w:rPr>
                <w:rFonts w:ascii="宋体" w:hAnsi="宋体"/>
                <w:spacing w:val="20"/>
                <w:sz w:val="18"/>
                <w:szCs w:val="18"/>
              </w:rPr>
            </w:pPr>
            <w:r>
              <w:rPr>
                <w:rFonts w:hint="eastAsia" w:ascii="宋体" w:hAnsi="宋体" w:cs="宋体"/>
                <w:color w:val="000000"/>
                <w:kern w:val="0"/>
                <w:sz w:val="18"/>
                <w:szCs w:val="18"/>
              </w:rPr>
              <w:t>保安员五级</w:t>
            </w:r>
          </w:p>
        </w:tc>
        <w:tc>
          <w:tcPr>
            <w:tcW w:w="2880" w:type="dxa"/>
            <w:tcBorders>
              <w:top w:val="single" w:color="auto" w:sz="4" w:space="0"/>
              <w:left w:val="single" w:color="auto" w:sz="4" w:space="0"/>
              <w:bottom w:val="single" w:color="auto" w:sz="4" w:space="0"/>
              <w:right w:val="single" w:color="auto" w:sz="4" w:space="0"/>
            </w:tcBorders>
            <w:vAlign w:val="center"/>
          </w:tcPr>
          <w:p w14:paraId="22ED5FC6">
            <w:pPr>
              <w:spacing w:line="300" w:lineRule="exact"/>
              <w:jc w:val="center"/>
              <w:rPr>
                <w:rFonts w:ascii="宋体" w:hAnsi="宋体"/>
                <w:spacing w:val="20"/>
                <w:sz w:val="18"/>
                <w:szCs w:val="18"/>
              </w:rPr>
            </w:pPr>
            <w:r>
              <w:rPr>
                <w:rFonts w:hint="eastAsia" w:ascii="宋体" w:hAnsi="宋体" w:cs="宋体"/>
                <w:color w:val="000000"/>
                <w:kern w:val="0"/>
                <w:sz w:val="18"/>
                <w:szCs w:val="18"/>
              </w:rPr>
              <w:t>8小时制、保安员上岗证</w:t>
            </w:r>
          </w:p>
        </w:tc>
      </w:tr>
    </w:tbl>
    <w:p w14:paraId="4FDD8500">
      <w:pPr>
        <w:pStyle w:val="6"/>
        <w:spacing w:line="360" w:lineRule="auto"/>
      </w:pPr>
    </w:p>
    <w:p w14:paraId="5EB47D51">
      <w:pPr>
        <w:pStyle w:val="6"/>
        <w:spacing w:line="360" w:lineRule="auto"/>
        <w:ind w:firstLine="480"/>
      </w:pPr>
      <w:r>
        <w:rPr>
          <w:rFonts w:hint="eastAsia"/>
        </w:rPr>
        <w:t>说明：</w:t>
      </w:r>
    </w:p>
    <w:p w14:paraId="3062FF43">
      <w:pPr>
        <w:pStyle w:val="6"/>
        <w:spacing w:line="360" w:lineRule="auto"/>
        <w:ind w:firstLine="480"/>
      </w:pPr>
      <w:r>
        <w:rPr>
          <w:rFonts w:hint="eastAsia"/>
        </w:rPr>
        <w:t>1、投标人的各岗位配置标准不得低于表内岗位配置数要求。</w:t>
      </w:r>
    </w:p>
    <w:p w14:paraId="5C9F399C">
      <w:pPr>
        <w:pStyle w:val="6"/>
        <w:spacing w:line="360" w:lineRule="auto"/>
        <w:ind w:firstLine="480"/>
        <w:rPr>
          <w:highlight w:val="yellow"/>
        </w:rPr>
      </w:pPr>
      <w:r>
        <w:rPr>
          <w:rFonts w:hint="eastAsia"/>
        </w:rPr>
        <w:t>2、此次招标上海市浦东新区人民检察院保安服务项目以岗位清算，共计12个岗位点，工作日程根据具体需求（请见岗位设置一览表），投标人在本次投标报价中应充分考虑岗位/人数配比（如岗位换休、请假、就餐等其他可能离开岗位的情况，以及充分考量法定工作时长等因素）适配足够数量保安队员以满足岗位需求。</w:t>
      </w:r>
    </w:p>
    <w:p w14:paraId="190EAF41">
      <w:pPr>
        <w:pStyle w:val="6"/>
        <w:spacing w:line="360" w:lineRule="auto"/>
        <w:ind w:firstLine="480"/>
        <w:rPr>
          <w:b/>
          <w:bCs/>
          <w:highlight w:val="yellow"/>
        </w:rPr>
      </w:pPr>
    </w:p>
    <w:p w14:paraId="7DE55343">
      <w:pPr>
        <w:pStyle w:val="6"/>
        <w:spacing w:line="360" w:lineRule="auto"/>
        <w:ind w:firstLine="480"/>
        <w:rPr>
          <w:b/>
          <w:bCs/>
        </w:rPr>
      </w:pPr>
      <w:r>
        <w:rPr>
          <w:rFonts w:hint="eastAsia"/>
          <w:b/>
          <w:bCs/>
        </w:rPr>
        <w:t>（四）具体服务内容</w:t>
      </w:r>
    </w:p>
    <w:p w14:paraId="25F90F91">
      <w:pPr>
        <w:pStyle w:val="17"/>
        <w:ind w:firstLine="422" w:firstLineChars="192"/>
        <w:rPr>
          <w:bCs/>
          <w:sz w:val="22"/>
        </w:rPr>
      </w:pPr>
      <w:r>
        <w:rPr>
          <w:bCs/>
          <w:sz w:val="22"/>
        </w:rPr>
        <w:t>4.1</w:t>
      </w:r>
      <w:r>
        <w:rPr>
          <w:rFonts w:hint="eastAsia"/>
          <w:bCs/>
          <w:sz w:val="22"/>
        </w:rPr>
        <w:t>总体要求</w:t>
      </w:r>
    </w:p>
    <w:p w14:paraId="3ACC69BA">
      <w:pPr>
        <w:pStyle w:val="17"/>
        <w:spacing w:line="300" w:lineRule="auto"/>
        <w:ind w:firstLine="422" w:firstLineChars="192"/>
        <w:rPr>
          <w:bCs/>
          <w:sz w:val="22"/>
        </w:rPr>
      </w:pPr>
      <w:r>
        <w:rPr>
          <w:bCs/>
          <w:sz w:val="22"/>
        </w:rPr>
        <w:t>4.1.1</w:t>
      </w:r>
      <w:r>
        <w:rPr>
          <w:rFonts w:hint="eastAsia"/>
          <w:bCs/>
          <w:sz w:val="22"/>
        </w:rPr>
        <w:t>身体健康，相貌端正，仪表大方，无传染疾病，年龄 55 周岁以下，有 2 年及以上</w:t>
      </w:r>
      <w:r>
        <w:rPr>
          <w:rFonts w:hint="eastAsia"/>
          <w:bCs/>
          <w:sz w:val="22"/>
          <w:lang w:eastAsia="zh-CN"/>
        </w:rPr>
        <w:t>安保类工作</w:t>
      </w:r>
      <w:r>
        <w:rPr>
          <w:rFonts w:hint="eastAsia"/>
          <w:bCs/>
          <w:sz w:val="22"/>
        </w:rPr>
        <w:t>经验。</w:t>
      </w:r>
    </w:p>
    <w:p w14:paraId="7364F85B">
      <w:pPr>
        <w:pStyle w:val="17"/>
        <w:spacing w:line="300" w:lineRule="auto"/>
        <w:ind w:firstLine="422" w:firstLineChars="192"/>
        <w:rPr>
          <w:bCs/>
          <w:sz w:val="22"/>
        </w:rPr>
      </w:pPr>
      <w:r>
        <w:rPr>
          <w:bCs/>
          <w:sz w:val="22"/>
        </w:rPr>
        <w:t>4.1.2</w:t>
      </w:r>
      <w:r>
        <w:rPr>
          <w:rFonts w:hint="eastAsia"/>
          <w:bCs/>
          <w:sz w:val="22"/>
        </w:rPr>
        <w:t>资质要求：保安员持有保安员上岗证，监控岗持有消防设施操作员证。</w:t>
      </w:r>
    </w:p>
    <w:p w14:paraId="43251F55">
      <w:pPr>
        <w:pStyle w:val="17"/>
        <w:spacing w:line="300" w:lineRule="auto"/>
        <w:ind w:firstLine="422" w:firstLineChars="192"/>
        <w:rPr>
          <w:bCs/>
          <w:sz w:val="22"/>
        </w:rPr>
      </w:pPr>
      <w:r>
        <w:rPr>
          <w:bCs/>
          <w:sz w:val="22"/>
        </w:rPr>
        <w:t>4.1.3</w:t>
      </w:r>
      <w:r>
        <w:rPr>
          <w:rFonts w:hint="eastAsia"/>
          <w:bCs/>
          <w:sz w:val="22"/>
        </w:rPr>
        <w:t>政治素质要求：坚决拥护党的线路、方针、政策；尊重领导、服从安排、听从指挥；爱岗敬业、恪尽职守、遵纪守法、文明执勤，无违法犯罪记录；敢于同违法犯罪现象作斗争。</w:t>
      </w:r>
    </w:p>
    <w:p w14:paraId="5905FEC3">
      <w:pPr>
        <w:pStyle w:val="17"/>
        <w:spacing w:line="300" w:lineRule="auto"/>
        <w:ind w:firstLine="422" w:firstLineChars="192"/>
        <w:rPr>
          <w:bCs/>
          <w:sz w:val="22"/>
        </w:rPr>
      </w:pPr>
      <w:r>
        <w:rPr>
          <w:bCs/>
          <w:sz w:val="22"/>
        </w:rPr>
        <w:t>4.1.4</w:t>
      </w:r>
      <w:r>
        <w:rPr>
          <w:rFonts w:hint="eastAsia"/>
          <w:bCs/>
          <w:sz w:val="22"/>
        </w:rPr>
        <w:t>业务技能要求：具备相关法律法规知识及保安知识和消防知识，熟悉掌握消防、治安相应技能，熟练掌握灭火器等消防救援器材操作应用。</w:t>
      </w:r>
    </w:p>
    <w:p w14:paraId="31DADF14">
      <w:pPr>
        <w:pStyle w:val="17"/>
        <w:spacing w:line="300" w:lineRule="auto"/>
        <w:ind w:firstLine="422" w:firstLineChars="192"/>
        <w:rPr>
          <w:bCs/>
          <w:sz w:val="22"/>
        </w:rPr>
      </w:pPr>
      <w:r>
        <w:rPr>
          <w:bCs/>
          <w:sz w:val="22"/>
        </w:rPr>
        <w:t>4.2</w:t>
      </w:r>
      <w:r>
        <w:rPr>
          <w:rFonts w:hint="eastAsia"/>
          <w:bCs/>
          <w:sz w:val="22"/>
        </w:rPr>
        <w:t>保安服务设施设备配备情况</w:t>
      </w:r>
    </w:p>
    <w:tbl>
      <w:tblPr>
        <w:tblStyle w:val="12"/>
        <w:tblW w:w="89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2788"/>
        <w:gridCol w:w="1999"/>
        <w:gridCol w:w="2057"/>
        <w:gridCol w:w="7"/>
        <w:gridCol w:w="1521"/>
        <w:gridCol w:w="7"/>
      </w:tblGrid>
      <w:tr w14:paraId="74183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95" w:type="dxa"/>
            <w:vMerge w:val="restart"/>
            <w:vAlign w:val="center"/>
          </w:tcPr>
          <w:p w14:paraId="0F67C5E7">
            <w:pPr>
              <w:tabs>
                <w:tab w:val="left" w:pos="7200"/>
              </w:tabs>
              <w:adjustRightInd w:val="0"/>
              <w:snapToGrid w:val="0"/>
              <w:spacing w:line="360" w:lineRule="auto"/>
              <w:jc w:val="center"/>
              <w:rPr>
                <w:rFonts w:ascii="宋体" w:hAnsi="宋体"/>
                <w:bCs/>
                <w:kern w:val="0"/>
                <w:szCs w:val="21"/>
              </w:rPr>
            </w:pPr>
            <w:r>
              <w:rPr>
                <w:rFonts w:ascii="宋体" w:hAnsi="宋体"/>
                <w:bCs/>
                <w:kern w:val="0"/>
                <w:szCs w:val="21"/>
              </w:rPr>
              <w:t>序号</w:t>
            </w:r>
          </w:p>
        </w:tc>
        <w:tc>
          <w:tcPr>
            <w:tcW w:w="2788" w:type="dxa"/>
            <w:vMerge w:val="restart"/>
            <w:vAlign w:val="center"/>
          </w:tcPr>
          <w:p w14:paraId="3F184CC0">
            <w:pPr>
              <w:tabs>
                <w:tab w:val="left" w:pos="7200"/>
              </w:tabs>
              <w:adjustRightInd w:val="0"/>
              <w:snapToGrid w:val="0"/>
              <w:spacing w:line="360" w:lineRule="auto"/>
              <w:jc w:val="center"/>
              <w:rPr>
                <w:rFonts w:ascii="宋体" w:hAnsi="宋体"/>
                <w:bCs/>
                <w:kern w:val="0"/>
                <w:szCs w:val="21"/>
              </w:rPr>
            </w:pPr>
            <w:r>
              <w:rPr>
                <w:rFonts w:ascii="宋体" w:hAnsi="宋体"/>
                <w:bCs/>
                <w:kern w:val="0"/>
                <w:szCs w:val="21"/>
              </w:rPr>
              <w:t>设施设备名称</w:t>
            </w:r>
          </w:p>
        </w:tc>
        <w:tc>
          <w:tcPr>
            <w:tcW w:w="4063" w:type="dxa"/>
            <w:gridSpan w:val="3"/>
            <w:vAlign w:val="center"/>
          </w:tcPr>
          <w:p w14:paraId="47672B52">
            <w:pPr>
              <w:tabs>
                <w:tab w:val="left" w:pos="7200"/>
              </w:tabs>
              <w:adjustRightInd w:val="0"/>
              <w:snapToGrid w:val="0"/>
              <w:spacing w:line="360" w:lineRule="auto"/>
              <w:jc w:val="center"/>
              <w:rPr>
                <w:rFonts w:ascii="宋体" w:hAnsi="宋体"/>
                <w:bCs/>
                <w:kern w:val="0"/>
                <w:szCs w:val="21"/>
              </w:rPr>
            </w:pPr>
            <w:r>
              <w:rPr>
                <w:rFonts w:ascii="宋体" w:hAnsi="宋体"/>
                <w:bCs/>
                <w:kern w:val="0"/>
                <w:szCs w:val="21"/>
              </w:rPr>
              <w:t>配备要求</w:t>
            </w:r>
          </w:p>
        </w:tc>
        <w:tc>
          <w:tcPr>
            <w:tcW w:w="1528" w:type="dxa"/>
            <w:gridSpan w:val="2"/>
            <w:vAlign w:val="center"/>
          </w:tcPr>
          <w:p w14:paraId="2FFF02DF">
            <w:pPr>
              <w:tabs>
                <w:tab w:val="left" w:pos="7200"/>
              </w:tabs>
              <w:adjustRightInd w:val="0"/>
              <w:snapToGrid w:val="0"/>
              <w:spacing w:line="360" w:lineRule="auto"/>
              <w:jc w:val="center"/>
              <w:rPr>
                <w:rFonts w:ascii="宋体" w:hAnsi="宋体"/>
                <w:bCs/>
                <w:kern w:val="0"/>
                <w:szCs w:val="21"/>
              </w:rPr>
            </w:pPr>
            <w:r>
              <w:rPr>
                <w:rFonts w:ascii="宋体" w:hAnsi="宋体"/>
                <w:bCs/>
                <w:kern w:val="0"/>
                <w:szCs w:val="21"/>
              </w:rPr>
              <w:t>备注</w:t>
            </w:r>
          </w:p>
        </w:tc>
      </w:tr>
      <w:tr w14:paraId="2C9C6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25" w:hRule="atLeast"/>
          <w:jc w:val="center"/>
        </w:trPr>
        <w:tc>
          <w:tcPr>
            <w:tcW w:w="595" w:type="dxa"/>
            <w:vMerge w:val="continue"/>
            <w:vAlign w:val="center"/>
          </w:tcPr>
          <w:p w14:paraId="00F28821">
            <w:pPr>
              <w:tabs>
                <w:tab w:val="left" w:pos="7200"/>
              </w:tabs>
              <w:adjustRightInd w:val="0"/>
              <w:snapToGrid w:val="0"/>
              <w:spacing w:line="360" w:lineRule="auto"/>
              <w:jc w:val="center"/>
              <w:rPr>
                <w:rFonts w:ascii="宋体" w:hAnsi="宋体"/>
                <w:bCs/>
                <w:kern w:val="0"/>
                <w:szCs w:val="21"/>
              </w:rPr>
            </w:pPr>
          </w:p>
        </w:tc>
        <w:tc>
          <w:tcPr>
            <w:tcW w:w="2788" w:type="dxa"/>
            <w:vMerge w:val="continue"/>
            <w:vAlign w:val="center"/>
          </w:tcPr>
          <w:p w14:paraId="01EE85AB">
            <w:pPr>
              <w:tabs>
                <w:tab w:val="left" w:pos="7200"/>
              </w:tabs>
              <w:adjustRightInd w:val="0"/>
              <w:snapToGrid w:val="0"/>
              <w:spacing w:line="360" w:lineRule="auto"/>
              <w:jc w:val="center"/>
              <w:rPr>
                <w:rFonts w:ascii="宋体" w:hAnsi="宋体"/>
                <w:bCs/>
                <w:kern w:val="0"/>
                <w:szCs w:val="21"/>
              </w:rPr>
            </w:pPr>
          </w:p>
        </w:tc>
        <w:tc>
          <w:tcPr>
            <w:tcW w:w="1999" w:type="dxa"/>
            <w:vAlign w:val="center"/>
          </w:tcPr>
          <w:p w14:paraId="46DB4B67">
            <w:pPr>
              <w:tabs>
                <w:tab w:val="left" w:pos="7200"/>
              </w:tabs>
              <w:adjustRightInd w:val="0"/>
              <w:snapToGrid w:val="0"/>
              <w:spacing w:line="360" w:lineRule="auto"/>
              <w:jc w:val="center"/>
              <w:rPr>
                <w:rFonts w:ascii="宋体" w:hAnsi="宋体"/>
                <w:bCs/>
                <w:kern w:val="0"/>
                <w:szCs w:val="21"/>
              </w:rPr>
            </w:pPr>
            <w:r>
              <w:rPr>
                <w:rFonts w:ascii="宋体" w:hAnsi="宋体"/>
                <w:bCs/>
                <w:kern w:val="0"/>
                <w:szCs w:val="21"/>
              </w:rPr>
              <w:t>由采购人提供</w:t>
            </w:r>
          </w:p>
        </w:tc>
        <w:tc>
          <w:tcPr>
            <w:tcW w:w="2057" w:type="dxa"/>
            <w:vAlign w:val="center"/>
          </w:tcPr>
          <w:p w14:paraId="05FC9B62">
            <w:pPr>
              <w:tabs>
                <w:tab w:val="left" w:pos="7200"/>
              </w:tabs>
              <w:adjustRightInd w:val="0"/>
              <w:snapToGrid w:val="0"/>
              <w:spacing w:line="360" w:lineRule="auto"/>
              <w:jc w:val="center"/>
              <w:rPr>
                <w:rFonts w:ascii="宋体" w:hAnsi="宋体"/>
                <w:bCs/>
                <w:kern w:val="0"/>
                <w:szCs w:val="21"/>
              </w:rPr>
            </w:pPr>
            <w:r>
              <w:rPr>
                <w:rFonts w:ascii="宋体" w:hAnsi="宋体"/>
                <w:bCs/>
                <w:kern w:val="0"/>
                <w:szCs w:val="21"/>
              </w:rPr>
              <w:t>由</w:t>
            </w:r>
            <w:r>
              <w:rPr>
                <w:rFonts w:hint="eastAsia" w:ascii="宋体" w:hAnsi="宋体"/>
                <w:bCs/>
                <w:kern w:val="0"/>
                <w:szCs w:val="21"/>
              </w:rPr>
              <w:t>供应商</w:t>
            </w:r>
            <w:r>
              <w:rPr>
                <w:rFonts w:ascii="宋体" w:hAnsi="宋体"/>
                <w:bCs/>
                <w:kern w:val="0"/>
                <w:szCs w:val="21"/>
              </w:rPr>
              <w:t>提供</w:t>
            </w:r>
          </w:p>
        </w:tc>
        <w:tc>
          <w:tcPr>
            <w:tcW w:w="1528" w:type="dxa"/>
            <w:gridSpan w:val="2"/>
          </w:tcPr>
          <w:p w14:paraId="58762B3A">
            <w:pPr>
              <w:tabs>
                <w:tab w:val="left" w:pos="7200"/>
              </w:tabs>
              <w:adjustRightInd w:val="0"/>
              <w:snapToGrid w:val="0"/>
              <w:spacing w:line="360" w:lineRule="auto"/>
              <w:rPr>
                <w:rFonts w:ascii="宋体" w:hAnsi="宋体"/>
                <w:bCs/>
                <w:kern w:val="0"/>
                <w:szCs w:val="21"/>
              </w:rPr>
            </w:pPr>
          </w:p>
        </w:tc>
      </w:tr>
      <w:tr w14:paraId="4B873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25" w:hRule="atLeast"/>
          <w:jc w:val="center"/>
        </w:trPr>
        <w:tc>
          <w:tcPr>
            <w:tcW w:w="595" w:type="dxa"/>
            <w:vAlign w:val="center"/>
          </w:tcPr>
          <w:p w14:paraId="21EE0B7E">
            <w:pPr>
              <w:tabs>
                <w:tab w:val="left" w:pos="7200"/>
              </w:tabs>
              <w:adjustRightInd w:val="0"/>
              <w:snapToGrid w:val="0"/>
              <w:spacing w:line="360" w:lineRule="auto"/>
              <w:jc w:val="center"/>
              <w:rPr>
                <w:rFonts w:ascii="宋体" w:hAnsi="宋体"/>
                <w:bCs/>
                <w:kern w:val="0"/>
                <w:szCs w:val="21"/>
              </w:rPr>
            </w:pPr>
            <w:r>
              <w:rPr>
                <w:rFonts w:ascii="宋体" w:hAnsi="宋体"/>
                <w:bCs/>
                <w:kern w:val="0"/>
                <w:szCs w:val="21"/>
              </w:rPr>
              <w:t>1</w:t>
            </w:r>
          </w:p>
        </w:tc>
        <w:tc>
          <w:tcPr>
            <w:tcW w:w="2788" w:type="dxa"/>
            <w:vAlign w:val="center"/>
          </w:tcPr>
          <w:p w14:paraId="6CE1FC7B">
            <w:pPr>
              <w:spacing w:line="360" w:lineRule="auto"/>
              <w:jc w:val="center"/>
              <w:rPr>
                <w:rFonts w:ascii="宋体" w:hAnsi="宋体"/>
                <w:szCs w:val="21"/>
              </w:rPr>
            </w:pPr>
            <w:r>
              <w:rPr>
                <w:rFonts w:ascii="宋体" w:hAnsi="宋体"/>
                <w:szCs w:val="21"/>
              </w:rPr>
              <w:t>保安用房</w:t>
            </w:r>
          </w:p>
        </w:tc>
        <w:tc>
          <w:tcPr>
            <w:tcW w:w="1999" w:type="dxa"/>
          </w:tcPr>
          <w:p w14:paraId="046BE589">
            <w:pPr>
              <w:spacing w:line="360" w:lineRule="auto"/>
              <w:rPr>
                <w:rFonts w:ascii="宋体" w:hAnsi="宋体"/>
                <w:szCs w:val="21"/>
              </w:rPr>
            </w:pPr>
            <w:r>
              <w:rPr>
                <w:rFonts w:hint="eastAsia" w:ascii="宋体" w:hAnsi="宋体"/>
                <w:szCs w:val="21"/>
              </w:rPr>
              <w:t>门岗2间</w:t>
            </w:r>
          </w:p>
        </w:tc>
        <w:tc>
          <w:tcPr>
            <w:tcW w:w="2057" w:type="dxa"/>
          </w:tcPr>
          <w:p w14:paraId="0360A31D">
            <w:pPr>
              <w:spacing w:line="360" w:lineRule="auto"/>
              <w:rPr>
                <w:rFonts w:ascii="宋体" w:hAnsi="宋体"/>
                <w:szCs w:val="21"/>
              </w:rPr>
            </w:pPr>
          </w:p>
        </w:tc>
        <w:tc>
          <w:tcPr>
            <w:tcW w:w="1528" w:type="dxa"/>
            <w:gridSpan w:val="2"/>
          </w:tcPr>
          <w:p w14:paraId="7F290716">
            <w:pPr>
              <w:tabs>
                <w:tab w:val="left" w:pos="7200"/>
              </w:tabs>
              <w:adjustRightInd w:val="0"/>
              <w:snapToGrid w:val="0"/>
              <w:spacing w:line="360" w:lineRule="auto"/>
              <w:rPr>
                <w:rFonts w:ascii="宋体" w:hAnsi="宋体"/>
                <w:bCs/>
                <w:kern w:val="0"/>
                <w:szCs w:val="21"/>
              </w:rPr>
            </w:pPr>
          </w:p>
        </w:tc>
      </w:tr>
      <w:tr w14:paraId="3625A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25" w:hRule="atLeast"/>
          <w:jc w:val="center"/>
        </w:trPr>
        <w:tc>
          <w:tcPr>
            <w:tcW w:w="595" w:type="dxa"/>
            <w:vAlign w:val="center"/>
          </w:tcPr>
          <w:p w14:paraId="277E0D29">
            <w:pPr>
              <w:tabs>
                <w:tab w:val="left" w:pos="7200"/>
              </w:tabs>
              <w:adjustRightInd w:val="0"/>
              <w:snapToGrid w:val="0"/>
              <w:spacing w:line="360" w:lineRule="auto"/>
              <w:jc w:val="center"/>
              <w:rPr>
                <w:rFonts w:ascii="宋体" w:hAnsi="宋体"/>
                <w:bCs/>
                <w:kern w:val="0"/>
                <w:szCs w:val="21"/>
              </w:rPr>
            </w:pPr>
            <w:r>
              <w:rPr>
                <w:rFonts w:ascii="宋体" w:hAnsi="宋体"/>
                <w:bCs/>
                <w:kern w:val="0"/>
                <w:szCs w:val="21"/>
              </w:rPr>
              <w:t>2</w:t>
            </w:r>
          </w:p>
        </w:tc>
        <w:tc>
          <w:tcPr>
            <w:tcW w:w="2788" w:type="dxa"/>
            <w:vAlign w:val="center"/>
          </w:tcPr>
          <w:p w14:paraId="350CA265">
            <w:pPr>
              <w:spacing w:line="360" w:lineRule="auto"/>
              <w:jc w:val="center"/>
              <w:rPr>
                <w:rFonts w:ascii="宋体" w:hAnsi="宋体"/>
                <w:szCs w:val="21"/>
              </w:rPr>
            </w:pPr>
            <w:r>
              <w:rPr>
                <w:rFonts w:ascii="宋体" w:hAnsi="宋体"/>
                <w:szCs w:val="21"/>
              </w:rPr>
              <w:t>办公设施设备</w:t>
            </w:r>
          </w:p>
        </w:tc>
        <w:tc>
          <w:tcPr>
            <w:tcW w:w="1999" w:type="dxa"/>
          </w:tcPr>
          <w:p w14:paraId="533B744F">
            <w:pPr>
              <w:spacing w:line="360" w:lineRule="auto"/>
              <w:rPr>
                <w:rFonts w:ascii="宋体" w:hAnsi="宋体"/>
                <w:szCs w:val="21"/>
              </w:rPr>
            </w:pPr>
            <w:r>
              <w:rPr>
                <w:rFonts w:hint="eastAsia" w:ascii="宋体" w:hAnsi="宋体"/>
                <w:szCs w:val="21"/>
              </w:rPr>
              <w:t>人脸识别系统1 套</w:t>
            </w:r>
          </w:p>
        </w:tc>
        <w:tc>
          <w:tcPr>
            <w:tcW w:w="2057" w:type="dxa"/>
          </w:tcPr>
          <w:p w14:paraId="75EAC103">
            <w:pPr>
              <w:spacing w:line="360" w:lineRule="auto"/>
              <w:rPr>
                <w:rFonts w:ascii="宋体" w:hAnsi="宋体"/>
                <w:szCs w:val="21"/>
              </w:rPr>
            </w:pPr>
          </w:p>
        </w:tc>
        <w:tc>
          <w:tcPr>
            <w:tcW w:w="1528" w:type="dxa"/>
            <w:gridSpan w:val="2"/>
          </w:tcPr>
          <w:p w14:paraId="138E38B6">
            <w:pPr>
              <w:tabs>
                <w:tab w:val="left" w:pos="7200"/>
              </w:tabs>
              <w:adjustRightInd w:val="0"/>
              <w:snapToGrid w:val="0"/>
              <w:spacing w:line="360" w:lineRule="auto"/>
              <w:rPr>
                <w:rFonts w:ascii="宋体" w:hAnsi="宋体"/>
                <w:bCs/>
                <w:kern w:val="0"/>
                <w:szCs w:val="21"/>
              </w:rPr>
            </w:pPr>
          </w:p>
        </w:tc>
      </w:tr>
      <w:tr w14:paraId="60AD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25" w:hRule="atLeast"/>
          <w:jc w:val="center"/>
        </w:trPr>
        <w:tc>
          <w:tcPr>
            <w:tcW w:w="595" w:type="dxa"/>
            <w:vAlign w:val="center"/>
          </w:tcPr>
          <w:p w14:paraId="72277135">
            <w:pPr>
              <w:tabs>
                <w:tab w:val="left" w:pos="7200"/>
              </w:tabs>
              <w:adjustRightInd w:val="0"/>
              <w:snapToGrid w:val="0"/>
              <w:spacing w:line="360" w:lineRule="auto"/>
              <w:jc w:val="center"/>
              <w:rPr>
                <w:rFonts w:ascii="宋体" w:hAnsi="宋体"/>
                <w:bCs/>
                <w:kern w:val="0"/>
                <w:szCs w:val="21"/>
              </w:rPr>
            </w:pPr>
            <w:r>
              <w:rPr>
                <w:rFonts w:ascii="宋体" w:hAnsi="宋体"/>
                <w:bCs/>
                <w:kern w:val="0"/>
                <w:szCs w:val="21"/>
              </w:rPr>
              <w:t>3</w:t>
            </w:r>
          </w:p>
        </w:tc>
        <w:tc>
          <w:tcPr>
            <w:tcW w:w="2788" w:type="dxa"/>
            <w:vAlign w:val="center"/>
          </w:tcPr>
          <w:p w14:paraId="5E7BFF3D">
            <w:pPr>
              <w:spacing w:line="360" w:lineRule="auto"/>
              <w:jc w:val="center"/>
              <w:rPr>
                <w:rFonts w:ascii="宋体" w:hAnsi="宋体"/>
                <w:szCs w:val="21"/>
              </w:rPr>
            </w:pPr>
            <w:r>
              <w:rPr>
                <w:rFonts w:ascii="宋体" w:hAnsi="宋体"/>
                <w:szCs w:val="21"/>
              </w:rPr>
              <w:t>技防设备</w:t>
            </w:r>
          </w:p>
        </w:tc>
        <w:tc>
          <w:tcPr>
            <w:tcW w:w="1999" w:type="dxa"/>
          </w:tcPr>
          <w:p w14:paraId="1D619030">
            <w:pPr>
              <w:spacing w:line="360" w:lineRule="auto"/>
              <w:rPr>
                <w:rFonts w:ascii="宋体" w:hAnsi="宋体"/>
                <w:szCs w:val="21"/>
              </w:rPr>
            </w:pPr>
            <w:r>
              <w:rPr>
                <w:rFonts w:hint="eastAsia" w:ascii="宋体" w:hAnsi="宋体"/>
                <w:szCs w:val="21"/>
              </w:rPr>
              <w:t>监控1台</w:t>
            </w:r>
          </w:p>
        </w:tc>
        <w:tc>
          <w:tcPr>
            <w:tcW w:w="2057" w:type="dxa"/>
          </w:tcPr>
          <w:p w14:paraId="56F9C5DF">
            <w:pPr>
              <w:spacing w:line="360" w:lineRule="auto"/>
              <w:rPr>
                <w:rFonts w:ascii="宋体" w:hAnsi="宋体"/>
                <w:szCs w:val="21"/>
              </w:rPr>
            </w:pPr>
          </w:p>
        </w:tc>
        <w:tc>
          <w:tcPr>
            <w:tcW w:w="1528" w:type="dxa"/>
            <w:gridSpan w:val="2"/>
          </w:tcPr>
          <w:p w14:paraId="5DE3D169">
            <w:pPr>
              <w:tabs>
                <w:tab w:val="left" w:pos="7200"/>
              </w:tabs>
              <w:adjustRightInd w:val="0"/>
              <w:snapToGrid w:val="0"/>
              <w:spacing w:line="360" w:lineRule="auto"/>
              <w:rPr>
                <w:rFonts w:ascii="宋体" w:hAnsi="宋体"/>
                <w:bCs/>
                <w:kern w:val="0"/>
                <w:szCs w:val="21"/>
              </w:rPr>
            </w:pPr>
          </w:p>
        </w:tc>
      </w:tr>
      <w:tr w14:paraId="62F4A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25" w:hRule="atLeast"/>
          <w:jc w:val="center"/>
        </w:trPr>
        <w:tc>
          <w:tcPr>
            <w:tcW w:w="595" w:type="dxa"/>
            <w:vAlign w:val="center"/>
          </w:tcPr>
          <w:p w14:paraId="341C1F4A">
            <w:pPr>
              <w:tabs>
                <w:tab w:val="left" w:pos="7200"/>
              </w:tabs>
              <w:adjustRightInd w:val="0"/>
              <w:snapToGrid w:val="0"/>
              <w:spacing w:line="360" w:lineRule="auto"/>
              <w:jc w:val="center"/>
              <w:rPr>
                <w:rFonts w:ascii="宋体" w:hAnsi="宋体"/>
                <w:bCs/>
                <w:kern w:val="0"/>
                <w:szCs w:val="21"/>
              </w:rPr>
            </w:pPr>
            <w:r>
              <w:rPr>
                <w:rFonts w:ascii="宋体" w:hAnsi="宋体"/>
                <w:bCs/>
                <w:kern w:val="0"/>
                <w:szCs w:val="21"/>
              </w:rPr>
              <w:t>4</w:t>
            </w:r>
          </w:p>
        </w:tc>
        <w:tc>
          <w:tcPr>
            <w:tcW w:w="2788" w:type="dxa"/>
            <w:vAlign w:val="center"/>
          </w:tcPr>
          <w:p w14:paraId="7AD78D35">
            <w:pPr>
              <w:spacing w:line="360" w:lineRule="auto"/>
              <w:jc w:val="center"/>
              <w:rPr>
                <w:rFonts w:ascii="宋体" w:hAnsi="宋体"/>
                <w:szCs w:val="21"/>
              </w:rPr>
            </w:pPr>
            <w:r>
              <w:rPr>
                <w:rFonts w:hint="eastAsia" w:ascii="宋体" w:hAnsi="宋体"/>
                <w:szCs w:val="21"/>
              </w:rPr>
              <w:t>消防联动控制器</w:t>
            </w:r>
          </w:p>
        </w:tc>
        <w:tc>
          <w:tcPr>
            <w:tcW w:w="1999" w:type="dxa"/>
            <w:vAlign w:val="center"/>
          </w:tcPr>
          <w:p w14:paraId="05ED8AA4">
            <w:pPr>
              <w:spacing w:line="360" w:lineRule="auto"/>
              <w:rPr>
                <w:rFonts w:ascii="宋体" w:hAnsi="宋体"/>
                <w:szCs w:val="21"/>
              </w:rPr>
            </w:pPr>
            <w:r>
              <w:rPr>
                <w:rFonts w:hint="eastAsia" w:ascii="宋体" w:hAnsi="宋体"/>
                <w:szCs w:val="21"/>
              </w:rPr>
              <w:t>消防主机1台</w:t>
            </w:r>
          </w:p>
        </w:tc>
        <w:tc>
          <w:tcPr>
            <w:tcW w:w="2057" w:type="dxa"/>
            <w:vAlign w:val="center"/>
          </w:tcPr>
          <w:p w14:paraId="0213D35A">
            <w:pPr>
              <w:spacing w:line="360" w:lineRule="auto"/>
              <w:rPr>
                <w:rFonts w:ascii="宋体" w:hAnsi="宋体"/>
                <w:szCs w:val="21"/>
              </w:rPr>
            </w:pPr>
          </w:p>
        </w:tc>
        <w:tc>
          <w:tcPr>
            <w:tcW w:w="1528" w:type="dxa"/>
            <w:gridSpan w:val="2"/>
            <w:vAlign w:val="center"/>
          </w:tcPr>
          <w:p w14:paraId="5B968613">
            <w:pPr>
              <w:tabs>
                <w:tab w:val="left" w:pos="7200"/>
              </w:tabs>
              <w:adjustRightInd w:val="0"/>
              <w:snapToGrid w:val="0"/>
              <w:spacing w:line="360" w:lineRule="auto"/>
              <w:rPr>
                <w:rFonts w:ascii="宋体" w:hAnsi="宋体"/>
                <w:bCs/>
                <w:kern w:val="0"/>
                <w:szCs w:val="21"/>
              </w:rPr>
            </w:pPr>
          </w:p>
        </w:tc>
      </w:tr>
    </w:tbl>
    <w:p w14:paraId="0AE597A2">
      <w:pPr>
        <w:pStyle w:val="17"/>
        <w:spacing w:line="300" w:lineRule="auto"/>
        <w:ind w:firstLine="422" w:firstLineChars="192"/>
        <w:rPr>
          <w:bCs/>
          <w:sz w:val="22"/>
        </w:rPr>
      </w:pPr>
    </w:p>
    <w:p w14:paraId="54B4055F">
      <w:pPr>
        <w:pStyle w:val="6"/>
        <w:spacing w:line="360" w:lineRule="auto"/>
        <w:ind w:firstLine="480"/>
        <w:rPr>
          <w:b/>
          <w:bCs/>
        </w:rPr>
      </w:pPr>
      <w:r>
        <w:rPr>
          <w:rFonts w:hint="eastAsia"/>
          <w:b/>
          <w:bCs/>
        </w:rPr>
        <w:t>（五）各岗位具体服务要求</w:t>
      </w:r>
    </w:p>
    <w:p w14:paraId="16FF661A">
      <w:pPr>
        <w:pStyle w:val="17"/>
        <w:spacing w:line="360" w:lineRule="auto"/>
        <w:ind w:firstLine="405" w:firstLineChars="192"/>
        <w:rPr>
          <w:rFonts w:ascii="宋体" w:hAnsi="宋体"/>
          <w:bCs/>
          <w:szCs w:val="21"/>
        </w:rPr>
      </w:pPr>
      <w:r>
        <w:rPr>
          <w:rFonts w:ascii="宋体" w:hAnsi="宋体"/>
          <w:b/>
          <w:bCs/>
          <w:szCs w:val="21"/>
        </w:rPr>
        <w:t>1</w:t>
      </w:r>
      <w:r>
        <w:rPr>
          <w:rFonts w:hint="eastAsia" w:ascii="宋体" w:hAnsi="宋体"/>
          <w:b/>
          <w:bCs/>
          <w:szCs w:val="21"/>
        </w:rPr>
        <w:t>、</w:t>
      </w:r>
      <w:r>
        <w:rPr>
          <w:rFonts w:hint="eastAsia" w:ascii="宋体" w:hAnsi="宋体"/>
          <w:b/>
          <w:bCs/>
          <w:szCs w:val="21"/>
          <w:lang w:eastAsia="zh-CN"/>
        </w:rPr>
        <w:t>保安队长</w:t>
      </w:r>
      <w:r>
        <w:rPr>
          <w:rFonts w:hint="eastAsia" w:ascii="宋体" w:hAnsi="宋体"/>
          <w:b/>
          <w:bCs/>
          <w:szCs w:val="21"/>
        </w:rPr>
        <w:t>：</w:t>
      </w:r>
      <w:r>
        <w:rPr>
          <w:rFonts w:hint="eastAsia" w:ascii="宋体" w:hAnsi="宋体"/>
          <w:bCs/>
          <w:szCs w:val="21"/>
        </w:rPr>
        <w:t>熟悉安全、消防等法律法规；具备组织管理能力和安全风险管理知识；男性，无任何犯罪记录，有</w:t>
      </w:r>
      <w:r>
        <w:rPr>
          <w:rFonts w:hint="eastAsia" w:ascii="宋体" w:hAnsi="宋体"/>
          <w:bCs/>
          <w:szCs w:val="21"/>
          <w:lang w:eastAsia="zh-CN"/>
        </w:rPr>
        <w:t>保安队长</w:t>
      </w:r>
      <w:bookmarkStart w:id="8" w:name="_GoBack"/>
      <w:bookmarkEnd w:id="8"/>
      <w:r>
        <w:rPr>
          <w:rFonts w:hint="eastAsia" w:ascii="宋体" w:hAnsi="宋体"/>
          <w:bCs/>
          <w:szCs w:val="21"/>
        </w:rPr>
        <w:t>经验。</w:t>
      </w:r>
    </w:p>
    <w:p w14:paraId="66DCC075">
      <w:pPr>
        <w:pStyle w:val="17"/>
        <w:spacing w:line="360" w:lineRule="auto"/>
        <w:ind w:firstLine="405" w:firstLineChars="192"/>
        <w:rPr>
          <w:rFonts w:ascii="宋体" w:hAnsi="宋体"/>
          <w:bCs/>
          <w:szCs w:val="21"/>
        </w:rPr>
      </w:pPr>
      <w:r>
        <w:rPr>
          <w:rFonts w:ascii="宋体" w:hAnsi="宋体"/>
          <w:b/>
          <w:bCs/>
          <w:szCs w:val="21"/>
        </w:rPr>
        <w:t>2</w:t>
      </w:r>
      <w:r>
        <w:rPr>
          <w:rFonts w:hint="eastAsia" w:ascii="宋体" w:hAnsi="宋体"/>
          <w:b/>
          <w:bCs/>
          <w:szCs w:val="21"/>
        </w:rPr>
        <w:t>、领班兼巡视岗：</w:t>
      </w:r>
      <w:r>
        <w:rPr>
          <w:rFonts w:hint="eastAsia" w:ascii="宋体" w:hAnsi="宋体"/>
          <w:bCs/>
          <w:szCs w:val="21"/>
        </w:rPr>
        <w:t>持保安员岗位资格证书；身体健康、良好仪表形象，反应敏捷，洞察力强；服从公司管理，有较强的责任心、组织管理能力及沟通协调能力，男性，无任何犯罪记录；有保安一线管理工作经验。</w:t>
      </w:r>
    </w:p>
    <w:p w14:paraId="17059236">
      <w:pPr>
        <w:pStyle w:val="17"/>
        <w:spacing w:line="360" w:lineRule="auto"/>
        <w:ind w:firstLine="405" w:firstLineChars="192"/>
        <w:rPr>
          <w:rFonts w:ascii="宋体" w:hAnsi="宋体"/>
          <w:b/>
          <w:bCs/>
          <w:szCs w:val="21"/>
        </w:rPr>
      </w:pPr>
      <w:r>
        <w:rPr>
          <w:rFonts w:ascii="宋体" w:hAnsi="宋体"/>
          <w:b/>
          <w:bCs/>
          <w:szCs w:val="21"/>
        </w:rPr>
        <w:t>3</w:t>
      </w:r>
      <w:r>
        <w:rPr>
          <w:rFonts w:hint="eastAsia" w:ascii="宋体" w:hAnsi="宋体"/>
          <w:b/>
          <w:bCs/>
          <w:szCs w:val="21"/>
        </w:rPr>
        <w:t>、南门岗、北门岗：</w:t>
      </w:r>
    </w:p>
    <w:p w14:paraId="01A14A14">
      <w:pPr>
        <w:pStyle w:val="17"/>
        <w:spacing w:line="360" w:lineRule="auto"/>
        <w:ind w:firstLine="403" w:firstLineChars="192"/>
        <w:rPr>
          <w:rFonts w:ascii="宋体" w:hAnsi="宋体"/>
          <w:bCs/>
          <w:szCs w:val="21"/>
        </w:rPr>
      </w:pPr>
      <w:r>
        <w:rPr>
          <w:rFonts w:hint="eastAsia" w:ascii="宋体" w:hAnsi="宋体"/>
          <w:bCs/>
          <w:szCs w:val="21"/>
        </w:rPr>
        <w:t>（1）服务范围：负责出入口的安全管理，包含但不限于管理人员、车辆、物品的出入；主动问询并接待来访人员；严格控制大件物品进出门；严禁推销、拾荒、发小广告等闲杂人员进入。</w:t>
      </w:r>
    </w:p>
    <w:p w14:paraId="76424A70">
      <w:pPr>
        <w:pStyle w:val="17"/>
        <w:spacing w:line="360" w:lineRule="auto"/>
        <w:ind w:firstLine="403" w:firstLineChars="192"/>
        <w:rPr>
          <w:rFonts w:ascii="宋体" w:hAnsi="宋体"/>
          <w:bCs/>
          <w:szCs w:val="21"/>
        </w:rPr>
      </w:pPr>
      <w:r>
        <w:rPr>
          <w:rFonts w:hint="eastAsia" w:ascii="宋体" w:hAnsi="宋体"/>
          <w:bCs/>
          <w:szCs w:val="21"/>
        </w:rPr>
        <w:t>（2）总体要求：供应商按照采购人相关规定，设置 24 小时值班岗。</w:t>
      </w:r>
    </w:p>
    <w:p w14:paraId="00A9E217">
      <w:pPr>
        <w:pStyle w:val="17"/>
        <w:spacing w:line="360" w:lineRule="auto"/>
        <w:ind w:firstLine="403" w:firstLineChars="192"/>
        <w:rPr>
          <w:rFonts w:ascii="宋体" w:hAnsi="宋体"/>
          <w:bCs/>
          <w:szCs w:val="21"/>
        </w:rPr>
      </w:pPr>
      <w:r>
        <w:rPr>
          <w:rFonts w:hint="eastAsia" w:ascii="宋体" w:hAnsi="宋体"/>
          <w:bCs/>
          <w:szCs w:val="21"/>
        </w:rPr>
        <w:t>（3）人员要求：具有高中及以上文化程度、持有保安员上岗证，有相关工作经验。</w:t>
      </w:r>
    </w:p>
    <w:p w14:paraId="54EFC76A">
      <w:pPr>
        <w:pStyle w:val="17"/>
        <w:spacing w:line="360" w:lineRule="auto"/>
        <w:ind w:firstLine="403" w:firstLineChars="192"/>
        <w:rPr>
          <w:rFonts w:ascii="宋体" w:hAnsi="宋体"/>
          <w:bCs/>
          <w:szCs w:val="21"/>
        </w:rPr>
      </w:pPr>
      <w:r>
        <w:rPr>
          <w:rFonts w:hint="eastAsia" w:ascii="宋体" w:hAnsi="宋体"/>
          <w:bCs/>
          <w:szCs w:val="21"/>
        </w:rPr>
        <w:t>（4）工作职责：负责区域内的安全秩序维护。</w:t>
      </w:r>
    </w:p>
    <w:p w14:paraId="7F7A96CE">
      <w:pPr>
        <w:pStyle w:val="17"/>
        <w:spacing w:line="360" w:lineRule="auto"/>
        <w:ind w:firstLine="405" w:firstLineChars="192"/>
        <w:rPr>
          <w:rFonts w:ascii="宋体" w:hAnsi="宋体"/>
          <w:b/>
          <w:bCs/>
          <w:szCs w:val="21"/>
        </w:rPr>
      </w:pPr>
      <w:r>
        <w:rPr>
          <w:rFonts w:ascii="宋体" w:hAnsi="宋体"/>
          <w:b/>
          <w:bCs/>
          <w:szCs w:val="21"/>
        </w:rPr>
        <w:t>4</w:t>
      </w:r>
      <w:r>
        <w:rPr>
          <w:rFonts w:hint="eastAsia" w:ascii="宋体" w:hAnsi="宋体"/>
          <w:b/>
          <w:bCs/>
          <w:szCs w:val="21"/>
        </w:rPr>
        <w:t>、监控岗：</w:t>
      </w:r>
    </w:p>
    <w:p w14:paraId="14C45ECA">
      <w:pPr>
        <w:pStyle w:val="17"/>
        <w:spacing w:line="360" w:lineRule="auto"/>
        <w:ind w:firstLine="403" w:firstLineChars="192"/>
        <w:rPr>
          <w:rFonts w:ascii="宋体" w:hAnsi="宋体"/>
          <w:szCs w:val="21"/>
        </w:rPr>
      </w:pPr>
      <w:r>
        <w:rPr>
          <w:rFonts w:ascii="宋体" w:hAnsi="宋体"/>
          <w:szCs w:val="21"/>
        </w:rPr>
        <w:t>4.1</w:t>
      </w:r>
      <w:r>
        <w:rPr>
          <w:rFonts w:hint="eastAsia" w:ascii="宋体" w:hAnsi="宋体"/>
          <w:szCs w:val="21"/>
        </w:rPr>
        <w:t>监控室管理规定</w:t>
      </w:r>
    </w:p>
    <w:p w14:paraId="2045B5A6">
      <w:pPr>
        <w:pStyle w:val="17"/>
        <w:spacing w:line="360" w:lineRule="auto"/>
        <w:ind w:firstLine="403" w:firstLineChars="192"/>
        <w:rPr>
          <w:rFonts w:ascii="宋体" w:hAnsi="宋体"/>
          <w:szCs w:val="21"/>
        </w:rPr>
      </w:pPr>
      <w:r>
        <w:rPr>
          <w:rFonts w:hint="eastAsia" w:ascii="宋体" w:hAnsi="宋体"/>
          <w:szCs w:val="21"/>
        </w:rPr>
        <w:t>4</w:t>
      </w:r>
      <w:r>
        <w:rPr>
          <w:rFonts w:ascii="宋体" w:hAnsi="宋体"/>
          <w:szCs w:val="21"/>
        </w:rPr>
        <w:t>.1.1</w:t>
      </w:r>
      <w:r>
        <w:rPr>
          <w:rFonts w:hint="eastAsia" w:ascii="宋体" w:hAnsi="宋体"/>
          <w:szCs w:val="21"/>
        </w:rPr>
        <w:t>监控室实行每日24小时人员值班、监控。</w:t>
      </w:r>
    </w:p>
    <w:p w14:paraId="0CA60184">
      <w:pPr>
        <w:pStyle w:val="17"/>
        <w:spacing w:line="360" w:lineRule="auto"/>
        <w:ind w:firstLine="403" w:firstLineChars="192"/>
        <w:rPr>
          <w:rFonts w:ascii="宋体" w:hAnsi="宋体"/>
          <w:szCs w:val="21"/>
        </w:rPr>
      </w:pPr>
      <w:r>
        <w:rPr>
          <w:rFonts w:hint="eastAsia" w:ascii="宋体" w:hAnsi="宋体"/>
          <w:szCs w:val="21"/>
        </w:rPr>
        <w:t>4</w:t>
      </w:r>
      <w:r>
        <w:rPr>
          <w:rFonts w:ascii="宋体" w:hAnsi="宋体"/>
          <w:szCs w:val="21"/>
        </w:rPr>
        <w:t>.1.2</w:t>
      </w:r>
      <w:r>
        <w:rPr>
          <w:rFonts w:hint="eastAsia" w:ascii="宋体" w:hAnsi="宋体"/>
          <w:szCs w:val="21"/>
        </w:rPr>
        <w:t>控制非必要人员进入监控室。</w:t>
      </w:r>
    </w:p>
    <w:p w14:paraId="416F07CA">
      <w:pPr>
        <w:pStyle w:val="17"/>
        <w:spacing w:line="360" w:lineRule="auto"/>
        <w:ind w:firstLine="403" w:firstLineChars="192"/>
        <w:rPr>
          <w:rFonts w:ascii="宋体" w:hAnsi="宋体"/>
          <w:szCs w:val="21"/>
        </w:rPr>
      </w:pPr>
      <w:r>
        <w:rPr>
          <w:rFonts w:hint="eastAsia" w:ascii="宋体" w:hAnsi="宋体"/>
          <w:szCs w:val="21"/>
        </w:rPr>
        <w:t>4</w:t>
      </w:r>
      <w:r>
        <w:rPr>
          <w:rFonts w:ascii="宋体" w:hAnsi="宋体"/>
          <w:szCs w:val="21"/>
        </w:rPr>
        <w:t>.1.3</w:t>
      </w:r>
      <w:r>
        <w:rPr>
          <w:rFonts w:hint="eastAsia" w:ascii="宋体" w:hAnsi="宋体"/>
          <w:szCs w:val="21"/>
        </w:rPr>
        <w:t>保证各控制相、显示屏、信号灯、控制线路等的运作始终处于良好状态，各类操作按钮、手柄在自动位置。</w:t>
      </w:r>
    </w:p>
    <w:p w14:paraId="3C451FFC">
      <w:pPr>
        <w:pStyle w:val="17"/>
        <w:spacing w:line="360" w:lineRule="auto"/>
        <w:ind w:firstLine="403" w:firstLineChars="192"/>
        <w:rPr>
          <w:rFonts w:ascii="宋体" w:hAnsi="宋体"/>
          <w:szCs w:val="21"/>
        </w:rPr>
      </w:pPr>
      <w:r>
        <w:rPr>
          <w:rFonts w:hint="eastAsia" w:ascii="宋体" w:hAnsi="宋体"/>
          <w:szCs w:val="21"/>
        </w:rPr>
        <w:t>4</w:t>
      </w:r>
      <w:r>
        <w:rPr>
          <w:rFonts w:ascii="宋体" w:hAnsi="宋体"/>
          <w:szCs w:val="21"/>
        </w:rPr>
        <w:t>.1.4</w:t>
      </w:r>
      <w:r>
        <w:rPr>
          <w:rFonts w:hint="eastAsia" w:ascii="宋体" w:hAnsi="宋体"/>
          <w:szCs w:val="21"/>
        </w:rPr>
        <w:t>每班检查一次各类信号是否正常并做记录。</w:t>
      </w:r>
    </w:p>
    <w:p w14:paraId="2E3D4A6C">
      <w:pPr>
        <w:pStyle w:val="17"/>
        <w:spacing w:line="360" w:lineRule="auto"/>
        <w:ind w:firstLine="403" w:firstLineChars="192"/>
        <w:rPr>
          <w:rFonts w:ascii="宋体" w:hAnsi="宋体"/>
          <w:szCs w:val="21"/>
        </w:rPr>
      </w:pPr>
      <w:r>
        <w:rPr>
          <w:rFonts w:hint="eastAsia" w:ascii="宋体" w:hAnsi="宋体"/>
          <w:szCs w:val="21"/>
        </w:rPr>
        <w:t>4</w:t>
      </w:r>
      <w:r>
        <w:rPr>
          <w:rFonts w:ascii="宋体" w:hAnsi="宋体"/>
          <w:szCs w:val="21"/>
        </w:rPr>
        <w:t>.1.5</w:t>
      </w:r>
      <w:r>
        <w:rPr>
          <w:rFonts w:hint="eastAsia" w:ascii="宋体" w:hAnsi="宋体"/>
          <w:szCs w:val="21"/>
        </w:rPr>
        <w:t>出现报警信号后，立即赶到事发现场进行处理。</w:t>
      </w:r>
    </w:p>
    <w:p w14:paraId="5436027C">
      <w:pPr>
        <w:pStyle w:val="17"/>
        <w:spacing w:line="360" w:lineRule="auto"/>
        <w:ind w:firstLine="403" w:firstLineChars="192"/>
        <w:rPr>
          <w:rFonts w:ascii="宋体" w:hAnsi="宋体"/>
          <w:szCs w:val="21"/>
        </w:rPr>
      </w:pPr>
      <w:r>
        <w:rPr>
          <w:rFonts w:hint="eastAsia" w:ascii="宋体" w:hAnsi="宋体"/>
          <w:szCs w:val="21"/>
        </w:rPr>
        <w:t>4</w:t>
      </w:r>
      <w:r>
        <w:rPr>
          <w:rFonts w:ascii="宋体" w:hAnsi="宋体"/>
          <w:szCs w:val="21"/>
        </w:rPr>
        <w:t>.1.6</w:t>
      </w:r>
      <w:r>
        <w:rPr>
          <w:rFonts w:hint="eastAsia" w:ascii="宋体" w:hAnsi="宋体"/>
          <w:szCs w:val="21"/>
        </w:rPr>
        <w:t>监控室的清洁由值班人员负责。</w:t>
      </w:r>
    </w:p>
    <w:p w14:paraId="1B9F2871">
      <w:pPr>
        <w:pStyle w:val="17"/>
        <w:spacing w:line="360" w:lineRule="auto"/>
        <w:ind w:firstLine="403" w:firstLineChars="192"/>
        <w:rPr>
          <w:rFonts w:ascii="宋体" w:hAnsi="宋体"/>
          <w:szCs w:val="21"/>
        </w:rPr>
      </w:pPr>
      <w:r>
        <w:rPr>
          <w:rFonts w:hint="eastAsia" w:ascii="宋体" w:hAnsi="宋体"/>
          <w:szCs w:val="21"/>
        </w:rPr>
        <w:t>服务标准：按保养计划进行维修保养，并将维修保养情况记录于相应记录内，物业工程部主管每年按设备运行情况制订下一年度中修、大修计划。中控室设备故障维修一般不超过2小时。</w:t>
      </w:r>
    </w:p>
    <w:p w14:paraId="69385885">
      <w:pPr>
        <w:pStyle w:val="17"/>
        <w:spacing w:line="360" w:lineRule="auto"/>
        <w:ind w:firstLine="403" w:firstLineChars="192"/>
        <w:rPr>
          <w:rFonts w:ascii="宋体" w:hAnsi="宋体"/>
          <w:szCs w:val="21"/>
        </w:rPr>
      </w:pPr>
      <w:r>
        <w:rPr>
          <w:rFonts w:hint="eastAsia" w:ascii="宋体" w:hAnsi="宋体"/>
          <w:szCs w:val="21"/>
        </w:rPr>
        <w:t>4</w:t>
      </w:r>
      <w:r>
        <w:rPr>
          <w:rFonts w:ascii="宋体" w:hAnsi="宋体"/>
          <w:szCs w:val="21"/>
        </w:rPr>
        <w:t>.2</w:t>
      </w:r>
      <w:r>
        <w:rPr>
          <w:rFonts w:hint="eastAsia" w:ascii="宋体" w:hAnsi="宋体"/>
          <w:szCs w:val="21"/>
        </w:rPr>
        <w:t>监控岗要求：</w:t>
      </w:r>
    </w:p>
    <w:p w14:paraId="7648EBCC">
      <w:pPr>
        <w:pStyle w:val="17"/>
        <w:spacing w:line="360" w:lineRule="auto"/>
        <w:ind w:firstLine="403" w:firstLineChars="192"/>
        <w:rPr>
          <w:rFonts w:ascii="宋体" w:hAnsi="宋体"/>
          <w:bCs/>
          <w:szCs w:val="21"/>
        </w:rPr>
      </w:pPr>
      <w:r>
        <w:rPr>
          <w:rFonts w:hint="eastAsia" w:ascii="宋体" w:hAnsi="宋体"/>
          <w:bCs/>
          <w:szCs w:val="21"/>
        </w:rPr>
        <w:t>4</w:t>
      </w:r>
      <w:r>
        <w:rPr>
          <w:rFonts w:ascii="宋体" w:hAnsi="宋体"/>
          <w:bCs/>
          <w:szCs w:val="21"/>
        </w:rPr>
        <w:t>.2.1</w:t>
      </w:r>
      <w:r>
        <w:rPr>
          <w:rFonts w:hint="eastAsia" w:ascii="宋体" w:hAnsi="宋体"/>
          <w:bCs/>
          <w:szCs w:val="21"/>
        </w:rPr>
        <w:t>建立健全消防、监控责任制，对全体员工定期进行消防和监控设备的操作培训，使之掌握消防和监控设备的基本操作技能。</w:t>
      </w:r>
    </w:p>
    <w:p w14:paraId="0705B01F">
      <w:pPr>
        <w:pStyle w:val="17"/>
        <w:spacing w:line="360" w:lineRule="auto"/>
        <w:ind w:firstLine="403" w:firstLineChars="192"/>
        <w:rPr>
          <w:rFonts w:ascii="宋体" w:hAnsi="宋体"/>
          <w:bCs/>
          <w:szCs w:val="21"/>
        </w:rPr>
      </w:pPr>
      <w:r>
        <w:rPr>
          <w:rFonts w:hint="eastAsia" w:ascii="宋体" w:hAnsi="宋体"/>
          <w:bCs/>
          <w:szCs w:val="21"/>
        </w:rPr>
        <w:t>4</w:t>
      </w:r>
      <w:r>
        <w:rPr>
          <w:rFonts w:ascii="宋体" w:hAnsi="宋体"/>
          <w:bCs/>
          <w:szCs w:val="21"/>
        </w:rPr>
        <w:t>.2.2</w:t>
      </w:r>
      <w:r>
        <w:rPr>
          <w:rFonts w:hint="eastAsia" w:ascii="宋体" w:hAnsi="宋体"/>
          <w:bCs/>
          <w:szCs w:val="21"/>
        </w:rPr>
        <w:t>消防设备设施定期巡视，巡视记录规范完整，发现问题及时报告采购人并向专业单位报修。</w:t>
      </w:r>
    </w:p>
    <w:p w14:paraId="12A3A4E3">
      <w:pPr>
        <w:pStyle w:val="17"/>
        <w:spacing w:line="360" w:lineRule="auto"/>
        <w:ind w:firstLine="403" w:firstLineChars="192"/>
        <w:rPr>
          <w:rFonts w:ascii="宋体" w:hAnsi="宋体"/>
          <w:bCs/>
          <w:szCs w:val="21"/>
        </w:rPr>
      </w:pPr>
      <w:r>
        <w:rPr>
          <w:rFonts w:hint="eastAsia" w:ascii="宋体" w:hAnsi="宋体"/>
          <w:bCs/>
          <w:szCs w:val="21"/>
        </w:rPr>
        <w:t>4</w:t>
      </w:r>
      <w:r>
        <w:rPr>
          <w:rFonts w:ascii="宋体" w:hAnsi="宋体"/>
          <w:bCs/>
          <w:szCs w:val="21"/>
        </w:rPr>
        <w:t>.2.3</w:t>
      </w:r>
      <w:r>
        <w:rPr>
          <w:rFonts w:hint="eastAsia" w:ascii="宋体" w:hAnsi="宋体"/>
          <w:bCs/>
          <w:szCs w:val="21"/>
        </w:rPr>
        <w:t>制定火警事故及其他应急情况处理预案，保证应急疏散通道畅通无阻。</w:t>
      </w:r>
    </w:p>
    <w:p w14:paraId="2411C978">
      <w:pPr>
        <w:pStyle w:val="17"/>
        <w:spacing w:line="360" w:lineRule="auto"/>
        <w:ind w:firstLine="403" w:firstLineChars="192"/>
        <w:rPr>
          <w:rFonts w:ascii="宋体" w:hAnsi="宋体"/>
          <w:bCs/>
          <w:szCs w:val="21"/>
        </w:rPr>
      </w:pPr>
      <w:r>
        <w:rPr>
          <w:rFonts w:hint="eastAsia" w:ascii="宋体" w:hAnsi="宋体"/>
          <w:bCs/>
          <w:szCs w:val="21"/>
        </w:rPr>
        <w:t>4</w:t>
      </w:r>
      <w:r>
        <w:rPr>
          <w:rFonts w:ascii="宋体" w:hAnsi="宋体"/>
          <w:bCs/>
          <w:szCs w:val="21"/>
        </w:rPr>
        <w:t>.2.4</w:t>
      </w:r>
      <w:r>
        <w:rPr>
          <w:rFonts w:hint="eastAsia" w:ascii="宋体" w:hAnsi="宋体"/>
          <w:bCs/>
          <w:szCs w:val="21"/>
        </w:rPr>
        <w:t>遇有火情或自然灾害时，执勤人员判断事态阶段，启动应急预案（果断处置、组织疏散人员），并同时拨打 119、110 等相关部门组织抢救。</w:t>
      </w:r>
    </w:p>
    <w:p w14:paraId="7C974A6F">
      <w:pPr>
        <w:pStyle w:val="17"/>
        <w:spacing w:line="360" w:lineRule="auto"/>
        <w:ind w:firstLine="403" w:firstLineChars="192"/>
        <w:rPr>
          <w:rFonts w:ascii="宋体" w:hAnsi="宋体"/>
          <w:bCs/>
          <w:szCs w:val="21"/>
        </w:rPr>
      </w:pPr>
      <w:r>
        <w:rPr>
          <w:rFonts w:hint="eastAsia" w:ascii="宋体" w:hAnsi="宋体"/>
          <w:bCs/>
          <w:szCs w:val="21"/>
        </w:rPr>
        <w:t>4</w:t>
      </w:r>
      <w:r>
        <w:rPr>
          <w:rFonts w:ascii="宋体" w:hAnsi="宋体"/>
          <w:bCs/>
          <w:szCs w:val="21"/>
        </w:rPr>
        <w:t>.2.5</w:t>
      </w:r>
      <w:r>
        <w:rPr>
          <w:rFonts w:hint="eastAsia" w:ascii="宋体" w:hAnsi="宋体"/>
          <w:bCs/>
          <w:szCs w:val="21"/>
        </w:rPr>
        <w:t>积极配采购人完成消防设施设备的验收事项。</w:t>
      </w:r>
    </w:p>
    <w:p w14:paraId="5F62AAA2">
      <w:pPr>
        <w:pStyle w:val="17"/>
        <w:spacing w:line="360" w:lineRule="auto"/>
        <w:ind w:firstLine="403" w:firstLineChars="192"/>
        <w:rPr>
          <w:rFonts w:ascii="宋体" w:hAnsi="宋体"/>
          <w:bCs/>
          <w:szCs w:val="21"/>
        </w:rPr>
      </w:pPr>
      <w:r>
        <w:rPr>
          <w:rFonts w:hint="eastAsia" w:ascii="宋体" w:hAnsi="宋体"/>
          <w:bCs/>
          <w:szCs w:val="21"/>
        </w:rPr>
        <w:t>4</w:t>
      </w:r>
      <w:r>
        <w:rPr>
          <w:rFonts w:ascii="宋体" w:hAnsi="宋体"/>
          <w:bCs/>
          <w:szCs w:val="21"/>
        </w:rPr>
        <w:t>.2.6</w:t>
      </w:r>
      <w:r>
        <w:rPr>
          <w:rFonts w:hint="eastAsia" w:ascii="宋体" w:hAnsi="宋体"/>
          <w:bCs/>
          <w:szCs w:val="21"/>
        </w:rPr>
        <w:t>总体要求：供应商按照采购人相关规定设置岗位，持有保安员上岗证，且具备消防设施操作员证。</w:t>
      </w:r>
    </w:p>
    <w:p w14:paraId="02276ECC">
      <w:pPr>
        <w:pStyle w:val="17"/>
        <w:spacing w:line="360" w:lineRule="auto"/>
        <w:ind w:firstLine="403" w:firstLineChars="192"/>
        <w:rPr>
          <w:rFonts w:ascii="宋体" w:hAnsi="宋体"/>
          <w:bCs/>
          <w:szCs w:val="21"/>
        </w:rPr>
      </w:pPr>
      <w:r>
        <w:rPr>
          <w:rFonts w:hint="eastAsia" w:ascii="宋体" w:hAnsi="宋体"/>
          <w:bCs/>
          <w:szCs w:val="21"/>
        </w:rPr>
        <w:t>4</w:t>
      </w:r>
      <w:r>
        <w:rPr>
          <w:rFonts w:ascii="宋体" w:hAnsi="宋体"/>
          <w:bCs/>
          <w:szCs w:val="21"/>
        </w:rPr>
        <w:t>.2.7</w:t>
      </w:r>
      <w:r>
        <w:rPr>
          <w:rFonts w:hint="eastAsia" w:ascii="宋体" w:hAnsi="宋体"/>
          <w:bCs/>
          <w:szCs w:val="21"/>
        </w:rPr>
        <w:t>人员要求：具备高中及以上文化程度，有相关工作经验。</w:t>
      </w:r>
    </w:p>
    <w:p w14:paraId="3ABB4F84">
      <w:pPr>
        <w:pStyle w:val="17"/>
        <w:spacing w:line="360" w:lineRule="auto"/>
        <w:ind w:firstLine="403" w:firstLineChars="192"/>
        <w:rPr>
          <w:rFonts w:ascii="宋体" w:hAnsi="宋体"/>
          <w:bCs/>
          <w:szCs w:val="21"/>
        </w:rPr>
      </w:pPr>
      <w:r>
        <w:rPr>
          <w:rFonts w:hint="eastAsia" w:ascii="宋体" w:hAnsi="宋体"/>
          <w:bCs/>
          <w:szCs w:val="21"/>
        </w:rPr>
        <w:t>4</w:t>
      </w:r>
      <w:r>
        <w:rPr>
          <w:rFonts w:ascii="宋体" w:hAnsi="宋体"/>
          <w:bCs/>
          <w:szCs w:val="21"/>
        </w:rPr>
        <w:t>.2.8</w:t>
      </w:r>
      <w:r>
        <w:rPr>
          <w:rFonts w:hint="eastAsia" w:ascii="宋体" w:hAnsi="宋体"/>
          <w:bCs/>
          <w:szCs w:val="21"/>
        </w:rPr>
        <w:t>工作职责：</w:t>
      </w:r>
    </w:p>
    <w:p w14:paraId="34B00B4A">
      <w:pPr>
        <w:pStyle w:val="17"/>
        <w:spacing w:line="360" w:lineRule="auto"/>
        <w:ind w:firstLine="403" w:firstLineChars="192"/>
        <w:rPr>
          <w:rFonts w:ascii="宋体" w:hAnsi="宋体"/>
          <w:bCs/>
          <w:szCs w:val="21"/>
        </w:rPr>
      </w:pPr>
      <w:r>
        <w:rPr>
          <w:rFonts w:hint="eastAsia" w:ascii="宋体" w:hAnsi="宋体"/>
          <w:bCs/>
          <w:szCs w:val="21"/>
        </w:rPr>
        <w:t>按照采购人工作需求合理排班，建立完善值班值守工作要求，随时响应配合采购人的工作要求，及时赶赴现场处置突发事件，维护好秩序；</w:t>
      </w:r>
    </w:p>
    <w:p w14:paraId="0A9CC511">
      <w:pPr>
        <w:pStyle w:val="17"/>
        <w:spacing w:line="360" w:lineRule="auto"/>
        <w:ind w:firstLine="403" w:firstLineChars="192"/>
        <w:rPr>
          <w:rFonts w:ascii="宋体" w:hAnsi="宋体"/>
          <w:bCs/>
          <w:szCs w:val="21"/>
        </w:rPr>
      </w:pPr>
      <w:r>
        <w:rPr>
          <w:rFonts w:hint="eastAsia" w:ascii="宋体" w:hAnsi="宋体"/>
          <w:bCs/>
          <w:szCs w:val="21"/>
        </w:rPr>
        <w:t>突发事件管理：遇有上访等事件时立即启动应急预案，并向公安机关和采购人报告，协助迅速平息事件，把损失降到最低限度；发生纠纷时，全力保护工作人员的人身安全。</w:t>
      </w:r>
    </w:p>
    <w:p w14:paraId="067CE7C3">
      <w:pPr>
        <w:pStyle w:val="17"/>
        <w:spacing w:line="360" w:lineRule="auto"/>
        <w:ind w:firstLine="405" w:firstLineChars="192"/>
        <w:rPr>
          <w:rFonts w:ascii="宋体" w:hAnsi="宋体"/>
          <w:b/>
          <w:bCs/>
          <w:szCs w:val="21"/>
        </w:rPr>
      </w:pPr>
      <w:r>
        <w:rPr>
          <w:rFonts w:ascii="宋体" w:hAnsi="宋体"/>
          <w:b/>
          <w:bCs/>
          <w:szCs w:val="21"/>
        </w:rPr>
        <w:t>5</w:t>
      </w:r>
      <w:r>
        <w:rPr>
          <w:rFonts w:hint="eastAsia" w:ascii="宋体" w:hAnsi="宋体"/>
          <w:b/>
          <w:bCs/>
          <w:szCs w:val="21"/>
        </w:rPr>
        <w:t>、南门接待岗、接待岗：</w:t>
      </w:r>
    </w:p>
    <w:p w14:paraId="1E1DC130">
      <w:pPr>
        <w:pStyle w:val="17"/>
        <w:spacing w:line="360" w:lineRule="auto"/>
        <w:ind w:firstLine="403" w:firstLineChars="192"/>
        <w:rPr>
          <w:rFonts w:ascii="宋体" w:hAnsi="宋体"/>
          <w:bCs/>
          <w:szCs w:val="21"/>
        </w:rPr>
      </w:pPr>
      <w:r>
        <w:rPr>
          <w:rFonts w:hint="eastAsia" w:ascii="宋体" w:hAnsi="宋体"/>
          <w:bCs/>
          <w:szCs w:val="21"/>
        </w:rPr>
        <w:t>（1）负责每天来检察院的律师和当事人的登记；</w:t>
      </w:r>
    </w:p>
    <w:p w14:paraId="3F819F1B">
      <w:pPr>
        <w:pStyle w:val="17"/>
        <w:spacing w:line="360" w:lineRule="auto"/>
        <w:ind w:firstLine="403" w:firstLineChars="192"/>
        <w:rPr>
          <w:rFonts w:ascii="宋体" w:hAnsi="宋体"/>
          <w:bCs/>
          <w:szCs w:val="21"/>
        </w:rPr>
      </w:pPr>
      <w:r>
        <w:rPr>
          <w:rFonts w:hint="eastAsia" w:ascii="宋体" w:hAnsi="宋体"/>
          <w:bCs/>
          <w:szCs w:val="21"/>
        </w:rPr>
        <w:t>（2）接听检察官的电话；</w:t>
      </w:r>
    </w:p>
    <w:p w14:paraId="40EB4BD6">
      <w:pPr>
        <w:pStyle w:val="17"/>
        <w:spacing w:line="360" w:lineRule="auto"/>
        <w:ind w:firstLine="403" w:firstLineChars="192"/>
        <w:rPr>
          <w:rFonts w:ascii="宋体" w:hAnsi="宋体"/>
          <w:bCs/>
          <w:szCs w:val="21"/>
        </w:rPr>
      </w:pPr>
      <w:r>
        <w:rPr>
          <w:rFonts w:hint="eastAsia" w:ascii="宋体" w:hAnsi="宋体"/>
          <w:bCs/>
          <w:szCs w:val="21"/>
        </w:rPr>
        <w:t>（3）确认需要进入办案区的人员进入，以及办案人员进入检察院的办案流程说明；</w:t>
      </w:r>
    </w:p>
    <w:p w14:paraId="2684B130">
      <w:pPr>
        <w:pStyle w:val="17"/>
        <w:spacing w:line="360" w:lineRule="auto"/>
        <w:ind w:firstLine="403" w:firstLineChars="192"/>
        <w:rPr>
          <w:rFonts w:ascii="宋体" w:hAnsi="宋体"/>
          <w:bCs/>
          <w:szCs w:val="21"/>
        </w:rPr>
      </w:pPr>
      <w:r>
        <w:rPr>
          <w:rFonts w:hint="eastAsia" w:ascii="宋体" w:hAnsi="宋体"/>
          <w:bCs/>
          <w:szCs w:val="21"/>
        </w:rPr>
        <w:t>（4）配合安检人员的工作。</w:t>
      </w:r>
    </w:p>
    <w:p w14:paraId="3CE552F1">
      <w:pPr>
        <w:pStyle w:val="17"/>
        <w:spacing w:line="360" w:lineRule="auto"/>
        <w:ind w:firstLine="403" w:firstLineChars="192"/>
        <w:rPr>
          <w:rFonts w:ascii="宋体" w:hAnsi="宋体"/>
          <w:bCs/>
          <w:szCs w:val="21"/>
        </w:rPr>
      </w:pPr>
      <w:r>
        <w:rPr>
          <w:rFonts w:hint="eastAsia" w:ascii="宋体" w:hAnsi="宋体"/>
          <w:bCs/>
          <w:szCs w:val="21"/>
        </w:rPr>
        <w:t>人员要求：具备高中及以上文化程度，有相关工作经验。</w:t>
      </w:r>
    </w:p>
    <w:p w14:paraId="6899744D">
      <w:pPr>
        <w:pStyle w:val="17"/>
        <w:spacing w:line="360" w:lineRule="auto"/>
        <w:ind w:firstLine="405" w:firstLineChars="192"/>
        <w:rPr>
          <w:rFonts w:ascii="宋体" w:hAnsi="宋体"/>
          <w:b/>
          <w:bCs/>
          <w:szCs w:val="21"/>
        </w:rPr>
      </w:pPr>
      <w:r>
        <w:rPr>
          <w:rFonts w:ascii="宋体" w:hAnsi="宋体"/>
          <w:b/>
          <w:bCs/>
          <w:szCs w:val="21"/>
        </w:rPr>
        <w:t>6</w:t>
      </w:r>
      <w:r>
        <w:rPr>
          <w:rFonts w:hint="eastAsia" w:ascii="宋体" w:hAnsi="宋体"/>
          <w:b/>
          <w:bCs/>
          <w:szCs w:val="21"/>
        </w:rPr>
        <w:t>、安检岗：</w:t>
      </w:r>
    </w:p>
    <w:p w14:paraId="0ADB5C48">
      <w:pPr>
        <w:pStyle w:val="17"/>
        <w:spacing w:line="360" w:lineRule="auto"/>
        <w:ind w:firstLine="403" w:firstLineChars="192"/>
        <w:rPr>
          <w:rFonts w:ascii="宋体" w:hAnsi="宋体"/>
          <w:bCs/>
          <w:szCs w:val="21"/>
        </w:rPr>
      </w:pPr>
      <w:r>
        <w:rPr>
          <w:rFonts w:hint="eastAsia" w:ascii="宋体" w:hAnsi="宋体"/>
          <w:bCs/>
          <w:szCs w:val="21"/>
        </w:rPr>
        <w:t>（1）安全检查：在办公楼入口处对进入的人员进行安全检查，包括但不限于检查携带物品，防止危险品进入。</w:t>
      </w:r>
    </w:p>
    <w:p w14:paraId="57FCF318">
      <w:pPr>
        <w:pStyle w:val="17"/>
        <w:spacing w:line="360" w:lineRule="auto"/>
        <w:ind w:firstLine="403" w:firstLineChars="192"/>
        <w:rPr>
          <w:rFonts w:ascii="宋体" w:hAnsi="宋体"/>
          <w:bCs/>
          <w:szCs w:val="21"/>
        </w:rPr>
      </w:pPr>
      <w:r>
        <w:rPr>
          <w:rFonts w:hint="eastAsia" w:ascii="宋体" w:hAnsi="宋体"/>
          <w:bCs/>
          <w:szCs w:val="21"/>
        </w:rPr>
        <w:t>（2）秩序维护：确保办公楼内的秩序良好，防止任何形式的混乱或非法行为。</w:t>
      </w:r>
    </w:p>
    <w:p w14:paraId="677421C6">
      <w:pPr>
        <w:pStyle w:val="17"/>
        <w:spacing w:line="360" w:lineRule="auto"/>
        <w:ind w:firstLine="403" w:firstLineChars="192"/>
        <w:rPr>
          <w:rFonts w:ascii="宋体" w:hAnsi="宋体"/>
          <w:bCs/>
          <w:szCs w:val="21"/>
        </w:rPr>
      </w:pPr>
      <w:r>
        <w:rPr>
          <w:rFonts w:hint="eastAsia" w:ascii="宋体" w:hAnsi="宋体"/>
          <w:bCs/>
          <w:szCs w:val="21"/>
        </w:rPr>
        <w:t>沟通协作：与其他安保人员、物业人员以及办公楼的员工保持良好沟通，共同维护办公楼的安全与秩序。</w:t>
      </w:r>
    </w:p>
    <w:p w14:paraId="0361B0A8">
      <w:pPr>
        <w:pStyle w:val="17"/>
        <w:spacing w:line="300" w:lineRule="auto"/>
        <w:ind w:firstLine="403" w:firstLineChars="192"/>
        <w:rPr>
          <w:bCs/>
          <w:szCs w:val="21"/>
        </w:rPr>
      </w:pPr>
      <w:r>
        <w:rPr>
          <w:rFonts w:hint="eastAsia" w:ascii="宋体" w:hAnsi="宋体"/>
          <w:bCs/>
          <w:szCs w:val="21"/>
        </w:rPr>
        <w:t>（3）人员要求：具备高中及以上文化程度、持有保安员上岗证，宜有相关工作经验。</w:t>
      </w:r>
    </w:p>
    <w:p w14:paraId="5BC60561">
      <w:pPr>
        <w:pStyle w:val="17"/>
        <w:spacing w:line="300" w:lineRule="auto"/>
        <w:ind w:firstLine="422" w:firstLineChars="192"/>
        <w:rPr>
          <w:bCs/>
          <w:sz w:val="22"/>
        </w:rPr>
      </w:pPr>
    </w:p>
    <w:p w14:paraId="33BA9FFC">
      <w:pPr>
        <w:pStyle w:val="6"/>
        <w:spacing w:line="360" w:lineRule="auto"/>
        <w:ind w:firstLine="480"/>
        <w:rPr>
          <w:b/>
          <w:bCs/>
        </w:rPr>
      </w:pPr>
      <w:bookmarkStart w:id="0" w:name="_Toc187933505"/>
      <w:r>
        <w:rPr>
          <w:rFonts w:hint="eastAsia"/>
          <w:b/>
          <w:bCs/>
        </w:rPr>
        <w:t>（六）夜间管理具体要求：</w:t>
      </w:r>
      <w:bookmarkEnd w:id="0"/>
    </w:p>
    <w:p w14:paraId="47291ACF">
      <w:pPr>
        <w:pStyle w:val="6"/>
        <w:spacing w:line="360" w:lineRule="auto"/>
        <w:ind w:firstLine="480"/>
        <w:rPr>
          <w:bCs/>
          <w:kern w:val="1"/>
          <w:sz w:val="22"/>
        </w:rPr>
      </w:pPr>
      <w:bookmarkStart w:id="1" w:name="_Toc187933506"/>
      <w:r>
        <w:rPr>
          <w:rFonts w:hint="eastAsia"/>
          <w:bCs/>
          <w:kern w:val="1"/>
          <w:sz w:val="22"/>
        </w:rPr>
        <w:t>严格执行安全防范巡视检查的有关规定，定时对整个管理区域进行巡逻检查，如发现可疑情况，在处置的同时及时报告。按规定时间填写巡视记录（如消防通道、消防设施、消防器材、重要部位等）；随时坚守大门并与监控中心结合，发现情况及时赶赴现场处置应急事故，维护好采购人的办公秩序。执勤队员树立高度的责任心，在巡查过程中，要注意观察，决不放过任何可疑人员和可疑之处，发现异常情况及时报告同时记录在案。</w:t>
      </w:r>
      <w:bookmarkEnd w:id="1"/>
    </w:p>
    <w:p w14:paraId="1CBD5280">
      <w:pPr>
        <w:pStyle w:val="6"/>
        <w:spacing w:line="360" w:lineRule="auto"/>
        <w:ind w:firstLine="480"/>
        <w:rPr>
          <w:b/>
          <w:bCs/>
        </w:rPr>
      </w:pPr>
      <w:r>
        <w:rPr>
          <w:rFonts w:hint="eastAsia"/>
          <w:b/>
          <w:bCs/>
        </w:rPr>
        <w:t>（七）投标报价组成表</w:t>
      </w:r>
    </w:p>
    <w:tbl>
      <w:tblPr>
        <w:tblStyle w:val="12"/>
        <w:tblW w:w="9220" w:type="dxa"/>
        <w:jc w:val="center"/>
        <w:tblLayout w:type="fixed"/>
        <w:tblCellMar>
          <w:top w:w="0" w:type="dxa"/>
          <w:left w:w="0" w:type="dxa"/>
          <w:bottom w:w="0" w:type="dxa"/>
          <w:right w:w="0" w:type="dxa"/>
        </w:tblCellMar>
      </w:tblPr>
      <w:tblGrid>
        <w:gridCol w:w="425"/>
        <w:gridCol w:w="711"/>
        <w:gridCol w:w="1416"/>
        <w:gridCol w:w="5245"/>
        <w:gridCol w:w="1423"/>
      </w:tblGrid>
      <w:tr w14:paraId="1FA25BF3">
        <w:tblPrEx>
          <w:tblCellMar>
            <w:top w:w="0" w:type="dxa"/>
            <w:left w:w="0" w:type="dxa"/>
            <w:bottom w:w="0" w:type="dxa"/>
            <w:right w:w="0" w:type="dxa"/>
          </w:tblCellMar>
        </w:tblPrEx>
        <w:trPr>
          <w:trHeight w:val="567" w:hRule="atLeast"/>
          <w:jc w:val="center"/>
        </w:trPr>
        <w:tc>
          <w:tcPr>
            <w:tcW w:w="2552" w:type="dxa"/>
            <w:gridSpan w:val="3"/>
            <w:tcBorders>
              <w:top w:val="single" w:color="000000" w:sz="4" w:space="0"/>
              <w:left w:val="single" w:color="000000" w:sz="4" w:space="0"/>
              <w:bottom w:val="double" w:color="000000" w:sz="2" w:space="0"/>
              <w:right w:val="single" w:color="000000" w:sz="4" w:space="0"/>
            </w:tcBorders>
            <w:vAlign w:val="center"/>
          </w:tcPr>
          <w:p w14:paraId="592BA79A">
            <w:pPr>
              <w:pStyle w:val="21"/>
              <w:kinsoku w:val="0"/>
              <w:overflowPunct w:val="0"/>
              <w:spacing w:before="140"/>
              <w:ind w:left="961" w:right="959"/>
              <w:jc w:val="center"/>
              <w:rPr>
                <w:rFonts w:hAnsi="宋体"/>
                <w:b/>
                <w:bCs/>
                <w:sz w:val="21"/>
                <w:szCs w:val="21"/>
              </w:rPr>
            </w:pPr>
            <w:r>
              <w:rPr>
                <w:rFonts w:hint="eastAsia" w:hAnsi="宋体"/>
                <w:b/>
                <w:bCs/>
                <w:sz w:val="21"/>
                <w:szCs w:val="21"/>
              </w:rPr>
              <w:t>项目</w:t>
            </w:r>
          </w:p>
        </w:tc>
        <w:tc>
          <w:tcPr>
            <w:tcW w:w="5245" w:type="dxa"/>
            <w:tcBorders>
              <w:top w:val="single" w:color="000000" w:sz="4" w:space="0"/>
              <w:left w:val="single" w:color="000000" w:sz="4" w:space="0"/>
              <w:bottom w:val="double" w:color="000000" w:sz="2" w:space="0"/>
              <w:right w:val="single" w:color="000000" w:sz="4" w:space="0"/>
            </w:tcBorders>
            <w:vAlign w:val="center"/>
          </w:tcPr>
          <w:p w14:paraId="5F388EA5">
            <w:pPr>
              <w:pStyle w:val="21"/>
              <w:kinsoku w:val="0"/>
              <w:overflowPunct w:val="0"/>
              <w:spacing w:before="140"/>
              <w:ind w:left="2344" w:right="2342"/>
              <w:jc w:val="center"/>
              <w:rPr>
                <w:rFonts w:hAnsi="宋体"/>
                <w:b/>
                <w:bCs/>
                <w:sz w:val="21"/>
                <w:szCs w:val="21"/>
              </w:rPr>
            </w:pPr>
            <w:r>
              <w:rPr>
                <w:rFonts w:hint="eastAsia" w:hAnsi="宋体"/>
                <w:b/>
                <w:bCs/>
                <w:sz w:val="21"/>
                <w:szCs w:val="21"/>
              </w:rPr>
              <w:t>要求</w:t>
            </w:r>
          </w:p>
        </w:tc>
        <w:tc>
          <w:tcPr>
            <w:tcW w:w="1423" w:type="dxa"/>
            <w:tcBorders>
              <w:top w:val="single" w:color="000000" w:sz="4" w:space="0"/>
              <w:left w:val="single" w:color="000000" w:sz="4" w:space="0"/>
              <w:bottom w:val="double" w:color="000000" w:sz="2" w:space="0"/>
              <w:right w:val="single" w:color="000000" w:sz="4" w:space="0"/>
            </w:tcBorders>
            <w:vAlign w:val="center"/>
          </w:tcPr>
          <w:p w14:paraId="4218E15A">
            <w:pPr>
              <w:pStyle w:val="21"/>
              <w:kinsoku w:val="0"/>
              <w:overflowPunct w:val="0"/>
              <w:spacing w:before="140"/>
              <w:ind w:left="366"/>
              <w:rPr>
                <w:rFonts w:hAnsi="宋体"/>
                <w:b/>
                <w:bCs/>
                <w:sz w:val="21"/>
                <w:szCs w:val="21"/>
              </w:rPr>
            </w:pPr>
            <w:r>
              <w:rPr>
                <w:rFonts w:hint="eastAsia" w:hAnsi="宋体"/>
                <w:b/>
                <w:bCs/>
                <w:sz w:val="21"/>
                <w:szCs w:val="21"/>
              </w:rPr>
              <w:t>分项报价</w:t>
            </w:r>
          </w:p>
        </w:tc>
      </w:tr>
      <w:tr w14:paraId="29FD18AA">
        <w:tblPrEx>
          <w:tblCellMar>
            <w:top w:w="0" w:type="dxa"/>
            <w:left w:w="0" w:type="dxa"/>
            <w:bottom w:w="0" w:type="dxa"/>
            <w:right w:w="0" w:type="dxa"/>
          </w:tblCellMar>
        </w:tblPrEx>
        <w:trPr>
          <w:trHeight w:val="1141" w:hRule="atLeast"/>
          <w:jc w:val="center"/>
        </w:trPr>
        <w:tc>
          <w:tcPr>
            <w:tcW w:w="425" w:type="dxa"/>
            <w:vMerge w:val="restart"/>
            <w:tcBorders>
              <w:top w:val="double" w:color="000000" w:sz="2" w:space="0"/>
              <w:left w:val="single" w:color="000000" w:sz="4" w:space="0"/>
              <w:bottom w:val="single" w:color="000000" w:sz="4" w:space="0"/>
              <w:right w:val="single" w:color="000000" w:sz="4" w:space="0"/>
            </w:tcBorders>
            <w:vAlign w:val="center"/>
          </w:tcPr>
          <w:p w14:paraId="21F476A8">
            <w:pPr>
              <w:pStyle w:val="21"/>
              <w:kinsoku w:val="0"/>
              <w:overflowPunct w:val="0"/>
              <w:rPr>
                <w:rFonts w:hAnsi="宋体"/>
                <w:sz w:val="21"/>
                <w:szCs w:val="21"/>
              </w:rPr>
            </w:pPr>
          </w:p>
          <w:p w14:paraId="70DF61C8">
            <w:pPr>
              <w:pStyle w:val="21"/>
              <w:kinsoku w:val="0"/>
              <w:overflowPunct w:val="0"/>
              <w:rPr>
                <w:rFonts w:hAnsi="宋体"/>
                <w:sz w:val="21"/>
                <w:szCs w:val="21"/>
              </w:rPr>
            </w:pPr>
          </w:p>
          <w:p w14:paraId="78A67972">
            <w:pPr>
              <w:pStyle w:val="21"/>
              <w:kinsoku w:val="0"/>
              <w:overflowPunct w:val="0"/>
              <w:rPr>
                <w:rFonts w:hAnsi="宋体"/>
                <w:sz w:val="21"/>
                <w:szCs w:val="21"/>
              </w:rPr>
            </w:pPr>
          </w:p>
          <w:p w14:paraId="75D265BE">
            <w:pPr>
              <w:pStyle w:val="21"/>
              <w:kinsoku w:val="0"/>
              <w:overflowPunct w:val="0"/>
              <w:spacing w:before="11"/>
              <w:rPr>
                <w:rFonts w:hAnsi="宋体"/>
                <w:sz w:val="21"/>
                <w:szCs w:val="21"/>
              </w:rPr>
            </w:pPr>
          </w:p>
          <w:p w14:paraId="0205437B">
            <w:pPr>
              <w:pStyle w:val="21"/>
              <w:kinsoku w:val="0"/>
              <w:overflowPunct w:val="0"/>
              <w:spacing w:before="1"/>
              <w:ind w:left="7"/>
              <w:jc w:val="center"/>
              <w:rPr>
                <w:rFonts w:hAnsi="宋体" w:cs="Times New Roman"/>
                <w:sz w:val="21"/>
                <w:szCs w:val="21"/>
              </w:rPr>
            </w:pPr>
            <w:r>
              <w:rPr>
                <w:rFonts w:hAnsi="宋体" w:cs="Times New Roman"/>
                <w:sz w:val="21"/>
                <w:szCs w:val="21"/>
              </w:rPr>
              <w:t>1</w:t>
            </w:r>
          </w:p>
        </w:tc>
        <w:tc>
          <w:tcPr>
            <w:tcW w:w="711" w:type="dxa"/>
            <w:vMerge w:val="restart"/>
            <w:tcBorders>
              <w:top w:val="double" w:color="000000" w:sz="2" w:space="0"/>
              <w:left w:val="single" w:color="000000" w:sz="4" w:space="0"/>
              <w:bottom w:val="single" w:color="000000" w:sz="4" w:space="0"/>
              <w:right w:val="single" w:color="000000" w:sz="4" w:space="0"/>
            </w:tcBorders>
            <w:vAlign w:val="center"/>
          </w:tcPr>
          <w:p w14:paraId="71584A08">
            <w:pPr>
              <w:pStyle w:val="21"/>
              <w:kinsoku w:val="0"/>
              <w:overflowPunct w:val="0"/>
              <w:rPr>
                <w:rFonts w:hAnsi="宋体"/>
                <w:sz w:val="21"/>
                <w:szCs w:val="21"/>
              </w:rPr>
            </w:pPr>
          </w:p>
          <w:p w14:paraId="6C9A3EF8">
            <w:pPr>
              <w:pStyle w:val="21"/>
              <w:kinsoku w:val="0"/>
              <w:overflowPunct w:val="0"/>
              <w:rPr>
                <w:rFonts w:hAnsi="宋体"/>
                <w:sz w:val="21"/>
                <w:szCs w:val="21"/>
              </w:rPr>
            </w:pPr>
          </w:p>
          <w:p w14:paraId="6DF16123">
            <w:pPr>
              <w:pStyle w:val="21"/>
              <w:kinsoku w:val="0"/>
              <w:overflowPunct w:val="0"/>
              <w:rPr>
                <w:rFonts w:hAnsi="宋体"/>
                <w:sz w:val="21"/>
                <w:szCs w:val="21"/>
              </w:rPr>
            </w:pPr>
          </w:p>
          <w:p w14:paraId="77B0AE06">
            <w:pPr>
              <w:pStyle w:val="21"/>
              <w:kinsoku w:val="0"/>
              <w:overflowPunct w:val="0"/>
              <w:spacing w:before="165" w:line="242" w:lineRule="auto"/>
              <w:ind w:left="134" w:right="123"/>
              <w:jc w:val="both"/>
              <w:rPr>
                <w:rFonts w:hAnsi="宋体"/>
                <w:sz w:val="21"/>
                <w:szCs w:val="21"/>
              </w:rPr>
            </w:pPr>
            <w:r>
              <w:rPr>
                <w:rFonts w:hint="eastAsia" w:hAnsi="宋体"/>
                <w:sz w:val="21"/>
                <w:szCs w:val="21"/>
              </w:rPr>
              <w:t>人员费用</w:t>
            </w:r>
          </w:p>
        </w:tc>
        <w:tc>
          <w:tcPr>
            <w:tcW w:w="1416" w:type="dxa"/>
            <w:tcBorders>
              <w:top w:val="double" w:color="000000" w:sz="2" w:space="0"/>
              <w:left w:val="single" w:color="000000" w:sz="4" w:space="0"/>
              <w:bottom w:val="single" w:color="000000" w:sz="4" w:space="0"/>
              <w:right w:val="single" w:color="000000" w:sz="4" w:space="0"/>
            </w:tcBorders>
            <w:vAlign w:val="center"/>
          </w:tcPr>
          <w:p w14:paraId="6EDB5F76">
            <w:pPr>
              <w:pStyle w:val="21"/>
              <w:kinsoku w:val="0"/>
              <w:overflowPunct w:val="0"/>
              <w:spacing w:before="143"/>
              <w:ind w:left="174" w:right="171"/>
              <w:jc w:val="center"/>
              <w:rPr>
                <w:rFonts w:hAnsi="宋体"/>
                <w:sz w:val="21"/>
                <w:szCs w:val="21"/>
              </w:rPr>
            </w:pPr>
            <w:r>
              <w:rPr>
                <w:rFonts w:hint="eastAsia" w:hAnsi="宋体"/>
                <w:sz w:val="21"/>
                <w:szCs w:val="21"/>
              </w:rPr>
              <w:t>基本工资</w:t>
            </w:r>
          </w:p>
        </w:tc>
        <w:tc>
          <w:tcPr>
            <w:tcW w:w="5245" w:type="dxa"/>
            <w:tcBorders>
              <w:top w:val="double" w:color="000000" w:sz="2" w:space="0"/>
              <w:left w:val="single" w:color="000000" w:sz="4" w:space="0"/>
              <w:bottom w:val="single" w:color="000000" w:sz="4" w:space="0"/>
              <w:right w:val="single" w:color="000000" w:sz="4" w:space="0"/>
            </w:tcBorders>
            <w:vAlign w:val="center"/>
          </w:tcPr>
          <w:p w14:paraId="67E9510E">
            <w:pPr>
              <w:pStyle w:val="21"/>
              <w:kinsoku w:val="0"/>
              <w:overflowPunct w:val="0"/>
              <w:spacing w:line="242" w:lineRule="auto"/>
              <w:ind w:left="105" w:right="220"/>
              <w:rPr>
                <w:rFonts w:hAnsi="宋体"/>
                <w:sz w:val="21"/>
                <w:szCs w:val="21"/>
              </w:rPr>
            </w:pPr>
            <w:r>
              <w:rPr>
                <w:rFonts w:hint="eastAsia" w:hAnsi="宋体"/>
                <w:sz w:val="21"/>
                <w:szCs w:val="21"/>
              </w:rPr>
              <w:t>基本工资即根据劳动合同约定或国家及企业规章制度规定的工资标准计算的工资。</w:t>
            </w:r>
          </w:p>
          <w:p w14:paraId="1D715570">
            <w:pPr>
              <w:pStyle w:val="21"/>
              <w:kinsoku w:val="0"/>
              <w:overflowPunct w:val="0"/>
              <w:ind w:left="105"/>
              <w:rPr>
                <w:rFonts w:hAnsi="宋体"/>
                <w:sz w:val="21"/>
                <w:szCs w:val="21"/>
              </w:rPr>
            </w:pPr>
            <w:r>
              <w:rPr>
                <w:rFonts w:hint="eastAsia" w:hAnsi="宋体"/>
                <w:sz w:val="21"/>
                <w:szCs w:val="21"/>
              </w:rPr>
              <w:t>员工的基本工资符合国家、地方相关管理部门的规定。</w:t>
            </w:r>
          </w:p>
        </w:tc>
        <w:tc>
          <w:tcPr>
            <w:tcW w:w="1423" w:type="dxa"/>
            <w:tcBorders>
              <w:top w:val="double" w:color="000000" w:sz="2" w:space="0"/>
              <w:left w:val="single" w:color="000000" w:sz="4" w:space="0"/>
              <w:bottom w:val="single" w:color="000000" w:sz="4" w:space="0"/>
              <w:right w:val="single" w:color="000000" w:sz="4" w:space="0"/>
            </w:tcBorders>
            <w:vAlign w:val="center"/>
          </w:tcPr>
          <w:p w14:paraId="649F86DB">
            <w:pPr>
              <w:pStyle w:val="21"/>
              <w:kinsoku w:val="0"/>
              <w:overflowPunct w:val="0"/>
              <w:spacing w:before="142" w:line="242" w:lineRule="auto"/>
              <w:ind w:left="147" w:right="146"/>
              <w:jc w:val="center"/>
              <w:rPr>
                <w:rFonts w:hAnsi="宋体"/>
                <w:sz w:val="21"/>
                <w:szCs w:val="21"/>
              </w:rPr>
            </w:pPr>
          </w:p>
        </w:tc>
      </w:tr>
      <w:tr w14:paraId="3DB84455">
        <w:tblPrEx>
          <w:tblCellMar>
            <w:top w:w="0" w:type="dxa"/>
            <w:left w:w="0" w:type="dxa"/>
            <w:bottom w:w="0" w:type="dxa"/>
            <w:right w:w="0" w:type="dxa"/>
          </w:tblCellMar>
        </w:tblPrEx>
        <w:trPr>
          <w:trHeight w:val="570" w:hRule="atLeast"/>
          <w:jc w:val="center"/>
        </w:trPr>
        <w:tc>
          <w:tcPr>
            <w:tcW w:w="425" w:type="dxa"/>
            <w:vMerge w:val="continue"/>
            <w:tcBorders>
              <w:top w:val="nil"/>
              <w:left w:val="single" w:color="000000" w:sz="4" w:space="0"/>
              <w:bottom w:val="single" w:color="000000" w:sz="4" w:space="0"/>
              <w:right w:val="single" w:color="000000" w:sz="4" w:space="0"/>
            </w:tcBorders>
            <w:vAlign w:val="center"/>
          </w:tcPr>
          <w:p w14:paraId="5C4F879C">
            <w:pPr>
              <w:pStyle w:val="17"/>
              <w:numPr>
                <w:ilvl w:val="1"/>
                <w:numId w:val="2"/>
              </w:numPr>
              <w:tabs>
                <w:tab w:val="left" w:pos="2214"/>
              </w:tabs>
              <w:kinsoku w:val="0"/>
              <w:overflowPunct w:val="0"/>
              <w:autoSpaceDE w:val="0"/>
              <w:autoSpaceDN w:val="0"/>
              <w:adjustRightInd w:val="0"/>
              <w:spacing w:before="4" w:after="5"/>
              <w:ind w:left="2214" w:hanging="497" w:firstLineChars="0"/>
              <w:jc w:val="left"/>
              <w:rPr>
                <w:rFonts w:ascii="宋体" w:hAnsi="宋体"/>
                <w:spacing w:val="-3"/>
                <w:szCs w:val="21"/>
              </w:rPr>
            </w:pPr>
          </w:p>
        </w:tc>
        <w:tc>
          <w:tcPr>
            <w:tcW w:w="711" w:type="dxa"/>
            <w:vMerge w:val="continue"/>
            <w:tcBorders>
              <w:top w:val="nil"/>
              <w:left w:val="single" w:color="000000" w:sz="4" w:space="0"/>
              <w:bottom w:val="single" w:color="000000" w:sz="4" w:space="0"/>
              <w:right w:val="single" w:color="000000" w:sz="4" w:space="0"/>
            </w:tcBorders>
            <w:vAlign w:val="center"/>
          </w:tcPr>
          <w:p w14:paraId="6D61F147">
            <w:pPr>
              <w:pStyle w:val="17"/>
              <w:numPr>
                <w:ilvl w:val="1"/>
                <w:numId w:val="2"/>
              </w:numPr>
              <w:tabs>
                <w:tab w:val="left" w:pos="2214"/>
              </w:tabs>
              <w:kinsoku w:val="0"/>
              <w:overflowPunct w:val="0"/>
              <w:autoSpaceDE w:val="0"/>
              <w:autoSpaceDN w:val="0"/>
              <w:adjustRightInd w:val="0"/>
              <w:spacing w:before="4" w:after="5"/>
              <w:ind w:left="2214" w:hanging="497" w:firstLineChars="0"/>
              <w:jc w:val="left"/>
              <w:rPr>
                <w:rFonts w:ascii="宋体" w:hAnsi="宋体"/>
                <w:spacing w:val="-3"/>
                <w:szCs w:val="21"/>
              </w:rPr>
            </w:pPr>
          </w:p>
        </w:tc>
        <w:tc>
          <w:tcPr>
            <w:tcW w:w="1416" w:type="dxa"/>
            <w:tcBorders>
              <w:top w:val="single" w:color="000000" w:sz="4" w:space="0"/>
              <w:left w:val="single" w:color="000000" w:sz="4" w:space="0"/>
              <w:bottom w:val="single" w:color="000000" w:sz="4" w:space="0"/>
              <w:right w:val="single" w:color="000000" w:sz="4" w:space="0"/>
            </w:tcBorders>
            <w:vAlign w:val="center"/>
          </w:tcPr>
          <w:p w14:paraId="72BB3251">
            <w:pPr>
              <w:pStyle w:val="21"/>
              <w:kinsoku w:val="0"/>
              <w:overflowPunct w:val="0"/>
              <w:spacing w:line="280" w:lineRule="exact"/>
              <w:ind w:left="174" w:right="171"/>
              <w:jc w:val="center"/>
              <w:rPr>
                <w:rFonts w:hAnsi="宋体"/>
                <w:sz w:val="21"/>
                <w:szCs w:val="21"/>
              </w:rPr>
            </w:pPr>
            <w:r>
              <w:rPr>
                <w:rFonts w:hint="eastAsia" w:hAnsi="宋体"/>
                <w:sz w:val="21"/>
                <w:szCs w:val="21"/>
              </w:rPr>
              <w:t>社会保险费</w:t>
            </w:r>
          </w:p>
        </w:tc>
        <w:tc>
          <w:tcPr>
            <w:tcW w:w="5245" w:type="dxa"/>
            <w:tcBorders>
              <w:top w:val="single" w:color="000000" w:sz="4" w:space="0"/>
              <w:left w:val="single" w:color="000000" w:sz="4" w:space="0"/>
              <w:bottom w:val="single" w:color="000000" w:sz="4" w:space="0"/>
              <w:right w:val="single" w:color="000000" w:sz="4" w:space="0"/>
            </w:tcBorders>
            <w:vAlign w:val="center"/>
          </w:tcPr>
          <w:p w14:paraId="72C15C75">
            <w:pPr>
              <w:pStyle w:val="21"/>
              <w:kinsoku w:val="0"/>
              <w:overflowPunct w:val="0"/>
              <w:spacing w:before="140"/>
              <w:ind w:left="105"/>
              <w:rPr>
                <w:rFonts w:hAnsi="宋体"/>
                <w:sz w:val="21"/>
                <w:szCs w:val="21"/>
              </w:rPr>
            </w:pPr>
            <w:r>
              <w:rPr>
                <w:rFonts w:hint="eastAsia" w:hAnsi="宋体"/>
                <w:sz w:val="21"/>
                <w:szCs w:val="21"/>
              </w:rPr>
              <w:t>按国家及上海市规定计取。</w:t>
            </w:r>
          </w:p>
        </w:tc>
        <w:tc>
          <w:tcPr>
            <w:tcW w:w="1423" w:type="dxa"/>
            <w:tcBorders>
              <w:top w:val="single" w:color="000000" w:sz="4" w:space="0"/>
              <w:left w:val="single" w:color="000000" w:sz="4" w:space="0"/>
              <w:bottom w:val="single" w:color="000000" w:sz="4" w:space="0"/>
              <w:right w:val="single" w:color="000000" w:sz="4" w:space="0"/>
            </w:tcBorders>
            <w:vAlign w:val="center"/>
          </w:tcPr>
          <w:p w14:paraId="459C59DF">
            <w:pPr>
              <w:pStyle w:val="21"/>
              <w:kinsoku w:val="0"/>
              <w:overflowPunct w:val="0"/>
              <w:rPr>
                <w:rFonts w:hAnsi="宋体" w:cs="Times New Roman"/>
                <w:sz w:val="21"/>
                <w:szCs w:val="21"/>
              </w:rPr>
            </w:pPr>
          </w:p>
        </w:tc>
      </w:tr>
      <w:tr w14:paraId="4585F84B">
        <w:tblPrEx>
          <w:tblCellMar>
            <w:top w:w="0" w:type="dxa"/>
            <w:left w:w="0" w:type="dxa"/>
            <w:bottom w:w="0" w:type="dxa"/>
            <w:right w:w="0" w:type="dxa"/>
          </w:tblCellMar>
        </w:tblPrEx>
        <w:trPr>
          <w:trHeight w:val="570" w:hRule="atLeast"/>
          <w:jc w:val="center"/>
        </w:trPr>
        <w:tc>
          <w:tcPr>
            <w:tcW w:w="425" w:type="dxa"/>
            <w:vMerge w:val="continue"/>
            <w:tcBorders>
              <w:top w:val="nil"/>
              <w:left w:val="single" w:color="000000" w:sz="4" w:space="0"/>
              <w:bottom w:val="single" w:color="000000" w:sz="4" w:space="0"/>
              <w:right w:val="single" w:color="000000" w:sz="4" w:space="0"/>
            </w:tcBorders>
            <w:vAlign w:val="center"/>
          </w:tcPr>
          <w:p w14:paraId="3BB51513">
            <w:pPr>
              <w:pStyle w:val="17"/>
              <w:numPr>
                <w:ilvl w:val="1"/>
                <w:numId w:val="2"/>
              </w:numPr>
              <w:tabs>
                <w:tab w:val="left" w:pos="2214"/>
              </w:tabs>
              <w:kinsoku w:val="0"/>
              <w:overflowPunct w:val="0"/>
              <w:autoSpaceDE w:val="0"/>
              <w:autoSpaceDN w:val="0"/>
              <w:adjustRightInd w:val="0"/>
              <w:spacing w:before="4" w:after="5"/>
              <w:ind w:left="2214" w:hanging="497" w:firstLineChars="0"/>
              <w:jc w:val="left"/>
              <w:rPr>
                <w:rFonts w:ascii="宋体" w:hAnsi="宋体"/>
                <w:spacing w:val="-3"/>
                <w:szCs w:val="21"/>
              </w:rPr>
            </w:pPr>
          </w:p>
        </w:tc>
        <w:tc>
          <w:tcPr>
            <w:tcW w:w="711" w:type="dxa"/>
            <w:vMerge w:val="continue"/>
            <w:tcBorders>
              <w:top w:val="nil"/>
              <w:left w:val="single" w:color="000000" w:sz="4" w:space="0"/>
              <w:bottom w:val="single" w:color="000000" w:sz="4" w:space="0"/>
              <w:right w:val="single" w:color="000000" w:sz="4" w:space="0"/>
            </w:tcBorders>
            <w:vAlign w:val="center"/>
          </w:tcPr>
          <w:p w14:paraId="2A5CBAE5">
            <w:pPr>
              <w:pStyle w:val="17"/>
              <w:numPr>
                <w:ilvl w:val="1"/>
                <w:numId w:val="2"/>
              </w:numPr>
              <w:tabs>
                <w:tab w:val="left" w:pos="2214"/>
              </w:tabs>
              <w:kinsoku w:val="0"/>
              <w:overflowPunct w:val="0"/>
              <w:autoSpaceDE w:val="0"/>
              <w:autoSpaceDN w:val="0"/>
              <w:adjustRightInd w:val="0"/>
              <w:spacing w:before="4" w:after="5"/>
              <w:ind w:left="2214" w:hanging="497" w:firstLineChars="0"/>
              <w:jc w:val="left"/>
              <w:rPr>
                <w:rFonts w:ascii="宋体" w:hAnsi="宋体"/>
                <w:spacing w:val="-3"/>
                <w:szCs w:val="21"/>
              </w:rPr>
            </w:pPr>
          </w:p>
        </w:tc>
        <w:tc>
          <w:tcPr>
            <w:tcW w:w="1416" w:type="dxa"/>
            <w:tcBorders>
              <w:top w:val="single" w:color="000000" w:sz="4" w:space="0"/>
              <w:left w:val="single" w:color="000000" w:sz="4" w:space="0"/>
              <w:bottom w:val="single" w:color="000000" w:sz="4" w:space="0"/>
              <w:right w:val="single" w:color="000000" w:sz="4" w:space="0"/>
            </w:tcBorders>
            <w:vAlign w:val="center"/>
          </w:tcPr>
          <w:p w14:paraId="092054B5">
            <w:pPr>
              <w:pStyle w:val="21"/>
              <w:kinsoku w:val="0"/>
              <w:overflowPunct w:val="0"/>
              <w:spacing w:before="139"/>
              <w:ind w:left="174" w:right="171"/>
              <w:jc w:val="center"/>
              <w:rPr>
                <w:rFonts w:hAnsi="宋体"/>
                <w:sz w:val="21"/>
                <w:szCs w:val="21"/>
              </w:rPr>
            </w:pPr>
            <w:r>
              <w:rPr>
                <w:rFonts w:hint="eastAsia" w:hAnsi="宋体"/>
                <w:sz w:val="21"/>
                <w:szCs w:val="21"/>
              </w:rPr>
              <w:t>福利费</w:t>
            </w:r>
          </w:p>
        </w:tc>
        <w:tc>
          <w:tcPr>
            <w:tcW w:w="5245" w:type="dxa"/>
            <w:tcBorders>
              <w:top w:val="single" w:color="000000" w:sz="4" w:space="0"/>
              <w:left w:val="single" w:color="000000" w:sz="4" w:space="0"/>
              <w:bottom w:val="single" w:color="000000" w:sz="4" w:space="0"/>
              <w:right w:val="single" w:color="000000" w:sz="4" w:space="0"/>
            </w:tcBorders>
            <w:vAlign w:val="center"/>
          </w:tcPr>
          <w:p w14:paraId="17363755">
            <w:pPr>
              <w:pStyle w:val="21"/>
              <w:kinsoku w:val="0"/>
              <w:overflowPunct w:val="0"/>
              <w:spacing w:line="280" w:lineRule="exact"/>
              <w:ind w:left="105"/>
              <w:rPr>
                <w:rFonts w:hAnsi="宋体"/>
                <w:sz w:val="21"/>
                <w:szCs w:val="21"/>
              </w:rPr>
            </w:pPr>
            <w:r>
              <w:rPr>
                <w:rFonts w:hint="eastAsia" w:hAnsi="宋体"/>
                <w:sz w:val="21"/>
                <w:szCs w:val="21"/>
              </w:rPr>
              <w:t>包括伙食补贴、服装费、高温费、带薪年休等费用</w:t>
            </w:r>
          </w:p>
        </w:tc>
        <w:tc>
          <w:tcPr>
            <w:tcW w:w="1423" w:type="dxa"/>
            <w:tcBorders>
              <w:top w:val="single" w:color="000000" w:sz="4" w:space="0"/>
              <w:left w:val="single" w:color="000000" w:sz="4" w:space="0"/>
              <w:bottom w:val="single" w:color="000000" w:sz="4" w:space="0"/>
              <w:right w:val="single" w:color="000000" w:sz="4" w:space="0"/>
            </w:tcBorders>
            <w:vAlign w:val="center"/>
          </w:tcPr>
          <w:p w14:paraId="5E57C1C2">
            <w:pPr>
              <w:pStyle w:val="21"/>
              <w:kinsoku w:val="0"/>
              <w:overflowPunct w:val="0"/>
              <w:spacing w:before="139"/>
              <w:ind w:left="368"/>
              <w:rPr>
                <w:rFonts w:hAnsi="宋体"/>
                <w:sz w:val="21"/>
                <w:szCs w:val="21"/>
              </w:rPr>
            </w:pPr>
          </w:p>
        </w:tc>
      </w:tr>
      <w:tr w14:paraId="5390619F">
        <w:tblPrEx>
          <w:tblCellMar>
            <w:top w:w="0" w:type="dxa"/>
            <w:left w:w="0" w:type="dxa"/>
            <w:bottom w:w="0" w:type="dxa"/>
            <w:right w:w="0" w:type="dxa"/>
          </w:tblCellMar>
        </w:tblPrEx>
        <w:trPr>
          <w:trHeight w:val="566" w:hRule="atLeast"/>
          <w:jc w:val="center"/>
        </w:trPr>
        <w:tc>
          <w:tcPr>
            <w:tcW w:w="425" w:type="dxa"/>
            <w:vMerge w:val="continue"/>
            <w:tcBorders>
              <w:top w:val="nil"/>
              <w:left w:val="single" w:color="000000" w:sz="4" w:space="0"/>
              <w:bottom w:val="single" w:color="000000" w:sz="4" w:space="0"/>
              <w:right w:val="single" w:color="000000" w:sz="4" w:space="0"/>
            </w:tcBorders>
            <w:vAlign w:val="center"/>
          </w:tcPr>
          <w:p w14:paraId="0356D683">
            <w:pPr>
              <w:pStyle w:val="17"/>
              <w:numPr>
                <w:ilvl w:val="1"/>
                <w:numId w:val="2"/>
              </w:numPr>
              <w:tabs>
                <w:tab w:val="left" w:pos="2214"/>
              </w:tabs>
              <w:kinsoku w:val="0"/>
              <w:overflowPunct w:val="0"/>
              <w:autoSpaceDE w:val="0"/>
              <w:autoSpaceDN w:val="0"/>
              <w:adjustRightInd w:val="0"/>
              <w:spacing w:before="4" w:after="5"/>
              <w:ind w:left="2214" w:hanging="497" w:firstLineChars="0"/>
              <w:jc w:val="left"/>
              <w:rPr>
                <w:rFonts w:ascii="宋体" w:hAnsi="宋体"/>
                <w:spacing w:val="-3"/>
                <w:szCs w:val="21"/>
              </w:rPr>
            </w:pPr>
          </w:p>
        </w:tc>
        <w:tc>
          <w:tcPr>
            <w:tcW w:w="711" w:type="dxa"/>
            <w:vMerge w:val="continue"/>
            <w:tcBorders>
              <w:top w:val="nil"/>
              <w:left w:val="single" w:color="000000" w:sz="4" w:space="0"/>
              <w:bottom w:val="single" w:color="000000" w:sz="4" w:space="0"/>
              <w:right w:val="single" w:color="000000" w:sz="4" w:space="0"/>
            </w:tcBorders>
            <w:vAlign w:val="center"/>
          </w:tcPr>
          <w:p w14:paraId="338F3E56">
            <w:pPr>
              <w:pStyle w:val="17"/>
              <w:numPr>
                <w:ilvl w:val="1"/>
                <w:numId w:val="2"/>
              </w:numPr>
              <w:tabs>
                <w:tab w:val="left" w:pos="2214"/>
              </w:tabs>
              <w:kinsoku w:val="0"/>
              <w:overflowPunct w:val="0"/>
              <w:autoSpaceDE w:val="0"/>
              <w:autoSpaceDN w:val="0"/>
              <w:adjustRightInd w:val="0"/>
              <w:spacing w:before="4" w:after="5"/>
              <w:ind w:left="2214" w:hanging="497" w:firstLineChars="0"/>
              <w:jc w:val="left"/>
              <w:rPr>
                <w:rFonts w:ascii="宋体" w:hAnsi="宋体"/>
                <w:spacing w:val="-3"/>
                <w:szCs w:val="21"/>
              </w:rPr>
            </w:pPr>
          </w:p>
        </w:tc>
        <w:tc>
          <w:tcPr>
            <w:tcW w:w="1416" w:type="dxa"/>
            <w:tcBorders>
              <w:top w:val="single" w:color="000000" w:sz="4" w:space="0"/>
              <w:left w:val="single" w:color="000000" w:sz="4" w:space="0"/>
              <w:bottom w:val="single" w:color="000000" w:sz="4" w:space="0"/>
              <w:right w:val="single" w:color="000000" w:sz="4" w:space="0"/>
            </w:tcBorders>
            <w:vAlign w:val="center"/>
          </w:tcPr>
          <w:p w14:paraId="6E361EB2">
            <w:pPr>
              <w:pStyle w:val="21"/>
              <w:kinsoku w:val="0"/>
              <w:overflowPunct w:val="0"/>
              <w:spacing w:before="137"/>
              <w:ind w:left="174" w:right="171"/>
              <w:jc w:val="center"/>
              <w:rPr>
                <w:rFonts w:hAnsi="宋体"/>
                <w:sz w:val="21"/>
                <w:szCs w:val="21"/>
              </w:rPr>
            </w:pPr>
            <w:r>
              <w:rPr>
                <w:rFonts w:hint="eastAsia" w:hAnsi="宋体"/>
                <w:sz w:val="21"/>
                <w:szCs w:val="21"/>
              </w:rPr>
              <w:t>培训费</w:t>
            </w:r>
          </w:p>
        </w:tc>
        <w:tc>
          <w:tcPr>
            <w:tcW w:w="5245" w:type="dxa"/>
            <w:tcBorders>
              <w:top w:val="single" w:color="000000" w:sz="4" w:space="0"/>
              <w:left w:val="single" w:color="000000" w:sz="4" w:space="0"/>
              <w:bottom w:val="single" w:color="000000" w:sz="4" w:space="0"/>
              <w:right w:val="single" w:color="000000" w:sz="4" w:space="0"/>
            </w:tcBorders>
            <w:vAlign w:val="center"/>
          </w:tcPr>
          <w:p w14:paraId="26D05268">
            <w:pPr>
              <w:pStyle w:val="21"/>
              <w:kinsoku w:val="0"/>
              <w:overflowPunct w:val="0"/>
              <w:spacing w:before="137"/>
              <w:ind w:left="1704"/>
              <w:rPr>
                <w:rFonts w:hAnsi="宋体"/>
                <w:sz w:val="21"/>
                <w:szCs w:val="21"/>
              </w:rPr>
            </w:pPr>
            <w:r>
              <w:rPr>
                <w:rFonts w:hint="eastAsia" w:hAnsi="宋体"/>
                <w:sz w:val="21"/>
                <w:szCs w:val="21"/>
              </w:rPr>
              <w:t>员工的日常培训费</w:t>
            </w:r>
          </w:p>
        </w:tc>
        <w:tc>
          <w:tcPr>
            <w:tcW w:w="1423" w:type="dxa"/>
            <w:tcBorders>
              <w:top w:val="single" w:color="000000" w:sz="4" w:space="0"/>
              <w:left w:val="single" w:color="000000" w:sz="4" w:space="0"/>
              <w:bottom w:val="single" w:color="000000" w:sz="4" w:space="0"/>
              <w:right w:val="single" w:color="000000" w:sz="4" w:space="0"/>
            </w:tcBorders>
            <w:vAlign w:val="center"/>
          </w:tcPr>
          <w:p w14:paraId="7ED07DC9">
            <w:pPr>
              <w:pStyle w:val="21"/>
              <w:kinsoku w:val="0"/>
              <w:overflowPunct w:val="0"/>
              <w:rPr>
                <w:rFonts w:hAnsi="宋体" w:cs="Times New Roman"/>
                <w:sz w:val="21"/>
                <w:szCs w:val="21"/>
              </w:rPr>
            </w:pPr>
          </w:p>
        </w:tc>
      </w:tr>
      <w:tr w14:paraId="309AB3BC">
        <w:tblPrEx>
          <w:tblCellMar>
            <w:top w:w="0" w:type="dxa"/>
            <w:left w:w="0" w:type="dxa"/>
            <w:bottom w:w="0" w:type="dxa"/>
            <w:right w:w="0" w:type="dxa"/>
          </w:tblCellMar>
        </w:tblPrEx>
        <w:trPr>
          <w:trHeight w:val="568"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14:paraId="48C4A9E0">
            <w:pPr>
              <w:pStyle w:val="21"/>
              <w:kinsoku w:val="0"/>
              <w:overflowPunct w:val="0"/>
              <w:spacing w:before="152"/>
              <w:ind w:left="7"/>
              <w:jc w:val="center"/>
              <w:rPr>
                <w:rFonts w:hAnsi="宋体" w:cs="Times New Roman"/>
                <w:sz w:val="21"/>
                <w:szCs w:val="21"/>
              </w:rPr>
            </w:pPr>
            <w:r>
              <w:rPr>
                <w:rFonts w:hAnsi="宋体" w:cs="Times New Roman"/>
                <w:sz w:val="21"/>
                <w:szCs w:val="21"/>
              </w:rPr>
              <w:t>2</w:t>
            </w:r>
          </w:p>
        </w:tc>
        <w:tc>
          <w:tcPr>
            <w:tcW w:w="2127" w:type="dxa"/>
            <w:gridSpan w:val="2"/>
            <w:tcBorders>
              <w:top w:val="single" w:color="000000" w:sz="4" w:space="0"/>
              <w:left w:val="single" w:color="000000" w:sz="4" w:space="0"/>
              <w:bottom w:val="single" w:color="000000" w:sz="4" w:space="0"/>
              <w:right w:val="single" w:color="000000" w:sz="4" w:space="0"/>
            </w:tcBorders>
            <w:vAlign w:val="center"/>
          </w:tcPr>
          <w:p w14:paraId="7EA85929">
            <w:pPr>
              <w:pStyle w:val="21"/>
              <w:kinsoku w:val="0"/>
              <w:overflowPunct w:val="0"/>
              <w:spacing w:before="139"/>
              <w:ind w:left="753" w:right="744"/>
              <w:jc w:val="center"/>
              <w:rPr>
                <w:rFonts w:hAnsi="宋体"/>
                <w:sz w:val="21"/>
                <w:szCs w:val="21"/>
              </w:rPr>
            </w:pPr>
            <w:r>
              <w:rPr>
                <w:rFonts w:hint="eastAsia" w:hAnsi="宋体"/>
                <w:sz w:val="21"/>
                <w:szCs w:val="21"/>
              </w:rPr>
              <w:t>利润</w:t>
            </w:r>
          </w:p>
        </w:tc>
        <w:tc>
          <w:tcPr>
            <w:tcW w:w="5245" w:type="dxa"/>
            <w:tcBorders>
              <w:top w:val="single" w:color="000000" w:sz="4" w:space="0"/>
              <w:left w:val="single" w:color="000000" w:sz="4" w:space="0"/>
              <w:bottom w:val="single" w:color="000000" w:sz="4" w:space="0"/>
              <w:right w:val="single" w:color="000000" w:sz="4" w:space="0"/>
            </w:tcBorders>
            <w:vAlign w:val="center"/>
          </w:tcPr>
          <w:p w14:paraId="001F98E1">
            <w:pPr>
              <w:pStyle w:val="21"/>
              <w:kinsoku w:val="0"/>
              <w:overflowPunct w:val="0"/>
              <w:spacing w:before="139"/>
              <w:ind w:left="1661"/>
              <w:rPr>
                <w:rFonts w:hAnsi="宋体"/>
                <w:sz w:val="21"/>
                <w:szCs w:val="21"/>
              </w:rPr>
            </w:pPr>
            <w:r>
              <w:rPr>
                <w:rFonts w:hint="eastAsia" w:hAnsi="宋体"/>
                <w:sz w:val="21"/>
                <w:szCs w:val="21"/>
              </w:rPr>
              <w:t>按（</w:t>
            </w:r>
            <w:r>
              <w:rPr>
                <w:rFonts w:hAnsi="宋体" w:cs="Times New Roman"/>
                <w:sz w:val="21"/>
                <w:szCs w:val="21"/>
              </w:rPr>
              <w:t>1</w:t>
            </w:r>
            <w:r>
              <w:rPr>
                <w:rFonts w:hint="eastAsia" w:hAnsi="宋体"/>
                <w:sz w:val="21"/>
                <w:szCs w:val="21"/>
              </w:rPr>
              <w:t>）的</w:t>
            </w:r>
            <w:r>
              <w:rPr>
                <w:rFonts w:hAnsi="宋体" w:cs="Times New Roman"/>
                <w:sz w:val="21"/>
                <w:szCs w:val="21"/>
              </w:rPr>
              <w:t>%</w:t>
            </w:r>
            <w:r>
              <w:rPr>
                <w:rFonts w:hint="eastAsia" w:hAnsi="宋体"/>
                <w:sz w:val="21"/>
                <w:szCs w:val="21"/>
              </w:rPr>
              <w:t>计取</w:t>
            </w:r>
          </w:p>
        </w:tc>
        <w:tc>
          <w:tcPr>
            <w:tcW w:w="1423" w:type="dxa"/>
            <w:tcBorders>
              <w:top w:val="single" w:color="000000" w:sz="4" w:space="0"/>
              <w:left w:val="single" w:color="000000" w:sz="4" w:space="0"/>
              <w:bottom w:val="single" w:color="000000" w:sz="4" w:space="0"/>
              <w:right w:val="single" w:color="000000" w:sz="4" w:space="0"/>
            </w:tcBorders>
            <w:vAlign w:val="center"/>
          </w:tcPr>
          <w:p w14:paraId="1007797C">
            <w:pPr>
              <w:pStyle w:val="21"/>
              <w:kinsoku w:val="0"/>
              <w:overflowPunct w:val="0"/>
              <w:rPr>
                <w:rFonts w:hAnsi="宋体" w:cs="Times New Roman"/>
                <w:sz w:val="21"/>
                <w:szCs w:val="21"/>
              </w:rPr>
            </w:pPr>
          </w:p>
        </w:tc>
      </w:tr>
      <w:tr w14:paraId="4223CB90">
        <w:tblPrEx>
          <w:tblCellMar>
            <w:top w:w="0" w:type="dxa"/>
            <w:left w:w="0" w:type="dxa"/>
            <w:bottom w:w="0" w:type="dxa"/>
            <w:right w:w="0" w:type="dxa"/>
          </w:tblCellMar>
        </w:tblPrEx>
        <w:trPr>
          <w:trHeight w:val="566"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14:paraId="40AA8656">
            <w:pPr>
              <w:pStyle w:val="21"/>
              <w:kinsoku w:val="0"/>
              <w:overflowPunct w:val="0"/>
              <w:spacing w:before="149"/>
              <w:ind w:left="7"/>
              <w:jc w:val="center"/>
              <w:rPr>
                <w:rFonts w:hAnsi="宋体" w:cs="Times New Roman"/>
                <w:sz w:val="21"/>
                <w:szCs w:val="21"/>
              </w:rPr>
            </w:pPr>
            <w:r>
              <w:rPr>
                <w:rFonts w:hAnsi="宋体" w:cs="Times New Roman"/>
                <w:sz w:val="21"/>
                <w:szCs w:val="21"/>
              </w:rPr>
              <w:t>3</w:t>
            </w:r>
          </w:p>
        </w:tc>
        <w:tc>
          <w:tcPr>
            <w:tcW w:w="2127" w:type="dxa"/>
            <w:gridSpan w:val="2"/>
            <w:tcBorders>
              <w:top w:val="single" w:color="000000" w:sz="4" w:space="0"/>
              <w:left w:val="single" w:color="000000" w:sz="4" w:space="0"/>
              <w:bottom w:val="single" w:color="000000" w:sz="4" w:space="0"/>
              <w:right w:val="single" w:color="000000" w:sz="4" w:space="0"/>
            </w:tcBorders>
            <w:vAlign w:val="center"/>
          </w:tcPr>
          <w:p w14:paraId="35EC2ADD">
            <w:pPr>
              <w:pStyle w:val="21"/>
              <w:kinsoku w:val="0"/>
              <w:overflowPunct w:val="0"/>
              <w:spacing w:before="139"/>
              <w:ind w:left="753" w:right="744"/>
              <w:jc w:val="center"/>
              <w:rPr>
                <w:rFonts w:hAnsi="宋体"/>
                <w:sz w:val="21"/>
                <w:szCs w:val="21"/>
              </w:rPr>
            </w:pPr>
            <w:r>
              <w:rPr>
                <w:rFonts w:hint="eastAsia" w:hAnsi="宋体"/>
                <w:sz w:val="21"/>
                <w:szCs w:val="21"/>
              </w:rPr>
              <w:t>税金</w:t>
            </w:r>
          </w:p>
        </w:tc>
        <w:tc>
          <w:tcPr>
            <w:tcW w:w="5245" w:type="dxa"/>
            <w:tcBorders>
              <w:top w:val="single" w:color="000000" w:sz="4" w:space="0"/>
              <w:left w:val="single" w:color="000000" w:sz="4" w:space="0"/>
              <w:bottom w:val="single" w:color="000000" w:sz="4" w:space="0"/>
              <w:right w:val="single" w:color="000000" w:sz="4" w:space="0"/>
            </w:tcBorders>
            <w:vAlign w:val="center"/>
          </w:tcPr>
          <w:p w14:paraId="40CD437C">
            <w:pPr>
              <w:pStyle w:val="21"/>
              <w:kinsoku w:val="0"/>
              <w:overflowPunct w:val="0"/>
              <w:spacing w:before="139"/>
              <w:ind w:left="1375"/>
              <w:rPr>
                <w:rFonts w:hAnsi="宋体"/>
                <w:sz w:val="21"/>
                <w:szCs w:val="21"/>
              </w:rPr>
            </w:pPr>
            <w:r>
              <w:rPr>
                <w:rFonts w:hint="eastAsia" w:hAnsi="宋体"/>
                <w:sz w:val="21"/>
                <w:szCs w:val="21"/>
              </w:rPr>
              <w:t>按国家及上海市规定缴纳</w:t>
            </w:r>
          </w:p>
        </w:tc>
        <w:tc>
          <w:tcPr>
            <w:tcW w:w="1423" w:type="dxa"/>
            <w:tcBorders>
              <w:top w:val="single" w:color="000000" w:sz="4" w:space="0"/>
              <w:left w:val="single" w:color="000000" w:sz="4" w:space="0"/>
              <w:bottom w:val="single" w:color="000000" w:sz="4" w:space="0"/>
              <w:right w:val="single" w:color="000000" w:sz="4" w:space="0"/>
            </w:tcBorders>
            <w:vAlign w:val="center"/>
          </w:tcPr>
          <w:p w14:paraId="7F9F863D">
            <w:pPr>
              <w:pStyle w:val="21"/>
              <w:kinsoku w:val="0"/>
              <w:overflowPunct w:val="0"/>
              <w:rPr>
                <w:rFonts w:hAnsi="宋体" w:cs="Times New Roman"/>
                <w:sz w:val="21"/>
                <w:szCs w:val="21"/>
              </w:rPr>
            </w:pPr>
          </w:p>
        </w:tc>
      </w:tr>
      <w:tr w14:paraId="691D77F8">
        <w:tblPrEx>
          <w:tblCellMar>
            <w:top w:w="0" w:type="dxa"/>
            <w:left w:w="0" w:type="dxa"/>
            <w:bottom w:w="0" w:type="dxa"/>
            <w:right w:w="0" w:type="dxa"/>
          </w:tblCellMar>
        </w:tblPrEx>
        <w:trPr>
          <w:trHeight w:val="568" w:hRule="atLeast"/>
          <w:jc w:val="center"/>
        </w:trPr>
        <w:tc>
          <w:tcPr>
            <w:tcW w:w="7797" w:type="dxa"/>
            <w:gridSpan w:val="4"/>
            <w:tcBorders>
              <w:top w:val="single" w:color="000000" w:sz="4" w:space="0"/>
              <w:left w:val="single" w:color="000000" w:sz="4" w:space="0"/>
              <w:bottom w:val="single" w:color="000000" w:sz="4" w:space="0"/>
              <w:right w:val="single" w:color="000000" w:sz="4" w:space="0"/>
            </w:tcBorders>
            <w:vAlign w:val="center"/>
          </w:tcPr>
          <w:p w14:paraId="6A2BC42A">
            <w:pPr>
              <w:pStyle w:val="21"/>
              <w:kinsoku w:val="0"/>
              <w:overflowPunct w:val="0"/>
              <w:spacing w:before="139"/>
              <w:ind w:left="3328" w:right="3329"/>
              <w:jc w:val="center"/>
              <w:rPr>
                <w:rFonts w:hAnsi="宋体"/>
                <w:b/>
                <w:bCs/>
                <w:sz w:val="21"/>
                <w:szCs w:val="21"/>
              </w:rPr>
            </w:pPr>
            <w:r>
              <w:rPr>
                <w:rFonts w:hint="eastAsia" w:hAnsi="宋体"/>
                <w:b/>
                <w:bCs/>
                <w:sz w:val="21"/>
                <w:szCs w:val="21"/>
              </w:rPr>
              <w:t>报价总计</w:t>
            </w:r>
          </w:p>
        </w:tc>
        <w:tc>
          <w:tcPr>
            <w:tcW w:w="1423" w:type="dxa"/>
            <w:tcBorders>
              <w:top w:val="single" w:color="000000" w:sz="4" w:space="0"/>
              <w:left w:val="single" w:color="000000" w:sz="4" w:space="0"/>
              <w:bottom w:val="single" w:color="000000" w:sz="4" w:space="0"/>
              <w:right w:val="single" w:color="000000" w:sz="4" w:space="0"/>
            </w:tcBorders>
            <w:vAlign w:val="center"/>
          </w:tcPr>
          <w:p w14:paraId="5D707150">
            <w:pPr>
              <w:pStyle w:val="21"/>
              <w:kinsoku w:val="0"/>
              <w:overflowPunct w:val="0"/>
              <w:rPr>
                <w:rFonts w:hAnsi="宋体" w:cs="Times New Roman"/>
                <w:sz w:val="21"/>
                <w:szCs w:val="21"/>
              </w:rPr>
            </w:pPr>
          </w:p>
        </w:tc>
      </w:tr>
    </w:tbl>
    <w:p w14:paraId="561ABA6D">
      <w:pPr>
        <w:pStyle w:val="17"/>
        <w:ind w:firstLine="424" w:firstLineChars="192"/>
        <w:rPr>
          <w:b/>
          <w:bCs/>
          <w:sz w:val="22"/>
        </w:rPr>
      </w:pPr>
      <w:bookmarkStart w:id="2" w:name="_Toc187158130"/>
      <w:bookmarkStart w:id="3" w:name="_Toc187933516"/>
    </w:p>
    <w:p w14:paraId="246F0FC2">
      <w:pPr>
        <w:pStyle w:val="6"/>
        <w:spacing w:line="360" w:lineRule="auto"/>
        <w:ind w:firstLine="480"/>
        <w:rPr>
          <w:b/>
          <w:bCs/>
        </w:rPr>
      </w:pPr>
      <w:r>
        <w:rPr>
          <w:rFonts w:hint="eastAsia"/>
          <w:b/>
          <w:bCs/>
        </w:rPr>
        <w:t>（八）</w:t>
      </w:r>
      <w:r>
        <w:rPr>
          <w:b/>
          <w:bCs/>
        </w:rPr>
        <w:t>安全文明作业要求与应急处置要求</w:t>
      </w:r>
      <w:bookmarkEnd w:id="2"/>
      <w:bookmarkEnd w:id="3"/>
    </w:p>
    <w:p w14:paraId="13BE8D8A">
      <w:pPr>
        <w:tabs>
          <w:tab w:val="left" w:pos="7200"/>
        </w:tabs>
        <w:adjustRightInd w:val="0"/>
        <w:snapToGrid w:val="0"/>
        <w:spacing w:line="360" w:lineRule="auto"/>
        <w:ind w:firstLine="420" w:firstLineChars="200"/>
        <w:rPr>
          <w:rFonts w:ascii="宋体" w:hAnsi="宋体"/>
          <w:bCs/>
          <w:szCs w:val="21"/>
        </w:rPr>
      </w:pPr>
      <w:r>
        <w:rPr>
          <w:rFonts w:ascii="宋体" w:hAnsi="宋体"/>
          <w:bCs/>
          <w:szCs w:val="21"/>
        </w:rPr>
        <w:t>（1）在提供服务期间为确保服务区域及周围环境的整洁和不影响其他活动正常进行，</w:t>
      </w:r>
      <w:r>
        <w:rPr>
          <w:rFonts w:hint="eastAsia" w:ascii="宋体" w:hAnsi="宋体"/>
          <w:szCs w:val="21"/>
        </w:rPr>
        <w:t>成交供应商</w:t>
      </w:r>
      <w:r>
        <w:rPr>
          <w:rFonts w:ascii="宋体" w:hAnsi="宋体"/>
          <w:bCs/>
          <w:szCs w:val="21"/>
        </w:rPr>
        <w:t>应严格执行国家与上海市有关安全文明施工管理的法律、法规和政策，积极主动加强和落实安全文明施工及环境保护等有关管理工作，并按规定承担相应的费用。</w:t>
      </w:r>
      <w:r>
        <w:rPr>
          <w:rFonts w:hint="eastAsia" w:ascii="宋体" w:hAnsi="宋体"/>
          <w:szCs w:val="21"/>
        </w:rPr>
        <w:t>成交供应商</w:t>
      </w:r>
      <w:r>
        <w:rPr>
          <w:rFonts w:ascii="宋体" w:hAnsi="宋体"/>
          <w:bCs/>
          <w:szCs w:val="21"/>
        </w:rPr>
        <w:t>若违反规定而造成的一切损失和责任由</w:t>
      </w:r>
      <w:r>
        <w:rPr>
          <w:rFonts w:hint="eastAsia" w:ascii="宋体" w:hAnsi="宋体"/>
          <w:szCs w:val="21"/>
        </w:rPr>
        <w:t>成交供应商</w:t>
      </w:r>
      <w:r>
        <w:rPr>
          <w:rFonts w:ascii="宋体" w:hAnsi="宋体"/>
          <w:bCs/>
          <w:szCs w:val="21"/>
        </w:rPr>
        <w:t>承担。</w:t>
      </w:r>
    </w:p>
    <w:p w14:paraId="10C72FE5">
      <w:pPr>
        <w:tabs>
          <w:tab w:val="left" w:pos="7200"/>
        </w:tabs>
        <w:adjustRightInd w:val="0"/>
        <w:snapToGrid w:val="0"/>
        <w:spacing w:line="360" w:lineRule="auto"/>
        <w:ind w:firstLine="420" w:firstLineChars="200"/>
        <w:rPr>
          <w:rFonts w:ascii="宋体" w:hAnsi="宋体"/>
          <w:bCs/>
          <w:szCs w:val="21"/>
        </w:rPr>
      </w:pPr>
      <w:r>
        <w:rPr>
          <w:rFonts w:ascii="宋体" w:hAnsi="宋体"/>
          <w:bCs/>
          <w:szCs w:val="21"/>
        </w:rPr>
        <w:t>（2）</w:t>
      </w:r>
      <w:r>
        <w:rPr>
          <w:rFonts w:hint="eastAsia" w:ascii="宋体" w:hAnsi="宋体"/>
          <w:szCs w:val="21"/>
        </w:rPr>
        <w:t>成交供应商</w:t>
      </w:r>
      <w:r>
        <w:rPr>
          <w:rFonts w:ascii="宋体" w:hAnsi="宋体"/>
          <w:bCs/>
          <w:szCs w:val="21"/>
        </w:rPr>
        <w:t>在项目实施期间，必须遵守国家与上海市各项有关安全作业规章、规范与制度，建立动用明火申请批准制度，安全用电等制度，确保杜绝各类事故的发生。</w:t>
      </w:r>
    </w:p>
    <w:p w14:paraId="3A08F217">
      <w:pPr>
        <w:tabs>
          <w:tab w:val="left" w:pos="7200"/>
        </w:tabs>
        <w:adjustRightInd w:val="0"/>
        <w:snapToGrid w:val="0"/>
        <w:spacing w:line="360" w:lineRule="auto"/>
        <w:ind w:firstLine="420" w:firstLineChars="200"/>
        <w:rPr>
          <w:rFonts w:ascii="宋体" w:hAnsi="宋体"/>
          <w:bCs/>
          <w:szCs w:val="21"/>
        </w:rPr>
      </w:pPr>
      <w:r>
        <w:rPr>
          <w:rFonts w:ascii="宋体" w:hAnsi="宋体"/>
          <w:bCs/>
          <w:szCs w:val="21"/>
        </w:rPr>
        <w:t>（3）</w:t>
      </w:r>
      <w:r>
        <w:rPr>
          <w:rFonts w:hint="eastAsia" w:ascii="宋体" w:hAnsi="宋体"/>
          <w:szCs w:val="21"/>
        </w:rPr>
        <w:t>成交供应商</w:t>
      </w:r>
      <w:r>
        <w:rPr>
          <w:rFonts w:ascii="宋体" w:hAnsi="宋体"/>
          <w:bCs/>
          <w:szCs w:val="21"/>
        </w:rPr>
        <w:t>在提供物业服务时，如岗位涉及维护修理等工作，其负责人应具有专业证书，服务人员必须持证上岗。中标人对其提供服务的人员的人身安全负责，对采购方、第三方的人身安全和财产安全负责。</w:t>
      </w:r>
    </w:p>
    <w:p w14:paraId="0CD1EA61">
      <w:pPr>
        <w:tabs>
          <w:tab w:val="left" w:pos="7200"/>
        </w:tabs>
        <w:adjustRightInd w:val="0"/>
        <w:snapToGrid w:val="0"/>
        <w:spacing w:line="360" w:lineRule="auto"/>
        <w:ind w:firstLine="420" w:firstLineChars="200"/>
        <w:rPr>
          <w:rFonts w:ascii="宋体" w:hAnsi="宋体"/>
          <w:bCs/>
          <w:szCs w:val="21"/>
        </w:rPr>
      </w:pPr>
      <w:r>
        <w:rPr>
          <w:rFonts w:ascii="宋体" w:hAnsi="宋体"/>
          <w:bCs/>
          <w:szCs w:val="21"/>
        </w:rPr>
        <w:t>（4）</w:t>
      </w:r>
      <w:r>
        <w:rPr>
          <w:rFonts w:hint="eastAsia" w:ascii="宋体" w:hAnsi="宋体"/>
          <w:szCs w:val="21"/>
        </w:rPr>
        <w:t>成交供应商</w:t>
      </w:r>
      <w:r>
        <w:rPr>
          <w:rFonts w:ascii="宋体" w:hAnsi="宋体"/>
          <w:bCs/>
          <w:szCs w:val="21"/>
        </w:rPr>
        <w:t>在提供物业服务时必须保护好服务区域内的环境和原有建筑、装饰与设施，保证环境和原有建筑、装饰与设施完好。</w:t>
      </w:r>
    </w:p>
    <w:p w14:paraId="1DBBB7FD">
      <w:pPr>
        <w:tabs>
          <w:tab w:val="left" w:pos="7200"/>
        </w:tabs>
        <w:adjustRightInd w:val="0"/>
        <w:snapToGrid w:val="0"/>
        <w:spacing w:line="360" w:lineRule="auto"/>
        <w:ind w:firstLine="420" w:firstLineChars="200"/>
        <w:rPr>
          <w:rFonts w:ascii="宋体" w:hAnsi="宋体"/>
          <w:bCs/>
          <w:szCs w:val="21"/>
        </w:rPr>
      </w:pPr>
      <w:r>
        <w:rPr>
          <w:rFonts w:ascii="宋体" w:hAnsi="宋体"/>
          <w:bCs/>
          <w:szCs w:val="21"/>
        </w:rPr>
        <w:t>（5）各</w:t>
      </w:r>
      <w:r>
        <w:rPr>
          <w:rFonts w:hint="eastAsia" w:ascii="宋体" w:hAnsi="宋体"/>
          <w:bCs/>
          <w:szCs w:val="21"/>
        </w:rPr>
        <w:t>供应商要</w:t>
      </w:r>
      <w:r>
        <w:rPr>
          <w:rFonts w:ascii="宋体" w:hAnsi="宋体"/>
          <w:bCs/>
          <w:szCs w:val="21"/>
        </w:rPr>
        <w:t>在</w:t>
      </w:r>
      <w:r>
        <w:rPr>
          <w:rFonts w:hint="eastAsia" w:ascii="宋体" w:hAnsi="宋体"/>
          <w:bCs/>
          <w:szCs w:val="21"/>
        </w:rPr>
        <w:t>响应</w:t>
      </w:r>
      <w:r>
        <w:rPr>
          <w:rFonts w:ascii="宋体" w:hAnsi="宋体"/>
          <w:bCs/>
          <w:szCs w:val="21"/>
        </w:rPr>
        <w:t>文件中要结合本项目的特点和采购人上述的具体要求制定相应的安全文明施工措施。</w:t>
      </w:r>
    </w:p>
    <w:p w14:paraId="5AE970DD">
      <w:pPr>
        <w:pStyle w:val="17"/>
        <w:spacing w:line="360" w:lineRule="auto"/>
        <w:ind w:firstLine="403" w:firstLineChars="192"/>
        <w:rPr>
          <w:rFonts w:ascii="宋体" w:hAnsi="宋体"/>
          <w:b/>
          <w:color w:val="FF0000"/>
          <w:szCs w:val="21"/>
          <w:u w:val="wavyHeavy"/>
        </w:rPr>
      </w:pPr>
      <w:r>
        <w:rPr>
          <w:rFonts w:ascii="宋体" w:hAnsi="宋体"/>
          <w:bCs/>
          <w:szCs w:val="21"/>
        </w:rPr>
        <w:t>（6）建立突发事件应急处置方案，定期开展防灾防火应急疏散演练，并做好相应记录。</w:t>
      </w:r>
    </w:p>
    <w:p w14:paraId="1760E5AB">
      <w:pPr>
        <w:pStyle w:val="17"/>
        <w:spacing w:line="360" w:lineRule="auto"/>
        <w:ind w:firstLine="460" w:firstLineChars="192"/>
        <w:rPr>
          <w:b/>
          <w:bCs/>
        </w:rPr>
      </w:pPr>
      <w:r>
        <w:rPr>
          <w:rFonts w:ascii="宋体" w:hAnsi="宋体"/>
          <w:sz w:val="24"/>
          <w:szCs w:val="24"/>
        </w:rPr>
        <w:br w:type="page"/>
      </w:r>
      <w:bookmarkStart w:id="4" w:name="_Toc187933517"/>
      <w:bookmarkStart w:id="5" w:name="_Toc497211606"/>
      <w:r>
        <w:rPr>
          <w:rFonts w:hint="eastAsia"/>
          <w:b/>
          <w:bCs/>
        </w:rPr>
        <w:t>（九）</w:t>
      </w:r>
      <w:r>
        <w:rPr>
          <w:b/>
          <w:bCs/>
        </w:rPr>
        <w:t>管理、考核要求</w:t>
      </w:r>
      <w:bookmarkEnd w:id="4"/>
      <w:bookmarkEnd w:id="5"/>
    </w:p>
    <w:p w14:paraId="7E419776">
      <w:pPr>
        <w:pStyle w:val="17"/>
        <w:spacing w:line="360" w:lineRule="auto"/>
        <w:ind w:firstLine="403" w:firstLineChars="192"/>
        <w:rPr>
          <w:rFonts w:ascii="宋体" w:hAnsi="宋体"/>
          <w:bCs/>
          <w:szCs w:val="21"/>
        </w:rPr>
      </w:pPr>
      <w:r>
        <w:rPr>
          <w:rFonts w:hint="eastAsia" w:ascii="宋体" w:hAnsi="宋体"/>
          <w:bCs/>
          <w:szCs w:val="21"/>
        </w:rPr>
        <w:t>（</w:t>
      </w:r>
      <w:r>
        <w:rPr>
          <w:rFonts w:ascii="宋体" w:hAnsi="宋体"/>
          <w:bCs/>
          <w:szCs w:val="21"/>
        </w:rPr>
        <w:t>1）考核形式：由采购人平时随机巡检考核。</w:t>
      </w:r>
    </w:p>
    <w:p w14:paraId="5245964A">
      <w:pPr>
        <w:pStyle w:val="17"/>
        <w:spacing w:line="360" w:lineRule="auto"/>
        <w:ind w:firstLine="403" w:firstLineChars="192"/>
        <w:rPr>
          <w:rFonts w:ascii="宋体" w:hAnsi="宋体"/>
          <w:bCs/>
          <w:szCs w:val="21"/>
        </w:rPr>
      </w:pPr>
      <w:r>
        <w:rPr>
          <w:rFonts w:hint="eastAsia" w:ascii="宋体" w:hAnsi="宋体"/>
          <w:bCs/>
          <w:szCs w:val="21"/>
        </w:rPr>
        <w:t>（</w:t>
      </w:r>
      <w:r>
        <w:rPr>
          <w:rFonts w:ascii="宋体" w:hAnsi="宋体"/>
          <w:bCs/>
          <w:szCs w:val="21"/>
        </w:rPr>
        <w:t>2）考核标准：每个月依据考核结果，按得分高低分为优秀、良好、合格、不合格四个等级。</w:t>
      </w:r>
    </w:p>
    <w:tbl>
      <w:tblPr>
        <w:tblStyle w:val="12"/>
        <w:tblW w:w="8933" w:type="dxa"/>
        <w:jc w:val="center"/>
        <w:tblLayout w:type="fixed"/>
        <w:tblCellMar>
          <w:top w:w="0" w:type="dxa"/>
          <w:left w:w="0" w:type="dxa"/>
          <w:bottom w:w="0" w:type="dxa"/>
          <w:right w:w="0" w:type="dxa"/>
        </w:tblCellMar>
      </w:tblPr>
      <w:tblGrid>
        <w:gridCol w:w="2842"/>
        <w:gridCol w:w="3249"/>
        <w:gridCol w:w="2842"/>
      </w:tblGrid>
      <w:tr w14:paraId="21CCBBF1">
        <w:tblPrEx>
          <w:tblCellMar>
            <w:top w:w="0" w:type="dxa"/>
            <w:left w:w="0" w:type="dxa"/>
            <w:bottom w:w="0" w:type="dxa"/>
            <w:right w:w="0" w:type="dxa"/>
          </w:tblCellMar>
        </w:tblPrEx>
        <w:trPr>
          <w:trHeight w:val="407" w:hRule="atLeast"/>
          <w:jc w:val="center"/>
        </w:trPr>
        <w:tc>
          <w:tcPr>
            <w:tcW w:w="2842" w:type="dxa"/>
            <w:tcBorders>
              <w:top w:val="single" w:color="000000" w:sz="4" w:space="0"/>
              <w:left w:val="single" w:color="000000" w:sz="4" w:space="0"/>
              <w:bottom w:val="single" w:color="000000" w:sz="4" w:space="0"/>
              <w:right w:val="single" w:color="000000" w:sz="4" w:space="0"/>
            </w:tcBorders>
          </w:tcPr>
          <w:p w14:paraId="63F28108">
            <w:pPr>
              <w:pStyle w:val="21"/>
              <w:kinsoku w:val="0"/>
              <w:overflowPunct w:val="0"/>
              <w:spacing w:before="1" w:line="360" w:lineRule="auto"/>
              <w:ind w:left="138" w:right="132"/>
              <w:jc w:val="center"/>
              <w:rPr>
                <w:rFonts w:hAnsi="宋体"/>
                <w:sz w:val="21"/>
                <w:szCs w:val="21"/>
              </w:rPr>
            </w:pPr>
            <w:r>
              <w:rPr>
                <w:rFonts w:hint="eastAsia" w:hAnsi="宋体"/>
                <w:sz w:val="21"/>
                <w:szCs w:val="21"/>
              </w:rPr>
              <w:t>考核单位</w:t>
            </w:r>
          </w:p>
        </w:tc>
        <w:tc>
          <w:tcPr>
            <w:tcW w:w="3249" w:type="dxa"/>
            <w:tcBorders>
              <w:top w:val="single" w:color="000000" w:sz="4" w:space="0"/>
              <w:left w:val="single" w:color="000000" w:sz="4" w:space="0"/>
              <w:bottom w:val="single" w:color="000000" w:sz="4" w:space="0"/>
              <w:right w:val="single" w:color="000000" w:sz="4" w:space="0"/>
            </w:tcBorders>
          </w:tcPr>
          <w:p w14:paraId="6D63355B">
            <w:pPr>
              <w:pStyle w:val="21"/>
              <w:kinsoku w:val="0"/>
              <w:overflowPunct w:val="0"/>
              <w:spacing w:before="1" w:line="360" w:lineRule="auto"/>
              <w:ind w:left="819" w:right="812"/>
              <w:jc w:val="center"/>
              <w:rPr>
                <w:rFonts w:hAnsi="宋体"/>
                <w:sz w:val="21"/>
                <w:szCs w:val="21"/>
              </w:rPr>
            </w:pPr>
            <w:r>
              <w:rPr>
                <w:rFonts w:hint="eastAsia" w:hAnsi="宋体"/>
                <w:sz w:val="21"/>
                <w:szCs w:val="21"/>
              </w:rPr>
              <w:t>考核分</w:t>
            </w:r>
          </w:p>
        </w:tc>
        <w:tc>
          <w:tcPr>
            <w:tcW w:w="2842" w:type="dxa"/>
            <w:tcBorders>
              <w:top w:val="single" w:color="000000" w:sz="4" w:space="0"/>
              <w:left w:val="single" w:color="000000" w:sz="4" w:space="0"/>
              <w:bottom w:val="single" w:color="000000" w:sz="4" w:space="0"/>
              <w:right w:val="single" w:color="000000" w:sz="4" w:space="0"/>
            </w:tcBorders>
          </w:tcPr>
          <w:p w14:paraId="64ECE215">
            <w:pPr>
              <w:pStyle w:val="21"/>
              <w:kinsoku w:val="0"/>
              <w:overflowPunct w:val="0"/>
              <w:spacing w:before="1" w:line="360" w:lineRule="auto"/>
              <w:ind w:left="139" w:right="129"/>
              <w:jc w:val="center"/>
              <w:rPr>
                <w:rFonts w:hAnsi="宋体"/>
                <w:sz w:val="21"/>
                <w:szCs w:val="21"/>
              </w:rPr>
            </w:pPr>
            <w:r>
              <w:rPr>
                <w:rFonts w:hint="eastAsia" w:hAnsi="宋体"/>
                <w:sz w:val="21"/>
                <w:szCs w:val="21"/>
              </w:rPr>
              <w:t>等级</w:t>
            </w:r>
          </w:p>
        </w:tc>
      </w:tr>
      <w:tr w14:paraId="1FE839B9">
        <w:tblPrEx>
          <w:tblCellMar>
            <w:top w:w="0" w:type="dxa"/>
            <w:left w:w="0" w:type="dxa"/>
            <w:bottom w:w="0" w:type="dxa"/>
            <w:right w:w="0" w:type="dxa"/>
          </w:tblCellMar>
        </w:tblPrEx>
        <w:trPr>
          <w:trHeight w:val="410" w:hRule="atLeast"/>
          <w:jc w:val="center"/>
        </w:trPr>
        <w:tc>
          <w:tcPr>
            <w:tcW w:w="2842" w:type="dxa"/>
            <w:vMerge w:val="restart"/>
            <w:tcBorders>
              <w:top w:val="single" w:color="000000" w:sz="4" w:space="0"/>
              <w:left w:val="single" w:color="000000" w:sz="4" w:space="0"/>
              <w:right w:val="single" w:color="000000" w:sz="4" w:space="0"/>
            </w:tcBorders>
            <w:vAlign w:val="center"/>
          </w:tcPr>
          <w:p w14:paraId="36EEB8C0">
            <w:pPr>
              <w:pStyle w:val="21"/>
              <w:kinsoku w:val="0"/>
              <w:overflowPunct w:val="0"/>
              <w:spacing w:before="1" w:line="360" w:lineRule="auto"/>
              <w:ind w:left="139" w:right="132"/>
              <w:jc w:val="center"/>
              <w:rPr>
                <w:rFonts w:hAnsi="宋体"/>
                <w:sz w:val="21"/>
                <w:szCs w:val="21"/>
              </w:rPr>
            </w:pPr>
            <w:r>
              <w:rPr>
                <w:rFonts w:hint="eastAsia" w:hAnsi="宋体"/>
                <w:sz w:val="21"/>
                <w:szCs w:val="21"/>
              </w:rPr>
              <w:t>上海市浦东新区人民检察院</w:t>
            </w:r>
          </w:p>
        </w:tc>
        <w:tc>
          <w:tcPr>
            <w:tcW w:w="3249" w:type="dxa"/>
            <w:tcBorders>
              <w:top w:val="single" w:color="000000" w:sz="4" w:space="0"/>
              <w:left w:val="single" w:color="000000" w:sz="4" w:space="0"/>
              <w:bottom w:val="single" w:color="000000" w:sz="4" w:space="0"/>
              <w:right w:val="single" w:color="000000" w:sz="4" w:space="0"/>
            </w:tcBorders>
          </w:tcPr>
          <w:p w14:paraId="68CF4F88">
            <w:pPr>
              <w:pStyle w:val="21"/>
              <w:kinsoku w:val="0"/>
              <w:overflowPunct w:val="0"/>
              <w:spacing w:before="1" w:line="360" w:lineRule="auto"/>
              <w:ind w:left="822" w:right="812"/>
              <w:jc w:val="center"/>
              <w:rPr>
                <w:rFonts w:hAnsi="宋体"/>
                <w:sz w:val="21"/>
                <w:szCs w:val="21"/>
              </w:rPr>
            </w:pPr>
            <w:r>
              <w:rPr>
                <w:rFonts w:hAnsi="宋体"/>
                <w:sz w:val="21"/>
                <w:szCs w:val="21"/>
              </w:rPr>
              <w:t xml:space="preserve">95 </w:t>
            </w:r>
            <w:r>
              <w:rPr>
                <w:rFonts w:hint="eastAsia" w:hAnsi="宋体"/>
                <w:sz w:val="21"/>
                <w:szCs w:val="21"/>
              </w:rPr>
              <w:t>分以上</w:t>
            </w:r>
          </w:p>
        </w:tc>
        <w:tc>
          <w:tcPr>
            <w:tcW w:w="2842" w:type="dxa"/>
            <w:tcBorders>
              <w:top w:val="single" w:color="000000" w:sz="4" w:space="0"/>
              <w:left w:val="single" w:color="000000" w:sz="4" w:space="0"/>
              <w:bottom w:val="single" w:color="000000" w:sz="4" w:space="0"/>
              <w:right w:val="single" w:color="000000" w:sz="4" w:space="0"/>
            </w:tcBorders>
          </w:tcPr>
          <w:p w14:paraId="63613C7A">
            <w:pPr>
              <w:pStyle w:val="21"/>
              <w:kinsoku w:val="0"/>
              <w:overflowPunct w:val="0"/>
              <w:spacing w:before="1" w:line="360" w:lineRule="auto"/>
              <w:ind w:left="139" w:right="129"/>
              <w:jc w:val="center"/>
              <w:rPr>
                <w:rFonts w:hAnsi="宋体"/>
                <w:sz w:val="21"/>
                <w:szCs w:val="21"/>
              </w:rPr>
            </w:pPr>
            <w:r>
              <w:rPr>
                <w:rFonts w:hint="eastAsia" w:hAnsi="宋体"/>
                <w:sz w:val="21"/>
                <w:szCs w:val="21"/>
              </w:rPr>
              <w:t>优秀</w:t>
            </w:r>
          </w:p>
        </w:tc>
      </w:tr>
      <w:tr w14:paraId="57E40C35">
        <w:tblPrEx>
          <w:tblCellMar>
            <w:top w:w="0" w:type="dxa"/>
            <w:left w:w="0" w:type="dxa"/>
            <w:bottom w:w="0" w:type="dxa"/>
            <w:right w:w="0" w:type="dxa"/>
          </w:tblCellMar>
        </w:tblPrEx>
        <w:trPr>
          <w:trHeight w:val="410" w:hRule="atLeast"/>
          <w:jc w:val="center"/>
        </w:trPr>
        <w:tc>
          <w:tcPr>
            <w:tcW w:w="2842" w:type="dxa"/>
            <w:vMerge w:val="continue"/>
            <w:tcBorders>
              <w:left w:val="single" w:color="000000" w:sz="4" w:space="0"/>
              <w:right w:val="single" w:color="000000" w:sz="4" w:space="0"/>
            </w:tcBorders>
          </w:tcPr>
          <w:p w14:paraId="53B58703">
            <w:pPr>
              <w:pStyle w:val="21"/>
              <w:kinsoku w:val="0"/>
              <w:overflowPunct w:val="0"/>
              <w:spacing w:before="1" w:line="360" w:lineRule="auto"/>
              <w:ind w:left="139" w:right="132"/>
              <w:jc w:val="center"/>
              <w:rPr>
                <w:rFonts w:hAnsi="宋体"/>
                <w:sz w:val="21"/>
                <w:szCs w:val="21"/>
              </w:rPr>
            </w:pPr>
          </w:p>
        </w:tc>
        <w:tc>
          <w:tcPr>
            <w:tcW w:w="3249" w:type="dxa"/>
            <w:tcBorders>
              <w:top w:val="single" w:color="000000" w:sz="4" w:space="0"/>
              <w:left w:val="single" w:color="000000" w:sz="4" w:space="0"/>
              <w:bottom w:val="single" w:color="000000" w:sz="4" w:space="0"/>
              <w:right w:val="single" w:color="000000" w:sz="4" w:space="0"/>
            </w:tcBorders>
          </w:tcPr>
          <w:p w14:paraId="1650AEB9">
            <w:pPr>
              <w:pStyle w:val="21"/>
              <w:kinsoku w:val="0"/>
              <w:overflowPunct w:val="0"/>
              <w:spacing w:line="360" w:lineRule="auto"/>
              <w:ind w:left="822" w:right="812"/>
              <w:jc w:val="center"/>
              <w:rPr>
                <w:rFonts w:hAnsi="宋体"/>
                <w:sz w:val="21"/>
                <w:szCs w:val="21"/>
              </w:rPr>
            </w:pPr>
            <w:r>
              <w:rPr>
                <w:rFonts w:hAnsi="宋体"/>
                <w:sz w:val="21"/>
                <w:szCs w:val="21"/>
              </w:rPr>
              <w:t xml:space="preserve">91 </w:t>
            </w:r>
            <w:r>
              <w:rPr>
                <w:rFonts w:hint="eastAsia" w:hAnsi="宋体"/>
                <w:sz w:val="21"/>
                <w:szCs w:val="21"/>
              </w:rPr>
              <w:t>分</w:t>
            </w:r>
            <w:r>
              <w:rPr>
                <w:rFonts w:hAnsi="宋体"/>
                <w:sz w:val="21"/>
                <w:szCs w:val="21"/>
              </w:rPr>
              <w:t xml:space="preserve">-94 </w:t>
            </w:r>
            <w:r>
              <w:rPr>
                <w:rFonts w:hint="eastAsia" w:hAnsi="宋体"/>
                <w:sz w:val="21"/>
                <w:szCs w:val="21"/>
              </w:rPr>
              <w:t>分</w:t>
            </w:r>
          </w:p>
        </w:tc>
        <w:tc>
          <w:tcPr>
            <w:tcW w:w="2842" w:type="dxa"/>
            <w:tcBorders>
              <w:top w:val="single" w:color="000000" w:sz="4" w:space="0"/>
              <w:left w:val="single" w:color="000000" w:sz="4" w:space="0"/>
              <w:bottom w:val="single" w:color="000000" w:sz="4" w:space="0"/>
              <w:right w:val="single" w:color="000000" w:sz="4" w:space="0"/>
            </w:tcBorders>
          </w:tcPr>
          <w:p w14:paraId="25CCF2BE">
            <w:pPr>
              <w:pStyle w:val="21"/>
              <w:kinsoku w:val="0"/>
              <w:overflowPunct w:val="0"/>
              <w:spacing w:line="360" w:lineRule="auto"/>
              <w:ind w:left="139" w:right="129"/>
              <w:jc w:val="center"/>
              <w:rPr>
                <w:rFonts w:hAnsi="宋体"/>
                <w:sz w:val="21"/>
                <w:szCs w:val="21"/>
              </w:rPr>
            </w:pPr>
            <w:r>
              <w:rPr>
                <w:rFonts w:hint="eastAsia" w:hAnsi="宋体"/>
                <w:sz w:val="21"/>
                <w:szCs w:val="21"/>
              </w:rPr>
              <w:t>良好</w:t>
            </w:r>
          </w:p>
        </w:tc>
      </w:tr>
      <w:tr w14:paraId="57165BB9">
        <w:tblPrEx>
          <w:tblCellMar>
            <w:top w:w="0" w:type="dxa"/>
            <w:left w:w="0" w:type="dxa"/>
            <w:bottom w:w="0" w:type="dxa"/>
            <w:right w:w="0" w:type="dxa"/>
          </w:tblCellMar>
        </w:tblPrEx>
        <w:trPr>
          <w:trHeight w:val="410" w:hRule="atLeast"/>
          <w:jc w:val="center"/>
        </w:trPr>
        <w:tc>
          <w:tcPr>
            <w:tcW w:w="2842" w:type="dxa"/>
            <w:vMerge w:val="continue"/>
            <w:tcBorders>
              <w:left w:val="single" w:color="000000" w:sz="4" w:space="0"/>
              <w:right w:val="single" w:color="000000" w:sz="4" w:space="0"/>
            </w:tcBorders>
          </w:tcPr>
          <w:p w14:paraId="75156ECE">
            <w:pPr>
              <w:pStyle w:val="21"/>
              <w:kinsoku w:val="0"/>
              <w:overflowPunct w:val="0"/>
              <w:spacing w:before="1" w:line="360" w:lineRule="auto"/>
              <w:ind w:left="139" w:right="132"/>
              <w:jc w:val="center"/>
              <w:rPr>
                <w:rFonts w:hAnsi="宋体"/>
                <w:sz w:val="21"/>
                <w:szCs w:val="21"/>
              </w:rPr>
            </w:pPr>
          </w:p>
        </w:tc>
        <w:tc>
          <w:tcPr>
            <w:tcW w:w="3249" w:type="dxa"/>
            <w:tcBorders>
              <w:top w:val="single" w:color="000000" w:sz="4" w:space="0"/>
              <w:left w:val="single" w:color="000000" w:sz="4" w:space="0"/>
              <w:bottom w:val="single" w:color="000000" w:sz="4" w:space="0"/>
              <w:right w:val="single" w:color="000000" w:sz="4" w:space="0"/>
            </w:tcBorders>
          </w:tcPr>
          <w:p w14:paraId="4BCF1B7E">
            <w:pPr>
              <w:pStyle w:val="21"/>
              <w:kinsoku w:val="0"/>
              <w:overflowPunct w:val="0"/>
              <w:spacing w:line="360" w:lineRule="auto"/>
              <w:ind w:left="819" w:right="812"/>
              <w:jc w:val="center"/>
              <w:rPr>
                <w:rFonts w:hAnsi="宋体"/>
                <w:sz w:val="21"/>
                <w:szCs w:val="21"/>
              </w:rPr>
            </w:pPr>
            <w:r>
              <w:rPr>
                <w:rFonts w:hAnsi="宋体"/>
                <w:sz w:val="21"/>
                <w:szCs w:val="21"/>
              </w:rPr>
              <w:t xml:space="preserve">90 </w:t>
            </w:r>
            <w:r>
              <w:rPr>
                <w:rFonts w:hint="eastAsia" w:hAnsi="宋体"/>
                <w:sz w:val="21"/>
                <w:szCs w:val="21"/>
              </w:rPr>
              <w:t>分</w:t>
            </w:r>
          </w:p>
        </w:tc>
        <w:tc>
          <w:tcPr>
            <w:tcW w:w="2842" w:type="dxa"/>
            <w:tcBorders>
              <w:top w:val="single" w:color="000000" w:sz="4" w:space="0"/>
              <w:left w:val="single" w:color="000000" w:sz="4" w:space="0"/>
              <w:bottom w:val="single" w:color="000000" w:sz="4" w:space="0"/>
              <w:right w:val="single" w:color="000000" w:sz="4" w:space="0"/>
            </w:tcBorders>
          </w:tcPr>
          <w:p w14:paraId="2090DFD6">
            <w:pPr>
              <w:pStyle w:val="21"/>
              <w:kinsoku w:val="0"/>
              <w:overflowPunct w:val="0"/>
              <w:spacing w:line="360" w:lineRule="auto"/>
              <w:ind w:left="139" w:right="129"/>
              <w:jc w:val="center"/>
              <w:rPr>
                <w:rFonts w:hAnsi="宋体"/>
                <w:sz w:val="21"/>
                <w:szCs w:val="21"/>
              </w:rPr>
            </w:pPr>
            <w:r>
              <w:rPr>
                <w:rFonts w:hint="eastAsia" w:hAnsi="宋体"/>
                <w:sz w:val="21"/>
                <w:szCs w:val="21"/>
              </w:rPr>
              <w:t>合格</w:t>
            </w:r>
          </w:p>
        </w:tc>
      </w:tr>
      <w:tr w14:paraId="20194032">
        <w:tblPrEx>
          <w:tblCellMar>
            <w:top w:w="0" w:type="dxa"/>
            <w:left w:w="0" w:type="dxa"/>
            <w:bottom w:w="0" w:type="dxa"/>
            <w:right w:w="0" w:type="dxa"/>
          </w:tblCellMar>
        </w:tblPrEx>
        <w:trPr>
          <w:trHeight w:val="410" w:hRule="atLeast"/>
          <w:jc w:val="center"/>
        </w:trPr>
        <w:tc>
          <w:tcPr>
            <w:tcW w:w="2842" w:type="dxa"/>
            <w:vMerge w:val="continue"/>
            <w:tcBorders>
              <w:left w:val="single" w:color="000000" w:sz="4" w:space="0"/>
              <w:bottom w:val="single" w:color="000000" w:sz="4" w:space="0"/>
              <w:right w:val="single" w:color="000000" w:sz="4" w:space="0"/>
            </w:tcBorders>
          </w:tcPr>
          <w:p w14:paraId="45E53CD2">
            <w:pPr>
              <w:pStyle w:val="21"/>
              <w:kinsoku w:val="0"/>
              <w:overflowPunct w:val="0"/>
              <w:spacing w:before="1" w:line="360" w:lineRule="auto"/>
              <w:ind w:left="139" w:right="132"/>
              <w:jc w:val="center"/>
              <w:rPr>
                <w:rFonts w:hAnsi="宋体"/>
                <w:sz w:val="21"/>
                <w:szCs w:val="21"/>
              </w:rPr>
            </w:pPr>
          </w:p>
        </w:tc>
        <w:tc>
          <w:tcPr>
            <w:tcW w:w="3249" w:type="dxa"/>
            <w:tcBorders>
              <w:top w:val="single" w:color="000000" w:sz="4" w:space="0"/>
              <w:left w:val="single" w:color="000000" w:sz="4" w:space="0"/>
              <w:bottom w:val="single" w:color="000000" w:sz="4" w:space="0"/>
              <w:right w:val="single" w:color="000000" w:sz="4" w:space="0"/>
            </w:tcBorders>
          </w:tcPr>
          <w:p w14:paraId="173AAD9F">
            <w:pPr>
              <w:pStyle w:val="21"/>
              <w:kinsoku w:val="0"/>
              <w:overflowPunct w:val="0"/>
              <w:spacing w:line="360" w:lineRule="auto"/>
              <w:ind w:left="822" w:right="812"/>
              <w:jc w:val="center"/>
              <w:rPr>
                <w:rFonts w:hAnsi="宋体"/>
                <w:sz w:val="21"/>
                <w:szCs w:val="21"/>
              </w:rPr>
            </w:pPr>
            <w:r>
              <w:rPr>
                <w:rFonts w:hint="eastAsia" w:hAnsi="宋体"/>
                <w:sz w:val="21"/>
                <w:szCs w:val="21"/>
              </w:rPr>
              <w:t>小于</w:t>
            </w:r>
            <w:r>
              <w:rPr>
                <w:rFonts w:hAnsi="宋体"/>
                <w:sz w:val="21"/>
                <w:szCs w:val="21"/>
              </w:rPr>
              <w:t xml:space="preserve"> 90 </w:t>
            </w:r>
            <w:r>
              <w:rPr>
                <w:rFonts w:hint="eastAsia" w:hAnsi="宋体"/>
                <w:sz w:val="21"/>
                <w:szCs w:val="21"/>
              </w:rPr>
              <w:t>分</w:t>
            </w:r>
          </w:p>
        </w:tc>
        <w:tc>
          <w:tcPr>
            <w:tcW w:w="2842" w:type="dxa"/>
            <w:tcBorders>
              <w:top w:val="single" w:color="000000" w:sz="4" w:space="0"/>
              <w:left w:val="single" w:color="000000" w:sz="4" w:space="0"/>
              <w:bottom w:val="single" w:color="000000" w:sz="4" w:space="0"/>
              <w:right w:val="single" w:color="000000" w:sz="4" w:space="0"/>
            </w:tcBorders>
          </w:tcPr>
          <w:p w14:paraId="7F2C35B9">
            <w:pPr>
              <w:pStyle w:val="21"/>
              <w:kinsoku w:val="0"/>
              <w:overflowPunct w:val="0"/>
              <w:spacing w:line="360" w:lineRule="auto"/>
              <w:ind w:left="139" w:right="129"/>
              <w:jc w:val="center"/>
              <w:rPr>
                <w:rFonts w:hAnsi="宋体"/>
                <w:sz w:val="21"/>
                <w:szCs w:val="21"/>
              </w:rPr>
            </w:pPr>
            <w:r>
              <w:rPr>
                <w:rFonts w:hint="eastAsia" w:hAnsi="宋体"/>
                <w:sz w:val="21"/>
                <w:szCs w:val="21"/>
              </w:rPr>
              <w:t>不合格</w:t>
            </w:r>
          </w:p>
        </w:tc>
      </w:tr>
    </w:tbl>
    <w:p w14:paraId="70CE334F">
      <w:pPr>
        <w:pStyle w:val="17"/>
        <w:spacing w:line="360" w:lineRule="auto"/>
        <w:ind w:firstLine="403" w:firstLineChars="192"/>
        <w:rPr>
          <w:rFonts w:ascii="宋体" w:hAnsi="宋体"/>
          <w:bCs/>
          <w:szCs w:val="21"/>
        </w:rPr>
      </w:pPr>
      <w:r>
        <w:rPr>
          <w:rFonts w:hint="eastAsia" w:ascii="宋体" w:hAnsi="宋体"/>
          <w:bCs/>
          <w:szCs w:val="21"/>
        </w:rPr>
        <w:t>经考核达到优秀、良好、合格，支付</w:t>
      </w:r>
      <w:r>
        <w:rPr>
          <w:rFonts w:ascii="宋体" w:hAnsi="宋体"/>
          <w:bCs/>
          <w:szCs w:val="21"/>
        </w:rPr>
        <w:t xml:space="preserve"> 100%合同款项；</w:t>
      </w:r>
    </w:p>
    <w:p w14:paraId="700EAA8F">
      <w:pPr>
        <w:pStyle w:val="17"/>
        <w:spacing w:line="360" w:lineRule="auto"/>
        <w:ind w:firstLine="403" w:firstLineChars="192"/>
        <w:rPr>
          <w:rFonts w:ascii="宋体" w:hAnsi="宋体"/>
          <w:bCs/>
          <w:szCs w:val="21"/>
        </w:rPr>
      </w:pPr>
      <w:r>
        <w:rPr>
          <w:rFonts w:hint="eastAsia" w:ascii="宋体" w:hAnsi="宋体"/>
          <w:bCs/>
          <w:szCs w:val="21"/>
        </w:rPr>
        <w:t>如月考核分＜</w:t>
      </w:r>
      <w:r>
        <w:rPr>
          <w:rFonts w:ascii="宋体" w:hAnsi="宋体"/>
          <w:bCs/>
          <w:szCs w:val="21"/>
        </w:rPr>
        <w:t>90 分，供应商承担 2000 元/月的违约金，且采购人有权在当月的服务费中直接扣除。累计三次考核低于 90 分的，视为供应商严重违反本合同约定的义务， 采购人有权终止合同。</w:t>
      </w:r>
    </w:p>
    <w:p w14:paraId="6037E45D">
      <w:pPr>
        <w:adjustRightInd w:val="0"/>
        <w:snapToGrid w:val="0"/>
        <w:spacing w:line="360" w:lineRule="auto"/>
        <w:ind w:firstLine="460" w:firstLineChars="192"/>
        <w:jc w:val="left"/>
        <w:rPr>
          <w:rFonts w:ascii="宋体" w:hAnsi="宋体"/>
          <w:color w:val="000000"/>
          <w:sz w:val="24"/>
          <w:szCs w:val="24"/>
        </w:rPr>
      </w:pPr>
    </w:p>
    <w:p w14:paraId="6AD9C0B7">
      <w:pPr>
        <w:pStyle w:val="6"/>
        <w:spacing w:line="360" w:lineRule="auto"/>
        <w:ind w:firstLine="480"/>
        <w:rPr>
          <w:b/>
          <w:bCs/>
        </w:rPr>
      </w:pPr>
      <w:bookmarkStart w:id="6" w:name="_Toc187933518"/>
      <w:bookmarkStart w:id="7" w:name="_Toc497211607"/>
      <w:r>
        <w:rPr>
          <w:rFonts w:hint="eastAsia"/>
          <w:b/>
          <w:bCs/>
        </w:rPr>
        <w:t>（十）</w:t>
      </w:r>
      <w:r>
        <w:rPr>
          <w:b/>
          <w:bCs/>
        </w:rPr>
        <w:t>保密要求</w:t>
      </w:r>
      <w:bookmarkEnd w:id="6"/>
      <w:bookmarkEnd w:id="7"/>
    </w:p>
    <w:p w14:paraId="0671EA75">
      <w:pPr>
        <w:spacing w:line="360" w:lineRule="auto"/>
        <w:ind w:firstLine="420" w:firstLineChars="200"/>
        <w:rPr>
          <w:rFonts w:ascii="Times New Roman" w:hAnsi="Times New Roman" w:cs="宋体"/>
          <w:b/>
          <w:color w:val="000000"/>
          <w:kern w:val="0"/>
          <w:sz w:val="24"/>
          <w:szCs w:val="24"/>
        </w:rPr>
      </w:pPr>
      <w:r>
        <w:rPr>
          <w:rFonts w:hint="eastAsia" w:ascii="宋体" w:hAnsi="宋体"/>
          <w:color w:val="000000"/>
          <w:szCs w:val="21"/>
        </w:rPr>
        <w:t>成交供应商</w:t>
      </w:r>
      <w:r>
        <w:rPr>
          <w:rFonts w:ascii="宋体" w:hAnsi="宋体"/>
          <w:color w:val="000000"/>
          <w:szCs w:val="21"/>
        </w:rPr>
        <w:t>应遵守合同文件约定内容的保密要求。如果采购人提供的内容属于保密的，应签订保密协议，且双方均有保密义务。</w:t>
      </w:r>
      <w:r>
        <w:rPr>
          <w:rFonts w:hint="eastAsia" w:ascii="宋体" w:hAnsi="宋体"/>
          <w:color w:val="000000"/>
          <w:szCs w:val="21"/>
        </w:rPr>
        <w:t>成交供应商</w:t>
      </w:r>
      <w:r>
        <w:rPr>
          <w:rFonts w:ascii="宋体" w:hAnsi="宋体"/>
          <w:color w:val="000000"/>
          <w:szCs w:val="21"/>
        </w:rPr>
        <w:t>不得利用工作之便外泄资料或做其他用途，否则</w:t>
      </w:r>
      <w:r>
        <w:rPr>
          <w:rFonts w:hint="eastAsia" w:ascii="宋体" w:hAnsi="宋体"/>
          <w:color w:val="000000"/>
          <w:szCs w:val="21"/>
        </w:rPr>
        <w:t>成交供应商</w:t>
      </w:r>
      <w:r>
        <w:rPr>
          <w:rFonts w:ascii="宋体" w:hAnsi="宋体"/>
          <w:color w:val="000000"/>
          <w:szCs w:val="21"/>
        </w:rPr>
        <w:t>需承担由此引起的法律责任和赔偿采购人的经济损失。本款规定的效力及于</w:t>
      </w:r>
      <w:r>
        <w:rPr>
          <w:rFonts w:hint="eastAsia" w:ascii="宋体" w:hAnsi="宋体"/>
          <w:color w:val="000000"/>
          <w:szCs w:val="21"/>
        </w:rPr>
        <w:t>成交供应商</w:t>
      </w:r>
      <w:r>
        <w:rPr>
          <w:rFonts w:ascii="宋体" w:hAnsi="宋体"/>
          <w:color w:val="000000"/>
          <w:szCs w:val="21"/>
        </w:rPr>
        <w:t>及</w:t>
      </w:r>
      <w:r>
        <w:rPr>
          <w:rFonts w:hint="eastAsia" w:ascii="宋体" w:hAnsi="宋体"/>
          <w:color w:val="000000"/>
          <w:szCs w:val="21"/>
        </w:rPr>
        <w:t>成交供应商</w:t>
      </w:r>
      <w:r>
        <w:rPr>
          <w:rFonts w:ascii="宋体" w:hAnsi="宋体"/>
          <w:color w:val="000000"/>
          <w:szCs w:val="21"/>
        </w:rPr>
        <w:t>的所有雇用人员。</w:t>
      </w:r>
    </w:p>
    <w:p w14:paraId="628243BA">
      <w:pPr>
        <w:widowControl/>
        <w:tabs>
          <w:tab w:val="left" w:pos="567"/>
        </w:tabs>
        <w:spacing w:beforeLines="100" w:afterLines="50" w:line="360" w:lineRule="auto"/>
        <w:ind w:left="426" w:leftChars="203"/>
        <w:jc w:val="left"/>
        <w:outlineLvl w:val="0"/>
        <w:rPr>
          <w:rFonts w:ascii="Times New Roman" w:hAnsi="Times New Roman" w:cs="宋体"/>
          <w:b/>
          <w:color w:val="000000"/>
          <w:kern w:val="0"/>
          <w:sz w:val="24"/>
          <w:szCs w:val="24"/>
        </w:rPr>
      </w:pPr>
    </w:p>
    <w:p w14:paraId="741DCF6B">
      <w:pPr>
        <w:widowControl/>
        <w:tabs>
          <w:tab w:val="left" w:pos="567"/>
        </w:tabs>
        <w:spacing w:beforeLines="100" w:afterLines="50" w:line="360" w:lineRule="auto"/>
        <w:ind w:left="426" w:leftChars="203"/>
        <w:jc w:val="left"/>
        <w:outlineLvl w:val="0"/>
        <w:rPr>
          <w:rFonts w:ascii="Times New Roman" w:hAnsi="Times New Roman" w:cs="宋体"/>
          <w:b/>
          <w:color w:val="000000"/>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Lucida Sans">
    <w:altName w:val="Noto Sans"/>
    <w:panose1 w:val="020B0602030504020204"/>
    <w:charset w:val="00"/>
    <w:family w:val="swiss"/>
    <w:pitch w:val="default"/>
    <w:sig w:usb0="00000000" w:usb1="00000000" w:usb2="00000000" w:usb3="00000000" w:csb0="00000001" w:csb1="00000000"/>
  </w:font>
  <w:font w:name="Noto Sans">
    <w:panose1 w:val="020B0502040504020204"/>
    <w:charset w:val="00"/>
    <w:family w:val="auto"/>
    <w:pitch w:val="default"/>
    <w:sig w:usb0="E00002FF" w:usb1="4000201F" w:usb2="08000029" w:usb3="00100000" w:csb0="0000019F" w:csb1="00000000"/>
  </w:font>
  <w:font w:name="方正兰亭黑_GBK">
    <w:altName w:val="方正黑体_GBK"/>
    <w:panose1 w:val="00000000000000000000"/>
    <w:charset w:val="86"/>
    <w:family w:val="script"/>
    <w:pitch w:val="default"/>
    <w:sig w:usb0="00000000" w:usb1="00000000" w:usb2="00080016" w:usb3="00000000" w:csb0="00040001" w:csb1="00000000"/>
  </w:font>
  <w:font w:name="方正黑体_GBK">
    <w:panose1 w:val="02000000000000000000"/>
    <w:charset w:val="86"/>
    <w:family w:val="auto"/>
    <w:pitch w:val="default"/>
    <w:sig w:usb0="00000001" w:usb1="08000000" w:usb2="00000000" w:usb3="00000000" w:csb0="00040000" w:csb1="00000000"/>
  </w:font>
  <w:font w:name="等线">
    <w:altName w:val="Noto Sans CJK SC"/>
    <w:panose1 w:val="00000000000000000000"/>
    <w:charset w:val="86"/>
    <w:family w:val="auto"/>
    <w:pitch w:val="default"/>
    <w:sig w:usb0="00000000" w:usb1="00000000" w:usb2="00000016" w:usb3="00000000" w:csb0="0004000F" w:csb1="00000000"/>
  </w:font>
  <w:font w:name="Noto Sans CJK SC">
    <w:panose1 w:val="020B0500000000000000"/>
    <w:charset w:val="86"/>
    <w:family w:val="auto"/>
    <w:pitch w:val="default"/>
    <w:sig w:usb0="30000083" w:usb1="2BDF3C10" w:usb2="00000016" w:usb3="00000000" w:csb0="602E0107" w:csb1="00000000"/>
  </w:font>
  <w:font w:name="仿宋">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421"/>
    <w:multiLevelType w:val="multilevel"/>
    <w:tmpl w:val="00000421"/>
    <w:lvl w:ilvl="0" w:tentative="0">
      <w:start w:val="12"/>
      <w:numFmt w:val="decimal"/>
      <w:lvlText w:val="%1"/>
      <w:lvlJc w:val="left"/>
      <w:pPr>
        <w:ind w:left="1278" w:hanging="442"/>
      </w:pPr>
    </w:lvl>
    <w:lvl w:ilvl="1" w:tentative="0">
      <w:start w:val="1"/>
      <w:numFmt w:val="decimal"/>
      <w:lvlText w:val="%1.%2"/>
      <w:lvlJc w:val="left"/>
      <w:pPr>
        <w:ind w:left="1278" w:hanging="442"/>
      </w:pPr>
      <w:rPr>
        <w:rFonts w:ascii="Times New Roman" w:hAnsi="Times New Roman" w:cs="Times New Roman"/>
        <w:b w:val="0"/>
        <w:bCs w:val="0"/>
        <w:w w:val="100"/>
        <w:sz w:val="22"/>
        <w:szCs w:val="22"/>
      </w:rPr>
    </w:lvl>
    <w:lvl w:ilvl="2" w:tentative="0">
      <w:start w:val="0"/>
      <w:numFmt w:val="bullet"/>
      <w:lvlText w:val="•"/>
      <w:lvlJc w:val="left"/>
      <w:pPr>
        <w:ind w:left="2220" w:hanging="442"/>
      </w:pPr>
    </w:lvl>
    <w:lvl w:ilvl="3" w:tentative="0">
      <w:start w:val="0"/>
      <w:numFmt w:val="bullet"/>
      <w:lvlText w:val="•"/>
      <w:lvlJc w:val="left"/>
      <w:pPr>
        <w:ind w:left="3338" w:hanging="442"/>
      </w:pPr>
    </w:lvl>
    <w:lvl w:ilvl="4" w:tentative="0">
      <w:start w:val="0"/>
      <w:numFmt w:val="bullet"/>
      <w:lvlText w:val="•"/>
      <w:lvlJc w:val="left"/>
      <w:pPr>
        <w:ind w:left="4456" w:hanging="442"/>
      </w:pPr>
    </w:lvl>
    <w:lvl w:ilvl="5" w:tentative="0">
      <w:start w:val="0"/>
      <w:numFmt w:val="bullet"/>
      <w:lvlText w:val="•"/>
      <w:lvlJc w:val="left"/>
      <w:pPr>
        <w:ind w:left="5574" w:hanging="442"/>
      </w:pPr>
    </w:lvl>
    <w:lvl w:ilvl="6" w:tentative="0">
      <w:start w:val="0"/>
      <w:numFmt w:val="bullet"/>
      <w:lvlText w:val="•"/>
      <w:lvlJc w:val="left"/>
      <w:pPr>
        <w:ind w:left="6693" w:hanging="442"/>
      </w:pPr>
    </w:lvl>
    <w:lvl w:ilvl="7" w:tentative="0">
      <w:start w:val="0"/>
      <w:numFmt w:val="bullet"/>
      <w:lvlText w:val="•"/>
      <w:lvlJc w:val="left"/>
      <w:pPr>
        <w:ind w:left="7811" w:hanging="442"/>
      </w:pPr>
    </w:lvl>
    <w:lvl w:ilvl="8" w:tentative="0">
      <w:start w:val="0"/>
      <w:numFmt w:val="bullet"/>
      <w:lvlText w:val="•"/>
      <w:lvlJc w:val="left"/>
      <w:pPr>
        <w:ind w:left="8929" w:hanging="442"/>
      </w:pPr>
    </w:lvl>
  </w:abstractNum>
  <w:abstractNum w:abstractNumId="1">
    <w:nsid w:val="686E925D"/>
    <w:multiLevelType w:val="singleLevel"/>
    <w:tmpl w:val="686E925D"/>
    <w:lvl w:ilvl="0" w:tentative="0">
      <w:start w:val="2"/>
      <w:numFmt w:val="chineseCounting"/>
      <w:suff w:val="nothing"/>
      <w:lvlText w:val="%1、"/>
      <w:lvlJc w:val="left"/>
      <w:rPr>
        <w:rFonts w:hint="eastAsia"/>
        <w:color w:va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2"/>
  </w:compat>
  <w:docVars>
    <w:docVar w:name="commondata" w:val="eyJoZGlkIjoiMmM1OTMyYmVkNDBiZGZjOTJjNzg0ZTljMGM2NGM1NWEifQ=="/>
  </w:docVars>
  <w:rsids>
    <w:rsidRoot w:val="0038620A"/>
    <w:rsid w:val="000414A1"/>
    <w:rsid w:val="000B4200"/>
    <w:rsid w:val="00101A76"/>
    <w:rsid w:val="0016265C"/>
    <w:rsid w:val="002204DC"/>
    <w:rsid w:val="002B54CF"/>
    <w:rsid w:val="00305DB6"/>
    <w:rsid w:val="00385BEC"/>
    <w:rsid w:val="0038620A"/>
    <w:rsid w:val="00414840"/>
    <w:rsid w:val="00461EB1"/>
    <w:rsid w:val="004B7768"/>
    <w:rsid w:val="005745CD"/>
    <w:rsid w:val="0058764C"/>
    <w:rsid w:val="005A24B8"/>
    <w:rsid w:val="005A44D2"/>
    <w:rsid w:val="006059D7"/>
    <w:rsid w:val="007332B0"/>
    <w:rsid w:val="00855CC1"/>
    <w:rsid w:val="00915FA6"/>
    <w:rsid w:val="00A1774D"/>
    <w:rsid w:val="00A57158"/>
    <w:rsid w:val="00B1178C"/>
    <w:rsid w:val="00C118D0"/>
    <w:rsid w:val="00CD606C"/>
    <w:rsid w:val="00D554BA"/>
    <w:rsid w:val="00D8238A"/>
    <w:rsid w:val="00E70BA0"/>
    <w:rsid w:val="00EA7B32"/>
    <w:rsid w:val="0FB54D97"/>
    <w:rsid w:val="191D3B97"/>
    <w:rsid w:val="2BC07713"/>
    <w:rsid w:val="373B67B0"/>
    <w:rsid w:val="45E867A9"/>
    <w:rsid w:val="46E50C5D"/>
    <w:rsid w:val="4F053EF0"/>
    <w:rsid w:val="50970D9B"/>
    <w:rsid w:val="5E435858"/>
    <w:rsid w:val="5E7588D0"/>
    <w:rsid w:val="5F903BD3"/>
    <w:rsid w:val="77FF0671"/>
    <w:rsid w:val="7B766AF9"/>
    <w:rsid w:val="7E5F46E8"/>
    <w:rsid w:val="7E6A104B"/>
    <w:rsid w:val="7EBBBC24"/>
    <w:rsid w:val="7EDF0408"/>
    <w:rsid w:val="B29D21C1"/>
    <w:rsid w:val="EBEF54DC"/>
    <w:rsid w:val="FBF932D2"/>
    <w:rsid w:val="FFFB8926"/>
    <w:rsid w:val="FFFFDF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39"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semiHidden/>
    <w:unhideWhenUsed/>
    <w:qFormat/>
    <w:uiPriority w:val="9"/>
    <w:pPr>
      <w:keepNext/>
      <w:keepLines/>
      <w:spacing w:before="260" w:after="260" w:line="415" w:lineRule="auto"/>
      <w:outlineLvl w:val="1"/>
    </w:pPr>
    <w:rPr>
      <w:rFonts w:ascii="方正兰亭黑_GBK" w:hAnsi="方正兰亭黑_GBK" w:eastAsia="黑体"/>
      <w:b/>
      <w:bCs/>
      <w:sz w:val="32"/>
      <w:szCs w:val="32"/>
    </w:rPr>
  </w:style>
  <w:style w:type="paragraph" w:styleId="4">
    <w:name w:val="heading 3"/>
    <w:basedOn w:val="1"/>
    <w:next w:val="1"/>
    <w:autoRedefine/>
    <w:semiHidden/>
    <w:unhideWhenUsed/>
    <w:qFormat/>
    <w:uiPriority w:val="9"/>
    <w:pPr>
      <w:keepNext/>
      <w:keepLines/>
      <w:spacing w:before="260" w:after="260" w:line="415"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pPr>
      <w:jc w:val="left"/>
    </w:pPr>
    <w:rPr>
      <w:rFonts w:ascii="等线" w:eastAsia="等线" w:cs="Arial"/>
    </w:rPr>
  </w:style>
  <w:style w:type="paragraph" w:styleId="6">
    <w:name w:val="Plain Text"/>
    <w:basedOn w:val="1"/>
    <w:link w:val="18"/>
    <w:autoRedefine/>
    <w:qFormat/>
    <w:uiPriority w:val="0"/>
    <w:rPr>
      <w:rFonts w:ascii="宋体" w:hAnsi="Courier New"/>
      <w:szCs w:val="20"/>
    </w:rPr>
  </w:style>
  <w:style w:type="paragraph" w:styleId="7">
    <w:name w:val="Balloon Text"/>
    <w:basedOn w:val="1"/>
    <w:autoRedefine/>
    <w:qFormat/>
    <w:uiPriority w:val="0"/>
    <w:rPr>
      <w:rFonts w:ascii="等线" w:eastAsia="等线" w:cs="Arial"/>
      <w:sz w:val="18"/>
      <w:szCs w:val="18"/>
    </w:rPr>
  </w:style>
  <w:style w:type="paragraph" w:styleId="8">
    <w:name w:val="footer"/>
    <w:basedOn w:val="1"/>
    <w:autoRedefine/>
    <w:qFormat/>
    <w:uiPriority w:val="0"/>
    <w:pPr>
      <w:tabs>
        <w:tab w:val="center" w:pos="4153"/>
        <w:tab w:val="right" w:pos="8306"/>
      </w:tabs>
      <w:snapToGrid w:val="0"/>
      <w:jc w:val="left"/>
    </w:pPr>
    <w:rPr>
      <w:rFonts w:ascii="等线" w:eastAsia="等线" w:cs="Arial"/>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rFonts w:ascii="等线" w:eastAsia="等线" w:cs="Arial"/>
      <w:sz w:val="18"/>
      <w:szCs w:val="18"/>
    </w:rPr>
  </w:style>
  <w:style w:type="paragraph" w:styleId="10">
    <w:name w:val="List"/>
    <w:basedOn w:val="1"/>
    <w:autoRedefine/>
    <w:qFormat/>
    <w:uiPriority w:val="0"/>
    <w:pPr>
      <w:ind w:left="200" w:hanging="200" w:hangingChars="200"/>
    </w:pPr>
    <w:rPr>
      <w:rFonts w:ascii="Times New Roman" w:hAnsi="Times New Roman"/>
      <w:szCs w:val="24"/>
    </w:rPr>
  </w:style>
  <w:style w:type="paragraph" w:styleId="11">
    <w:name w:val="annotation subject"/>
    <w:basedOn w:val="5"/>
    <w:next w:val="5"/>
    <w:autoRedefine/>
    <w:qFormat/>
    <w:uiPriority w:val="0"/>
    <w:rPr>
      <w:b/>
      <w:bCs/>
    </w:rPr>
  </w:style>
  <w:style w:type="character" w:styleId="14">
    <w:name w:val="annotation reference"/>
    <w:basedOn w:val="13"/>
    <w:autoRedefine/>
    <w:qFormat/>
    <w:uiPriority w:val="0"/>
    <w:rPr>
      <w:sz w:val="21"/>
      <w:szCs w:val="21"/>
    </w:rPr>
  </w:style>
  <w:style w:type="paragraph" w:customStyle="1" w:styleId="15">
    <w:name w:val="修订1"/>
    <w:autoRedefine/>
    <w:qFormat/>
    <w:uiPriority w:val="0"/>
    <w:rPr>
      <w:rFonts w:ascii="等线" w:hAnsi="Times New Roman" w:eastAsia="等线" w:cs="Arial"/>
      <w:kern w:val="2"/>
      <w:sz w:val="21"/>
      <w:szCs w:val="22"/>
      <w:lang w:val="en-US" w:eastAsia="zh-CN" w:bidi="ar-SA"/>
    </w:rPr>
  </w:style>
  <w:style w:type="paragraph" w:styleId="16">
    <w:name w:val="No Spacing"/>
    <w:autoRedefine/>
    <w:qFormat/>
    <w:uiPriority w:val="0"/>
    <w:pPr>
      <w:widowControl w:val="0"/>
      <w:jc w:val="both"/>
    </w:pPr>
    <w:rPr>
      <w:rFonts w:ascii="等线" w:hAnsi="Times New Roman" w:eastAsia="等线" w:cs="Arial"/>
      <w:kern w:val="2"/>
      <w:sz w:val="21"/>
      <w:szCs w:val="22"/>
      <w:lang w:val="en-US" w:eastAsia="zh-CN" w:bidi="ar-SA"/>
    </w:rPr>
  </w:style>
  <w:style w:type="paragraph" w:styleId="17">
    <w:name w:val="List Paragraph"/>
    <w:basedOn w:val="1"/>
    <w:autoRedefine/>
    <w:qFormat/>
    <w:uiPriority w:val="1"/>
    <w:pPr>
      <w:ind w:firstLine="420" w:firstLineChars="200"/>
    </w:pPr>
  </w:style>
  <w:style w:type="character" w:customStyle="1" w:styleId="18">
    <w:name w:val="纯文本 Char"/>
    <w:basedOn w:val="13"/>
    <w:link w:val="6"/>
    <w:qFormat/>
    <w:uiPriority w:val="0"/>
    <w:rPr>
      <w:rFonts w:ascii="宋体" w:hAnsi="Courier New" w:cs="Times New Roman"/>
      <w:kern w:val="2"/>
      <w:sz w:val="21"/>
    </w:rPr>
  </w:style>
  <w:style w:type="table" w:customStyle="1" w:styleId="19">
    <w:name w:val="Table Normal"/>
    <w:autoRedefine/>
    <w:semiHidden/>
    <w:unhideWhenUsed/>
    <w:qFormat/>
    <w:uiPriority w:val="0"/>
    <w:tblPr>
      <w:tblCellMar>
        <w:top w:w="0" w:type="dxa"/>
        <w:left w:w="0" w:type="dxa"/>
        <w:bottom w:w="0" w:type="dxa"/>
        <w:right w:w="0" w:type="dxa"/>
      </w:tblCellMar>
    </w:tblPr>
  </w:style>
  <w:style w:type="paragraph" w:customStyle="1" w:styleId="20">
    <w:name w:val="Table Text"/>
    <w:basedOn w:val="1"/>
    <w:autoRedefine/>
    <w:semiHidden/>
    <w:qFormat/>
    <w:uiPriority w:val="0"/>
    <w:rPr>
      <w:rFonts w:ascii="仿宋" w:hAnsi="仿宋" w:eastAsia="仿宋" w:cs="仿宋"/>
      <w:sz w:val="22"/>
      <w:lang w:eastAsia="en-US"/>
    </w:rPr>
  </w:style>
  <w:style w:type="paragraph" w:customStyle="1" w:styleId="21">
    <w:name w:val="Table Paragraph"/>
    <w:basedOn w:val="1"/>
    <w:qFormat/>
    <w:uiPriority w:val="1"/>
    <w:pPr>
      <w:autoSpaceDE w:val="0"/>
      <w:autoSpaceDN w:val="0"/>
      <w:adjustRightInd w:val="0"/>
      <w:jc w:val="left"/>
    </w:pPr>
    <w:rPr>
      <w:rFonts w:ascii="宋体" w:hAnsi="Times New Roman" w:cs="宋体"/>
      <w:kern w:val="0"/>
      <w:sz w:val="24"/>
      <w:szCs w:val="24"/>
    </w:rPr>
  </w:style>
  <w:style w:type="character" w:customStyle="1" w:styleId="22">
    <w:name w:val="font31"/>
    <w:qFormat/>
    <w:uiPriority w:val="0"/>
    <w:rPr>
      <w:rFonts w:ascii="宋体" w:eastAsia="宋体" w:cs="宋体"/>
      <w:color w:val="000000"/>
      <w:sz w:val="21"/>
      <w:szCs w:val="21"/>
      <w:u w:val="none"/>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xmlns="http://www.yozosoft.com.cn/officeDocument/2016/customData">
    <docPr xmlns="http://www.yozosoft.com.cn/officeDocument/2016/customData" revisions="3 0 5 0 0 0 1 0 0 0 3000 0 1 1 1 1"/>
    <sectPr xmlns="http://www.yozosoft.com.cn/officeDocument/2016/customData"/>
  </customProps>
</customData>
</file>

<file path=customXml/itemProps1.xml><?xml version="1.0" encoding="utf-8"?>
<ds:datastoreItem xmlns:ds="http://schemas.openxmlformats.org/officeDocument/2006/customXml" ds:itemID="{0F1BC289-D31E-4560-A411-934622C1EB94}">
  <ds:schemaRefs/>
</ds:datastoreItem>
</file>

<file path=docProps/app.xml><?xml version="1.0" encoding="utf-8"?>
<Properties xmlns="http://schemas.openxmlformats.org/officeDocument/2006/extended-properties" xmlns:vt="http://schemas.openxmlformats.org/officeDocument/2006/docPropsVTypes">
  <Template>Normal</Template>
  <Pages>8</Pages>
  <Words>794</Words>
  <Characters>4528</Characters>
  <Lines>37</Lines>
  <Paragraphs>10</Paragraphs>
  <TotalTime>57</TotalTime>
  <ScaleCrop>false</ScaleCrop>
  <LinksUpToDate>false</LinksUpToDate>
  <CharactersWithSpaces>5312</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2026-02-06T13:53:00Z</dcterms:created>
  <dc:creator>张姝雅</dc:creator>
  <cp:lastModifiedBy>陈俊宇</cp:lastModifiedBy>
  <dcterms:modified xsi:type="dcterms:W3CDTF">2026-02-11T09:10:35Z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9A052CB5FDE1438994474473026CF171_13</vt:lpwstr>
  </property>
  <property fmtid="{D5CDD505-2E9C-101B-9397-08002B2CF9AE}" pid="4" name="KSOTemplateDocerSaveRecord">
    <vt:lpwstr>eyJoZGlkIjoiZDg4ZGE3ZGVkNjgwYmQzNmI1MzRmNTg1MDgxMDY1YzciLCJ1c2VySWQiOiI0NTkzMjg0MTUifQ==</vt:lpwstr>
  </property>
</Properties>
</file>