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F765B">
      <w:pPr>
        <w:ind w:firstLine="880"/>
        <w:jc w:val="center"/>
        <w:rPr>
          <w:color w:val="auto"/>
          <w:sz w:val="44"/>
          <w:szCs w:val="44"/>
        </w:rPr>
      </w:pPr>
    </w:p>
    <w:p w14:paraId="025916F8">
      <w:pPr>
        <w:ind w:firstLine="880"/>
        <w:jc w:val="center"/>
        <w:rPr>
          <w:color w:val="auto"/>
          <w:sz w:val="44"/>
          <w:szCs w:val="44"/>
        </w:rPr>
      </w:pPr>
    </w:p>
    <w:p w14:paraId="5BB9212C">
      <w:pPr>
        <w:ind w:firstLine="883"/>
        <w:jc w:val="center"/>
        <w:rPr>
          <w:b/>
          <w:color w:val="auto"/>
          <w:sz w:val="44"/>
          <w:szCs w:val="44"/>
        </w:rPr>
      </w:pPr>
      <w:r>
        <w:rPr>
          <w:rFonts w:hint="eastAsia"/>
          <w:b/>
          <w:color w:val="auto"/>
          <w:sz w:val="44"/>
          <w:szCs w:val="44"/>
        </w:rPr>
        <w:t>上海市第一中级人民法院</w:t>
      </w:r>
    </w:p>
    <w:p w14:paraId="6A0D4D3D">
      <w:pPr>
        <w:ind w:firstLine="883"/>
        <w:jc w:val="center"/>
        <w:rPr>
          <w:b/>
          <w:color w:val="auto"/>
          <w:sz w:val="44"/>
          <w:szCs w:val="44"/>
        </w:rPr>
      </w:pPr>
      <w:r>
        <w:rPr>
          <w:rFonts w:hint="eastAsia"/>
          <w:b/>
          <w:color w:val="auto"/>
          <w:sz w:val="44"/>
          <w:szCs w:val="44"/>
        </w:rPr>
        <w:t>智能法庭、会议系统建设项目</w:t>
      </w:r>
    </w:p>
    <w:p w14:paraId="24BDA10E">
      <w:pPr>
        <w:ind w:firstLine="883"/>
        <w:jc w:val="center"/>
        <w:rPr>
          <w:b/>
          <w:color w:val="auto"/>
          <w:sz w:val="44"/>
          <w:szCs w:val="44"/>
        </w:rPr>
      </w:pPr>
      <w:r>
        <w:rPr>
          <w:rFonts w:hint="eastAsia"/>
          <w:b/>
          <w:color w:val="auto"/>
          <w:sz w:val="44"/>
          <w:szCs w:val="44"/>
        </w:rPr>
        <w:t>(2026年升级改造)</w:t>
      </w:r>
    </w:p>
    <w:p w14:paraId="7A427B40">
      <w:pPr>
        <w:ind w:firstLine="883"/>
        <w:jc w:val="center"/>
        <w:rPr>
          <w:b/>
          <w:color w:val="auto"/>
          <w:sz w:val="44"/>
          <w:szCs w:val="44"/>
        </w:rPr>
      </w:pPr>
    </w:p>
    <w:p w14:paraId="4AE0A8BE">
      <w:pPr>
        <w:ind w:firstLine="883"/>
        <w:jc w:val="center"/>
        <w:rPr>
          <w:b/>
          <w:color w:val="auto"/>
          <w:sz w:val="44"/>
          <w:szCs w:val="44"/>
        </w:rPr>
      </w:pPr>
    </w:p>
    <w:p w14:paraId="4322358A">
      <w:pPr>
        <w:rPr>
          <w:color w:val="auto"/>
        </w:rPr>
      </w:pPr>
    </w:p>
    <w:p w14:paraId="128F98A3">
      <w:pPr>
        <w:rPr>
          <w:color w:val="auto"/>
        </w:rPr>
      </w:pPr>
    </w:p>
    <w:p w14:paraId="4CE016D4">
      <w:pPr>
        <w:rPr>
          <w:color w:val="auto"/>
        </w:rPr>
      </w:pPr>
    </w:p>
    <w:p w14:paraId="77CDCA1B">
      <w:pPr>
        <w:rPr>
          <w:color w:val="auto"/>
        </w:rPr>
      </w:pPr>
    </w:p>
    <w:p w14:paraId="32035784">
      <w:pPr>
        <w:rPr>
          <w:color w:val="auto"/>
        </w:rPr>
      </w:pPr>
    </w:p>
    <w:p w14:paraId="4A8824C7">
      <w:pPr>
        <w:rPr>
          <w:color w:val="auto"/>
        </w:rPr>
      </w:pPr>
    </w:p>
    <w:p w14:paraId="30403824">
      <w:pPr>
        <w:rPr>
          <w:color w:val="auto"/>
        </w:rPr>
      </w:pPr>
    </w:p>
    <w:p w14:paraId="78F24938">
      <w:pPr>
        <w:rPr>
          <w:color w:val="auto"/>
        </w:rPr>
      </w:pPr>
    </w:p>
    <w:p w14:paraId="32504BD5">
      <w:pPr>
        <w:rPr>
          <w:color w:val="auto"/>
        </w:rPr>
      </w:pPr>
    </w:p>
    <w:p w14:paraId="4031109E">
      <w:pPr>
        <w:rPr>
          <w:color w:val="auto"/>
        </w:rPr>
      </w:pPr>
    </w:p>
    <w:p w14:paraId="41E939EC">
      <w:pPr>
        <w:rPr>
          <w:color w:val="auto"/>
        </w:rPr>
      </w:pPr>
    </w:p>
    <w:p w14:paraId="64C56325">
      <w:pPr>
        <w:rPr>
          <w:color w:val="auto"/>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p>
    <w:sdt>
      <w:sdtPr>
        <w:rPr>
          <w:rFonts w:hint="eastAsia" w:eastAsia="黑体" w:cs="Times New Roman"/>
          <w:b/>
          <w:bCs/>
          <w:color w:val="auto"/>
          <w:kern w:val="44"/>
          <w:sz w:val="32"/>
          <w:szCs w:val="32"/>
        </w:rPr>
        <w:id w:val="147456052"/>
        <w:docPartObj>
          <w:docPartGallery w:val="Table of Contents"/>
          <w:docPartUnique/>
        </w:docPartObj>
      </w:sdtPr>
      <w:sdtEndPr>
        <w:rPr>
          <w:rFonts w:hint="eastAsia" w:eastAsia="宋体" w:cs="宋体"/>
          <w:b w:val="0"/>
          <w:bCs w:val="0"/>
          <w:color w:val="auto"/>
          <w:kern w:val="2"/>
          <w:sz w:val="24"/>
          <w:szCs w:val="24"/>
        </w:rPr>
      </w:sdtEndPr>
      <w:sdtContent>
        <w:p w14:paraId="67B15492">
          <w:pPr>
            <w:ind w:firstLine="643"/>
            <w:jc w:val="center"/>
            <w:rPr>
              <w:color w:val="auto"/>
            </w:rPr>
          </w:pPr>
          <w:bookmarkStart w:id="0" w:name="_Toc108529558"/>
          <w:r>
            <w:rPr>
              <w:color w:val="auto"/>
            </w:rPr>
            <w:t>目录</w:t>
          </w:r>
        </w:p>
        <w:p w14:paraId="2FAD80A6">
          <w:pPr>
            <w:pStyle w:val="18"/>
            <w:tabs>
              <w:tab w:val="right" w:leader="dot" w:pos="8306"/>
            </w:tabs>
          </w:pPr>
          <w:r>
            <w:rPr>
              <w:rFonts w:hint="eastAsia" w:ascii="宋体" w:hAnsi="宋体"/>
              <w:color w:val="auto"/>
            </w:rPr>
            <w:fldChar w:fldCharType="begin"/>
          </w:r>
          <w:r>
            <w:rPr>
              <w:rFonts w:hint="eastAsia" w:ascii="宋体" w:hAnsi="宋体"/>
              <w:color w:val="auto"/>
            </w:rPr>
            <w:instrText xml:space="preserve">TOC \o "1-3" \h \u </w:instrText>
          </w:r>
          <w:r>
            <w:rPr>
              <w:rFonts w:hint="eastAsia" w:ascii="宋体" w:hAnsi="宋体"/>
              <w:color w:val="auto"/>
            </w:rPr>
            <w:fldChar w:fldCharType="separate"/>
          </w:r>
          <w:r>
            <w:rPr>
              <w:rFonts w:hint="eastAsia"/>
              <w:color w:val="auto"/>
            </w:rPr>
            <w:fldChar w:fldCharType="begin"/>
          </w:r>
          <w:r>
            <w:rPr>
              <w:rFonts w:hint="eastAsia"/>
            </w:rPr>
            <w:instrText xml:space="preserve"> HYPERLINK \l _Toc1623473216 </w:instrText>
          </w:r>
          <w:r>
            <w:rPr>
              <w:rFonts w:hint="eastAsia"/>
            </w:rPr>
            <w:fldChar w:fldCharType="separate"/>
          </w:r>
          <w:r>
            <w:rPr>
              <w:rFonts w:hint="default"/>
            </w:rPr>
            <w:t xml:space="preserve">1. </w:t>
          </w:r>
          <w:r>
            <w:rPr>
              <w:rFonts w:hint="eastAsia"/>
            </w:rPr>
            <w:t>项目背景</w:t>
          </w:r>
          <w:r>
            <w:tab/>
          </w:r>
          <w:r>
            <w:fldChar w:fldCharType="begin"/>
          </w:r>
          <w:r>
            <w:instrText xml:space="preserve"> PAGEREF _Toc1623473216 \h </w:instrText>
          </w:r>
          <w:r>
            <w:fldChar w:fldCharType="separate"/>
          </w:r>
          <w:r>
            <w:t>3</w:t>
          </w:r>
          <w:r>
            <w:fldChar w:fldCharType="end"/>
          </w:r>
          <w:r>
            <w:rPr>
              <w:rFonts w:hint="eastAsia"/>
              <w:color w:val="auto"/>
            </w:rPr>
            <w:fldChar w:fldCharType="end"/>
          </w:r>
        </w:p>
        <w:p w14:paraId="207DD9AC">
          <w:pPr>
            <w:pStyle w:val="18"/>
            <w:tabs>
              <w:tab w:val="right" w:leader="dot" w:pos="8306"/>
            </w:tabs>
          </w:pPr>
          <w:r>
            <w:rPr>
              <w:rFonts w:hint="eastAsia"/>
              <w:color w:val="auto"/>
            </w:rPr>
            <w:fldChar w:fldCharType="begin"/>
          </w:r>
          <w:r>
            <w:rPr>
              <w:rFonts w:hint="eastAsia"/>
            </w:rPr>
            <w:instrText xml:space="preserve"> HYPERLINK \l _Toc284225963 </w:instrText>
          </w:r>
          <w:r>
            <w:rPr>
              <w:rFonts w:hint="eastAsia"/>
            </w:rPr>
            <w:fldChar w:fldCharType="separate"/>
          </w:r>
          <w:r>
            <w:rPr>
              <w:rFonts w:hint="default"/>
            </w:rPr>
            <w:t xml:space="preserve">2. </w:t>
          </w:r>
          <w:r>
            <w:rPr>
              <w:rFonts w:hint="eastAsia"/>
            </w:rPr>
            <w:t>建设内容</w:t>
          </w:r>
          <w:r>
            <w:tab/>
          </w:r>
          <w:r>
            <w:fldChar w:fldCharType="begin"/>
          </w:r>
          <w:r>
            <w:instrText xml:space="preserve"> PAGEREF _Toc284225963 \h </w:instrText>
          </w:r>
          <w:r>
            <w:fldChar w:fldCharType="separate"/>
          </w:r>
          <w:r>
            <w:t>3</w:t>
          </w:r>
          <w:r>
            <w:fldChar w:fldCharType="end"/>
          </w:r>
          <w:r>
            <w:rPr>
              <w:rFonts w:hint="eastAsia"/>
              <w:color w:val="auto"/>
            </w:rPr>
            <w:fldChar w:fldCharType="end"/>
          </w:r>
        </w:p>
        <w:p w14:paraId="58AEE75C">
          <w:pPr>
            <w:pStyle w:val="18"/>
            <w:tabs>
              <w:tab w:val="right" w:leader="dot" w:pos="8306"/>
            </w:tabs>
          </w:pPr>
          <w:r>
            <w:rPr>
              <w:rFonts w:hint="eastAsia"/>
              <w:color w:val="auto"/>
            </w:rPr>
            <w:fldChar w:fldCharType="begin"/>
          </w:r>
          <w:r>
            <w:rPr>
              <w:rFonts w:hint="eastAsia"/>
            </w:rPr>
            <w:instrText xml:space="preserve"> HYPERLINK \l _Toc439526161 </w:instrText>
          </w:r>
          <w:r>
            <w:rPr>
              <w:rFonts w:hint="eastAsia"/>
            </w:rPr>
            <w:fldChar w:fldCharType="separate"/>
          </w:r>
          <w:r>
            <w:rPr>
              <w:rFonts w:hint="default"/>
            </w:rPr>
            <w:t xml:space="preserve">3. </w:t>
          </w:r>
          <w:r>
            <w:rPr>
              <w:rFonts w:hint="eastAsia"/>
            </w:rPr>
            <w:t>建设要求</w:t>
          </w:r>
          <w:r>
            <w:tab/>
          </w:r>
          <w:r>
            <w:fldChar w:fldCharType="begin"/>
          </w:r>
          <w:r>
            <w:instrText xml:space="preserve"> PAGEREF _Toc439526161 \h </w:instrText>
          </w:r>
          <w:r>
            <w:fldChar w:fldCharType="separate"/>
          </w:r>
          <w:r>
            <w:t>3</w:t>
          </w:r>
          <w:r>
            <w:fldChar w:fldCharType="end"/>
          </w:r>
          <w:r>
            <w:rPr>
              <w:rFonts w:hint="eastAsia"/>
              <w:color w:val="auto"/>
            </w:rPr>
            <w:fldChar w:fldCharType="end"/>
          </w:r>
        </w:p>
        <w:p w14:paraId="369CA131">
          <w:pPr>
            <w:pStyle w:val="18"/>
            <w:tabs>
              <w:tab w:val="right" w:leader="dot" w:pos="8306"/>
            </w:tabs>
          </w:pPr>
          <w:r>
            <w:rPr>
              <w:rFonts w:hint="eastAsia"/>
              <w:color w:val="auto"/>
            </w:rPr>
            <w:fldChar w:fldCharType="begin"/>
          </w:r>
          <w:r>
            <w:rPr>
              <w:rFonts w:hint="eastAsia"/>
            </w:rPr>
            <w:instrText xml:space="preserve"> HYPERLINK \l _Toc1173853410 </w:instrText>
          </w:r>
          <w:r>
            <w:rPr>
              <w:rFonts w:hint="eastAsia"/>
            </w:rPr>
            <w:fldChar w:fldCharType="separate"/>
          </w:r>
          <w:r>
            <w:rPr>
              <w:rFonts w:hint="default"/>
            </w:rPr>
            <w:t xml:space="preserve">4. </w:t>
          </w:r>
          <w:r>
            <w:rPr>
              <w:rFonts w:hint="eastAsia"/>
            </w:rPr>
            <w:t>其他技术要求</w:t>
          </w:r>
          <w:r>
            <w:tab/>
          </w:r>
          <w:r>
            <w:fldChar w:fldCharType="begin"/>
          </w:r>
          <w:r>
            <w:instrText xml:space="preserve"> PAGEREF _Toc1173853410 \h </w:instrText>
          </w:r>
          <w:r>
            <w:fldChar w:fldCharType="separate"/>
          </w:r>
          <w:r>
            <w:t>4</w:t>
          </w:r>
          <w:r>
            <w:fldChar w:fldCharType="end"/>
          </w:r>
          <w:r>
            <w:rPr>
              <w:rFonts w:hint="eastAsia"/>
              <w:color w:val="auto"/>
            </w:rPr>
            <w:fldChar w:fldCharType="end"/>
          </w:r>
        </w:p>
        <w:p w14:paraId="2CF4C2E5">
          <w:pPr>
            <w:pStyle w:val="18"/>
            <w:tabs>
              <w:tab w:val="right" w:leader="dot" w:pos="8306"/>
            </w:tabs>
          </w:pPr>
          <w:r>
            <w:rPr>
              <w:rFonts w:hint="eastAsia"/>
              <w:color w:val="auto"/>
            </w:rPr>
            <w:fldChar w:fldCharType="begin"/>
          </w:r>
          <w:r>
            <w:rPr>
              <w:rFonts w:hint="eastAsia"/>
            </w:rPr>
            <w:instrText xml:space="preserve"> HYPERLINK \l _Toc313585010 </w:instrText>
          </w:r>
          <w:r>
            <w:rPr>
              <w:rFonts w:hint="eastAsia"/>
            </w:rPr>
            <w:fldChar w:fldCharType="separate"/>
          </w:r>
          <w:r>
            <w:rPr>
              <w:rFonts w:hint="default"/>
            </w:rPr>
            <w:t xml:space="preserve">5. </w:t>
          </w:r>
          <w:r>
            <w:rPr>
              <w:rFonts w:hint="eastAsia"/>
            </w:rPr>
            <w:t>招标配置清单</w:t>
          </w:r>
          <w:r>
            <w:tab/>
          </w:r>
          <w:r>
            <w:fldChar w:fldCharType="begin"/>
          </w:r>
          <w:r>
            <w:instrText xml:space="preserve"> PAGEREF _Toc313585010 \h </w:instrText>
          </w:r>
          <w:r>
            <w:fldChar w:fldCharType="separate"/>
          </w:r>
          <w:r>
            <w:t>4</w:t>
          </w:r>
          <w:r>
            <w:fldChar w:fldCharType="end"/>
          </w:r>
          <w:r>
            <w:rPr>
              <w:rFonts w:hint="eastAsia"/>
              <w:color w:val="auto"/>
            </w:rPr>
            <w:fldChar w:fldCharType="end"/>
          </w:r>
        </w:p>
        <w:p w14:paraId="63E2F634">
          <w:pPr>
            <w:pStyle w:val="18"/>
            <w:tabs>
              <w:tab w:val="right" w:leader="dot" w:pos="8306"/>
            </w:tabs>
          </w:pPr>
          <w:r>
            <w:rPr>
              <w:rFonts w:hint="eastAsia"/>
              <w:color w:val="auto"/>
            </w:rPr>
            <w:fldChar w:fldCharType="begin"/>
          </w:r>
          <w:r>
            <w:rPr>
              <w:rFonts w:hint="eastAsia"/>
            </w:rPr>
            <w:instrText xml:space="preserve"> HYPERLINK \l _Toc735954576 </w:instrText>
          </w:r>
          <w:r>
            <w:rPr>
              <w:rFonts w:hint="eastAsia"/>
            </w:rPr>
            <w:fldChar w:fldCharType="separate"/>
          </w:r>
          <w:r>
            <w:rPr>
              <w:rFonts w:hint="default"/>
            </w:rPr>
            <w:t xml:space="preserve">6. </w:t>
          </w:r>
          <w:r>
            <w:rPr>
              <w:rFonts w:hint="eastAsia"/>
            </w:rPr>
            <w:t>其他要求</w:t>
          </w:r>
          <w:r>
            <w:tab/>
          </w:r>
          <w:r>
            <w:fldChar w:fldCharType="begin"/>
          </w:r>
          <w:r>
            <w:instrText xml:space="preserve"> PAGEREF _Toc735954576 \h </w:instrText>
          </w:r>
          <w:r>
            <w:fldChar w:fldCharType="separate"/>
          </w:r>
          <w:r>
            <w:t>10</w:t>
          </w:r>
          <w:r>
            <w:fldChar w:fldCharType="end"/>
          </w:r>
          <w:r>
            <w:rPr>
              <w:rFonts w:hint="eastAsia"/>
              <w:color w:val="auto"/>
            </w:rPr>
            <w:fldChar w:fldCharType="end"/>
          </w:r>
        </w:p>
        <w:p w14:paraId="7F0369E1">
          <w:pPr>
            <w:pStyle w:val="19"/>
            <w:tabs>
              <w:tab w:val="right" w:leader="dot" w:pos="8306"/>
            </w:tabs>
          </w:pPr>
          <w:r>
            <w:rPr>
              <w:rFonts w:hint="eastAsia"/>
              <w:color w:val="auto"/>
            </w:rPr>
            <w:fldChar w:fldCharType="begin"/>
          </w:r>
          <w:r>
            <w:rPr>
              <w:rFonts w:hint="eastAsia"/>
            </w:rPr>
            <w:instrText xml:space="preserve"> HYPERLINK \l _Toc921470546 </w:instrText>
          </w:r>
          <w:r>
            <w:rPr>
              <w:rFonts w:hint="eastAsia"/>
            </w:rPr>
            <w:fldChar w:fldCharType="separate"/>
          </w:r>
          <w:r>
            <w:rPr>
              <w:rFonts w:hint="default"/>
            </w:rPr>
            <w:t xml:space="preserve">6.1. </w:t>
          </w:r>
          <w:r>
            <w:rPr>
              <w:rFonts w:hint="eastAsia"/>
              <w:lang w:val="en-US" w:eastAsia="zh-CN"/>
            </w:rPr>
            <w:t>工期及</w:t>
          </w:r>
          <w:r>
            <w:rPr>
              <w:rFonts w:hint="eastAsia"/>
            </w:rPr>
            <w:t>验收</w:t>
          </w:r>
          <w:r>
            <w:tab/>
          </w:r>
          <w:r>
            <w:fldChar w:fldCharType="begin"/>
          </w:r>
          <w:r>
            <w:instrText xml:space="preserve"> PAGEREF _Toc921470546 \h </w:instrText>
          </w:r>
          <w:r>
            <w:fldChar w:fldCharType="separate"/>
          </w:r>
          <w:r>
            <w:t>10</w:t>
          </w:r>
          <w:r>
            <w:fldChar w:fldCharType="end"/>
          </w:r>
          <w:r>
            <w:rPr>
              <w:rFonts w:hint="eastAsia"/>
              <w:color w:val="auto"/>
            </w:rPr>
            <w:fldChar w:fldCharType="end"/>
          </w:r>
        </w:p>
        <w:p w14:paraId="7889FFE0">
          <w:pPr>
            <w:pStyle w:val="19"/>
            <w:tabs>
              <w:tab w:val="right" w:leader="dot" w:pos="8306"/>
            </w:tabs>
          </w:pPr>
          <w:r>
            <w:rPr>
              <w:rFonts w:hint="eastAsia"/>
              <w:color w:val="auto"/>
            </w:rPr>
            <w:fldChar w:fldCharType="begin"/>
          </w:r>
          <w:r>
            <w:rPr>
              <w:rFonts w:hint="eastAsia"/>
            </w:rPr>
            <w:instrText xml:space="preserve"> HYPERLINK \l _Toc1091113726 </w:instrText>
          </w:r>
          <w:r>
            <w:rPr>
              <w:rFonts w:hint="eastAsia"/>
            </w:rPr>
            <w:fldChar w:fldCharType="separate"/>
          </w:r>
          <w:r>
            <w:rPr>
              <w:rFonts w:hint="default"/>
            </w:rPr>
            <w:t xml:space="preserve">6.2. </w:t>
          </w:r>
          <w:r>
            <w:rPr>
              <w:rFonts w:hint="eastAsia"/>
            </w:rPr>
            <w:t>服务要求</w:t>
          </w:r>
          <w:r>
            <w:tab/>
          </w:r>
          <w:r>
            <w:fldChar w:fldCharType="begin"/>
          </w:r>
          <w:r>
            <w:instrText xml:space="preserve"> PAGEREF _Toc1091113726 \h </w:instrText>
          </w:r>
          <w:r>
            <w:fldChar w:fldCharType="separate"/>
          </w:r>
          <w:r>
            <w:t>11</w:t>
          </w:r>
          <w:r>
            <w:fldChar w:fldCharType="end"/>
          </w:r>
          <w:r>
            <w:rPr>
              <w:rFonts w:hint="eastAsia"/>
              <w:color w:val="auto"/>
            </w:rPr>
            <w:fldChar w:fldCharType="end"/>
          </w:r>
        </w:p>
        <w:p w14:paraId="7DC8F227">
          <w:pPr>
            <w:pStyle w:val="19"/>
            <w:tabs>
              <w:tab w:val="right" w:leader="dot" w:pos="8306"/>
            </w:tabs>
          </w:pPr>
          <w:r>
            <w:rPr>
              <w:rFonts w:hint="eastAsia"/>
              <w:color w:val="auto"/>
            </w:rPr>
            <w:fldChar w:fldCharType="begin"/>
          </w:r>
          <w:r>
            <w:rPr>
              <w:rFonts w:hint="eastAsia"/>
            </w:rPr>
            <w:instrText xml:space="preserve"> HYPERLINK \l _Toc616854514 </w:instrText>
          </w:r>
          <w:r>
            <w:rPr>
              <w:rFonts w:hint="eastAsia"/>
            </w:rPr>
            <w:fldChar w:fldCharType="separate"/>
          </w:r>
          <w:r>
            <w:rPr>
              <w:rFonts w:hint="default"/>
            </w:rPr>
            <w:t xml:space="preserve">6.3. </w:t>
          </w:r>
          <w:r>
            <w:rPr>
              <w:rFonts w:hint="eastAsia"/>
            </w:rPr>
            <w:t>知识产权要求</w:t>
          </w:r>
          <w:r>
            <w:tab/>
          </w:r>
          <w:r>
            <w:fldChar w:fldCharType="begin"/>
          </w:r>
          <w:r>
            <w:instrText xml:space="preserve"> PAGEREF _Toc616854514 \h </w:instrText>
          </w:r>
          <w:r>
            <w:fldChar w:fldCharType="separate"/>
          </w:r>
          <w:r>
            <w:t>12</w:t>
          </w:r>
          <w:r>
            <w:fldChar w:fldCharType="end"/>
          </w:r>
          <w:r>
            <w:rPr>
              <w:rFonts w:hint="eastAsia"/>
              <w:color w:val="auto"/>
            </w:rPr>
            <w:fldChar w:fldCharType="end"/>
          </w:r>
        </w:p>
        <w:p w14:paraId="12C34E07">
          <w:pPr>
            <w:pStyle w:val="19"/>
            <w:tabs>
              <w:tab w:val="right" w:leader="dot" w:pos="8306"/>
            </w:tabs>
          </w:pPr>
          <w:r>
            <w:rPr>
              <w:rFonts w:hint="eastAsia"/>
              <w:color w:val="auto"/>
            </w:rPr>
            <w:fldChar w:fldCharType="begin"/>
          </w:r>
          <w:r>
            <w:rPr>
              <w:rFonts w:hint="eastAsia"/>
            </w:rPr>
            <w:instrText xml:space="preserve"> HYPERLINK \l _Toc1003979322 </w:instrText>
          </w:r>
          <w:r>
            <w:rPr>
              <w:rFonts w:hint="eastAsia"/>
            </w:rPr>
            <w:fldChar w:fldCharType="separate"/>
          </w:r>
          <w:r>
            <w:rPr>
              <w:rFonts w:hint="default"/>
            </w:rPr>
            <w:t xml:space="preserve">6.4. </w:t>
          </w:r>
          <w:r>
            <w:rPr>
              <w:rFonts w:hint="eastAsia"/>
            </w:rPr>
            <w:t>安全保密要求</w:t>
          </w:r>
          <w:r>
            <w:tab/>
          </w:r>
          <w:r>
            <w:fldChar w:fldCharType="begin"/>
          </w:r>
          <w:r>
            <w:instrText xml:space="preserve"> PAGEREF _Toc1003979322 \h </w:instrText>
          </w:r>
          <w:r>
            <w:fldChar w:fldCharType="separate"/>
          </w:r>
          <w:r>
            <w:t>12</w:t>
          </w:r>
          <w:r>
            <w:fldChar w:fldCharType="end"/>
          </w:r>
          <w:r>
            <w:rPr>
              <w:rFonts w:hint="eastAsia"/>
              <w:color w:val="auto"/>
            </w:rPr>
            <w:fldChar w:fldCharType="end"/>
          </w:r>
        </w:p>
        <w:p w14:paraId="1E07153B">
          <w:pPr>
            <w:pStyle w:val="18"/>
            <w:tabs>
              <w:tab w:val="right" w:leader="dot" w:pos="8306"/>
            </w:tabs>
          </w:pPr>
          <w:r>
            <w:rPr>
              <w:rFonts w:hint="eastAsia"/>
              <w:color w:val="auto"/>
            </w:rPr>
            <w:fldChar w:fldCharType="begin"/>
          </w:r>
          <w:r>
            <w:rPr>
              <w:rFonts w:hint="eastAsia"/>
            </w:rPr>
            <w:instrText xml:space="preserve"> HYPERLINK \l _Toc26634046 </w:instrText>
          </w:r>
          <w:r>
            <w:rPr>
              <w:rFonts w:hint="eastAsia"/>
            </w:rPr>
            <w:fldChar w:fldCharType="separate"/>
          </w:r>
          <w:r>
            <w:rPr>
              <w:rFonts w:hint="default"/>
            </w:rPr>
            <w:t xml:space="preserve">7. </w:t>
          </w:r>
          <w:r>
            <w:rPr>
              <w:rFonts w:hint="eastAsia"/>
            </w:rPr>
            <w:t>工程范围</w:t>
          </w:r>
          <w:r>
            <w:tab/>
          </w:r>
          <w:r>
            <w:fldChar w:fldCharType="begin"/>
          </w:r>
          <w:r>
            <w:instrText xml:space="preserve"> PAGEREF _Toc26634046 \h </w:instrText>
          </w:r>
          <w:r>
            <w:fldChar w:fldCharType="separate"/>
          </w:r>
          <w:r>
            <w:t>13</w:t>
          </w:r>
          <w:r>
            <w:fldChar w:fldCharType="end"/>
          </w:r>
          <w:r>
            <w:rPr>
              <w:rFonts w:hint="eastAsia"/>
              <w:color w:val="auto"/>
            </w:rPr>
            <w:fldChar w:fldCharType="end"/>
          </w:r>
        </w:p>
        <w:p w14:paraId="704C3055">
          <w:pPr>
            <w:rPr>
              <w:color w:val="auto"/>
            </w:rPr>
          </w:pPr>
          <w:r>
            <w:rPr>
              <w:rFonts w:hint="eastAsia"/>
              <w:color w:val="auto"/>
            </w:rPr>
            <w:fldChar w:fldCharType="end"/>
          </w:r>
        </w:p>
      </w:sdtContent>
    </w:sdt>
    <w:p w14:paraId="2A316D96">
      <w:pPr>
        <w:rPr>
          <w:color w:val="auto"/>
        </w:rPr>
      </w:pPr>
    </w:p>
    <w:p w14:paraId="102D0AC8">
      <w:pPr>
        <w:rPr>
          <w:color w:val="auto"/>
        </w:rPr>
      </w:pPr>
      <w:r>
        <w:rPr>
          <w:color w:val="auto"/>
        </w:rPr>
        <w:br w:type="page"/>
      </w:r>
    </w:p>
    <w:p w14:paraId="033A42A6">
      <w:pPr>
        <w:pStyle w:val="2"/>
        <w:rPr>
          <w:color w:val="auto"/>
        </w:rPr>
      </w:pPr>
      <w:bookmarkStart w:id="1" w:name="_Toc31072"/>
      <w:bookmarkStart w:id="2" w:name="_Toc1623473216"/>
      <w:r>
        <w:rPr>
          <w:rFonts w:hint="eastAsia"/>
          <w:color w:val="auto"/>
        </w:rPr>
        <w:t>项目背景</w:t>
      </w:r>
      <w:bookmarkEnd w:id="1"/>
      <w:bookmarkEnd w:id="2"/>
    </w:p>
    <w:p w14:paraId="4AA5069D">
      <w:pPr>
        <w:pStyle w:val="60"/>
        <w:rPr>
          <w:color w:val="auto"/>
          <w:lang w:eastAsia="zh-CN"/>
        </w:rPr>
      </w:pPr>
      <w:r>
        <w:rPr>
          <w:rFonts w:hint="eastAsia"/>
          <w:color w:val="auto"/>
          <w:lang w:eastAsia="zh-CN"/>
        </w:rPr>
        <w:t>科技法庭</w:t>
      </w:r>
      <w:r>
        <w:rPr>
          <w:rFonts w:hint="eastAsia"/>
          <w:color w:val="auto"/>
          <w:lang w:val="en-US" w:eastAsia="zh-CN"/>
        </w:rPr>
        <w:t>部分</w:t>
      </w:r>
      <w:r>
        <w:rPr>
          <w:rFonts w:hint="eastAsia"/>
          <w:color w:val="auto"/>
          <w:lang w:eastAsia="zh-CN"/>
        </w:rPr>
        <w:t>庭审主机已超过设计使用寿命，设备故障率较高，经常出现死机，影响庭</w:t>
      </w:r>
      <w:r>
        <w:rPr>
          <w:rFonts w:hint="eastAsia"/>
          <w:color w:val="auto"/>
          <w:lang w:val="en-US" w:eastAsia="zh-CN"/>
        </w:rPr>
        <w:t>审</w:t>
      </w:r>
      <w:r>
        <w:rPr>
          <w:rFonts w:hint="eastAsia"/>
          <w:color w:val="auto"/>
          <w:lang w:eastAsia="zh-CN"/>
        </w:rPr>
        <w:t>录音录像，无法满足庭审录音录像等业务需求；庭审语音转写声卡已运行</w:t>
      </w:r>
      <w:r>
        <w:rPr>
          <w:rFonts w:hint="eastAsia"/>
          <w:color w:val="auto"/>
          <w:lang w:val="en-US" w:eastAsia="zh-CN"/>
        </w:rPr>
        <w:t>多</w:t>
      </w:r>
      <w:r>
        <w:rPr>
          <w:rFonts w:hint="eastAsia"/>
          <w:color w:val="auto"/>
          <w:lang w:eastAsia="zh-CN"/>
        </w:rPr>
        <w:t>年，经常存在不稳定现象，声卡部分通道发生故障、无法修复，</w:t>
      </w:r>
      <w:r>
        <w:rPr>
          <w:rFonts w:hint="eastAsia"/>
          <w:color w:val="auto"/>
          <w:lang w:val="en-US" w:eastAsia="zh-CN"/>
        </w:rPr>
        <w:t>影响审判业务</w:t>
      </w:r>
      <w:r>
        <w:rPr>
          <w:rFonts w:hint="eastAsia"/>
          <w:color w:val="auto"/>
          <w:lang w:eastAsia="zh-CN"/>
        </w:rPr>
        <w:t>；</w:t>
      </w:r>
      <w:r>
        <w:rPr>
          <w:rFonts w:hint="eastAsia"/>
          <w:color w:val="auto"/>
          <w:lang w:val="en-US" w:eastAsia="zh-CN"/>
        </w:rPr>
        <w:t>第19、21</w:t>
      </w:r>
      <w:r>
        <w:rPr>
          <w:rFonts w:hint="eastAsia"/>
          <w:color w:val="auto"/>
          <w:lang w:eastAsia="zh-CN"/>
        </w:rPr>
        <w:t>民事中法庭证据展示投影</w:t>
      </w:r>
      <w:r>
        <w:rPr>
          <w:rFonts w:hint="eastAsia"/>
          <w:color w:val="auto"/>
          <w:lang w:val="en-US" w:eastAsia="zh-CN"/>
        </w:rPr>
        <w:t>机</w:t>
      </w:r>
      <w:r>
        <w:rPr>
          <w:rFonts w:hint="eastAsia"/>
          <w:color w:val="auto"/>
          <w:lang w:eastAsia="zh-CN"/>
        </w:rPr>
        <w:t>使用已超过20年，信号接口及清晰度已无法满足</w:t>
      </w:r>
      <w:r>
        <w:rPr>
          <w:rFonts w:hint="eastAsia"/>
          <w:color w:val="auto"/>
          <w:lang w:val="en-US" w:eastAsia="zh-CN"/>
        </w:rPr>
        <w:t>业务</w:t>
      </w:r>
      <w:r>
        <w:rPr>
          <w:rFonts w:hint="eastAsia"/>
          <w:color w:val="auto"/>
          <w:lang w:eastAsia="zh-CN"/>
        </w:rPr>
        <w:t>需求；庭审交换机已运行超过10年，经常存在不稳定现象影响庭审网络正常</w:t>
      </w:r>
      <w:r>
        <w:rPr>
          <w:rFonts w:hint="eastAsia"/>
          <w:color w:val="auto"/>
          <w:lang w:val="en-US" w:eastAsia="zh-CN"/>
        </w:rPr>
        <w:t>运行</w:t>
      </w:r>
      <w:r>
        <w:rPr>
          <w:rFonts w:hint="eastAsia"/>
          <w:color w:val="auto"/>
          <w:lang w:eastAsia="zh-CN"/>
        </w:rPr>
        <w:t>。为审委会会议室配置无纸化管理平台、智能会议终端、交互同屏控制器、无线话筒等设备，完成</w:t>
      </w:r>
      <w:r>
        <w:rPr>
          <w:rFonts w:hint="eastAsia"/>
          <w:color w:val="auto"/>
          <w:lang w:val="en-US" w:eastAsia="zh-CN"/>
        </w:rPr>
        <w:t>升级</w:t>
      </w:r>
      <w:r>
        <w:rPr>
          <w:rFonts w:hint="eastAsia"/>
          <w:color w:val="auto"/>
          <w:lang w:eastAsia="zh-CN"/>
        </w:rPr>
        <w:t>改造。</w:t>
      </w:r>
    </w:p>
    <w:p w14:paraId="1EAA2185">
      <w:pPr>
        <w:pStyle w:val="2"/>
        <w:rPr>
          <w:color w:val="auto"/>
        </w:rPr>
      </w:pPr>
      <w:bookmarkStart w:id="3" w:name="_Toc14522"/>
      <w:bookmarkStart w:id="4" w:name="_Toc284225963"/>
      <w:r>
        <w:rPr>
          <w:rFonts w:hint="eastAsia"/>
          <w:color w:val="auto"/>
        </w:rPr>
        <w:t>建设内容</w:t>
      </w:r>
      <w:bookmarkEnd w:id="0"/>
      <w:bookmarkEnd w:id="3"/>
      <w:bookmarkEnd w:id="4"/>
    </w:p>
    <w:p w14:paraId="65F42FF9">
      <w:pPr>
        <w:pStyle w:val="60"/>
        <w:rPr>
          <w:color w:val="auto"/>
          <w:lang w:eastAsia="zh-CN"/>
        </w:rPr>
      </w:pPr>
      <w:r>
        <w:rPr>
          <w:rFonts w:hint="eastAsia"/>
          <w:color w:val="auto"/>
          <w:lang w:eastAsia="zh-CN"/>
        </w:rPr>
        <w:t>本项目的建设内容主要包括高清庭审主机、庭审语音转写声卡、民事中法庭证据展示系统、审委会无纸化会议系统和调解室系统XC改造。</w:t>
      </w:r>
    </w:p>
    <w:p w14:paraId="515ECF0A">
      <w:pPr>
        <w:pStyle w:val="2"/>
        <w:rPr>
          <w:color w:val="auto"/>
        </w:rPr>
      </w:pPr>
      <w:bookmarkStart w:id="5" w:name="_Toc439526161"/>
      <w:bookmarkStart w:id="6" w:name="_Toc13420"/>
      <w:r>
        <w:rPr>
          <w:rFonts w:hint="eastAsia"/>
          <w:color w:val="auto"/>
        </w:rPr>
        <w:t>建设要求</w:t>
      </w:r>
      <w:bookmarkEnd w:id="5"/>
      <w:bookmarkEnd w:id="6"/>
    </w:p>
    <w:p w14:paraId="7382C5E9">
      <w:pPr>
        <w:rPr>
          <w:color w:val="auto"/>
        </w:rPr>
      </w:pPr>
      <w:r>
        <w:rPr>
          <w:rFonts w:hint="eastAsia"/>
          <w:color w:val="auto"/>
        </w:rPr>
        <w:t>根据《人民法院信息化建设五年发展规划（2021-2025）》等要求，升级上海市第一中级人民法院智能法庭、会议系统，建设需求主要有如下内容。</w:t>
      </w:r>
    </w:p>
    <w:p w14:paraId="49F1E203">
      <w:pPr>
        <w:rPr>
          <w:color w:val="auto"/>
        </w:rPr>
      </w:pPr>
      <w:r>
        <w:rPr>
          <w:rFonts w:hint="eastAsia"/>
          <w:color w:val="auto"/>
        </w:rPr>
        <w:t>（一）庭审系统</w:t>
      </w:r>
    </w:p>
    <w:p w14:paraId="17E655D3">
      <w:pPr>
        <w:rPr>
          <w:color w:val="auto"/>
        </w:rPr>
      </w:pPr>
      <w:r>
        <w:rPr>
          <w:rFonts w:hint="eastAsia"/>
          <w:color w:val="auto"/>
        </w:rPr>
        <w:t>将庭审主机升级为4K庭审主机，支持6路高清摄像机接入，16路音频输入、5路音频输出；对庭审交换机进行升级改造，确保庭审主机的网络信号传输。</w:t>
      </w:r>
    </w:p>
    <w:p w14:paraId="440400A4">
      <w:pPr>
        <w:rPr>
          <w:color w:val="auto"/>
        </w:rPr>
      </w:pPr>
      <w:r>
        <w:rPr>
          <w:rFonts w:hint="eastAsia"/>
          <w:color w:val="auto"/>
        </w:rPr>
        <w:t>（二）庭审语音转写声卡</w:t>
      </w:r>
    </w:p>
    <w:p w14:paraId="46FEF9B0">
      <w:pPr>
        <w:rPr>
          <w:color w:val="auto"/>
        </w:rPr>
      </w:pPr>
      <w:r>
        <w:rPr>
          <w:rFonts w:hint="eastAsia"/>
          <w:color w:val="auto"/>
        </w:rPr>
        <w:t>将</w:t>
      </w:r>
      <w:r>
        <w:rPr>
          <w:rFonts w:hint="eastAsia"/>
          <w:color w:val="auto"/>
          <w:lang w:val="en-US" w:eastAsia="zh-CN"/>
        </w:rPr>
        <w:t>上海市</w:t>
      </w:r>
      <w:r>
        <w:rPr>
          <w:rFonts w:hint="eastAsia"/>
          <w:color w:val="auto"/>
        </w:rPr>
        <w:t>高</w:t>
      </w:r>
      <w:r>
        <w:rPr>
          <w:rFonts w:hint="eastAsia"/>
          <w:color w:val="auto"/>
          <w:lang w:val="en-US" w:eastAsia="zh-CN"/>
        </w:rPr>
        <w:t>级人民法</w:t>
      </w:r>
      <w:r>
        <w:rPr>
          <w:rFonts w:hint="eastAsia"/>
          <w:color w:val="auto"/>
        </w:rPr>
        <w:t>院统配的庭审语音转写声卡进行升级，声卡需使用专业音频处理芯片，支持12通道数字音频输入输出，满足多声源同步采集与智能转写需求，确保语音采集清晰无失，实现庭审过程中的多角色语音实时转写功能。</w:t>
      </w:r>
    </w:p>
    <w:p w14:paraId="0D3B2B73">
      <w:pPr>
        <w:rPr>
          <w:color w:val="auto"/>
        </w:rPr>
      </w:pPr>
      <w:r>
        <w:rPr>
          <w:rFonts w:hint="eastAsia"/>
          <w:color w:val="auto"/>
        </w:rPr>
        <w:t>（三）民事中法庭证据展示系统</w:t>
      </w:r>
    </w:p>
    <w:p w14:paraId="367ED298">
      <w:pPr>
        <w:rPr>
          <w:color w:val="auto"/>
        </w:rPr>
      </w:pPr>
      <w:r>
        <w:rPr>
          <w:color w:val="auto"/>
        </w:rPr>
        <w:t>对</w:t>
      </w:r>
      <w:r>
        <w:rPr>
          <w:rFonts w:hint="eastAsia"/>
          <w:color w:val="auto"/>
        </w:rPr>
        <w:t>民事中法庭示证投影机进行升级改造，屏幕</w:t>
      </w:r>
      <w:r>
        <w:rPr>
          <w:rFonts w:hint="eastAsia"/>
          <w:color w:val="auto"/>
          <w:lang w:val="en-US" w:eastAsia="zh-CN"/>
        </w:rPr>
        <w:t>尺寸</w:t>
      </w:r>
      <w:r>
        <w:rPr>
          <w:rFonts w:hint="eastAsia"/>
          <w:color w:val="auto"/>
        </w:rPr>
        <w:t>不小于85寸，支持法庭各席位示证信号传输，同步传输至后台庭审主机进行证据画面录像，实现庭审证据画面的高清展示。</w:t>
      </w:r>
    </w:p>
    <w:p w14:paraId="2657EBA5">
      <w:pPr>
        <w:rPr>
          <w:color w:val="auto"/>
        </w:rPr>
      </w:pPr>
      <w:r>
        <w:rPr>
          <w:rFonts w:hint="eastAsia"/>
          <w:color w:val="auto"/>
        </w:rPr>
        <w:t>（四）审委会无纸化会议系统</w:t>
      </w:r>
    </w:p>
    <w:p w14:paraId="6C1389F5">
      <w:pPr>
        <w:rPr>
          <w:color w:val="auto"/>
        </w:rPr>
      </w:pPr>
      <w:r>
        <w:rPr>
          <w:rFonts w:hint="eastAsia"/>
          <w:color w:val="auto"/>
        </w:rPr>
        <w:t>对现有的审委会会议室无纸化会议系统进行</w:t>
      </w:r>
      <w:r>
        <w:rPr>
          <w:rFonts w:hint="eastAsia"/>
          <w:color w:val="auto"/>
          <w:lang w:eastAsia="zh-CN"/>
        </w:rPr>
        <w:t>XC</w:t>
      </w:r>
      <w:r>
        <w:rPr>
          <w:rFonts w:hint="eastAsia"/>
          <w:color w:val="auto"/>
        </w:rPr>
        <w:t>改造，</w:t>
      </w:r>
      <w:r>
        <w:rPr>
          <w:rFonts w:hint="eastAsia"/>
          <w:color w:val="auto"/>
          <w:lang w:val="en-US" w:eastAsia="zh-CN"/>
        </w:rPr>
        <w:t>具备</w:t>
      </w:r>
      <w:r>
        <w:rPr>
          <w:rFonts w:hint="eastAsia"/>
          <w:color w:val="auto"/>
        </w:rPr>
        <w:t>满足案件表决</w:t>
      </w:r>
      <w:r>
        <w:rPr>
          <w:rFonts w:hint="eastAsia"/>
          <w:color w:val="auto"/>
          <w:lang w:eastAsia="zh-CN"/>
        </w:rPr>
        <w:t>、</w:t>
      </w:r>
      <w:r>
        <w:rPr>
          <w:rFonts w:hint="eastAsia"/>
          <w:color w:val="auto"/>
        </w:rPr>
        <w:t>案件文稿阅读/批注</w:t>
      </w:r>
      <w:r>
        <w:rPr>
          <w:rFonts w:hint="eastAsia"/>
          <w:color w:val="auto"/>
          <w:lang w:eastAsia="zh-CN"/>
        </w:rPr>
        <w:t>、</w:t>
      </w:r>
      <w:r>
        <w:rPr>
          <w:rFonts w:hint="eastAsia"/>
          <w:color w:val="auto"/>
          <w:lang w:val="en-US" w:eastAsia="zh-CN"/>
        </w:rPr>
        <w:t>演讲</w:t>
      </w:r>
      <w:r>
        <w:rPr>
          <w:rFonts w:hint="eastAsia"/>
          <w:color w:val="auto"/>
        </w:rPr>
        <w:t>文稿同步显示</w:t>
      </w:r>
      <w:r>
        <w:rPr>
          <w:rFonts w:hint="eastAsia"/>
          <w:color w:val="auto"/>
          <w:lang w:eastAsia="zh-CN"/>
        </w:rPr>
        <w:t>、</w:t>
      </w:r>
      <w:r>
        <w:rPr>
          <w:rFonts w:hint="eastAsia"/>
          <w:color w:val="auto"/>
        </w:rPr>
        <w:t>大屏幕</w:t>
      </w:r>
      <w:r>
        <w:rPr>
          <w:rFonts w:hint="eastAsia"/>
          <w:color w:val="auto"/>
          <w:lang w:val="en-US" w:eastAsia="zh-CN"/>
        </w:rPr>
        <w:t>投屏、</w:t>
      </w:r>
      <w:r>
        <w:rPr>
          <w:rFonts w:hint="eastAsia"/>
          <w:color w:val="auto"/>
        </w:rPr>
        <w:t>后台服务申请等功能，实现审委会会议的无纸化会议的创建、文件内容显示、会议记录留存</w:t>
      </w:r>
      <w:r>
        <w:rPr>
          <w:rFonts w:hint="eastAsia"/>
          <w:color w:val="auto"/>
          <w:lang w:val="en-US" w:eastAsia="zh-CN"/>
        </w:rPr>
        <w:t>等</w:t>
      </w:r>
      <w:r>
        <w:rPr>
          <w:rFonts w:hint="eastAsia"/>
          <w:color w:val="auto"/>
        </w:rPr>
        <w:t>功能。</w:t>
      </w:r>
    </w:p>
    <w:p w14:paraId="7BB5B7EB">
      <w:pPr>
        <w:rPr>
          <w:color w:val="auto"/>
        </w:rPr>
      </w:pPr>
      <w:r>
        <w:rPr>
          <w:rFonts w:hint="eastAsia"/>
          <w:color w:val="auto"/>
        </w:rPr>
        <w:t>（五）</w:t>
      </w:r>
      <w:r>
        <w:rPr>
          <w:rFonts w:hint="eastAsia" w:cs="Times New Roman"/>
          <w:color w:val="auto"/>
          <w:kern w:val="0"/>
        </w:rPr>
        <w:t>调解室系统</w:t>
      </w:r>
      <w:r>
        <w:rPr>
          <w:rFonts w:hint="eastAsia" w:cs="Times New Roman"/>
          <w:color w:val="auto"/>
          <w:kern w:val="0"/>
          <w:lang w:eastAsia="zh-CN"/>
        </w:rPr>
        <w:t>XC</w:t>
      </w:r>
      <w:r>
        <w:rPr>
          <w:rFonts w:hint="eastAsia" w:cs="Times New Roman"/>
          <w:color w:val="auto"/>
          <w:kern w:val="0"/>
        </w:rPr>
        <w:t>改造</w:t>
      </w:r>
    </w:p>
    <w:p w14:paraId="0DA62874">
      <w:pPr>
        <w:rPr>
          <w:color w:val="auto"/>
        </w:rPr>
      </w:pPr>
      <w:r>
        <w:rPr>
          <w:rFonts w:hint="eastAsia"/>
          <w:color w:val="auto"/>
          <w:lang w:val="en-US" w:eastAsia="zh-CN"/>
        </w:rPr>
        <w:t>为</w:t>
      </w:r>
      <w:r>
        <w:rPr>
          <w:rFonts w:hint="eastAsia"/>
          <w:color w:val="auto"/>
        </w:rPr>
        <w:t>调解室</w:t>
      </w:r>
      <w:r>
        <w:rPr>
          <w:rFonts w:hint="eastAsia"/>
          <w:color w:val="auto"/>
          <w:lang w:val="en-US" w:eastAsia="zh-CN"/>
        </w:rPr>
        <w:t>配</w:t>
      </w:r>
      <w:r>
        <w:rPr>
          <w:rFonts w:hint="eastAsia"/>
          <w:color w:val="auto"/>
        </w:rPr>
        <w:t>署</w:t>
      </w:r>
      <w:r>
        <w:rPr>
          <w:rFonts w:hint="eastAsia"/>
          <w:color w:val="auto"/>
          <w:lang w:val="en-US" w:eastAsia="zh-CN"/>
        </w:rPr>
        <w:t>HDMI</w:t>
      </w:r>
      <w:r>
        <w:rPr>
          <w:rFonts w:hint="eastAsia"/>
          <w:color w:val="auto"/>
        </w:rPr>
        <w:t>光纤延长器，实现音视频信号的长距离无损传输。</w:t>
      </w:r>
    </w:p>
    <w:p w14:paraId="40067CE0">
      <w:pPr>
        <w:pStyle w:val="2"/>
        <w:rPr>
          <w:color w:val="auto"/>
        </w:rPr>
      </w:pPr>
      <w:bookmarkStart w:id="7" w:name="_Toc1173853410"/>
      <w:bookmarkStart w:id="8" w:name="_Toc17860"/>
      <w:r>
        <w:rPr>
          <w:rFonts w:hint="eastAsia"/>
          <w:color w:val="auto"/>
        </w:rPr>
        <w:t>其他技术要求</w:t>
      </w:r>
      <w:bookmarkEnd w:id="7"/>
      <w:bookmarkEnd w:id="8"/>
    </w:p>
    <w:p w14:paraId="3FFBC53E">
      <w:pPr>
        <w:rPr>
          <w:rFonts w:hint="eastAsia"/>
          <w:color w:val="auto"/>
        </w:rPr>
      </w:pPr>
      <w:r>
        <w:rPr>
          <w:rFonts w:hint="eastAsia"/>
          <w:color w:val="auto"/>
        </w:rPr>
        <w:t>投标单位需确保庭审主要设备（</w:t>
      </w:r>
      <w:r>
        <w:rPr>
          <w:rFonts w:hint="eastAsia"/>
          <w:color w:val="auto"/>
          <w:lang w:val="en-US" w:eastAsia="zh-CN"/>
        </w:rPr>
        <w:t>如</w:t>
      </w:r>
      <w:r>
        <w:rPr>
          <w:rFonts w:hint="eastAsia"/>
          <w:color w:val="auto"/>
        </w:rPr>
        <w:t>庭审主机、</w:t>
      </w:r>
      <w:r>
        <w:rPr>
          <w:rFonts w:hint="eastAsia"/>
          <w:color w:val="auto"/>
          <w:lang w:val="en-US" w:eastAsia="zh-CN"/>
        </w:rPr>
        <w:t>庭审语音转写声卡</w:t>
      </w:r>
      <w:r>
        <w:rPr>
          <w:rFonts w:hint="eastAsia"/>
          <w:color w:val="auto"/>
        </w:rPr>
        <w:t>等）支持</w:t>
      </w:r>
      <w:r>
        <w:rPr>
          <w:rFonts w:hint="eastAsia"/>
          <w:color w:val="auto"/>
          <w:lang w:val="en-US" w:eastAsia="zh-CN"/>
        </w:rPr>
        <w:t>上海数字法院庭审系统</w:t>
      </w:r>
      <w:r>
        <w:rPr>
          <w:rFonts w:hint="eastAsia"/>
          <w:color w:val="auto"/>
        </w:rPr>
        <w:t>，</w:t>
      </w:r>
      <w:r>
        <w:rPr>
          <w:rFonts w:hint="eastAsia"/>
          <w:color w:val="auto"/>
          <w:lang w:val="en-US" w:eastAsia="zh-CN"/>
        </w:rPr>
        <w:t>实现庭审录音录像、庭审语音转和庭审直播点播等功能</w:t>
      </w:r>
      <w:r>
        <w:rPr>
          <w:rFonts w:hint="eastAsia"/>
          <w:color w:val="auto"/>
        </w:rPr>
        <w:t>。</w:t>
      </w:r>
    </w:p>
    <w:p w14:paraId="1DB6EA84">
      <w:pPr>
        <w:rPr>
          <w:color w:val="auto"/>
        </w:rPr>
      </w:pPr>
      <w:r>
        <w:rPr>
          <w:rFonts w:hint="eastAsia"/>
          <w:color w:val="auto"/>
        </w:rPr>
        <w:t>投标单位需确保法庭与</w:t>
      </w:r>
      <w:r>
        <w:rPr>
          <w:rFonts w:hint="eastAsia"/>
          <w:color w:val="auto"/>
          <w:lang w:val="en-US" w:eastAsia="zh-CN"/>
        </w:rPr>
        <w:t>我院</w:t>
      </w:r>
      <w:r>
        <w:rPr>
          <w:rFonts w:hint="eastAsia"/>
          <w:color w:val="auto"/>
        </w:rPr>
        <w:t>信息管理中心、新闻发布中心、审委会</w:t>
      </w:r>
      <w:r>
        <w:rPr>
          <w:rFonts w:hint="eastAsia"/>
          <w:color w:val="auto"/>
          <w:lang w:val="en-US" w:eastAsia="zh-CN"/>
        </w:rPr>
        <w:t>会议室</w:t>
      </w:r>
      <w:r>
        <w:rPr>
          <w:rFonts w:hint="eastAsia"/>
          <w:color w:val="auto"/>
        </w:rPr>
        <w:t>、大法庭等审判业务场所音视频信号的互联互通。</w:t>
      </w:r>
    </w:p>
    <w:p w14:paraId="51CA0C18">
      <w:pPr>
        <w:pStyle w:val="2"/>
        <w:rPr>
          <w:color w:val="auto"/>
        </w:rPr>
      </w:pPr>
      <w:bookmarkStart w:id="9" w:name="_Toc12130"/>
      <w:bookmarkStart w:id="10" w:name="_Toc313585010"/>
      <w:r>
        <w:rPr>
          <w:rFonts w:hint="eastAsia"/>
          <w:color w:val="auto"/>
        </w:rPr>
        <w:t>招标配置清单</w:t>
      </w:r>
      <w:bookmarkEnd w:id="9"/>
      <w:bookmarkEnd w:id="10"/>
    </w:p>
    <w:tbl>
      <w:tblPr>
        <w:tblStyle w:val="22"/>
        <w:tblW w:w="8784" w:type="dxa"/>
        <w:jc w:val="center"/>
        <w:tblLayout w:type="autofit"/>
        <w:tblCellMar>
          <w:top w:w="0" w:type="dxa"/>
          <w:left w:w="108" w:type="dxa"/>
          <w:bottom w:w="0" w:type="dxa"/>
          <w:right w:w="108" w:type="dxa"/>
        </w:tblCellMar>
      </w:tblPr>
      <w:tblGrid>
        <w:gridCol w:w="633"/>
        <w:gridCol w:w="1363"/>
        <w:gridCol w:w="5705"/>
        <w:gridCol w:w="486"/>
        <w:gridCol w:w="597"/>
      </w:tblGrid>
      <w:tr w14:paraId="4B64F559">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1683D53C">
            <w:pPr>
              <w:spacing w:line="240" w:lineRule="auto"/>
              <w:ind w:firstLine="0" w:firstLineChars="0"/>
              <w:jc w:val="center"/>
              <w:rPr>
                <w:rFonts w:ascii="宋体" w:hAnsi="宋体"/>
                <w:b/>
                <w:color w:val="auto"/>
                <w:sz w:val="18"/>
                <w:szCs w:val="18"/>
                <w:highlight w:val="none"/>
              </w:rPr>
            </w:pPr>
            <w:bookmarkStart w:id="11" w:name="_Hlk186119847"/>
            <w:r>
              <w:rPr>
                <w:rFonts w:hint="eastAsia" w:ascii="宋体" w:hAnsi="宋体"/>
                <w:b/>
                <w:color w:val="auto"/>
                <w:sz w:val="18"/>
                <w:szCs w:val="18"/>
                <w:highlight w:val="none"/>
              </w:rPr>
              <w:t>序号</w:t>
            </w:r>
          </w:p>
        </w:tc>
        <w:tc>
          <w:tcPr>
            <w:tcW w:w="1363" w:type="dxa"/>
            <w:tcBorders>
              <w:top w:val="single" w:color="auto" w:sz="4" w:space="0"/>
              <w:left w:val="nil"/>
              <w:bottom w:val="single" w:color="auto" w:sz="4" w:space="0"/>
              <w:right w:val="single" w:color="auto" w:sz="4" w:space="0"/>
            </w:tcBorders>
            <w:shd w:val="clear" w:color="auto" w:fill="auto"/>
            <w:vAlign w:val="center"/>
          </w:tcPr>
          <w:p w14:paraId="553F0717">
            <w:pPr>
              <w:spacing w:line="240" w:lineRule="auto"/>
              <w:ind w:firstLine="0" w:firstLineChars="0"/>
              <w:jc w:val="center"/>
              <w:rPr>
                <w:rFonts w:ascii="宋体" w:hAnsi="宋体"/>
                <w:b/>
                <w:color w:val="auto"/>
                <w:sz w:val="18"/>
                <w:szCs w:val="18"/>
                <w:highlight w:val="none"/>
              </w:rPr>
            </w:pPr>
            <w:r>
              <w:rPr>
                <w:rFonts w:hint="eastAsia" w:ascii="宋体" w:hAnsi="宋体"/>
                <w:b/>
                <w:color w:val="auto"/>
                <w:sz w:val="18"/>
                <w:szCs w:val="18"/>
                <w:highlight w:val="none"/>
              </w:rPr>
              <w:t>产品名称</w:t>
            </w:r>
          </w:p>
        </w:tc>
        <w:tc>
          <w:tcPr>
            <w:tcW w:w="5705" w:type="dxa"/>
            <w:tcBorders>
              <w:top w:val="single" w:color="auto" w:sz="4" w:space="0"/>
              <w:left w:val="nil"/>
              <w:bottom w:val="single" w:color="auto" w:sz="4" w:space="0"/>
              <w:right w:val="single" w:color="auto" w:sz="4" w:space="0"/>
            </w:tcBorders>
            <w:shd w:val="clear" w:color="auto" w:fill="auto"/>
            <w:vAlign w:val="center"/>
          </w:tcPr>
          <w:p w14:paraId="4857B18D">
            <w:pPr>
              <w:spacing w:line="240" w:lineRule="auto"/>
              <w:ind w:firstLine="0" w:firstLineChars="0"/>
              <w:jc w:val="center"/>
              <w:rPr>
                <w:rFonts w:ascii="宋体" w:hAnsi="宋体"/>
                <w:b/>
                <w:color w:val="auto"/>
                <w:sz w:val="18"/>
                <w:szCs w:val="18"/>
                <w:highlight w:val="none"/>
              </w:rPr>
            </w:pPr>
            <w:r>
              <w:rPr>
                <w:rFonts w:hint="eastAsia" w:ascii="宋体" w:hAnsi="宋体"/>
                <w:b/>
                <w:color w:val="auto"/>
                <w:sz w:val="18"/>
                <w:szCs w:val="18"/>
                <w:highlight w:val="none"/>
              </w:rPr>
              <w:t>配置参数要求</w:t>
            </w:r>
          </w:p>
        </w:tc>
        <w:tc>
          <w:tcPr>
            <w:tcW w:w="486" w:type="dxa"/>
            <w:tcBorders>
              <w:top w:val="single" w:color="auto" w:sz="4" w:space="0"/>
              <w:left w:val="nil"/>
              <w:bottom w:val="single" w:color="auto" w:sz="4" w:space="0"/>
              <w:right w:val="single" w:color="auto" w:sz="4" w:space="0"/>
            </w:tcBorders>
            <w:shd w:val="clear" w:color="auto" w:fill="auto"/>
            <w:vAlign w:val="center"/>
          </w:tcPr>
          <w:p w14:paraId="3502B9EA">
            <w:pPr>
              <w:spacing w:line="240" w:lineRule="auto"/>
              <w:ind w:firstLine="0" w:firstLineChars="0"/>
              <w:jc w:val="center"/>
              <w:rPr>
                <w:rFonts w:ascii="宋体" w:hAnsi="宋体"/>
                <w:b/>
                <w:color w:val="auto"/>
                <w:sz w:val="18"/>
                <w:szCs w:val="18"/>
                <w:highlight w:val="none"/>
              </w:rPr>
            </w:pPr>
            <w:r>
              <w:rPr>
                <w:rFonts w:hint="eastAsia" w:ascii="宋体" w:hAnsi="宋体"/>
                <w:b/>
                <w:color w:val="auto"/>
                <w:sz w:val="18"/>
                <w:szCs w:val="18"/>
                <w:highlight w:val="none"/>
              </w:rPr>
              <w:t>数量</w:t>
            </w:r>
          </w:p>
        </w:tc>
        <w:tc>
          <w:tcPr>
            <w:tcW w:w="597" w:type="dxa"/>
            <w:tcBorders>
              <w:top w:val="single" w:color="auto" w:sz="4" w:space="0"/>
              <w:left w:val="nil"/>
              <w:bottom w:val="single" w:color="auto" w:sz="4" w:space="0"/>
              <w:right w:val="single" w:color="auto" w:sz="4" w:space="0"/>
            </w:tcBorders>
            <w:vAlign w:val="center"/>
          </w:tcPr>
          <w:p w14:paraId="76216F99">
            <w:pPr>
              <w:spacing w:line="240" w:lineRule="auto"/>
              <w:ind w:firstLine="0" w:firstLineChars="0"/>
              <w:jc w:val="center"/>
              <w:rPr>
                <w:rFonts w:ascii="宋体" w:hAnsi="宋体"/>
                <w:b/>
                <w:color w:val="auto"/>
                <w:sz w:val="18"/>
                <w:szCs w:val="18"/>
                <w:highlight w:val="none"/>
              </w:rPr>
            </w:pPr>
            <w:r>
              <w:rPr>
                <w:rFonts w:hint="eastAsia" w:ascii="宋体" w:hAnsi="宋体"/>
                <w:b/>
                <w:color w:val="auto"/>
                <w:sz w:val="18"/>
                <w:szCs w:val="18"/>
                <w:highlight w:val="none"/>
              </w:rPr>
              <w:t>单位</w:t>
            </w:r>
          </w:p>
        </w:tc>
      </w:tr>
      <w:tr w14:paraId="7F1B5F93">
        <w:tblPrEx>
          <w:tblCellMar>
            <w:top w:w="0" w:type="dxa"/>
            <w:left w:w="108" w:type="dxa"/>
            <w:bottom w:w="0" w:type="dxa"/>
            <w:right w:w="108" w:type="dxa"/>
          </w:tblCellMar>
        </w:tblPrEx>
        <w:trPr>
          <w:trHeight w:val="399"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A185CA4">
            <w:pPr>
              <w:spacing w:line="240" w:lineRule="auto"/>
              <w:ind w:firstLine="0" w:firstLineChars="0"/>
              <w:jc w:val="center"/>
              <w:rPr>
                <w:rFonts w:ascii="宋体" w:hAnsi="宋体"/>
                <w:b/>
                <w:color w:val="auto"/>
                <w:sz w:val="21"/>
                <w:szCs w:val="18"/>
                <w:highlight w:val="none"/>
              </w:rPr>
            </w:pPr>
            <w:r>
              <w:rPr>
                <w:rFonts w:hint="eastAsia" w:ascii="宋体" w:hAnsi="宋体"/>
                <w:b/>
                <w:color w:val="auto"/>
                <w:sz w:val="21"/>
                <w:szCs w:val="18"/>
                <w:highlight w:val="none"/>
              </w:rPr>
              <w:t>一</w:t>
            </w:r>
          </w:p>
        </w:tc>
        <w:tc>
          <w:tcPr>
            <w:tcW w:w="1363" w:type="dxa"/>
            <w:tcBorders>
              <w:top w:val="nil"/>
              <w:left w:val="nil"/>
              <w:bottom w:val="single" w:color="auto" w:sz="4" w:space="0"/>
              <w:right w:val="single" w:color="auto" w:sz="4" w:space="0"/>
            </w:tcBorders>
            <w:shd w:val="clear" w:color="auto" w:fill="auto"/>
            <w:vAlign w:val="center"/>
          </w:tcPr>
          <w:p w14:paraId="09FDC7DB">
            <w:pPr>
              <w:spacing w:line="240" w:lineRule="auto"/>
              <w:ind w:firstLine="0" w:firstLineChars="0"/>
              <w:rPr>
                <w:rFonts w:ascii="宋体" w:hAnsi="宋体"/>
                <w:b/>
                <w:color w:val="auto"/>
                <w:sz w:val="21"/>
                <w:szCs w:val="18"/>
                <w:highlight w:val="none"/>
              </w:rPr>
            </w:pPr>
            <w:r>
              <w:rPr>
                <w:rFonts w:hint="eastAsia" w:ascii="宋体" w:hAnsi="宋体"/>
                <w:b/>
                <w:color w:val="auto"/>
                <w:sz w:val="21"/>
                <w:szCs w:val="18"/>
                <w:highlight w:val="none"/>
              </w:rPr>
              <w:t>硬件产品购置</w:t>
            </w:r>
          </w:p>
        </w:tc>
        <w:tc>
          <w:tcPr>
            <w:tcW w:w="5705" w:type="dxa"/>
            <w:tcBorders>
              <w:top w:val="nil"/>
              <w:left w:val="nil"/>
              <w:bottom w:val="single" w:color="auto" w:sz="4" w:space="0"/>
              <w:right w:val="single" w:color="auto" w:sz="4" w:space="0"/>
            </w:tcBorders>
            <w:shd w:val="clear" w:color="auto" w:fill="auto"/>
            <w:vAlign w:val="center"/>
          </w:tcPr>
          <w:p w14:paraId="18E9D1F4">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vAlign w:val="center"/>
          </w:tcPr>
          <w:p w14:paraId="5EFE8049">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7EDC1884">
            <w:pPr>
              <w:spacing w:line="240" w:lineRule="auto"/>
              <w:ind w:firstLine="0" w:firstLineChars="0"/>
              <w:jc w:val="center"/>
              <w:rPr>
                <w:rFonts w:ascii="宋体" w:hAnsi="宋体"/>
                <w:color w:val="auto"/>
                <w:sz w:val="18"/>
                <w:szCs w:val="18"/>
                <w:highlight w:val="none"/>
              </w:rPr>
            </w:pPr>
          </w:p>
        </w:tc>
      </w:tr>
      <w:tr w14:paraId="08960606">
        <w:tblPrEx>
          <w:tblCellMar>
            <w:top w:w="0" w:type="dxa"/>
            <w:left w:w="108" w:type="dxa"/>
            <w:bottom w:w="0" w:type="dxa"/>
            <w:right w:w="108" w:type="dxa"/>
          </w:tblCellMar>
        </w:tblPrEx>
        <w:trPr>
          <w:trHeight w:val="469"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6AF7ABF3">
            <w:pPr>
              <w:spacing w:line="240" w:lineRule="auto"/>
              <w:ind w:firstLine="0" w:firstLineChars="0"/>
              <w:jc w:val="center"/>
              <w:rPr>
                <w:rFonts w:ascii="宋体" w:hAnsi="宋体"/>
                <w:b/>
                <w:bCs/>
                <w:color w:val="auto"/>
                <w:sz w:val="18"/>
                <w:szCs w:val="18"/>
                <w:highlight w:val="none"/>
              </w:rPr>
            </w:pPr>
            <w:r>
              <w:rPr>
                <w:rFonts w:hint="eastAsia" w:ascii="宋体" w:hAnsi="宋体"/>
                <w:b/>
                <w:bCs/>
                <w:color w:val="auto"/>
                <w:sz w:val="18"/>
                <w:szCs w:val="18"/>
                <w:highlight w:val="none"/>
              </w:rPr>
              <w:t>A</w:t>
            </w:r>
          </w:p>
        </w:tc>
        <w:tc>
          <w:tcPr>
            <w:tcW w:w="1363" w:type="dxa"/>
            <w:tcBorders>
              <w:top w:val="nil"/>
              <w:left w:val="nil"/>
              <w:bottom w:val="single" w:color="auto" w:sz="4" w:space="0"/>
              <w:right w:val="single" w:color="auto" w:sz="4" w:space="0"/>
            </w:tcBorders>
            <w:shd w:val="clear" w:color="auto" w:fill="auto"/>
            <w:vAlign w:val="center"/>
          </w:tcPr>
          <w:p w14:paraId="6DA8E5A0">
            <w:pPr>
              <w:spacing w:line="240" w:lineRule="auto"/>
              <w:ind w:firstLine="0" w:firstLineChars="0"/>
              <w:rPr>
                <w:rFonts w:ascii="宋体" w:hAnsi="宋体"/>
                <w:b/>
                <w:bCs/>
                <w:color w:val="auto"/>
                <w:sz w:val="18"/>
                <w:szCs w:val="18"/>
                <w:highlight w:val="none"/>
              </w:rPr>
            </w:pPr>
            <w:r>
              <w:rPr>
                <w:rFonts w:hint="eastAsia" w:ascii="宋体" w:hAnsi="宋体"/>
                <w:b/>
                <w:bCs/>
                <w:color w:val="auto"/>
                <w:sz w:val="18"/>
                <w:szCs w:val="18"/>
                <w:highlight w:val="none"/>
              </w:rPr>
              <w:t>高清庭审主机</w:t>
            </w:r>
          </w:p>
        </w:tc>
        <w:tc>
          <w:tcPr>
            <w:tcW w:w="5705" w:type="dxa"/>
            <w:tcBorders>
              <w:top w:val="nil"/>
              <w:left w:val="nil"/>
              <w:bottom w:val="single" w:color="auto" w:sz="4" w:space="0"/>
              <w:right w:val="single" w:color="auto" w:sz="4" w:space="0"/>
            </w:tcBorders>
            <w:shd w:val="clear" w:color="auto" w:fill="auto"/>
            <w:vAlign w:val="center"/>
          </w:tcPr>
          <w:p w14:paraId="12DF884F">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vAlign w:val="center"/>
          </w:tcPr>
          <w:p w14:paraId="7B88EEB0">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7DC20008">
            <w:pPr>
              <w:spacing w:line="240" w:lineRule="auto"/>
              <w:ind w:firstLine="0" w:firstLineChars="0"/>
              <w:jc w:val="center"/>
              <w:rPr>
                <w:rFonts w:ascii="宋体" w:hAnsi="宋体"/>
                <w:color w:val="auto"/>
                <w:sz w:val="18"/>
                <w:szCs w:val="18"/>
                <w:highlight w:val="none"/>
              </w:rPr>
            </w:pPr>
          </w:p>
        </w:tc>
      </w:tr>
      <w:tr w14:paraId="1944F613">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8BF128A">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1363" w:type="dxa"/>
            <w:tcBorders>
              <w:top w:val="nil"/>
              <w:left w:val="nil"/>
              <w:bottom w:val="single" w:color="auto" w:sz="4" w:space="0"/>
              <w:right w:val="single" w:color="auto" w:sz="4" w:space="0"/>
            </w:tcBorders>
            <w:shd w:val="clear" w:color="auto" w:fill="auto"/>
            <w:vAlign w:val="center"/>
          </w:tcPr>
          <w:p w14:paraId="1F5F7EAA">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高清庭审主机</w:t>
            </w:r>
          </w:p>
        </w:tc>
        <w:tc>
          <w:tcPr>
            <w:tcW w:w="5705" w:type="dxa"/>
            <w:tcBorders>
              <w:top w:val="nil"/>
              <w:left w:val="nil"/>
              <w:bottom w:val="single" w:color="auto" w:sz="4" w:space="0"/>
              <w:right w:val="single" w:color="auto" w:sz="4" w:space="0"/>
            </w:tcBorders>
            <w:shd w:val="clear" w:color="auto" w:fill="auto"/>
            <w:vAlign w:val="center"/>
          </w:tcPr>
          <w:p w14:paraId="13ACE9DD">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设备应集成音视频矩阵、编解码、智能分析等模块，具有画面合成、音视频智能处理等功能；</w:t>
            </w:r>
          </w:p>
          <w:p w14:paraId="755D88A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▲设备应支持不少于6路SDI输入，6路HDMI输入，4路DVI视频输入;3路HDMI输出，6路DVI视频输出，支持不少于12路Mic In（支持48V幻象供电）、4路Line In，支持不少于3路Line Out，2路XLR out；设备应支持不少于4个SATA接口；设备应支持一键开关机，支持一键DVD回放；设备应内置8寸触控屏，支持实时显示通道状态、USB接入状态、视频画面、光盘/硬盘总容量及已使用容量、异常告警信息、CPU内存占用率、网络情况等；</w:t>
            </w:r>
          </w:p>
          <w:p w14:paraId="5FBE4C1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设备应支持H.264和H.265视频编码格式，G.711、G.722、AAC_LC、ADPCM和Opus音频编码格式；音频采样率： 8KHz、16KHz、32KHz和48KHz可设置；音频编码码率：在32kbps～128kbps范围内设置；</w:t>
            </w:r>
          </w:p>
          <w:p w14:paraId="08C31DD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设备应支持啸叫抑制、回声抵消、自动增益、音频降噪，变声等音频处理功能；每路音频输入与输出音量自定义调节，支持实时音频功率查看；</w:t>
            </w:r>
          </w:p>
          <w:p w14:paraId="405CDD13">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设备应支持不少于6路IP摄像机（H.264或H.265摄像机）和SDI摄像机混合接入；</w:t>
            </w:r>
          </w:p>
          <w:p w14:paraId="36E378EC">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rPr>
              <w:t>设备应支持不低于9路通道参与画面合成，可选择多种画面合成风格，合成画面支持系统时间叠加、系统字幕叠加、片头信息叠加；</w:t>
            </w:r>
          </w:p>
          <w:p w14:paraId="7509713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rPr>
              <w:t>▲支持刻录光盘加密功能，加密后的光盘自动播放时需使用专用播放器输入正确密码后才能查看和播放光盘内的音视频及附件，支持防擦写；</w:t>
            </w:r>
          </w:p>
          <w:p w14:paraId="7AA4D941">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rPr>
              <w:t>设备应支持两路证据展台（HDMI、DVI）接入并编码，支持两路证据编码独立录像，可同时将两路证据画面加入到合成画面中；</w:t>
            </w:r>
          </w:p>
          <w:p w14:paraId="6784F44A">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rPr>
              <w:t>设备应支持合成画面、单通道画面和证据源画面本地录像，录像默认保存在本地硬盘</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标配硬盘容量不少于2TB</w:t>
            </w:r>
            <w:r>
              <w:rPr>
                <w:rFonts w:hint="eastAsia" w:ascii="宋体" w:hAnsi="宋体"/>
                <w:color w:val="auto"/>
                <w:sz w:val="18"/>
                <w:szCs w:val="18"/>
                <w:highlight w:val="none"/>
              </w:rPr>
              <w:t>；</w:t>
            </w:r>
          </w:p>
          <w:p w14:paraId="660B0F9E">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rPr>
              <w:t>设备应支持单画面不少于2个人脸动态马赛克处理（马赛克随人脸移动），支持自定义设置马赛克等级（薄码，中码，厚码）和区域大小，支持证人声音变声功能，支持多种变声等级选择；</w:t>
            </w:r>
          </w:p>
        </w:tc>
        <w:tc>
          <w:tcPr>
            <w:tcW w:w="486" w:type="dxa"/>
            <w:tcBorders>
              <w:top w:val="nil"/>
              <w:left w:val="nil"/>
              <w:bottom w:val="single" w:color="auto" w:sz="4" w:space="0"/>
              <w:right w:val="single" w:color="auto" w:sz="4" w:space="0"/>
            </w:tcBorders>
            <w:shd w:val="clear" w:color="auto" w:fill="auto"/>
            <w:vAlign w:val="center"/>
          </w:tcPr>
          <w:p w14:paraId="0ADC1E8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10</w:t>
            </w:r>
          </w:p>
        </w:tc>
        <w:tc>
          <w:tcPr>
            <w:tcW w:w="597" w:type="dxa"/>
            <w:tcBorders>
              <w:top w:val="nil"/>
              <w:left w:val="nil"/>
              <w:bottom w:val="single" w:color="auto" w:sz="4" w:space="0"/>
              <w:right w:val="single" w:color="auto" w:sz="4" w:space="0"/>
            </w:tcBorders>
            <w:vAlign w:val="center"/>
          </w:tcPr>
          <w:p w14:paraId="35459B76">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7C2F3B18">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36C24A8D">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1363" w:type="dxa"/>
            <w:tcBorders>
              <w:top w:val="nil"/>
              <w:left w:val="nil"/>
              <w:bottom w:val="single" w:color="auto" w:sz="4" w:space="0"/>
              <w:right w:val="single" w:color="auto" w:sz="4" w:space="0"/>
            </w:tcBorders>
            <w:shd w:val="clear" w:color="auto" w:fill="auto"/>
            <w:vAlign w:val="center"/>
          </w:tcPr>
          <w:p w14:paraId="7ABB2769">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网络交换机</w:t>
            </w:r>
          </w:p>
        </w:tc>
        <w:tc>
          <w:tcPr>
            <w:tcW w:w="5705" w:type="dxa"/>
            <w:tcBorders>
              <w:top w:val="nil"/>
              <w:left w:val="nil"/>
              <w:bottom w:val="single" w:color="auto" w:sz="4" w:space="0"/>
              <w:right w:val="single" w:color="auto" w:sz="4" w:space="0"/>
            </w:tcBorders>
            <w:shd w:val="clear" w:color="auto" w:fill="auto"/>
            <w:vAlign w:val="center"/>
          </w:tcPr>
          <w:p w14:paraId="5832BC6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eastAsia="zh-CN"/>
              </w:rPr>
            </w:pPr>
            <w:r>
              <w:rPr>
                <w:rFonts w:hint="eastAsia" w:ascii="宋体" w:hAnsi="宋体"/>
                <w:color w:val="auto"/>
                <w:sz w:val="18"/>
                <w:szCs w:val="18"/>
                <w:highlight w:val="none"/>
              </w:rPr>
              <w:t>交换容量（全双工）： 所有端口发送带宽总和（单向）</w:t>
            </w:r>
            <w:r>
              <w:rPr>
                <w:rFonts w:hint="eastAsia" w:ascii="宋体" w:hAnsi="宋体"/>
                <w:color w:val="auto"/>
                <w:sz w:val="18"/>
                <w:szCs w:val="18"/>
                <w:highlight w:val="none"/>
                <w:lang w:eastAsia="zh-CN"/>
              </w:rPr>
              <w:t>：</w:t>
            </w:r>
            <w:r>
              <w:rPr>
                <w:rFonts w:hint="eastAsia" w:ascii="宋体" w:hAnsi="宋体"/>
                <w:color w:val="auto"/>
                <w:sz w:val="18"/>
                <w:szCs w:val="18"/>
                <w:highlight w:val="none"/>
              </w:rPr>
              <w:t>502Gbps</w:t>
            </w:r>
            <w:r>
              <w:rPr>
                <w:rFonts w:hint="eastAsia" w:ascii="宋体" w:hAnsi="宋体"/>
                <w:color w:val="auto"/>
                <w:sz w:val="18"/>
                <w:szCs w:val="18"/>
                <w:highlight w:val="none"/>
                <w:lang w:eastAsia="zh-CN"/>
              </w:rPr>
              <w:t>、</w:t>
            </w:r>
          </w:p>
          <w:p w14:paraId="5B27C58D">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rPr>
              <w:t>所有端口发送 + 接收双向带宽总和（全双工）</w:t>
            </w:r>
            <w:r>
              <w:rPr>
                <w:rFonts w:hint="eastAsia" w:ascii="宋体" w:hAnsi="宋体"/>
                <w:color w:val="auto"/>
                <w:sz w:val="18"/>
                <w:szCs w:val="18"/>
                <w:highlight w:val="none"/>
                <w:lang w:eastAsia="zh-CN"/>
              </w:rPr>
              <w:t>：</w:t>
            </w:r>
            <w:r>
              <w:rPr>
                <w:rFonts w:hint="eastAsia" w:ascii="宋体" w:hAnsi="宋体"/>
                <w:color w:val="auto"/>
                <w:sz w:val="18"/>
                <w:szCs w:val="18"/>
                <w:highlight w:val="none"/>
              </w:rPr>
              <w:t>5.02Tbps</w:t>
            </w:r>
            <w:r>
              <w:rPr>
                <w:rFonts w:hint="eastAsia" w:ascii="宋体" w:hAnsi="宋体"/>
                <w:color w:val="auto"/>
                <w:sz w:val="18"/>
                <w:szCs w:val="18"/>
                <w:highlight w:val="none"/>
                <w:lang w:eastAsia="zh-CN"/>
              </w:rPr>
              <w:t>；</w:t>
            </w:r>
          </w:p>
          <w:p w14:paraId="0B58C096">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端口描述：48*10/100/1000Tx以太网端口</w:t>
            </w:r>
            <w:r>
              <w:rPr>
                <w:rFonts w:hint="eastAsia" w:ascii="宋体" w:hAnsi="宋体"/>
                <w:color w:val="auto"/>
                <w:sz w:val="18"/>
                <w:szCs w:val="18"/>
                <w:highlight w:val="none"/>
                <w:lang w:eastAsia="zh-CN"/>
              </w:rPr>
              <w:t>，</w:t>
            </w:r>
            <w:r>
              <w:rPr>
                <w:rFonts w:hint="eastAsia" w:ascii="宋体" w:hAnsi="宋体"/>
                <w:color w:val="auto"/>
                <w:sz w:val="18"/>
                <w:szCs w:val="18"/>
                <w:highlight w:val="none"/>
              </w:rPr>
              <w:t xml:space="preserve">4 </w:t>
            </w:r>
            <w:r>
              <w:rPr>
                <w:rFonts w:hint="eastAsia" w:ascii="宋体" w:hAnsi="宋体"/>
                <w:color w:val="auto"/>
                <w:sz w:val="18"/>
                <w:szCs w:val="18"/>
                <w:highlight w:val="none"/>
                <w:lang w:val="en-US" w:eastAsia="zh-CN"/>
              </w:rPr>
              <w:t>个</w:t>
            </w:r>
            <w:r>
              <w:rPr>
                <w:rFonts w:hint="eastAsia" w:ascii="宋体" w:hAnsi="宋体"/>
                <w:color w:val="auto"/>
                <w:sz w:val="18"/>
                <w:szCs w:val="18"/>
                <w:highlight w:val="none"/>
              </w:rPr>
              <w:t>SFP+万兆光插槽（10G 上行，可接万兆光模块 / 高速堆叠）</w:t>
            </w:r>
          </w:p>
          <w:p w14:paraId="7B866347">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以太网功能：IRF2、静态MAC配置、支持端口镜像和流镜像功能、支持端口（聚合聚合组端口最大8个端口）、支持10GE口聚合、支持端口隔离、支持STP/RSTP/MSTP、支持EEE802.3ad(动态链路聚合)，静态端口聚合、支持umbo Frame</w:t>
            </w:r>
          </w:p>
          <w:p w14:paraId="1C49ABE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VLAN：支持基于端口的VLAN、支持MAC VLAN、支持Guest VLAN</w:t>
            </w:r>
          </w:p>
          <w:p w14:paraId="487EF299">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DHCP：支持DHCP Client、支持DHCP Snooping、支特DHCP Relay、支持DHCP Option82</w:t>
            </w:r>
          </w:p>
          <w:p w14:paraId="31CFCF1B">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rPr>
              <w:t>路由协拟：支持Py4/APv6静态路由</w:t>
            </w:r>
          </w:p>
          <w:p w14:paraId="7325A5C8">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附件：每台配置1</w:t>
            </w:r>
            <w:r>
              <w:rPr>
                <w:rFonts w:hint="eastAsia" w:ascii="宋体" w:hAnsi="宋体"/>
                <w:color w:val="auto"/>
                <w:sz w:val="18"/>
                <w:szCs w:val="18"/>
                <w:highlight w:val="none"/>
              </w:rPr>
              <w:t>对</w:t>
            </w:r>
            <w:r>
              <w:rPr>
                <w:rFonts w:hint="eastAsia" w:ascii="宋体" w:hAnsi="宋体"/>
                <w:color w:val="auto"/>
                <w:sz w:val="18"/>
                <w:szCs w:val="18"/>
                <w:highlight w:val="none"/>
                <w:lang w:val="en-US" w:eastAsia="zh-CN"/>
              </w:rPr>
              <w:t>万兆多模</w:t>
            </w:r>
            <w:r>
              <w:rPr>
                <w:rFonts w:hint="eastAsia" w:ascii="宋体" w:hAnsi="宋体"/>
                <w:color w:val="auto"/>
                <w:sz w:val="18"/>
                <w:szCs w:val="18"/>
                <w:highlight w:val="none"/>
              </w:rPr>
              <w:t>光模块</w:t>
            </w:r>
          </w:p>
          <w:p w14:paraId="2796A683">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兼容性要求：可实现与数据中心H3C核心交换机互联</w:t>
            </w:r>
            <w:r>
              <w:rPr>
                <w:rFonts w:hint="eastAsia"/>
                <w:lang w:eastAsia="zh-CN"/>
              </w:rPr>
              <w:t>，</w:t>
            </w:r>
            <w:r>
              <w:rPr>
                <w:rFonts w:hint="default" w:ascii="宋体" w:hAnsi="宋体" w:eastAsia="宋体"/>
                <w:color w:val="auto"/>
                <w:sz w:val="18"/>
                <w:szCs w:val="18"/>
                <w:highlight w:val="none"/>
                <w:lang w:val="en-US" w:eastAsia="zh-CN"/>
              </w:rPr>
              <w:t>SFP+端口可与数据中心 H3C 核心交换机光口直连，提供万兆上行互联通道；可与 H3C 核心交换机配置双向静态路由，实现多网段互联互通</w:t>
            </w:r>
          </w:p>
        </w:tc>
        <w:tc>
          <w:tcPr>
            <w:tcW w:w="486" w:type="dxa"/>
            <w:tcBorders>
              <w:top w:val="nil"/>
              <w:left w:val="nil"/>
              <w:bottom w:val="single" w:color="auto" w:sz="4" w:space="0"/>
              <w:right w:val="single" w:color="auto" w:sz="4" w:space="0"/>
            </w:tcBorders>
            <w:shd w:val="clear" w:color="auto" w:fill="auto"/>
            <w:vAlign w:val="center"/>
          </w:tcPr>
          <w:p w14:paraId="4C056C5A">
            <w:pPr>
              <w:spacing w:line="240" w:lineRule="auto"/>
              <w:ind w:firstLine="0" w:firstLineChars="0"/>
              <w:jc w:val="center"/>
              <w:rPr>
                <w:rFonts w:hint="eastAsia" w:ascii="宋体" w:hAnsi="宋体" w:eastAsia="宋体"/>
                <w:color w:val="auto"/>
                <w:sz w:val="18"/>
                <w:szCs w:val="18"/>
                <w:highlight w:val="none"/>
                <w:lang w:eastAsia="zh-CN"/>
              </w:rPr>
            </w:pPr>
            <w:r>
              <w:rPr>
                <w:rFonts w:hint="eastAsia" w:ascii="宋体" w:hAnsi="宋体"/>
                <w:color w:val="auto"/>
                <w:sz w:val="18"/>
                <w:szCs w:val="18"/>
                <w:highlight w:val="none"/>
                <w:lang w:val="en-US" w:eastAsia="zh-CN"/>
              </w:rPr>
              <w:t>2</w:t>
            </w:r>
          </w:p>
        </w:tc>
        <w:tc>
          <w:tcPr>
            <w:tcW w:w="597" w:type="dxa"/>
            <w:tcBorders>
              <w:top w:val="nil"/>
              <w:left w:val="nil"/>
              <w:bottom w:val="single" w:color="auto" w:sz="4" w:space="0"/>
              <w:right w:val="single" w:color="auto" w:sz="4" w:space="0"/>
            </w:tcBorders>
            <w:vAlign w:val="center"/>
          </w:tcPr>
          <w:p w14:paraId="2A07F20C">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4122C5AA">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16CF7C8E">
            <w:pPr>
              <w:spacing w:line="240" w:lineRule="auto"/>
              <w:ind w:firstLine="0" w:firstLineChars="0"/>
              <w:jc w:val="center"/>
              <w:rPr>
                <w:rFonts w:ascii="宋体" w:hAnsi="宋体"/>
                <w:b/>
                <w:bCs/>
                <w:color w:val="auto"/>
                <w:sz w:val="18"/>
                <w:szCs w:val="18"/>
                <w:highlight w:val="none"/>
              </w:rPr>
            </w:pPr>
            <w:r>
              <w:rPr>
                <w:rFonts w:hint="eastAsia" w:ascii="宋体" w:hAnsi="宋体"/>
                <w:b/>
                <w:bCs/>
                <w:color w:val="auto"/>
                <w:sz w:val="18"/>
                <w:szCs w:val="18"/>
                <w:highlight w:val="none"/>
              </w:rPr>
              <w:t>B</w:t>
            </w:r>
          </w:p>
        </w:tc>
        <w:tc>
          <w:tcPr>
            <w:tcW w:w="1363" w:type="dxa"/>
            <w:tcBorders>
              <w:top w:val="nil"/>
              <w:left w:val="nil"/>
              <w:bottom w:val="single" w:color="auto" w:sz="4" w:space="0"/>
              <w:right w:val="single" w:color="auto" w:sz="4" w:space="0"/>
            </w:tcBorders>
            <w:shd w:val="clear" w:color="auto" w:fill="auto"/>
            <w:vAlign w:val="center"/>
          </w:tcPr>
          <w:p w14:paraId="393235FF">
            <w:pPr>
              <w:spacing w:line="240" w:lineRule="auto"/>
              <w:ind w:firstLine="0" w:firstLineChars="0"/>
              <w:rPr>
                <w:rFonts w:ascii="宋体" w:hAnsi="宋体"/>
                <w:b/>
                <w:bCs/>
                <w:color w:val="auto"/>
                <w:sz w:val="18"/>
                <w:szCs w:val="18"/>
                <w:highlight w:val="none"/>
              </w:rPr>
            </w:pPr>
            <w:r>
              <w:rPr>
                <w:rFonts w:hint="eastAsia" w:ascii="宋体" w:hAnsi="宋体"/>
                <w:b/>
                <w:bCs/>
                <w:color w:val="auto"/>
                <w:sz w:val="18"/>
                <w:szCs w:val="18"/>
                <w:highlight w:val="none"/>
              </w:rPr>
              <w:t>庭审语音转写声卡</w:t>
            </w:r>
          </w:p>
        </w:tc>
        <w:tc>
          <w:tcPr>
            <w:tcW w:w="5705" w:type="dxa"/>
            <w:tcBorders>
              <w:top w:val="nil"/>
              <w:left w:val="nil"/>
              <w:bottom w:val="single" w:color="auto" w:sz="4" w:space="0"/>
              <w:right w:val="single" w:color="auto" w:sz="4" w:space="0"/>
            </w:tcBorders>
            <w:shd w:val="clear" w:color="auto" w:fill="auto"/>
            <w:vAlign w:val="center"/>
          </w:tcPr>
          <w:p w14:paraId="09BE03D5">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vAlign w:val="center"/>
          </w:tcPr>
          <w:p w14:paraId="1FCA31F0">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27E27F4D">
            <w:pPr>
              <w:spacing w:line="240" w:lineRule="auto"/>
              <w:ind w:firstLine="0" w:firstLineChars="0"/>
              <w:jc w:val="center"/>
              <w:rPr>
                <w:rFonts w:ascii="宋体" w:hAnsi="宋体"/>
                <w:color w:val="auto"/>
                <w:sz w:val="18"/>
                <w:szCs w:val="18"/>
                <w:highlight w:val="none"/>
              </w:rPr>
            </w:pPr>
          </w:p>
        </w:tc>
      </w:tr>
      <w:tr w14:paraId="0D1F7C15">
        <w:tblPrEx>
          <w:tblCellMar>
            <w:top w:w="0" w:type="dxa"/>
            <w:left w:w="108" w:type="dxa"/>
            <w:bottom w:w="0" w:type="dxa"/>
            <w:right w:w="108" w:type="dxa"/>
          </w:tblCellMar>
        </w:tblPrEx>
        <w:trPr>
          <w:trHeight w:val="67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35AD1212">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1363" w:type="dxa"/>
            <w:tcBorders>
              <w:top w:val="nil"/>
              <w:left w:val="nil"/>
              <w:bottom w:val="single" w:color="auto" w:sz="4" w:space="0"/>
              <w:right w:val="single" w:color="auto" w:sz="4" w:space="0"/>
            </w:tcBorders>
            <w:shd w:val="clear" w:color="auto" w:fill="auto"/>
            <w:vAlign w:val="center"/>
          </w:tcPr>
          <w:p w14:paraId="7156C7AB">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庭审语音转写声卡</w:t>
            </w:r>
          </w:p>
        </w:tc>
        <w:tc>
          <w:tcPr>
            <w:tcW w:w="5705" w:type="dxa"/>
            <w:tcBorders>
              <w:top w:val="nil"/>
              <w:left w:val="nil"/>
              <w:bottom w:val="single" w:color="auto" w:sz="4" w:space="0"/>
              <w:right w:val="single" w:color="auto" w:sz="4" w:space="0"/>
            </w:tcBorders>
            <w:shd w:val="clear" w:color="auto" w:fill="auto"/>
            <w:vAlign w:val="center"/>
          </w:tcPr>
          <w:p w14:paraId="7100CF6F">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宋体" w:hAnsi="宋体" w:cs="微软雅黑"/>
                <w:color w:val="auto"/>
                <w:kern w:val="0"/>
                <w:sz w:val="18"/>
                <w:szCs w:val="18"/>
                <w:highlight w:val="none"/>
                <w:lang w:bidi="ar"/>
              </w:rPr>
            </w:pPr>
            <w:r>
              <w:rPr>
                <w:rFonts w:hint="eastAsia" w:ascii="宋体" w:hAnsi="宋体"/>
                <w:color w:val="auto"/>
                <w:sz w:val="18"/>
                <w:szCs w:val="18"/>
                <w:highlight w:val="none"/>
                <w:lang w:val="en-US" w:eastAsia="zh-CN"/>
              </w:rPr>
              <w:t>音频输入参数：</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1) 频响： 20HZ-20KHZ（+0.1/-0.4dB)</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2) 动态范围：最高92dB，A计权</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3) 噪声级别：-92dB，A计权</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4) 阻抗：20kohm</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5) 输入电平：+4dBu</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6) 可调节增益范围：0dB~51dB（数字调节）</w:t>
            </w:r>
          </w:p>
          <w:p w14:paraId="418AA8A3">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宋体" w:hAnsi="宋体" w:cs="微软雅黑"/>
                <w:color w:val="auto"/>
                <w:kern w:val="0"/>
                <w:sz w:val="18"/>
                <w:szCs w:val="18"/>
                <w:highlight w:val="none"/>
                <w:lang w:bidi="ar"/>
              </w:rPr>
            </w:pPr>
            <w:r>
              <w:rPr>
                <w:rFonts w:hint="eastAsia" w:ascii="宋体" w:hAnsi="宋体"/>
                <w:color w:val="auto"/>
                <w:sz w:val="18"/>
                <w:szCs w:val="18"/>
                <w:highlight w:val="none"/>
                <w:lang w:val="en-US" w:eastAsia="zh-CN"/>
              </w:rPr>
              <w:t>音频输出参数：</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1) 频响：20HZ-20KHZ（+0.1/-0.4dB）</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2) 动态范围：最高92dB，A计权</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3) 噪声级别：-92dB，A计权</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4) 阻抗：470ohm</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5) 输出电平：+4dBu</w:t>
            </w:r>
          </w:p>
          <w:p w14:paraId="73B27D22">
            <w:pPr>
              <w:keepNext w:val="0"/>
              <w:keepLines w:val="0"/>
              <w:pageBreakBefore w:val="0"/>
              <w:widowControl w:val="0"/>
              <w:numPr>
                <w:ilvl w:val="0"/>
                <w:numId w:val="5"/>
              </w:numPr>
              <w:kinsoku/>
              <w:wordWrap/>
              <w:overflowPunct/>
              <w:topLinePunct w:val="0"/>
              <w:autoSpaceDE/>
              <w:autoSpaceDN/>
              <w:bidi w:val="0"/>
              <w:adjustRightInd/>
              <w:snapToGrid/>
              <w:spacing w:line="240" w:lineRule="auto"/>
              <w:ind w:left="0" w:leftChars="0" w:firstLine="0" w:firstLineChars="0"/>
              <w:textAlignment w:val="auto"/>
              <w:rPr>
                <w:rFonts w:ascii="宋体" w:hAnsi="宋体" w:cs="微软雅黑"/>
                <w:color w:val="auto"/>
                <w:kern w:val="0"/>
                <w:sz w:val="18"/>
                <w:szCs w:val="18"/>
                <w:highlight w:val="none"/>
                <w:lang w:bidi="ar"/>
              </w:rPr>
            </w:pPr>
            <w:r>
              <w:rPr>
                <w:rFonts w:hint="eastAsia" w:ascii="宋体" w:hAnsi="宋体"/>
                <w:color w:val="auto"/>
                <w:sz w:val="18"/>
                <w:szCs w:val="18"/>
                <w:highlight w:val="none"/>
                <w:lang w:val="en-US" w:eastAsia="zh-CN"/>
              </w:rPr>
              <w:t>接口默认数字音频参数：</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1) 采样率：16k/48k</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2) 位深：16bit</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3) 通道：12通道</w:t>
            </w:r>
            <w:r>
              <w:rPr>
                <w:rFonts w:hint="eastAsia" w:ascii="宋体" w:hAnsi="宋体"/>
                <w:color w:val="auto"/>
                <w:sz w:val="18"/>
                <w:szCs w:val="18"/>
                <w:highlight w:val="none"/>
                <w:lang w:val="en-US" w:eastAsia="zh-CN"/>
              </w:rPr>
              <w:br w:type="textWrapping"/>
            </w:r>
            <w:r>
              <w:rPr>
                <w:rFonts w:hint="eastAsia" w:ascii="宋体" w:hAnsi="宋体"/>
                <w:color w:val="auto"/>
                <w:sz w:val="18"/>
                <w:szCs w:val="18"/>
                <w:highlight w:val="none"/>
                <w:lang w:val="en-US" w:eastAsia="zh-CN"/>
              </w:rPr>
              <w:t>4) 光纤同步接口：input*1，output*1</w:t>
            </w:r>
          </w:p>
        </w:tc>
        <w:tc>
          <w:tcPr>
            <w:tcW w:w="486" w:type="dxa"/>
            <w:tcBorders>
              <w:top w:val="nil"/>
              <w:left w:val="nil"/>
              <w:bottom w:val="single" w:color="auto" w:sz="4" w:space="0"/>
              <w:right w:val="single" w:color="auto" w:sz="4" w:space="0"/>
            </w:tcBorders>
            <w:shd w:val="clear" w:color="auto" w:fill="auto"/>
            <w:noWrap/>
            <w:vAlign w:val="center"/>
          </w:tcPr>
          <w:p w14:paraId="0BB52320">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46</w:t>
            </w:r>
          </w:p>
        </w:tc>
        <w:tc>
          <w:tcPr>
            <w:tcW w:w="597" w:type="dxa"/>
            <w:tcBorders>
              <w:top w:val="nil"/>
              <w:left w:val="nil"/>
              <w:bottom w:val="single" w:color="auto" w:sz="4" w:space="0"/>
              <w:right w:val="single" w:color="auto" w:sz="4" w:space="0"/>
            </w:tcBorders>
            <w:vAlign w:val="center"/>
          </w:tcPr>
          <w:p w14:paraId="111CD12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块</w:t>
            </w:r>
          </w:p>
        </w:tc>
      </w:tr>
      <w:tr w14:paraId="5771F967">
        <w:tblPrEx>
          <w:tblCellMar>
            <w:top w:w="0" w:type="dxa"/>
            <w:left w:w="108" w:type="dxa"/>
            <w:bottom w:w="0" w:type="dxa"/>
            <w:right w:w="108" w:type="dxa"/>
          </w:tblCellMar>
        </w:tblPrEx>
        <w:trPr>
          <w:trHeight w:val="67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0C26D7FF">
            <w:pPr>
              <w:spacing w:line="240" w:lineRule="auto"/>
              <w:ind w:firstLine="0" w:firstLineChars="0"/>
              <w:jc w:val="center"/>
              <w:rPr>
                <w:rFonts w:ascii="宋体" w:hAnsi="宋体"/>
                <w:b/>
                <w:bCs/>
                <w:color w:val="auto"/>
                <w:sz w:val="18"/>
                <w:szCs w:val="18"/>
                <w:highlight w:val="none"/>
              </w:rPr>
            </w:pPr>
            <w:r>
              <w:rPr>
                <w:rFonts w:hint="eastAsia" w:ascii="宋体" w:hAnsi="宋体"/>
                <w:b/>
                <w:bCs/>
                <w:color w:val="auto"/>
                <w:sz w:val="18"/>
                <w:szCs w:val="18"/>
                <w:highlight w:val="none"/>
              </w:rPr>
              <w:t>C</w:t>
            </w:r>
          </w:p>
        </w:tc>
        <w:tc>
          <w:tcPr>
            <w:tcW w:w="1363" w:type="dxa"/>
            <w:tcBorders>
              <w:top w:val="nil"/>
              <w:left w:val="nil"/>
              <w:bottom w:val="single" w:color="auto" w:sz="4" w:space="0"/>
              <w:right w:val="single" w:color="auto" w:sz="4" w:space="0"/>
            </w:tcBorders>
            <w:shd w:val="clear" w:color="auto" w:fill="auto"/>
            <w:vAlign w:val="center"/>
          </w:tcPr>
          <w:p w14:paraId="15BD8627">
            <w:pPr>
              <w:spacing w:line="240" w:lineRule="auto"/>
              <w:ind w:firstLine="0" w:firstLineChars="0"/>
              <w:rPr>
                <w:rFonts w:ascii="宋体" w:hAnsi="宋体"/>
                <w:b/>
                <w:bCs/>
                <w:color w:val="auto"/>
                <w:sz w:val="18"/>
                <w:szCs w:val="18"/>
                <w:highlight w:val="none"/>
              </w:rPr>
            </w:pPr>
            <w:r>
              <w:rPr>
                <w:rFonts w:hint="eastAsia" w:ascii="宋体" w:hAnsi="宋体"/>
                <w:b/>
                <w:bCs/>
                <w:color w:val="auto"/>
                <w:sz w:val="18"/>
                <w:szCs w:val="18"/>
                <w:highlight w:val="none"/>
              </w:rPr>
              <w:t>民事中法庭证据展示系统</w:t>
            </w:r>
          </w:p>
        </w:tc>
        <w:tc>
          <w:tcPr>
            <w:tcW w:w="5705" w:type="dxa"/>
            <w:tcBorders>
              <w:top w:val="nil"/>
              <w:left w:val="nil"/>
              <w:bottom w:val="single" w:color="auto" w:sz="4" w:space="0"/>
              <w:right w:val="single" w:color="auto" w:sz="4" w:space="0"/>
            </w:tcBorders>
            <w:shd w:val="clear" w:color="auto" w:fill="auto"/>
            <w:vAlign w:val="center"/>
          </w:tcPr>
          <w:p w14:paraId="394AD4DB">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noWrap/>
            <w:vAlign w:val="center"/>
          </w:tcPr>
          <w:p w14:paraId="1E97E569">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7EE0A49B">
            <w:pPr>
              <w:spacing w:line="240" w:lineRule="auto"/>
              <w:ind w:firstLine="0" w:firstLineChars="0"/>
              <w:jc w:val="center"/>
              <w:rPr>
                <w:rFonts w:ascii="宋体" w:hAnsi="宋体"/>
                <w:color w:val="auto"/>
                <w:sz w:val="18"/>
                <w:szCs w:val="18"/>
                <w:highlight w:val="none"/>
              </w:rPr>
            </w:pPr>
          </w:p>
        </w:tc>
      </w:tr>
      <w:tr w14:paraId="7E4EF8AE">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6CD63E30">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1363" w:type="dxa"/>
            <w:tcBorders>
              <w:top w:val="nil"/>
              <w:left w:val="nil"/>
              <w:bottom w:val="single" w:color="auto" w:sz="4" w:space="0"/>
              <w:right w:val="single" w:color="auto" w:sz="4" w:space="0"/>
            </w:tcBorders>
            <w:shd w:val="clear" w:color="auto" w:fill="auto"/>
            <w:vAlign w:val="center"/>
          </w:tcPr>
          <w:p w14:paraId="625F8080">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中法庭示证显示屏</w:t>
            </w:r>
          </w:p>
        </w:tc>
        <w:tc>
          <w:tcPr>
            <w:tcW w:w="5705" w:type="dxa"/>
            <w:tcBorders>
              <w:top w:val="nil"/>
              <w:left w:val="nil"/>
              <w:bottom w:val="single" w:color="auto" w:sz="4" w:space="0"/>
              <w:right w:val="single" w:color="auto" w:sz="4" w:space="0"/>
            </w:tcBorders>
            <w:shd w:val="clear" w:color="auto" w:fill="auto"/>
            <w:vAlign w:val="center"/>
          </w:tcPr>
          <w:p w14:paraId="485D760F">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屏幕尺寸：85寸</w:t>
            </w:r>
          </w:p>
          <w:p w14:paraId="491B1325">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背光方式：Mini-LED</w:t>
            </w:r>
          </w:p>
          <w:p w14:paraId="5CDF311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屏幕分辨率：超高清4K</w:t>
            </w:r>
          </w:p>
          <w:p w14:paraId="76A901D0">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亮度：不低于2000尼特</w:t>
            </w:r>
          </w:p>
          <w:p w14:paraId="45AD2959">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CPU架构：四核A72</w:t>
            </w:r>
          </w:p>
          <w:p w14:paraId="0D918B73">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屏占比：&gt;97%</w:t>
            </w:r>
          </w:p>
          <w:p w14:paraId="034E38B0">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刷新率：144HZ</w:t>
            </w:r>
          </w:p>
          <w:p w14:paraId="77C130EB">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发声单元个数：2</w:t>
            </w:r>
          </w:p>
          <w:p w14:paraId="7A1D2D4D">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音响功率：不低于30W</w:t>
            </w:r>
          </w:p>
          <w:p w14:paraId="0F20E5D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HDMI2.1接口数：2个</w:t>
            </w:r>
          </w:p>
          <w:p w14:paraId="2E3CABC2">
            <w:pPr>
              <w:keepNext w:val="0"/>
              <w:keepLines w:val="0"/>
              <w:pageBreakBefore w:val="0"/>
              <w:widowControl w:val="0"/>
              <w:numPr>
                <w:ilvl w:val="0"/>
                <w:numId w:val="6"/>
              </w:numPr>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HDMI2.0接口数：1个</w:t>
            </w:r>
          </w:p>
        </w:tc>
        <w:tc>
          <w:tcPr>
            <w:tcW w:w="486" w:type="dxa"/>
            <w:tcBorders>
              <w:top w:val="nil"/>
              <w:left w:val="nil"/>
              <w:bottom w:val="single" w:color="auto" w:sz="4" w:space="0"/>
              <w:right w:val="single" w:color="auto" w:sz="4" w:space="0"/>
            </w:tcBorders>
            <w:shd w:val="clear" w:color="auto" w:fill="auto"/>
            <w:noWrap/>
            <w:vAlign w:val="center"/>
          </w:tcPr>
          <w:p w14:paraId="6C2A770A">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4</w:t>
            </w:r>
          </w:p>
        </w:tc>
        <w:tc>
          <w:tcPr>
            <w:tcW w:w="597" w:type="dxa"/>
            <w:tcBorders>
              <w:top w:val="nil"/>
              <w:left w:val="nil"/>
              <w:bottom w:val="single" w:color="auto" w:sz="4" w:space="0"/>
              <w:right w:val="single" w:color="auto" w:sz="4" w:space="0"/>
            </w:tcBorders>
            <w:vAlign w:val="center"/>
          </w:tcPr>
          <w:p w14:paraId="0D68E384">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783A802E">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21B32943">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1363" w:type="dxa"/>
            <w:tcBorders>
              <w:top w:val="nil"/>
              <w:left w:val="nil"/>
              <w:bottom w:val="single" w:color="auto" w:sz="4" w:space="0"/>
              <w:right w:val="single" w:color="auto" w:sz="4" w:space="0"/>
            </w:tcBorders>
            <w:shd w:val="clear" w:color="auto" w:fill="auto"/>
            <w:vAlign w:val="center"/>
          </w:tcPr>
          <w:p w14:paraId="7BD0EC9E">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视频分配器</w:t>
            </w:r>
          </w:p>
        </w:tc>
        <w:tc>
          <w:tcPr>
            <w:tcW w:w="5705" w:type="dxa"/>
            <w:tcBorders>
              <w:top w:val="nil"/>
              <w:left w:val="nil"/>
              <w:bottom w:val="single" w:color="auto" w:sz="4" w:space="0"/>
              <w:right w:val="single" w:color="auto" w:sz="4" w:space="0"/>
            </w:tcBorders>
            <w:shd w:val="clear" w:color="auto" w:fill="auto"/>
            <w:vAlign w:val="center"/>
          </w:tcPr>
          <w:p w14:paraId="7BA227F4">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将1路HDMI 2.0信号输入分配成4路HDMI 2.0信号输出；</w:t>
            </w:r>
          </w:p>
          <w:p w14:paraId="2AF83723">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HDMI 2.0接口兼容 HDCP 2.2、HDCP1.4 保护协议和DVI 1.0；最大带宽高达18Gbps，支持显示分辨率高达4K2K@60Hz 8bit RGB/YCbCr 4:4:4和YCbCr 4:2:2/4:2:0，兼容4K*2K@30Hz/1080p@120Hz/1080p3D@60Hz和VESA模式视频格式达到QSXGA@60Hz，支持3D视频格式，支持色深8bit，10bit，12bit；</w:t>
            </w:r>
          </w:p>
          <w:p w14:paraId="0414CC81">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支持数字音频格式，如DTS-HD/Dolby-true-HD/LPCM 7.1/DTS/Dolby-AC3/DSD；</w:t>
            </w:r>
          </w:p>
          <w:p w14:paraId="182E7AA1">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支持EDID管理功能，最大程度保证输入源和显示设备的兼容性；</w:t>
            </w:r>
          </w:p>
          <w:p w14:paraId="67DB329F">
            <w:pPr>
              <w:keepNext w:val="0"/>
              <w:keepLines w:val="0"/>
              <w:pageBreakBefore w:val="0"/>
              <w:widowControl w:val="0"/>
              <w:numPr>
                <w:ilvl w:val="0"/>
                <w:numId w:val="7"/>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支持工业级防护金属外壳，安装方便操作简单，即插即用；</w:t>
            </w:r>
          </w:p>
        </w:tc>
        <w:tc>
          <w:tcPr>
            <w:tcW w:w="486" w:type="dxa"/>
            <w:tcBorders>
              <w:top w:val="nil"/>
              <w:left w:val="nil"/>
              <w:bottom w:val="single" w:color="auto" w:sz="4" w:space="0"/>
              <w:right w:val="single" w:color="auto" w:sz="4" w:space="0"/>
            </w:tcBorders>
            <w:shd w:val="clear" w:color="auto" w:fill="auto"/>
            <w:noWrap/>
            <w:vAlign w:val="center"/>
          </w:tcPr>
          <w:p w14:paraId="2454FE68">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597" w:type="dxa"/>
            <w:tcBorders>
              <w:top w:val="nil"/>
              <w:left w:val="nil"/>
              <w:bottom w:val="single" w:color="auto" w:sz="4" w:space="0"/>
              <w:right w:val="single" w:color="auto" w:sz="4" w:space="0"/>
            </w:tcBorders>
            <w:vAlign w:val="center"/>
          </w:tcPr>
          <w:p w14:paraId="43971E0B">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个</w:t>
            </w:r>
          </w:p>
        </w:tc>
      </w:tr>
      <w:tr w14:paraId="43360D36">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2230D1CA">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3</w:t>
            </w:r>
          </w:p>
        </w:tc>
        <w:tc>
          <w:tcPr>
            <w:tcW w:w="1363" w:type="dxa"/>
            <w:tcBorders>
              <w:top w:val="nil"/>
              <w:left w:val="nil"/>
              <w:bottom w:val="single" w:color="auto" w:sz="4" w:space="0"/>
              <w:right w:val="single" w:color="auto" w:sz="4" w:space="0"/>
            </w:tcBorders>
            <w:shd w:val="clear" w:color="auto" w:fill="auto"/>
            <w:vAlign w:val="center"/>
          </w:tcPr>
          <w:p w14:paraId="1C8FC282">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lang w:val="en-US" w:eastAsia="zh-CN"/>
              </w:rPr>
              <w:t>HDMI</w:t>
            </w:r>
            <w:r>
              <w:rPr>
                <w:rFonts w:hint="eastAsia" w:ascii="宋体" w:hAnsi="宋体"/>
                <w:color w:val="auto"/>
                <w:sz w:val="18"/>
                <w:szCs w:val="18"/>
                <w:highlight w:val="none"/>
              </w:rPr>
              <w:t>网络传输器</w:t>
            </w:r>
          </w:p>
        </w:tc>
        <w:tc>
          <w:tcPr>
            <w:tcW w:w="5705" w:type="dxa"/>
            <w:tcBorders>
              <w:top w:val="nil"/>
              <w:left w:val="nil"/>
              <w:bottom w:val="single" w:color="auto" w:sz="4" w:space="0"/>
              <w:right w:val="single" w:color="auto" w:sz="4" w:space="0"/>
            </w:tcBorders>
            <w:shd w:val="clear" w:color="auto" w:fill="auto"/>
            <w:vAlign w:val="center"/>
          </w:tcPr>
          <w:p w14:paraId="37B38209">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视频接口类型：HDMI 2.1 </w:t>
            </w:r>
          </w:p>
          <w:p w14:paraId="343392A7">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网线接口：RJ45网口</w:t>
            </w:r>
          </w:p>
          <w:p w14:paraId="26F36C89">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传输距离：不小于120米</w:t>
            </w:r>
          </w:p>
          <w:p w14:paraId="28687CAE">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分辨率：1080P@60Hz</w:t>
            </w:r>
          </w:p>
          <w:p w14:paraId="31593E6D">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网线规格：CAT5e及以上</w:t>
            </w:r>
          </w:p>
        </w:tc>
        <w:tc>
          <w:tcPr>
            <w:tcW w:w="486" w:type="dxa"/>
            <w:tcBorders>
              <w:top w:val="nil"/>
              <w:left w:val="nil"/>
              <w:bottom w:val="single" w:color="auto" w:sz="4" w:space="0"/>
              <w:right w:val="single" w:color="auto" w:sz="4" w:space="0"/>
            </w:tcBorders>
            <w:shd w:val="clear" w:color="auto" w:fill="auto"/>
            <w:noWrap/>
            <w:vAlign w:val="center"/>
          </w:tcPr>
          <w:p w14:paraId="40935A6F">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597" w:type="dxa"/>
            <w:tcBorders>
              <w:top w:val="nil"/>
              <w:left w:val="nil"/>
              <w:bottom w:val="single" w:color="auto" w:sz="4" w:space="0"/>
              <w:right w:val="single" w:color="auto" w:sz="4" w:space="0"/>
            </w:tcBorders>
            <w:vAlign w:val="center"/>
          </w:tcPr>
          <w:p w14:paraId="6837FFBD">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个</w:t>
            </w:r>
          </w:p>
        </w:tc>
      </w:tr>
      <w:tr w14:paraId="527EC45A">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5B8AA949">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4</w:t>
            </w:r>
          </w:p>
        </w:tc>
        <w:tc>
          <w:tcPr>
            <w:tcW w:w="1363" w:type="dxa"/>
            <w:tcBorders>
              <w:top w:val="nil"/>
              <w:left w:val="nil"/>
              <w:bottom w:val="single" w:color="auto" w:sz="4" w:space="0"/>
              <w:right w:val="single" w:color="auto" w:sz="4" w:space="0"/>
            </w:tcBorders>
            <w:shd w:val="clear" w:color="auto" w:fill="auto"/>
            <w:vAlign w:val="center"/>
          </w:tcPr>
          <w:p w14:paraId="05C5DD0F">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示证显示屏基础建设配套</w:t>
            </w:r>
          </w:p>
        </w:tc>
        <w:tc>
          <w:tcPr>
            <w:tcW w:w="5705" w:type="dxa"/>
            <w:tcBorders>
              <w:top w:val="nil"/>
              <w:left w:val="nil"/>
              <w:bottom w:val="single" w:color="auto" w:sz="4" w:space="0"/>
              <w:right w:val="single" w:color="auto" w:sz="4" w:space="0"/>
            </w:tcBorders>
            <w:shd w:val="clear" w:color="auto" w:fill="auto"/>
            <w:vAlign w:val="center"/>
          </w:tcPr>
          <w:p w14:paraId="1A872BD1">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含外饰面、钢筋龙骨、电视挂架、电源箱、视频输出输入盒</w:t>
            </w:r>
          </w:p>
        </w:tc>
        <w:tc>
          <w:tcPr>
            <w:tcW w:w="486" w:type="dxa"/>
            <w:tcBorders>
              <w:top w:val="nil"/>
              <w:left w:val="nil"/>
              <w:bottom w:val="single" w:color="auto" w:sz="4" w:space="0"/>
              <w:right w:val="single" w:color="auto" w:sz="4" w:space="0"/>
            </w:tcBorders>
            <w:shd w:val="clear" w:color="auto" w:fill="auto"/>
            <w:noWrap/>
            <w:vAlign w:val="center"/>
          </w:tcPr>
          <w:p w14:paraId="4E621D18">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4</w:t>
            </w:r>
          </w:p>
        </w:tc>
        <w:tc>
          <w:tcPr>
            <w:tcW w:w="597" w:type="dxa"/>
            <w:tcBorders>
              <w:top w:val="nil"/>
              <w:left w:val="nil"/>
              <w:bottom w:val="single" w:color="auto" w:sz="4" w:space="0"/>
              <w:right w:val="single" w:color="auto" w:sz="4" w:space="0"/>
            </w:tcBorders>
            <w:vAlign w:val="center"/>
          </w:tcPr>
          <w:p w14:paraId="6B73C6BA">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套</w:t>
            </w:r>
          </w:p>
        </w:tc>
      </w:tr>
      <w:tr w14:paraId="1A1B33E9">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A3D1D66">
            <w:pPr>
              <w:spacing w:line="240" w:lineRule="auto"/>
              <w:ind w:firstLine="0" w:firstLineChars="0"/>
              <w:jc w:val="center"/>
              <w:rPr>
                <w:rFonts w:ascii="宋体" w:hAnsi="宋体"/>
                <w:color w:val="auto"/>
                <w:sz w:val="18"/>
                <w:szCs w:val="18"/>
                <w:highlight w:val="none"/>
              </w:rPr>
            </w:pPr>
            <w:r>
              <w:rPr>
                <w:rFonts w:hint="eastAsia" w:ascii="宋体" w:hAnsi="宋体"/>
                <w:b/>
                <w:bCs/>
                <w:color w:val="auto"/>
                <w:sz w:val="18"/>
                <w:szCs w:val="18"/>
                <w:highlight w:val="none"/>
              </w:rPr>
              <w:t>D</w:t>
            </w:r>
          </w:p>
        </w:tc>
        <w:tc>
          <w:tcPr>
            <w:tcW w:w="1363" w:type="dxa"/>
            <w:tcBorders>
              <w:top w:val="nil"/>
              <w:left w:val="nil"/>
              <w:bottom w:val="single" w:color="auto" w:sz="4" w:space="0"/>
              <w:right w:val="single" w:color="auto" w:sz="4" w:space="0"/>
            </w:tcBorders>
            <w:shd w:val="clear" w:color="auto" w:fill="auto"/>
            <w:vAlign w:val="center"/>
          </w:tcPr>
          <w:p w14:paraId="52BAE0EF">
            <w:pPr>
              <w:widowControl/>
              <w:spacing w:line="240" w:lineRule="auto"/>
              <w:ind w:firstLine="0" w:firstLineChars="0"/>
              <w:rPr>
                <w:color w:val="auto"/>
                <w:sz w:val="20"/>
                <w:szCs w:val="20"/>
                <w:highlight w:val="none"/>
              </w:rPr>
            </w:pPr>
            <w:r>
              <w:rPr>
                <w:rFonts w:hint="eastAsia" w:ascii="宋体" w:hAnsi="宋体"/>
                <w:b/>
                <w:bCs/>
                <w:color w:val="auto"/>
                <w:sz w:val="18"/>
                <w:szCs w:val="18"/>
                <w:highlight w:val="none"/>
              </w:rPr>
              <w:t>审委会无纸化会议系统</w:t>
            </w:r>
          </w:p>
        </w:tc>
        <w:tc>
          <w:tcPr>
            <w:tcW w:w="5705" w:type="dxa"/>
            <w:tcBorders>
              <w:top w:val="nil"/>
              <w:left w:val="nil"/>
              <w:bottom w:val="single" w:color="auto" w:sz="4" w:space="0"/>
              <w:right w:val="single" w:color="auto" w:sz="4" w:space="0"/>
            </w:tcBorders>
            <w:shd w:val="clear" w:color="auto" w:fill="auto"/>
            <w:vAlign w:val="center"/>
          </w:tcPr>
          <w:p w14:paraId="2C4BA9FC">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noWrap/>
            <w:vAlign w:val="center"/>
          </w:tcPr>
          <w:p w14:paraId="6EAECD8A">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06E8F23D">
            <w:pPr>
              <w:spacing w:line="240" w:lineRule="auto"/>
              <w:ind w:firstLine="0" w:firstLineChars="0"/>
              <w:jc w:val="center"/>
              <w:rPr>
                <w:rFonts w:ascii="宋体" w:hAnsi="宋体"/>
                <w:color w:val="auto"/>
                <w:sz w:val="18"/>
                <w:szCs w:val="18"/>
                <w:highlight w:val="none"/>
              </w:rPr>
            </w:pPr>
          </w:p>
        </w:tc>
      </w:tr>
      <w:tr w14:paraId="48FA8CD0">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E25BCEE">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1363" w:type="dxa"/>
            <w:tcBorders>
              <w:top w:val="nil"/>
              <w:left w:val="nil"/>
              <w:bottom w:val="single" w:color="auto" w:sz="4" w:space="0"/>
              <w:right w:val="single" w:color="auto" w:sz="4" w:space="0"/>
            </w:tcBorders>
            <w:shd w:val="clear" w:color="auto" w:fill="auto"/>
            <w:vAlign w:val="center"/>
          </w:tcPr>
          <w:p w14:paraId="34642CAB">
            <w:pPr>
              <w:widowControl/>
              <w:spacing w:line="240" w:lineRule="auto"/>
              <w:ind w:firstLine="0" w:firstLineChars="0"/>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PC计算机</w:t>
            </w:r>
          </w:p>
        </w:tc>
        <w:tc>
          <w:tcPr>
            <w:tcW w:w="5705" w:type="dxa"/>
            <w:tcBorders>
              <w:top w:val="nil"/>
              <w:left w:val="nil"/>
              <w:bottom w:val="single" w:color="auto" w:sz="4" w:space="0"/>
              <w:right w:val="single" w:color="auto" w:sz="4" w:space="0"/>
            </w:tcBorders>
            <w:shd w:val="clear" w:color="auto" w:fill="auto"/>
          </w:tcPr>
          <w:p w14:paraId="777E63C9">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CPU：不低于8 核国产处理器，主频不低于 2.7GHz；</w:t>
            </w:r>
          </w:p>
          <w:p w14:paraId="366F522F">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内存：不小于16G；</w:t>
            </w:r>
          </w:p>
          <w:p w14:paraId="03424D96">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0" w:firstLineChars="0"/>
              <w:textAlignment w:val="auto"/>
              <w:rPr>
                <w:rFonts w:hint="default" w:ascii="宋体" w:hAnsi="宋体"/>
                <w:color w:val="auto"/>
                <w:sz w:val="18"/>
                <w:szCs w:val="18"/>
                <w:highlight w:val="none"/>
                <w:lang w:val="en-US" w:eastAsia="zh-CN"/>
              </w:rPr>
            </w:pPr>
            <w:r>
              <w:rPr>
                <w:rFonts w:hint="eastAsia" w:ascii="宋体" w:hAnsi="宋体"/>
                <w:color w:val="auto"/>
                <w:sz w:val="18"/>
                <w:szCs w:val="18"/>
                <w:highlight w:val="none"/>
                <w:lang w:val="en-US" w:eastAsia="zh-CN"/>
              </w:rPr>
              <w:t>硬盘：512G固态硬盘；</w:t>
            </w:r>
          </w:p>
          <w:p w14:paraId="2173E680">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显卡：不小于2G独显；</w:t>
            </w:r>
          </w:p>
          <w:p w14:paraId="312BE450">
            <w:pPr>
              <w:keepNext w:val="0"/>
              <w:keepLines w:val="0"/>
              <w:pageBreakBefore w:val="0"/>
              <w:widowControl w:val="0"/>
              <w:numPr>
                <w:ilvl w:val="0"/>
                <w:numId w:val="9"/>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支持国产桌面操作系统和安全固件。</w:t>
            </w:r>
          </w:p>
        </w:tc>
        <w:tc>
          <w:tcPr>
            <w:tcW w:w="486" w:type="dxa"/>
            <w:tcBorders>
              <w:top w:val="nil"/>
              <w:left w:val="nil"/>
              <w:bottom w:val="single" w:color="auto" w:sz="4" w:space="0"/>
              <w:right w:val="single" w:color="auto" w:sz="4" w:space="0"/>
            </w:tcBorders>
            <w:shd w:val="clear" w:color="auto" w:fill="auto"/>
            <w:noWrap/>
            <w:vAlign w:val="center"/>
          </w:tcPr>
          <w:p w14:paraId="3B834CAE">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597" w:type="dxa"/>
            <w:tcBorders>
              <w:top w:val="nil"/>
              <w:left w:val="nil"/>
              <w:bottom w:val="single" w:color="auto" w:sz="4" w:space="0"/>
              <w:right w:val="single" w:color="auto" w:sz="4" w:space="0"/>
            </w:tcBorders>
            <w:vAlign w:val="center"/>
          </w:tcPr>
          <w:p w14:paraId="2424D823">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5C155552">
        <w:tblPrEx>
          <w:tblCellMar>
            <w:top w:w="0" w:type="dxa"/>
            <w:left w:w="108" w:type="dxa"/>
            <w:bottom w:w="0" w:type="dxa"/>
            <w:right w:w="108" w:type="dxa"/>
          </w:tblCellMar>
        </w:tblPrEx>
        <w:trPr>
          <w:trHeight w:val="3196"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5586523B">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1363" w:type="dxa"/>
            <w:tcBorders>
              <w:top w:val="nil"/>
              <w:left w:val="nil"/>
              <w:bottom w:val="single" w:color="auto" w:sz="4" w:space="0"/>
              <w:right w:val="single" w:color="auto" w:sz="4" w:space="0"/>
            </w:tcBorders>
            <w:shd w:val="clear" w:color="auto" w:fill="auto"/>
            <w:vAlign w:val="center"/>
          </w:tcPr>
          <w:p w14:paraId="6DF41D9A">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智能会议终端</w:t>
            </w:r>
          </w:p>
        </w:tc>
        <w:tc>
          <w:tcPr>
            <w:tcW w:w="5705" w:type="dxa"/>
            <w:tcBorders>
              <w:top w:val="nil"/>
              <w:left w:val="nil"/>
              <w:bottom w:val="single" w:color="auto" w:sz="4" w:space="0"/>
              <w:right w:val="single" w:color="auto" w:sz="4" w:space="0"/>
            </w:tcBorders>
            <w:shd w:val="clear" w:color="auto" w:fill="auto"/>
            <w:vAlign w:val="center"/>
          </w:tcPr>
          <w:p w14:paraId="7E44D737">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CPU：不低于8 核国产处理器，主频不低于2.7 GHz ；</w:t>
            </w:r>
          </w:p>
          <w:p w14:paraId="45726B2D">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内存容量 ≥16G DDR4，2 x SO DIMM,最大支持 32GB </w:t>
            </w:r>
          </w:p>
          <w:p w14:paraId="1C25761D">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硬盘≥128GB 固态硬盘；</w:t>
            </w:r>
          </w:p>
          <w:p w14:paraId="690FCEDF">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不小于2G独显；</w:t>
            </w:r>
          </w:p>
          <w:p w14:paraId="1A406F8B">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硬盘接口：2 x SATA III (6Gb/s）硬盘扩展接口 </w:t>
            </w:r>
          </w:p>
          <w:p w14:paraId="7FC15A4A">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 M.2 2280 规范 H3.2MM</w:t>
            </w:r>
          </w:p>
          <w:p w14:paraId="25FC5E29">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显示接口：1 x HDMI</w:t>
            </w:r>
          </w:p>
          <w:p w14:paraId="1D20B38B">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音频接口：1 x 麦克风输入, 1 x 音频输出 </w:t>
            </w:r>
          </w:p>
          <w:p w14:paraId="411EAE5B">
            <w:pPr>
              <w:keepNext w:val="0"/>
              <w:keepLines w:val="0"/>
              <w:pageBreakBefore w:val="0"/>
              <w:widowControl w:val="0"/>
              <w:numPr>
                <w:ilvl w:val="0"/>
                <w:numId w:val="10"/>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网口接口：1 x RJ45 ，网口速率 10 / 100 / 1000 Mbps</w:t>
            </w:r>
            <w:r>
              <w:rPr>
                <w:rFonts w:hint="eastAsia" w:ascii="宋体" w:hAnsi="宋体"/>
                <w:color w:val="auto"/>
                <w:sz w:val="18"/>
                <w:szCs w:val="18"/>
                <w:highlight w:val="none"/>
              </w:rPr>
              <w:t xml:space="preserve"> </w:t>
            </w:r>
          </w:p>
        </w:tc>
        <w:tc>
          <w:tcPr>
            <w:tcW w:w="486" w:type="dxa"/>
            <w:tcBorders>
              <w:top w:val="nil"/>
              <w:left w:val="nil"/>
              <w:bottom w:val="single" w:color="auto" w:sz="4" w:space="0"/>
              <w:right w:val="single" w:color="auto" w:sz="4" w:space="0"/>
            </w:tcBorders>
            <w:shd w:val="clear" w:color="auto" w:fill="auto"/>
            <w:noWrap/>
            <w:vAlign w:val="center"/>
          </w:tcPr>
          <w:p w14:paraId="5D389440">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22</w:t>
            </w:r>
          </w:p>
        </w:tc>
        <w:tc>
          <w:tcPr>
            <w:tcW w:w="597" w:type="dxa"/>
            <w:tcBorders>
              <w:top w:val="nil"/>
              <w:left w:val="nil"/>
              <w:bottom w:val="single" w:color="auto" w:sz="4" w:space="0"/>
              <w:right w:val="single" w:color="auto" w:sz="4" w:space="0"/>
            </w:tcBorders>
            <w:vAlign w:val="center"/>
          </w:tcPr>
          <w:p w14:paraId="2EE7F06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1DF240E4">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24C6F3BC">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3</w:t>
            </w:r>
          </w:p>
        </w:tc>
        <w:tc>
          <w:tcPr>
            <w:tcW w:w="1363" w:type="dxa"/>
            <w:tcBorders>
              <w:top w:val="nil"/>
              <w:left w:val="nil"/>
              <w:bottom w:val="single" w:color="auto" w:sz="4" w:space="0"/>
              <w:right w:val="single" w:color="auto" w:sz="4" w:space="0"/>
            </w:tcBorders>
            <w:shd w:val="clear" w:color="auto" w:fill="auto"/>
            <w:vAlign w:val="center"/>
          </w:tcPr>
          <w:p w14:paraId="788DF906">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智能交互同屏控制器</w:t>
            </w:r>
          </w:p>
        </w:tc>
        <w:tc>
          <w:tcPr>
            <w:tcW w:w="5705" w:type="dxa"/>
            <w:tcBorders>
              <w:top w:val="nil"/>
              <w:left w:val="nil"/>
              <w:bottom w:val="single" w:color="auto" w:sz="4" w:space="0"/>
              <w:right w:val="single" w:color="auto" w:sz="4" w:space="0"/>
            </w:tcBorders>
            <w:shd w:val="clear" w:color="auto" w:fill="auto"/>
            <w:vAlign w:val="center"/>
          </w:tcPr>
          <w:p w14:paraId="00339CF0">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国产CPU：不低于八核处理器、主频2.7 GHz、内存16G DDR4、硬盘128GB ROM(固态硬盘）。</w:t>
            </w:r>
          </w:p>
          <w:p w14:paraId="690D1655">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 xml:space="preserve">▲编码解码格式：接口配置：1路HDMI视频输入接口，1路HDMI视频输出接 口，1路3.5mm音频输入接口和1路3.5mm音频输出接口，实现音视频同步输入输出；具备H.264/H.265/AVC格式，Mainprofile、Baseline编码，符合IPTV标准；具备Program节目流及Transport传 输流；音频采样CD音质，可选AAC/MP3编码方式； 具备TS流与裸流（纯H264+AAC/MP3）； 采用HDMI信号输入，用于高清视频信 (720P/1080i/1080P) 或高分辨率高桢率 AV,VGA,DVI,HDMI信号的编码及网络传输；  任何矩阵信号都可以转换成网络信号，在无纸化终端和投影仪上进行同步显示； </w:t>
            </w:r>
          </w:p>
          <w:p w14:paraId="511647AB">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▲搭配无纸化系统共同使用，具备根据使用需求自动进行：信号显示，签到实时数据显示，标语显示，投票表决结果统计与显示，评分、测评统计结果显示。</w:t>
            </w:r>
          </w:p>
          <w:p w14:paraId="5EC83992">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内嵌智能流媒体软件，具备一台设备进行高清、标清视频信号处理模块，同步、异步处理视频信号输入、输出。</w:t>
            </w:r>
          </w:p>
          <w:p w14:paraId="425576B2">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只需一台设备同时完成编码及解码，具备把视频信号转换为网络信号进行传送到每个终端，具备网络信号转换成视频信号显示到大屏幕或投影机，拒绝冗余设备繁琐处理。</w:t>
            </w:r>
          </w:p>
          <w:p w14:paraId="63B770A4">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具备自动统计实时显示：签到的实时数据与结果，投票过程，投票实时结果，实时查看评分人数，未提交人数评分结果。</w:t>
            </w:r>
          </w:p>
          <w:p w14:paraId="0F692596">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当会场无同步信号时，输出画面为会议欢迎标语，避免大屏幕或投影机待机状态或无信号输入状态，显示会议标语通过主席机统一控制，主席机可根据会议进程切换不同的会议标语。</w:t>
            </w:r>
          </w:p>
          <w:p w14:paraId="07E4BAF9">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外部信号同屏功能：具备外部信号通过HDMI输入接口同屏到所有会议终端并同步显示的功能，延迟时间不超过0.5秒（外部信号包括：矩阵送来的视频信号、视频点播、视频直播、外部信号、同屏信号、电子白板、文档画面、计算机信号、笔记本信号、摄像头信号、DVD信号等）</w:t>
            </w:r>
          </w:p>
          <w:p w14:paraId="4F99938D">
            <w:pPr>
              <w:keepNext w:val="0"/>
              <w:keepLines w:val="0"/>
              <w:pageBreakBefore w:val="0"/>
              <w:widowControl w:val="0"/>
              <w:numPr>
                <w:ilvl w:val="0"/>
                <w:numId w:val="11"/>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显示会议结果：具备签到结果与实时数据投票显示，将签到过程，签到结果展示到大屏上。具备投票投屏功能，将投票过程，投票实时结果以各种方式展示在大屏幕上。具备评分投屏功能，将投票过程，实时查看评分人数，未提交人数。具备评分结束后以各种形式投屏显示评分结果。</w:t>
            </w:r>
          </w:p>
        </w:tc>
        <w:tc>
          <w:tcPr>
            <w:tcW w:w="486" w:type="dxa"/>
            <w:tcBorders>
              <w:top w:val="nil"/>
              <w:left w:val="nil"/>
              <w:bottom w:val="single" w:color="auto" w:sz="4" w:space="0"/>
              <w:right w:val="single" w:color="auto" w:sz="4" w:space="0"/>
            </w:tcBorders>
            <w:shd w:val="clear" w:color="auto" w:fill="auto"/>
            <w:noWrap/>
            <w:vAlign w:val="center"/>
          </w:tcPr>
          <w:p w14:paraId="1C657088">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597" w:type="dxa"/>
            <w:tcBorders>
              <w:top w:val="nil"/>
              <w:left w:val="nil"/>
              <w:bottom w:val="single" w:color="auto" w:sz="4" w:space="0"/>
              <w:right w:val="single" w:color="auto" w:sz="4" w:space="0"/>
            </w:tcBorders>
            <w:vAlign w:val="center"/>
          </w:tcPr>
          <w:p w14:paraId="62CB00F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50932984">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1FF4F8E6">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4</w:t>
            </w:r>
          </w:p>
        </w:tc>
        <w:tc>
          <w:tcPr>
            <w:tcW w:w="1363" w:type="dxa"/>
            <w:tcBorders>
              <w:top w:val="nil"/>
              <w:left w:val="nil"/>
              <w:bottom w:val="single" w:color="auto" w:sz="4" w:space="0"/>
              <w:right w:val="single" w:color="auto" w:sz="4" w:space="0"/>
            </w:tcBorders>
            <w:shd w:val="clear" w:color="auto" w:fill="auto"/>
            <w:vAlign w:val="center"/>
          </w:tcPr>
          <w:p w14:paraId="120ADD87">
            <w:pPr>
              <w:widowControl/>
              <w:spacing w:line="240" w:lineRule="auto"/>
              <w:ind w:firstLine="0" w:firstLineChars="0"/>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lang w:val="en-US" w:eastAsia="zh-CN"/>
              </w:rPr>
              <w:t>网络交换机（智能会议拓展主机）</w:t>
            </w:r>
          </w:p>
        </w:tc>
        <w:tc>
          <w:tcPr>
            <w:tcW w:w="5705" w:type="dxa"/>
            <w:tcBorders>
              <w:top w:val="nil"/>
              <w:left w:val="nil"/>
              <w:bottom w:val="single" w:color="auto" w:sz="4" w:space="0"/>
              <w:right w:val="single" w:color="auto" w:sz="4" w:space="0"/>
            </w:tcBorders>
            <w:shd w:val="clear" w:color="auto" w:fill="auto"/>
            <w:vAlign w:val="center"/>
          </w:tcPr>
          <w:p w14:paraId="630077F4">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需不少于24个10/100/1000BASE-T以太网端口, 不少于4个千兆SFP,交换容量不小于672Gbps/6.72Tbps，包转发率不小于126Mpps</w:t>
            </w:r>
          </w:p>
          <w:p w14:paraId="535A36E8">
            <w:pPr>
              <w:keepNext w:val="0"/>
              <w:keepLines w:val="0"/>
              <w:pageBreakBefore w:val="0"/>
              <w:widowControl w:val="0"/>
              <w:numPr>
                <w:ilvl w:val="0"/>
                <w:numId w:val="12"/>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rPr>
            </w:pPr>
            <w:r>
              <w:rPr>
                <w:rFonts w:hint="eastAsia" w:ascii="宋体" w:hAnsi="宋体"/>
                <w:color w:val="auto"/>
                <w:sz w:val="18"/>
                <w:szCs w:val="18"/>
                <w:highlight w:val="none"/>
                <w:lang w:val="en-US" w:eastAsia="zh-CN"/>
              </w:rPr>
              <w:t>支持无纸化终端信号连接处理功能</w:t>
            </w:r>
          </w:p>
        </w:tc>
        <w:tc>
          <w:tcPr>
            <w:tcW w:w="486" w:type="dxa"/>
            <w:tcBorders>
              <w:top w:val="nil"/>
              <w:left w:val="nil"/>
              <w:bottom w:val="single" w:color="auto" w:sz="4" w:space="0"/>
              <w:right w:val="single" w:color="auto" w:sz="4" w:space="0"/>
            </w:tcBorders>
            <w:shd w:val="clear" w:color="auto" w:fill="auto"/>
            <w:noWrap/>
            <w:vAlign w:val="center"/>
          </w:tcPr>
          <w:p w14:paraId="46AA8116">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597" w:type="dxa"/>
            <w:tcBorders>
              <w:top w:val="nil"/>
              <w:left w:val="nil"/>
              <w:bottom w:val="single" w:color="auto" w:sz="4" w:space="0"/>
              <w:right w:val="single" w:color="auto" w:sz="4" w:space="0"/>
            </w:tcBorders>
            <w:vAlign w:val="center"/>
          </w:tcPr>
          <w:p w14:paraId="3AB72FB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台</w:t>
            </w:r>
          </w:p>
        </w:tc>
      </w:tr>
      <w:tr w14:paraId="73C5B737">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1BC9E416">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5</w:t>
            </w:r>
          </w:p>
        </w:tc>
        <w:tc>
          <w:tcPr>
            <w:tcW w:w="1363" w:type="dxa"/>
            <w:tcBorders>
              <w:top w:val="nil"/>
              <w:left w:val="nil"/>
              <w:bottom w:val="single" w:color="auto" w:sz="4" w:space="0"/>
              <w:right w:val="single" w:color="auto" w:sz="4" w:space="0"/>
            </w:tcBorders>
            <w:shd w:val="clear" w:color="auto" w:fill="auto"/>
            <w:vAlign w:val="center"/>
          </w:tcPr>
          <w:p w14:paraId="004178B0">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双通道无线手持话筒套装</w:t>
            </w:r>
          </w:p>
        </w:tc>
        <w:tc>
          <w:tcPr>
            <w:tcW w:w="5705" w:type="dxa"/>
            <w:tcBorders>
              <w:top w:val="nil"/>
              <w:left w:val="nil"/>
              <w:bottom w:val="single" w:color="auto" w:sz="4" w:space="0"/>
              <w:right w:val="single" w:color="auto" w:sz="4" w:space="0"/>
            </w:tcBorders>
            <w:shd w:val="clear" w:color="auto" w:fill="auto"/>
            <w:vAlign w:val="center"/>
          </w:tcPr>
          <w:p w14:paraId="7935D8BE">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双通道无线手持动圈话筒套装含接收机、发射机及手持话筒</w:t>
            </w:r>
          </w:p>
          <w:p w14:paraId="4BE8F123">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调谐带宽：44MHz</w:t>
            </w:r>
          </w:p>
          <w:p w14:paraId="4FCAFB96">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动态范围：118dB</w:t>
            </w:r>
          </w:p>
          <w:p w14:paraId="6576096E">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每个频段不少于32个可用通道</w:t>
            </w:r>
          </w:p>
          <w:p w14:paraId="66F6C52C">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话筒类型：动圈话筒</w:t>
            </w:r>
          </w:p>
          <w:p w14:paraId="74FB3DA9">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拾取特征：心形</w:t>
            </w:r>
          </w:p>
          <w:p w14:paraId="6A91D71B">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频率响应范围：优于50Hz-15KH</w:t>
            </w:r>
          </w:p>
          <w:p w14:paraId="6768C709">
            <w:pPr>
              <w:keepNext w:val="0"/>
              <w:keepLines w:val="0"/>
              <w:pageBreakBefore w:val="0"/>
              <w:widowControl w:val="0"/>
              <w:numPr>
                <w:ilvl w:val="0"/>
                <w:numId w:val="13"/>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灵敏度: 优于–54.0dBV/Pa</w:t>
            </w:r>
          </w:p>
        </w:tc>
        <w:tc>
          <w:tcPr>
            <w:tcW w:w="486" w:type="dxa"/>
            <w:tcBorders>
              <w:top w:val="nil"/>
              <w:left w:val="nil"/>
              <w:bottom w:val="single" w:color="auto" w:sz="4" w:space="0"/>
              <w:right w:val="single" w:color="auto" w:sz="4" w:space="0"/>
            </w:tcBorders>
            <w:shd w:val="clear" w:color="auto" w:fill="auto"/>
            <w:noWrap/>
            <w:vAlign w:val="center"/>
          </w:tcPr>
          <w:p w14:paraId="0BDE58AE">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2</w:t>
            </w:r>
          </w:p>
        </w:tc>
        <w:tc>
          <w:tcPr>
            <w:tcW w:w="597" w:type="dxa"/>
            <w:tcBorders>
              <w:top w:val="nil"/>
              <w:left w:val="nil"/>
              <w:bottom w:val="single" w:color="auto" w:sz="4" w:space="0"/>
              <w:right w:val="single" w:color="auto" w:sz="4" w:space="0"/>
            </w:tcBorders>
            <w:vAlign w:val="center"/>
          </w:tcPr>
          <w:p w14:paraId="14E7AC35">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套</w:t>
            </w:r>
          </w:p>
        </w:tc>
      </w:tr>
      <w:tr w14:paraId="54A70646">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68E2592B">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6</w:t>
            </w:r>
          </w:p>
        </w:tc>
        <w:tc>
          <w:tcPr>
            <w:tcW w:w="1363" w:type="dxa"/>
            <w:tcBorders>
              <w:top w:val="nil"/>
              <w:left w:val="nil"/>
              <w:bottom w:val="single" w:color="auto" w:sz="4" w:space="0"/>
              <w:right w:val="single" w:color="auto" w:sz="4" w:space="0"/>
            </w:tcBorders>
            <w:shd w:val="clear" w:color="auto" w:fill="auto"/>
            <w:vAlign w:val="center"/>
          </w:tcPr>
          <w:p w14:paraId="1F181160">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线缆</w:t>
            </w:r>
            <w:r>
              <w:rPr>
                <w:rFonts w:hint="eastAsia" w:ascii="宋体" w:hAnsi="宋体"/>
                <w:color w:val="auto"/>
                <w:sz w:val="18"/>
                <w:szCs w:val="18"/>
                <w:highlight w:val="none"/>
                <w:lang w:val="en-US" w:eastAsia="zh-CN"/>
              </w:rPr>
              <w:t>及辅</w:t>
            </w:r>
            <w:r>
              <w:rPr>
                <w:rFonts w:hint="eastAsia" w:ascii="宋体" w:hAnsi="宋体"/>
                <w:color w:val="auto"/>
                <w:sz w:val="18"/>
                <w:szCs w:val="18"/>
                <w:highlight w:val="none"/>
              </w:rPr>
              <w:t>材</w:t>
            </w:r>
          </w:p>
        </w:tc>
        <w:tc>
          <w:tcPr>
            <w:tcW w:w="5705" w:type="dxa"/>
            <w:tcBorders>
              <w:top w:val="nil"/>
              <w:left w:val="nil"/>
              <w:bottom w:val="single" w:color="auto" w:sz="4" w:space="0"/>
              <w:right w:val="single" w:color="auto" w:sz="4" w:space="0"/>
            </w:tcBorders>
            <w:shd w:val="clear" w:color="auto" w:fill="auto"/>
            <w:vAlign w:val="center"/>
          </w:tcPr>
          <w:p w14:paraId="24A1F083">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HDMI连接线：HDMI2.0</w:t>
            </w:r>
          </w:p>
          <w:p w14:paraId="5BBE8B1C">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网线：六类</w:t>
            </w:r>
          </w:p>
          <w:p w14:paraId="13ACA754">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音频线：三芯屏蔽</w:t>
            </w:r>
          </w:p>
          <w:p w14:paraId="26C89B51">
            <w:pPr>
              <w:keepNext w:val="0"/>
              <w:keepLines w:val="0"/>
              <w:pageBreakBefore w:val="0"/>
              <w:widowControl w:val="0"/>
              <w:numPr>
                <w:ilvl w:val="0"/>
                <w:numId w:val="14"/>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安装辅料</w:t>
            </w:r>
          </w:p>
        </w:tc>
        <w:tc>
          <w:tcPr>
            <w:tcW w:w="486" w:type="dxa"/>
            <w:tcBorders>
              <w:top w:val="nil"/>
              <w:left w:val="nil"/>
              <w:bottom w:val="single" w:color="auto" w:sz="4" w:space="0"/>
              <w:right w:val="single" w:color="auto" w:sz="4" w:space="0"/>
            </w:tcBorders>
            <w:shd w:val="clear" w:color="auto" w:fill="auto"/>
            <w:noWrap/>
            <w:vAlign w:val="center"/>
          </w:tcPr>
          <w:p w14:paraId="711A379E">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597" w:type="dxa"/>
            <w:tcBorders>
              <w:top w:val="nil"/>
              <w:left w:val="nil"/>
              <w:bottom w:val="single" w:color="auto" w:sz="4" w:space="0"/>
              <w:right w:val="single" w:color="auto" w:sz="4" w:space="0"/>
            </w:tcBorders>
            <w:vAlign w:val="center"/>
          </w:tcPr>
          <w:p w14:paraId="2369C0A3">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批</w:t>
            </w:r>
          </w:p>
        </w:tc>
      </w:tr>
      <w:tr w14:paraId="619DA836">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5BB351A">
            <w:pPr>
              <w:spacing w:line="240" w:lineRule="auto"/>
              <w:ind w:firstLine="0" w:firstLineChars="0"/>
              <w:jc w:val="center"/>
              <w:rPr>
                <w:rFonts w:ascii="宋体" w:hAnsi="宋体"/>
                <w:b/>
                <w:bCs/>
                <w:color w:val="auto"/>
                <w:sz w:val="18"/>
                <w:szCs w:val="18"/>
                <w:highlight w:val="none"/>
              </w:rPr>
            </w:pPr>
            <w:r>
              <w:rPr>
                <w:rFonts w:hint="eastAsia" w:ascii="宋体" w:hAnsi="宋体"/>
                <w:b/>
                <w:bCs/>
                <w:color w:val="auto"/>
                <w:sz w:val="18"/>
                <w:szCs w:val="18"/>
                <w:highlight w:val="none"/>
              </w:rPr>
              <w:t>E</w:t>
            </w:r>
          </w:p>
        </w:tc>
        <w:tc>
          <w:tcPr>
            <w:tcW w:w="1363" w:type="dxa"/>
            <w:tcBorders>
              <w:top w:val="nil"/>
              <w:left w:val="nil"/>
              <w:bottom w:val="single" w:color="auto" w:sz="4" w:space="0"/>
              <w:right w:val="single" w:color="auto" w:sz="4" w:space="0"/>
            </w:tcBorders>
            <w:shd w:val="clear" w:color="auto" w:fill="auto"/>
            <w:vAlign w:val="center"/>
          </w:tcPr>
          <w:p w14:paraId="64F2233D">
            <w:pPr>
              <w:spacing w:line="240" w:lineRule="auto"/>
              <w:ind w:firstLine="0" w:firstLineChars="0"/>
              <w:jc w:val="left"/>
              <w:rPr>
                <w:rFonts w:ascii="宋体" w:hAnsi="宋体"/>
                <w:b/>
                <w:bCs/>
                <w:color w:val="auto"/>
                <w:sz w:val="18"/>
                <w:szCs w:val="18"/>
                <w:highlight w:val="none"/>
              </w:rPr>
            </w:pPr>
            <w:r>
              <w:rPr>
                <w:rFonts w:hint="eastAsia" w:ascii="宋体" w:hAnsi="宋体"/>
                <w:b/>
                <w:bCs/>
                <w:color w:val="auto"/>
                <w:sz w:val="18"/>
                <w:szCs w:val="18"/>
                <w:highlight w:val="none"/>
              </w:rPr>
              <w:t>调解室系统</w:t>
            </w:r>
            <w:r>
              <w:rPr>
                <w:rFonts w:hint="eastAsia" w:ascii="宋体" w:hAnsi="宋体"/>
                <w:b/>
                <w:bCs/>
                <w:color w:val="auto"/>
                <w:sz w:val="18"/>
                <w:szCs w:val="18"/>
                <w:highlight w:val="none"/>
                <w:lang w:eastAsia="zh-CN"/>
              </w:rPr>
              <w:t>XC</w:t>
            </w:r>
            <w:r>
              <w:rPr>
                <w:rFonts w:hint="eastAsia" w:ascii="宋体" w:hAnsi="宋体"/>
                <w:b/>
                <w:bCs/>
                <w:color w:val="auto"/>
                <w:sz w:val="18"/>
                <w:szCs w:val="18"/>
                <w:highlight w:val="none"/>
              </w:rPr>
              <w:t>改造</w:t>
            </w:r>
          </w:p>
        </w:tc>
        <w:tc>
          <w:tcPr>
            <w:tcW w:w="5705" w:type="dxa"/>
            <w:tcBorders>
              <w:top w:val="nil"/>
              <w:left w:val="nil"/>
              <w:bottom w:val="single" w:color="auto" w:sz="4" w:space="0"/>
              <w:right w:val="single" w:color="auto" w:sz="4" w:space="0"/>
            </w:tcBorders>
            <w:shd w:val="clear" w:color="auto" w:fill="auto"/>
            <w:vAlign w:val="center"/>
          </w:tcPr>
          <w:p w14:paraId="72FDD0FF">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nil"/>
              <w:left w:val="nil"/>
              <w:bottom w:val="single" w:color="auto" w:sz="4" w:space="0"/>
              <w:right w:val="single" w:color="auto" w:sz="4" w:space="0"/>
            </w:tcBorders>
            <w:shd w:val="clear" w:color="auto" w:fill="auto"/>
            <w:noWrap/>
            <w:vAlign w:val="center"/>
          </w:tcPr>
          <w:p w14:paraId="63613DA4">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nil"/>
              <w:left w:val="nil"/>
              <w:bottom w:val="single" w:color="auto" w:sz="4" w:space="0"/>
              <w:right w:val="single" w:color="auto" w:sz="4" w:space="0"/>
            </w:tcBorders>
            <w:vAlign w:val="center"/>
          </w:tcPr>
          <w:p w14:paraId="5434E968">
            <w:pPr>
              <w:spacing w:line="240" w:lineRule="auto"/>
              <w:ind w:firstLine="0" w:firstLineChars="0"/>
              <w:jc w:val="center"/>
              <w:rPr>
                <w:rFonts w:ascii="宋体" w:hAnsi="宋体"/>
                <w:color w:val="auto"/>
                <w:sz w:val="18"/>
                <w:szCs w:val="18"/>
                <w:highlight w:val="none"/>
              </w:rPr>
            </w:pPr>
          </w:p>
        </w:tc>
      </w:tr>
      <w:tr w14:paraId="47849F80">
        <w:tblPrEx>
          <w:tblCellMar>
            <w:top w:w="0" w:type="dxa"/>
            <w:left w:w="108" w:type="dxa"/>
            <w:bottom w:w="0" w:type="dxa"/>
            <w:right w:w="108" w:type="dxa"/>
          </w:tblCellMar>
        </w:tblPrEx>
        <w:trPr>
          <w:trHeight w:val="320" w:hRule="atLeast"/>
          <w:jc w:val="center"/>
        </w:trPr>
        <w:tc>
          <w:tcPr>
            <w:tcW w:w="633" w:type="dxa"/>
            <w:tcBorders>
              <w:top w:val="nil"/>
              <w:left w:val="single" w:color="auto" w:sz="4" w:space="0"/>
              <w:bottom w:val="single" w:color="auto" w:sz="4" w:space="0"/>
              <w:right w:val="single" w:color="auto" w:sz="4" w:space="0"/>
            </w:tcBorders>
            <w:shd w:val="clear" w:color="auto" w:fill="auto"/>
            <w:vAlign w:val="center"/>
          </w:tcPr>
          <w:p w14:paraId="77C529A8">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w:t>
            </w:r>
          </w:p>
        </w:tc>
        <w:tc>
          <w:tcPr>
            <w:tcW w:w="1363" w:type="dxa"/>
            <w:tcBorders>
              <w:top w:val="nil"/>
              <w:left w:val="nil"/>
              <w:bottom w:val="single" w:color="auto" w:sz="4" w:space="0"/>
              <w:right w:val="single" w:color="auto" w:sz="4" w:space="0"/>
            </w:tcBorders>
            <w:shd w:val="clear" w:color="auto" w:fill="auto"/>
            <w:vAlign w:val="center"/>
          </w:tcPr>
          <w:p w14:paraId="65017946">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HDMI光纤延长器</w:t>
            </w:r>
          </w:p>
        </w:tc>
        <w:tc>
          <w:tcPr>
            <w:tcW w:w="5705" w:type="dxa"/>
            <w:tcBorders>
              <w:top w:val="nil"/>
              <w:left w:val="nil"/>
              <w:bottom w:val="single" w:color="auto" w:sz="4" w:space="0"/>
              <w:right w:val="single" w:color="auto" w:sz="4" w:space="0"/>
            </w:tcBorders>
            <w:shd w:val="clear" w:color="auto" w:fill="auto"/>
            <w:vAlign w:val="center"/>
          </w:tcPr>
          <w:p w14:paraId="4B79E4D6">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接口类型：输入输出为HDMI接口，光纤接口多为SC或LC接口。</w:t>
            </w:r>
          </w:p>
          <w:p w14:paraId="2AC79696">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分辨率：支持4K×2K@60Hz。</w:t>
            </w:r>
          </w:p>
          <w:p w14:paraId="2D881400">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HDMI版本：HDMI2.0及以上，兼容HDMI1.4。</w:t>
            </w:r>
          </w:p>
          <w:p w14:paraId="6608ED33">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HDCP版本：兼容HDCP1.4和HDCP2.2。</w:t>
            </w:r>
          </w:p>
          <w:p w14:paraId="4667DFCA">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传输距离：单模光纤可达10km甚至更远，多模光纤一般在300米左右。</w:t>
            </w:r>
          </w:p>
          <w:p w14:paraId="7FA0DC40">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传输协议：HDbitT等。</w:t>
            </w:r>
          </w:p>
          <w:p w14:paraId="177E8A07">
            <w:pPr>
              <w:keepNext w:val="0"/>
              <w:keepLines w:val="0"/>
              <w:pageBreakBefore w:val="0"/>
              <w:widowControl w:val="0"/>
              <w:numPr>
                <w:ilvl w:val="0"/>
                <w:numId w:val="15"/>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工作温度：一般为-20℃～60℃</w:t>
            </w:r>
          </w:p>
        </w:tc>
        <w:tc>
          <w:tcPr>
            <w:tcW w:w="486" w:type="dxa"/>
            <w:tcBorders>
              <w:top w:val="nil"/>
              <w:left w:val="nil"/>
              <w:bottom w:val="single" w:color="auto" w:sz="4" w:space="0"/>
              <w:right w:val="single" w:color="auto" w:sz="4" w:space="0"/>
            </w:tcBorders>
            <w:shd w:val="clear" w:color="auto" w:fill="auto"/>
            <w:noWrap/>
            <w:vAlign w:val="center"/>
          </w:tcPr>
          <w:p w14:paraId="50C20B7A">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10</w:t>
            </w:r>
          </w:p>
        </w:tc>
        <w:tc>
          <w:tcPr>
            <w:tcW w:w="597" w:type="dxa"/>
            <w:tcBorders>
              <w:top w:val="nil"/>
              <w:left w:val="nil"/>
              <w:bottom w:val="single" w:color="auto" w:sz="4" w:space="0"/>
              <w:right w:val="single" w:color="auto" w:sz="4" w:space="0"/>
            </w:tcBorders>
            <w:vAlign w:val="center"/>
          </w:tcPr>
          <w:p w14:paraId="373252C0">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个</w:t>
            </w:r>
          </w:p>
        </w:tc>
      </w:tr>
      <w:tr w14:paraId="3FD3C668">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37E49486">
            <w:pPr>
              <w:spacing w:line="240" w:lineRule="auto"/>
              <w:ind w:firstLine="0" w:firstLineChars="0"/>
              <w:jc w:val="center"/>
              <w:rPr>
                <w:rFonts w:ascii="宋体" w:hAnsi="宋体"/>
                <w:b/>
                <w:color w:val="auto"/>
                <w:sz w:val="21"/>
                <w:szCs w:val="18"/>
                <w:highlight w:val="none"/>
              </w:rPr>
            </w:pPr>
            <w:r>
              <w:rPr>
                <w:rFonts w:hint="eastAsia" w:ascii="宋体" w:hAnsi="宋体"/>
                <w:b/>
                <w:color w:val="auto"/>
                <w:sz w:val="21"/>
                <w:szCs w:val="18"/>
                <w:highlight w:val="none"/>
              </w:rPr>
              <w:t>二</w:t>
            </w:r>
          </w:p>
        </w:tc>
        <w:tc>
          <w:tcPr>
            <w:tcW w:w="1363" w:type="dxa"/>
            <w:tcBorders>
              <w:top w:val="single" w:color="auto" w:sz="4" w:space="0"/>
              <w:left w:val="nil"/>
              <w:bottom w:val="single" w:color="auto" w:sz="4" w:space="0"/>
              <w:right w:val="single" w:color="auto" w:sz="4" w:space="0"/>
            </w:tcBorders>
            <w:shd w:val="clear" w:color="auto" w:fill="auto"/>
            <w:vAlign w:val="center"/>
          </w:tcPr>
          <w:p w14:paraId="2880ED0D">
            <w:pPr>
              <w:spacing w:line="240" w:lineRule="auto"/>
              <w:ind w:firstLine="0" w:firstLineChars="0"/>
              <w:rPr>
                <w:rFonts w:ascii="宋体" w:hAnsi="宋体"/>
                <w:b/>
                <w:color w:val="auto"/>
                <w:sz w:val="21"/>
                <w:szCs w:val="18"/>
                <w:highlight w:val="none"/>
              </w:rPr>
            </w:pPr>
            <w:r>
              <w:rPr>
                <w:rFonts w:hint="eastAsia" w:ascii="宋体" w:hAnsi="宋体"/>
                <w:b/>
                <w:color w:val="auto"/>
                <w:sz w:val="21"/>
                <w:szCs w:val="18"/>
                <w:highlight w:val="none"/>
              </w:rPr>
              <w:t>软件产品购置</w:t>
            </w:r>
          </w:p>
        </w:tc>
        <w:tc>
          <w:tcPr>
            <w:tcW w:w="5705" w:type="dxa"/>
            <w:tcBorders>
              <w:top w:val="single" w:color="auto" w:sz="4" w:space="0"/>
              <w:left w:val="nil"/>
              <w:bottom w:val="single" w:color="auto" w:sz="4" w:space="0"/>
              <w:right w:val="single" w:color="auto" w:sz="4" w:space="0"/>
            </w:tcBorders>
            <w:shd w:val="clear" w:color="auto" w:fill="auto"/>
            <w:vAlign w:val="center"/>
          </w:tcPr>
          <w:p w14:paraId="4CC43224">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single" w:color="auto" w:sz="4" w:space="0"/>
              <w:left w:val="nil"/>
              <w:bottom w:val="single" w:color="auto" w:sz="4" w:space="0"/>
              <w:right w:val="single" w:color="auto" w:sz="4" w:space="0"/>
            </w:tcBorders>
            <w:shd w:val="clear" w:color="auto" w:fill="auto"/>
            <w:noWrap/>
            <w:vAlign w:val="center"/>
          </w:tcPr>
          <w:p w14:paraId="278BD569">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single" w:color="auto" w:sz="4" w:space="0"/>
              <w:left w:val="nil"/>
              <w:bottom w:val="single" w:color="auto" w:sz="4" w:space="0"/>
              <w:right w:val="single" w:color="auto" w:sz="4" w:space="0"/>
            </w:tcBorders>
            <w:vAlign w:val="center"/>
          </w:tcPr>
          <w:p w14:paraId="08A5A6E5">
            <w:pPr>
              <w:spacing w:line="240" w:lineRule="auto"/>
              <w:ind w:firstLine="0" w:firstLineChars="0"/>
              <w:jc w:val="center"/>
              <w:rPr>
                <w:rFonts w:ascii="宋体" w:hAnsi="宋体"/>
                <w:color w:val="auto"/>
                <w:sz w:val="18"/>
                <w:szCs w:val="18"/>
                <w:highlight w:val="none"/>
              </w:rPr>
            </w:pPr>
          </w:p>
        </w:tc>
      </w:tr>
      <w:tr w14:paraId="7DB91F4E">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1D344410">
            <w:pPr>
              <w:spacing w:line="240" w:lineRule="auto"/>
              <w:ind w:firstLine="0" w:firstLineChars="0"/>
              <w:jc w:val="center"/>
              <w:rPr>
                <w:rFonts w:ascii="宋体" w:hAnsi="宋体"/>
                <w:color w:val="auto"/>
                <w:sz w:val="18"/>
                <w:szCs w:val="18"/>
                <w:highlight w:val="none"/>
              </w:rPr>
            </w:pPr>
            <w:r>
              <w:rPr>
                <w:rFonts w:hint="eastAsia" w:ascii="宋体" w:hAnsi="宋体"/>
                <w:b/>
                <w:bCs/>
                <w:color w:val="auto"/>
                <w:sz w:val="18"/>
                <w:szCs w:val="18"/>
                <w:highlight w:val="none"/>
              </w:rPr>
              <w:t>A</w:t>
            </w:r>
          </w:p>
        </w:tc>
        <w:tc>
          <w:tcPr>
            <w:tcW w:w="1363" w:type="dxa"/>
            <w:tcBorders>
              <w:top w:val="single" w:color="auto" w:sz="4" w:space="0"/>
              <w:left w:val="nil"/>
              <w:bottom w:val="single" w:color="auto" w:sz="4" w:space="0"/>
              <w:right w:val="single" w:color="auto" w:sz="4" w:space="0"/>
            </w:tcBorders>
            <w:shd w:val="clear" w:color="auto" w:fill="auto"/>
            <w:vAlign w:val="center"/>
          </w:tcPr>
          <w:p w14:paraId="55F7E699">
            <w:pPr>
              <w:widowControl/>
              <w:spacing w:line="240" w:lineRule="auto"/>
              <w:ind w:firstLine="0" w:firstLineChars="0"/>
              <w:rPr>
                <w:color w:val="auto"/>
                <w:sz w:val="20"/>
                <w:szCs w:val="20"/>
                <w:highlight w:val="none"/>
              </w:rPr>
            </w:pPr>
            <w:r>
              <w:rPr>
                <w:rFonts w:hint="eastAsia" w:ascii="宋体" w:hAnsi="宋体"/>
                <w:b/>
                <w:bCs/>
                <w:color w:val="auto"/>
                <w:sz w:val="18"/>
                <w:szCs w:val="18"/>
                <w:highlight w:val="none"/>
              </w:rPr>
              <w:t>审委会无纸化会议系统</w:t>
            </w:r>
          </w:p>
        </w:tc>
        <w:tc>
          <w:tcPr>
            <w:tcW w:w="5705" w:type="dxa"/>
            <w:tcBorders>
              <w:top w:val="single" w:color="auto" w:sz="4" w:space="0"/>
              <w:left w:val="nil"/>
              <w:bottom w:val="single" w:color="auto" w:sz="4" w:space="0"/>
              <w:right w:val="single" w:color="auto" w:sz="4" w:space="0"/>
            </w:tcBorders>
            <w:shd w:val="clear" w:color="auto" w:fill="auto"/>
            <w:vAlign w:val="center"/>
          </w:tcPr>
          <w:p w14:paraId="7657ABD0">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486" w:type="dxa"/>
            <w:tcBorders>
              <w:top w:val="single" w:color="auto" w:sz="4" w:space="0"/>
              <w:left w:val="nil"/>
              <w:bottom w:val="single" w:color="auto" w:sz="4" w:space="0"/>
              <w:right w:val="single" w:color="auto" w:sz="4" w:space="0"/>
            </w:tcBorders>
            <w:shd w:val="clear" w:color="auto" w:fill="auto"/>
            <w:noWrap/>
            <w:vAlign w:val="center"/>
          </w:tcPr>
          <w:p w14:paraId="5E7F309C">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　</w:t>
            </w:r>
          </w:p>
        </w:tc>
        <w:tc>
          <w:tcPr>
            <w:tcW w:w="597" w:type="dxa"/>
            <w:tcBorders>
              <w:top w:val="single" w:color="auto" w:sz="4" w:space="0"/>
              <w:left w:val="nil"/>
              <w:bottom w:val="single" w:color="auto" w:sz="4" w:space="0"/>
              <w:right w:val="single" w:color="auto" w:sz="4" w:space="0"/>
            </w:tcBorders>
            <w:vAlign w:val="center"/>
          </w:tcPr>
          <w:p w14:paraId="06750D02">
            <w:pPr>
              <w:spacing w:line="240" w:lineRule="auto"/>
              <w:ind w:firstLine="0" w:firstLineChars="0"/>
              <w:jc w:val="center"/>
              <w:rPr>
                <w:rFonts w:ascii="宋体" w:hAnsi="宋体"/>
                <w:color w:val="auto"/>
                <w:sz w:val="18"/>
                <w:szCs w:val="18"/>
                <w:highlight w:val="none"/>
              </w:rPr>
            </w:pPr>
          </w:p>
        </w:tc>
      </w:tr>
      <w:tr w14:paraId="0AD5906A">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2C38D8CE">
            <w:pPr>
              <w:spacing w:line="240" w:lineRule="auto"/>
              <w:ind w:firstLine="0" w:firstLineChars="0"/>
              <w:jc w:val="center"/>
              <w:rPr>
                <w:rFonts w:ascii="宋体" w:hAnsi="宋体"/>
                <w:bCs/>
                <w:color w:val="auto"/>
                <w:sz w:val="18"/>
                <w:szCs w:val="18"/>
                <w:highlight w:val="none"/>
              </w:rPr>
            </w:pPr>
            <w:r>
              <w:rPr>
                <w:rFonts w:hint="eastAsia" w:ascii="宋体" w:hAnsi="宋体"/>
                <w:bCs/>
                <w:color w:val="auto"/>
                <w:sz w:val="18"/>
                <w:szCs w:val="18"/>
                <w:highlight w:val="none"/>
              </w:rPr>
              <w:t>1</w:t>
            </w:r>
          </w:p>
        </w:tc>
        <w:tc>
          <w:tcPr>
            <w:tcW w:w="1363" w:type="dxa"/>
            <w:tcBorders>
              <w:top w:val="single" w:color="auto" w:sz="4" w:space="0"/>
              <w:left w:val="nil"/>
              <w:bottom w:val="single" w:color="auto" w:sz="4" w:space="0"/>
              <w:right w:val="single" w:color="auto" w:sz="4" w:space="0"/>
            </w:tcBorders>
            <w:shd w:val="clear" w:color="auto" w:fill="auto"/>
            <w:vAlign w:val="center"/>
          </w:tcPr>
          <w:p w14:paraId="4E925200">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无纸化软件</w:t>
            </w:r>
          </w:p>
        </w:tc>
        <w:tc>
          <w:tcPr>
            <w:tcW w:w="5705" w:type="dxa"/>
            <w:tcBorders>
              <w:top w:val="single" w:color="auto" w:sz="4" w:space="0"/>
              <w:left w:val="nil"/>
              <w:bottom w:val="single" w:color="auto" w:sz="4" w:space="0"/>
              <w:right w:val="single" w:color="auto" w:sz="4" w:space="0"/>
            </w:tcBorders>
            <w:shd w:val="clear" w:color="auto" w:fill="auto"/>
            <w:vAlign w:val="center"/>
          </w:tcPr>
          <w:p w14:paraId="42947026">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▲需支持公（私）有云部署，采用云主机+文件加速客户端方式进行部署，实现文件数据分流，确保文件下发时云主机的指令服务、web 服务能够正常地运行。需具备数据库备份及恢复、会议文件、系统日志备份（定时机制、手动备份），当出现不可抗力因素导致系统崩溃后，能够指定恢复到就近备份节点减少数据损失。具备人员多级数据库结构，具备按部门、职位等批量录入系统，会务人员可在数据库中直接选择参会人员而不需要再次录入参会人员，添加临时参会人员。需具备远程运维功能。主机可以定时关机、定时重启，终端联机重启。主机资源磁盘空间、日志文件大小、cpu 使用率、内存使用率、网络传输速率的实时监测。系统检测到会议已经结束且当前终端设备在不工作状态下自行结束当前会议进行会议归档。需具备终端软件自动下发统一更新</w:t>
            </w:r>
          </w:p>
          <w:p w14:paraId="7FB54D18">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▲需具备文件加密和数据不留痕功能。基于角色、菜单设计模式进行基础架构，系统支持最小维度实现对无纸化系统的访问控制；系统无高危漏洞、弱命令。系统支持数据加密：会议系统的重要数据采用 SM4 加密在数据库进行存储、会议文件进行 SM4 加密存储与传输。系统文件留存：会议结束后客户端文件资料进行数据自动清理，不留痕。系统可实现与在线文档主机对接实现文件在线查阅、编辑、多人交互编辑。需具备增设会议资料员功能。可以根据会议中的议题，指定每个议题下文件资料上传人员，无纸化会议系统对全单位进行开放，分别给各部门秘书分配资料员角色，会议创建人创建会议，创建议题，分配议题资料员权限，秘书登录后台在议题模块，可查看待整理资料的会议，进入待开会议可以新增子议题、文件上传、删除子议题、删除文件，文件排序、预览。</w:t>
            </w:r>
          </w:p>
          <w:p w14:paraId="529879C6">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需具备重大会议测试功能。会务人员在会前检查文件是否下发成功，测试投票表决统计是否正常，测试完成后一键重置会议，系统自动清空会议中的各种操作数据。</w:t>
            </w:r>
          </w:p>
          <w:p w14:paraId="4545D374">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▲建会功能需满足：后台具备快速建会功能，会务人员登录后台后，只需点击快速建会按键，上传建会文件夹，系统根据用户单位的议程表安排，可自动完成建会， 建会时间≤10秒。建会后，终端能自动生成会议信息，包括但不限于：会议主题、会议地 点、会议时间、主持人、参会人员、列席人员、请假人员等会议信息。建会后，上传后的议题、议程与会议材料会自动根据议程表的会议安排 顺序，进行排序及展示，无需人为干预。建会后，系统自动根据议程表添加参会人员，同时进行座次关联安排， 自动分配参会人员会控、阅文、同屏、异步、签到、投票等权限。建会后，系统根据议程表安排，终端可自动显示议题或议程下的：汇报 人、列席人、承办部门、汇报时间等备注信息，同时具备自定义设置。建会后，系统根据议程表系统自动生成投票表决，同时关联到相关议题 或议程中。</w:t>
            </w:r>
          </w:p>
          <w:p w14:paraId="4EB22C90">
            <w:pPr>
              <w:keepNext w:val="0"/>
              <w:keepLines w:val="0"/>
              <w:pageBreakBefore w:val="0"/>
              <w:widowControl w:val="0"/>
              <w:numPr>
                <w:ilvl w:val="0"/>
                <w:numId w:val="16"/>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▲文档转换和阅文功能：需具备能够识别上传到后台的任何格式文件，包括公文格式的 OFD文件，具备后台统一将流式文件自动转换成阅文格式，自动转换后不改变文件字体、行距、间距。系统具备将会议不同格式文件在会后归档中统一转化成 ofd 安全文档格式进行会后统一存储。文件切换支持选择是全部议题与议题下的文件还是当前议题文件的切换，需具备配置显示文件大纲、页码收藏、缩略图查看、查看批注功能按键、开启手笔分离批注、采用横版与左右分栏显示议题与文件。</w:t>
            </w:r>
          </w:p>
        </w:tc>
        <w:tc>
          <w:tcPr>
            <w:tcW w:w="486" w:type="dxa"/>
            <w:tcBorders>
              <w:top w:val="single" w:color="auto" w:sz="4" w:space="0"/>
              <w:left w:val="nil"/>
              <w:bottom w:val="single" w:color="auto" w:sz="4" w:space="0"/>
              <w:right w:val="single" w:color="auto" w:sz="4" w:space="0"/>
            </w:tcBorders>
            <w:shd w:val="clear" w:color="auto" w:fill="auto"/>
            <w:noWrap/>
            <w:vAlign w:val="center"/>
          </w:tcPr>
          <w:p w14:paraId="34AE4D0D">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1</w:t>
            </w:r>
          </w:p>
        </w:tc>
        <w:tc>
          <w:tcPr>
            <w:tcW w:w="597" w:type="dxa"/>
            <w:tcBorders>
              <w:top w:val="single" w:color="auto" w:sz="4" w:space="0"/>
              <w:left w:val="nil"/>
              <w:bottom w:val="single" w:color="auto" w:sz="4" w:space="0"/>
              <w:right w:val="single" w:color="auto" w:sz="4" w:space="0"/>
            </w:tcBorders>
            <w:vAlign w:val="center"/>
          </w:tcPr>
          <w:p w14:paraId="643CCB43">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套</w:t>
            </w:r>
          </w:p>
        </w:tc>
      </w:tr>
      <w:tr w14:paraId="4BEE5354">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27BC7BB5">
            <w:pPr>
              <w:spacing w:line="240" w:lineRule="auto"/>
              <w:ind w:firstLine="0" w:firstLineChars="0"/>
              <w:jc w:val="center"/>
              <w:rPr>
                <w:rFonts w:ascii="宋体" w:hAnsi="宋体"/>
                <w:bCs/>
                <w:color w:val="auto"/>
                <w:sz w:val="18"/>
                <w:szCs w:val="18"/>
                <w:highlight w:val="none"/>
              </w:rPr>
            </w:pPr>
            <w:r>
              <w:rPr>
                <w:rFonts w:hint="eastAsia" w:ascii="宋体" w:hAnsi="宋体"/>
                <w:bCs/>
                <w:color w:val="auto"/>
                <w:sz w:val="18"/>
                <w:szCs w:val="18"/>
                <w:highlight w:val="none"/>
              </w:rPr>
              <w:t>2</w:t>
            </w:r>
          </w:p>
        </w:tc>
        <w:tc>
          <w:tcPr>
            <w:tcW w:w="1363" w:type="dxa"/>
            <w:tcBorders>
              <w:top w:val="single" w:color="auto" w:sz="4" w:space="0"/>
              <w:left w:val="nil"/>
              <w:bottom w:val="single" w:color="auto" w:sz="4" w:space="0"/>
              <w:right w:val="single" w:color="auto" w:sz="4" w:space="0"/>
            </w:tcBorders>
            <w:shd w:val="clear" w:color="auto" w:fill="auto"/>
            <w:vAlign w:val="center"/>
          </w:tcPr>
          <w:p w14:paraId="6B7EAB77">
            <w:pPr>
              <w:widowControl/>
              <w:spacing w:line="240" w:lineRule="auto"/>
              <w:ind w:firstLine="0" w:firstLineChars="0"/>
              <w:rPr>
                <w:rFonts w:hint="default" w:ascii="宋体" w:hAnsi="宋体" w:eastAsia="宋体"/>
                <w:color w:val="auto"/>
                <w:sz w:val="18"/>
                <w:szCs w:val="18"/>
                <w:highlight w:val="none"/>
                <w:lang w:val="en-US" w:eastAsia="zh-CN"/>
              </w:rPr>
            </w:pPr>
            <w:r>
              <w:rPr>
                <w:rFonts w:hint="eastAsia" w:ascii="宋体" w:hAnsi="宋体"/>
                <w:color w:val="auto"/>
                <w:sz w:val="18"/>
                <w:szCs w:val="18"/>
                <w:highlight w:val="none"/>
              </w:rPr>
              <w:t>操作系统</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办公软件</w:t>
            </w:r>
          </w:p>
        </w:tc>
        <w:tc>
          <w:tcPr>
            <w:tcW w:w="5705" w:type="dxa"/>
            <w:tcBorders>
              <w:top w:val="single" w:color="auto" w:sz="4" w:space="0"/>
              <w:left w:val="nil"/>
              <w:bottom w:val="single" w:color="auto" w:sz="4" w:space="0"/>
              <w:right w:val="single" w:color="auto" w:sz="4" w:space="0"/>
            </w:tcBorders>
            <w:shd w:val="clear" w:color="auto" w:fill="auto"/>
            <w:vAlign w:val="center"/>
          </w:tcPr>
          <w:p w14:paraId="3DFEAF89">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正版国产桌面操作系统</w:t>
            </w:r>
            <w:r>
              <w:rPr>
                <w:rFonts w:hint="eastAsia" w:ascii="宋体" w:hAnsi="宋体"/>
                <w:color w:val="auto"/>
                <w:sz w:val="18"/>
                <w:szCs w:val="18"/>
                <w:highlight w:val="none"/>
                <w:lang w:eastAsia="zh-CN"/>
              </w:rPr>
              <w:t>、</w:t>
            </w:r>
            <w:r>
              <w:rPr>
                <w:rFonts w:hint="eastAsia" w:ascii="宋体" w:hAnsi="宋体"/>
                <w:color w:val="auto"/>
                <w:sz w:val="18"/>
                <w:szCs w:val="18"/>
                <w:highlight w:val="none"/>
                <w:lang w:val="en-US" w:eastAsia="zh-CN"/>
              </w:rPr>
              <w:t>流式软件、版式软件，</w:t>
            </w:r>
            <w:r>
              <w:rPr>
                <w:rFonts w:hint="eastAsia" w:ascii="宋体" w:hAnsi="宋体"/>
                <w:color w:val="auto"/>
                <w:sz w:val="18"/>
                <w:szCs w:val="18"/>
                <w:highlight w:val="none"/>
              </w:rPr>
              <w:t>需满足</w:t>
            </w:r>
            <w:r>
              <w:rPr>
                <w:rFonts w:hint="eastAsia" w:ascii="宋体" w:hAnsi="宋体"/>
                <w:color w:val="auto"/>
                <w:sz w:val="18"/>
                <w:szCs w:val="18"/>
                <w:highlight w:val="none"/>
                <w:lang w:val="en-US" w:eastAsia="zh-CN"/>
              </w:rPr>
              <w:t>会议阅卷和</w:t>
            </w:r>
            <w:r>
              <w:rPr>
                <w:rFonts w:hint="eastAsia" w:ascii="宋体" w:hAnsi="宋体"/>
                <w:color w:val="auto"/>
                <w:sz w:val="18"/>
                <w:szCs w:val="18"/>
                <w:highlight w:val="none"/>
              </w:rPr>
              <w:t>无纸化软件运行。</w:t>
            </w:r>
          </w:p>
        </w:tc>
        <w:tc>
          <w:tcPr>
            <w:tcW w:w="486" w:type="dxa"/>
            <w:tcBorders>
              <w:top w:val="single" w:color="auto" w:sz="4" w:space="0"/>
              <w:left w:val="nil"/>
              <w:bottom w:val="single" w:color="auto" w:sz="4" w:space="0"/>
              <w:right w:val="single" w:color="auto" w:sz="4" w:space="0"/>
            </w:tcBorders>
            <w:shd w:val="clear" w:color="auto" w:fill="auto"/>
            <w:noWrap/>
            <w:vAlign w:val="center"/>
          </w:tcPr>
          <w:p w14:paraId="2B5F16E0">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23</w:t>
            </w:r>
          </w:p>
        </w:tc>
        <w:tc>
          <w:tcPr>
            <w:tcW w:w="597" w:type="dxa"/>
            <w:tcBorders>
              <w:top w:val="single" w:color="auto" w:sz="4" w:space="0"/>
              <w:left w:val="nil"/>
              <w:bottom w:val="single" w:color="auto" w:sz="4" w:space="0"/>
              <w:right w:val="single" w:color="auto" w:sz="4" w:space="0"/>
            </w:tcBorders>
            <w:vAlign w:val="center"/>
          </w:tcPr>
          <w:p w14:paraId="7722DC63">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套</w:t>
            </w:r>
          </w:p>
        </w:tc>
      </w:tr>
      <w:tr w14:paraId="398944AF">
        <w:tblPrEx>
          <w:tblCellMar>
            <w:top w:w="0" w:type="dxa"/>
            <w:left w:w="108" w:type="dxa"/>
            <w:bottom w:w="0" w:type="dxa"/>
            <w:right w:w="108" w:type="dxa"/>
          </w:tblCellMar>
        </w:tblPrEx>
        <w:trPr>
          <w:trHeight w:val="320"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74AF572B">
            <w:pPr>
              <w:spacing w:line="240" w:lineRule="auto"/>
              <w:ind w:firstLine="0" w:firstLineChars="0"/>
              <w:jc w:val="center"/>
              <w:rPr>
                <w:rFonts w:ascii="宋体" w:hAnsi="宋体"/>
                <w:bCs/>
                <w:color w:val="auto"/>
                <w:sz w:val="18"/>
                <w:szCs w:val="18"/>
                <w:highlight w:val="none"/>
              </w:rPr>
            </w:pPr>
            <w:r>
              <w:rPr>
                <w:rFonts w:hint="eastAsia" w:ascii="宋体" w:hAnsi="宋体"/>
                <w:bCs/>
                <w:color w:val="auto"/>
                <w:sz w:val="18"/>
                <w:szCs w:val="18"/>
                <w:highlight w:val="none"/>
              </w:rPr>
              <w:t>3</w:t>
            </w:r>
          </w:p>
        </w:tc>
        <w:tc>
          <w:tcPr>
            <w:tcW w:w="1363" w:type="dxa"/>
            <w:tcBorders>
              <w:top w:val="single" w:color="auto" w:sz="4" w:space="0"/>
              <w:left w:val="nil"/>
              <w:bottom w:val="single" w:color="auto" w:sz="4" w:space="0"/>
              <w:right w:val="single" w:color="auto" w:sz="4" w:space="0"/>
            </w:tcBorders>
            <w:shd w:val="clear" w:color="auto" w:fill="auto"/>
            <w:vAlign w:val="center"/>
          </w:tcPr>
          <w:p w14:paraId="7D20B10F">
            <w:pPr>
              <w:widowControl/>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国产无纸化终端软件</w:t>
            </w:r>
          </w:p>
        </w:tc>
        <w:tc>
          <w:tcPr>
            <w:tcW w:w="5705" w:type="dxa"/>
            <w:tcBorders>
              <w:top w:val="single" w:color="auto" w:sz="4" w:space="0"/>
              <w:left w:val="nil"/>
              <w:bottom w:val="single" w:color="auto" w:sz="4" w:space="0"/>
              <w:right w:val="single" w:color="auto" w:sz="4" w:space="0"/>
            </w:tcBorders>
            <w:shd w:val="clear" w:color="auto" w:fill="auto"/>
            <w:vAlign w:val="center"/>
          </w:tcPr>
          <w:p w14:paraId="0C677E4F">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▲软件需具备：显示内容包括但不限于：会议主题、参会人员、警示语、滚动提示语 与进入系统按键，同时具备字体设置、字号与显示位置调整。具备显示人名或仅显示会议主题的功能。具备启动会议可自动跳过首页直接进入功能页面需具备拖拽快捷浮窗按键，按键中包含：发起主讲、返回桌面、快捷批注、数据展板、视频会议、跟踪主讲、外部信号、会议标语功能按键，点击数据展 板后可直接打开外部信息，方便查阅；点击视频会议可在会议系统界面直接 启动第三方应用，点击会议标语后可控制大屏幕显示的会议标语。</w:t>
            </w:r>
          </w:p>
          <w:p w14:paraId="125B6E78">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color w:val="auto"/>
                <w:sz w:val="18"/>
                <w:szCs w:val="18"/>
                <w:highlight w:val="none"/>
                <w:lang w:val="en-US" w:eastAsia="zh-CN"/>
              </w:rPr>
            </w:pPr>
            <w:r>
              <w:rPr>
                <w:rFonts w:hint="eastAsia" w:ascii="宋体" w:hAnsi="宋体"/>
                <w:color w:val="auto"/>
                <w:sz w:val="18"/>
                <w:szCs w:val="18"/>
                <w:highlight w:val="none"/>
                <w:lang w:val="en-US" w:eastAsia="zh-CN"/>
              </w:rPr>
              <w:t>功能模块化：需具备软件功能模块按会议需求进行配置，不需要的功能软件会自动屏蔽，方便参会人员直接、简单操作软件功能，避免误操作。进入系统后功能页面需具备：进入系统后的功能页面与单位的会议议程表必需一模一样。功能页面中的：会议主题、会议信息、议题与议程、会议文件、备注信息 等都可以根据单位公文字体要求进行自定义设置，设置内容包括但不限于： 字体、字号、加粗与颜色等。具备跳过功能页面，参会人员从首页点击进入会议后可直接跳过功能页 面自动打开议题文件。</w:t>
            </w:r>
          </w:p>
          <w:p w14:paraId="73F6F987">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需具备议题界面仿公文设计功能，软件能设置会议信息与议题界面的字体，也可以编辑会议标题、每级议题、议题数量提示、议题文件名称的字体、颜色、字号等。同时具备会议套开，一次入会，同时召开多场会议。需具备文件与议题同名时点击议题可直接打开文件，减少二次操作；打开会议文件后，无需退出阅文界面就可以查看所有的会议资料，在各个议题与文件中直接切换打开。具备阅文界面干净整洁，不出现任何编辑、修改等功能。会议文件具备两种打开方式，上传的WPS文件与OFD公文格式文件具备自动转换成统一的阅文版式文件打开，也具备采用第三方办公软件打开。阅文版式文件具备一比一进行文件转换与显示，与原会议文件一样的字 体、间距、行距与大小，不改变。具备不少于七种阅文方式：长文件具备目录导航阅文；阅文时可添加收藏；阅文时可输入页码跳转；阅文时可上下翻页；阅文时可通过页码拖动快 速翻页；阅文时具备手势放大缩小；阅文时可通过滑动缩略图快速阅文。以上阅文是采用分屏操作，左边可以选择阅文方式，右边显示文件内容。汇报人具备帮助参会人员打开同一份会议文件</w:t>
            </w:r>
          </w:p>
          <w:p w14:paraId="0FB5E99F">
            <w:pPr>
              <w:keepNext w:val="0"/>
              <w:keepLines w:val="0"/>
              <w:pageBreakBefore w:val="0"/>
              <w:widowControl w:val="0"/>
              <w:numPr>
                <w:ilvl w:val="0"/>
                <w:numId w:val="17"/>
              </w:numPr>
              <w:kinsoku/>
              <w:wordWrap/>
              <w:overflowPunct/>
              <w:topLinePunct w:val="0"/>
              <w:autoSpaceDE/>
              <w:autoSpaceDN/>
              <w:bidi w:val="0"/>
              <w:adjustRightInd/>
              <w:snapToGrid/>
              <w:spacing w:line="240" w:lineRule="auto"/>
              <w:ind w:left="0" w:leftChars="0" w:firstLine="0" w:firstLineChars="0"/>
              <w:textAlignment w:val="auto"/>
              <w:rPr>
                <w:rFonts w:ascii="宋体" w:hAnsi="宋体"/>
                <w:color w:val="auto"/>
                <w:sz w:val="18"/>
                <w:szCs w:val="18"/>
                <w:highlight w:val="none"/>
              </w:rPr>
            </w:pPr>
            <w:r>
              <w:rPr>
                <w:rFonts w:hint="eastAsia" w:ascii="宋体" w:hAnsi="宋体"/>
                <w:color w:val="auto"/>
                <w:sz w:val="18"/>
                <w:szCs w:val="18"/>
                <w:highlight w:val="none"/>
                <w:lang w:val="en-US" w:eastAsia="zh-CN"/>
              </w:rPr>
              <w:t>具备会议水印功能。可启动与关闭界面水印，终端参会人员进入会议后，系统默认将参会人员姓名、参会时间等信息隐性的显示在任何界面中。主席机支持自定义设置水印显示内容、显示大小、显示倾斜度、透明度、水印池槽内容，可一键设置同会议室设备水印显示效果。</w:t>
            </w:r>
          </w:p>
        </w:tc>
        <w:tc>
          <w:tcPr>
            <w:tcW w:w="486" w:type="dxa"/>
            <w:tcBorders>
              <w:top w:val="single" w:color="auto" w:sz="4" w:space="0"/>
              <w:left w:val="nil"/>
              <w:bottom w:val="single" w:color="auto" w:sz="4" w:space="0"/>
              <w:right w:val="single" w:color="auto" w:sz="4" w:space="0"/>
            </w:tcBorders>
            <w:shd w:val="clear" w:color="auto" w:fill="auto"/>
            <w:noWrap/>
            <w:vAlign w:val="center"/>
          </w:tcPr>
          <w:p w14:paraId="46544C5F">
            <w:pPr>
              <w:spacing w:line="240" w:lineRule="auto"/>
              <w:ind w:firstLine="0" w:firstLineChars="0"/>
              <w:rPr>
                <w:rFonts w:ascii="宋体" w:hAnsi="宋体"/>
                <w:color w:val="auto"/>
                <w:sz w:val="18"/>
                <w:szCs w:val="18"/>
                <w:highlight w:val="none"/>
              </w:rPr>
            </w:pPr>
            <w:r>
              <w:rPr>
                <w:rFonts w:hint="eastAsia" w:ascii="宋体" w:hAnsi="宋体"/>
                <w:color w:val="auto"/>
                <w:sz w:val="18"/>
                <w:szCs w:val="18"/>
                <w:highlight w:val="none"/>
              </w:rPr>
              <w:t>23</w:t>
            </w:r>
          </w:p>
        </w:tc>
        <w:tc>
          <w:tcPr>
            <w:tcW w:w="597" w:type="dxa"/>
            <w:tcBorders>
              <w:top w:val="single" w:color="auto" w:sz="4" w:space="0"/>
              <w:left w:val="nil"/>
              <w:bottom w:val="single" w:color="auto" w:sz="4" w:space="0"/>
              <w:right w:val="single" w:color="auto" w:sz="4" w:space="0"/>
            </w:tcBorders>
            <w:vAlign w:val="center"/>
          </w:tcPr>
          <w:p w14:paraId="4961658E">
            <w:pPr>
              <w:spacing w:line="240" w:lineRule="auto"/>
              <w:ind w:firstLine="0" w:firstLineChars="0"/>
              <w:jc w:val="center"/>
              <w:rPr>
                <w:rFonts w:ascii="宋体" w:hAnsi="宋体"/>
                <w:color w:val="auto"/>
                <w:sz w:val="18"/>
                <w:szCs w:val="18"/>
                <w:highlight w:val="none"/>
              </w:rPr>
            </w:pPr>
            <w:r>
              <w:rPr>
                <w:rFonts w:hint="eastAsia" w:ascii="宋体" w:hAnsi="宋体"/>
                <w:color w:val="auto"/>
                <w:sz w:val="18"/>
                <w:szCs w:val="18"/>
                <w:highlight w:val="none"/>
              </w:rPr>
              <w:t>套</w:t>
            </w:r>
          </w:p>
        </w:tc>
      </w:tr>
      <w:bookmarkEnd w:id="11"/>
    </w:tbl>
    <w:p w14:paraId="0B38D405">
      <w:pPr>
        <w:pStyle w:val="2"/>
        <w:numPr>
          <w:ilvl w:val="-1"/>
          <w:numId w:val="0"/>
        </w:numPr>
        <w:ind w:left="-142" w:firstLine="0"/>
        <w:rPr>
          <w:rFonts w:hint="eastAsia" w:ascii="宋体" w:hAnsi="宋体"/>
          <w:b w:val="0"/>
          <w:color w:val="auto"/>
          <w:kern w:val="2"/>
          <w:sz w:val="18"/>
          <w:szCs w:val="18"/>
          <w:highlight w:val="none"/>
        </w:rPr>
      </w:pPr>
      <w:bookmarkStart w:id="12" w:name="_Toc735954576"/>
      <w:bookmarkStart w:id="13" w:name="_Toc22727"/>
      <w:r>
        <w:rPr>
          <w:rFonts w:hint="eastAsia" w:ascii="宋体" w:hAnsi="宋体"/>
          <w:b w:val="0"/>
          <w:color w:val="auto"/>
          <w:kern w:val="2"/>
          <w:sz w:val="18"/>
          <w:szCs w:val="18"/>
          <w:highlight w:val="none"/>
          <w:lang w:eastAsia="zh-CN"/>
        </w:rPr>
        <w:t>针对</w:t>
      </w:r>
      <w:r>
        <w:rPr>
          <w:rFonts w:hint="eastAsia" w:ascii="宋体" w:hAnsi="宋体"/>
          <w:color w:val="auto"/>
          <w:sz w:val="18"/>
          <w:szCs w:val="18"/>
          <w:highlight w:val="none"/>
          <w:lang w:val="en-US" w:eastAsia="zh-CN"/>
        </w:rPr>
        <w:t>▲重要指标</w:t>
      </w:r>
      <w:r>
        <w:rPr>
          <w:rFonts w:hint="eastAsia" w:ascii="宋体" w:hAnsi="宋体"/>
          <w:b w:val="0"/>
          <w:color w:val="auto"/>
          <w:kern w:val="2"/>
          <w:sz w:val="18"/>
          <w:szCs w:val="18"/>
          <w:highlight w:val="none"/>
        </w:rPr>
        <w:t>需提供产品界面截图、产品彩页、产品说明书、产品白皮书或第三方检测机构出具的检测报告等证明材料</w:t>
      </w:r>
    </w:p>
    <w:p w14:paraId="28EFC3A6">
      <w:pPr>
        <w:pStyle w:val="2"/>
        <w:rPr>
          <w:color w:val="auto"/>
        </w:rPr>
      </w:pPr>
      <w:r>
        <w:rPr>
          <w:rFonts w:hint="eastAsia"/>
          <w:color w:val="auto"/>
        </w:rPr>
        <w:t>其他要求</w:t>
      </w:r>
      <w:bookmarkEnd w:id="12"/>
      <w:bookmarkEnd w:id="13"/>
    </w:p>
    <w:p w14:paraId="52B0EEF3">
      <w:pPr>
        <w:pStyle w:val="3"/>
        <w:rPr>
          <w:color w:val="auto"/>
        </w:rPr>
      </w:pPr>
      <w:bookmarkStart w:id="14" w:name="_Toc921470546"/>
      <w:bookmarkStart w:id="15" w:name="_Toc11341"/>
      <w:r>
        <w:rPr>
          <w:rFonts w:hint="eastAsia"/>
          <w:color w:val="auto"/>
          <w:lang w:val="en-US" w:eastAsia="zh-CN"/>
        </w:rPr>
        <w:t>工期及</w:t>
      </w:r>
      <w:r>
        <w:rPr>
          <w:rFonts w:hint="eastAsia"/>
          <w:color w:val="auto"/>
        </w:rPr>
        <w:t>验收</w:t>
      </w:r>
      <w:bookmarkEnd w:id="14"/>
      <w:bookmarkEnd w:id="15"/>
    </w:p>
    <w:p w14:paraId="4346855F">
      <w:pPr>
        <w:pStyle w:val="31"/>
        <w:numPr>
          <w:ilvl w:val="0"/>
          <w:numId w:val="18"/>
        </w:numPr>
        <w:rPr>
          <w:color w:val="auto"/>
        </w:rPr>
      </w:pPr>
      <w:r>
        <w:rPr>
          <w:rFonts w:hint="eastAsia"/>
          <w:color w:val="auto"/>
        </w:rPr>
        <w:t>合同签订后45天</w:t>
      </w:r>
      <w:r>
        <w:rPr>
          <w:rFonts w:hint="eastAsia"/>
          <w:color w:val="auto"/>
          <w:lang w:eastAsia="zh-CN"/>
        </w:rPr>
        <w:t>内</w:t>
      </w:r>
      <w:r>
        <w:rPr>
          <w:rFonts w:hint="eastAsia"/>
          <w:color w:val="auto"/>
        </w:rPr>
        <w:t>完成合同建设内容，包括</w:t>
      </w:r>
      <w:r>
        <w:rPr>
          <w:rFonts w:hint="eastAsia"/>
          <w:color w:val="auto"/>
          <w:lang w:val="en-US" w:eastAsia="zh-CN"/>
        </w:rPr>
        <w:t>10个日历天的</w:t>
      </w:r>
      <w:r>
        <w:rPr>
          <w:rFonts w:hint="eastAsia"/>
          <w:color w:val="auto"/>
        </w:rPr>
        <w:t>试运行；</w:t>
      </w:r>
    </w:p>
    <w:p w14:paraId="37D6E56F">
      <w:pPr>
        <w:pStyle w:val="31"/>
        <w:numPr>
          <w:ilvl w:val="0"/>
          <w:numId w:val="18"/>
        </w:numPr>
        <w:rPr>
          <w:color w:val="auto"/>
        </w:rPr>
      </w:pPr>
      <w:r>
        <w:rPr>
          <w:rFonts w:hint="eastAsia"/>
          <w:color w:val="auto"/>
        </w:rPr>
        <w:t>工程项目的所有技术文档、图纸经过审核，符合规范要求；</w:t>
      </w:r>
    </w:p>
    <w:p w14:paraId="102FA3D1">
      <w:pPr>
        <w:pStyle w:val="31"/>
        <w:numPr>
          <w:ilvl w:val="0"/>
          <w:numId w:val="18"/>
        </w:numPr>
        <w:rPr>
          <w:color w:val="auto"/>
        </w:rPr>
      </w:pPr>
      <w:r>
        <w:rPr>
          <w:rFonts w:hint="eastAsia"/>
          <w:color w:val="auto"/>
        </w:rPr>
        <w:t>试运行完成后，提请甲方验收；</w:t>
      </w:r>
    </w:p>
    <w:p w14:paraId="5784C814">
      <w:pPr>
        <w:pStyle w:val="31"/>
        <w:numPr>
          <w:ilvl w:val="0"/>
          <w:numId w:val="18"/>
        </w:numPr>
        <w:rPr>
          <w:color w:val="auto"/>
        </w:rPr>
      </w:pPr>
      <w:r>
        <w:rPr>
          <w:rFonts w:hint="eastAsia" w:ascii="宋体" w:hAnsi="宋体" w:cs="宋体"/>
          <w:color w:val="auto"/>
        </w:rPr>
        <w:t>竣工时需要提交完整的竣工资料，包括但不限于：系统调试方案、自检报告、试运行记录、系统检测记录表、</w:t>
      </w:r>
      <w:r>
        <w:rPr>
          <w:rFonts w:hint="eastAsia" w:ascii="宋体" w:hAnsi="宋体" w:cs="宋体"/>
          <w:color w:val="auto"/>
          <w:lang w:val="en-US" w:eastAsia="zh-CN"/>
        </w:rPr>
        <w:t>培训方案、</w:t>
      </w:r>
      <w:r>
        <w:rPr>
          <w:rFonts w:hint="eastAsia" w:ascii="宋体" w:hAnsi="宋体" w:cs="宋体"/>
          <w:color w:val="auto"/>
        </w:rPr>
        <w:t>系统操作说明书等</w:t>
      </w:r>
    </w:p>
    <w:p w14:paraId="52C53701">
      <w:pPr>
        <w:pStyle w:val="3"/>
        <w:rPr>
          <w:color w:val="auto"/>
        </w:rPr>
      </w:pPr>
      <w:bookmarkStart w:id="16" w:name="_Toc31562"/>
      <w:bookmarkStart w:id="17" w:name="_Toc1091113726"/>
      <w:r>
        <w:rPr>
          <w:rFonts w:hint="eastAsia"/>
          <w:color w:val="auto"/>
        </w:rPr>
        <w:t>服务要求</w:t>
      </w:r>
      <w:bookmarkEnd w:id="16"/>
      <w:bookmarkEnd w:id="17"/>
    </w:p>
    <w:p w14:paraId="03FD0507">
      <w:pPr>
        <w:pStyle w:val="31"/>
        <w:numPr>
          <w:ilvl w:val="0"/>
          <w:numId w:val="19"/>
        </w:numPr>
        <w:rPr>
          <w:color w:val="auto"/>
        </w:rPr>
      </w:pPr>
      <w:r>
        <w:rPr>
          <w:rFonts w:hint="eastAsia"/>
          <w:color w:val="auto"/>
        </w:rPr>
        <w:t>项目提供3年质保和免费运维服务，保修日期从系统验收之日起开始计算。</w:t>
      </w:r>
    </w:p>
    <w:p w14:paraId="3E2FD0D9">
      <w:pPr>
        <w:pStyle w:val="31"/>
        <w:numPr>
          <w:ilvl w:val="0"/>
          <w:numId w:val="19"/>
        </w:numPr>
        <w:rPr>
          <w:color w:val="auto"/>
        </w:rPr>
      </w:pPr>
      <w:r>
        <w:rPr>
          <w:rFonts w:hint="eastAsia"/>
          <w:color w:val="auto"/>
        </w:rPr>
        <w:t>投标人</w:t>
      </w:r>
      <w:r>
        <w:rPr>
          <w:rFonts w:hint="eastAsia"/>
          <w:color w:val="auto"/>
          <w:lang w:eastAsia="zh-CN"/>
        </w:rPr>
        <w:t>需</w:t>
      </w:r>
      <w:r>
        <w:rPr>
          <w:rFonts w:hint="eastAsia"/>
          <w:color w:val="auto"/>
        </w:rPr>
        <w:t>具有较强的系统集成能力，能够就系统集成，安装调试配备现场技术服务团队。</w:t>
      </w:r>
    </w:p>
    <w:p w14:paraId="08193F78">
      <w:pPr>
        <w:pStyle w:val="31"/>
        <w:numPr>
          <w:ilvl w:val="0"/>
          <w:numId w:val="19"/>
        </w:numPr>
        <w:rPr>
          <w:color w:val="auto"/>
        </w:rPr>
      </w:pPr>
      <w:r>
        <w:rPr>
          <w:rFonts w:hint="eastAsia"/>
          <w:color w:val="auto"/>
        </w:rPr>
        <w:t>投标人需在项目所在地设有服务机构履行售后服务义务，提供7×24电话指导支持。</w:t>
      </w:r>
    </w:p>
    <w:p w14:paraId="001E6B88">
      <w:pPr>
        <w:pStyle w:val="31"/>
        <w:numPr>
          <w:ilvl w:val="0"/>
          <w:numId w:val="19"/>
        </w:numPr>
        <w:rPr>
          <w:color w:val="auto"/>
        </w:rPr>
      </w:pPr>
      <w:r>
        <w:rPr>
          <w:rFonts w:hint="eastAsia"/>
          <w:color w:val="auto"/>
        </w:rPr>
        <w:t>非工作时间0.5小时响应，工作时间在15分钟内响应，1小时内到达故障现场进行抢修，在3小时内修复故障；若属于硬件故障，应在24小时内修复，不能立即修复的提供备品备件应急使用。</w:t>
      </w:r>
    </w:p>
    <w:p w14:paraId="3B7FEF25">
      <w:pPr>
        <w:keepNext w:val="0"/>
        <w:keepLines w:val="0"/>
        <w:widowControl/>
        <w:numPr>
          <w:ilvl w:val="0"/>
          <w:numId w:val="19"/>
        </w:numPr>
        <w:suppressLineNumbers w:val="0"/>
        <w:ind w:left="845" w:hanging="425" w:firstLineChars="0"/>
        <w:jc w:val="left"/>
        <w:rPr>
          <w:rFonts w:hint="eastAsia" w:hAnsi="宋体"/>
          <w:color w:val="auto"/>
        </w:rPr>
      </w:pPr>
      <w:r>
        <w:rPr>
          <w:rFonts w:hint="eastAsia"/>
          <w:color w:val="auto"/>
          <w:lang w:val="en-US" w:eastAsia="zh-CN"/>
        </w:rPr>
        <w:t xml:space="preserve"> </w:t>
      </w:r>
      <w:r>
        <w:rPr>
          <w:rFonts w:hint="eastAsia"/>
          <w:color w:val="auto"/>
        </w:rPr>
        <w:t>提供系统的技术培训、系统扩充、升级方面的技术支持服务。</w:t>
      </w:r>
    </w:p>
    <w:p w14:paraId="40E086C3">
      <w:pPr>
        <w:widowControl/>
        <w:numPr>
          <w:ilvl w:val="0"/>
          <w:numId w:val="19"/>
        </w:numPr>
        <w:spacing w:line="360" w:lineRule="auto"/>
        <w:ind w:left="845" w:hanging="425" w:firstLineChars="0"/>
        <w:jc w:val="left"/>
        <w:rPr>
          <w:rFonts w:ascii="宋体" w:hAnsi="宋体" w:eastAsia="宋体"/>
          <w:sz w:val="24"/>
        </w:rPr>
      </w:pPr>
      <w:r>
        <w:rPr>
          <w:rFonts w:hint="eastAsia" w:ascii="宋体" w:hAnsi="宋体" w:eastAsia="宋体"/>
          <w:sz w:val="24"/>
        </w:rPr>
        <w:t>供应商需具有稳定的在职技术保障力量，能够提供及时的技术支援或服务，应针对本项目提供不少于10人的项目服务团队(包括项目经理、系统集成人员、实施人员等)，投标单位的相关服务人员需具备相应的服务能力，需提供相关证明。</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277"/>
        <w:gridCol w:w="2294"/>
        <w:gridCol w:w="1543"/>
      </w:tblGrid>
      <w:tr w14:paraId="3D3E8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0FF11754">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角色</w:t>
            </w:r>
          </w:p>
        </w:tc>
        <w:tc>
          <w:tcPr>
            <w:tcW w:w="999" w:type="pct"/>
            <w:vAlign w:val="center"/>
          </w:tcPr>
          <w:p w14:paraId="71D0B736">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主要职责</w:t>
            </w:r>
          </w:p>
        </w:tc>
        <w:tc>
          <w:tcPr>
            <w:tcW w:w="749" w:type="pct"/>
            <w:vAlign w:val="center"/>
          </w:tcPr>
          <w:p w14:paraId="5F39B23D">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人员数量</w:t>
            </w:r>
          </w:p>
        </w:tc>
        <w:tc>
          <w:tcPr>
            <w:tcW w:w="1345" w:type="pct"/>
            <w:vAlign w:val="center"/>
          </w:tcPr>
          <w:p w14:paraId="7074FA06">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人员要求</w:t>
            </w:r>
          </w:p>
        </w:tc>
        <w:tc>
          <w:tcPr>
            <w:tcW w:w="905" w:type="pct"/>
            <w:vAlign w:val="center"/>
          </w:tcPr>
          <w:p w14:paraId="0718C294">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驻场要求</w:t>
            </w:r>
          </w:p>
        </w:tc>
      </w:tr>
      <w:tr w14:paraId="63EC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0D7BAE45">
            <w:pPr>
              <w:pStyle w:val="31"/>
              <w:numPr>
                <w:ilvl w:val="-1"/>
                <w:numId w:val="0"/>
              </w:numPr>
              <w:adjustRightInd w:val="0"/>
              <w:snapToGrid w:val="0"/>
              <w:spacing w:after="0" w:line="240" w:lineRule="auto"/>
              <w:ind w:left="0"/>
              <w:contextualSpacing w:val="0"/>
              <w:jc w:val="both"/>
              <w:rPr>
                <w:rFonts w:hint="eastAsia" w:ascii="宋体" w:hAnsi="宋体" w:eastAsia="宋体"/>
                <w:sz w:val="24"/>
                <w:lang w:eastAsia="zh-CN"/>
              </w:rPr>
            </w:pPr>
            <w:r>
              <w:rPr>
                <w:rFonts w:ascii="宋体" w:hAnsi="宋体" w:eastAsia="宋体"/>
                <w:sz w:val="24"/>
              </w:rPr>
              <w:t>项目</w:t>
            </w:r>
            <w:r>
              <w:rPr>
                <w:rFonts w:hint="eastAsia" w:ascii="宋体"/>
                <w:sz w:val="24"/>
                <w:lang w:eastAsia="zh-CN"/>
              </w:rPr>
              <w:t>负责人</w:t>
            </w:r>
            <w:bookmarkStart w:id="24" w:name="_GoBack"/>
            <w:bookmarkEnd w:id="24"/>
          </w:p>
        </w:tc>
        <w:tc>
          <w:tcPr>
            <w:tcW w:w="999" w:type="pct"/>
            <w:vAlign w:val="center"/>
          </w:tcPr>
          <w:p w14:paraId="462D7B67">
            <w:pPr>
              <w:adjustRightInd w:val="0"/>
              <w:snapToGrid w:val="0"/>
              <w:spacing w:after="0" w:line="240" w:lineRule="auto"/>
              <w:ind w:firstLine="0" w:firstLineChars="0"/>
              <w:jc w:val="both"/>
              <w:rPr>
                <w:rFonts w:hint="eastAsia" w:ascii="宋体" w:hAnsi="宋体" w:eastAsia="宋体"/>
                <w:sz w:val="24"/>
              </w:rPr>
            </w:pPr>
            <w:r>
              <w:rPr>
                <w:rFonts w:hint="eastAsia" w:ascii="宋体" w:hAnsi="宋体" w:eastAsia="宋体"/>
                <w:sz w:val="24"/>
              </w:rPr>
              <w:t>负责整体项目质量和进度控制</w:t>
            </w:r>
          </w:p>
        </w:tc>
        <w:tc>
          <w:tcPr>
            <w:tcW w:w="749" w:type="pct"/>
            <w:vAlign w:val="center"/>
          </w:tcPr>
          <w:p w14:paraId="65FC980E">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1人</w:t>
            </w:r>
          </w:p>
        </w:tc>
        <w:tc>
          <w:tcPr>
            <w:tcW w:w="1345" w:type="pct"/>
            <w:vAlign w:val="center"/>
          </w:tcPr>
          <w:p w14:paraId="4D236D5A">
            <w:pPr>
              <w:adjustRightInd w:val="0"/>
              <w:snapToGrid w:val="0"/>
              <w:spacing w:after="0" w:line="240" w:lineRule="auto"/>
              <w:ind w:firstLine="0" w:firstLineChars="0"/>
              <w:jc w:val="both"/>
              <w:rPr>
                <w:rFonts w:hint="eastAsia" w:ascii="宋体" w:hAnsi="宋体" w:eastAsia="宋体"/>
                <w:sz w:val="24"/>
                <w:lang w:eastAsia="zh-CN"/>
              </w:rPr>
            </w:pPr>
            <w:r>
              <w:rPr>
                <w:rFonts w:hint="eastAsia" w:ascii="宋体" w:hAnsi="宋体"/>
                <w:sz w:val="24"/>
                <w:lang w:eastAsia="zh-CN"/>
              </w:rPr>
              <w:t>需</w:t>
            </w:r>
            <w:r>
              <w:rPr>
                <w:rFonts w:hint="eastAsia" w:ascii="宋体" w:hAnsi="宋体" w:eastAsia="宋体"/>
                <w:sz w:val="24"/>
              </w:rPr>
              <w:t>具有全日制本科及以上学历且具有</w:t>
            </w:r>
            <w:r>
              <w:rPr>
                <w:rFonts w:hint="eastAsia" w:ascii="宋体" w:hAnsi="宋体"/>
                <w:sz w:val="24"/>
                <w:lang w:eastAsia="zh-CN"/>
              </w:rPr>
              <w:t>不少于</w:t>
            </w:r>
            <w:r>
              <w:rPr>
                <w:rFonts w:hint="eastAsia" w:ascii="宋体" w:hAnsi="宋体"/>
                <w:sz w:val="24"/>
                <w:lang w:val="en-US" w:eastAsia="zh-CN"/>
              </w:rPr>
              <w:t>10年的行业工作经验、担任过类似项目的项目经理，拥有</w:t>
            </w:r>
            <w:r>
              <w:rPr>
                <w:rFonts w:hint="eastAsia"/>
              </w:rPr>
              <w:t>高级工程师职称、高级信息系统项目管理师证书</w:t>
            </w:r>
            <w:r>
              <w:rPr>
                <w:rFonts w:hint="eastAsia"/>
                <w:lang w:eastAsia="zh-CN"/>
              </w:rPr>
              <w:t>的优先考虑</w:t>
            </w:r>
          </w:p>
        </w:tc>
        <w:tc>
          <w:tcPr>
            <w:tcW w:w="905" w:type="pct"/>
            <w:vAlign w:val="center"/>
          </w:tcPr>
          <w:p w14:paraId="37734B82">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不驻场</w:t>
            </w:r>
          </w:p>
        </w:tc>
      </w:tr>
      <w:tr w14:paraId="1132B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2C43088D">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系统集成人员</w:t>
            </w:r>
          </w:p>
        </w:tc>
        <w:tc>
          <w:tcPr>
            <w:tcW w:w="999" w:type="pct"/>
            <w:vAlign w:val="center"/>
          </w:tcPr>
          <w:p w14:paraId="5586AA66">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系统集成</w:t>
            </w:r>
          </w:p>
        </w:tc>
        <w:tc>
          <w:tcPr>
            <w:tcW w:w="749" w:type="pct"/>
            <w:vAlign w:val="center"/>
          </w:tcPr>
          <w:p w14:paraId="361CD9D9">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2人</w:t>
            </w:r>
          </w:p>
        </w:tc>
        <w:tc>
          <w:tcPr>
            <w:tcW w:w="1345" w:type="pct"/>
            <w:vAlign w:val="center"/>
          </w:tcPr>
          <w:p w14:paraId="1A6363A4">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具有系统集成项目管理工程师证书的优先考虑</w:t>
            </w:r>
          </w:p>
        </w:tc>
        <w:tc>
          <w:tcPr>
            <w:tcW w:w="905" w:type="pct"/>
            <w:vAlign w:val="center"/>
          </w:tcPr>
          <w:p w14:paraId="73A1202A">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不驻场</w:t>
            </w:r>
          </w:p>
        </w:tc>
      </w:tr>
      <w:tr w14:paraId="2A861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226DAC31">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ascii="宋体" w:hAnsi="宋体" w:eastAsia="宋体"/>
                <w:sz w:val="24"/>
              </w:rPr>
              <w:t>实施人员</w:t>
            </w:r>
          </w:p>
        </w:tc>
        <w:tc>
          <w:tcPr>
            <w:tcW w:w="999" w:type="pct"/>
            <w:vAlign w:val="center"/>
          </w:tcPr>
          <w:p w14:paraId="3288C998">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负责项目具体开发与实施</w:t>
            </w:r>
          </w:p>
        </w:tc>
        <w:tc>
          <w:tcPr>
            <w:tcW w:w="749" w:type="pct"/>
            <w:vAlign w:val="center"/>
          </w:tcPr>
          <w:p w14:paraId="05C0AC26">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2人</w:t>
            </w:r>
          </w:p>
        </w:tc>
        <w:tc>
          <w:tcPr>
            <w:tcW w:w="1345" w:type="pct"/>
            <w:vAlign w:val="center"/>
          </w:tcPr>
          <w:p w14:paraId="04A21D22">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具有相关项目实施经验</w:t>
            </w:r>
          </w:p>
        </w:tc>
        <w:tc>
          <w:tcPr>
            <w:tcW w:w="905" w:type="pct"/>
            <w:vAlign w:val="center"/>
          </w:tcPr>
          <w:p w14:paraId="3B6D21B4">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不驻场</w:t>
            </w:r>
          </w:p>
        </w:tc>
      </w:tr>
      <w:tr w14:paraId="4A561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9" w:type="pct"/>
            <w:vAlign w:val="center"/>
          </w:tcPr>
          <w:p w14:paraId="72A46BCD">
            <w:pPr>
              <w:pStyle w:val="31"/>
              <w:numPr>
                <w:ilvl w:val="-1"/>
                <w:numId w:val="0"/>
              </w:numPr>
              <w:adjustRightInd w:val="0"/>
              <w:snapToGrid w:val="0"/>
              <w:spacing w:after="0" w:line="240" w:lineRule="auto"/>
              <w:ind w:left="0"/>
              <w:contextualSpacing w:val="0"/>
              <w:jc w:val="both"/>
              <w:rPr>
                <w:rFonts w:ascii="宋体" w:hAnsi="宋体" w:eastAsia="宋体"/>
                <w:sz w:val="24"/>
              </w:rPr>
            </w:pPr>
            <w:r>
              <w:rPr>
                <w:rFonts w:hint="eastAsia" w:ascii="宋体" w:hAnsi="宋体" w:eastAsia="宋体"/>
                <w:sz w:val="24"/>
              </w:rPr>
              <w:t>其他人员</w:t>
            </w:r>
          </w:p>
        </w:tc>
        <w:tc>
          <w:tcPr>
            <w:tcW w:w="999" w:type="pct"/>
            <w:vAlign w:val="center"/>
          </w:tcPr>
          <w:p w14:paraId="2A3BE233">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负责项目实施过程的规范和安全</w:t>
            </w:r>
          </w:p>
        </w:tc>
        <w:tc>
          <w:tcPr>
            <w:tcW w:w="749" w:type="pct"/>
            <w:vAlign w:val="center"/>
          </w:tcPr>
          <w:p w14:paraId="555A626C">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5人</w:t>
            </w:r>
          </w:p>
        </w:tc>
        <w:tc>
          <w:tcPr>
            <w:tcW w:w="1345" w:type="pct"/>
            <w:vAlign w:val="center"/>
          </w:tcPr>
          <w:p w14:paraId="33D79538">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具有</w:t>
            </w:r>
            <w:r>
              <w:rPr>
                <w:rFonts w:ascii="宋体" w:hAnsi="宋体" w:eastAsia="宋体"/>
                <w:sz w:val="24"/>
              </w:rPr>
              <w:t>资料员、材料员、安全员、造价师、信息安全工程师</w:t>
            </w:r>
            <w:r>
              <w:rPr>
                <w:rFonts w:hint="eastAsia" w:ascii="宋体" w:hAnsi="宋体" w:eastAsia="宋体"/>
                <w:sz w:val="24"/>
              </w:rPr>
              <w:t>相关证书的优先考虑</w:t>
            </w:r>
          </w:p>
        </w:tc>
        <w:tc>
          <w:tcPr>
            <w:tcW w:w="905" w:type="pct"/>
            <w:vAlign w:val="center"/>
          </w:tcPr>
          <w:p w14:paraId="4BB3AC24">
            <w:pPr>
              <w:pStyle w:val="31"/>
              <w:numPr>
                <w:ilvl w:val="-1"/>
                <w:numId w:val="0"/>
              </w:numPr>
              <w:adjustRightInd w:val="0"/>
              <w:snapToGrid w:val="0"/>
              <w:spacing w:after="0" w:line="240" w:lineRule="auto"/>
              <w:ind w:left="0"/>
              <w:contextualSpacing w:val="0"/>
              <w:jc w:val="both"/>
              <w:rPr>
                <w:rFonts w:hint="eastAsia" w:ascii="宋体" w:hAnsi="宋体" w:eastAsia="宋体"/>
                <w:sz w:val="24"/>
              </w:rPr>
            </w:pPr>
            <w:r>
              <w:rPr>
                <w:rFonts w:hint="eastAsia" w:ascii="宋体" w:hAnsi="宋体" w:eastAsia="宋体"/>
                <w:sz w:val="24"/>
              </w:rPr>
              <w:t>不驻场</w:t>
            </w:r>
          </w:p>
        </w:tc>
      </w:tr>
    </w:tbl>
    <w:p w14:paraId="76DDDE31">
      <w:pPr>
        <w:pStyle w:val="31"/>
        <w:numPr>
          <w:ilvl w:val="-1"/>
          <w:numId w:val="0"/>
        </w:numPr>
        <w:spacing w:line="360" w:lineRule="auto"/>
        <w:ind w:left="360"/>
        <w:rPr>
          <w:rFonts w:hint="eastAsia" w:ascii="宋体" w:hAnsi="宋体" w:eastAsia="宋体"/>
          <w:sz w:val="24"/>
        </w:rPr>
      </w:pPr>
    </w:p>
    <w:p w14:paraId="52FB8DC8">
      <w:pPr>
        <w:pStyle w:val="31"/>
        <w:numPr>
          <w:ilvl w:val="0"/>
          <w:numId w:val="20"/>
        </w:numPr>
        <w:spacing w:line="360" w:lineRule="auto"/>
        <w:rPr>
          <w:rFonts w:hint="eastAsia" w:ascii="宋体" w:hAnsi="宋体" w:eastAsia="宋体"/>
          <w:sz w:val="24"/>
        </w:rPr>
      </w:pPr>
      <w:r>
        <w:rPr>
          <w:rFonts w:ascii="宋体" w:hAnsi="宋体" w:eastAsia="宋体"/>
          <w:sz w:val="24"/>
        </w:rPr>
        <w:t>投标人应针对本项目提供不少</w:t>
      </w:r>
      <w:r>
        <w:rPr>
          <w:rFonts w:hint="eastAsia" w:ascii="宋体" w:hAnsi="宋体" w:eastAsia="宋体"/>
          <w:sz w:val="24"/>
        </w:rPr>
        <w:t>3</w:t>
      </w:r>
      <w:r>
        <w:rPr>
          <w:rFonts w:ascii="宋体" w:hAnsi="宋体" w:eastAsia="宋体"/>
          <w:sz w:val="24"/>
        </w:rPr>
        <w:t>人的质保期间支撑团队(其中项目经理</w:t>
      </w:r>
      <w:r>
        <w:rPr>
          <w:rFonts w:hint="eastAsia" w:ascii="宋体" w:hAnsi="宋体" w:eastAsia="宋体"/>
          <w:sz w:val="24"/>
        </w:rPr>
        <w:t>1</w:t>
      </w:r>
      <w:r>
        <w:rPr>
          <w:rFonts w:ascii="宋体" w:hAnsi="宋体" w:eastAsia="宋体"/>
          <w:sz w:val="24"/>
        </w:rPr>
        <w:t>人，</w:t>
      </w:r>
      <w:r>
        <w:rPr>
          <w:rFonts w:hint="eastAsia" w:ascii="宋体"/>
          <w:sz w:val="24"/>
          <w:lang w:eastAsia="zh-CN"/>
        </w:rPr>
        <w:t>实施</w:t>
      </w:r>
      <w:r>
        <w:rPr>
          <w:rFonts w:ascii="宋体" w:hAnsi="宋体" w:eastAsia="宋体"/>
          <w:sz w:val="24"/>
        </w:rPr>
        <w:t>工程师不少于</w:t>
      </w:r>
      <w:r>
        <w:rPr>
          <w:rFonts w:hint="eastAsia" w:ascii="宋体" w:hAnsi="宋体" w:eastAsia="宋体"/>
          <w:sz w:val="24"/>
        </w:rPr>
        <w:t>2</w:t>
      </w:r>
      <w:r>
        <w:rPr>
          <w:rFonts w:ascii="宋体" w:hAnsi="宋体" w:eastAsia="宋体"/>
          <w:sz w:val="24"/>
        </w:rPr>
        <w:t>人)</w:t>
      </w:r>
      <w:r>
        <w:rPr>
          <w:rFonts w:hint="eastAsia" w:ascii="宋体" w:hAnsi="宋体" w:eastAsia="宋体"/>
          <w:sz w:val="24"/>
        </w:rPr>
        <w:t>；</w:t>
      </w:r>
    </w:p>
    <w:p w14:paraId="1535C778">
      <w:pPr>
        <w:keepNext w:val="0"/>
        <w:keepLines w:val="0"/>
        <w:widowControl/>
        <w:numPr>
          <w:ilvl w:val="-1"/>
          <w:numId w:val="0"/>
        </w:numPr>
        <w:suppressLineNumbers w:val="0"/>
        <w:ind w:firstLine="0" w:firstLineChars="0"/>
        <w:jc w:val="left"/>
        <w:rPr>
          <w:rFonts w:hint="eastAsia" w:hAnsi="宋体"/>
          <w:color w:val="auto"/>
        </w:rPr>
      </w:pPr>
    </w:p>
    <w:p w14:paraId="1CA30FC9">
      <w:pPr>
        <w:pStyle w:val="31"/>
        <w:numPr>
          <w:ilvl w:val="-1"/>
          <w:numId w:val="0"/>
        </w:numPr>
        <w:ind w:left="420" w:firstLine="0"/>
        <w:rPr>
          <w:color w:val="auto"/>
        </w:rPr>
      </w:pPr>
    </w:p>
    <w:p w14:paraId="677A8CDB">
      <w:pPr>
        <w:pStyle w:val="3"/>
        <w:rPr>
          <w:color w:val="auto"/>
        </w:rPr>
      </w:pPr>
      <w:bookmarkStart w:id="18" w:name="_Toc18332"/>
      <w:bookmarkStart w:id="19" w:name="_Toc616854514"/>
      <w:r>
        <w:rPr>
          <w:rFonts w:hint="eastAsia"/>
          <w:color w:val="auto"/>
        </w:rPr>
        <w:t>知识产权要求</w:t>
      </w:r>
      <w:bookmarkEnd w:id="18"/>
      <w:bookmarkEnd w:id="19"/>
    </w:p>
    <w:p w14:paraId="00167CB5">
      <w:pPr>
        <w:pStyle w:val="29"/>
        <w:spacing w:beforeLines="0" w:afterLines="0"/>
        <w:ind w:firstLine="480"/>
        <w:rPr>
          <w:rFonts w:ascii="宋体" w:hAnsi="宋体" w:cs="宋体"/>
          <w:color w:val="auto"/>
        </w:rPr>
      </w:pPr>
      <w:r>
        <w:rPr>
          <w:rFonts w:hint="eastAsia" w:ascii="宋体" w:hAnsi="宋体" w:cs="宋体"/>
          <w:color w:val="auto"/>
        </w:rPr>
        <w:t>投标人应保证在本项目中使用的投标货物、技术、工程、服务或其任何一部分，均不会产生因第三方提出侵犯其专利权、商标权或其它知识产权而引起的法律和经济纠纷，若有纠纷，由投标人承担全部责任。如投标人不拥有相应的知识产权，则在投标价中应包括合法获取该知识产权的相关费用。</w:t>
      </w:r>
    </w:p>
    <w:p w14:paraId="02E20696">
      <w:pPr>
        <w:pStyle w:val="29"/>
        <w:spacing w:beforeLines="0" w:afterLines="0"/>
        <w:ind w:firstLine="480"/>
        <w:rPr>
          <w:rFonts w:ascii="宋体" w:hAnsi="宋体" w:cs="宋体"/>
          <w:color w:val="auto"/>
        </w:rPr>
      </w:pPr>
      <w:r>
        <w:rPr>
          <w:rFonts w:hint="eastAsia" w:ascii="宋体" w:hAnsi="宋体" w:cs="宋体"/>
          <w:color w:val="auto"/>
        </w:rPr>
        <w:t>除了投标方在投标书中明确知识产权权属的产品外，所有应用软件开发，包括二次开发的成果应归用户单位所有，其知识产权由用户单位和开发商共同享有。</w:t>
      </w:r>
    </w:p>
    <w:p w14:paraId="17BC3A55">
      <w:pPr>
        <w:pStyle w:val="3"/>
        <w:rPr>
          <w:color w:val="auto"/>
        </w:rPr>
      </w:pPr>
      <w:bookmarkStart w:id="20" w:name="_Toc13561"/>
      <w:bookmarkStart w:id="21" w:name="_Toc1003979322"/>
      <w:r>
        <w:rPr>
          <w:rFonts w:hint="eastAsia"/>
          <w:color w:val="auto"/>
        </w:rPr>
        <w:t>安全保密要求</w:t>
      </w:r>
      <w:bookmarkEnd w:id="20"/>
      <w:bookmarkEnd w:id="21"/>
    </w:p>
    <w:p w14:paraId="51A56AF5">
      <w:pPr>
        <w:pStyle w:val="29"/>
        <w:numPr>
          <w:ilvl w:val="0"/>
          <w:numId w:val="21"/>
        </w:numPr>
        <w:spacing w:beforeLines="0" w:afterLines="0"/>
        <w:ind w:firstLineChars="0"/>
        <w:rPr>
          <w:rFonts w:ascii="宋体" w:hAnsi="宋体" w:cs="宋体"/>
          <w:color w:val="auto"/>
        </w:rPr>
      </w:pPr>
      <w:r>
        <w:rPr>
          <w:rFonts w:hint="eastAsia" w:ascii="宋体" w:hAnsi="宋体" w:cs="宋体"/>
          <w:color w:val="auto"/>
        </w:rPr>
        <w:t>投标人在参与本项目投标以及中标后的实施过程中，均应遵守国家保密法律、法规和规章制度。</w:t>
      </w:r>
    </w:p>
    <w:p w14:paraId="1580E732">
      <w:pPr>
        <w:pStyle w:val="29"/>
        <w:numPr>
          <w:ilvl w:val="0"/>
          <w:numId w:val="21"/>
        </w:numPr>
        <w:spacing w:beforeLines="0" w:afterLines="0"/>
        <w:ind w:firstLineChars="0"/>
        <w:rPr>
          <w:rFonts w:ascii="宋体" w:hAnsi="宋体" w:cs="宋体"/>
          <w:color w:val="auto"/>
        </w:rPr>
      </w:pPr>
      <w:r>
        <w:rPr>
          <w:rFonts w:hint="eastAsia" w:ascii="宋体" w:hAnsi="宋体" w:cs="宋体"/>
          <w:color w:val="auto"/>
        </w:rPr>
        <w:t>投标人应妥善保管本项目投标以及中标建设过程中的所有技术文档，保证不被不应获取者获取，保证未经用户方同意不以任何方式泄露其内容。</w:t>
      </w:r>
    </w:p>
    <w:p w14:paraId="5764BCE9">
      <w:pPr>
        <w:pStyle w:val="2"/>
        <w:rPr>
          <w:color w:val="auto"/>
        </w:rPr>
      </w:pPr>
      <w:bookmarkStart w:id="22" w:name="_Toc15194"/>
      <w:bookmarkStart w:id="23" w:name="_Toc26634046"/>
      <w:r>
        <w:rPr>
          <w:rFonts w:hint="eastAsia"/>
          <w:color w:val="auto"/>
        </w:rPr>
        <w:t>工程范围</w:t>
      </w:r>
      <w:bookmarkEnd w:id="22"/>
      <w:bookmarkEnd w:id="23"/>
    </w:p>
    <w:p w14:paraId="783C638D">
      <w:pPr>
        <w:pStyle w:val="29"/>
        <w:spacing w:beforeLines="0" w:afterLines="0"/>
        <w:ind w:firstLine="480"/>
        <w:rPr>
          <w:rFonts w:ascii="宋体" w:hAnsi="宋体" w:cs="宋体"/>
          <w:color w:val="auto"/>
          <w:sz w:val="22"/>
          <w:szCs w:val="22"/>
        </w:rPr>
      </w:pPr>
      <w:r>
        <w:rPr>
          <w:rFonts w:hint="eastAsia" w:ascii="宋体" w:hAnsi="宋体" w:cs="宋体"/>
          <w:color w:val="auto"/>
          <w:sz w:val="22"/>
          <w:szCs w:val="22"/>
        </w:rPr>
        <w:t>本项目中标单位需要负责项目范围内各系统的深化设计、材料设备采购、试验、加工制作、保管、运输、安装、测试、清洁、产品保护、系统集成、配合验收、保修、培训、售后服务等工作，具体包括以下内容：</w:t>
      </w:r>
    </w:p>
    <w:p w14:paraId="322BFACB">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负责本次招标范围内各子系统的深化设计、采购、施工安装、工程协调管理等所有内容</w:t>
      </w:r>
      <w:r>
        <w:rPr>
          <w:rFonts w:hint="eastAsia" w:ascii="宋体" w:hAnsi="宋体" w:cs="宋体"/>
          <w:color w:val="auto"/>
          <w:sz w:val="22"/>
          <w:szCs w:val="22"/>
          <w:lang w:eastAsia="zh-CN"/>
        </w:rPr>
        <w:t>；</w:t>
      </w:r>
    </w:p>
    <w:p w14:paraId="397E2E9D">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负责系统的调试、试运行、竣工验收，并根据建设单位的要求完成本项目所需的整体联动调试等；</w:t>
      </w:r>
    </w:p>
    <w:p w14:paraId="6B4749CC">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负责系统的竣工资料的收集、编制和管理，提交各个子系统以及与相关专用软件系统的联动测试和调试报告、系统操作规程、系统维修或保养手册、用户操作手册等；</w:t>
      </w:r>
    </w:p>
    <w:p w14:paraId="67D99308">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根据国家相关规定、技术规范等提供院方系统设备的使用人员培训及后续维修保养服务；</w:t>
      </w:r>
    </w:p>
    <w:p w14:paraId="4A437481">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施工期间，接受建设单位及监理单位的监管；服从建设单位通过工作指令单、设计变更单下达的其它相关工作内容；</w:t>
      </w:r>
    </w:p>
    <w:p w14:paraId="4630AA3C">
      <w:pPr>
        <w:pStyle w:val="29"/>
        <w:numPr>
          <w:ilvl w:val="0"/>
          <w:numId w:val="22"/>
        </w:numPr>
        <w:spacing w:beforeLines="0" w:afterLines="0"/>
        <w:ind w:left="845" w:leftChars="0" w:firstLineChars="0"/>
        <w:rPr>
          <w:rFonts w:ascii="宋体" w:hAnsi="宋体" w:cs="宋体"/>
          <w:color w:val="auto"/>
          <w:sz w:val="22"/>
          <w:szCs w:val="22"/>
        </w:rPr>
      </w:pPr>
      <w:r>
        <w:rPr>
          <w:rFonts w:hint="eastAsia" w:ascii="宋体" w:hAnsi="宋体" w:cs="宋体"/>
          <w:color w:val="auto"/>
          <w:sz w:val="22"/>
          <w:szCs w:val="22"/>
        </w:rPr>
        <w:t>质保期对系统的运维保障。</w:t>
      </w:r>
    </w:p>
    <w:p w14:paraId="6B1D8569">
      <w:pPr>
        <w:pStyle w:val="60"/>
        <w:rPr>
          <w:color w:val="auto"/>
          <w:lang w:eastAsia="zh-CN"/>
        </w:rPr>
      </w:pPr>
    </w:p>
    <w:sectPr>
      <w:footerReference r:id="rId11"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Arial">
    <w:altName w:val="DejaVu Sans"/>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B955C">
    <w:pPr>
      <w:pStyle w:val="1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094F6">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86CB5">
    <w:pPr>
      <w:pStyle w:val="16"/>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5E7E1">
    <w:pPr>
      <w:pStyle w:val="16"/>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688D461">
                          <w:pPr>
                            <w:pStyle w:val="16"/>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688D461">
                    <w:pPr>
                      <w:pStyle w:val="16"/>
                      <w:ind w:firstLine="36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E078A">
    <w:pPr>
      <w:pStyle w:val="1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F2A08">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61D14">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03640"/>
    <w:multiLevelType w:val="singleLevel"/>
    <w:tmpl w:val="88A03640"/>
    <w:lvl w:ilvl="0" w:tentative="0">
      <w:start w:val="1"/>
      <w:numFmt w:val="decimal"/>
      <w:lvlText w:val="%1."/>
      <w:lvlJc w:val="left"/>
      <w:pPr>
        <w:ind w:left="425" w:hanging="425"/>
      </w:pPr>
      <w:rPr>
        <w:rFonts w:hint="default"/>
      </w:rPr>
    </w:lvl>
  </w:abstractNum>
  <w:abstractNum w:abstractNumId="1">
    <w:nsid w:val="926BBE05"/>
    <w:multiLevelType w:val="singleLevel"/>
    <w:tmpl w:val="926BBE05"/>
    <w:lvl w:ilvl="0" w:tentative="0">
      <w:start w:val="1"/>
      <w:numFmt w:val="decimal"/>
      <w:lvlText w:val="%1."/>
      <w:lvlJc w:val="left"/>
      <w:pPr>
        <w:tabs>
          <w:tab w:val="left" w:pos="420"/>
        </w:tabs>
        <w:ind w:left="845" w:hanging="425"/>
      </w:pPr>
      <w:rPr>
        <w:rFonts w:hint="default"/>
      </w:rPr>
    </w:lvl>
  </w:abstractNum>
  <w:abstractNum w:abstractNumId="2">
    <w:nsid w:val="9A301307"/>
    <w:multiLevelType w:val="singleLevel"/>
    <w:tmpl w:val="9A301307"/>
    <w:lvl w:ilvl="0" w:tentative="0">
      <w:start w:val="1"/>
      <w:numFmt w:val="decimal"/>
      <w:lvlText w:val="%1."/>
      <w:lvlJc w:val="left"/>
      <w:pPr>
        <w:tabs>
          <w:tab w:val="left" w:pos="420"/>
        </w:tabs>
        <w:ind w:left="845" w:hanging="425"/>
      </w:pPr>
      <w:rPr>
        <w:rFonts w:hint="default"/>
      </w:rPr>
    </w:lvl>
  </w:abstractNum>
  <w:abstractNum w:abstractNumId="3">
    <w:nsid w:val="9CA7B04C"/>
    <w:multiLevelType w:val="singleLevel"/>
    <w:tmpl w:val="9CA7B04C"/>
    <w:lvl w:ilvl="0" w:tentative="0">
      <w:start w:val="1"/>
      <w:numFmt w:val="decimal"/>
      <w:lvlText w:val="%1."/>
      <w:lvlJc w:val="left"/>
      <w:pPr>
        <w:ind w:left="425" w:hanging="425"/>
      </w:pPr>
      <w:rPr>
        <w:rFonts w:hint="default"/>
      </w:rPr>
    </w:lvl>
  </w:abstractNum>
  <w:abstractNum w:abstractNumId="4">
    <w:nsid w:val="A623CC3A"/>
    <w:multiLevelType w:val="singleLevel"/>
    <w:tmpl w:val="A623CC3A"/>
    <w:lvl w:ilvl="0" w:tentative="0">
      <w:start w:val="1"/>
      <w:numFmt w:val="decimal"/>
      <w:lvlText w:val="%1."/>
      <w:lvlJc w:val="left"/>
      <w:pPr>
        <w:ind w:left="425" w:hanging="425"/>
      </w:pPr>
      <w:rPr>
        <w:rFonts w:hint="default"/>
      </w:rPr>
    </w:lvl>
  </w:abstractNum>
  <w:abstractNum w:abstractNumId="5">
    <w:nsid w:val="DE94BAD0"/>
    <w:multiLevelType w:val="singleLevel"/>
    <w:tmpl w:val="DE94BAD0"/>
    <w:lvl w:ilvl="0" w:tentative="0">
      <w:start w:val="1"/>
      <w:numFmt w:val="decimal"/>
      <w:lvlText w:val="%1."/>
      <w:lvlJc w:val="left"/>
      <w:pPr>
        <w:ind w:left="425" w:hanging="425"/>
      </w:pPr>
      <w:rPr>
        <w:rFonts w:hint="default"/>
      </w:rPr>
    </w:lvl>
  </w:abstractNum>
  <w:abstractNum w:abstractNumId="6">
    <w:nsid w:val="DEEAD4F2"/>
    <w:multiLevelType w:val="singleLevel"/>
    <w:tmpl w:val="DEEAD4F2"/>
    <w:lvl w:ilvl="0" w:tentative="0">
      <w:start w:val="1"/>
      <w:numFmt w:val="decimal"/>
      <w:lvlText w:val="%1."/>
      <w:lvlJc w:val="left"/>
      <w:pPr>
        <w:ind w:left="425" w:hanging="425"/>
      </w:pPr>
      <w:rPr>
        <w:rFonts w:hint="default"/>
      </w:rPr>
    </w:lvl>
  </w:abstractNum>
  <w:abstractNum w:abstractNumId="7">
    <w:nsid w:val="FB053835"/>
    <w:multiLevelType w:val="singleLevel"/>
    <w:tmpl w:val="FB053835"/>
    <w:lvl w:ilvl="0" w:tentative="0">
      <w:start w:val="1"/>
      <w:numFmt w:val="decimal"/>
      <w:lvlText w:val="%1."/>
      <w:lvlJc w:val="left"/>
      <w:pPr>
        <w:ind w:left="425" w:hanging="425"/>
      </w:pPr>
      <w:rPr>
        <w:rFonts w:hint="default"/>
      </w:rPr>
    </w:lvl>
  </w:abstractNum>
  <w:abstractNum w:abstractNumId="8">
    <w:nsid w:val="FF044985"/>
    <w:multiLevelType w:val="singleLevel"/>
    <w:tmpl w:val="FF044985"/>
    <w:lvl w:ilvl="0" w:tentative="0">
      <w:start w:val="1"/>
      <w:numFmt w:val="decimal"/>
      <w:lvlText w:val="%1."/>
      <w:lvlJc w:val="left"/>
      <w:pPr>
        <w:tabs>
          <w:tab w:val="left" w:pos="420"/>
        </w:tabs>
        <w:ind w:left="845" w:hanging="425"/>
      </w:pPr>
      <w:rPr>
        <w:rFonts w:hint="default"/>
      </w:rPr>
    </w:lvl>
  </w:abstractNum>
  <w:abstractNum w:abstractNumId="9">
    <w:nsid w:val="00EF3305"/>
    <w:multiLevelType w:val="multilevel"/>
    <w:tmpl w:val="00EF3305"/>
    <w:lvl w:ilvl="0" w:tentative="0">
      <w:start w:val="1"/>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0">
    <w:nsid w:val="05401937"/>
    <w:multiLevelType w:val="multilevel"/>
    <w:tmpl w:val="05401937"/>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1">
    <w:nsid w:val="07F5EA85"/>
    <w:multiLevelType w:val="singleLevel"/>
    <w:tmpl w:val="07F5EA85"/>
    <w:lvl w:ilvl="0" w:tentative="0">
      <w:start w:val="1"/>
      <w:numFmt w:val="decimal"/>
      <w:lvlText w:val="%1."/>
      <w:lvlJc w:val="left"/>
      <w:pPr>
        <w:ind w:left="425" w:hanging="425"/>
      </w:pPr>
      <w:rPr>
        <w:rFonts w:hint="default"/>
      </w:rPr>
    </w:lvl>
  </w:abstractNum>
  <w:abstractNum w:abstractNumId="12">
    <w:nsid w:val="0902EBB0"/>
    <w:multiLevelType w:val="singleLevel"/>
    <w:tmpl w:val="0902EBB0"/>
    <w:lvl w:ilvl="0" w:tentative="0">
      <w:start w:val="1"/>
      <w:numFmt w:val="decimal"/>
      <w:lvlText w:val="%1."/>
      <w:lvlJc w:val="left"/>
      <w:pPr>
        <w:ind w:left="425" w:hanging="425"/>
      </w:pPr>
      <w:rPr>
        <w:rFonts w:hint="default"/>
      </w:rPr>
    </w:lvl>
  </w:abstractNum>
  <w:abstractNum w:abstractNumId="13">
    <w:nsid w:val="0B18C2D2"/>
    <w:multiLevelType w:val="singleLevel"/>
    <w:tmpl w:val="0B18C2D2"/>
    <w:lvl w:ilvl="0" w:tentative="0">
      <w:start w:val="1"/>
      <w:numFmt w:val="decimal"/>
      <w:lvlText w:val="%1."/>
      <w:lvlJc w:val="left"/>
      <w:pPr>
        <w:ind w:left="425" w:hanging="425"/>
      </w:pPr>
      <w:rPr>
        <w:rFonts w:hint="default"/>
      </w:rPr>
    </w:lvl>
  </w:abstractNum>
  <w:abstractNum w:abstractNumId="14">
    <w:nsid w:val="0C725C33"/>
    <w:multiLevelType w:val="singleLevel"/>
    <w:tmpl w:val="0C725C33"/>
    <w:lvl w:ilvl="0" w:tentative="0">
      <w:start w:val="1"/>
      <w:numFmt w:val="decimal"/>
      <w:lvlText w:val="%1."/>
      <w:lvlJc w:val="left"/>
      <w:pPr>
        <w:ind w:left="425" w:hanging="425"/>
      </w:pPr>
      <w:rPr>
        <w:rFonts w:hint="default"/>
      </w:rPr>
    </w:lvl>
  </w:abstractNum>
  <w:abstractNum w:abstractNumId="15">
    <w:nsid w:val="1C3AB39F"/>
    <w:multiLevelType w:val="singleLevel"/>
    <w:tmpl w:val="1C3AB39F"/>
    <w:lvl w:ilvl="0" w:tentative="0">
      <w:start w:val="1"/>
      <w:numFmt w:val="decimal"/>
      <w:lvlText w:val="%1."/>
      <w:lvlJc w:val="left"/>
      <w:pPr>
        <w:ind w:left="425" w:hanging="425"/>
      </w:pPr>
      <w:rPr>
        <w:rFonts w:hint="default"/>
      </w:rPr>
    </w:lvl>
  </w:abstractNum>
  <w:abstractNum w:abstractNumId="16">
    <w:nsid w:val="387681AB"/>
    <w:multiLevelType w:val="singleLevel"/>
    <w:tmpl w:val="387681AB"/>
    <w:lvl w:ilvl="0" w:tentative="0">
      <w:start w:val="1"/>
      <w:numFmt w:val="decimal"/>
      <w:lvlText w:val="%1."/>
      <w:lvlJc w:val="left"/>
      <w:pPr>
        <w:ind w:left="425" w:hanging="425"/>
      </w:pPr>
      <w:rPr>
        <w:rFonts w:hint="default"/>
      </w:rPr>
    </w:lvl>
  </w:abstractNum>
  <w:abstractNum w:abstractNumId="17">
    <w:nsid w:val="3DA65E40"/>
    <w:multiLevelType w:val="singleLevel"/>
    <w:tmpl w:val="3DA65E40"/>
    <w:lvl w:ilvl="0" w:tentative="0">
      <w:start w:val="1"/>
      <w:numFmt w:val="decimal"/>
      <w:lvlText w:val="%1."/>
      <w:lvlJc w:val="left"/>
      <w:pPr>
        <w:ind w:left="425" w:hanging="425"/>
      </w:pPr>
      <w:rPr>
        <w:rFonts w:hint="default"/>
      </w:rPr>
    </w:lvl>
  </w:abstractNum>
  <w:abstractNum w:abstractNumId="18">
    <w:nsid w:val="46ECD01D"/>
    <w:multiLevelType w:val="singleLevel"/>
    <w:tmpl w:val="46ECD01D"/>
    <w:lvl w:ilvl="0" w:tentative="0">
      <w:start w:val="1"/>
      <w:numFmt w:val="decimal"/>
      <w:lvlText w:val="%1."/>
      <w:lvlJc w:val="left"/>
      <w:pPr>
        <w:ind w:left="425" w:hanging="425"/>
      </w:pPr>
      <w:rPr>
        <w:rFonts w:hint="default"/>
      </w:rPr>
    </w:lvl>
  </w:abstractNum>
  <w:abstractNum w:abstractNumId="19">
    <w:nsid w:val="50FA5381"/>
    <w:multiLevelType w:val="singleLevel"/>
    <w:tmpl w:val="50FA5381"/>
    <w:lvl w:ilvl="0" w:tentative="0">
      <w:start w:val="1"/>
      <w:numFmt w:val="decimal"/>
      <w:lvlText w:val="%1."/>
      <w:lvlJc w:val="left"/>
      <w:pPr>
        <w:ind w:left="425" w:hanging="425"/>
      </w:pPr>
      <w:rPr>
        <w:rFonts w:hint="default"/>
      </w:rPr>
    </w:lvl>
  </w:abstractNum>
  <w:abstractNum w:abstractNumId="20">
    <w:nsid w:val="580A4FDE"/>
    <w:multiLevelType w:val="multilevel"/>
    <w:tmpl w:val="580A4FDE"/>
    <w:lvl w:ilvl="0" w:tentative="0">
      <w:start w:val="1"/>
      <w:numFmt w:val="decimal"/>
      <w:pStyle w:val="31"/>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761454E6"/>
    <w:multiLevelType w:val="singleLevel"/>
    <w:tmpl w:val="761454E6"/>
    <w:lvl w:ilvl="0" w:tentative="0">
      <w:start w:val="1"/>
      <w:numFmt w:val="decimal"/>
      <w:lvlText w:val="%1."/>
      <w:lvlJc w:val="left"/>
      <w:pPr>
        <w:tabs>
          <w:tab w:val="left" w:pos="420"/>
        </w:tabs>
        <w:ind w:left="845" w:hanging="425"/>
      </w:pPr>
      <w:rPr>
        <w:rFonts w:hint="default"/>
      </w:rPr>
    </w:lvl>
  </w:abstractNum>
  <w:num w:numId="1">
    <w:abstractNumId w:val="9"/>
  </w:num>
  <w:num w:numId="2">
    <w:abstractNumId w:val="20"/>
  </w:num>
  <w:num w:numId="3">
    <w:abstractNumId w:val="19"/>
  </w:num>
  <w:num w:numId="4">
    <w:abstractNumId w:val="13"/>
  </w:num>
  <w:num w:numId="5">
    <w:abstractNumId w:val="15"/>
  </w:num>
  <w:num w:numId="6">
    <w:abstractNumId w:val="4"/>
  </w:num>
  <w:num w:numId="7">
    <w:abstractNumId w:val="12"/>
  </w:num>
  <w:num w:numId="8">
    <w:abstractNumId w:val="14"/>
  </w:num>
  <w:num w:numId="9">
    <w:abstractNumId w:val="7"/>
  </w:num>
  <w:num w:numId="10">
    <w:abstractNumId w:val="16"/>
  </w:num>
  <w:num w:numId="11">
    <w:abstractNumId w:val="3"/>
  </w:num>
  <w:num w:numId="12">
    <w:abstractNumId w:val="0"/>
  </w:num>
  <w:num w:numId="13">
    <w:abstractNumId w:val="6"/>
  </w:num>
  <w:num w:numId="14">
    <w:abstractNumId w:val="18"/>
  </w:num>
  <w:num w:numId="15">
    <w:abstractNumId w:val="5"/>
  </w:num>
  <w:num w:numId="16">
    <w:abstractNumId w:val="11"/>
  </w:num>
  <w:num w:numId="17">
    <w:abstractNumId w:val="17"/>
  </w:num>
  <w:num w:numId="18">
    <w:abstractNumId w:val="8"/>
  </w:num>
  <w:num w:numId="19">
    <w:abstractNumId w:val="1"/>
  </w:num>
  <w:num w:numId="20">
    <w:abstractNumId w:val="10"/>
  </w:num>
  <w:num w:numId="21">
    <w:abstractNumId w:val="2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1ZTI3OGI2MTNjODBkNTVmYzEwOGU5YmE5NmY4MjcifQ=="/>
  </w:docVars>
  <w:rsids>
    <w:rsidRoot w:val="00000000"/>
    <w:rsid w:val="01227D26"/>
    <w:rsid w:val="026B1A2D"/>
    <w:rsid w:val="063517BC"/>
    <w:rsid w:val="073126FC"/>
    <w:rsid w:val="10E95CAB"/>
    <w:rsid w:val="18013D6F"/>
    <w:rsid w:val="1819291A"/>
    <w:rsid w:val="1A4119BE"/>
    <w:rsid w:val="1A6D7546"/>
    <w:rsid w:val="1B8F790E"/>
    <w:rsid w:val="1BBA3AE4"/>
    <w:rsid w:val="1BC80FCF"/>
    <w:rsid w:val="1BE81A22"/>
    <w:rsid w:val="1CC01D49"/>
    <w:rsid w:val="200B6DE0"/>
    <w:rsid w:val="21B81689"/>
    <w:rsid w:val="238630AF"/>
    <w:rsid w:val="26C373F5"/>
    <w:rsid w:val="278E2DC8"/>
    <w:rsid w:val="27F616E4"/>
    <w:rsid w:val="28BA1D43"/>
    <w:rsid w:val="292B2A05"/>
    <w:rsid w:val="2C351E0C"/>
    <w:rsid w:val="2C4F48C1"/>
    <w:rsid w:val="2DCC7C5B"/>
    <w:rsid w:val="30A94EDA"/>
    <w:rsid w:val="32932F4D"/>
    <w:rsid w:val="36DE3BE1"/>
    <w:rsid w:val="38F240E2"/>
    <w:rsid w:val="3B587A34"/>
    <w:rsid w:val="3DBA5370"/>
    <w:rsid w:val="3DFFD5EA"/>
    <w:rsid w:val="3EBB51F4"/>
    <w:rsid w:val="3F255D10"/>
    <w:rsid w:val="3F762058"/>
    <w:rsid w:val="400C6D37"/>
    <w:rsid w:val="4124748C"/>
    <w:rsid w:val="430913D5"/>
    <w:rsid w:val="45747377"/>
    <w:rsid w:val="46790911"/>
    <w:rsid w:val="47CC2624"/>
    <w:rsid w:val="4CE01193"/>
    <w:rsid w:val="4DB53FFE"/>
    <w:rsid w:val="4E7D6677"/>
    <w:rsid w:val="4EE72FE2"/>
    <w:rsid w:val="51CB09B7"/>
    <w:rsid w:val="54034944"/>
    <w:rsid w:val="54660E4D"/>
    <w:rsid w:val="550C3032"/>
    <w:rsid w:val="554B0788"/>
    <w:rsid w:val="55AF359A"/>
    <w:rsid w:val="57D60097"/>
    <w:rsid w:val="58EE3E4C"/>
    <w:rsid w:val="5DE97722"/>
    <w:rsid w:val="5DF12150"/>
    <w:rsid w:val="5DF79EBD"/>
    <w:rsid w:val="5EB93105"/>
    <w:rsid w:val="600F0628"/>
    <w:rsid w:val="611A7A6C"/>
    <w:rsid w:val="62206433"/>
    <w:rsid w:val="6A7E0119"/>
    <w:rsid w:val="6D633425"/>
    <w:rsid w:val="6DAB5409"/>
    <w:rsid w:val="6DEC167B"/>
    <w:rsid w:val="6EC2553B"/>
    <w:rsid w:val="71127D51"/>
    <w:rsid w:val="71435A18"/>
    <w:rsid w:val="720D5731"/>
    <w:rsid w:val="738549F4"/>
    <w:rsid w:val="74001D22"/>
    <w:rsid w:val="777217B3"/>
    <w:rsid w:val="77AEE27A"/>
    <w:rsid w:val="77BD3BF7"/>
    <w:rsid w:val="78C62B44"/>
    <w:rsid w:val="7BBBCA07"/>
    <w:rsid w:val="7BBE6C18"/>
    <w:rsid w:val="7CFBAA29"/>
    <w:rsid w:val="7EFF7F9F"/>
    <w:rsid w:val="7F5F6B8E"/>
    <w:rsid w:val="8F3F370E"/>
    <w:rsid w:val="9FFA3AAC"/>
    <w:rsid w:val="B97F3C4E"/>
    <w:rsid w:val="BEFF26B2"/>
    <w:rsid w:val="BFFF6FC9"/>
    <w:rsid w:val="C7D715F6"/>
    <w:rsid w:val="D777124A"/>
    <w:rsid w:val="E33FE5F3"/>
    <w:rsid w:val="EFDE46FE"/>
    <w:rsid w:val="FAFB8905"/>
    <w:rsid w:val="FB7EAA28"/>
    <w:rsid w:val="FDFB8AEE"/>
    <w:rsid w:val="FFEA2F7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80" w:firstLineChars="200"/>
      <w:jc w:val="both"/>
    </w:pPr>
    <w:rPr>
      <w:rFonts w:ascii="Times New Roman" w:hAnsi="Times New Roman" w:eastAsia="宋体" w:cs="宋体"/>
      <w:kern w:val="2"/>
      <w:sz w:val="24"/>
      <w:szCs w:val="24"/>
      <w:lang w:val="en-US" w:eastAsia="zh-CN" w:bidi="ar-SA"/>
    </w:rPr>
  </w:style>
  <w:style w:type="paragraph" w:styleId="2">
    <w:name w:val="heading 1"/>
    <w:basedOn w:val="1"/>
    <w:next w:val="1"/>
    <w:autoRedefine/>
    <w:qFormat/>
    <w:uiPriority w:val="0"/>
    <w:pPr>
      <w:keepNext/>
      <w:keepLines/>
      <w:numPr>
        <w:ilvl w:val="0"/>
        <w:numId w:val="1"/>
      </w:numPr>
      <w:ind w:left="0" w:hanging="142" w:firstLineChars="0"/>
      <w:outlineLvl w:val="0"/>
    </w:pPr>
    <w:rPr>
      <w:b/>
      <w:kern w:val="44"/>
      <w:sz w:val="32"/>
    </w:rPr>
  </w:style>
  <w:style w:type="paragraph" w:styleId="3">
    <w:name w:val="heading 2"/>
    <w:basedOn w:val="1"/>
    <w:next w:val="1"/>
    <w:autoRedefine/>
    <w:qFormat/>
    <w:uiPriority w:val="9"/>
    <w:pPr>
      <w:numPr>
        <w:ilvl w:val="1"/>
        <w:numId w:val="1"/>
      </w:numPr>
      <w:spacing w:line="415" w:lineRule="auto"/>
      <w:ind w:firstLine="0" w:firstLineChars="0"/>
      <w:outlineLvl w:val="1"/>
    </w:pPr>
    <w:rPr>
      <w:rFonts w:ascii="Arial" w:hAnsi="Arial" w:cs="Times New Roman"/>
      <w:b/>
      <w:bCs/>
      <w:sz w:val="30"/>
      <w:szCs w:val="32"/>
    </w:rPr>
  </w:style>
  <w:style w:type="paragraph" w:styleId="4">
    <w:name w:val="heading 3"/>
    <w:basedOn w:val="1"/>
    <w:next w:val="1"/>
    <w:autoRedefine/>
    <w:qFormat/>
    <w:uiPriority w:val="0"/>
    <w:pPr>
      <w:numPr>
        <w:ilvl w:val="2"/>
        <w:numId w:val="1"/>
      </w:numPr>
      <w:ind w:left="0" w:leftChars="-4" w:hanging="10" w:hangingChars="4"/>
      <w:outlineLvl w:val="2"/>
    </w:pPr>
  </w:style>
  <w:style w:type="paragraph" w:styleId="5">
    <w:name w:val="heading 4"/>
    <w:basedOn w:val="1"/>
    <w:next w:val="1"/>
    <w:autoRedefine/>
    <w:unhideWhenUsed/>
    <w:qFormat/>
    <w:uiPriority w:val="0"/>
    <w:pPr>
      <w:keepNext/>
      <w:keepLines/>
      <w:numPr>
        <w:ilvl w:val="3"/>
        <w:numId w:val="1"/>
      </w:numPr>
      <w:spacing w:before="280" w:after="290" w:line="372" w:lineRule="auto"/>
      <w:outlineLvl w:val="3"/>
    </w:pPr>
    <w:rPr>
      <w:rFonts w:ascii="Arial" w:hAnsi="Arial" w:eastAsia="黑体"/>
      <w:b/>
      <w:sz w:val="28"/>
    </w:rPr>
  </w:style>
  <w:style w:type="paragraph" w:styleId="6">
    <w:name w:val="heading 5"/>
    <w:basedOn w:val="1"/>
    <w:next w:val="1"/>
    <w:autoRedefine/>
    <w:unhideWhenUsed/>
    <w:qFormat/>
    <w:uiPriority w:val="0"/>
    <w:pPr>
      <w:keepNext/>
      <w:keepLines/>
      <w:numPr>
        <w:ilvl w:val="4"/>
        <w:numId w:val="1"/>
      </w:numPr>
      <w:spacing w:before="280" w:after="290" w:line="372" w:lineRule="auto"/>
      <w:outlineLvl w:val="4"/>
    </w:pPr>
    <w:rPr>
      <w:b/>
      <w:sz w:val="28"/>
    </w:rPr>
  </w:style>
  <w:style w:type="paragraph" w:styleId="7">
    <w:name w:val="heading 6"/>
    <w:basedOn w:val="1"/>
    <w:next w:val="1"/>
    <w:autoRedefine/>
    <w:semiHidden/>
    <w:unhideWhenUsed/>
    <w:qFormat/>
    <w:uiPriority w:val="0"/>
    <w:pPr>
      <w:keepNext/>
      <w:keepLines/>
      <w:numPr>
        <w:ilvl w:val="5"/>
        <w:numId w:val="1"/>
      </w:numPr>
      <w:spacing w:before="240" w:after="64" w:line="317" w:lineRule="auto"/>
      <w:outlineLvl w:val="5"/>
    </w:pPr>
    <w:rPr>
      <w:rFonts w:ascii="Arial" w:hAnsi="Arial" w:eastAsia="黑体"/>
      <w:b/>
    </w:rPr>
  </w:style>
  <w:style w:type="paragraph" w:styleId="8">
    <w:name w:val="heading 7"/>
    <w:basedOn w:val="1"/>
    <w:next w:val="1"/>
    <w:autoRedefine/>
    <w:semiHidden/>
    <w:unhideWhenUsed/>
    <w:qFormat/>
    <w:uiPriority w:val="0"/>
    <w:pPr>
      <w:keepNext/>
      <w:keepLines/>
      <w:numPr>
        <w:ilvl w:val="6"/>
        <w:numId w:val="1"/>
      </w:numPr>
      <w:spacing w:before="240" w:after="64" w:line="317" w:lineRule="auto"/>
      <w:outlineLvl w:val="6"/>
    </w:pPr>
    <w:rPr>
      <w:b/>
    </w:rPr>
  </w:style>
  <w:style w:type="paragraph" w:styleId="9">
    <w:name w:val="heading 8"/>
    <w:basedOn w:val="1"/>
    <w:next w:val="1"/>
    <w:autoRedefine/>
    <w:semiHidden/>
    <w:unhideWhenUsed/>
    <w:qFormat/>
    <w:uiPriority w:val="0"/>
    <w:pPr>
      <w:keepNext/>
      <w:keepLines/>
      <w:numPr>
        <w:ilvl w:val="7"/>
        <w:numId w:val="1"/>
      </w:numPr>
      <w:spacing w:before="240" w:after="64" w:line="317" w:lineRule="auto"/>
      <w:outlineLvl w:val="7"/>
    </w:pPr>
    <w:rPr>
      <w:rFonts w:ascii="Arial" w:hAnsi="Arial" w:eastAsia="黑体"/>
    </w:rPr>
  </w:style>
  <w:style w:type="paragraph" w:styleId="10">
    <w:name w:val="heading 9"/>
    <w:basedOn w:val="1"/>
    <w:next w:val="1"/>
    <w:autoRedefine/>
    <w:semiHidden/>
    <w:unhideWhenUsed/>
    <w:qFormat/>
    <w:uiPriority w:val="0"/>
    <w:pPr>
      <w:keepNext/>
      <w:keepLines/>
      <w:numPr>
        <w:ilvl w:val="8"/>
        <w:numId w:val="1"/>
      </w:numPr>
      <w:spacing w:before="240" w:after="64" w:line="317" w:lineRule="auto"/>
      <w:outlineLvl w:val="8"/>
    </w:pPr>
    <w:rPr>
      <w:rFonts w:ascii="Arial" w:hAnsi="Arial" w:eastAsia="黑体"/>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autoRedefine/>
    <w:qFormat/>
    <w:uiPriority w:val="0"/>
    <w:pPr>
      <w:ind w:firstLine="420"/>
    </w:pPr>
    <w:rPr>
      <w:szCs w:val="20"/>
    </w:rPr>
  </w:style>
  <w:style w:type="paragraph" w:styleId="12">
    <w:name w:val="annotation text"/>
    <w:basedOn w:val="1"/>
    <w:link w:val="63"/>
    <w:semiHidden/>
    <w:unhideWhenUsed/>
    <w:qFormat/>
    <w:uiPriority w:val="0"/>
    <w:pPr>
      <w:jc w:val="left"/>
    </w:pPr>
  </w:style>
  <w:style w:type="paragraph" w:styleId="13">
    <w:name w:val="Body Text"/>
    <w:basedOn w:val="1"/>
    <w:autoRedefine/>
    <w:qFormat/>
    <w:uiPriority w:val="99"/>
    <w:pPr>
      <w:spacing w:after="120"/>
    </w:pPr>
  </w:style>
  <w:style w:type="paragraph" w:styleId="14">
    <w:name w:val="toc 3"/>
    <w:basedOn w:val="1"/>
    <w:next w:val="1"/>
    <w:autoRedefine/>
    <w:qFormat/>
    <w:uiPriority w:val="39"/>
    <w:pPr>
      <w:ind w:left="840" w:leftChars="400"/>
    </w:pPr>
  </w:style>
  <w:style w:type="paragraph" w:styleId="15">
    <w:name w:val="Balloon Text"/>
    <w:basedOn w:val="1"/>
    <w:link w:val="56"/>
    <w:autoRedefine/>
    <w:qFormat/>
    <w:uiPriority w:val="0"/>
    <w:rPr>
      <w:sz w:val="18"/>
      <w:szCs w:val="18"/>
    </w:rPr>
  </w:style>
  <w:style w:type="paragraph" w:styleId="16">
    <w:name w:val="footer"/>
    <w:basedOn w:val="1"/>
    <w:autoRedefine/>
    <w:unhideWhenUsed/>
    <w:qFormat/>
    <w:uiPriority w:val="99"/>
    <w:pPr>
      <w:tabs>
        <w:tab w:val="center" w:pos="4153"/>
        <w:tab w:val="right" w:pos="8306"/>
      </w:tabs>
      <w:snapToGrid w:val="0"/>
      <w:jc w:val="left"/>
    </w:pPr>
    <w:rPr>
      <w:sz w:val="18"/>
      <w:szCs w:val="18"/>
    </w:rPr>
  </w:style>
  <w:style w:type="paragraph" w:styleId="1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8">
    <w:name w:val="toc 1"/>
    <w:basedOn w:val="1"/>
    <w:next w:val="1"/>
    <w:autoRedefine/>
    <w:qFormat/>
    <w:uiPriority w:val="39"/>
  </w:style>
  <w:style w:type="paragraph" w:styleId="19">
    <w:name w:val="toc 2"/>
    <w:basedOn w:val="1"/>
    <w:next w:val="1"/>
    <w:autoRedefine/>
    <w:qFormat/>
    <w:uiPriority w:val="39"/>
    <w:pPr>
      <w:ind w:left="420" w:leftChars="200"/>
    </w:pPr>
  </w:style>
  <w:style w:type="paragraph" w:styleId="20">
    <w:name w:val="annotation subject"/>
    <w:basedOn w:val="12"/>
    <w:next w:val="12"/>
    <w:link w:val="64"/>
    <w:semiHidden/>
    <w:unhideWhenUsed/>
    <w:qFormat/>
    <w:uiPriority w:val="0"/>
    <w:rPr>
      <w:b/>
      <w:bCs/>
    </w:rPr>
  </w:style>
  <w:style w:type="paragraph" w:styleId="21">
    <w:name w:val="Body Text First Indent"/>
    <w:basedOn w:val="13"/>
    <w:autoRedefine/>
    <w:qFormat/>
    <w:uiPriority w:val="99"/>
    <w:pPr>
      <w:ind w:firstLine="420" w:firstLineChars="100"/>
    </w:pPr>
  </w:style>
  <w:style w:type="table" w:styleId="23">
    <w:name w:val="Table Grid"/>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autoRedefine/>
    <w:qFormat/>
    <w:uiPriority w:val="0"/>
    <w:rPr>
      <w:b/>
    </w:rPr>
  </w:style>
  <w:style w:type="character" w:styleId="26">
    <w:name w:val="Hyperlink"/>
    <w:basedOn w:val="24"/>
    <w:autoRedefine/>
    <w:unhideWhenUsed/>
    <w:qFormat/>
    <w:uiPriority w:val="99"/>
    <w:rPr>
      <w:color w:val="0563C1" w:themeColor="hyperlink"/>
      <w:u w:val="single"/>
      <w14:textFill>
        <w14:solidFill>
          <w14:schemeClr w14:val="hlink"/>
        </w14:solidFill>
      </w14:textFill>
    </w:rPr>
  </w:style>
  <w:style w:type="character" w:styleId="27">
    <w:name w:val="annotation reference"/>
    <w:basedOn w:val="24"/>
    <w:semiHidden/>
    <w:unhideWhenUsed/>
    <w:qFormat/>
    <w:uiPriority w:val="0"/>
    <w:rPr>
      <w:sz w:val="21"/>
      <w:szCs w:val="21"/>
    </w:rPr>
  </w:style>
  <w:style w:type="paragraph" w:customStyle="1" w:styleId="28">
    <w:name w:val="样式 样式1 + 左侧:  2 字符 首行缩进:  2 字符"/>
    <w:basedOn w:val="1"/>
    <w:autoRedefine/>
    <w:qFormat/>
    <w:uiPriority w:val="0"/>
    <w:pPr>
      <w:spacing w:after="120"/>
      <w:ind w:firstLine="200"/>
    </w:pPr>
    <w:rPr>
      <w:szCs w:val="20"/>
    </w:rPr>
  </w:style>
  <w:style w:type="paragraph" w:customStyle="1" w:styleId="29">
    <w:name w:val="方案文档"/>
    <w:autoRedefine/>
    <w:qFormat/>
    <w:uiPriority w:val="0"/>
    <w:pPr>
      <w:spacing w:beforeLines="50" w:afterLines="50" w:line="360" w:lineRule="auto"/>
      <w:ind w:firstLine="200" w:firstLineChars="200"/>
    </w:pPr>
    <w:rPr>
      <w:rFonts w:ascii="Times New Roman" w:hAnsi="Times New Roman" w:eastAsia="宋体" w:cs="Times New Roman"/>
      <w:kern w:val="2"/>
      <w:sz w:val="24"/>
      <w:szCs w:val="24"/>
      <w:lang w:val="en-US" w:eastAsia="zh-CN" w:bidi="ar-SA"/>
    </w:rPr>
  </w:style>
  <w:style w:type="paragraph" w:customStyle="1" w:styleId="30">
    <w:name w:val="_Style 26"/>
    <w:basedOn w:val="1"/>
    <w:next w:val="31"/>
    <w:autoRedefine/>
    <w:qFormat/>
    <w:uiPriority w:val="34"/>
    <w:pPr>
      <w:ind w:firstLine="420"/>
    </w:pPr>
    <w:rPr>
      <w:rFonts w:ascii="Calibri" w:hAnsi="Calibri" w:cs="Times New Roman"/>
    </w:rPr>
  </w:style>
  <w:style w:type="paragraph" w:styleId="31">
    <w:name w:val="List Paragraph"/>
    <w:basedOn w:val="1"/>
    <w:autoRedefine/>
    <w:qFormat/>
    <w:uiPriority w:val="34"/>
    <w:pPr>
      <w:numPr>
        <w:ilvl w:val="0"/>
        <w:numId w:val="2"/>
      </w:numPr>
      <w:adjustRightInd w:val="0"/>
      <w:snapToGrid w:val="0"/>
      <w:ind w:firstLine="0" w:firstLineChars="0"/>
    </w:pPr>
    <w:rPr>
      <w:rFonts w:hAnsi="宋体"/>
    </w:rPr>
  </w:style>
  <w:style w:type="character" w:customStyle="1" w:styleId="32">
    <w:name w:val="font41"/>
    <w:basedOn w:val="24"/>
    <w:autoRedefine/>
    <w:qFormat/>
    <w:uiPriority w:val="0"/>
    <w:rPr>
      <w:rFonts w:hint="eastAsia" w:ascii="宋体" w:hAnsi="宋体" w:eastAsia="宋体" w:cs="宋体"/>
      <w:color w:val="000000"/>
      <w:sz w:val="20"/>
      <w:szCs w:val="20"/>
      <w:u w:val="none"/>
    </w:rPr>
  </w:style>
  <w:style w:type="character" w:customStyle="1" w:styleId="33">
    <w:name w:val="font111"/>
    <w:basedOn w:val="24"/>
    <w:autoRedefine/>
    <w:qFormat/>
    <w:uiPriority w:val="0"/>
    <w:rPr>
      <w:rFonts w:hint="eastAsia" w:ascii="宋体" w:hAnsi="宋体" w:eastAsia="宋体" w:cs="宋体"/>
      <w:color w:val="000000"/>
      <w:sz w:val="20"/>
      <w:szCs w:val="20"/>
      <w:u w:val="none"/>
    </w:rPr>
  </w:style>
  <w:style w:type="character" w:customStyle="1" w:styleId="34">
    <w:name w:val="font261"/>
    <w:basedOn w:val="24"/>
    <w:autoRedefine/>
    <w:qFormat/>
    <w:uiPriority w:val="0"/>
    <w:rPr>
      <w:rFonts w:ascii="微软雅黑" w:hAnsi="微软雅黑" w:eastAsia="微软雅黑" w:cs="微软雅黑"/>
      <w:color w:val="000000"/>
      <w:sz w:val="20"/>
      <w:szCs w:val="20"/>
      <w:u w:val="none"/>
    </w:rPr>
  </w:style>
  <w:style w:type="character" w:customStyle="1" w:styleId="35">
    <w:name w:val="font21"/>
    <w:basedOn w:val="24"/>
    <w:autoRedefine/>
    <w:qFormat/>
    <w:uiPriority w:val="0"/>
    <w:rPr>
      <w:rFonts w:ascii="Arial" w:hAnsi="Arial" w:cs="Arial"/>
      <w:color w:val="000000"/>
      <w:sz w:val="20"/>
      <w:szCs w:val="20"/>
      <w:u w:val="none"/>
    </w:rPr>
  </w:style>
  <w:style w:type="character" w:customStyle="1" w:styleId="36">
    <w:name w:val="font61"/>
    <w:basedOn w:val="24"/>
    <w:autoRedefine/>
    <w:qFormat/>
    <w:uiPriority w:val="0"/>
    <w:rPr>
      <w:rFonts w:hint="eastAsia" w:ascii="宋体" w:hAnsi="宋体" w:eastAsia="宋体" w:cs="宋体"/>
      <w:color w:val="000000"/>
      <w:sz w:val="20"/>
      <w:szCs w:val="20"/>
      <w:u w:val="none"/>
    </w:rPr>
  </w:style>
  <w:style w:type="character" w:customStyle="1" w:styleId="37">
    <w:name w:val="font141"/>
    <w:basedOn w:val="24"/>
    <w:autoRedefine/>
    <w:qFormat/>
    <w:uiPriority w:val="0"/>
    <w:rPr>
      <w:rFonts w:hint="default" w:ascii="Arial" w:hAnsi="Arial" w:cs="Arial"/>
      <w:color w:val="000000"/>
      <w:sz w:val="20"/>
      <w:szCs w:val="20"/>
      <w:u w:val="none"/>
    </w:rPr>
  </w:style>
  <w:style w:type="character" w:customStyle="1" w:styleId="38">
    <w:name w:val="font271"/>
    <w:basedOn w:val="24"/>
    <w:autoRedefine/>
    <w:qFormat/>
    <w:uiPriority w:val="0"/>
    <w:rPr>
      <w:rFonts w:hint="eastAsia" w:ascii="微软雅黑" w:hAnsi="微软雅黑" w:eastAsia="微软雅黑" w:cs="微软雅黑"/>
      <w:color w:val="000000"/>
      <w:sz w:val="20"/>
      <w:szCs w:val="20"/>
      <w:u w:val="none"/>
    </w:rPr>
  </w:style>
  <w:style w:type="character" w:customStyle="1" w:styleId="39">
    <w:name w:val="font11"/>
    <w:basedOn w:val="24"/>
    <w:autoRedefine/>
    <w:qFormat/>
    <w:uiPriority w:val="0"/>
    <w:rPr>
      <w:rFonts w:hint="eastAsia" w:ascii="宋体" w:hAnsi="宋体" w:eastAsia="宋体" w:cs="宋体"/>
      <w:color w:val="000000"/>
      <w:sz w:val="20"/>
      <w:szCs w:val="20"/>
      <w:u w:val="none"/>
    </w:rPr>
  </w:style>
  <w:style w:type="character" w:customStyle="1" w:styleId="40">
    <w:name w:val="font121"/>
    <w:basedOn w:val="24"/>
    <w:autoRedefine/>
    <w:qFormat/>
    <w:uiPriority w:val="0"/>
    <w:rPr>
      <w:rFonts w:hint="eastAsia" w:ascii="宋体" w:hAnsi="宋体" w:eastAsia="宋体" w:cs="宋体"/>
      <w:color w:val="000000"/>
      <w:sz w:val="20"/>
      <w:szCs w:val="20"/>
      <w:u w:val="none"/>
    </w:rPr>
  </w:style>
  <w:style w:type="character" w:customStyle="1" w:styleId="41">
    <w:name w:val="font241"/>
    <w:basedOn w:val="24"/>
    <w:autoRedefine/>
    <w:qFormat/>
    <w:uiPriority w:val="0"/>
    <w:rPr>
      <w:rFonts w:hint="eastAsia" w:ascii="宋体" w:hAnsi="宋体" w:eastAsia="宋体" w:cs="宋体"/>
      <w:color w:val="000000"/>
      <w:sz w:val="20"/>
      <w:szCs w:val="20"/>
      <w:u w:val="none"/>
    </w:rPr>
  </w:style>
  <w:style w:type="character" w:customStyle="1" w:styleId="42">
    <w:name w:val="font161"/>
    <w:basedOn w:val="24"/>
    <w:autoRedefine/>
    <w:qFormat/>
    <w:uiPriority w:val="0"/>
    <w:rPr>
      <w:rFonts w:hint="eastAsia" w:ascii="宋体" w:hAnsi="宋体" w:eastAsia="宋体" w:cs="宋体"/>
      <w:color w:val="000000"/>
      <w:sz w:val="20"/>
      <w:szCs w:val="20"/>
      <w:u w:val="none"/>
    </w:rPr>
  </w:style>
  <w:style w:type="character" w:customStyle="1" w:styleId="43">
    <w:name w:val="font181"/>
    <w:basedOn w:val="24"/>
    <w:autoRedefine/>
    <w:qFormat/>
    <w:uiPriority w:val="0"/>
    <w:rPr>
      <w:rFonts w:hint="eastAsia" w:ascii="宋体" w:hAnsi="宋体" w:eastAsia="宋体" w:cs="宋体"/>
      <w:color w:val="000000"/>
      <w:sz w:val="20"/>
      <w:szCs w:val="20"/>
      <w:u w:val="none"/>
    </w:rPr>
  </w:style>
  <w:style w:type="character" w:customStyle="1" w:styleId="44">
    <w:name w:val="font171"/>
    <w:basedOn w:val="24"/>
    <w:autoRedefine/>
    <w:qFormat/>
    <w:uiPriority w:val="0"/>
    <w:rPr>
      <w:rFonts w:hint="eastAsia" w:ascii="宋体" w:hAnsi="宋体" w:eastAsia="宋体" w:cs="宋体"/>
      <w:color w:val="000000"/>
      <w:sz w:val="20"/>
      <w:szCs w:val="20"/>
      <w:u w:val="none"/>
    </w:rPr>
  </w:style>
  <w:style w:type="character" w:customStyle="1" w:styleId="45">
    <w:name w:val="font251"/>
    <w:basedOn w:val="24"/>
    <w:autoRedefine/>
    <w:qFormat/>
    <w:uiPriority w:val="0"/>
    <w:rPr>
      <w:rFonts w:ascii="Arial" w:hAnsi="Arial" w:cs="Arial"/>
      <w:color w:val="000000"/>
      <w:sz w:val="20"/>
      <w:szCs w:val="20"/>
      <w:u w:val="none"/>
    </w:rPr>
  </w:style>
  <w:style w:type="character" w:customStyle="1" w:styleId="46">
    <w:name w:val="font01"/>
    <w:basedOn w:val="24"/>
    <w:autoRedefine/>
    <w:qFormat/>
    <w:uiPriority w:val="0"/>
    <w:rPr>
      <w:rFonts w:hint="eastAsia" w:ascii="宋体" w:hAnsi="宋体" w:eastAsia="宋体" w:cs="宋体"/>
      <w:color w:val="000000"/>
      <w:sz w:val="20"/>
      <w:szCs w:val="20"/>
      <w:u w:val="none"/>
    </w:rPr>
  </w:style>
  <w:style w:type="character" w:customStyle="1" w:styleId="47">
    <w:name w:val="font71"/>
    <w:basedOn w:val="24"/>
    <w:autoRedefine/>
    <w:qFormat/>
    <w:uiPriority w:val="0"/>
    <w:rPr>
      <w:rFonts w:hint="eastAsia" w:ascii="宋体" w:hAnsi="宋体" w:eastAsia="宋体" w:cs="宋体"/>
      <w:color w:val="000000"/>
      <w:sz w:val="20"/>
      <w:szCs w:val="20"/>
      <w:u w:val="none"/>
    </w:rPr>
  </w:style>
  <w:style w:type="character" w:customStyle="1" w:styleId="48">
    <w:name w:val="font211"/>
    <w:basedOn w:val="24"/>
    <w:autoRedefine/>
    <w:qFormat/>
    <w:uiPriority w:val="0"/>
    <w:rPr>
      <w:rFonts w:ascii="Arial" w:hAnsi="Arial" w:cs="Arial"/>
      <w:color w:val="000000"/>
      <w:sz w:val="20"/>
      <w:szCs w:val="20"/>
      <w:u w:val="none"/>
    </w:rPr>
  </w:style>
  <w:style w:type="character" w:customStyle="1" w:styleId="49">
    <w:name w:val="font12"/>
    <w:basedOn w:val="24"/>
    <w:autoRedefine/>
    <w:qFormat/>
    <w:uiPriority w:val="0"/>
    <w:rPr>
      <w:rFonts w:hint="eastAsia" w:ascii="宋体" w:hAnsi="宋体" w:eastAsia="宋体" w:cs="宋体"/>
      <w:color w:val="000000"/>
      <w:sz w:val="20"/>
      <w:szCs w:val="20"/>
      <w:u w:val="none"/>
    </w:rPr>
  </w:style>
  <w:style w:type="character" w:customStyle="1" w:styleId="50">
    <w:name w:val="font112"/>
    <w:basedOn w:val="24"/>
    <w:autoRedefine/>
    <w:qFormat/>
    <w:uiPriority w:val="0"/>
    <w:rPr>
      <w:rFonts w:hint="eastAsia" w:ascii="宋体" w:hAnsi="宋体" w:eastAsia="宋体" w:cs="宋体"/>
      <w:color w:val="000000"/>
      <w:sz w:val="20"/>
      <w:szCs w:val="20"/>
      <w:u w:val="none"/>
    </w:rPr>
  </w:style>
  <w:style w:type="character" w:customStyle="1" w:styleId="51">
    <w:name w:val="font212"/>
    <w:basedOn w:val="24"/>
    <w:autoRedefine/>
    <w:qFormat/>
    <w:uiPriority w:val="0"/>
    <w:rPr>
      <w:rFonts w:ascii="Arial" w:hAnsi="Arial" w:cs="Arial"/>
      <w:color w:val="000000"/>
      <w:sz w:val="20"/>
      <w:szCs w:val="20"/>
      <w:u w:val="none"/>
    </w:rPr>
  </w:style>
  <w:style w:type="character" w:customStyle="1" w:styleId="52">
    <w:name w:val="font51"/>
    <w:basedOn w:val="24"/>
    <w:autoRedefine/>
    <w:qFormat/>
    <w:uiPriority w:val="0"/>
    <w:rPr>
      <w:rFonts w:hint="eastAsia" w:ascii="宋体" w:hAnsi="宋体" w:eastAsia="宋体" w:cs="宋体"/>
      <w:color w:val="000000"/>
      <w:sz w:val="20"/>
      <w:szCs w:val="20"/>
      <w:u w:val="none"/>
    </w:rPr>
  </w:style>
  <w:style w:type="character" w:customStyle="1" w:styleId="53">
    <w:name w:val="font31"/>
    <w:basedOn w:val="24"/>
    <w:autoRedefine/>
    <w:qFormat/>
    <w:uiPriority w:val="0"/>
    <w:rPr>
      <w:rFonts w:hint="eastAsia" w:ascii="宋体" w:hAnsi="宋体" w:eastAsia="宋体" w:cs="宋体"/>
      <w:color w:val="000000"/>
      <w:sz w:val="20"/>
      <w:szCs w:val="20"/>
      <w:u w:val="none"/>
    </w:rPr>
  </w:style>
  <w:style w:type="character" w:customStyle="1" w:styleId="54">
    <w:name w:val="font151"/>
    <w:basedOn w:val="24"/>
    <w:autoRedefine/>
    <w:qFormat/>
    <w:uiPriority w:val="0"/>
    <w:rPr>
      <w:rFonts w:hint="eastAsia" w:ascii="宋体" w:hAnsi="宋体" w:eastAsia="宋体" w:cs="宋体"/>
      <w:color w:val="000000"/>
      <w:sz w:val="20"/>
      <w:szCs w:val="20"/>
      <w:u w:val="none"/>
    </w:rPr>
  </w:style>
  <w:style w:type="character" w:customStyle="1" w:styleId="55">
    <w:name w:val="font91"/>
    <w:basedOn w:val="24"/>
    <w:autoRedefine/>
    <w:qFormat/>
    <w:uiPriority w:val="0"/>
    <w:rPr>
      <w:rFonts w:hint="eastAsia" w:ascii="宋体" w:hAnsi="宋体" w:eastAsia="宋体" w:cs="宋体"/>
      <w:color w:val="000000"/>
      <w:sz w:val="20"/>
      <w:szCs w:val="20"/>
      <w:u w:val="none"/>
      <w:vertAlign w:val="superscript"/>
    </w:rPr>
  </w:style>
  <w:style w:type="character" w:customStyle="1" w:styleId="56">
    <w:name w:val="批注框文本 Char"/>
    <w:basedOn w:val="24"/>
    <w:link w:val="15"/>
    <w:autoRedefine/>
    <w:qFormat/>
    <w:uiPriority w:val="0"/>
    <w:rPr>
      <w:rFonts w:cs="宋体"/>
      <w:kern w:val="2"/>
      <w:sz w:val="18"/>
      <w:szCs w:val="18"/>
    </w:rPr>
  </w:style>
  <w:style w:type="paragraph" w:customStyle="1" w:styleId="57">
    <w:name w:val="可研正文"/>
    <w:basedOn w:val="1"/>
    <w:autoRedefine/>
    <w:qFormat/>
    <w:uiPriority w:val="0"/>
    <w:pPr>
      <w:ind w:firstLine="200"/>
    </w:pPr>
    <w:rPr>
      <w:rFonts w:ascii="仿宋" w:hAnsi="仿宋" w:eastAsia="仿宋"/>
      <w:kern w:val="0"/>
      <w:sz w:val="28"/>
      <w:szCs w:val="28"/>
    </w:rPr>
  </w:style>
  <w:style w:type="paragraph" w:customStyle="1" w:styleId="58">
    <w:name w:val="文章段落格式"/>
    <w:basedOn w:val="21"/>
    <w:autoRedefine/>
    <w:qFormat/>
    <w:uiPriority w:val="0"/>
    <w:pPr>
      <w:ind w:firstLine="200" w:firstLineChars="200"/>
    </w:pPr>
    <w:rPr>
      <w:rFonts w:ascii="Calibri" w:hAnsi="Calibri"/>
      <w:szCs w:val="22"/>
    </w:rPr>
  </w:style>
  <w:style w:type="paragraph" w:customStyle="1" w:styleId="59">
    <w:name w:val="!我的正文 Ctr+Q"/>
    <w:basedOn w:val="1"/>
    <w:autoRedefine/>
    <w:qFormat/>
    <w:uiPriority w:val="0"/>
    <w:pPr>
      <w:adjustRightInd w:val="0"/>
      <w:snapToGrid w:val="0"/>
    </w:pPr>
    <w:rPr>
      <w:rFonts w:ascii="Arial" w:hAnsi="Arial"/>
      <w:szCs w:val="20"/>
    </w:rPr>
  </w:style>
  <w:style w:type="paragraph" w:customStyle="1" w:styleId="60">
    <w:name w:val="样式2"/>
    <w:basedOn w:val="1"/>
    <w:autoRedefine/>
    <w:qFormat/>
    <w:uiPriority w:val="0"/>
    <w:pPr>
      <w:adjustRightInd w:val="0"/>
    </w:pPr>
    <w:rPr>
      <w:rFonts w:cs="Times New Roman"/>
      <w:kern w:val="0"/>
      <w:lang w:eastAsia="en-US"/>
    </w:rPr>
  </w:style>
  <w:style w:type="table" w:customStyle="1" w:styleId="61">
    <w:name w:val="表格11"/>
    <w:basedOn w:val="22"/>
    <w:autoRedefine/>
    <w:qFormat/>
    <w:uiPriority w:val="99"/>
    <w:rPr>
      <w:sz w:val="24"/>
    </w:rPr>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rPr>
      <w:jc w:val="center"/>
    </w:trPr>
    <w:tcPr>
      <w:vAlign w:val="center"/>
    </w:tcPr>
  </w:style>
  <w:style w:type="character" w:customStyle="1" w:styleId="62">
    <w:name w:val="font81"/>
    <w:basedOn w:val="24"/>
    <w:autoRedefine/>
    <w:qFormat/>
    <w:uiPriority w:val="0"/>
    <w:rPr>
      <w:rFonts w:hint="eastAsia" w:ascii="宋体" w:hAnsi="宋体" w:eastAsia="宋体" w:cs="宋体"/>
      <w:color w:val="FF0000"/>
      <w:sz w:val="20"/>
      <w:szCs w:val="20"/>
      <w:u w:val="none"/>
    </w:rPr>
  </w:style>
  <w:style w:type="character" w:customStyle="1" w:styleId="63">
    <w:name w:val="批注文字 Char"/>
    <w:basedOn w:val="24"/>
    <w:link w:val="12"/>
    <w:semiHidden/>
    <w:qFormat/>
    <w:uiPriority w:val="0"/>
    <w:rPr>
      <w:rFonts w:cs="宋体"/>
      <w:kern w:val="2"/>
      <w:sz w:val="21"/>
      <w:szCs w:val="24"/>
    </w:rPr>
  </w:style>
  <w:style w:type="character" w:customStyle="1" w:styleId="64">
    <w:name w:val="批注主题 Char"/>
    <w:basedOn w:val="63"/>
    <w:link w:val="20"/>
    <w:semiHidden/>
    <w:qFormat/>
    <w:uiPriority w:val="0"/>
    <w:rPr>
      <w:rFonts w:cs="宋体"/>
      <w:b/>
      <w:bCs/>
      <w:kern w:val="2"/>
      <w:sz w:val="21"/>
      <w:szCs w:val="24"/>
    </w:rPr>
  </w:style>
  <w:style w:type="paragraph" w:customStyle="1" w:styleId="65">
    <w:name w:val="Table Text"/>
    <w:basedOn w:val="1"/>
    <w:semiHidden/>
    <w:qFormat/>
    <w:uiPriority w:val="0"/>
    <w:rPr>
      <w:rFonts w:ascii="宋体" w:hAnsi="宋体"/>
      <w:sz w:val="45"/>
      <w:szCs w:val="45"/>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7DE57A-6A74-4D94-B998-39D38CBEB1FF}">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6411</Words>
  <Characters>7450</Characters>
  <Lines>21</Lines>
  <Paragraphs>22</Paragraphs>
  <TotalTime>5</TotalTime>
  <ScaleCrop>false</ScaleCrop>
  <LinksUpToDate>false</LinksUpToDate>
  <CharactersWithSpaces>7641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2025-07-12T02:41:00Z</dcterms:created>
  <dc:creator>Administrator</dc:creator>
  <cp:lastModifiedBy>郭田恬</cp:lastModifiedBy>
  <dcterms:modified xsi:type="dcterms:W3CDTF">2026-08-12T14:59:34Z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395146F2F83D42C3BC36D29EE226791D_13</vt:lpwstr>
  </property>
  <property fmtid="{D5CDD505-2E9C-101B-9397-08002B2CF9AE}" pid="4" name="KSOTemplateDocerSaveRecord">
    <vt:lpwstr>eyJoZGlkIjoiYzMwYTU0Zjc3YmZkYTA0YjllOWYwNDUwZTE3NDZkM2QiLCJ1c2VySWQiOiIzMjM3MTc5NjkifQ==</vt:lpwstr>
  </property>
</Properties>
</file>