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625228">
      <w:pPr>
        <w:jc w:val="center"/>
        <w:rPr>
          <w:rFonts w:ascii="宋体" w:hAnsi="宋体" w:eastAsia="宋体" w:cs="宋体"/>
          <w:b/>
          <w:bCs/>
          <w:color w:val="auto"/>
          <w:sz w:val="32"/>
          <w:szCs w:val="32"/>
        </w:rPr>
      </w:pPr>
      <w:r>
        <w:rPr>
          <w:rFonts w:hint="eastAsia" w:ascii="宋体" w:hAnsi="宋体" w:eastAsia="宋体" w:cs="宋体"/>
          <w:b/>
          <w:bCs/>
          <w:color w:val="auto"/>
          <w:sz w:val="32"/>
          <w:szCs w:val="32"/>
        </w:rPr>
        <w:t>电梯采购需求标准</w:t>
      </w:r>
    </w:p>
    <w:p w14:paraId="26B626B4">
      <w:pPr>
        <w:spacing w:line="360" w:lineRule="auto"/>
        <w:ind w:firstLine="420" w:firstLineChars="200"/>
        <w:rPr>
          <w:rFonts w:ascii="宋体" w:hAnsi="宋体" w:eastAsia="宋体" w:cs="宋体"/>
          <w:b/>
          <w:color w:val="auto"/>
          <w:szCs w:val="21"/>
        </w:rPr>
      </w:pPr>
      <w:r>
        <w:rPr>
          <w:rFonts w:hint="eastAsia" w:ascii="宋体" w:hAnsi="宋体" w:eastAsia="宋体" w:cs="宋体"/>
          <w:b/>
          <w:color w:val="auto"/>
          <w:szCs w:val="21"/>
          <w:lang w:eastAsia="zh-CN"/>
        </w:rPr>
        <w:t>一</w:t>
      </w:r>
      <w:r>
        <w:rPr>
          <w:rFonts w:hint="eastAsia" w:ascii="宋体" w:hAnsi="宋体" w:eastAsia="宋体" w:cs="宋体"/>
          <w:b/>
          <w:color w:val="auto"/>
          <w:szCs w:val="21"/>
        </w:rPr>
        <w:t>、建筑物基本情况</w:t>
      </w:r>
      <w:bookmarkStart w:id="2" w:name="_GoBack"/>
      <w:bookmarkEnd w:id="2"/>
    </w:p>
    <w:p w14:paraId="3C905091">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（一）建筑物地址：上海市长宁区虹桥路1191号</w:t>
      </w:r>
    </w:p>
    <w:p w14:paraId="1C4FCB52">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（二）建筑物状况（待建、成形未装修、建成在用）：建成在用</w:t>
      </w:r>
    </w:p>
    <w:p w14:paraId="1DD13E54">
      <w:pPr>
        <w:spacing w:line="360" w:lineRule="auto"/>
        <w:rPr>
          <w:rFonts w:ascii="宋体" w:hAnsi="宋体" w:eastAsia="宋体" w:cs="宋体"/>
          <w:color w:val="auto"/>
          <w:szCs w:val="21"/>
        </w:rPr>
      </w:pPr>
      <w:r>
        <w:rPr>
          <w:rFonts w:hint="eastAsia" w:ascii="宋体" w:hAnsi="宋体" w:eastAsia="宋体" w:cs="宋体"/>
          <w:color w:val="auto"/>
          <w:szCs w:val="21"/>
        </w:rPr>
        <w:t>需要拆旧</w:t>
      </w:r>
    </w:p>
    <w:p w14:paraId="5F0F04FF">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（三）建筑物抗震设计等级情况：</w:t>
      </w:r>
      <w:r>
        <w:rPr>
          <w:rFonts w:hint="eastAsia" w:ascii="宋体" w:hAnsi="宋体" w:eastAsia="宋体" w:cs="宋体"/>
          <w:color w:val="auto"/>
          <w:sz w:val="21"/>
          <w:szCs w:val="21"/>
          <w:lang w:val="en-US" w:eastAsia="zh-CN"/>
        </w:rPr>
        <w:t>抗震裂度8度</w:t>
      </w:r>
    </w:p>
    <w:p w14:paraId="7A0731D2">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（四）救援特殊要求：30分钟完成救援</w:t>
      </w:r>
    </w:p>
    <w:p w14:paraId="78429AD0">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（五）建筑物层站情况（楼层数量及地下室情况）：地上十六层，地下一层</w:t>
      </w:r>
    </w:p>
    <w:p w14:paraId="30BB16A8">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（六）建筑物各楼层层间距；4.5米-5.5米</w:t>
      </w:r>
    </w:p>
    <w:p w14:paraId="4DF82601">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（七）地面基站设定要求：地上一层为基站</w:t>
      </w:r>
    </w:p>
    <w:p w14:paraId="56DF74D0">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（八）电梯井道是全封闭或半封闭、透明或不透明等情况：全封闭</w:t>
      </w:r>
    </w:p>
    <w:p w14:paraId="4DC8615E">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（九）电源：380V</w:t>
      </w:r>
    </w:p>
    <w:p w14:paraId="0A65450C">
      <w:pPr>
        <w:spacing w:line="360" w:lineRule="auto"/>
        <w:ind w:firstLine="420" w:firstLineChars="200"/>
        <w:rPr>
          <w:rFonts w:hint="eastAsia" w:ascii="宋体" w:hAnsi="宋体" w:eastAsia="等线" w:cs="宋体"/>
          <w:color w:val="auto"/>
          <w:szCs w:val="21"/>
          <w:lang w:eastAsia="zh-CN"/>
        </w:rPr>
      </w:pPr>
      <w:r>
        <w:rPr>
          <w:rFonts w:hint="eastAsia" w:ascii="宋体" w:hAnsi="宋体" w:eastAsia="宋体" w:cs="宋体"/>
          <w:color w:val="auto"/>
          <w:szCs w:val="21"/>
        </w:rPr>
        <w:t>说明：</w:t>
      </w:r>
      <w:r>
        <w:rPr>
          <w:rFonts w:hint="eastAsia" w:ascii="宋体" w:hAnsi="宋体" w:eastAsia="宋体" w:cs="宋体"/>
          <w:color w:val="auto"/>
          <w:szCs w:val="21"/>
          <w:lang w:eastAsia="zh-CN"/>
        </w:rPr>
        <w:t>安排现场踏勘。</w:t>
      </w:r>
    </w:p>
    <w:p w14:paraId="6A5F7655">
      <w:pPr>
        <w:spacing w:line="360" w:lineRule="auto"/>
        <w:rPr>
          <w:rFonts w:ascii="宋体" w:hAnsi="宋体" w:eastAsia="宋体" w:cs="宋体"/>
          <w:color w:val="auto"/>
          <w:szCs w:val="21"/>
        </w:rPr>
      </w:pPr>
    </w:p>
    <w:p w14:paraId="28858D7B">
      <w:pPr>
        <w:spacing w:line="360" w:lineRule="auto"/>
        <w:ind w:firstLine="420" w:firstLineChars="200"/>
        <w:rPr>
          <w:rFonts w:ascii="宋体" w:hAnsi="宋体" w:eastAsia="宋体" w:cs="宋体"/>
          <w:b/>
          <w:color w:val="auto"/>
          <w:szCs w:val="21"/>
        </w:rPr>
      </w:pPr>
      <w:r>
        <w:rPr>
          <w:rFonts w:hint="eastAsia" w:ascii="宋体" w:hAnsi="宋体" w:eastAsia="宋体" w:cs="宋体"/>
          <w:b/>
          <w:color w:val="auto"/>
          <w:szCs w:val="21"/>
          <w:lang w:eastAsia="zh-CN"/>
        </w:rPr>
        <w:t>二</w:t>
      </w:r>
      <w:r>
        <w:rPr>
          <w:rFonts w:hint="eastAsia" w:ascii="宋体" w:hAnsi="宋体" w:eastAsia="宋体" w:cs="宋体"/>
          <w:b/>
          <w:color w:val="auto"/>
          <w:szCs w:val="21"/>
        </w:rPr>
        <w:t>、执行规定及标准</w:t>
      </w:r>
    </w:p>
    <w:p w14:paraId="6D9FFB9A">
      <w:pPr>
        <w:spacing w:line="360" w:lineRule="auto"/>
        <w:rPr>
          <w:rFonts w:ascii="宋体" w:hAnsi="宋体" w:eastAsia="宋体" w:cs="宋体"/>
          <w:color w:val="auto"/>
          <w:szCs w:val="21"/>
        </w:rPr>
      </w:pPr>
      <w:r>
        <w:rPr>
          <w:rFonts w:hint="eastAsia" w:ascii="宋体" w:hAnsi="宋体" w:eastAsia="宋体" w:cs="宋体"/>
          <w:color w:val="auto"/>
          <w:szCs w:val="21"/>
        </w:rPr>
        <w:t>所提供电梯产品至少应满足以下安全技术规范和国家标准的要求：</w:t>
      </w:r>
    </w:p>
    <w:p w14:paraId="0EB7BE11">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（一）TSG T7001-2023《电梯监督检验和定期检验规则》</w:t>
      </w:r>
    </w:p>
    <w:p w14:paraId="341A8BE2">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（二）TSG T7008-2023《电梯自行检测规则》</w:t>
      </w:r>
    </w:p>
    <w:p w14:paraId="25ED9BBE">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（三）TSG T7007-2022《电梯型式试验规则》</w:t>
      </w:r>
    </w:p>
    <w:p w14:paraId="68DD5C07">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（四）GB/T 7588.1-2020《电梯制造与安装安全规范第1部分：乘客电梯和载货电梯》</w:t>
      </w:r>
    </w:p>
    <w:p w14:paraId="7A7A2639">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（五）GB/T 7588.2-2020《电梯制造与安装安全规范第2部分：电梯部件的设计原则、计算和检验》</w:t>
      </w:r>
    </w:p>
    <w:p w14:paraId="0A106963">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（六）GB/T 10058-2009 《电梯技术条件》</w:t>
      </w:r>
    </w:p>
    <w:p w14:paraId="66B4F0B5">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（七）GB/T 10059-2009 《电梯试验方法》</w:t>
      </w:r>
    </w:p>
    <w:p w14:paraId="72B5E261">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（八）GB/T 10060-2011《电梯安装验收规范》</w:t>
      </w:r>
    </w:p>
    <w:p w14:paraId="73D72E7B">
      <w:pPr>
        <w:spacing w:line="360" w:lineRule="auto"/>
        <w:ind w:firstLine="420" w:firstLineChars="200"/>
        <w:rPr>
          <w:rFonts w:ascii="宋体" w:hAnsi="宋体" w:eastAsia="宋体" w:cs="宋体"/>
          <w:color w:val="auto"/>
          <w:szCs w:val="21"/>
          <w:highlight w:val="yellow"/>
        </w:rPr>
      </w:pPr>
      <w:r>
        <w:rPr>
          <w:rFonts w:hint="eastAsia" w:ascii="宋体" w:hAnsi="宋体" w:eastAsia="宋体" w:cs="宋体"/>
          <w:color w:val="auto"/>
          <w:szCs w:val="21"/>
        </w:rPr>
        <w:t>（九）GB55019-2021 《建筑与市政工程无障碍通用规范》</w:t>
      </w:r>
    </w:p>
    <w:p w14:paraId="226F8200">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（十）GB 25194-2010《杂物电梯制造与安装安全规范》（仅杂物电梯适用）</w:t>
      </w:r>
    </w:p>
    <w:p w14:paraId="30BFEE98">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（十一）GB/T 31094-2014《防爆电梯制造与安装规范》（仅防爆电梯适用）</w:t>
      </w:r>
    </w:p>
    <w:p w14:paraId="42E790F4">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说明：1.以上标准如有更新，按最新标准执行。2.采购需求未列明的技术要求按标准规范执行；若采购需求提出的要求高于标准规范要求的，则按采购需求所列要求执行。</w:t>
      </w:r>
    </w:p>
    <w:p w14:paraId="3E2EB364">
      <w:pPr>
        <w:spacing w:line="360" w:lineRule="auto"/>
        <w:rPr>
          <w:rFonts w:ascii="宋体" w:hAnsi="宋体" w:eastAsia="宋体" w:cs="宋体"/>
          <w:color w:val="auto"/>
          <w:szCs w:val="21"/>
        </w:rPr>
      </w:pPr>
    </w:p>
    <w:p w14:paraId="62288809">
      <w:pPr>
        <w:spacing w:line="360" w:lineRule="auto"/>
        <w:ind w:firstLine="420" w:firstLineChars="200"/>
        <w:rPr>
          <w:rFonts w:ascii="宋体" w:hAnsi="宋体" w:eastAsia="宋体" w:cs="宋体"/>
          <w:b/>
          <w:color w:val="auto"/>
          <w:szCs w:val="21"/>
        </w:rPr>
      </w:pPr>
      <w:r>
        <w:rPr>
          <w:rFonts w:hint="eastAsia" w:ascii="宋体" w:hAnsi="宋体" w:eastAsia="宋体" w:cs="宋体"/>
          <w:b/>
          <w:color w:val="auto"/>
          <w:szCs w:val="21"/>
          <w:lang w:eastAsia="zh-CN"/>
        </w:rPr>
        <w:t>三</w:t>
      </w:r>
      <w:r>
        <w:rPr>
          <w:rFonts w:hint="eastAsia" w:ascii="宋体" w:hAnsi="宋体" w:eastAsia="宋体" w:cs="宋体"/>
          <w:b/>
          <w:color w:val="auto"/>
          <w:szCs w:val="21"/>
        </w:rPr>
        <w:t>、采购标的清单</w:t>
      </w:r>
    </w:p>
    <w:tbl>
      <w:tblPr>
        <w:tblStyle w:val="10"/>
        <w:tblW w:w="8028" w:type="dxa"/>
        <w:tblInd w:w="57" w:type="dxa"/>
        <w:tblLayout w:type="autofit"/>
        <w:tblCellMar>
          <w:top w:w="0" w:type="dxa"/>
          <w:left w:w="0" w:type="dxa"/>
          <w:bottom w:w="0" w:type="dxa"/>
          <w:right w:w="0" w:type="dxa"/>
        </w:tblCellMar>
      </w:tblPr>
      <w:tblGrid>
        <w:gridCol w:w="567"/>
        <w:gridCol w:w="1418"/>
        <w:gridCol w:w="709"/>
        <w:gridCol w:w="1275"/>
        <w:gridCol w:w="1276"/>
        <w:gridCol w:w="1663"/>
        <w:gridCol w:w="1120"/>
      </w:tblGrid>
      <w:tr w14:paraId="28773E8F">
        <w:tblPrEx>
          <w:tblCellMar>
            <w:top w:w="0" w:type="dxa"/>
            <w:left w:w="0" w:type="dxa"/>
            <w:bottom w:w="0" w:type="dxa"/>
            <w:right w:w="0" w:type="dxa"/>
          </w:tblCellMar>
        </w:tblPrEx>
        <w:trPr>
          <w:tblHeader/>
        </w:trPr>
        <w:tc>
          <w:tcPr>
            <w:tcW w:w="567" w:type="dxa"/>
            <w:tcBorders>
              <w:top w:val="single" w:color="auto" w:sz="12" w:space="0"/>
              <w:left w:val="single" w:color="auto" w:sz="12" w:space="0"/>
              <w:bottom w:val="single" w:color="auto" w:sz="8" w:space="0"/>
              <w:right w:val="single" w:color="auto" w:sz="8" w:space="0"/>
            </w:tcBorders>
            <w:tcMar>
              <w:left w:w="57" w:type="dxa"/>
              <w:right w:w="57" w:type="dxa"/>
            </w:tcMar>
          </w:tcPr>
          <w:p w14:paraId="1F370254">
            <w:pPr>
              <w:widowControl/>
              <w:wordWrap w:val="0"/>
              <w:jc w:val="center"/>
              <w:rPr>
                <w:rFonts w:ascii="宋体" w:hAnsi="宋体" w:eastAsia="宋体" w:cs="宋体"/>
                <w:color w:val="auto"/>
                <w:kern w:val="0"/>
                <w:szCs w:val="21"/>
              </w:rPr>
            </w:pPr>
            <w:r>
              <w:rPr>
                <w:rFonts w:hint="eastAsia"/>
                <w:color w:val="auto"/>
              </w:rPr>
              <w:t>序号</w:t>
            </w:r>
          </w:p>
        </w:tc>
        <w:tc>
          <w:tcPr>
            <w:tcW w:w="1418" w:type="dxa"/>
            <w:tcBorders>
              <w:top w:val="single" w:color="auto" w:sz="12" w:space="0"/>
              <w:left w:val="nil"/>
              <w:bottom w:val="single" w:color="auto" w:sz="8" w:space="0"/>
              <w:right w:val="single" w:color="auto" w:sz="8" w:space="0"/>
            </w:tcBorders>
            <w:tcMar>
              <w:left w:w="57" w:type="dxa"/>
              <w:right w:w="57" w:type="dxa"/>
            </w:tcMar>
          </w:tcPr>
          <w:p w14:paraId="265DF329">
            <w:pPr>
              <w:widowControl/>
              <w:wordWrap w:val="0"/>
              <w:jc w:val="center"/>
              <w:rPr>
                <w:rFonts w:ascii="宋体" w:hAnsi="宋体" w:eastAsia="宋体" w:cs="宋体"/>
                <w:color w:val="auto"/>
                <w:kern w:val="0"/>
                <w:szCs w:val="21"/>
              </w:rPr>
            </w:pPr>
            <w:r>
              <w:rPr>
                <w:rFonts w:hint="eastAsia"/>
                <w:color w:val="auto"/>
              </w:rPr>
              <w:t>类别</w:t>
            </w:r>
          </w:p>
        </w:tc>
        <w:tc>
          <w:tcPr>
            <w:tcW w:w="709" w:type="dxa"/>
            <w:tcBorders>
              <w:top w:val="single" w:color="auto" w:sz="12" w:space="0"/>
              <w:left w:val="nil"/>
              <w:bottom w:val="single" w:color="auto" w:sz="8" w:space="0"/>
              <w:right w:val="single" w:color="auto" w:sz="8" w:space="0"/>
            </w:tcBorders>
            <w:tcMar>
              <w:left w:w="57" w:type="dxa"/>
              <w:right w:w="57" w:type="dxa"/>
            </w:tcMar>
          </w:tcPr>
          <w:p w14:paraId="657E312B">
            <w:pPr>
              <w:widowControl/>
              <w:wordWrap w:val="0"/>
              <w:jc w:val="center"/>
              <w:rPr>
                <w:rFonts w:ascii="宋体" w:hAnsi="宋体" w:eastAsia="宋体" w:cs="宋体"/>
                <w:color w:val="auto"/>
                <w:kern w:val="0"/>
                <w:szCs w:val="21"/>
              </w:rPr>
            </w:pPr>
            <w:r>
              <w:rPr>
                <w:rFonts w:hint="eastAsia"/>
                <w:color w:val="auto"/>
              </w:rPr>
              <w:t>数量</w:t>
            </w:r>
          </w:p>
        </w:tc>
        <w:tc>
          <w:tcPr>
            <w:tcW w:w="1275" w:type="dxa"/>
            <w:tcBorders>
              <w:top w:val="single" w:color="auto" w:sz="12" w:space="0"/>
              <w:left w:val="nil"/>
              <w:bottom w:val="single" w:color="auto" w:sz="8" w:space="0"/>
              <w:right w:val="single" w:color="auto" w:sz="8" w:space="0"/>
            </w:tcBorders>
            <w:tcMar>
              <w:left w:w="57" w:type="dxa"/>
              <w:right w:w="57" w:type="dxa"/>
            </w:tcMar>
          </w:tcPr>
          <w:p w14:paraId="6C240EB9">
            <w:pPr>
              <w:widowControl/>
              <w:wordWrap w:val="0"/>
              <w:jc w:val="center"/>
              <w:rPr>
                <w:rFonts w:ascii="宋体" w:hAnsi="宋体" w:eastAsia="宋体" w:cs="宋体"/>
                <w:color w:val="auto"/>
                <w:kern w:val="0"/>
                <w:szCs w:val="21"/>
              </w:rPr>
            </w:pPr>
            <w:r>
              <w:rPr>
                <w:rFonts w:hint="eastAsia"/>
                <w:color w:val="auto"/>
              </w:rPr>
              <w:t>额定载重量</w:t>
            </w:r>
          </w:p>
        </w:tc>
        <w:tc>
          <w:tcPr>
            <w:tcW w:w="1276" w:type="dxa"/>
            <w:tcBorders>
              <w:top w:val="single" w:color="auto" w:sz="12" w:space="0"/>
              <w:left w:val="nil"/>
              <w:bottom w:val="single" w:color="auto" w:sz="8" w:space="0"/>
              <w:right w:val="single" w:color="auto" w:sz="8" w:space="0"/>
            </w:tcBorders>
            <w:tcMar>
              <w:left w:w="57" w:type="dxa"/>
              <w:right w:w="57" w:type="dxa"/>
            </w:tcMar>
          </w:tcPr>
          <w:p w14:paraId="0F8A0B04">
            <w:pPr>
              <w:widowControl/>
              <w:wordWrap w:val="0"/>
              <w:jc w:val="center"/>
              <w:rPr>
                <w:rFonts w:ascii="宋体" w:hAnsi="宋体" w:eastAsia="宋体" w:cs="宋体"/>
                <w:color w:val="auto"/>
                <w:kern w:val="0"/>
                <w:szCs w:val="21"/>
              </w:rPr>
            </w:pPr>
            <w:r>
              <w:rPr>
                <w:rFonts w:hint="eastAsia"/>
                <w:color w:val="auto"/>
              </w:rPr>
              <w:t>额定速度</w:t>
            </w:r>
          </w:p>
        </w:tc>
        <w:tc>
          <w:tcPr>
            <w:tcW w:w="1663" w:type="dxa"/>
            <w:tcBorders>
              <w:top w:val="single" w:color="auto" w:sz="12" w:space="0"/>
              <w:left w:val="nil"/>
              <w:bottom w:val="single" w:color="auto" w:sz="8" w:space="0"/>
              <w:right w:val="single" w:color="auto" w:sz="8" w:space="0"/>
            </w:tcBorders>
            <w:tcMar>
              <w:left w:w="57" w:type="dxa"/>
              <w:right w:w="57" w:type="dxa"/>
            </w:tcMar>
          </w:tcPr>
          <w:p w14:paraId="233C1DA1">
            <w:pPr>
              <w:widowControl/>
              <w:wordWrap w:val="0"/>
              <w:jc w:val="center"/>
              <w:rPr>
                <w:rFonts w:ascii="宋体" w:hAnsi="宋体" w:eastAsia="宋体" w:cs="宋体"/>
                <w:color w:val="auto"/>
                <w:kern w:val="0"/>
                <w:szCs w:val="21"/>
              </w:rPr>
            </w:pPr>
            <w:r>
              <w:rPr>
                <w:rFonts w:hint="eastAsia"/>
                <w:color w:val="auto"/>
              </w:rPr>
              <w:t>层/站/门</w:t>
            </w:r>
          </w:p>
        </w:tc>
        <w:tc>
          <w:tcPr>
            <w:tcW w:w="1120" w:type="dxa"/>
            <w:tcBorders>
              <w:top w:val="single" w:color="auto" w:sz="12" w:space="0"/>
              <w:left w:val="nil"/>
              <w:bottom w:val="single" w:color="auto" w:sz="8" w:space="0"/>
              <w:right w:val="single" w:color="auto" w:sz="12" w:space="0"/>
            </w:tcBorders>
            <w:tcMar>
              <w:left w:w="108" w:type="dxa"/>
              <w:right w:w="108" w:type="dxa"/>
            </w:tcMar>
          </w:tcPr>
          <w:p w14:paraId="39A4CCF6">
            <w:pPr>
              <w:widowControl/>
              <w:wordWrap w:val="0"/>
              <w:rPr>
                <w:rFonts w:ascii="宋体" w:hAnsi="宋体" w:eastAsia="宋体" w:cs="宋体"/>
                <w:color w:val="auto"/>
                <w:kern w:val="0"/>
                <w:szCs w:val="21"/>
              </w:rPr>
            </w:pPr>
            <w:r>
              <w:rPr>
                <w:rFonts w:hint="eastAsia"/>
                <w:color w:val="auto"/>
              </w:rPr>
              <w:t>备注</w:t>
            </w:r>
          </w:p>
        </w:tc>
      </w:tr>
      <w:tr w14:paraId="0C1D8384">
        <w:tblPrEx>
          <w:tblCellMar>
            <w:top w:w="0" w:type="dxa"/>
            <w:left w:w="0" w:type="dxa"/>
            <w:bottom w:w="0" w:type="dxa"/>
            <w:right w:w="0" w:type="dxa"/>
          </w:tblCellMar>
        </w:tblPrEx>
        <w:trPr>
          <w:trHeight w:val="405" w:hRule="atLeast"/>
        </w:trPr>
        <w:tc>
          <w:tcPr>
            <w:tcW w:w="567" w:type="dxa"/>
            <w:tcBorders>
              <w:top w:val="nil"/>
              <w:left w:val="single" w:color="auto" w:sz="12" w:space="0"/>
              <w:bottom w:val="single" w:color="auto" w:sz="8" w:space="0"/>
              <w:right w:val="single" w:color="auto" w:sz="8" w:space="0"/>
            </w:tcBorders>
            <w:tcMar>
              <w:left w:w="108" w:type="dxa"/>
              <w:right w:w="108" w:type="dxa"/>
            </w:tcMar>
          </w:tcPr>
          <w:p w14:paraId="3ED4E0A6">
            <w:pPr>
              <w:widowControl/>
              <w:wordWrap w:val="0"/>
              <w:jc w:val="center"/>
              <w:rPr>
                <w:rFonts w:ascii="宋体" w:hAnsi="宋体" w:eastAsia="宋体" w:cs="宋体"/>
                <w:color w:val="auto"/>
                <w:kern w:val="0"/>
                <w:szCs w:val="21"/>
              </w:rPr>
            </w:pPr>
            <w:r>
              <w:rPr>
                <w:rFonts w:hint="eastAsia"/>
                <w:color w:val="auto"/>
              </w:rPr>
              <w:t>1</w:t>
            </w:r>
          </w:p>
        </w:tc>
        <w:tc>
          <w:tcPr>
            <w:tcW w:w="1418" w:type="dxa"/>
            <w:tcBorders>
              <w:top w:val="nil"/>
              <w:left w:val="nil"/>
              <w:bottom w:val="single" w:color="auto" w:sz="8" w:space="0"/>
              <w:right w:val="single" w:color="auto" w:sz="8" w:space="0"/>
            </w:tcBorders>
            <w:tcMar>
              <w:left w:w="108" w:type="dxa"/>
              <w:right w:w="108" w:type="dxa"/>
            </w:tcMar>
          </w:tcPr>
          <w:p w14:paraId="03713FBB">
            <w:pPr>
              <w:widowControl/>
              <w:wordWrap w:val="0"/>
              <w:jc w:val="left"/>
              <w:rPr>
                <w:rFonts w:ascii="宋体" w:hAnsi="宋体" w:eastAsia="宋体" w:cs="宋体"/>
                <w:color w:val="auto"/>
                <w:kern w:val="0"/>
                <w:szCs w:val="21"/>
              </w:rPr>
            </w:pPr>
            <w:r>
              <w:rPr>
                <w:rFonts w:hint="eastAsia" w:ascii="宋体" w:hAnsi="宋体" w:eastAsia="宋体" w:cs="宋体"/>
                <w:i w:val="0"/>
                <w:iCs w:val="0"/>
                <w:color w:val="auto"/>
                <w:kern w:val="0"/>
                <w:sz w:val="24"/>
                <w:szCs w:val="24"/>
                <w:u w:val="none"/>
                <w:lang w:val="en-US" w:eastAsia="zh-CN" w:bidi="ar"/>
              </w:rPr>
              <w:t>乘客电梯（核心产品）</w:t>
            </w:r>
          </w:p>
        </w:tc>
        <w:tc>
          <w:tcPr>
            <w:tcW w:w="709" w:type="dxa"/>
            <w:tcBorders>
              <w:top w:val="nil"/>
              <w:left w:val="nil"/>
              <w:bottom w:val="single" w:color="auto" w:sz="8" w:space="0"/>
              <w:right w:val="single" w:color="auto" w:sz="8" w:space="0"/>
            </w:tcBorders>
            <w:tcMar>
              <w:left w:w="108" w:type="dxa"/>
              <w:right w:w="108" w:type="dxa"/>
            </w:tcMar>
          </w:tcPr>
          <w:p w14:paraId="43E80492">
            <w:pPr>
              <w:widowControl/>
              <w:wordWrap w:val="0"/>
              <w:jc w:val="left"/>
              <w:rPr>
                <w:rFonts w:ascii="宋体" w:hAnsi="宋体" w:eastAsia="宋体" w:cs="宋体"/>
                <w:color w:val="auto"/>
                <w:kern w:val="0"/>
                <w:szCs w:val="21"/>
              </w:rPr>
            </w:pPr>
            <w:r>
              <w:rPr>
                <w:rFonts w:hint="eastAsia"/>
                <w:color w:val="auto"/>
              </w:rPr>
              <w:t>2</w:t>
            </w:r>
          </w:p>
        </w:tc>
        <w:tc>
          <w:tcPr>
            <w:tcW w:w="1275" w:type="dxa"/>
            <w:tcBorders>
              <w:top w:val="nil"/>
              <w:left w:val="nil"/>
              <w:bottom w:val="single" w:color="auto" w:sz="8" w:space="0"/>
              <w:right w:val="single" w:color="auto" w:sz="8" w:space="0"/>
            </w:tcBorders>
            <w:tcMar>
              <w:left w:w="108" w:type="dxa"/>
              <w:right w:w="108" w:type="dxa"/>
            </w:tcMar>
          </w:tcPr>
          <w:p w14:paraId="358A43FA">
            <w:pPr>
              <w:widowControl/>
              <w:wordWrap w:val="0"/>
              <w:jc w:val="left"/>
              <w:rPr>
                <w:rFonts w:ascii="宋体" w:hAnsi="宋体" w:eastAsia="宋体" w:cs="宋体"/>
                <w:color w:val="auto"/>
                <w:kern w:val="0"/>
                <w:szCs w:val="21"/>
              </w:rPr>
            </w:pPr>
            <w:r>
              <w:rPr>
                <w:rFonts w:hint="eastAsia"/>
                <w:color w:val="auto"/>
              </w:rPr>
              <w:t>1000kg</w:t>
            </w:r>
          </w:p>
        </w:tc>
        <w:tc>
          <w:tcPr>
            <w:tcW w:w="1276" w:type="dxa"/>
            <w:tcBorders>
              <w:top w:val="nil"/>
              <w:left w:val="nil"/>
              <w:bottom w:val="single" w:color="auto" w:sz="8" w:space="0"/>
              <w:right w:val="single" w:color="auto" w:sz="8" w:space="0"/>
            </w:tcBorders>
            <w:tcMar>
              <w:left w:w="108" w:type="dxa"/>
              <w:right w:w="108" w:type="dxa"/>
            </w:tcMar>
          </w:tcPr>
          <w:p w14:paraId="56BF31CE">
            <w:pPr>
              <w:widowControl/>
              <w:wordWrap w:val="0"/>
              <w:jc w:val="left"/>
              <w:rPr>
                <w:rFonts w:ascii="宋体" w:hAnsi="宋体" w:eastAsia="宋体" w:cs="宋体"/>
                <w:color w:val="auto"/>
                <w:kern w:val="0"/>
                <w:szCs w:val="21"/>
              </w:rPr>
            </w:pPr>
            <w:r>
              <w:rPr>
                <w:rFonts w:hint="eastAsia"/>
                <w:color w:val="auto"/>
              </w:rPr>
              <w:t>2.5 m/s</w:t>
            </w:r>
          </w:p>
        </w:tc>
        <w:tc>
          <w:tcPr>
            <w:tcW w:w="1663" w:type="dxa"/>
            <w:tcBorders>
              <w:top w:val="nil"/>
              <w:left w:val="nil"/>
              <w:bottom w:val="single" w:color="auto" w:sz="8" w:space="0"/>
              <w:right w:val="single" w:color="auto" w:sz="8" w:space="0"/>
            </w:tcBorders>
            <w:tcMar>
              <w:left w:w="108" w:type="dxa"/>
              <w:right w:w="108" w:type="dxa"/>
            </w:tcMar>
          </w:tcPr>
          <w:p w14:paraId="31469772">
            <w:pPr>
              <w:widowControl/>
              <w:wordWrap w:val="0"/>
              <w:jc w:val="left"/>
              <w:rPr>
                <w:rFonts w:ascii="宋体" w:hAnsi="宋体" w:eastAsia="宋体" w:cs="宋体"/>
                <w:color w:val="auto"/>
                <w:kern w:val="0"/>
                <w:szCs w:val="21"/>
              </w:rPr>
            </w:pPr>
            <w:r>
              <w:rPr>
                <w:rFonts w:hint="eastAsia"/>
                <w:color w:val="auto"/>
              </w:rPr>
              <w:t>16/16/16</w:t>
            </w:r>
          </w:p>
        </w:tc>
        <w:tc>
          <w:tcPr>
            <w:tcW w:w="1120" w:type="dxa"/>
            <w:tcBorders>
              <w:top w:val="nil"/>
              <w:left w:val="nil"/>
              <w:bottom w:val="single" w:color="auto" w:sz="8" w:space="0"/>
              <w:right w:val="single" w:color="auto" w:sz="12" w:space="0"/>
            </w:tcBorders>
            <w:tcMar>
              <w:left w:w="108" w:type="dxa"/>
              <w:right w:w="108" w:type="dxa"/>
            </w:tcMar>
          </w:tcPr>
          <w:p w14:paraId="039B477D">
            <w:pPr>
              <w:widowControl/>
              <w:wordWrap w:val="0"/>
              <w:jc w:val="left"/>
              <w:rPr>
                <w:rFonts w:ascii="宋体" w:hAnsi="宋体" w:eastAsia="宋体" w:cs="宋体"/>
                <w:color w:val="auto"/>
                <w:kern w:val="0"/>
                <w:szCs w:val="21"/>
              </w:rPr>
            </w:pPr>
          </w:p>
        </w:tc>
      </w:tr>
      <w:tr w14:paraId="7FAB7BE9">
        <w:tblPrEx>
          <w:tblCellMar>
            <w:top w:w="0" w:type="dxa"/>
            <w:left w:w="0" w:type="dxa"/>
            <w:bottom w:w="0" w:type="dxa"/>
            <w:right w:w="0" w:type="dxa"/>
          </w:tblCellMar>
        </w:tblPrEx>
        <w:trPr>
          <w:trHeight w:val="405" w:hRule="atLeast"/>
        </w:trPr>
        <w:tc>
          <w:tcPr>
            <w:tcW w:w="567" w:type="dxa"/>
            <w:tcBorders>
              <w:top w:val="nil"/>
              <w:left w:val="single" w:color="auto" w:sz="12" w:space="0"/>
              <w:bottom w:val="single" w:color="auto" w:sz="8" w:space="0"/>
              <w:right w:val="single" w:color="auto" w:sz="8" w:space="0"/>
            </w:tcBorders>
            <w:tcMar>
              <w:left w:w="108" w:type="dxa"/>
              <w:right w:w="108" w:type="dxa"/>
            </w:tcMar>
          </w:tcPr>
          <w:p w14:paraId="4417D25B">
            <w:pPr>
              <w:widowControl/>
              <w:wordWrap w:val="0"/>
              <w:jc w:val="center"/>
              <w:rPr>
                <w:rFonts w:ascii="宋体" w:hAnsi="宋体" w:eastAsia="宋体" w:cs="宋体"/>
                <w:color w:val="auto"/>
                <w:kern w:val="0"/>
                <w:szCs w:val="21"/>
              </w:rPr>
            </w:pPr>
            <w:r>
              <w:rPr>
                <w:rFonts w:hint="eastAsia"/>
                <w:color w:val="auto"/>
              </w:rPr>
              <w:t>2</w:t>
            </w:r>
          </w:p>
        </w:tc>
        <w:tc>
          <w:tcPr>
            <w:tcW w:w="1418" w:type="dxa"/>
            <w:tcBorders>
              <w:top w:val="nil"/>
              <w:left w:val="nil"/>
              <w:bottom w:val="single" w:color="auto" w:sz="8" w:space="0"/>
              <w:right w:val="single" w:color="auto" w:sz="8" w:space="0"/>
            </w:tcBorders>
            <w:tcMar>
              <w:left w:w="108" w:type="dxa"/>
              <w:right w:w="108" w:type="dxa"/>
            </w:tcMar>
          </w:tcPr>
          <w:p w14:paraId="71D4CFEC">
            <w:pPr>
              <w:widowControl/>
              <w:wordWrap w:val="0"/>
              <w:jc w:val="left"/>
              <w:rPr>
                <w:rFonts w:ascii="宋体" w:hAnsi="宋体" w:eastAsia="宋体" w:cs="宋体"/>
                <w:color w:val="auto"/>
                <w:kern w:val="0"/>
                <w:szCs w:val="21"/>
              </w:rPr>
            </w:pPr>
            <w:r>
              <w:rPr>
                <w:rFonts w:hint="eastAsia" w:ascii="宋体" w:hAnsi="宋体" w:eastAsia="宋体" w:cs="宋体"/>
                <w:i w:val="0"/>
                <w:iCs w:val="0"/>
                <w:color w:val="auto"/>
                <w:kern w:val="0"/>
                <w:sz w:val="24"/>
                <w:szCs w:val="24"/>
                <w:u w:val="none"/>
                <w:lang w:val="en-US" w:eastAsia="zh-CN" w:bidi="ar"/>
              </w:rPr>
              <w:t>客货电梯</w:t>
            </w:r>
          </w:p>
        </w:tc>
        <w:tc>
          <w:tcPr>
            <w:tcW w:w="709" w:type="dxa"/>
            <w:tcBorders>
              <w:top w:val="nil"/>
              <w:left w:val="nil"/>
              <w:bottom w:val="single" w:color="auto" w:sz="8" w:space="0"/>
              <w:right w:val="single" w:color="auto" w:sz="8" w:space="0"/>
            </w:tcBorders>
            <w:tcMar>
              <w:left w:w="108" w:type="dxa"/>
              <w:right w:w="108" w:type="dxa"/>
            </w:tcMar>
          </w:tcPr>
          <w:p w14:paraId="2E67430C">
            <w:pPr>
              <w:widowControl/>
              <w:wordWrap w:val="0"/>
              <w:jc w:val="left"/>
              <w:rPr>
                <w:rFonts w:ascii="宋体" w:hAnsi="宋体" w:eastAsia="宋体" w:cs="宋体"/>
                <w:color w:val="auto"/>
                <w:kern w:val="0"/>
                <w:szCs w:val="21"/>
              </w:rPr>
            </w:pPr>
            <w:r>
              <w:rPr>
                <w:rFonts w:hint="eastAsia"/>
                <w:color w:val="auto"/>
              </w:rPr>
              <w:t>1</w:t>
            </w:r>
          </w:p>
        </w:tc>
        <w:tc>
          <w:tcPr>
            <w:tcW w:w="1275" w:type="dxa"/>
            <w:tcBorders>
              <w:top w:val="nil"/>
              <w:left w:val="nil"/>
              <w:bottom w:val="single" w:color="auto" w:sz="8" w:space="0"/>
              <w:right w:val="single" w:color="auto" w:sz="8" w:space="0"/>
            </w:tcBorders>
            <w:tcMar>
              <w:left w:w="108" w:type="dxa"/>
              <w:right w:w="108" w:type="dxa"/>
            </w:tcMar>
          </w:tcPr>
          <w:p w14:paraId="72CB9681">
            <w:pPr>
              <w:widowControl/>
              <w:wordWrap w:val="0"/>
              <w:jc w:val="left"/>
              <w:rPr>
                <w:rFonts w:ascii="宋体" w:hAnsi="宋体" w:eastAsia="宋体" w:cs="宋体"/>
                <w:color w:val="auto"/>
                <w:kern w:val="0"/>
                <w:szCs w:val="21"/>
              </w:rPr>
            </w:pPr>
            <w:r>
              <w:rPr>
                <w:rFonts w:hint="eastAsia"/>
                <w:color w:val="auto"/>
              </w:rPr>
              <w:t>1600kg</w:t>
            </w:r>
          </w:p>
        </w:tc>
        <w:tc>
          <w:tcPr>
            <w:tcW w:w="1276" w:type="dxa"/>
            <w:tcBorders>
              <w:top w:val="nil"/>
              <w:left w:val="nil"/>
              <w:bottom w:val="single" w:color="auto" w:sz="8" w:space="0"/>
              <w:right w:val="single" w:color="auto" w:sz="8" w:space="0"/>
            </w:tcBorders>
            <w:tcMar>
              <w:left w:w="108" w:type="dxa"/>
              <w:right w:w="108" w:type="dxa"/>
            </w:tcMar>
          </w:tcPr>
          <w:p w14:paraId="664875A8">
            <w:pPr>
              <w:widowControl/>
              <w:wordWrap w:val="0"/>
              <w:jc w:val="left"/>
              <w:rPr>
                <w:rFonts w:ascii="宋体" w:hAnsi="宋体" w:eastAsia="宋体" w:cs="宋体"/>
                <w:color w:val="auto"/>
                <w:kern w:val="0"/>
                <w:szCs w:val="21"/>
              </w:rPr>
            </w:pPr>
            <w:r>
              <w:rPr>
                <w:rFonts w:hint="eastAsia"/>
                <w:color w:val="auto"/>
              </w:rPr>
              <w:t>1.75 m/s</w:t>
            </w:r>
          </w:p>
        </w:tc>
        <w:tc>
          <w:tcPr>
            <w:tcW w:w="1663" w:type="dxa"/>
            <w:tcBorders>
              <w:top w:val="nil"/>
              <w:left w:val="nil"/>
              <w:bottom w:val="single" w:color="auto" w:sz="8" w:space="0"/>
              <w:right w:val="single" w:color="auto" w:sz="8" w:space="0"/>
            </w:tcBorders>
            <w:tcMar>
              <w:left w:w="108" w:type="dxa"/>
              <w:right w:w="108" w:type="dxa"/>
            </w:tcMar>
          </w:tcPr>
          <w:p w14:paraId="4900EB1A">
            <w:pPr>
              <w:widowControl/>
              <w:wordWrap w:val="0"/>
              <w:jc w:val="left"/>
              <w:rPr>
                <w:rFonts w:ascii="宋体" w:hAnsi="宋体" w:eastAsia="宋体" w:cs="宋体"/>
                <w:color w:val="auto"/>
                <w:kern w:val="0"/>
                <w:szCs w:val="21"/>
              </w:rPr>
            </w:pPr>
            <w:r>
              <w:rPr>
                <w:rFonts w:hint="eastAsia"/>
                <w:color w:val="auto"/>
              </w:rPr>
              <w:t>17/17/18</w:t>
            </w:r>
          </w:p>
        </w:tc>
        <w:tc>
          <w:tcPr>
            <w:tcW w:w="1120" w:type="dxa"/>
            <w:tcBorders>
              <w:top w:val="nil"/>
              <w:left w:val="nil"/>
              <w:bottom w:val="single" w:color="auto" w:sz="8" w:space="0"/>
              <w:right w:val="single" w:color="auto" w:sz="12" w:space="0"/>
            </w:tcBorders>
            <w:tcMar>
              <w:left w:w="108" w:type="dxa"/>
              <w:right w:w="108" w:type="dxa"/>
            </w:tcMar>
          </w:tcPr>
          <w:p w14:paraId="5E6DD74C">
            <w:pPr>
              <w:widowControl/>
              <w:wordWrap w:val="0"/>
              <w:jc w:val="left"/>
              <w:rPr>
                <w:rFonts w:ascii="宋体" w:hAnsi="宋体" w:eastAsia="宋体" w:cs="宋体"/>
                <w:color w:val="auto"/>
                <w:kern w:val="0"/>
                <w:szCs w:val="21"/>
              </w:rPr>
            </w:pPr>
            <w:r>
              <w:rPr>
                <w:rFonts w:hint="eastAsia"/>
                <w:color w:val="auto"/>
              </w:rPr>
              <w:t>1F</w:t>
            </w:r>
            <w:r>
              <w:rPr>
                <w:rFonts w:hint="eastAsia"/>
                <w:color w:val="auto"/>
                <w:lang w:val="en-US" w:eastAsia="zh-CN"/>
              </w:rPr>
              <w:t>对开门</w:t>
            </w:r>
          </w:p>
        </w:tc>
      </w:tr>
    </w:tbl>
    <w:p w14:paraId="79A51DB6">
      <w:pPr>
        <w:spacing w:line="360" w:lineRule="auto"/>
        <w:rPr>
          <w:rFonts w:ascii="宋体" w:hAnsi="宋体" w:eastAsia="宋体" w:cs="宋体"/>
          <w:color w:val="auto"/>
          <w:szCs w:val="21"/>
        </w:rPr>
      </w:pPr>
    </w:p>
    <w:p w14:paraId="4B02612D">
      <w:pPr>
        <w:spacing w:line="360" w:lineRule="auto"/>
        <w:ind w:firstLine="420" w:firstLineChars="200"/>
        <w:rPr>
          <w:rFonts w:ascii="宋体" w:hAnsi="宋体" w:eastAsia="宋体" w:cs="宋体"/>
          <w:b/>
          <w:color w:val="auto"/>
          <w:szCs w:val="21"/>
        </w:rPr>
      </w:pPr>
      <w:r>
        <w:rPr>
          <w:rFonts w:hint="eastAsia" w:ascii="宋体" w:hAnsi="宋体" w:eastAsia="宋体" w:cs="宋体"/>
          <w:b/>
          <w:color w:val="auto"/>
          <w:szCs w:val="21"/>
          <w:lang w:eastAsia="zh-CN"/>
        </w:rPr>
        <w:t>四</w:t>
      </w:r>
      <w:r>
        <w:rPr>
          <w:rFonts w:hint="eastAsia" w:ascii="宋体" w:hAnsi="宋体" w:eastAsia="宋体" w:cs="宋体"/>
          <w:b/>
          <w:color w:val="auto"/>
          <w:szCs w:val="21"/>
        </w:rPr>
        <w:t>、土建尺寸、技术参数、功能要求、性能指标、其他要求</w:t>
      </w:r>
    </w:p>
    <w:p w14:paraId="77271F64">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lang w:eastAsia="zh-CN"/>
        </w:rPr>
        <w:t>详见</w:t>
      </w:r>
      <w:r>
        <w:rPr>
          <w:rFonts w:hint="eastAsia" w:ascii="宋体" w:hAnsi="宋体" w:eastAsia="宋体" w:cs="宋体"/>
          <w:color w:val="auto"/>
          <w:szCs w:val="21"/>
        </w:rPr>
        <w:t>Excel表格</w:t>
      </w:r>
      <w:r>
        <w:rPr>
          <w:rFonts w:hint="eastAsia" w:ascii="宋体" w:hAnsi="宋体" w:eastAsia="宋体" w:cs="宋体"/>
          <w:color w:val="auto"/>
          <w:szCs w:val="21"/>
        </w:rPr>
        <w:t>。</w:t>
      </w:r>
    </w:p>
    <w:p w14:paraId="09CB6E30">
      <w:pPr>
        <w:spacing w:line="360" w:lineRule="auto"/>
        <w:rPr>
          <w:rFonts w:ascii="宋体" w:hAnsi="宋体" w:eastAsia="宋体" w:cs="宋体"/>
          <w:color w:val="auto"/>
          <w:szCs w:val="21"/>
        </w:rPr>
      </w:pPr>
    </w:p>
    <w:p w14:paraId="0BD65103">
      <w:pPr>
        <w:spacing w:line="360" w:lineRule="auto"/>
        <w:ind w:firstLine="420" w:firstLineChars="200"/>
        <w:rPr>
          <w:rFonts w:ascii="宋体" w:hAnsi="宋体" w:eastAsia="宋体" w:cs="宋体"/>
          <w:b/>
          <w:color w:val="auto"/>
          <w:szCs w:val="21"/>
        </w:rPr>
      </w:pPr>
      <w:r>
        <w:rPr>
          <w:rFonts w:hint="eastAsia" w:ascii="宋体" w:hAnsi="宋体" w:eastAsia="宋体" w:cs="宋体"/>
          <w:b/>
          <w:color w:val="auto"/>
          <w:szCs w:val="21"/>
          <w:lang w:eastAsia="zh-CN"/>
        </w:rPr>
        <w:t>五</w:t>
      </w:r>
      <w:r>
        <w:rPr>
          <w:rFonts w:hint="eastAsia" w:ascii="宋体" w:hAnsi="宋体" w:eastAsia="宋体" w:cs="宋体"/>
          <w:b/>
          <w:color w:val="auto"/>
          <w:szCs w:val="21"/>
        </w:rPr>
        <w:t>、商务要求</w:t>
      </w:r>
    </w:p>
    <w:p w14:paraId="73742856">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（一）包装和运输</w:t>
      </w:r>
    </w:p>
    <w:p w14:paraId="310AD9F5">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采购人应参照财政部等印发的《商品包装政府采购需求标准（试行）》《快递包装政府采购需求标准（试行）》（财办库〔2020〕123号），明确具体电梯包装要求。</w:t>
      </w:r>
    </w:p>
    <w:p w14:paraId="570E0861">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（二）保险</w:t>
      </w:r>
    </w:p>
    <w:p w14:paraId="63B2E0E1">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采购人可以要求供应商结合当地市场监管部门相关政策购买电梯责任保险或其他等同形式的商业保险，并明确保险的受益人。</w:t>
      </w:r>
    </w:p>
    <w:p w14:paraId="6E837B56">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（三）出厂检验</w:t>
      </w:r>
    </w:p>
    <w:p w14:paraId="19EF4F38">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供应商所提供的电梯品牌制造单位必须履行电梯出厂检验程序，提供随机附带的配置说明文件。对需要使用密码接入控制器的，应要求其在安装使用维护说明中标明该预设密码。</w:t>
      </w:r>
    </w:p>
    <w:p w14:paraId="33E47562">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（四）到货检验</w:t>
      </w:r>
    </w:p>
    <w:p w14:paraId="72620281">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供应商在货物运抵安装位置后应当履行到货检验手续。到货检验可由采购人（含采购人委托的监理单位）、供应商共同进行，必要时可约定邀请第三方专业检验检测机构参与。检验内容包括对照采购清单及技术要求检查相关品牌证书、装箱清单（含设备的主、附件）、产品配置说明、设备出厂检验报告、整机及安全保护装置型式试验证书等相关文件证书等。</w:t>
      </w:r>
    </w:p>
    <w:p w14:paraId="61634B23">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（五）安装调试</w:t>
      </w:r>
    </w:p>
    <w:p w14:paraId="51A87E83">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1.电梯安装施工过程中，中标供应商应当服从</w:t>
      </w:r>
      <w:r>
        <w:rPr>
          <w:rFonts w:hint="eastAsia" w:ascii="宋体" w:hAnsi="宋体" w:eastAsia="宋体" w:cs="宋体"/>
          <w:color w:val="auto"/>
          <w:szCs w:val="21"/>
          <w:lang w:eastAsia="zh-CN"/>
        </w:rPr>
        <w:t>采购人</w:t>
      </w:r>
      <w:r>
        <w:rPr>
          <w:rFonts w:hint="eastAsia" w:ascii="宋体" w:hAnsi="宋体" w:eastAsia="宋体" w:cs="宋体"/>
          <w:color w:val="auto"/>
          <w:szCs w:val="21"/>
        </w:rPr>
        <w:t>对施工现场安全生产的管理，落实现场安全防护措施，并明确各自的安全责任。</w:t>
      </w:r>
    </w:p>
    <w:p w14:paraId="3157C53D">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2.电梯安装施工期间应在电梯口的显著位置设置警示标志和公示牌，并采取必要的防护措施，公示牌载明作业内容、施工期限、施工单位、责任人、联系方式等信息。</w:t>
      </w:r>
    </w:p>
    <w:p w14:paraId="5AE23CCE">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3.中标供应商不得采用更改软件程序、变动硬件设施等技术手段设置技术障碍，影响电梯正常运行。</w:t>
      </w:r>
    </w:p>
    <w:p w14:paraId="74CB43D5">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4.中标供应商不得以任何形式允许、默许其他单位或者个人将未经检验或者检验不合格的电梯投入使用。</w:t>
      </w:r>
    </w:p>
    <w:p w14:paraId="14790997">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5.中标供应商应提供必要的技术服务和必需的备品配件，指导并协助解决电梯安装、调试、使用过程中涉及的质量安全问题，并在安装竣工后进行整机验收、出具整机质量证明文件。</w:t>
      </w:r>
    </w:p>
    <w:p w14:paraId="245EDF93">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（六）交付检验</w:t>
      </w:r>
    </w:p>
    <w:p w14:paraId="5472585C">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中标供应商应提供交付检验服务。招标文件、投标文件、厂家货物技术标准说明及国家有关的质量标准规定均为验收依据。交付检验至少应满足以下要求：</w:t>
      </w:r>
    </w:p>
    <w:p w14:paraId="56CF405B">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1.电梯安装调试完毕后，采购人根据招标文件、投标文件、厂家货物技术标准说明等内容进行检查，符合要求后提请特种设备监督检验机构进行监督检验。必要时可约定邀请第三方专业检验检测机构参与。</w:t>
      </w:r>
    </w:p>
    <w:p w14:paraId="5555B7D4">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2.电梯安装监督检验须由经核准的特种设备监督检验机构进行，检验合格并完成电梯使用登记手续后方视为完成交付检验。</w:t>
      </w:r>
    </w:p>
    <w:p w14:paraId="789AB9FE">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完成交付检验后，中标供应商应向采购人移交监督检验报告、特种设备使用标志、电梯相关建筑接口符合性声明、配置说明、型式试验证书、电气原理图、整机质量证明文件、安装使用维护保养说明书、应急救援说明、非金属材质部件使用声明（如果有）、未设置人为障碍声明、变更设计证明文件（如果有）、安装自检报告等有关资料。</w:t>
      </w:r>
    </w:p>
    <w:p w14:paraId="0054D1E5">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（七）管理及技术支撑能力</w:t>
      </w:r>
    </w:p>
    <w:p w14:paraId="198BF9C3">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投标人应在投标文件中明确项目实施期间的管理人员配置、安装过程管理方案、调试方案、维保及技术支撑方案、类似业绩等。</w:t>
      </w:r>
    </w:p>
    <w:p w14:paraId="56CA51FC">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rPr>
        <w:t>★</w:t>
      </w:r>
      <w:r>
        <w:rPr>
          <w:rFonts w:hint="eastAsia" w:ascii="宋体" w:hAnsi="宋体" w:eastAsia="宋体" w:cs="宋体"/>
          <w:color w:val="auto"/>
          <w:szCs w:val="21"/>
        </w:rPr>
        <w:t>项目经理</w:t>
      </w:r>
      <w:r>
        <w:rPr>
          <w:rFonts w:hint="eastAsia" w:ascii="宋体" w:hAnsi="宋体" w:eastAsia="宋体" w:cs="宋体"/>
          <w:color w:val="auto"/>
          <w:szCs w:val="21"/>
          <w:highlight w:val="none"/>
          <w:lang w:eastAsia="zh-CN"/>
        </w:rPr>
        <w:t>具备</w:t>
      </w:r>
      <w:r>
        <w:rPr>
          <w:rFonts w:hint="eastAsia" w:ascii="宋体" w:hAnsi="宋体"/>
          <w:color w:val="auto"/>
          <w:szCs w:val="21"/>
          <w:vertAlign w:val="baseline"/>
          <w:lang w:eastAsia="zh-CN"/>
        </w:rPr>
        <w:t>机电工程专业注册建造师二级及其以上执业资格证书，需提供证书复印件及开标前三个月中任意一个月由投标人为其缴纳社保的证明材料，否则不予认可</w:t>
      </w:r>
      <w:r>
        <w:rPr>
          <w:rFonts w:hint="eastAsia" w:ascii="宋体" w:hAnsi="宋体" w:eastAsia="宋体" w:cs="宋体"/>
          <w:color w:val="auto"/>
          <w:szCs w:val="21"/>
          <w:highlight w:val="none"/>
          <w:lang w:eastAsia="zh-CN"/>
        </w:rPr>
        <w:t>。</w:t>
      </w:r>
    </w:p>
    <w:p w14:paraId="74FA6AEC">
      <w:pPr>
        <w:spacing w:line="360" w:lineRule="auto"/>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lang w:eastAsia="zh-CN"/>
        </w:rPr>
        <w:t>项目团队人员配备合理，且具有相关工作经验，安装团队其他参与电梯安装的人员需持有市场监督管理部门颁发的特种设备作业人员证。</w:t>
      </w:r>
    </w:p>
    <w:p w14:paraId="37E7718A">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（八）售后服务</w:t>
      </w:r>
    </w:p>
    <w:p w14:paraId="1F1345F8">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1.免费售后维保服务期限</w:t>
      </w:r>
    </w:p>
    <w:p w14:paraId="1041A50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rPr>
        <w:t>自特种设备检验机构监督检验合格之日</w:t>
      </w:r>
      <w:r>
        <w:rPr>
          <w:rFonts w:hint="eastAsia" w:ascii="宋体" w:hAnsi="宋体" w:eastAsia="宋体" w:cs="宋体"/>
          <w:color w:val="auto"/>
          <w:szCs w:val="21"/>
        </w:rPr>
        <w:t>起，整机</w:t>
      </w:r>
      <w:r>
        <w:rPr>
          <w:rFonts w:hint="eastAsia" w:ascii="宋体" w:hAnsi="宋体" w:eastAsia="宋体" w:cs="宋体"/>
          <w:color w:val="auto"/>
          <w:szCs w:val="21"/>
          <w:lang w:val="en-US" w:eastAsia="zh-CN"/>
        </w:rPr>
        <w:t>质保及免费维护期为</w:t>
      </w:r>
      <w:r>
        <w:rPr>
          <w:rFonts w:hint="eastAsia" w:ascii="宋体" w:hAnsi="宋体" w:eastAsia="宋体" w:cs="宋体"/>
          <w:color w:val="auto"/>
          <w:szCs w:val="21"/>
        </w:rPr>
        <w:t>2年，</w:t>
      </w:r>
      <w:r>
        <w:rPr>
          <w:rFonts w:hint="eastAsia" w:ascii="宋体" w:hAnsi="宋体" w:eastAsia="宋体" w:cs="宋体"/>
          <w:color w:val="auto"/>
          <w:szCs w:val="21"/>
          <w:lang w:val="en-US" w:eastAsia="zh-CN"/>
        </w:rPr>
        <w:t>质保到期后</w:t>
      </w:r>
      <w:r>
        <w:rPr>
          <w:rFonts w:hint="eastAsia" w:ascii="宋体" w:hAnsi="宋体" w:eastAsia="宋体" w:cs="宋体"/>
          <w:b/>
          <w:color w:val="auto"/>
          <w:szCs w:val="21"/>
          <w:highlight w:val="none"/>
          <w:lang w:val="en-US" w:eastAsia="zh-CN"/>
        </w:rPr>
        <w:t>五</w:t>
      </w:r>
      <w:r>
        <w:rPr>
          <w:rFonts w:hint="eastAsia" w:ascii="宋体" w:hAnsi="宋体" w:eastAsia="宋体" w:cs="宋体"/>
          <w:b/>
          <w:color w:val="auto"/>
          <w:szCs w:val="21"/>
          <w:highlight w:val="none"/>
          <w:lang w:val="en-US" w:eastAsia="zh-CN"/>
        </w:rPr>
        <w:t>大核心</w:t>
      </w:r>
      <w:r>
        <w:rPr>
          <w:rFonts w:hint="eastAsia" w:ascii="宋体" w:hAnsi="宋体" w:eastAsia="宋体" w:cs="宋体"/>
          <w:b/>
          <w:color w:val="auto"/>
          <w:szCs w:val="21"/>
          <w:highlight w:val="none"/>
          <w:lang w:val="en-US" w:eastAsia="zh-CN"/>
        </w:rPr>
        <w:t>部件</w:t>
      </w:r>
      <w:r>
        <w:rPr>
          <w:rFonts w:hint="eastAsia" w:ascii="宋体" w:hAnsi="宋体" w:eastAsia="宋体" w:cs="宋体"/>
          <w:color w:val="auto"/>
          <w:szCs w:val="21"/>
          <w:highlight w:val="none"/>
          <w:lang w:val="en-US" w:eastAsia="zh-CN"/>
        </w:rPr>
        <w:t>延保8</w:t>
      </w:r>
      <w:r>
        <w:rPr>
          <w:rFonts w:hint="eastAsia" w:ascii="宋体" w:hAnsi="宋体" w:eastAsia="宋体" w:cs="宋体"/>
          <w:color w:val="auto"/>
          <w:szCs w:val="21"/>
          <w:highlight w:val="none"/>
        </w:rPr>
        <w:t>年。</w:t>
      </w:r>
    </w:p>
    <w:p w14:paraId="6575829B">
      <w:pPr>
        <w:spacing w:line="360" w:lineRule="auto"/>
        <w:ind w:firstLine="420" w:firstLineChars="200"/>
        <w:rPr>
          <w:rFonts w:ascii="宋体" w:hAnsi="宋体" w:eastAsia="宋体" w:cs="宋体"/>
          <w:color w:val="auto"/>
          <w:szCs w:val="21"/>
          <w:highlight w:val="none"/>
        </w:rPr>
      </w:pPr>
      <w:r>
        <w:rPr>
          <w:rFonts w:hint="eastAsia" w:ascii="宋体" w:hAnsi="宋体" w:eastAsia="宋体" w:cs="宋体"/>
          <w:b/>
          <w:color w:val="auto"/>
          <w:szCs w:val="21"/>
          <w:highlight w:val="none"/>
          <w:lang w:val="en-US" w:eastAsia="zh-CN"/>
        </w:rPr>
        <w:t>五大核心部件</w:t>
      </w:r>
      <w:r>
        <w:rPr>
          <w:rFonts w:hint="eastAsia" w:ascii="宋体" w:hAnsi="宋体" w:eastAsia="宋体" w:cs="宋体"/>
          <w:b/>
          <w:color w:val="auto"/>
          <w:szCs w:val="21"/>
          <w:highlight w:val="none"/>
        </w:rPr>
        <w:t>包括</w:t>
      </w: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lang w:val="en-US" w:eastAsia="zh-CN"/>
        </w:rPr>
        <w:t>曳引机、控制柜、门机、安全钳、限速器</w:t>
      </w:r>
      <w:r>
        <w:rPr>
          <w:rFonts w:hint="eastAsia" w:ascii="宋体" w:hAnsi="宋体" w:eastAsia="宋体" w:cs="宋体"/>
          <w:color w:val="auto"/>
          <w:szCs w:val="21"/>
          <w:highlight w:val="none"/>
          <w:lang w:eastAsia="zh-CN"/>
        </w:rPr>
        <w:t>。</w:t>
      </w:r>
    </w:p>
    <w:p w14:paraId="76EA4216">
      <w:pPr>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在质量保证期限内存在质量问题的，中标供应商应当提供免费修理或者更换服务。</w:t>
      </w:r>
    </w:p>
    <w:p w14:paraId="78ED76F1">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2.售后服务要求</w:t>
      </w:r>
    </w:p>
    <w:p w14:paraId="14720E39">
      <w:pPr>
        <w:ind w:firstLine="420" w:firstLineChars="200"/>
        <w:rPr>
          <w:rFonts w:hint="eastAsia" w:ascii="宋体" w:hAnsi="宋体" w:eastAsia="宋体" w:cs="宋体"/>
          <w:color w:val="auto"/>
          <w:szCs w:val="21"/>
        </w:rPr>
      </w:pPr>
      <w:r>
        <w:rPr>
          <w:rFonts w:hint="eastAsia" w:ascii="宋体" w:hAnsi="宋体" w:eastAsia="宋体" w:cs="宋体"/>
          <w:color w:val="auto"/>
          <w:szCs w:val="21"/>
        </w:rPr>
        <w:t>（1）验收通过并</w:t>
      </w:r>
      <w:r>
        <w:rPr>
          <w:rFonts w:hint="eastAsia" w:ascii="宋体" w:hAnsi="宋体" w:eastAsia="宋体" w:cs="宋体"/>
          <w:b/>
          <w:color w:val="auto"/>
          <w:szCs w:val="21"/>
        </w:rPr>
        <w:t>移交业主使用后</w:t>
      </w:r>
      <w:r>
        <w:rPr>
          <w:rFonts w:hint="eastAsia" w:ascii="宋体" w:hAnsi="宋体" w:eastAsia="宋体" w:cs="宋体"/>
          <w:color w:val="auto"/>
          <w:szCs w:val="21"/>
          <w:lang w:val="en-US" w:eastAsia="zh-CN"/>
        </w:rPr>
        <w:t>3</w:t>
      </w:r>
      <w:r>
        <w:rPr>
          <w:rFonts w:hint="eastAsia" w:ascii="宋体" w:hAnsi="宋体" w:eastAsia="宋体" w:cs="宋体"/>
          <w:color w:val="auto"/>
          <w:szCs w:val="21"/>
        </w:rPr>
        <w:t>个月内，现场维护保养应至少由</w:t>
      </w:r>
      <w:r>
        <w:rPr>
          <w:rFonts w:ascii="宋体" w:hAnsi="宋体" w:eastAsia="宋体" w:cs="宋体"/>
          <w:color w:val="auto"/>
          <w:szCs w:val="21"/>
        </w:rPr>
        <w:t>2</w:t>
      </w:r>
      <w:r>
        <w:rPr>
          <w:rFonts w:hint="eastAsia" w:ascii="宋体" w:hAnsi="宋体" w:eastAsia="宋体" w:cs="宋体"/>
          <w:color w:val="auto"/>
          <w:szCs w:val="21"/>
        </w:rPr>
        <w:t>名持有特种设备作业人员资格证的人员驻场实施。</w:t>
      </w:r>
    </w:p>
    <w:p w14:paraId="74CFE66D">
      <w:pPr>
        <w:spacing w:line="360" w:lineRule="auto"/>
        <w:ind w:firstLine="420" w:firstLineChars="200"/>
        <w:rPr>
          <w:rFonts w:ascii="宋体" w:hAnsi="宋体" w:eastAsia="宋体" w:cs="宋体"/>
          <w:color w:val="auto"/>
          <w:szCs w:val="21"/>
        </w:rPr>
      </w:pPr>
      <w:r>
        <w:rPr>
          <w:rFonts w:hint="eastAsia"/>
          <w:color w:val="auto"/>
          <w:lang w:eastAsia="zh-CN"/>
        </w:rPr>
        <w:t>质保期内，</w:t>
      </w:r>
      <w:r>
        <w:rPr>
          <w:rFonts w:hint="eastAsia" w:ascii="宋体" w:hAnsi="宋体" w:eastAsia="宋体" w:cs="宋体"/>
          <w:color w:val="auto"/>
          <w:szCs w:val="21"/>
        </w:rPr>
        <w:t>维保人员</w:t>
      </w:r>
      <w:r>
        <w:rPr>
          <w:rFonts w:hint="eastAsia" w:ascii="宋体" w:hAnsi="宋体" w:eastAsia="宋体" w:cs="宋体"/>
          <w:color w:val="auto"/>
          <w:szCs w:val="21"/>
          <w:lang w:eastAsia="zh-CN"/>
        </w:rPr>
        <w:t>应在</w:t>
      </w:r>
      <w:r>
        <w:rPr>
          <w:rFonts w:hint="eastAsia" w:ascii="宋体" w:hAnsi="宋体" w:eastAsia="宋体" w:cs="宋体"/>
          <w:color w:val="auto"/>
          <w:szCs w:val="21"/>
        </w:rPr>
        <w:t>30分钟内抵达所维保电梯所在地实施现场救援。</w:t>
      </w:r>
      <w:r>
        <w:rPr>
          <w:rFonts w:hint="eastAsia" w:ascii="宋体" w:hAnsi="宋体" w:eastAsia="宋体" w:cs="宋体"/>
          <w:color w:val="auto"/>
          <w:szCs w:val="21"/>
          <w:lang w:eastAsia="zh-CN"/>
        </w:rPr>
        <w:t>如</w:t>
      </w:r>
      <w:r>
        <w:rPr>
          <w:rFonts w:hint="eastAsia" w:ascii="宋体" w:hAnsi="宋体" w:eastAsia="宋体" w:cs="宋体"/>
          <w:color w:val="auto"/>
          <w:szCs w:val="21"/>
        </w:rPr>
        <w:t>接到电梯困人故障报告后，维保人员</w:t>
      </w:r>
      <w:r>
        <w:rPr>
          <w:rFonts w:hint="eastAsia" w:ascii="宋体" w:hAnsi="宋体" w:eastAsia="宋体" w:cs="宋体"/>
          <w:color w:val="auto"/>
          <w:szCs w:val="21"/>
          <w:lang w:val="en-US" w:eastAsia="zh-CN"/>
        </w:rPr>
        <w:t>15</w:t>
      </w:r>
      <w:r>
        <w:rPr>
          <w:rFonts w:hint="eastAsia" w:ascii="宋体" w:hAnsi="宋体" w:eastAsia="宋体" w:cs="宋体"/>
          <w:color w:val="auto"/>
          <w:szCs w:val="21"/>
        </w:rPr>
        <w:t>分钟内抵达所维保电梯所在地实施现场救援。</w:t>
      </w:r>
    </w:p>
    <w:p w14:paraId="3DD899B8">
      <w:pPr>
        <w:ind w:firstLine="420" w:firstLineChars="200"/>
        <w:rPr>
          <w:rFonts w:hint="eastAsia" w:ascii="宋体" w:hAnsi="宋体" w:eastAsia="宋体" w:cs="宋体"/>
          <w:color w:val="auto"/>
          <w:szCs w:val="21"/>
        </w:rPr>
      </w:pPr>
    </w:p>
    <w:p w14:paraId="3DC5DF58">
      <w:pPr>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2</w:t>
      </w:r>
      <w:r>
        <w:rPr>
          <w:rFonts w:hint="eastAsia" w:ascii="宋体" w:hAnsi="宋体" w:eastAsia="宋体" w:cs="宋体"/>
          <w:color w:val="auto"/>
          <w:szCs w:val="21"/>
          <w:lang w:eastAsia="zh-CN"/>
        </w:rPr>
        <w:t>）中标单位需明确提供免费质保期内外具体的维保方案。</w:t>
      </w:r>
    </w:p>
    <w:p w14:paraId="4D8BB907">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3</w:t>
      </w:r>
      <w:r>
        <w:rPr>
          <w:rFonts w:hint="eastAsia" w:ascii="宋体" w:hAnsi="宋体" w:eastAsia="宋体" w:cs="宋体"/>
          <w:color w:val="auto"/>
          <w:szCs w:val="21"/>
        </w:rPr>
        <w:t>）设立24小时维保值班电话，保证接到故障通知后及时予以排除。</w:t>
      </w:r>
    </w:p>
    <w:p w14:paraId="1F7E0A64">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4</w:t>
      </w:r>
      <w:r>
        <w:rPr>
          <w:rFonts w:hint="eastAsia" w:ascii="宋体" w:hAnsi="宋体" w:eastAsia="宋体" w:cs="宋体"/>
          <w:color w:val="auto"/>
          <w:szCs w:val="21"/>
        </w:rPr>
        <w:t>）建立每台电梯的维保记录，及时记录电梯的维保、故障等情况。</w:t>
      </w:r>
    </w:p>
    <w:p w14:paraId="6A7B41B2">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（5）协助采购人建立每台电梯的档案，包括电梯安全管理制度、应急救援预案、维保记录、故障记录、日常巡查记录等。</w:t>
      </w:r>
    </w:p>
    <w:p w14:paraId="5964208E">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（6）协助采购人至少每年开展一次应急演练。</w:t>
      </w:r>
    </w:p>
    <w:p w14:paraId="77968474">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（7）至少提前一天书面告知采购人维护保养时间及联系人，维护保养期间应在现场放置警示标志。</w:t>
      </w:r>
    </w:p>
    <w:p w14:paraId="48DEBB80">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（8）终止电梯维护保养时不得采用设置密码等方式干扰电梯后续的正常运行和安全使用。</w:t>
      </w:r>
    </w:p>
    <w:p w14:paraId="01D00EDA">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（9）提供必需的备品备件，满足使用过程中更换及时性的要求。</w:t>
      </w:r>
    </w:p>
    <w:p w14:paraId="7254AA92">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（10）在未经采购人许可的情况下不得将售后维保业务转包、分包。</w:t>
      </w:r>
    </w:p>
    <w:p w14:paraId="597FC128">
      <w:pPr>
        <w:spacing w:line="360" w:lineRule="auto"/>
        <w:rPr>
          <w:rFonts w:ascii="宋体" w:hAnsi="宋体" w:eastAsia="宋体" w:cs="宋体"/>
          <w:color w:val="auto"/>
          <w:szCs w:val="21"/>
        </w:rPr>
      </w:pPr>
    </w:p>
    <w:p w14:paraId="0C7DD8B1">
      <w:pPr>
        <w:spacing w:line="360" w:lineRule="auto"/>
        <w:ind w:firstLine="420" w:firstLineChars="200"/>
        <w:rPr>
          <w:rFonts w:ascii="宋体" w:hAnsi="宋体" w:eastAsia="宋体" w:cs="宋体"/>
          <w:color w:val="auto"/>
          <w:szCs w:val="21"/>
        </w:rPr>
      </w:pPr>
      <w:bookmarkStart w:id="0" w:name="_Toc20695"/>
      <w:bookmarkStart w:id="1" w:name="_Toc17452"/>
      <w:r>
        <w:rPr>
          <w:rFonts w:hint="eastAsia" w:ascii="宋体" w:hAnsi="宋体" w:eastAsia="宋体" w:cs="宋体"/>
          <w:b/>
          <w:color w:val="auto"/>
          <w:szCs w:val="21"/>
          <w:lang w:eastAsia="zh-CN"/>
        </w:rPr>
        <w:t>六</w:t>
      </w:r>
      <w:r>
        <w:rPr>
          <w:rFonts w:hint="eastAsia" w:ascii="宋体" w:hAnsi="宋体" w:eastAsia="宋体" w:cs="宋体"/>
          <w:b/>
          <w:color w:val="auto"/>
          <w:szCs w:val="21"/>
        </w:rPr>
        <w:t>、施工界面划分</w:t>
      </w:r>
      <w:bookmarkEnd w:id="0"/>
      <w:bookmarkEnd w:id="1"/>
    </w:p>
    <w:p w14:paraId="218A6A3A">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（一）电梯</w:t>
      </w:r>
      <w:r>
        <w:rPr>
          <w:rFonts w:hint="eastAsia" w:ascii="宋体" w:hAnsi="宋体" w:eastAsia="宋体" w:cs="宋体"/>
          <w:color w:val="auto"/>
          <w:szCs w:val="21"/>
          <w:lang w:val="en-US" w:eastAsia="zh-CN"/>
        </w:rPr>
        <w:t>机房</w:t>
      </w:r>
      <w:r>
        <w:rPr>
          <w:rFonts w:hint="eastAsia" w:ascii="宋体" w:hAnsi="宋体" w:eastAsia="宋体" w:cs="宋体"/>
          <w:color w:val="auto"/>
          <w:szCs w:val="21"/>
        </w:rPr>
        <w:t>电源管线</w:t>
      </w:r>
      <w:r>
        <w:rPr>
          <w:rFonts w:hint="eastAsia" w:ascii="宋体" w:hAnsi="宋体" w:eastAsia="宋体" w:cs="宋体"/>
          <w:color w:val="auto"/>
          <w:szCs w:val="21"/>
          <w:lang w:val="en-US" w:eastAsia="zh-CN"/>
        </w:rPr>
        <w:t>利用原老梯管线，</w:t>
      </w:r>
      <w:r>
        <w:rPr>
          <w:rFonts w:hint="eastAsia" w:ascii="宋体" w:hAnsi="宋体" w:eastAsia="宋体" w:cs="宋体"/>
          <w:color w:val="auto"/>
          <w:szCs w:val="21"/>
        </w:rPr>
        <w:t>电梯控制柜（箱）出线的管路（或线槽）、电缆敷设、导线由中标供应商提供并安装。</w:t>
      </w:r>
    </w:p>
    <w:p w14:paraId="5C75013B">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（二）中标供应商负责提供井道照明的材料及安装。</w:t>
      </w:r>
    </w:p>
    <w:p w14:paraId="4AD36AB4">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（三）电梯井道门洞口的防护栅栏由中标供应商进场后</w:t>
      </w:r>
      <w:r>
        <w:rPr>
          <w:rFonts w:hint="eastAsia" w:ascii="宋体" w:hAnsi="宋体" w:eastAsia="宋体" w:cs="宋体"/>
          <w:color w:val="auto"/>
          <w:szCs w:val="21"/>
          <w:lang w:val="en-US" w:eastAsia="zh-CN"/>
        </w:rPr>
        <w:t>根据现场实际情况</w:t>
      </w:r>
      <w:r>
        <w:rPr>
          <w:rFonts w:hint="eastAsia" w:ascii="宋体" w:hAnsi="宋体" w:eastAsia="宋体" w:cs="宋体"/>
          <w:color w:val="auto"/>
          <w:szCs w:val="21"/>
        </w:rPr>
        <w:t>负责井道门洞口的安全维护。</w:t>
      </w:r>
    </w:p>
    <w:p w14:paraId="70C4DCD1">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（四）中标供应商提供图纸</w:t>
      </w:r>
      <w:r>
        <w:rPr>
          <w:rFonts w:hint="eastAsia" w:ascii="宋体" w:hAnsi="宋体" w:eastAsia="宋体" w:cs="宋体"/>
          <w:color w:val="auto"/>
          <w:szCs w:val="21"/>
          <w:lang w:val="en-US" w:eastAsia="zh-CN"/>
        </w:rPr>
        <w:t>并整改</w:t>
      </w:r>
      <w:r>
        <w:rPr>
          <w:rFonts w:hint="eastAsia" w:ascii="宋体" w:hAnsi="宋体" w:eastAsia="宋体" w:cs="宋体"/>
          <w:color w:val="auto"/>
          <w:szCs w:val="21"/>
        </w:rPr>
        <w:t>电梯厅外按钮、到站显示灯等孔洞。</w:t>
      </w:r>
    </w:p>
    <w:p w14:paraId="40BEE254">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（五）</w:t>
      </w:r>
      <w:r>
        <w:rPr>
          <w:rFonts w:hint="eastAsia" w:ascii="宋体" w:hAnsi="宋体" w:eastAsia="宋体" w:cs="宋体"/>
          <w:color w:val="auto"/>
          <w:szCs w:val="21"/>
          <w:lang w:val="en-US" w:eastAsia="zh-CN"/>
        </w:rPr>
        <w:t>采购人</w:t>
      </w:r>
      <w:r>
        <w:rPr>
          <w:rFonts w:hint="eastAsia" w:ascii="宋体" w:hAnsi="宋体" w:eastAsia="宋体" w:cs="宋体"/>
          <w:color w:val="auto"/>
          <w:szCs w:val="21"/>
        </w:rPr>
        <w:t>提供临时场所并指定施工现场内的垃圾堆放点，</w:t>
      </w:r>
      <w:r>
        <w:rPr>
          <w:rFonts w:hint="eastAsia" w:ascii="宋体" w:hAnsi="宋体" w:eastAsia="宋体" w:cs="宋体"/>
          <w:color w:val="auto"/>
          <w:szCs w:val="21"/>
          <w:lang w:val="en-US" w:eastAsia="zh-CN"/>
        </w:rPr>
        <w:t>中标供应商</w:t>
      </w:r>
      <w:r>
        <w:rPr>
          <w:rFonts w:hint="eastAsia" w:ascii="宋体" w:hAnsi="宋体" w:eastAsia="宋体" w:cs="宋体"/>
          <w:color w:val="auto"/>
          <w:szCs w:val="21"/>
        </w:rPr>
        <w:t>负责自行施工过程中的建筑垃圾清理及外运。</w:t>
      </w:r>
    </w:p>
    <w:p w14:paraId="09646096">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（六）电梯井道施工用脚手架由中标供应商自行负责提供及安装。</w:t>
      </w:r>
    </w:p>
    <w:p w14:paraId="50EC6077">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（七）</w:t>
      </w:r>
      <w:r>
        <w:rPr>
          <w:rFonts w:hint="eastAsia" w:ascii="宋体" w:hAnsi="宋体" w:eastAsia="宋体" w:cs="宋体"/>
          <w:color w:val="auto"/>
          <w:szCs w:val="21"/>
          <w:lang w:val="en-US" w:eastAsia="zh-CN"/>
        </w:rPr>
        <w:t>采购人</w:t>
      </w:r>
      <w:r>
        <w:rPr>
          <w:rFonts w:hint="eastAsia" w:ascii="宋体" w:hAnsi="宋体" w:eastAsia="宋体" w:cs="宋体"/>
          <w:color w:val="auto"/>
          <w:szCs w:val="21"/>
        </w:rPr>
        <w:t>提供中标供应商施工用水用电，中标供应商</w:t>
      </w:r>
      <w:r>
        <w:rPr>
          <w:rFonts w:hint="eastAsia" w:ascii="宋体" w:hAnsi="宋体" w:eastAsia="宋体" w:cs="宋体"/>
          <w:color w:val="auto"/>
          <w:szCs w:val="21"/>
          <w:lang w:val="en-US" w:eastAsia="zh-CN"/>
        </w:rPr>
        <w:t>不承担</w:t>
      </w:r>
      <w:r>
        <w:rPr>
          <w:rFonts w:hint="eastAsia" w:ascii="宋体" w:hAnsi="宋体" w:eastAsia="宋体" w:cs="宋体"/>
          <w:color w:val="auto"/>
          <w:szCs w:val="21"/>
        </w:rPr>
        <w:t>施工水电费用，水电接驳点至电梯井部分电线及水管由中标供应商负责，且用水用电满足现场施工要求。</w:t>
      </w:r>
    </w:p>
    <w:p w14:paraId="55120522">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（八）电梯调试期间，</w:t>
      </w:r>
      <w:r>
        <w:rPr>
          <w:rFonts w:hint="eastAsia" w:ascii="宋体" w:hAnsi="宋体" w:eastAsia="宋体" w:cs="宋体"/>
          <w:color w:val="auto"/>
          <w:szCs w:val="21"/>
          <w:lang w:val="en-US" w:eastAsia="zh-CN"/>
        </w:rPr>
        <w:t>调试线缆由</w:t>
      </w:r>
      <w:r>
        <w:rPr>
          <w:rFonts w:hint="eastAsia" w:ascii="宋体" w:hAnsi="宋体" w:eastAsia="宋体" w:cs="宋体"/>
          <w:color w:val="auto"/>
          <w:szCs w:val="21"/>
        </w:rPr>
        <w:t>中标供应商</w:t>
      </w:r>
      <w:r>
        <w:rPr>
          <w:rFonts w:hint="eastAsia" w:ascii="宋体" w:hAnsi="宋体" w:eastAsia="宋体" w:cs="宋体"/>
          <w:color w:val="auto"/>
          <w:szCs w:val="21"/>
          <w:lang w:val="en-US" w:eastAsia="zh-CN"/>
        </w:rPr>
        <w:t>自行提供（如需），</w:t>
      </w:r>
      <w:r>
        <w:rPr>
          <w:rFonts w:hint="eastAsia" w:ascii="宋体" w:hAnsi="宋体" w:eastAsia="宋体" w:cs="宋体"/>
          <w:color w:val="auto"/>
          <w:szCs w:val="21"/>
        </w:rPr>
        <w:t>中标供应商</w:t>
      </w:r>
      <w:r>
        <w:rPr>
          <w:rFonts w:hint="eastAsia" w:ascii="宋体" w:hAnsi="宋体" w:eastAsia="宋体" w:cs="宋体"/>
          <w:color w:val="auto"/>
          <w:szCs w:val="21"/>
          <w:lang w:val="en-US" w:eastAsia="zh-CN"/>
        </w:rPr>
        <w:t>不</w:t>
      </w:r>
      <w:r>
        <w:rPr>
          <w:rFonts w:hint="eastAsia" w:ascii="宋体" w:hAnsi="宋体" w:eastAsia="宋体" w:cs="宋体"/>
          <w:color w:val="auto"/>
          <w:szCs w:val="21"/>
        </w:rPr>
        <w:t>承担调试、转换用电费用。</w:t>
      </w:r>
    </w:p>
    <w:p w14:paraId="12F17E7E">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（九）电梯</w:t>
      </w:r>
      <w:r>
        <w:rPr>
          <w:rFonts w:hint="eastAsia" w:ascii="宋体" w:hAnsi="宋体" w:eastAsia="宋体" w:cs="宋体"/>
          <w:color w:val="auto"/>
          <w:szCs w:val="21"/>
          <w:lang w:val="en-US" w:eastAsia="zh-CN"/>
        </w:rPr>
        <w:t>机房</w:t>
      </w:r>
      <w:r>
        <w:rPr>
          <w:rFonts w:hint="eastAsia" w:ascii="宋体" w:hAnsi="宋体" w:eastAsia="宋体" w:cs="宋体"/>
          <w:color w:val="auto"/>
          <w:szCs w:val="21"/>
        </w:rPr>
        <w:t>至轿箱</w:t>
      </w:r>
      <w:r>
        <w:rPr>
          <w:rFonts w:hint="eastAsia" w:ascii="宋体" w:hAnsi="宋体" w:eastAsia="宋体" w:cs="宋体"/>
          <w:color w:val="auto"/>
          <w:szCs w:val="21"/>
          <w:lang w:val="en-US" w:eastAsia="zh-CN"/>
        </w:rPr>
        <w:t>的视频电缆（不含轿厢探头）</w:t>
      </w:r>
      <w:r>
        <w:rPr>
          <w:rFonts w:hint="eastAsia" w:ascii="宋体" w:hAnsi="宋体" w:eastAsia="宋体" w:cs="宋体"/>
          <w:color w:val="auto"/>
          <w:szCs w:val="21"/>
        </w:rPr>
        <w:t>由中标供应商提供并安装；中央监控室至电梯</w:t>
      </w:r>
      <w:r>
        <w:rPr>
          <w:rFonts w:hint="eastAsia" w:ascii="宋体" w:hAnsi="宋体" w:eastAsia="宋体" w:cs="宋体"/>
          <w:color w:val="auto"/>
          <w:szCs w:val="21"/>
          <w:lang w:val="en-US" w:eastAsia="zh-CN"/>
        </w:rPr>
        <w:t>机房</w:t>
      </w:r>
      <w:r>
        <w:rPr>
          <w:rFonts w:hint="eastAsia" w:ascii="宋体" w:hAnsi="宋体" w:eastAsia="宋体" w:cs="宋体"/>
          <w:color w:val="auto"/>
          <w:szCs w:val="21"/>
        </w:rPr>
        <w:t>管线</w:t>
      </w:r>
      <w:r>
        <w:rPr>
          <w:rFonts w:hint="eastAsia" w:ascii="宋体" w:hAnsi="宋体" w:eastAsia="宋体" w:cs="宋体"/>
          <w:color w:val="auto"/>
          <w:szCs w:val="21"/>
          <w:lang w:val="en-US" w:eastAsia="zh-CN"/>
        </w:rPr>
        <w:t>由采购人</w:t>
      </w:r>
      <w:r>
        <w:rPr>
          <w:rFonts w:hint="eastAsia" w:ascii="宋体" w:hAnsi="宋体" w:eastAsia="宋体" w:cs="宋体"/>
          <w:color w:val="auto"/>
          <w:szCs w:val="21"/>
        </w:rPr>
        <w:t>提供并安装。</w:t>
      </w:r>
    </w:p>
    <w:p w14:paraId="34B33D79">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（十）</w:t>
      </w:r>
      <w:r>
        <w:rPr>
          <w:rFonts w:hint="eastAsia" w:ascii="宋体" w:hAnsi="宋体" w:eastAsia="宋体" w:cs="宋体"/>
          <w:color w:val="auto"/>
          <w:szCs w:val="21"/>
          <w:lang w:val="en-US" w:eastAsia="zh-CN"/>
        </w:rPr>
        <w:t>电梯应急通话装置由中标供应商提供及安装</w:t>
      </w:r>
      <w:r>
        <w:rPr>
          <w:rFonts w:hint="eastAsia" w:ascii="宋体" w:hAnsi="宋体" w:eastAsia="宋体" w:cs="宋体"/>
          <w:color w:val="auto"/>
          <w:szCs w:val="21"/>
        </w:rPr>
        <w:t>。</w:t>
      </w:r>
    </w:p>
    <w:p w14:paraId="1C3DB49C">
      <w:pPr>
        <w:spacing w:line="360" w:lineRule="auto"/>
        <w:ind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rPr>
        <w:t>（十一）中标供应商</w:t>
      </w:r>
      <w:r>
        <w:rPr>
          <w:rFonts w:hint="eastAsia" w:ascii="宋体" w:hAnsi="宋体" w:eastAsia="宋体" w:cs="宋体"/>
          <w:color w:val="auto"/>
          <w:szCs w:val="21"/>
          <w:lang w:val="en-US" w:eastAsia="zh-CN"/>
        </w:rPr>
        <w:t>承担老梯拆除工作（拆除后的部件移交运送至采购人指定的外部存放地点）、电梯机房整改工作、井道整改工作及安装后所涉及的收口工作</w:t>
      </w:r>
    </w:p>
    <w:p w14:paraId="4467C702">
      <w:pPr>
        <w:spacing w:line="360" w:lineRule="auto"/>
        <w:ind w:firstLine="420" w:firstLineChars="200"/>
        <w:rPr>
          <w:rFonts w:ascii="宋体" w:hAnsi="宋体" w:eastAsia="宋体" w:cs="宋体"/>
          <w:b w:val="0"/>
          <w:bCs w:val="0"/>
          <w:color w:val="auto"/>
          <w:szCs w:val="21"/>
          <w:highlight w:val="none"/>
        </w:rPr>
      </w:pPr>
      <w:r>
        <w:rPr>
          <w:rFonts w:hint="eastAsia" w:ascii="宋体" w:hAnsi="宋体" w:eastAsia="宋体" w:cs="宋体"/>
          <w:color w:val="auto"/>
          <w:szCs w:val="21"/>
          <w:lang w:val="en-US" w:eastAsia="zh-CN"/>
        </w:rPr>
        <w:t>（十二</w:t>
      </w:r>
      <w:r>
        <w:rPr>
          <w:rFonts w:hint="eastAsia" w:ascii="宋体" w:hAnsi="宋体" w:eastAsia="宋体" w:cs="宋体"/>
          <w:b w:val="0"/>
          <w:bCs w:val="0"/>
          <w:color w:val="auto"/>
          <w:szCs w:val="21"/>
          <w:highlight w:val="none"/>
          <w:lang w:val="en-US" w:eastAsia="zh-CN"/>
        </w:rPr>
        <w:t>）中标供应商应按业主要求，逐台更新电梯施工，未更新的老梯正常运行须依靠采购人委托的维保单位来确保，已更新的新梯正常运行及维护工作须中标供应商来确保。</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文泉驿微米黑"/>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CESI黑体-GB13000"/>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文泉驿微米黑">
    <w:panose1 w:val="020B0606030804020204"/>
    <w:charset w:val="86"/>
    <w:family w:val="auto"/>
    <w:pitch w:val="default"/>
    <w:sig w:usb0="E10002EF" w:usb1="6BDFFCFB" w:usb2="00800036" w:usb3="00000000" w:csb0="603E019F" w:csb1="DFD70000"/>
  </w:font>
  <w:font w:name="Lucida Sans">
    <w:altName w:val="Noto Naskh Arabic"/>
    <w:panose1 w:val="020B0602030504020204"/>
    <w:charset w:val="00"/>
    <w:family w:val="swiss"/>
    <w:pitch w:val="default"/>
    <w:sig w:usb0="00000000" w:usb1="00000000" w:usb2="00000000" w:usb3="00000000" w:csb0="20000001" w:csb1="00000000"/>
  </w:font>
  <w:font w:name="Noto Naskh Arabic">
    <w:panose1 w:val="020B0502040504020204"/>
    <w:charset w:val="00"/>
    <w:family w:val="auto"/>
    <w:pitch w:val="default"/>
    <w:sig w:usb0="80002003" w:usb1="80002000" w:usb2="00000008" w:usb3="00000000" w:csb0="00000041" w:csb1="0008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03" w:usb1="2BDF3C10" w:usb2="00000016" w:usb3="00000000" w:csb0="602E0107" w:csb1="00000000"/>
  </w:font>
  <w:font w:name="方正兰亭黑_GBK">
    <w:altName w:val="Noto Sans CJK SC"/>
    <w:panose1 w:val="00000000000000000000"/>
    <w:charset w:val="86"/>
    <w:family w:val="script"/>
    <w:pitch w:val="default"/>
    <w:sig w:usb0="00000000" w:usb1="00000000" w:usb2="00080016" w:usb3="00000000" w:csb0="00040001" w:csb1="00000000"/>
  </w:font>
  <w:font w:name="CESI黑体-GB13000">
    <w:panose1 w:val="02000500000000000000"/>
    <w:charset w:val="86"/>
    <w:family w:val="auto"/>
    <w:pitch w:val="default"/>
    <w:sig w:usb0="800002BF" w:usb1="38CF7CF8" w:usb2="00000016" w:usb3="00000000" w:csb0="0004000F"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05C0855E">
        <w:pPr>
          <w:pStyle w:val="7"/>
          <w:jc w:val="center"/>
        </w:pPr>
        <w:r>
          <w:fldChar w:fldCharType="begin"/>
        </w:r>
        <w:r>
          <w:instrText xml:space="preserve"> PAGE   \* MERGEFORMAT </w:instrText>
        </w:r>
        <w:r>
          <w:fldChar w:fldCharType="separate"/>
        </w:r>
        <w:r>
          <w:rPr>
            <w:lang w:val="zh-CN"/>
          </w:rPr>
          <w:t>4</w:t>
        </w:r>
        <w:r>
          <w:fldChar w:fldCharType="end"/>
        </w:r>
      </w:p>
    </w:sdtContent>
  </w:sdt>
  <w:p w14:paraId="4614C778">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1OTMyYmVkNDBiZGZjOTJjNzg0ZTljMGM2NGM1NWEifQ=="/>
  </w:docVars>
  <w:rsids>
    <w:rsidRoot w:val="0064245B"/>
    <w:rsid w:val="002E7F64"/>
    <w:rsid w:val="00615242"/>
    <w:rsid w:val="0064245B"/>
    <w:rsid w:val="006934B1"/>
    <w:rsid w:val="00802260"/>
    <w:rsid w:val="009055E5"/>
    <w:rsid w:val="009420EA"/>
    <w:rsid w:val="00A74DBB"/>
    <w:rsid w:val="00E30F34"/>
    <w:rsid w:val="04535B11"/>
    <w:rsid w:val="17F73B16"/>
    <w:rsid w:val="1A575719"/>
    <w:rsid w:val="1A8474FF"/>
    <w:rsid w:val="1ACA662E"/>
    <w:rsid w:val="1FBB8972"/>
    <w:rsid w:val="21692D89"/>
    <w:rsid w:val="245747F4"/>
    <w:rsid w:val="288A5C59"/>
    <w:rsid w:val="324B5E0B"/>
    <w:rsid w:val="35F06F4C"/>
    <w:rsid w:val="3C9F1925"/>
    <w:rsid w:val="3DA7DBB5"/>
    <w:rsid w:val="3DED51D4"/>
    <w:rsid w:val="428C4097"/>
    <w:rsid w:val="49902B2E"/>
    <w:rsid w:val="4AFB2171"/>
    <w:rsid w:val="4B440AF6"/>
    <w:rsid w:val="540120F8"/>
    <w:rsid w:val="57FFD6EF"/>
    <w:rsid w:val="5A3C146F"/>
    <w:rsid w:val="5FBD9042"/>
    <w:rsid w:val="656A1E1F"/>
    <w:rsid w:val="669E16B8"/>
    <w:rsid w:val="6AADEDD2"/>
    <w:rsid w:val="6BD7AE00"/>
    <w:rsid w:val="6CDF46CB"/>
    <w:rsid w:val="6FFB32AB"/>
    <w:rsid w:val="736A4D49"/>
    <w:rsid w:val="7BBF8808"/>
    <w:rsid w:val="7BCD0401"/>
    <w:rsid w:val="7DDF1080"/>
    <w:rsid w:val="7FCE457D"/>
    <w:rsid w:val="B5FDE35A"/>
    <w:rsid w:val="B71E70FD"/>
    <w:rsid w:val="D67FC6E2"/>
    <w:rsid w:val="DFFDD37B"/>
    <w:rsid w:val="E9FF1E20"/>
    <w:rsid w:val="EF3EC0C7"/>
    <w:rsid w:val="EFF7AA04"/>
    <w:rsid w:val="F7FFD0A6"/>
    <w:rsid w:val="FAFD3E78"/>
    <w:rsid w:val="FC33D8DF"/>
    <w:rsid w:val="FFF52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等线" w:hAnsi="Times New Roman" w:eastAsia="等线" w:cs="Arial"/>
      <w:kern w:val="2"/>
      <w:sz w:val="21"/>
      <w:szCs w:val="22"/>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keepNext/>
      <w:keepLines/>
      <w:spacing w:before="260" w:after="260" w:line="415" w:lineRule="auto"/>
      <w:outlineLvl w:val="1"/>
    </w:pPr>
    <w:rPr>
      <w:rFonts w:ascii="方正兰亭黑_GBK" w:hAnsi="方正兰亭黑_GBK" w:eastAsia="黑体"/>
      <w:b/>
      <w:bCs/>
      <w:sz w:val="32"/>
      <w:szCs w:val="32"/>
    </w:rPr>
  </w:style>
  <w:style w:type="paragraph" w:styleId="4">
    <w:name w:val="heading 3"/>
    <w:basedOn w:val="1"/>
    <w:next w:val="1"/>
    <w:autoRedefine/>
    <w:qFormat/>
    <w:uiPriority w:val="0"/>
    <w:pPr>
      <w:keepNext/>
      <w:keepLines/>
      <w:spacing w:before="260" w:after="260" w:line="415"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alloon Text"/>
    <w:basedOn w:val="1"/>
    <w:autoRedefine/>
    <w:qFormat/>
    <w:uiPriority w:val="0"/>
    <w:rPr>
      <w:sz w:val="18"/>
      <w:szCs w:val="18"/>
    </w:rPr>
  </w:style>
  <w:style w:type="paragraph" w:styleId="7">
    <w:name w:val="footer"/>
    <w:basedOn w:val="1"/>
    <w:autoRedefine/>
    <w:qFormat/>
    <w:uiPriority w:val="0"/>
    <w:pPr>
      <w:tabs>
        <w:tab w:val="center" w:pos="4153"/>
        <w:tab w:val="right" w:pos="8306"/>
      </w:tabs>
      <w:snapToGrid w:val="0"/>
      <w:jc w:val="left"/>
    </w:pPr>
    <w:rPr>
      <w:sz w:val="18"/>
      <w:szCs w:val="18"/>
    </w:rPr>
  </w:style>
  <w:style w:type="paragraph" w:styleId="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5"/>
    <w:next w:val="5"/>
    <w:autoRedefine/>
    <w:qFormat/>
    <w:uiPriority w:val="0"/>
    <w:rPr>
      <w:b/>
      <w:bCs/>
    </w:rPr>
  </w:style>
  <w:style w:type="character" w:styleId="12">
    <w:name w:val="annotation reference"/>
    <w:basedOn w:val="11"/>
    <w:autoRedefine/>
    <w:qFormat/>
    <w:uiPriority w:val="0"/>
    <w:rPr>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xmlns="http://www.yozosoft.com.cn/officeDocument/2016/customData">
    <docPr xmlns="http://www.yozosoft.com.cn/officeDocument/2016/customData" revisions="3 0 5 0 0 0 1 0 0 0 3000 0 1 1 1 1"/>
    <sectPr xmlns="http://www.yozosoft.com.cn/officeDocument/2016/customData"/>
  </customProps>
</customData>
</file>

<file path=customXml/itemProps1.xml><?xml version="1.0" encoding="utf-8"?>
<ds:datastoreItem xmlns:ds="http://schemas.openxmlformats.org/officeDocument/2006/customXml" ds:itemID="{D9D6E088-AB28-4FA6-B41C-B99B8905EA8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3400</Words>
  <Characters>3601</Characters>
  <Lines>28</Lines>
  <Paragraphs>7</Paragraphs>
  <TotalTime>3</TotalTime>
  <ScaleCrop>false</ScaleCrop>
  <LinksUpToDate>false</LinksUpToDate>
  <CharactersWithSpaces>3619</CharactersWithSpaces>
  <Application>WPS Office_12.1.2.24722_F1E327BC-269C-435d-A152-05C5408002CA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2026-03-23T19:32:00Z</dcterms:created>
  <dc:creator>张敏捷</dc:creator>
  <cp:lastModifiedBy>冯子倩</cp:lastModifiedBy>
  <dcterms:modified xsi:type="dcterms:W3CDTF">2026-04-01T16:32:12Z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2052-12.1.2.24722</vt:lpwstr>
  </property>
  <property fmtid="{D5CDD505-2E9C-101B-9397-08002B2CF9AE}" pid="3" name="ICV">
    <vt:lpwstr>7482AE19BF413E060CD8CC69484B789B_43</vt:lpwstr>
  </property>
  <property fmtid="{D5CDD505-2E9C-101B-9397-08002B2CF9AE}" pid="4" name="KSOTemplateDocerSaveRecord">
    <vt:lpwstr>eyJoZGlkIjoiZjhiZjAyNGEzODJmYjlmMzNjYjRhNDJkYTE5MThiYjMiLCJ1c2VySWQiOiIxNDYxMjg3NTQ1In0=</vt:lpwstr>
  </property>
</Properties>
</file>