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F2E26">
      <w:pPr>
        <w:ind w:firstLine="0" w:firstLineChars="0"/>
        <w:jc w:val="center"/>
        <w:rPr>
          <w:rFonts w:hint="eastAsia" w:ascii="黑体" w:hAnsi="黑体" w:eastAsia="黑体"/>
          <w:color w:val="000000" w:themeColor="text1"/>
          <w:sz w:val="48"/>
          <w:szCs w:val="48"/>
          <w14:textFill>
            <w14:solidFill>
              <w14:schemeClr w14:val="tx1"/>
            </w14:solidFill>
          </w14:textFill>
        </w:rPr>
      </w:pPr>
    </w:p>
    <w:p w14:paraId="2AEA452B">
      <w:pPr>
        <w:ind w:firstLine="0" w:firstLineChars="0"/>
        <w:jc w:val="center"/>
        <w:rPr>
          <w:rFonts w:hint="eastAsia" w:ascii="黑体" w:hAnsi="黑体" w:eastAsia="黑体"/>
          <w:color w:val="000000" w:themeColor="text1"/>
          <w:sz w:val="48"/>
          <w:szCs w:val="48"/>
          <w14:textFill>
            <w14:solidFill>
              <w14:schemeClr w14:val="tx1"/>
            </w14:solidFill>
          </w14:textFill>
        </w:rPr>
      </w:pPr>
    </w:p>
    <w:p w14:paraId="786C4288">
      <w:pPr>
        <w:ind w:firstLine="0" w:firstLineChars="0"/>
        <w:jc w:val="center"/>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上海市市场监督管理局</w:t>
      </w:r>
    </w:p>
    <w:p w14:paraId="6C415949">
      <w:pPr>
        <w:ind w:firstLine="0" w:firstLineChars="0"/>
        <w:jc w:val="center"/>
        <w:rPr>
          <w:rFonts w:hint="eastAsia" w:ascii="黑体" w:hAnsi="黑体" w:eastAsia="黑体"/>
          <w:color w:val="000000" w:themeColor="text1"/>
          <w:sz w:val="44"/>
          <w:szCs w:val="44"/>
          <w14:textFill>
            <w14:solidFill>
              <w14:schemeClr w14:val="tx1"/>
            </w14:solidFill>
          </w14:textFill>
        </w:rPr>
      </w:pPr>
      <w:r>
        <w:rPr>
          <w:rFonts w:hint="eastAsia" w:ascii="黑体" w:hAnsi="黑体" w:eastAsia="黑体"/>
          <w:color w:val="000000" w:themeColor="text1"/>
          <w:sz w:val="44"/>
          <w:szCs w:val="44"/>
          <w14:textFill>
            <w14:solidFill>
              <w14:schemeClr w14:val="tx1"/>
            </w14:solidFill>
          </w14:textFill>
        </w:rPr>
        <w:t>企业登记全程网办移动端应用子系统建设</w:t>
      </w:r>
    </w:p>
    <w:p w14:paraId="220B255B">
      <w:pPr>
        <w:ind w:firstLine="0" w:firstLineChars="0"/>
        <w:jc w:val="center"/>
        <w:rPr>
          <w:rFonts w:hint="eastAsia" w:ascii="黑体" w:hAnsi="黑体" w:eastAsia="黑体"/>
          <w:color w:val="000000" w:themeColor="text1"/>
          <w:sz w:val="44"/>
          <w:szCs w:val="44"/>
          <w14:textFill>
            <w14:solidFill>
              <w14:schemeClr w14:val="tx1"/>
            </w14:solidFill>
          </w14:textFill>
        </w:rPr>
      </w:pPr>
    </w:p>
    <w:p w14:paraId="20A4D3D3">
      <w:pPr>
        <w:ind w:firstLine="0" w:firstLineChars="0"/>
        <w:jc w:val="center"/>
        <w:rPr>
          <w:rFonts w:hint="eastAsia"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项目采购需求</w:t>
      </w:r>
    </w:p>
    <w:p w14:paraId="6E5F0F3B">
      <w:pPr>
        <w:ind w:firstLine="0" w:firstLineChars="0"/>
        <w:jc w:val="center"/>
        <w:rPr>
          <w:rFonts w:hint="eastAsia" w:ascii="黑体" w:hAnsi="黑体" w:eastAsia="黑体"/>
          <w:color w:val="000000" w:themeColor="text1"/>
          <w:sz w:val="72"/>
          <w:szCs w:val="72"/>
          <w14:textFill>
            <w14:solidFill>
              <w14:schemeClr w14:val="tx1"/>
            </w14:solidFill>
          </w14:textFill>
        </w:rPr>
      </w:pPr>
    </w:p>
    <w:p w14:paraId="4FD83282">
      <w:pPr>
        <w:ind w:firstLine="0" w:firstLineChars="0"/>
        <w:jc w:val="center"/>
        <w:rPr>
          <w:rFonts w:hint="eastAsia" w:ascii="黑体" w:hAnsi="黑体" w:eastAsia="黑体"/>
          <w:color w:val="000000" w:themeColor="text1"/>
          <w:sz w:val="48"/>
          <w:szCs w:val="48"/>
          <w14:textFill>
            <w14:solidFill>
              <w14:schemeClr w14:val="tx1"/>
            </w14:solidFill>
          </w14:textFill>
        </w:rPr>
      </w:pPr>
    </w:p>
    <w:p w14:paraId="34168A9B">
      <w:pPr>
        <w:ind w:firstLine="0" w:firstLineChars="0"/>
        <w:jc w:val="center"/>
        <w:rPr>
          <w:rFonts w:hint="eastAsia" w:ascii="黑体" w:hAnsi="黑体" w:eastAsia="黑体"/>
          <w:color w:val="000000" w:themeColor="text1"/>
          <w:sz w:val="52"/>
          <w:szCs w:val="52"/>
          <w14:textFill>
            <w14:solidFill>
              <w14:schemeClr w14:val="tx1"/>
            </w14:solidFill>
          </w14:textFill>
        </w:rPr>
      </w:pPr>
    </w:p>
    <w:p w14:paraId="5FD02CEE">
      <w:pPr>
        <w:ind w:firstLine="1040"/>
        <w:rPr>
          <w:rFonts w:hint="eastAsia" w:ascii="黑体" w:hAnsi="黑体" w:eastAsia="黑体"/>
          <w:color w:val="000000" w:themeColor="text1"/>
          <w:sz w:val="52"/>
          <w:szCs w:val="52"/>
          <w14:textFill>
            <w14:solidFill>
              <w14:schemeClr w14:val="tx1"/>
            </w14:solidFill>
          </w14:textFill>
        </w:rPr>
      </w:pPr>
    </w:p>
    <w:p w14:paraId="50589162">
      <w:pPr>
        <w:rPr>
          <w:rFonts w:hint="eastAsia"/>
          <w:color w:val="000000" w:themeColor="text1"/>
          <w14:textFill>
            <w14:solidFill>
              <w14:schemeClr w14:val="tx1"/>
            </w14:solidFill>
          </w14:textFill>
        </w:rPr>
      </w:pPr>
    </w:p>
    <w:p w14:paraId="70CE3E28">
      <w:pPr>
        <w:rPr>
          <w:rFonts w:hint="eastAsia"/>
          <w:color w:val="000000" w:themeColor="text1"/>
          <w14:textFill>
            <w14:solidFill>
              <w14:schemeClr w14:val="tx1"/>
            </w14:solidFill>
          </w14:textFill>
        </w:rPr>
      </w:pPr>
    </w:p>
    <w:p w14:paraId="33337167">
      <w:pPr>
        <w:rPr>
          <w:rFonts w:hint="eastAsia"/>
          <w:color w:val="000000" w:themeColor="text1"/>
          <w14:textFill>
            <w14:solidFill>
              <w14:schemeClr w14:val="tx1"/>
            </w14:solidFill>
          </w14:textFill>
        </w:rPr>
      </w:pPr>
    </w:p>
    <w:p w14:paraId="57925369">
      <w:pPr>
        <w:rPr>
          <w:rFonts w:hint="eastAsia"/>
          <w:color w:val="000000" w:themeColor="text1"/>
          <w14:textFill>
            <w14:solidFill>
              <w14:schemeClr w14:val="tx1"/>
            </w14:solidFill>
          </w14:textFill>
        </w:rPr>
      </w:pPr>
    </w:p>
    <w:p w14:paraId="2396B891">
      <w:pPr>
        <w:rPr>
          <w:rFonts w:hint="eastAsia"/>
          <w:color w:val="000000" w:themeColor="text1"/>
          <w14:textFill>
            <w14:solidFill>
              <w14:schemeClr w14:val="tx1"/>
            </w14:solidFill>
          </w14:textFill>
        </w:rPr>
      </w:pPr>
    </w:p>
    <w:p w14:paraId="683348D9">
      <w:pPr>
        <w:ind w:firstLine="1040"/>
        <w:rPr>
          <w:rFonts w:hint="eastAsia" w:ascii="黑体" w:hAnsi="黑体" w:eastAsia="黑体"/>
          <w:color w:val="000000" w:themeColor="text1"/>
          <w:sz w:val="52"/>
          <w:szCs w:val="52"/>
          <w14:textFill>
            <w14:solidFill>
              <w14:schemeClr w14:val="tx1"/>
            </w14:solidFill>
          </w14:textFill>
        </w:rPr>
      </w:pPr>
    </w:p>
    <w:p w14:paraId="3F3BEBD9">
      <w:pPr>
        <w:jc w:val="center"/>
        <w:rPr>
          <w:rFonts w:hint="eastAsia"/>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1CE15090">
      <w:pPr>
        <w:pStyle w:val="2"/>
        <w:rPr>
          <w:rFonts w:hint="eastAsia"/>
          <w:color w:val="000000" w:themeColor="text1"/>
          <w14:textFill>
            <w14:solidFill>
              <w14:schemeClr w14:val="tx1"/>
            </w14:solidFill>
          </w14:textFill>
        </w:rPr>
      </w:pPr>
      <w:bookmarkStart w:id="0" w:name="_Toc63785461"/>
      <w:r>
        <w:rPr>
          <w:rFonts w:hint="eastAsia"/>
          <w:color w:val="000000" w:themeColor="text1"/>
          <w14:textFill>
            <w14:solidFill>
              <w14:schemeClr w14:val="tx1"/>
            </w14:solidFill>
          </w14:textFill>
        </w:rPr>
        <w:t>项目概况</w:t>
      </w:r>
      <w:bookmarkEnd w:id="0"/>
    </w:p>
    <w:p w14:paraId="0ADC59AA">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项目背景</w:t>
      </w:r>
    </w:p>
    <w:p w14:paraId="42688ED2">
      <w:pPr>
        <w:spacing w:line="560" w:lineRule="exact"/>
        <w:rPr>
          <w:rFonts w:hint="eastAsia"/>
          <w:color w:val="000000" w:themeColor="text1"/>
          <w14:textFill>
            <w14:solidFill>
              <w14:schemeClr w14:val="tx1"/>
            </w14:solidFill>
          </w14:textFill>
        </w:rPr>
      </w:pPr>
      <w:bookmarkStart w:id="1" w:name="OLE_LINK10"/>
      <w:r>
        <w:rPr>
          <w:rFonts w:hint="eastAsia"/>
          <w:color w:val="000000" w:themeColor="text1"/>
          <w14:textFill>
            <w14:solidFill>
              <w14:schemeClr w14:val="tx1"/>
            </w14:solidFill>
          </w14:textFill>
        </w:rPr>
        <w:t>当前，市场监管总局《“十四五”市场监管现代化规划》明确提出“提高企业开办身份验证服务水平，实行身份验证信息互认，开发企业开办移动应用程序（APP），完善身份验证方式。制定实施企业开办全程网上办国家标准，建立企业开办标准化规范化指标体系，不断提升企业开办服务水平，到2025年企业平均开办时间由目前的4个工作日以内进一步压缩到2个工作日左右”。这种演进趋势既符合国务院《关于加快推进政务服务标准化规范化便利化的指导意见》的政策导向，也顺应了我国移动互联网用户规模突破12亿（CNNIC第51次报告）的客观现实，标志着市场监管数字化转型进入“泛在智能服务”新阶段。</w:t>
      </w:r>
    </w:p>
    <w:p w14:paraId="403BF3BE">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《上海市市场监督管理局关于深化“一网通办”推进行政审批制度改革的通知》提出“实现各类企业设立、变更、备案、注销等各个业务环节均可通过互联网办理，有条件的地方逐步实施无纸全程电子化登记”。</w:t>
      </w:r>
    </w:p>
    <w:p w14:paraId="5702979D">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上海市优化政务服务提升行政效能深化“一网通办”改革行动方案（2024—2026年）》要求对标外省市先进经验，进一步拓展市场主体企业登记移动端业务范围，实现企业类市场主体的设立、变更、注销相关业务在移动端的全流程办理。</w:t>
      </w:r>
    </w:p>
    <w:p w14:paraId="197F48D7">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目前，现有企业登记移动端已实现内资公司、内资分公司的设立登记业务移动端办理；尚未覆盖其他企业类型的设立登记业务移动端办理。本次企业登记全程网办移动端应用建设项目将结合市场监督管理改革和现代化要求、业务办理覆盖面和业务深度扩展需求、“企业登记在线”后台业务支撑和技术重构升级现状，全面建设企业登记全程网办移动端应用。</w:t>
      </w:r>
    </w:p>
    <w:bookmarkEnd w:id="1"/>
    <w:p w14:paraId="431A1BA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系统现状</w:t>
      </w:r>
    </w:p>
    <w:p w14:paraId="5BA47ED5">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新公司法、国务院进一步优化政务服务、本市优化营商环境等相关要求，从12个方面升级经营主体登记功能，优化升级14个方面登记业务支撑功能，并重构应用系统技术架构，充分利用大数据、人工智能、微服务、移动应用、自助终端等新思路、新技术、新渠道对业务功能、业务流程、数据服务进行全面优化与加强，确保系统满足经营主体登记相关改革要求，提升用户使用体验，为系统长期运行维护奠定良好的架构基础。</w:t>
      </w:r>
    </w:p>
    <w:p w14:paraId="50A29A0E">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本次项目建设相关系统包括: “企业登记在线”（数字化转型，整体升级）、“随申办”（渠道拓展，移动端应用）、电子营业执照应用（提供技术支撑）、国家企业信用信息公示系统（上海）、全国统一登记系统及注册支撑服务(国家市场监督管理总局提供服务)。</w:t>
      </w:r>
    </w:p>
    <w:p w14:paraId="08FCDB6A">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目前上海市市场监督管理局业务系统均已完成国产化改造，并迁移至市政务云平台。</w:t>
      </w:r>
    </w:p>
    <w:p w14:paraId="677A1A31">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建设期限</w:t>
      </w:r>
    </w:p>
    <w:p w14:paraId="524BBBD7">
      <w:pPr>
        <w:spacing w:line="560" w:lineRule="exact"/>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建设期限：自合同签订之日起</w:t>
      </w:r>
      <w:r>
        <w:rPr>
          <w:rFonts w:hint="eastAsia"/>
          <w:color w:val="000000" w:themeColor="text1"/>
          <w:lang w:val="en-US" w:eastAsia="zh-CN"/>
          <w14:textFill>
            <w14:solidFill>
              <w14:schemeClr w14:val="tx1"/>
            </w14:solidFill>
          </w14:textFill>
        </w:rPr>
        <w:t>8个月内</w:t>
      </w:r>
      <w:r>
        <w:rPr>
          <w:rFonts w:hint="eastAsia"/>
          <w:color w:val="000000" w:themeColor="text1"/>
          <w:lang w:eastAsia="zh-CN"/>
          <w14:textFill>
            <w14:solidFill>
              <w14:schemeClr w14:val="tx1"/>
            </w14:solidFill>
          </w14:textFill>
        </w:rPr>
        <w:t>（含</w:t>
      </w:r>
      <w:r>
        <w:rPr>
          <w:rFonts w:hint="eastAsia"/>
          <w:color w:val="000000" w:themeColor="text1"/>
          <w:szCs w:val="21"/>
          <w14:textFill>
            <w14:solidFill>
              <w14:schemeClr w14:val="tx1"/>
            </w14:solidFill>
          </w14:textFill>
        </w:rPr>
        <w:t>30天</w:t>
      </w:r>
      <w:r>
        <w:rPr>
          <w:color w:val="000000" w:themeColor="text1"/>
          <w:szCs w:val="21"/>
          <w14:textFill>
            <w14:solidFill>
              <w14:schemeClr w14:val="tx1"/>
            </w14:solidFill>
          </w14:textFill>
        </w:rPr>
        <w:t>系统试运行期</w:t>
      </w:r>
      <w:r>
        <w:rPr>
          <w:rFonts w:hint="eastAsia"/>
          <w:color w:val="000000" w:themeColor="text1"/>
          <w:lang w:eastAsia="zh-CN"/>
          <w14:textFill>
            <w14:solidFill>
              <w14:schemeClr w14:val="tx1"/>
            </w14:solidFill>
          </w14:textFill>
        </w:rPr>
        <w:t>）</w:t>
      </w:r>
    </w:p>
    <w:p w14:paraId="3E72127A">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建设地点</w:t>
      </w:r>
    </w:p>
    <w:p w14:paraId="393BB753">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建设地点：上海市市场监督管理局</w:t>
      </w:r>
    </w:p>
    <w:p w14:paraId="42F4BF4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预算金额</w:t>
      </w:r>
      <w:bookmarkStart w:id="49" w:name="_GoBack"/>
      <w:bookmarkEnd w:id="49"/>
    </w:p>
    <w:p w14:paraId="425B9FC6">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预算金额：</w:t>
      </w:r>
      <w:bookmarkStart w:id="2" w:name="OLE_LINK8"/>
      <w:bookmarkStart w:id="3" w:name="OLE_LINK7"/>
      <w:bookmarkStart w:id="4" w:name="OLE_LINK1"/>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671</w:t>
      </w:r>
      <w:r>
        <w:rPr>
          <w:rFonts w:hint="eastAsia"/>
          <w:color w:val="000000" w:themeColor="text1"/>
          <w14:textFill>
            <w14:solidFill>
              <w14:schemeClr w14:val="tx1"/>
            </w14:solidFill>
          </w14:textFill>
        </w:rPr>
        <w:t>,</w:t>
      </w:r>
      <w:bookmarkEnd w:id="2"/>
      <w:bookmarkEnd w:id="3"/>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00</w:t>
      </w:r>
      <w:bookmarkEnd w:id="4"/>
      <w:r>
        <w:rPr>
          <w:rFonts w:hint="eastAsia"/>
          <w:color w:val="000000" w:themeColor="text1"/>
          <w14:textFill>
            <w14:solidFill>
              <w14:schemeClr w14:val="tx1"/>
            </w14:solidFill>
          </w14:textFill>
        </w:rPr>
        <w:t>元</w:t>
      </w:r>
    </w:p>
    <w:p w14:paraId="63164E1C">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当年度预算金额：2,</w:t>
      </w:r>
      <w:r>
        <w:rPr>
          <w:rFonts w:hint="eastAsia"/>
          <w:color w:val="000000" w:themeColor="text1"/>
          <w:lang w:val="en-US" w:eastAsia="zh-CN"/>
          <w14:textFill>
            <w14:solidFill>
              <w14:schemeClr w14:val="tx1"/>
            </w14:solidFill>
          </w14:textFill>
        </w:rPr>
        <w:t>671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00元</w:t>
      </w:r>
    </w:p>
    <w:p w14:paraId="500D4E9D">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最高限价</w:t>
      </w:r>
    </w:p>
    <w:p w14:paraId="298DB527">
      <w:pPr>
        <w:spacing w:line="5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采购金额：2,550,000元</w:t>
      </w:r>
    </w:p>
    <w:p w14:paraId="3C6B6406">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组织形式</w:t>
      </w:r>
    </w:p>
    <w:p w14:paraId="7EE8FF43">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组织形式：集中采购</w:t>
      </w:r>
    </w:p>
    <w:p w14:paraId="4B959950">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采购方式</w:t>
      </w:r>
    </w:p>
    <w:p w14:paraId="4527622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采购方式：竞争性磋商</w:t>
      </w:r>
    </w:p>
    <w:p w14:paraId="12ED9F68">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是否接受联合体</w:t>
      </w:r>
      <w:r>
        <w:rPr>
          <w:rFonts w:hint="eastAsia"/>
          <w:color w:val="000000" w:themeColor="text1"/>
          <w:lang w:eastAsia="zh-CN"/>
          <w14:textFill>
            <w14:solidFill>
              <w14:schemeClr w14:val="tx1"/>
            </w14:solidFill>
          </w14:textFill>
        </w:rPr>
        <w:t>响应</w:t>
      </w:r>
    </w:p>
    <w:p w14:paraId="41090A75">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是否接受联合体</w:t>
      </w:r>
      <w:r>
        <w:rPr>
          <w:rFonts w:hint="eastAsia"/>
          <w:color w:val="000000" w:themeColor="text1"/>
          <w:lang w:eastAsia="zh-CN"/>
          <w14:textFill>
            <w14:solidFill>
              <w14:schemeClr w14:val="tx1"/>
            </w14:solidFill>
          </w14:textFill>
        </w:rPr>
        <w:t>响应</w:t>
      </w:r>
      <w:r>
        <w:rPr>
          <w:rFonts w:hint="eastAsia"/>
          <w:color w:val="000000" w:themeColor="text1"/>
          <w14:textFill>
            <w14:solidFill>
              <w14:schemeClr w14:val="tx1"/>
            </w14:solidFill>
          </w14:textFill>
        </w:rPr>
        <w:t>：否</w:t>
      </w:r>
    </w:p>
    <w:p w14:paraId="12E314C1">
      <w:pPr>
        <w:pStyle w:val="3"/>
        <w:rPr>
          <w:rFonts w:hint="eastAsia"/>
          <w:color w:val="000000" w:themeColor="text1"/>
          <w14:textFill>
            <w14:solidFill>
              <w14:schemeClr w14:val="tx1"/>
            </w14:solidFill>
          </w14:textFill>
        </w:rPr>
      </w:pPr>
      <w:r>
        <w:rPr>
          <w:color w:val="000000" w:themeColor="text1"/>
          <w14:textFill>
            <w14:solidFill>
              <w14:schemeClr w14:val="tx1"/>
            </w14:solidFill>
          </w14:textFill>
        </w:rPr>
        <w:t>是否按</w:t>
      </w:r>
      <w:r>
        <w:rPr>
          <w:rFonts w:hint="eastAsia"/>
          <w:color w:val="000000" w:themeColor="text1"/>
          <w:lang w:eastAsia="zh-CN"/>
          <w14:textFill>
            <w14:solidFill>
              <w14:schemeClr w14:val="tx1"/>
            </w14:solidFill>
          </w14:textFill>
        </w:rPr>
        <w:t>XC</w:t>
      </w:r>
      <w:r>
        <w:rPr>
          <w:color w:val="000000" w:themeColor="text1"/>
          <w14:textFill>
            <w14:solidFill>
              <w14:schemeClr w14:val="tx1"/>
            </w14:solidFill>
          </w14:textFill>
        </w:rPr>
        <w:t>要求建设</w:t>
      </w:r>
    </w:p>
    <w:p w14:paraId="2C9FF95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是否按</w:t>
      </w:r>
      <w:r>
        <w:rPr>
          <w:rFonts w:hint="eastAsia"/>
          <w:color w:val="000000" w:themeColor="text1"/>
          <w:lang w:eastAsia="zh-CN"/>
          <w14:textFill>
            <w14:solidFill>
              <w14:schemeClr w14:val="tx1"/>
            </w14:solidFill>
          </w14:textFill>
        </w:rPr>
        <w:t>XC</w:t>
      </w:r>
      <w:r>
        <w:rPr>
          <w:rFonts w:hint="eastAsia"/>
          <w:color w:val="000000" w:themeColor="text1"/>
          <w14:textFill>
            <w14:solidFill>
              <w14:schemeClr w14:val="tx1"/>
            </w14:solidFill>
          </w14:textFill>
        </w:rPr>
        <w:t>要求建设：</w:t>
      </w:r>
      <w:r>
        <w:rPr>
          <w:color w:val="000000" w:themeColor="text1"/>
          <w14:textFill>
            <w14:solidFill>
              <w14:schemeClr w14:val="tx1"/>
            </w14:solidFill>
          </w14:textFill>
        </w:rPr>
        <w:t>是</w:t>
      </w:r>
    </w:p>
    <w:p w14:paraId="2034058E">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是否采用低代码建设</w:t>
      </w:r>
    </w:p>
    <w:p w14:paraId="1EE54F8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是否采用低代码建设：否</w:t>
      </w:r>
    </w:p>
    <w:p w14:paraId="5EDFF6F2">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运维后所属大系统</w:t>
      </w:r>
    </w:p>
    <w:p w14:paraId="16D1ADBA">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运维后所属大系统：市场监管数字化大系统</w:t>
      </w:r>
    </w:p>
    <w:p w14:paraId="0502805B">
      <w:pPr>
        <w:pStyle w:val="2"/>
        <w:rPr>
          <w:rFonts w:hint="eastAsia"/>
          <w:color w:val="000000" w:themeColor="text1"/>
          <w14:textFill>
            <w14:solidFill>
              <w14:schemeClr w14:val="tx1"/>
            </w14:solidFill>
          </w14:textFill>
        </w:rPr>
      </w:pPr>
      <w:bookmarkStart w:id="5" w:name="_Toc47532255"/>
      <w:bookmarkEnd w:id="5"/>
      <w:bookmarkStart w:id="6" w:name="_Toc47533256"/>
      <w:bookmarkEnd w:id="6"/>
      <w:bookmarkStart w:id="7" w:name="_Toc47536272"/>
      <w:bookmarkEnd w:id="7"/>
      <w:bookmarkStart w:id="8" w:name="_Toc47539070"/>
      <w:bookmarkEnd w:id="8"/>
      <w:bookmarkStart w:id="9" w:name="_Toc47537134"/>
      <w:bookmarkEnd w:id="9"/>
      <w:bookmarkStart w:id="10" w:name="_Toc47536644"/>
      <w:bookmarkEnd w:id="10"/>
      <w:bookmarkStart w:id="11" w:name="_Toc47531634"/>
      <w:bookmarkEnd w:id="11"/>
      <w:bookmarkStart w:id="12" w:name="_Toc47532891"/>
      <w:bookmarkEnd w:id="12"/>
      <w:bookmarkStart w:id="13" w:name="_Toc63785463"/>
      <w:bookmarkStart w:id="14" w:name="_Toc48223882"/>
      <w:r>
        <w:rPr>
          <w:rFonts w:hint="eastAsia"/>
          <w:color w:val="000000" w:themeColor="text1"/>
          <w14:textFill>
            <w14:solidFill>
              <w14:schemeClr w14:val="tx1"/>
            </w14:solidFill>
          </w14:textFill>
        </w:rPr>
        <w:t>建设目标</w:t>
      </w:r>
      <w:bookmarkEnd w:id="13"/>
      <w:bookmarkEnd w:id="14"/>
    </w:p>
    <w:p w14:paraId="4C02D6FC">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建设目标</w:t>
      </w:r>
    </w:p>
    <w:p w14:paraId="23FE56A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面建设企业登记全程网办移动端应用,涵盖企业设立、变更、注销相关生命周期业务。基于全国市场监管数字化试验区（上海）建设的“企业登记在线”业务体系、技术架构和后台支撑，结合移动互联网和移动终端技术，全面建设企业登记全程网办移动端应用，涵盖企业设立、变更、注销、名称登记、分支机构授权登记及批量签署相关生命周期业务，方便企业随时随地提交登记业务申请材料，实时查询业务办理进度。优化移动端应用总体技术架构设计，结合智慧导办、智慧文书、电子签名、电子印章、实人认证等新技术应用，简化企业办事服务流程，缩短办理时间，为企业提供全方位、一站式登记注册业务移动端办理服务，开启数字化转型新征程。</w:t>
      </w:r>
    </w:p>
    <w:p w14:paraId="6F4F9EC8">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应用指标</w:t>
      </w:r>
    </w:p>
    <w:p w14:paraId="5C8B557E">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本项目服务的用户群体和数量如下表：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3067"/>
        <w:gridCol w:w="2076"/>
        <w:gridCol w:w="2076"/>
      </w:tblGrid>
      <w:tr w14:paraId="6CE7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77" w:type="dxa"/>
            <w:vAlign w:val="center"/>
          </w:tcPr>
          <w:p w14:paraId="685B9FE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序号</w:t>
            </w:r>
          </w:p>
        </w:tc>
        <w:tc>
          <w:tcPr>
            <w:tcW w:w="3067" w:type="dxa"/>
            <w:vAlign w:val="center"/>
          </w:tcPr>
          <w:p w14:paraId="1E127F05">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主要建设内容</w:t>
            </w:r>
          </w:p>
        </w:tc>
        <w:tc>
          <w:tcPr>
            <w:tcW w:w="2076" w:type="dxa"/>
            <w:vAlign w:val="center"/>
          </w:tcPr>
          <w:p w14:paraId="469FA055">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服务对象</w:t>
            </w:r>
          </w:p>
        </w:tc>
        <w:tc>
          <w:tcPr>
            <w:tcW w:w="2076" w:type="dxa"/>
            <w:vAlign w:val="center"/>
          </w:tcPr>
          <w:p w14:paraId="74D6BB9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用户量</w:t>
            </w:r>
          </w:p>
        </w:tc>
      </w:tr>
      <w:tr w14:paraId="647F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278BE5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w:t>
            </w:r>
          </w:p>
        </w:tc>
        <w:tc>
          <w:tcPr>
            <w:tcW w:w="3067" w:type="dxa"/>
            <w:vMerge w:val="restart"/>
            <w:vAlign w:val="center"/>
          </w:tcPr>
          <w:p w14:paraId="6D29CA5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企业登记在线</w:t>
            </w:r>
          </w:p>
        </w:tc>
        <w:tc>
          <w:tcPr>
            <w:tcW w:w="2076" w:type="dxa"/>
            <w:vAlign w:val="center"/>
          </w:tcPr>
          <w:p w14:paraId="77437BA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市局、区局、市场所用户</w:t>
            </w:r>
          </w:p>
        </w:tc>
        <w:tc>
          <w:tcPr>
            <w:tcW w:w="2076" w:type="dxa"/>
            <w:vAlign w:val="center"/>
          </w:tcPr>
          <w:p w14:paraId="72EC0B70">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970人</w:t>
            </w:r>
          </w:p>
        </w:tc>
      </w:tr>
      <w:tr w14:paraId="7710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10AC3B0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w:t>
            </w:r>
          </w:p>
        </w:tc>
        <w:tc>
          <w:tcPr>
            <w:tcW w:w="3067" w:type="dxa"/>
            <w:vMerge w:val="continue"/>
            <w:vAlign w:val="center"/>
          </w:tcPr>
          <w:p w14:paraId="3A621247">
            <w:pPr>
              <w:pStyle w:val="137"/>
              <w:widowControl w:val="0"/>
              <w:jc w:val="center"/>
              <w:rPr>
                <w:rFonts w:hint="eastAsia" w:ascii="仿宋" w:hAnsi="仿宋" w:cs="仿宋"/>
                <w:color w:val="000000" w:themeColor="text1"/>
                <w:sz w:val="24"/>
                <w14:textFill>
                  <w14:solidFill>
                    <w14:schemeClr w14:val="tx1"/>
                  </w14:solidFill>
                </w14:textFill>
              </w:rPr>
            </w:pPr>
          </w:p>
        </w:tc>
        <w:tc>
          <w:tcPr>
            <w:tcW w:w="2076" w:type="dxa"/>
            <w:vAlign w:val="center"/>
          </w:tcPr>
          <w:p w14:paraId="5F63FC3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企业</w:t>
            </w:r>
          </w:p>
        </w:tc>
        <w:tc>
          <w:tcPr>
            <w:tcW w:w="2076" w:type="dxa"/>
            <w:vAlign w:val="center"/>
          </w:tcPr>
          <w:p w14:paraId="19D0B72F">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260万户</w:t>
            </w:r>
          </w:p>
        </w:tc>
      </w:tr>
      <w:tr w14:paraId="3D31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464E52F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w:t>
            </w:r>
          </w:p>
        </w:tc>
        <w:tc>
          <w:tcPr>
            <w:tcW w:w="3067" w:type="dxa"/>
            <w:vMerge w:val="continue"/>
            <w:vAlign w:val="center"/>
          </w:tcPr>
          <w:p w14:paraId="45D0D7DE">
            <w:pPr>
              <w:pStyle w:val="137"/>
              <w:widowControl w:val="0"/>
              <w:jc w:val="center"/>
              <w:rPr>
                <w:rFonts w:hint="eastAsia" w:ascii="仿宋" w:hAnsi="仿宋" w:cs="仿宋"/>
                <w:color w:val="000000" w:themeColor="text1"/>
                <w:sz w:val="24"/>
                <w14:textFill>
                  <w14:solidFill>
                    <w14:schemeClr w14:val="tx1"/>
                  </w14:solidFill>
                </w14:textFill>
              </w:rPr>
            </w:pPr>
          </w:p>
        </w:tc>
        <w:tc>
          <w:tcPr>
            <w:tcW w:w="2076" w:type="dxa"/>
            <w:vAlign w:val="center"/>
          </w:tcPr>
          <w:p w14:paraId="77F64433">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公众</w:t>
            </w:r>
          </w:p>
        </w:tc>
        <w:tc>
          <w:tcPr>
            <w:tcW w:w="2076" w:type="dxa"/>
            <w:vAlign w:val="center"/>
          </w:tcPr>
          <w:p w14:paraId="3DA34F9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200万人</w:t>
            </w:r>
          </w:p>
        </w:tc>
      </w:tr>
      <w:tr w14:paraId="2688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2090AFE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4</w:t>
            </w:r>
          </w:p>
        </w:tc>
        <w:tc>
          <w:tcPr>
            <w:tcW w:w="3067" w:type="dxa"/>
            <w:vMerge w:val="restart"/>
            <w:vAlign w:val="center"/>
          </w:tcPr>
          <w:p w14:paraId="69B9406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公共服务</w:t>
            </w:r>
          </w:p>
        </w:tc>
        <w:tc>
          <w:tcPr>
            <w:tcW w:w="2076" w:type="dxa"/>
            <w:vAlign w:val="center"/>
          </w:tcPr>
          <w:p w14:paraId="02E8A98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企业</w:t>
            </w:r>
          </w:p>
        </w:tc>
        <w:tc>
          <w:tcPr>
            <w:tcW w:w="2076" w:type="dxa"/>
            <w:vAlign w:val="center"/>
          </w:tcPr>
          <w:p w14:paraId="32BD62E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50万户</w:t>
            </w:r>
          </w:p>
        </w:tc>
      </w:tr>
      <w:tr w14:paraId="5EA5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56D4984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w:t>
            </w:r>
          </w:p>
        </w:tc>
        <w:tc>
          <w:tcPr>
            <w:tcW w:w="3067" w:type="dxa"/>
            <w:vMerge w:val="continue"/>
            <w:vAlign w:val="center"/>
          </w:tcPr>
          <w:p w14:paraId="34E2FBEA">
            <w:pPr>
              <w:pStyle w:val="137"/>
              <w:widowControl w:val="0"/>
              <w:jc w:val="center"/>
              <w:rPr>
                <w:rFonts w:hint="eastAsia" w:ascii="仿宋" w:hAnsi="仿宋" w:cs="仿宋"/>
                <w:color w:val="000000" w:themeColor="text1"/>
                <w:sz w:val="24"/>
                <w14:textFill>
                  <w14:solidFill>
                    <w14:schemeClr w14:val="tx1"/>
                  </w14:solidFill>
                </w14:textFill>
              </w:rPr>
            </w:pPr>
          </w:p>
        </w:tc>
        <w:tc>
          <w:tcPr>
            <w:tcW w:w="2076" w:type="dxa"/>
            <w:vAlign w:val="center"/>
          </w:tcPr>
          <w:p w14:paraId="02E7203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公众</w:t>
            </w:r>
          </w:p>
        </w:tc>
        <w:tc>
          <w:tcPr>
            <w:tcW w:w="2076" w:type="dxa"/>
            <w:vAlign w:val="center"/>
          </w:tcPr>
          <w:p w14:paraId="77CBC08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50万人</w:t>
            </w:r>
          </w:p>
        </w:tc>
      </w:tr>
      <w:tr w14:paraId="7E89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313FD2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6</w:t>
            </w:r>
          </w:p>
        </w:tc>
        <w:tc>
          <w:tcPr>
            <w:tcW w:w="3067" w:type="dxa"/>
            <w:vMerge w:val="continue"/>
            <w:vAlign w:val="center"/>
          </w:tcPr>
          <w:p w14:paraId="30E39264">
            <w:pPr>
              <w:pStyle w:val="137"/>
              <w:widowControl w:val="0"/>
              <w:jc w:val="center"/>
              <w:rPr>
                <w:rFonts w:hint="eastAsia" w:ascii="仿宋" w:hAnsi="仿宋" w:cs="仿宋"/>
                <w:color w:val="000000" w:themeColor="text1"/>
                <w:sz w:val="24"/>
                <w14:textFill>
                  <w14:solidFill>
                    <w14:schemeClr w14:val="tx1"/>
                  </w14:solidFill>
                </w14:textFill>
              </w:rPr>
            </w:pPr>
          </w:p>
        </w:tc>
        <w:tc>
          <w:tcPr>
            <w:tcW w:w="2076" w:type="dxa"/>
            <w:vAlign w:val="center"/>
          </w:tcPr>
          <w:p w14:paraId="2573DC4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街镇</w:t>
            </w:r>
          </w:p>
        </w:tc>
        <w:tc>
          <w:tcPr>
            <w:tcW w:w="2076" w:type="dxa"/>
            <w:vAlign w:val="center"/>
          </w:tcPr>
          <w:p w14:paraId="68D64105">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300人</w:t>
            </w:r>
          </w:p>
        </w:tc>
      </w:tr>
      <w:tr w14:paraId="7364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72F3E65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7</w:t>
            </w:r>
          </w:p>
        </w:tc>
        <w:tc>
          <w:tcPr>
            <w:tcW w:w="3067" w:type="dxa"/>
            <w:vMerge w:val="continue"/>
            <w:vAlign w:val="center"/>
          </w:tcPr>
          <w:p w14:paraId="11D80DF1">
            <w:pPr>
              <w:pStyle w:val="137"/>
              <w:widowControl w:val="0"/>
              <w:jc w:val="center"/>
              <w:rPr>
                <w:rFonts w:hint="eastAsia" w:ascii="仿宋" w:hAnsi="仿宋" w:cs="仿宋"/>
                <w:color w:val="000000" w:themeColor="text1"/>
                <w:sz w:val="24"/>
                <w14:textFill>
                  <w14:solidFill>
                    <w14:schemeClr w14:val="tx1"/>
                  </w14:solidFill>
                </w14:textFill>
              </w:rPr>
            </w:pPr>
          </w:p>
        </w:tc>
        <w:tc>
          <w:tcPr>
            <w:tcW w:w="2076" w:type="dxa"/>
            <w:vAlign w:val="center"/>
          </w:tcPr>
          <w:p w14:paraId="289B9FE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其他</w:t>
            </w:r>
          </w:p>
        </w:tc>
        <w:tc>
          <w:tcPr>
            <w:tcW w:w="2076" w:type="dxa"/>
            <w:vAlign w:val="center"/>
          </w:tcPr>
          <w:p w14:paraId="75525A73">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5000人</w:t>
            </w:r>
          </w:p>
        </w:tc>
      </w:tr>
      <w:tr w14:paraId="66DF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7FDCE10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8</w:t>
            </w:r>
          </w:p>
        </w:tc>
        <w:tc>
          <w:tcPr>
            <w:tcW w:w="3067" w:type="dxa"/>
            <w:vAlign w:val="center"/>
          </w:tcPr>
          <w:p w14:paraId="57B1571B">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企业档案</w:t>
            </w:r>
          </w:p>
        </w:tc>
        <w:tc>
          <w:tcPr>
            <w:tcW w:w="2076" w:type="dxa"/>
            <w:vAlign w:val="center"/>
          </w:tcPr>
          <w:p w14:paraId="49677C00">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市局、区局、市场所用户</w:t>
            </w:r>
          </w:p>
        </w:tc>
        <w:tc>
          <w:tcPr>
            <w:tcW w:w="2076" w:type="dxa"/>
            <w:vAlign w:val="center"/>
          </w:tcPr>
          <w:p w14:paraId="220CF9FF">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200人</w:t>
            </w:r>
          </w:p>
        </w:tc>
      </w:tr>
    </w:tbl>
    <w:p w14:paraId="260B0246">
      <w:pPr>
        <w:rPr>
          <w:rFonts w:hint="eastAsia"/>
          <w:color w:val="000000" w:themeColor="text1"/>
          <w14:textFill>
            <w14:solidFill>
              <w14:schemeClr w14:val="tx1"/>
            </w14:solidFill>
          </w14:textFill>
        </w:rPr>
      </w:pPr>
    </w:p>
    <w:p w14:paraId="0F62F759">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绩效目标</w:t>
      </w:r>
    </w:p>
    <w:tbl>
      <w:tblPr>
        <w:tblStyle w:val="35"/>
        <w:tblW w:w="8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544"/>
        <w:gridCol w:w="825"/>
        <w:gridCol w:w="1022"/>
        <w:gridCol w:w="1778"/>
        <w:gridCol w:w="822"/>
        <w:gridCol w:w="2840"/>
      </w:tblGrid>
      <w:tr w14:paraId="2059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57" w:type="dxa"/>
            <w:vAlign w:val="center"/>
          </w:tcPr>
          <w:p w14:paraId="62B7C27C">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序号</w:t>
            </w:r>
          </w:p>
        </w:tc>
        <w:tc>
          <w:tcPr>
            <w:tcW w:w="544" w:type="dxa"/>
            <w:vAlign w:val="center"/>
          </w:tcPr>
          <w:p w14:paraId="3EACEEE1">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一级指标</w:t>
            </w:r>
          </w:p>
        </w:tc>
        <w:tc>
          <w:tcPr>
            <w:tcW w:w="825" w:type="dxa"/>
            <w:vAlign w:val="center"/>
          </w:tcPr>
          <w:p w14:paraId="0B5513CB">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二级指标</w:t>
            </w:r>
          </w:p>
        </w:tc>
        <w:tc>
          <w:tcPr>
            <w:tcW w:w="1022" w:type="dxa"/>
            <w:vAlign w:val="center"/>
          </w:tcPr>
          <w:p w14:paraId="59E5155B">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三级指标</w:t>
            </w:r>
          </w:p>
        </w:tc>
        <w:tc>
          <w:tcPr>
            <w:tcW w:w="1778" w:type="dxa"/>
            <w:vAlign w:val="center"/>
          </w:tcPr>
          <w:p w14:paraId="44713041">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四级指标</w:t>
            </w:r>
          </w:p>
        </w:tc>
        <w:tc>
          <w:tcPr>
            <w:tcW w:w="822" w:type="dxa"/>
            <w:vAlign w:val="center"/>
          </w:tcPr>
          <w:p w14:paraId="4555128B">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指标值</w:t>
            </w:r>
          </w:p>
        </w:tc>
        <w:tc>
          <w:tcPr>
            <w:tcW w:w="2840" w:type="dxa"/>
            <w:vAlign w:val="center"/>
          </w:tcPr>
          <w:p w14:paraId="6BB52BAB">
            <w:pPr>
              <w:ind w:firstLine="0" w:firstLineChars="0"/>
              <w:jc w:val="center"/>
              <w:rPr>
                <w:rFonts w:hint="eastAsia" w:ascii="仿宋" w:hAnsi="仿宋" w:cs="仿宋"/>
                <w:color w:val="000000" w:themeColor="text1"/>
                <w:sz w:val="21"/>
                <w:szCs w:val="21"/>
                <w14:textFill>
                  <w14:solidFill>
                    <w14:schemeClr w14:val="tx1"/>
                  </w14:solidFill>
                </w14:textFill>
              </w:rPr>
            </w:pPr>
            <w:r>
              <w:rPr>
                <w:rFonts w:hint="eastAsia" w:ascii="仿宋" w:hAnsi="仿宋" w:cs="仿宋"/>
                <w:b/>
                <w:bCs/>
                <w:color w:val="000000" w:themeColor="text1"/>
                <w:sz w:val="21"/>
                <w:szCs w:val="21"/>
                <w14:textFill>
                  <w14:solidFill>
                    <w14:schemeClr w14:val="tx1"/>
                  </w14:solidFill>
                </w14:textFill>
              </w:rPr>
              <w:t>指标解释</w:t>
            </w:r>
          </w:p>
        </w:tc>
      </w:tr>
      <w:tr w14:paraId="53A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57" w:type="dxa"/>
            <w:vAlign w:val="center"/>
          </w:tcPr>
          <w:p w14:paraId="1B635EF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w:t>
            </w:r>
          </w:p>
        </w:tc>
        <w:tc>
          <w:tcPr>
            <w:tcW w:w="544" w:type="dxa"/>
            <w:vMerge w:val="restart"/>
            <w:vAlign w:val="center"/>
          </w:tcPr>
          <w:p w14:paraId="4E3E72E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通用指标</w:t>
            </w:r>
          </w:p>
        </w:tc>
        <w:tc>
          <w:tcPr>
            <w:tcW w:w="825" w:type="dxa"/>
            <w:vAlign w:val="center"/>
          </w:tcPr>
          <w:p w14:paraId="4CCA2370">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01BE69A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00E765EA">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一次性验收合格率</w:t>
            </w:r>
          </w:p>
        </w:tc>
        <w:tc>
          <w:tcPr>
            <w:tcW w:w="822" w:type="dxa"/>
            <w:vAlign w:val="center"/>
          </w:tcPr>
          <w:p w14:paraId="483D715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100%</w:t>
            </w:r>
          </w:p>
        </w:tc>
        <w:tc>
          <w:tcPr>
            <w:tcW w:w="2840" w:type="dxa"/>
            <w:vAlign w:val="center"/>
          </w:tcPr>
          <w:p w14:paraId="7832E5D3">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考察项目一次性验收质量情况。一次性通过即为合格率 100%，整改后通过记为60%，不通过记为 0。</w:t>
            </w:r>
          </w:p>
        </w:tc>
      </w:tr>
      <w:tr w14:paraId="665B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57" w:type="dxa"/>
            <w:vAlign w:val="center"/>
          </w:tcPr>
          <w:p w14:paraId="68CC6BA5">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2</w:t>
            </w:r>
          </w:p>
        </w:tc>
        <w:tc>
          <w:tcPr>
            <w:tcW w:w="544" w:type="dxa"/>
            <w:vMerge w:val="continue"/>
            <w:vAlign w:val="center"/>
          </w:tcPr>
          <w:p w14:paraId="054A837E">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16A3377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0E94918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749F96B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数据安全事件发生次数</w:t>
            </w:r>
          </w:p>
        </w:tc>
        <w:tc>
          <w:tcPr>
            <w:tcW w:w="822" w:type="dxa"/>
            <w:vAlign w:val="center"/>
          </w:tcPr>
          <w:p w14:paraId="2966174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0次</w:t>
            </w:r>
          </w:p>
        </w:tc>
        <w:tc>
          <w:tcPr>
            <w:tcW w:w="2840" w:type="dxa"/>
            <w:vAlign w:val="center"/>
          </w:tcPr>
          <w:p w14:paraId="4C97607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反映数据安全保障结果情况。指标值=数据安全事件发生次数。</w:t>
            </w:r>
          </w:p>
        </w:tc>
      </w:tr>
      <w:tr w14:paraId="70CF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6DABC57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3</w:t>
            </w:r>
          </w:p>
        </w:tc>
        <w:tc>
          <w:tcPr>
            <w:tcW w:w="544" w:type="dxa"/>
            <w:vMerge w:val="continue"/>
            <w:vAlign w:val="center"/>
          </w:tcPr>
          <w:p w14:paraId="71C28186">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4DEFED1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0867452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产出时效</w:t>
            </w:r>
          </w:p>
        </w:tc>
        <w:tc>
          <w:tcPr>
            <w:tcW w:w="1778" w:type="dxa"/>
            <w:vAlign w:val="center"/>
          </w:tcPr>
          <w:p w14:paraId="7CD3B82F">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项目建设周期</w:t>
            </w:r>
          </w:p>
        </w:tc>
        <w:tc>
          <w:tcPr>
            <w:tcW w:w="822" w:type="dxa"/>
            <w:vAlign w:val="center"/>
          </w:tcPr>
          <w:p w14:paraId="614DE1E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12个月</w:t>
            </w:r>
          </w:p>
        </w:tc>
        <w:tc>
          <w:tcPr>
            <w:tcW w:w="2840" w:type="dxa"/>
            <w:vAlign w:val="center"/>
          </w:tcPr>
          <w:p w14:paraId="03E12EDF">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反映项目建设时间周期。指标值=建设周期</w:t>
            </w:r>
          </w:p>
        </w:tc>
      </w:tr>
      <w:tr w14:paraId="0D34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70AFEA3A">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4</w:t>
            </w:r>
          </w:p>
        </w:tc>
        <w:tc>
          <w:tcPr>
            <w:tcW w:w="544" w:type="dxa"/>
            <w:vMerge w:val="continue"/>
            <w:vAlign w:val="center"/>
          </w:tcPr>
          <w:p w14:paraId="27B9984D">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161484B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安全体系</w:t>
            </w:r>
          </w:p>
        </w:tc>
        <w:tc>
          <w:tcPr>
            <w:tcW w:w="1022" w:type="dxa"/>
            <w:vAlign w:val="center"/>
          </w:tcPr>
          <w:p w14:paraId="2C34F41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安全建设水平</w:t>
            </w:r>
          </w:p>
        </w:tc>
        <w:tc>
          <w:tcPr>
            <w:tcW w:w="1778" w:type="dxa"/>
            <w:vAlign w:val="center"/>
          </w:tcPr>
          <w:p w14:paraId="06840CD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数据安全措施</w:t>
            </w:r>
          </w:p>
        </w:tc>
        <w:tc>
          <w:tcPr>
            <w:tcW w:w="822" w:type="dxa"/>
            <w:vAlign w:val="center"/>
          </w:tcPr>
          <w:p w14:paraId="12EE483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有</w:t>
            </w:r>
          </w:p>
        </w:tc>
        <w:tc>
          <w:tcPr>
            <w:tcW w:w="2840" w:type="dxa"/>
            <w:vAlign w:val="center"/>
          </w:tcPr>
          <w:p w14:paraId="5A5515DC">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反映数据安全措施是否到位情况。指标值=是否有数据安全措施</w:t>
            </w:r>
          </w:p>
        </w:tc>
      </w:tr>
      <w:tr w14:paraId="3787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30880FF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5</w:t>
            </w:r>
          </w:p>
        </w:tc>
        <w:tc>
          <w:tcPr>
            <w:tcW w:w="544" w:type="dxa"/>
            <w:vMerge w:val="continue"/>
            <w:vAlign w:val="center"/>
          </w:tcPr>
          <w:p w14:paraId="6EDA1926">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4003C88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安全体系</w:t>
            </w:r>
          </w:p>
        </w:tc>
        <w:tc>
          <w:tcPr>
            <w:tcW w:w="1022" w:type="dxa"/>
            <w:vAlign w:val="center"/>
          </w:tcPr>
          <w:p w14:paraId="6C2FE6E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安全建设水平</w:t>
            </w:r>
          </w:p>
        </w:tc>
        <w:tc>
          <w:tcPr>
            <w:tcW w:w="1778" w:type="dxa"/>
            <w:vAlign w:val="center"/>
          </w:tcPr>
          <w:p w14:paraId="04B96D22">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网络安全措施</w:t>
            </w:r>
          </w:p>
        </w:tc>
        <w:tc>
          <w:tcPr>
            <w:tcW w:w="822" w:type="dxa"/>
            <w:vAlign w:val="center"/>
          </w:tcPr>
          <w:p w14:paraId="589C5CBC">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有</w:t>
            </w:r>
          </w:p>
        </w:tc>
        <w:tc>
          <w:tcPr>
            <w:tcW w:w="2840" w:type="dxa"/>
            <w:vAlign w:val="center"/>
          </w:tcPr>
          <w:p w14:paraId="019E78A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反映网络安全措施是否到位情况。指标值=是否有网络安全措施</w:t>
            </w:r>
          </w:p>
        </w:tc>
      </w:tr>
      <w:tr w14:paraId="1EBC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668AFDD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6</w:t>
            </w:r>
          </w:p>
        </w:tc>
        <w:tc>
          <w:tcPr>
            <w:tcW w:w="544" w:type="dxa"/>
            <w:vMerge w:val="continue"/>
            <w:vAlign w:val="center"/>
          </w:tcPr>
          <w:p w14:paraId="7D391B63">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12DC8F9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安全体系</w:t>
            </w:r>
          </w:p>
        </w:tc>
        <w:tc>
          <w:tcPr>
            <w:tcW w:w="1022" w:type="dxa"/>
            <w:vAlign w:val="center"/>
          </w:tcPr>
          <w:p w14:paraId="327D599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安全建设水平</w:t>
            </w:r>
          </w:p>
        </w:tc>
        <w:tc>
          <w:tcPr>
            <w:tcW w:w="1778" w:type="dxa"/>
            <w:vAlign w:val="center"/>
          </w:tcPr>
          <w:p w14:paraId="0DE3BA00">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系统安全措施</w:t>
            </w:r>
          </w:p>
        </w:tc>
        <w:tc>
          <w:tcPr>
            <w:tcW w:w="822" w:type="dxa"/>
            <w:vAlign w:val="center"/>
          </w:tcPr>
          <w:p w14:paraId="74633CE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有</w:t>
            </w:r>
          </w:p>
        </w:tc>
        <w:tc>
          <w:tcPr>
            <w:tcW w:w="2840" w:type="dxa"/>
            <w:vAlign w:val="center"/>
          </w:tcPr>
          <w:p w14:paraId="1E2579B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反映系统安全措施是否到位情况。指标值=是否有系统安全措施</w:t>
            </w:r>
          </w:p>
        </w:tc>
      </w:tr>
      <w:tr w14:paraId="592C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57" w:type="dxa"/>
            <w:vAlign w:val="center"/>
          </w:tcPr>
          <w:p w14:paraId="2DF72FD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7</w:t>
            </w:r>
          </w:p>
        </w:tc>
        <w:tc>
          <w:tcPr>
            <w:tcW w:w="544" w:type="dxa"/>
            <w:vMerge w:val="restart"/>
            <w:vAlign w:val="center"/>
          </w:tcPr>
          <w:p w14:paraId="7EF4353B">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业务指标</w:t>
            </w:r>
          </w:p>
        </w:tc>
        <w:tc>
          <w:tcPr>
            <w:tcW w:w="825" w:type="dxa"/>
            <w:vAlign w:val="center"/>
          </w:tcPr>
          <w:p w14:paraId="79AB139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331C5F8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628A8541">
            <w:pPr>
              <w:pStyle w:val="137"/>
              <w:widowControl w:val="0"/>
              <w:jc w:val="center"/>
              <w:rPr>
                <w:rFonts w:hint="eastAsia" w:ascii="仿宋" w:hAnsi="仿宋" w:cs="仿宋"/>
                <w:color w:val="000000" w:themeColor="text1"/>
                <w:sz w:val="24"/>
                <w14:textFill>
                  <w14:solidFill>
                    <w14:schemeClr w14:val="tx1"/>
                  </w14:solidFill>
                </w14:textFill>
              </w:rPr>
            </w:pPr>
            <w:bookmarkStart w:id="15" w:name="OLE_LINK14"/>
            <w:r>
              <w:rPr>
                <w:rFonts w:hint="eastAsia" w:ascii="仿宋" w:hAnsi="仿宋" w:cs="仿宋"/>
                <w:color w:val="000000" w:themeColor="text1"/>
                <w:sz w:val="24"/>
                <w14:textFill>
                  <w14:solidFill>
                    <w14:schemeClr w14:val="tx1"/>
                  </w14:solidFill>
                </w14:textFill>
              </w:rPr>
              <w:t>移动端公司、合伙企业智能文书生成率</w:t>
            </w:r>
            <w:bookmarkEnd w:id="15"/>
          </w:p>
        </w:tc>
        <w:tc>
          <w:tcPr>
            <w:tcW w:w="822" w:type="dxa"/>
            <w:vAlign w:val="center"/>
          </w:tcPr>
          <w:p w14:paraId="7726F11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≥90%</w:t>
            </w:r>
          </w:p>
        </w:tc>
        <w:tc>
          <w:tcPr>
            <w:tcW w:w="2840" w:type="dxa"/>
            <w:vAlign w:val="center"/>
          </w:tcPr>
          <w:p w14:paraId="2BFB0CF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公司、合伙企业各类文书的智能生成情况。</w:t>
            </w:r>
          </w:p>
        </w:tc>
      </w:tr>
      <w:tr w14:paraId="4F8F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2714D0F">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8</w:t>
            </w:r>
          </w:p>
        </w:tc>
        <w:tc>
          <w:tcPr>
            <w:tcW w:w="544" w:type="dxa"/>
            <w:vMerge w:val="continue"/>
            <w:vAlign w:val="center"/>
          </w:tcPr>
          <w:p w14:paraId="1FA5EABA">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3B2AB6D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70B524B4">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704DFBFB">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移动端业务功能覆盖率</w:t>
            </w:r>
          </w:p>
        </w:tc>
        <w:tc>
          <w:tcPr>
            <w:tcW w:w="0" w:type="auto"/>
            <w:vAlign w:val="center"/>
          </w:tcPr>
          <w:p w14:paraId="7AC8D047">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≥90%</w:t>
            </w:r>
          </w:p>
        </w:tc>
        <w:tc>
          <w:tcPr>
            <w:tcW w:w="2840" w:type="dxa"/>
            <w:vAlign w:val="center"/>
          </w:tcPr>
          <w:p w14:paraId="04EB3CF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移动端应用涵盖的企业类型（内外资有限责任公司、股份有限公司、合伙企业等）及业务事项（设立、变更、注销），实现线上全流程办理，无核心功能缺失。</w:t>
            </w:r>
          </w:p>
        </w:tc>
      </w:tr>
      <w:tr w14:paraId="2572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tcPr>
          <w:p w14:paraId="4F2925D7">
            <w:pPr>
              <w:pStyle w:val="137"/>
              <w:widowControl w:val="0"/>
              <w:jc w:val="center"/>
              <w:rPr>
                <w:rFonts w:hint="eastAsia" w:ascii="仿宋" w:hAnsi="仿宋" w:cs="仿宋"/>
                <w:color w:val="000000" w:themeColor="text1"/>
                <w:sz w:val="24"/>
                <w14:textFill>
                  <w14:solidFill>
                    <w14:schemeClr w14:val="tx1"/>
                  </w14:solidFill>
                </w14:textFill>
              </w:rPr>
            </w:pPr>
            <w:bookmarkStart w:id="16" w:name="_Hlk213073678"/>
            <w:r>
              <w:rPr>
                <w:rFonts w:hint="eastAsia" w:ascii="仿宋" w:hAnsi="仿宋" w:cs="仿宋"/>
                <w:color w:val="000000" w:themeColor="text1"/>
                <w:sz w:val="24"/>
                <w14:textFill>
                  <w14:solidFill>
                    <w14:schemeClr w14:val="tx1"/>
                  </w14:solidFill>
                </w14:textFill>
              </w:rPr>
              <w:t>9</w:t>
            </w:r>
          </w:p>
        </w:tc>
        <w:tc>
          <w:tcPr>
            <w:tcW w:w="544" w:type="dxa"/>
            <w:vMerge w:val="continue"/>
          </w:tcPr>
          <w:p w14:paraId="789D79CD">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4C569F5D">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322C903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72A5A19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移动端电子签名覆盖率</w:t>
            </w:r>
          </w:p>
        </w:tc>
        <w:tc>
          <w:tcPr>
            <w:tcW w:w="0" w:type="auto"/>
            <w:vAlign w:val="center"/>
          </w:tcPr>
          <w:p w14:paraId="5734F140">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≥90%</w:t>
            </w:r>
          </w:p>
        </w:tc>
        <w:tc>
          <w:tcPr>
            <w:tcW w:w="2840" w:type="dxa"/>
            <w:vAlign w:val="center"/>
          </w:tcPr>
          <w:p w14:paraId="25180489">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移动端电子签名覆盖业务事项（设立、变更、注销）大于90%。</w:t>
            </w:r>
          </w:p>
        </w:tc>
      </w:tr>
      <w:bookmarkEnd w:id="16"/>
      <w:tr w14:paraId="30CC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tcPr>
          <w:p w14:paraId="3E129A88">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10</w:t>
            </w:r>
          </w:p>
        </w:tc>
        <w:tc>
          <w:tcPr>
            <w:tcW w:w="544" w:type="dxa"/>
            <w:vMerge w:val="continue"/>
          </w:tcPr>
          <w:p w14:paraId="6ABF1B7C">
            <w:pPr>
              <w:pStyle w:val="137"/>
              <w:widowControl w:val="0"/>
              <w:jc w:val="center"/>
              <w:rPr>
                <w:rFonts w:hint="eastAsia" w:ascii="仿宋" w:hAnsi="仿宋" w:cs="仿宋"/>
                <w:color w:val="000000" w:themeColor="text1"/>
                <w:sz w:val="24"/>
                <w14:textFill>
                  <w14:solidFill>
                    <w14:schemeClr w14:val="tx1"/>
                  </w14:solidFill>
                </w14:textFill>
              </w:rPr>
            </w:pPr>
          </w:p>
        </w:tc>
        <w:tc>
          <w:tcPr>
            <w:tcW w:w="825" w:type="dxa"/>
            <w:vAlign w:val="center"/>
          </w:tcPr>
          <w:p w14:paraId="408E5A3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产出指标</w:t>
            </w:r>
          </w:p>
        </w:tc>
        <w:tc>
          <w:tcPr>
            <w:tcW w:w="1022" w:type="dxa"/>
            <w:vAlign w:val="center"/>
          </w:tcPr>
          <w:p w14:paraId="30278E41">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产出质量</w:t>
            </w:r>
          </w:p>
        </w:tc>
        <w:tc>
          <w:tcPr>
            <w:tcW w:w="1778" w:type="dxa"/>
            <w:vAlign w:val="center"/>
          </w:tcPr>
          <w:p w14:paraId="788915C6">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适格企业</w:t>
            </w:r>
          </w:p>
        </w:tc>
        <w:tc>
          <w:tcPr>
            <w:tcW w:w="0" w:type="auto"/>
            <w:vAlign w:val="center"/>
          </w:tcPr>
          <w:p w14:paraId="3E1535AE">
            <w:pPr>
              <w:pStyle w:val="137"/>
              <w:widowControl w:val="0"/>
              <w:jc w:val="center"/>
              <w:rPr>
                <w:rFonts w:hint="eastAsia"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100%</w:t>
            </w:r>
          </w:p>
        </w:tc>
        <w:tc>
          <w:tcPr>
            <w:tcW w:w="2840" w:type="dxa"/>
            <w:vAlign w:val="center"/>
          </w:tcPr>
          <w:p w14:paraId="4EB92BA7">
            <w:pPr>
              <w:pStyle w:val="137"/>
              <w:widowControl w:val="0"/>
              <w:jc w:val="center"/>
              <w:rPr>
                <w:rFonts w:hint="eastAsia" w:ascii="仿宋" w:hAnsi="仿宋" w:cs="仿宋"/>
                <w:color w:val="000000" w:themeColor="text1"/>
                <w:sz w:val="24"/>
                <w14:textFill>
                  <w14:solidFill>
                    <w14:schemeClr w14:val="tx1"/>
                  </w14:solidFill>
                </w14:textFill>
              </w:rPr>
            </w:pPr>
            <w:bookmarkStart w:id="17" w:name="OLE_LINK18"/>
            <w:r>
              <w:rPr>
                <w:rFonts w:hint="eastAsia" w:ascii="仿宋" w:hAnsi="仿宋" w:cs="仿宋"/>
                <w:color w:val="000000" w:themeColor="text1"/>
                <w:sz w:val="24"/>
                <w14:textFill>
                  <w14:solidFill>
                    <w14:schemeClr w14:val="tx1"/>
                  </w14:solidFill>
                </w14:textFill>
              </w:rPr>
              <w:t>连锁机构母体授权数大于100户</w:t>
            </w:r>
            <w:bookmarkEnd w:id="17"/>
          </w:p>
        </w:tc>
      </w:tr>
    </w:tbl>
    <w:p w14:paraId="301F1195">
      <w:pPr>
        <w:ind w:firstLine="482"/>
        <w:rPr>
          <w:rFonts w:hint="eastAsia"/>
          <w:b/>
          <w:color w:val="000000" w:themeColor="text1"/>
          <w14:textFill>
            <w14:solidFill>
              <w14:schemeClr w14:val="tx1"/>
            </w14:solidFill>
          </w14:textFill>
        </w:rPr>
      </w:pPr>
    </w:p>
    <w:p w14:paraId="32F2435E">
      <w:pPr>
        <w:pStyle w:val="2"/>
        <w:rPr>
          <w:rFonts w:hint="eastAsia"/>
          <w:color w:val="000000" w:themeColor="text1"/>
          <w14:textFill>
            <w14:solidFill>
              <w14:schemeClr w14:val="tx1"/>
            </w14:solidFill>
          </w14:textFill>
        </w:rPr>
      </w:pPr>
      <w:bookmarkStart w:id="18" w:name="_Toc47532923"/>
      <w:bookmarkEnd w:id="18"/>
      <w:bookmarkStart w:id="19" w:name="_Toc47536676"/>
      <w:bookmarkEnd w:id="19"/>
      <w:bookmarkStart w:id="20" w:name="_Toc47539102"/>
      <w:bookmarkEnd w:id="20"/>
      <w:bookmarkStart w:id="21" w:name="_Toc47536304"/>
      <w:bookmarkEnd w:id="21"/>
      <w:bookmarkStart w:id="22" w:name="_Toc47533288"/>
      <w:bookmarkEnd w:id="22"/>
      <w:bookmarkStart w:id="23" w:name="_Toc47537166"/>
      <w:bookmarkEnd w:id="23"/>
      <w:r>
        <w:rPr>
          <w:rFonts w:hint="eastAsia"/>
          <w:color w:val="000000" w:themeColor="text1"/>
          <w14:textFill>
            <w14:solidFill>
              <w14:schemeClr w14:val="tx1"/>
            </w14:solidFill>
          </w14:textFill>
        </w:rPr>
        <w:t>项目建设内容</w:t>
      </w:r>
    </w:p>
    <w:p w14:paraId="130F3682">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项目建设内容</w:t>
      </w:r>
    </w:p>
    <w:p w14:paraId="49AAC60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本项目的主要建设内容如下：</w:t>
      </w:r>
    </w:p>
    <w:p w14:paraId="377C1293">
      <w:pPr>
        <w:rPr>
          <w:rFonts w:hint="eastAsia"/>
          <w:color w:val="000000" w:themeColor="text1"/>
          <w14:textFill>
            <w14:solidFill>
              <w14:schemeClr w14:val="tx1"/>
            </w14:solidFill>
          </w14:textFill>
        </w:rPr>
      </w:pPr>
      <w:bookmarkStart w:id="24" w:name="OLE_LINK4"/>
      <w:r>
        <w:rPr>
          <w:rFonts w:hint="eastAsia"/>
          <w:color w:val="000000" w:themeColor="text1"/>
          <w14:textFill>
            <w14:solidFill>
              <w14:schemeClr w14:val="tx1"/>
            </w14:solidFill>
          </w14:textFill>
        </w:rPr>
        <w:t>升级企业登记全程网办移动应用总体架构，适配全国市场监管数字化试验区（上海）“企业登记在线”的后端应用服务体系，搭载业务改革要求，适应企业范围及业务办理事项的拓展：</w:t>
      </w:r>
    </w:p>
    <w:p w14:paraId="2DE159EF">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具体建设内容包括：</w:t>
      </w:r>
    </w:p>
    <w:p w14:paraId="3943F91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开发企业变更全程网办移动端应用，建立企业变更移动端全程网办业务流程，涵盖内外资有限责任公司、股份有限公司、合伙企业、个人独资企业、非公司企业法人及上述企业的分支机构（以下统称企业）变更登记（备案）业务；</w:t>
      </w:r>
    </w:p>
    <w:p w14:paraId="7FB6F9CF">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2.开发企业注销全程网办移动端应用，建立企业注销移动端全程网办业务流程，涵盖内外资有限责任公司、股份有限公司、合伙企业、个人独资企业、非公司企业法人及上述企业的分支机构注销业务移动端办理；</w:t>
      </w:r>
    </w:p>
    <w:p w14:paraId="299A64F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拓展企业设立移动端全程网办适用范围，在现有移动端支持内资公司、分公司、个体工商户设立基础上，开发外资有限责任公司、股份有限公司及内外资合伙企业、个人独资企业、非公司企业法人及上述企业分支机构（以下统称企业）设立的全程网办移动端应用；</w:t>
      </w:r>
    </w:p>
    <w:p w14:paraId="23207827">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开发移动端名称自主申报应用，提供前置名称申报（名称用于前置许可和企业设立）、企业名称变更申报（名称限用于变更业务）、外省市迁入名称申报（名称限用于外省市迁入业务）相关的移动端业务办理和应用衔接；</w:t>
      </w:r>
    </w:p>
    <w:p w14:paraId="2FAE45E3">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5.结合移动端应用调整，落实连锁企业分支机构登记便利化相关改革措施，包括分支机构授权登记和分支机构登记文件批量签署；</w:t>
      </w:r>
    </w:p>
    <w:p w14:paraId="4BBBE783">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6.拓展移动端电子签名功能，适配本次项目建设要求，包括：升级移动端电子签名基础功能、移动端电子签名新增业务类型、“随申办 市民云”APP电子签名调整、新增小程序端电子签名等。</w:t>
      </w:r>
    </w:p>
    <w:bookmarkEnd w:id="24"/>
    <w:p w14:paraId="02AD6276">
      <w:pPr>
        <w:rPr>
          <w:rFonts w:hint="eastAsia"/>
          <w:color w:val="000000" w:themeColor="text1"/>
          <w14:textFill>
            <w14:solidFill>
              <w14:schemeClr w14:val="tx1"/>
            </w14:solidFill>
          </w14:textFill>
        </w:rPr>
      </w:pPr>
    </w:p>
    <w:p w14:paraId="50A7027D">
      <w:pPr>
        <w:pStyle w:val="3"/>
        <w:numPr>
          <w:ilvl w:val="1"/>
          <w:numId w:val="3"/>
        </w:num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系统架构图</w:t>
      </w:r>
    </w:p>
    <w:p w14:paraId="3217430A">
      <w:pPr>
        <w:ind w:firstLine="424" w:firstLineChars="177"/>
        <w:rPr>
          <w:rFonts w:hint="eastAsia" w:ascii="仿宋" w:hAnsi="仿宋"/>
          <w:color w:val="000000" w:themeColor="text1"/>
          <w14:textFill>
            <w14:solidFill>
              <w14:schemeClr w14:val="tx1"/>
            </w14:solidFill>
          </w14:textFill>
        </w:rPr>
      </w:pPr>
      <w:bookmarkStart w:id="25" w:name="_Hlk209187257"/>
      <w:r>
        <w:rPr>
          <w:rFonts w:hint="eastAsia" w:ascii="仿宋" w:hAnsi="仿宋"/>
          <w:color w:val="000000" w:themeColor="text1"/>
          <w14:textFill>
            <w14:solidFill>
              <w14:schemeClr w14:val="tx1"/>
            </w14:solidFill>
          </w14:textFill>
        </w:rPr>
        <w:t>随着市场监管登记注册业务改革深化，应用越来越复杂、数据融合要求越来越多、移动应用逐步兴起，现有的系统部署模式已经难以满足需要，例如单位成本高、并发数受限、无法弹性部署、业务模块间可用性耦合等。</w:t>
      </w:r>
    </w:p>
    <w:p w14:paraId="4173A801">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微服务开发部署模式逐步替代传统的开发部署模式，随着微服务增多，服务治理、服务汇集、服务管理都显得很困难和混乱。通过一套完整的微服务中台体系来支撑微服务管理、API网关等进行统一管理，提供动态扩展性和稳定性的支持。同时，基于领域驱动设计（DDD）进行业务域的微服务拆解。</w:t>
      </w:r>
    </w:p>
    <w:p w14:paraId="0D01123F">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全国市场监管数字化试验区（上海）建设完成的“企业登记在线”，按此思路对业务体系、技术架构和后台支撑进行了完整的重构。本项目结合移动端建设要求，对接新的后台服务和应用体系，实现技术的一致性。</w:t>
      </w:r>
    </w:p>
    <w:p w14:paraId="7D25B33B">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基于业务架构，考虑应用复用和终端多样等方面，本项目总体架构如下图所示：</w:t>
      </w:r>
    </w:p>
    <w:p w14:paraId="2A59CF0D">
      <w:pPr>
        <w:ind w:firstLine="0" w:firstLineChars="0"/>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drawing>
          <wp:inline distT="0" distB="0" distL="0" distR="0">
            <wp:extent cx="5270500" cy="3578225"/>
            <wp:effectExtent l="0" t="0" r="6350" b="3175"/>
            <wp:docPr id="9515804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80434"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3578225"/>
                    </a:xfrm>
                    <a:prstGeom prst="rect">
                      <a:avLst/>
                    </a:prstGeom>
                    <a:noFill/>
                    <a:ln>
                      <a:noFill/>
                    </a:ln>
                  </pic:spPr>
                </pic:pic>
              </a:graphicData>
            </a:graphic>
          </wp:inline>
        </w:drawing>
      </w:r>
    </w:p>
    <w:p w14:paraId="5268FFDC">
      <w:pPr>
        <w:ind w:firstLine="0" w:firstLineChars="0"/>
        <w:rPr>
          <w:rFonts w:hint="eastAsia" w:ascii="仿宋" w:hAnsi="仿宋"/>
          <w:color w:val="000000" w:themeColor="text1"/>
          <w:lang w:val="en-GB"/>
          <w14:textFill>
            <w14:solidFill>
              <w14:schemeClr w14:val="tx1"/>
            </w14:solidFill>
          </w14:textFill>
        </w:rPr>
      </w:pPr>
    </w:p>
    <w:p w14:paraId="212C8878">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本项目在试验区企业登记在线建设基础上，建立应用：</w:t>
      </w:r>
    </w:p>
    <w:p w14:paraId="447C2C80">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现有移动端通过一窗通建设和试验区建设，已有内资公司、内资分公司、个体工商户的设立登记业务。本次扩展设立登记支持的市场主体范围，并增加变更登记、注销登记、名称自主申报和电子签名等业务。按照《上海市优化营商环境条例》（2024年修订）、《市场准入登记便利化十条措施》（2025）等文件的要求，落实连锁企业分支机构登记便利化。</w:t>
      </w:r>
    </w:p>
    <w:p w14:paraId="6AC3FA39">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移动应用的使用者包括自然人和企业，身份包括登记申请人、法定代表人、股东出资方等。使用者通过移动应用终端(基于随申办移动应用及支撑体系，并接入随申办、微信、支付宝等平台App)，在线访问登记注册（设立、变更、歇业）相关业务应用，并完成其中信息建构（申请填报）、文书材料、实名认证、电子签名等相关业务操作。</w:t>
      </w:r>
    </w:p>
    <w:p w14:paraId="7B6340BC">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移动端线上服务部署于互联网，处理申请发起和文件签名等业务，后端应用PC端线上服务所建立的微服务（基于试验区建设），所提交业务通过政务网端“市场主体登记全类型全业务管理（线下窗口与审查）”进行业务审查和处理。</w:t>
      </w:r>
    </w:p>
    <w:p w14:paraId="29B758F2">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本项目所建应用基于相关支撑体系包括：</w:t>
      </w:r>
    </w:p>
    <w:p w14:paraId="79DBFE13">
      <w:pPr>
        <w:pStyle w:val="61"/>
        <w:numPr>
          <w:ilvl w:val="0"/>
          <w:numId w:val="4"/>
        </w:numPr>
        <w:ind w:firstLineChars="0"/>
        <w:contextualSpacing/>
        <w:rPr>
          <w:rFonts w:hint="eastAsia"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应用建构及领域微服务</w:t>
      </w:r>
    </w:p>
    <w:p w14:paraId="07AF07A8">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全国市场监管数字化试验区（上海）建设的“企业登记在线”基于领域驱动设计方法（DDD）拆分经营主体准入（核心域）、经营主体退出（核心域）、经营主体暂停（核心域）、其他登记业务（核心域）、登记过程管理（支撑域）、信息管理（支撑域）、服务中台（支撑域）、应用支撑（通用域）、外部对接（支撑域）九个微服务域。</w:t>
      </w:r>
    </w:p>
    <w:p w14:paraId="60C5691C">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以微服务组合的方式和支撑，结合数据规范、材料文书规范、电子签名应用规范、前端业务规则（包括与“企业登记在线”对接要求、与总局服务对接要求等）各类要求，构建本项目核心的移动端前端应用，并接入随申办移动应用体系。</w:t>
      </w:r>
    </w:p>
    <w:p w14:paraId="105E300A">
      <w:pPr>
        <w:pStyle w:val="61"/>
        <w:numPr>
          <w:ilvl w:val="0"/>
          <w:numId w:val="4"/>
        </w:numPr>
        <w:ind w:firstLineChars="0"/>
        <w:contextualSpacing/>
        <w:rPr>
          <w:rFonts w:hint="eastAsia"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服务支撑能力</w:t>
      </w:r>
    </w:p>
    <w:p w14:paraId="0865B372">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基于上海市政务云互联网区域</w:t>
      </w:r>
      <w:r>
        <w:rPr>
          <w:rFonts w:hint="eastAsia" w:ascii="仿宋" w:hAnsi="仿宋"/>
          <w:color w:val="000000" w:themeColor="text1"/>
          <w:lang w:eastAsia="zh-CN"/>
          <w14:textFill>
            <w14:solidFill>
              <w14:schemeClr w14:val="tx1"/>
            </w14:solidFill>
          </w14:textFill>
        </w:rPr>
        <w:t>XC</w:t>
      </w:r>
      <w:r>
        <w:rPr>
          <w:rFonts w:hint="eastAsia" w:ascii="仿宋" w:hAnsi="仿宋"/>
          <w:color w:val="000000" w:themeColor="text1"/>
          <w14:textFill>
            <w14:solidFill>
              <w14:schemeClr w14:val="tx1"/>
            </w14:solidFill>
          </w14:textFill>
        </w:rPr>
        <w:t>和市场监管领域平台所提供的各类技术组件，包括且不限于缓存、消息、容器、事务、计算、安全等，并根据应用服务的一般共性，包装和构建统一流程管理、风险控制、开放与共享、服务管理、智能化等服务支撑。</w:t>
      </w:r>
    </w:p>
    <w:p w14:paraId="40A1DEA7">
      <w:pPr>
        <w:pStyle w:val="61"/>
        <w:numPr>
          <w:ilvl w:val="0"/>
          <w:numId w:val="4"/>
        </w:numPr>
        <w:ind w:firstLineChars="0"/>
        <w:contextualSpacing/>
        <w:rPr>
          <w:rFonts w:hint="eastAsia"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主题数据与数据湖</w:t>
      </w:r>
    </w:p>
    <w:p w14:paraId="1CE77606">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本项目所涉及的数据存储与相关数据归集于市场监管数据湖，相关数据治理在市场监管数据湖和主题库中完成。</w:t>
      </w:r>
    </w:p>
    <w:p w14:paraId="76A79759">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市场监管数据湖包含了缓存存储、关系型数据存储、非结构化数据存储，是各类业务数据支撑的基础。基于数据湖，根据应用需要构建主题数据。</w:t>
      </w:r>
    </w:p>
    <w:p w14:paraId="16662300">
      <w:pPr>
        <w:pStyle w:val="61"/>
        <w:numPr>
          <w:ilvl w:val="0"/>
          <w:numId w:val="4"/>
        </w:numPr>
        <w:ind w:firstLineChars="0"/>
        <w:contextualSpacing/>
        <w:rPr>
          <w:rFonts w:hint="eastAsia"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基础设施</w:t>
      </w:r>
    </w:p>
    <w:p w14:paraId="67597F9A">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由上海市政务云互联网区域</w:t>
      </w:r>
      <w:r>
        <w:rPr>
          <w:rFonts w:hint="eastAsia" w:ascii="仿宋" w:hAnsi="仿宋"/>
          <w:color w:val="000000" w:themeColor="text1"/>
          <w:lang w:eastAsia="zh-CN"/>
          <w14:textFill>
            <w14:solidFill>
              <w14:schemeClr w14:val="tx1"/>
            </w14:solidFill>
          </w14:textFill>
        </w:rPr>
        <w:t>XC</w:t>
      </w:r>
      <w:r>
        <w:rPr>
          <w:rFonts w:hint="eastAsia" w:ascii="仿宋" w:hAnsi="仿宋"/>
          <w:color w:val="000000" w:themeColor="text1"/>
          <w14:textFill>
            <w14:solidFill>
              <w14:schemeClr w14:val="tx1"/>
            </w14:solidFill>
          </w14:textFill>
        </w:rPr>
        <w:t>提供应用开展的计算与存储资源、网络与安全资源及相关系统软件。</w:t>
      </w:r>
    </w:p>
    <w:p w14:paraId="6F813785">
      <w:pPr>
        <w:pStyle w:val="61"/>
        <w:numPr>
          <w:ilvl w:val="0"/>
          <w:numId w:val="4"/>
        </w:numPr>
        <w:ind w:firstLineChars="0"/>
        <w:contextualSpacing/>
        <w:rPr>
          <w:rFonts w:hint="eastAsia" w:ascii="仿宋" w:hAnsi="仿宋"/>
          <w:b/>
          <w:bCs/>
          <w:color w:val="000000" w:themeColor="text1"/>
          <w14:textFill>
            <w14:solidFill>
              <w14:schemeClr w14:val="tx1"/>
            </w14:solidFill>
          </w14:textFill>
        </w:rPr>
      </w:pPr>
      <w:r>
        <w:rPr>
          <w:rFonts w:hint="eastAsia" w:ascii="仿宋" w:hAnsi="仿宋"/>
          <w:b/>
          <w:bCs/>
          <w:color w:val="000000" w:themeColor="text1"/>
          <w14:textFill>
            <w14:solidFill>
              <w14:schemeClr w14:val="tx1"/>
            </w14:solidFill>
          </w14:textFill>
        </w:rPr>
        <w:t>标准规范体系及安全管理体系</w:t>
      </w:r>
    </w:p>
    <w:p w14:paraId="4B3BDDD4">
      <w:pPr>
        <w:ind w:firstLine="424" w:firstLineChars="177"/>
        <w:rPr>
          <w:rFonts w:hint="eastAsia"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本项目建设遵循政务云</w:t>
      </w:r>
      <w:r>
        <w:rPr>
          <w:rFonts w:hint="eastAsia" w:ascii="仿宋" w:hAnsi="仿宋"/>
          <w:color w:val="000000" w:themeColor="text1"/>
          <w:lang w:eastAsia="zh-CN"/>
          <w14:textFill>
            <w14:solidFill>
              <w14:schemeClr w14:val="tx1"/>
            </w14:solidFill>
          </w14:textFill>
        </w:rPr>
        <w:t>XC</w:t>
      </w:r>
      <w:r>
        <w:rPr>
          <w:rFonts w:hint="eastAsia" w:ascii="仿宋" w:hAnsi="仿宋"/>
          <w:color w:val="000000" w:themeColor="text1"/>
          <w14:textFill>
            <w14:solidFill>
              <w14:schemeClr w14:val="tx1"/>
            </w14:solidFill>
          </w14:textFill>
        </w:rPr>
        <w:t>及“企业登记在线”既有的相关标准规范体系及安全管理体系要求。</w:t>
      </w:r>
    </w:p>
    <w:bookmarkEnd w:id="25"/>
    <w:p w14:paraId="52B9F93D">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部署环境和网络拓扑</w:t>
      </w:r>
    </w:p>
    <w:p w14:paraId="439B703A">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本项目依托上海市电子政务云平台部署，主体部署在政务外网，并通过政务外网和互联网分别面向政府部门和企业公众提供访问。</w:t>
      </w:r>
    </w:p>
    <w:p w14:paraId="3D2D3D75">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技术指标</w:t>
      </w:r>
    </w:p>
    <w:p w14:paraId="0B9B89EC">
      <w:pPr>
        <w:numPr>
          <w:ilvl w:val="0"/>
          <w:numId w:val="5"/>
        </w:numPr>
        <w:ind w:firstLineChars="0"/>
        <w:contextualSpacing/>
        <w:rPr>
          <w:rFonts w:hint="eastAsia" w:ascii="仿宋" w:hAnsi="仿宋" w:cs="宋体"/>
          <w:color w:val="000000" w:themeColor="text1"/>
          <w:lang w:val="en-GB"/>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并发用户数≥300；</w:t>
      </w:r>
    </w:p>
    <w:p w14:paraId="6906E318">
      <w:pPr>
        <w:numPr>
          <w:ilvl w:val="0"/>
          <w:numId w:val="5"/>
        </w:numPr>
        <w:ind w:firstLineChars="0"/>
        <w:contextualSpacing/>
        <w:rPr>
          <w:rFonts w:hint="eastAsia" w:ascii="仿宋" w:hAnsi="仿宋" w:cs="宋体"/>
          <w:color w:val="000000" w:themeColor="text1"/>
          <w:lang w:val="en-GB"/>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并发用户数100时，系统登陆时间≤3秒；</w:t>
      </w:r>
    </w:p>
    <w:p w14:paraId="4843110B">
      <w:pPr>
        <w:numPr>
          <w:ilvl w:val="0"/>
          <w:numId w:val="5"/>
        </w:numPr>
        <w:ind w:firstLineChars="0"/>
        <w:contextualSpacing/>
        <w:rPr>
          <w:rFonts w:hint="eastAsia" w:ascii="仿宋" w:hAnsi="仿宋" w:cs="宋体"/>
          <w:color w:val="000000" w:themeColor="text1"/>
          <w:lang w:val="en-GB"/>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一般查询和写入操作响应时间（90%的操作页面）≤5秒；</w:t>
      </w:r>
    </w:p>
    <w:p w14:paraId="4FF1C077">
      <w:pPr>
        <w:numPr>
          <w:ilvl w:val="0"/>
          <w:numId w:val="5"/>
        </w:numPr>
        <w:ind w:firstLineChars="0"/>
        <w:contextualSpacing/>
        <w:rPr>
          <w:rFonts w:hint="eastAsia" w:ascii="仿宋" w:hAnsi="仿宋" w:cs="宋体"/>
          <w:color w:val="000000" w:themeColor="text1"/>
          <w:lang w:val="en-GB"/>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搜索类操作响应时间≤10秒；</w:t>
      </w:r>
    </w:p>
    <w:p w14:paraId="08717D89">
      <w:pPr>
        <w:numPr>
          <w:ilvl w:val="0"/>
          <w:numId w:val="5"/>
        </w:numPr>
        <w:ind w:firstLineChars="0"/>
        <w:contextualSpacing/>
        <w:rPr>
          <w:rFonts w:hint="eastAsia" w:ascii="仿宋" w:hAnsi="仿宋" w:cs="宋体"/>
          <w:color w:val="000000" w:themeColor="text1"/>
          <w:lang w:val="en-GB"/>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报表统计类操作响应时间≤15秒；</w:t>
      </w:r>
    </w:p>
    <w:p w14:paraId="04E99E41">
      <w:pPr>
        <w:numPr>
          <w:ilvl w:val="0"/>
          <w:numId w:val="5"/>
        </w:numPr>
        <w:ind w:firstLineChars="0"/>
        <w:contextualSpacing/>
        <w:rPr>
          <w:rFonts w:hint="eastAsia"/>
          <w:color w:val="000000" w:themeColor="text1"/>
          <w14:textFill>
            <w14:solidFill>
              <w14:schemeClr w14:val="tx1"/>
            </w14:solidFill>
          </w14:textFill>
        </w:rPr>
      </w:pPr>
      <w:r>
        <w:rPr>
          <w:rFonts w:hint="eastAsia" w:ascii="仿宋" w:hAnsi="仿宋" w:cs="宋体"/>
          <w:color w:val="000000" w:themeColor="text1"/>
          <w:lang w:val="en-GB"/>
          <w14:textFill>
            <w14:solidFill>
              <w14:schemeClr w14:val="tx1"/>
            </w14:solidFill>
          </w14:textFill>
        </w:rPr>
        <w:t>响应时间较长的操作页面应显示进度条。</w:t>
      </w:r>
    </w:p>
    <w:p w14:paraId="1168E0E8">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软件开发清单</w:t>
      </w:r>
    </w:p>
    <w:tbl>
      <w:tblPr>
        <w:tblStyle w:val="35"/>
        <w:tblW w:w="5000" w:type="pct"/>
        <w:tblInd w:w="0" w:type="dxa"/>
        <w:tblLayout w:type="autofit"/>
        <w:tblCellMar>
          <w:top w:w="0" w:type="dxa"/>
          <w:left w:w="108" w:type="dxa"/>
          <w:bottom w:w="0" w:type="dxa"/>
          <w:right w:w="108" w:type="dxa"/>
        </w:tblCellMar>
      </w:tblPr>
      <w:tblGrid>
        <w:gridCol w:w="289"/>
        <w:gridCol w:w="797"/>
        <w:gridCol w:w="2032"/>
        <w:gridCol w:w="5410"/>
      </w:tblGrid>
      <w:tr w14:paraId="0E56360B">
        <w:tblPrEx>
          <w:tblCellMar>
            <w:top w:w="0" w:type="dxa"/>
            <w:left w:w="108" w:type="dxa"/>
            <w:bottom w:w="0" w:type="dxa"/>
            <w:right w:w="108" w:type="dxa"/>
          </w:tblCellMar>
        </w:tblPrEx>
        <w:trPr>
          <w:trHeight w:val="288" w:hRule="atLeast"/>
        </w:trPr>
        <w:tc>
          <w:tcPr>
            <w:tcW w:w="254" w:type="pct"/>
            <w:tcBorders>
              <w:top w:val="single" w:color="auto" w:sz="4" w:space="0"/>
              <w:left w:val="single" w:color="auto" w:sz="4" w:space="0"/>
              <w:bottom w:val="single" w:color="auto" w:sz="4" w:space="0"/>
              <w:right w:val="single" w:color="auto" w:sz="4" w:space="0"/>
            </w:tcBorders>
            <w:noWrap/>
            <w:vAlign w:val="center"/>
          </w:tcPr>
          <w:p w14:paraId="7F88EE1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序号</w:t>
            </w:r>
          </w:p>
        </w:tc>
        <w:tc>
          <w:tcPr>
            <w:tcW w:w="389" w:type="pct"/>
            <w:tcBorders>
              <w:top w:val="single" w:color="auto" w:sz="4" w:space="0"/>
              <w:left w:val="nil"/>
              <w:bottom w:val="single" w:color="auto" w:sz="4" w:space="0"/>
              <w:right w:val="single" w:color="auto" w:sz="4" w:space="0"/>
            </w:tcBorders>
            <w:noWrap/>
            <w:vAlign w:val="center"/>
          </w:tcPr>
          <w:p w14:paraId="4322989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应用系统名称</w:t>
            </w:r>
          </w:p>
        </w:tc>
        <w:tc>
          <w:tcPr>
            <w:tcW w:w="1191" w:type="pct"/>
            <w:tcBorders>
              <w:top w:val="single" w:color="auto" w:sz="4" w:space="0"/>
              <w:left w:val="nil"/>
              <w:bottom w:val="single" w:color="auto" w:sz="4" w:space="0"/>
              <w:right w:val="single" w:color="auto" w:sz="4" w:space="0"/>
            </w:tcBorders>
            <w:noWrap/>
            <w:vAlign w:val="center"/>
          </w:tcPr>
          <w:p w14:paraId="2145719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模块名称</w:t>
            </w:r>
          </w:p>
        </w:tc>
        <w:tc>
          <w:tcPr>
            <w:tcW w:w="3166" w:type="pct"/>
            <w:tcBorders>
              <w:top w:val="single" w:color="auto" w:sz="4" w:space="0"/>
              <w:left w:val="nil"/>
              <w:bottom w:val="single" w:color="auto" w:sz="4" w:space="0"/>
              <w:right w:val="single" w:color="auto" w:sz="4" w:space="0"/>
            </w:tcBorders>
            <w:noWrap/>
            <w:vAlign w:val="center"/>
          </w:tcPr>
          <w:p w14:paraId="00245ED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模块描述</w:t>
            </w:r>
          </w:p>
        </w:tc>
      </w:tr>
      <w:tr w14:paraId="2EB7916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C640DB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w:t>
            </w:r>
          </w:p>
        </w:tc>
        <w:tc>
          <w:tcPr>
            <w:tcW w:w="389" w:type="pct"/>
            <w:tcBorders>
              <w:top w:val="nil"/>
              <w:left w:val="nil"/>
              <w:bottom w:val="single" w:color="auto" w:sz="4" w:space="0"/>
              <w:right w:val="single" w:color="auto" w:sz="4" w:space="0"/>
            </w:tcBorders>
            <w:noWrap/>
            <w:vAlign w:val="center"/>
          </w:tcPr>
          <w:p w14:paraId="456F769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602538A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变更（备案）引导及路由-变更登记事项导办（确定变更所涉市场监管业务）</w:t>
            </w:r>
          </w:p>
        </w:tc>
        <w:tc>
          <w:tcPr>
            <w:tcW w:w="3166" w:type="pct"/>
            <w:tcBorders>
              <w:top w:val="nil"/>
              <w:left w:val="nil"/>
              <w:bottom w:val="single" w:color="auto" w:sz="4" w:space="0"/>
              <w:right w:val="single" w:color="auto" w:sz="4" w:space="0"/>
            </w:tcBorders>
            <w:noWrap/>
            <w:vAlign w:val="center"/>
          </w:tcPr>
          <w:p w14:paraId="0EFA2DB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提供对变更登记事项的引导服务，提供根据企业类型和变更需求，动态推荐最优办理路径和所需材料清单，简化用户操作流程。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系统列出所有可选的变更登记事项（如法定代表人变更、注册资本变更、经营范围变更等），用户可从中勾选本次需要办理的一项或多项变更内容。</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申请人选择拟办业务所涉及的变更事项，系统根据变更事项选定情况，控制变更页面初始化信息（已登记事项），控制可变更修改的内容。</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对于不涉及变更事项的登记内容，控制不可修改，沿用上一被核准申请内容。</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根据变更事项选择情况，设定界面组件、文书材料和处理流程路由。</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市场主体登记事项由《中华人民共和国市场主体登记管理条例》为基准，变更登记事项与其匹配对应。根据业务改革需要和上海本地实践，上海企业登记在线和市场主体登记系统中增设了“经营地址备案”事项，以支撑“一照多址”“市场主体住所和经营场所分离”相关改革。</w:t>
            </w:r>
          </w:p>
        </w:tc>
      </w:tr>
      <w:tr w14:paraId="202A46E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352F04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w:t>
            </w:r>
          </w:p>
        </w:tc>
        <w:tc>
          <w:tcPr>
            <w:tcW w:w="389" w:type="pct"/>
            <w:tcBorders>
              <w:top w:val="nil"/>
              <w:left w:val="nil"/>
              <w:bottom w:val="single" w:color="auto" w:sz="4" w:space="0"/>
              <w:right w:val="single" w:color="auto" w:sz="4" w:space="0"/>
            </w:tcBorders>
            <w:noWrap/>
            <w:vAlign w:val="center"/>
          </w:tcPr>
          <w:p w14:paraId="2FD9441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3D15EDD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变更（备案）引导及路由-变更一件事导办（确定变更所涉跨部门业务）</w:t>
            </w:r>
          </w:p>
        </w:tc>
        <w:tc>
          <w:tcPr>
            <w:tcW w:w="3166" w:type="pct"/>
            <w:tcBorders>
              <w:top w:val="nil"/>
              <w:left w:val="nil"/>
              <w:bottom w:val="single" w:color="auto" w:sz="4" w:space="0"/>
              <w:right w:val="single" w:color="auto" w:sz="4" w:space="0"/>
            </w:tcBorders>
            <w:noWrap/>
            <w:vAlign w:val="center"/>
          </w:tcPr>
          <w:p w14:paraId="0D520F8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变更一件事按照国办要求，对用户选择的多个变更事项进行打包，形成“一件事”主题服务，整合申请表单和材料，实现一次申报、同步办结。</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结合“高效办成一件事”相关业务改革要求，按照跨部门、跨领域（涉及行政许可的）集成办理事项对变更登记业务提供“变更一件事”专题页面。</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面向“变更一件事”业务特点，引导办事人明确要办理的变更业务和集成事项，告知业务办理条件和适用范围，构建办事人和服务方对问题域的共识，从而确定相应的业务流程。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对主体变更一件事业务办理过程提供支持信息，指导办事人线上线下业务办理流程，提升用户在办理业务过程时的效率。</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申请人对申请所涉及的“变更一件事”可选事项进行选择，系统根据申请人意愿控制协同事项的生成，涉及协同事项内容采集、协同分办件的分拆和分发、协同分办件相关材料的生成、“一件事”协同流程反馈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根据变更一件事相关事项选择情况，设定界面组件、文书材料和处理流程路由。</w:t>
            </w:r>
          </w:p>
        </w:tc>
      </w:tr>
      <w:tr w14:paraId="6BCD215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0EF8AE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w:t>
            </w:r>
          </w:p>
        </w:tc>
        <w:tc>
          <w:tcPr>
            <w:tcW w:w="389" w:type="pct"/>
            <w:tcBorders>
              <w:top w:val="nil"/>
              <w:left w:val="nil"/>
              <w:bottom w:val="single" w:color="auto" w:sz="4" w:space="0"/>
              <w:right w:val="single" w:color="auto" w:sz="4" w:space="0"/>
            </w:tcBorders>
            <w:noWrap/>
            <w:vAlign w:val="center"/>
          </w:tcPr>
          <w:p w14:paraId="50B0781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CFCD33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变更申请-委托代理人变更申报</w:t>
            </w:r>
          </w:p>
        </w:tc>
        <w:tc>
          <w:tcPr>
            <w:tcW w:w="3166" w:type="pct"/>
            <w:tcBorders>
              <w:top w:val="nil"/>
              <w:left w:val="nil"/>
              <w:bottom w:val="single" w:color="auto" w:sz="4" w:space="0"/>
              <w:right w:val="single" w:color="auto" w:sz="4" w:space="0"/>
            </w:tcBorders>
            <w:noWrap/>
            <w:vAlign w:val="center"/>
          </w:tcPr>
          <w:p w14:paraId="2A3FC7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建立委托代理人信息组件，提供采集表单前端展示、输入、暂存、提交、数据质量源头治理（控制）等能力。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提供代理人姓名、证件类型、证件号、联系电话等信息的预填能力，含智慧辅助输入（从登录用户信息带入、自历史申请获取等）、通过查询辅助输入、基于政务服务平台的免填免报等。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采集代理人姓名、证件类型、证件号码、联系电话、电子邮箱；记录代理权限范围及代理期限；验证代理人身份信息真实性；建立代理人与申请主体的法律关系。</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对代理人姓名、证件类型、证件号码、联系电话、电子邮箱进行必填项校验和格式验证、数据逻辑关系一致性检查、与历史数据的对比分析、调用外部服务对代理人实人信息、人员监控和失信被执行人情况、代理人备案情况等进行实时核验和预警、对数据标准化处理、对异常数据识别和拦截</w:t>
            </w:r>
          </w:p>
        </w:tc>
      </w:tr>
      <w:tr w14:paraId="6CF2BC9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785276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w:t>
            </w:r>
          </w:p>
        </w:tc>
        <w:tc>
          <w:tcPr>
            <w:tcW w:w="389" w:type="pct"/>
            <w:tcBorders>
              <w:top w:val="nil"/>
              <w:left w:val="nil"/>
              <w:bottom w:val="single" w:color="auto" w:sz="4" w:space="0"/>
              <w:right w:val="single" w:color="auto" w:sz="4" w:space="0"/>
            </w:tcBorders>
            <w:noWrap/>
            <w:vAlign w:val="center"/>
          </w:tcPr>
          <w:p w14:paraId="0A456CC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246A669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变更申请-名称变更申报-名称和登记一起变更</w:t>
            </w:r>
          </w:p>
        </w:tc>
        <w:tc>
          <w:tcPr>
            <w:tcW w:w="3166" w:type="pct"/>
            <w:tcBorders>
              <w:top w:val="nil"/>
              <w:left w:val="nil"/>
              <w:bottom w:val="single" w:color="auto" w:sz="4" w:space="0"/>
              <w:right w:val="single" w:color="auto" w:sz="4" w:space="0"/>
            </w:tcBorders>
            <w:noWrap/>
            <w:vAlign w:val="center"/>
          </w:tcPr>
          <w:p w14:paraId="20EE31A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结合名称自主申报和登记流程，落实《企业名称登记管理规定》《企业名称登记管理规定实施办法》《企业名称禁限用规则》《企业名称相同相近比对规则》等要求，即时进行名称变更申报。包括：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新名称的全部组成要素：行政区划、字号、行业特征、组织形式；调用名称查重接口进行即时查重；校验名称是否符合《企业名称登记管理规定》，是否有禁限用；对名称进行风险等级研判，判断名称是否符合承诺制申报条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p>
        </w:tc>
      </w:tr>
      <w:tr w14:paraId="65C51E5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73AA5A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w:t>
            </w:r>
          </w:p>
        </w:tc>
        <w:tc>
          <w:tcPr>
            <w:tcW w:w="389" w:type="pct"/>
            <w:tcBorders>
              <w:top w:val="nil"/>
              <w:left w:val="nil"/>
              <w:bottom w:val="single" w:color="auto" w:sz="4" w:space="0"/>
              <w:right w:val="single" w:color="auto" w:sz="4" w:space="0"/>
            </w:tcBorders>
            <w:noWrap/>
            <w:vAlign w:val="center"/>
          </w:tcPr>
          <w:p w14:paraId="5FF2EB8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542D31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变更申请-名称变更申报-已有名称变更</w:t>
            </w:r>
          </w:p>
        </w:tc>
        <w:tc>
          <w:tcPr>
            <w:tcW w:w="3166" w:type="pct"/>
            <w:tcBorders>
              <w:top w:val="nil"/>
              <w:left w:val="nil"/>
              <w:bottom w:val="single" w:color="auto" w:sz="4" w:space="0"/>
              <w:right w:val="single" w:color="auto" w:sz="4" w:space="0"/>
            </w:tcBorders>
            <w:noWrap/>
            <w:vAlign w:val="center"/>
          </w:tcPr>
          <w:p w14:paraId="6FA9F26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选择在保护期内的有效变更名称。根据统一社会信用代码、名称保留号等，对名称归属进行验证确认。</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p>
        </w:tc>
      </w:tr>
      <w:tr w14:paraId="17F9F636">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62A40B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w:t>
            </w:r>
          </w:p>
        </w:tc>
        <w:tc>
          <w:tcPr>
            <w:tcW w:w="389" w:type="pct"/>
            <w:tcBorders>
              <w:top w:val="nil"/>
              <w:left w:val="nil"/>
              <w:bottom w:val="single" w:color="auto" w:sz="4" w:space="0"/>
              <w:right w:val="single" w:color="auto" w:sz="4" w:space="0"/>
            </w:tcBorders>
            <w:noWrap/>
            <w:vAlign w:val="center"/>
          </w:tcPr>
          <w:p w14:paraId="2E021E3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224D635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变更申请-住所/经营场所变更申报</w:t>
            </w:r>
          </w:p>
        </w:tc>
        <w:tc>
          <w:tcPr>
            <w:tcW w:w="3166" w:type="pct"/>
            <w:tcBorders>
              <w:top w:val="nil"/>
              <w:left w:val="nil"/>
              <w:bottom w:val="single" w:color="auto" w:sz="4" w:space="0"/>
              <w:right w:val="single" w:color="auto" w:sz="4" w:space="0"/>
            </w:tcBorders>
            <w:noWrap/>
            <w:vAlign w:val="center"/>
          </w:tcPr>
          <w:p w14:paraId="0DE7FDA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根据住所/经营场所变更登记事项，建立住所/经营场所变更登记事项组件，提供采集表单前端展示、输入、暂存、提交、数据质量源头治理（控制）等能力。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行政区划、街道乡镇、路名、弄、号段、楼栋、室号等字段预填能力，含智慧辅助输入（从标准道路库带入、自历史申请获取等）、通过查询辅助输入的（如从标准地址库、集中登记地查询等）、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新住所/经营场所的分段地址信息和详细地址，包括市、区、街道、弄、门牌号段、门牌号属性、楼栋号、室号、详细地址、产权证编号等，系统自动生成自贸区/示范区地址前缀；调用标准地址库、集中登记地等进行住所的规范化填写。</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对区划、街道、弄、门牌号段、门牌号属性、楼栋号、室号、详细地址等进行必填项校验和格式验证、根据产权证编号调用规资局服务对地址的真实性和具体信息进行核验，进行重复地址校验、冻结地址校验和拦截、与历史数据的对比分析、实时数据质量提示和预警、数据标准化处理、异常数据识别和拦截</w:t>
            </w:r>
          </w:p>
        </w:tc>
      </w:tr>
      <w:tr w14:paraId="1CB03FF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B673E9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w:t>
            </w:r>
          </w:p>
        </w:tc>
        <w:tc>
          <w:tcPr>
            <w:tcW w:w="389" w:type="pct"/>
            <w:tcBorders>
              <w:top w:val="nil"/>
              <w:left w:val="nil"/>
              <w:bottom w:val="single" w:color="auto" w:sz="4" w:space="0"/>
              <w:right w:val="single" w:color="auto" w:sz="4" w:space="0"/>
            </w:tcBorders>
            <w:noWrap/>
            <w:vAlign w:val="center"/>
          </w:tcPr>
          <w:p w14:paraId="72D94A4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5033F6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变更申请-企业类型变更申报</w:t>
            </w:r>
          </w:p>
        </w:tc>
        <w:tc>
          <w:tcPr>
            <w:tcW w:w="3166" w:type="pct"/>
            <w:tcBorders>
              <w:top w:val="nil"/>
              <w:left w:val="nil"/>
              <w:bottom w:val="single" w:color="auto" w:sz="4" w:space="0"/>
              <w:right w:val="single" w:color="auto" w:sz="4" w:space="0"/>
            </w:tcBorders>
            <w:noWrap/>
            <w:vAlign w:val="center"/>
          </w:tcPr>
          <w:p w14:paraId="38A4933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匹配企业类型变更登记事项，建立企业类型变更登记事项组件，组件提供采集表单前端展示、输入、暂存、提交、数据质量源头治理（控制）等能力。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提供企业类型预填能力，含智慧辅助输入（从名称登记带入、从隶属企业类型带入、自历史申请获取等）、通过查询辅助输入的、基于政务服务平台的免填免报等。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变更前后的企业类型代码和名称，记录企业类型变更的具体事由，校验企业类型变更关联的条件和要求（如应进行相应的投资人变更）。提供数据质量源头治理功能：对必填项校验和格式验证、与投资人类型、投资人数量、投资人国别进行数据逻辑关系一致性检查、与历史数据的对比分析、实时数据质量提示和预警、数据标准化处理、异常数据识别和拦截</w:t>
            </w:r>
          </w:p>
        </w:tc>
      </w:tr>
      <w:tr w14:paraId="477D2EC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0925C7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w:t>
            </w:r>
          </w:p>
        </w:tc>
        <w:tc>
          <w:tcPr>
            <w:tcW w:w="389" w:type="pct"/>
            <w:tcBorders>
              <w:top w:val="nil"/>
              <w:left w:val="nil"/>
              <w:bottom w:val="single" w:color="auto" w:sz="4" w:space="0"/>
              <w:right w:val="single" w:color="auto" w:sz="4" w:space="0"/>
            </w:tcBorders>
            <w:noWrap/>
            <w:vAlign w:val="center"/>
          </w:tcPr>
          <w:p w14:paraId="79F21F7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8AEEB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变更申请-经营范围变更申报-许可事项变更</w:t>
            </w:r>
          </w:p>
        </w:tc>
        <w:tc>
          <w:tcPr>
            <w:tcW w:w="3166" w:type="pct"/>
            <w:tcBorders>
              <w:top w:val="nil"/>
              <w:left w:val="nil"/>
              <w:bottom w:val="single" w:color="auto" w:sz="4" w:space="0"/>
              <w:right w:val="single" w:color="auto" w:sz="4" w:space="0"/>
            </w:tcBorders>
            <w:noWrap/>
            <w:vAlign w:val="center"/>
          </w:tcPr>
          <w:p w14:paraId="49907FA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落实《关于推进“证照分离”改革开展市场主体经营范围登记规范化工作的通知》《市场监管总局办公厅关于全面开展经营范围登记规范化工作的通知》要求。</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涉及行政许可的具体经营项目；对接经营范围规范表述进行标准化选择；采集前置许可文件的许可事项、许可文件编号、发证机关、发证日期、有效期、许可内容、有效性；提供相关字段预填能力，含智慧辅助输入（自历史申请获取）、通过查询辅助输入的、基于政务服务平台、电子证照库调取的免填免报等。提供数据质量源头治理功能：必填项校验和格式验证、数据逻辑关系一致性检查、与历史数据的对比分析、实时数据质量提示和预警、数据标准化处理、异常数据识别和拦截</w:t>
            </w:r>
          </w:p>
        </w:tc>
      </w:tr>
      <w:tr w14:paraId="15E4B0F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878B30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w:t>
            </w:r>
          </w:p>
        </w:tc>
        <w:tc>
          <w:tcPr>
            <w:tcW w:w="389" w:type="pct"/>
            <w:tcBorders>
              <w:top w:val="nil"/>
              <w:left w:val="nil"/>
              <w:bottom w:val="single" w:color="auto" w:sz="4" w:space="0"/>
              <w:right w:val="single" w:color="auto" w:sz="4" w:space="0"/>
            </w:tcBorders>
            <w:noWrap/>
            <w:vAlign w:val="center"/>
          </w:tcPr>
          <w:p w14:paraId="3979F85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7396D7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变更申请-经营范围变更申报-一般事项变更</w:t>
            </w:r>
          </w:p>
        </w:tc>
        <w:tc>
          <w:tcPr>
            <w:tcW w:w="3166" w:type="pct"/>
            <w:tcBorders>
              <w:top w:val="nil"/>
              <w:left w:val="nil"/>
              <w:bottom w:val="single" w:color="auto" w:sz="4" w:space="0"/>
              <w:right w:val="single" w:color="auto" w:sz="4" w:space="0"/>
            </w:tcBorders>
            <w:noWrap/>
            <w:vAlign w:val="center"/>
          </w:tcPr>
          <w:p w14:paraId="112A114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通过对接经营范围规范表述进行标准化选择，采集一般经营项目内容；进行经营范围表述的规范性校验；确保经营范围表述符合国家标准。提供数据质量源头治理功能：必填项校验和格式验证、数据逻辑关系一致性检查、与历史数据的对比分析、实时数据质量提示和预警、数据标准化处理、异常数据识别和拦截</w:t>
            </w:r>
          </w:p>
        </w:tc>
      </w:tr>
      <w:tr w14:paraId="171EDCF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166097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w:t>
            </w:r>
          </w:p>
        </w:tc>
        <w:tc>
          <w:tcPr>
            <w:tcW w:w="389" w:type="pct"/>
            <w:tcBorders>
              <w:top w:val="nil"/>
              <w:left w:val="nil"/>
              <w:bottom w:val="single" w:color="auto" w:sz="4" w:space="0"/>
              <w:right w:val="single" w:color="auto" w:sz="4" w:space="0"/>
            </w:tcBorders>
            <w:noWrap/>
            <w:vAlign w:val="center"/>
          </w:tcPr>
          <w:p w14:paraId="4284E46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7F3A3D2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变更申请-经营范围变更申报-经营范围自主展示变更（浦东确认制）</w:t>
            </w:r>
          </w:p>
        </w:tc>
        <w:tc>
          <w:tcPr>
            <w:tcW w:w="3166" w:type="pct"/>
            <w:tcBorders>
              <w:top w:val="nil"/>
              <w:left w:val="nil"/>
              <w:bottom w:val="single" w:color="auto" w:sz="4" w:space="0"/>
              <w:right w:val="single" w:color="auto" w:sz="4" w:space="0"/>
            </w:tcBorders>
            <w:noWrap/>
            <w:vAlign w:val="center"/>
          </w:tcPr>
          <w:p w14:paraId="7848ACE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根据《上海市浦东新区市场主体登记确认制若干规定》《市场监管总局办公厅关于全面开展经营范围登记规范化工作的通知》要求。</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经营范围自主公示功能；采用告知承诺方式简化审批流程；记录自主公示的经营项目内容；提供信用信息自主公示信息。提供数据质量源头治理功能：必填项校验和格式验证、数据逻辑关系一致性检查、与历史数据的对比分析、实时数据质量提示和预警、数据标准化处理、异常数据识别和拦截</w:t>
            </w:r>
          </w:p>
        </w:tc>
      </w:tr>
      <w:tr w14:paraId="54B343D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60E98C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w:t>
            </w:r>
          </w:p>
        </w:tc>
        <w:tc>
          <w:tcPr>
            <w:tcW w:w="389" w:type="pct"/>
            <w:tcBorders>
              <w:top w:val="nil"/>
              <w:left w:val="nil"/>
              <w:bottom w:val="single" w:color="auto" w:sz="4" w:space="0"/>
              <w:right w:val="single" w:color="auto" w:sz="4" w:space="0"/>
            </w:tcBorders>
            <w:noWrap/>
            <w:vAlign w:val="center"/>
          </w:tcPr>
          <w:p w14:paraId="490745C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370DEF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变更申请-经营范围变更申报-经营范围特色项目变更（浦东确认制）</w:t>
            </w:r>
          </w:p>
        </w:tc>
        <w:tc>
          <w:tcPr>
            <w:tcW w:w="3166" w:type="pct"/>
            <w:tcBorders>
              <w:top w:val="nil"/>
              <w:left w:val="nil"/>
              <w:bottom w:val="single" w:color="auto" w:sz="4" w:space="0"/>
              <w:right w:val="single" w:color="auto" w:sz="4" w:space="0"/>
            </w:tcBorders>
            <w:noWrap/>
            <w:vAlign w:val="center"/>
          </w:tcPr>
          <w:p w14:paraId="2CA1C29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支持浦东特色产业经营项目申报，提供特色项目清单化选择，记录特色项目的政策依据和条件要求。提供数据质量源头治理功能：必填项校验和格式验证、数据逻辑关系一致性检查、与历史数据的对比分析、实时数据质量提示和预警、数据标准化处理、异常数据识别和拦截</w:t>
            </w:r>
          </w:p>
        </w:tc>
      </w:tr>
      <w:tr w14:paraId="49D19CE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C3D99C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w:t>
            </w:r>
          </w:p>
        </w:tc>
        <w:tc>
          <w:tcPr>
            <w:tcW w:w="389" w:type="pct"/>
            <w:tcBorders>
              <w:top w:val="nil"/>
              <w:left w:val="nil"/>
              <w:bottom w:val="single" w:color="auto" w:sz="4" w:space="0"/>
              <w:right w:val="single" w:color="auto" w:sz="4" w:space="0"/>
            </w:tcBorders>
            <w:noWrap/>
            <w:vAlign w:val="center"/>
          </w:tcPr>
          <w:p w14:paraId="6240E32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6E57E94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变更申请-注册资本/出资额变更申报</w:t>
            </w:r>
          </w:p>
        </w:tc>
        <w:tc>
          <w:tcPr>
            <w:tcW w:w="3166" w:type="pct"/>
            <w:tcBorders>
              <w:top w:val="nil"/>
              <w:left w:val="nil"/>
              <w:bottom w:val="single" w:color="auto" w:sz="4" w:space="0"/>
              <w:right w:val="single" w:color="auto" w:sz="4" w:space="0"/>
            </w:tcBorders>
            <w:noWrap/>
            <w:vAlign w:val="center"/>
          </w:tcPr>
          <w:p w14:paraId="3D9CF78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建立注册资本/出资额变更登记事项组件，组件提供采集表单前端展示、输入、暂存、提交、数据质量源头治理（控制）等能力。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提供注册资本/出资额、投资总额、币种、折美元、折人民币预填能力，含智慧辅助输入（自历史申请获取）、通过查询辅助输入的、基于政务服务平台的免填免报等。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采集变更后的注册资本/出资额、投资总额、币种、折美元、折人民币信息，记录各出资人的认缴出资额变更情况，匹配增减资业务属性（适应不同业务规则），校验注册资本变更的法定程序完整性，区分增资、减资等不同变更情形。提供数据质量源头治理功能：必填项校验和格式验证、数据逻辑关系一致性检查、与历史数据的对比分析、实时数据质量提示和预警、数据标准化处理、异常数据识别和拦截</w:t>
            </w:r>
          </w:p>
        </w:tc>
      </w:tr>
      <w:tr w14:paraId="7EDD714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97C80F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w:t>
            </w:r>
          </w:p>
        </w:tc>
        <w:tc>
          <w:tcPr>
            <w:tcW w:w="389" w:type="pct"/>
            <w:tcBorders>
              <w:top w:val="nil"/>
              <w:left w:val="nil"/>
              <w:bottom w:val="single" w:color="auto" w:sz="4" w:space="0"/>
              <w:right w:val="single" w:color="auto" w:sz="4" w:space="0"/>
            </w:tcBorders>
            <w:noWrap/>
            <w:vAlign w:val="center"/>
          </w:tcPr>
          <w:p w14:paraId="086B542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88905C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变更申请-有限责任公司股东或者股份有限公司发起人姓名或者名称变更申报</w:t>
            </w:r>
          </w:p>
        </w:tc>
        <w:tc>
          <w:tcPr>
            <w:tcW w:w="3166" w:type="pct"/>
            <w:tcBorders>
              <w:top w:val="nil"/>
              <w:left w:val="nil"/>
              <w:bottom w:val="single" w:color="auto" w:sz="4" w:space="0"/>
              <w:right w:val="single" w:color="auto" w:sz="4" w:space="0"/>
            </w:tcBorders>
            <w:noWrap/>
            <w:vAlign w:val="center"/>
          </w:tcPr>
          <w:p w14:paraId="5BAFB5C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按照有限责任公司股东或者股份有限公司发起人姓名或者名称变更的登记事项，建立有限责任公司股东或者股份有限公司发起人姓名或者名称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股东或发起人名称或姓名、证件类型、证件号、国籍、民族、投资人类型、住所等信息的预填能力预填能力，含智慧辅助输入（OCR图像识别、其他人员信息带入、自历史申请获取等）、通过查询辅助输入的（如本市企业作为股东）、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股东/发起人名称或姓名、证件类型、证件号、国籍、民族、投资人类型、住所等信息，调用企业信息库验证股东身份真实性，记录变更前后的股东名称对比信息，校验股东变更程序的合法性。提供数据质量源头治理功能：对股东或发起人姓名或名称、证件类型、证件号、投资人类型、住所等进行必填项校验和格式验证、对上传证件和填报信息等进行数据逻辑关系一致性检查、调用外部验证服务对人员实人信息核验、对人员监控和失信被执行情况进行拦截和提示、与历史数据的对比分析、数据标准化处理、异常数据识别和拦截</w:t>
            </w:r>
          </w:p>
        </w:tc>
      </w:tr>
      <w:tr w14:paraId="4CDFA58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04E9BE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w:t>
            </w:r>
          </w:p>
        </w:tc>
        <w:tc>
          <w:tcPr>
            <w:tcW w:w="389" w:type="pct"/>
            <w:tcBorders>
              <w:top w:val="nil"/>
              <w:left w:val="nil"/>
              <w:bottom w:val="single" w:color="auto" w:sz="4" w:space="0"/>
              <w:right w:val="single" w:color="auto" w:sz="4" w:space="0"/>
            </w:tcBorders>
            <w:noWrap/>
            <w:vAlign w:val="center"/>
          </w:tcPr>
          <w:p w14:paraId="32C016A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E3108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变更申请-有限责任公司股东或者股份有限公司发起人认缴的出资数额备案申报</w:t>
            </w:r>
          </w:p>
        </w:tc>
        <w:tc>
          <w:tcPr>
            <w:tcW w:w="3166" w:type="pct"/>
            <w:tcBorders>
              <w:top w:val="nil"/>
              <w:left w:val="nil"/>
              <w:bottom w:val="single" w:color="auto" w:sz="4" w:space="0"/>
              <w:right w:val="single" w:color="auto" w:sz="4" w:space="0"/>
            </w:tcBorders>
            <w:noWrap/>
            <w:vAlign w:val="center"/>
          </w:tcPr>
          <w:p w14:paraId="0A17C4A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匹配有限责任公司股东或者股份有限公司发起人认缴的出资数额的备案事项，建立有限责任公司股东或者股份有限公司发起人认缴的出资数额备案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提供认缴出资时间、认缴出资方式、认缴出资金额、币种、折美元、折人民币等信息的预填能力，含智慧辅助输入（自历史申请获取）、通过查询辅助输入的、基于政务服务平台的免填免报等。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各股东认缴出资时间、认缴出资方式、认缴出资金额的具体变更数据，记录各股东出资比例的变化情况，验证出资变更程序的合规性。提供数据质量源头治理功能：对认缴出资时间、出资方式、出资金额等进行必填项校验和格式验证、校验出资总额与注册资本的一致性、汇率折算后和总额的一致性，与历史数据的对比分析、实时数据质量提示和预警、对数据标准化处理、对异常数据识别和拦截</w:t>
            </w:r>
          </w:p>
        </w:tc>
      </w:tr>
      <w:tr w14:paraId="32A16FE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ADE706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w:t>
            </w:r>
          </w:p>
        </w:tc>
        <w:tc>
          <w:tcPr>
            <w:tcW w:w="389" w:type="pct"/>
            <w:tcBorders>
              <w:top w:val="nil"/>
              <w:left w:val="nil"/>
              <w:bottom w:val="single" w:color="auto" w:sz="4" w:space="0"/>
              <w:right w:val="single" w:color="auto" w:sz="4" w:space="0"/>
            </w:tcBorders>
            <w:noWrap/>
            <w:vAlign w:val="center"/>
          </w:tcPr>
          <w:p w14:paraId="028C08E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13D35D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变更申请-投资人姓名及居所变更申报</w:t>
            </w:r>
          </w:p>
        </w:tc>
        <w:tc>
          <w:tcPr>
            <w:tcW w:w="3166" w:type="pct"/>
            <w:tcBorders>
              <w:top w:val="nil"/>
              <w:left w:val="nil"/>
              <w:bottom w:val="single" w:color="auto" w:sz="4" w:space="0"/>
              <w:right w:val="single" w:color="auto" w:sz="4" w:space="0"/>
            </w:tcBorders>
            <w:noWrap/>
            <w:vAlign w:val="center"/>
          </w:tcPr>
          <w:p w14:paraId="3447695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对应投资人姓名及居所变更的登记事项，建立投资人姓名及居所变更登记事项组件，提供采集表单前端展示、输入、暂存、提交、数据质量源头治理（控制）等能力。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投资人名称或姓名、证件类型、证件号、国籍、民族、投资人类型、居所等信息的预填能力，含智慧辅助输入（OCR图像识别、其他人员信息带入、自历史申请获取等）、通过查询辅助输入（本市企业作为合伙人）、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投资人姓名、证件信息、居所等的变更内容，记录投资人居所变更的详细信息，确保投资人信息变更的完整性。提供数据质量源头治理功能：对投资人姓名、证件类型、证件号、投资人类型必填项校验和格式验证、对上传证件和填报信息等进行数据逻辑关系一致性检查、调用外部验证服务对人员实人信息核验、对人员监控和失信被执行情况进行拦截和提示，与历史数据对比分析、对数据标准化处理、对异常数据识别和拦截</w:t>
            </w:r>
          </w:p>
        </w:tc>
      </w:tr>
      <w:tr w14:paraId="1A54401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64F7C7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16</w:t>
            </w:r>
          </w:p>
        </w:tc>
        <w:tc>
          <w:tcPr>
            <w:tcW w:w="389" w:type="pct"/>
            <w:tcBorders>
              <w:top w:val="nil"/>
              <w:left w:val="nil"/>
              <w:bottom w:val="single" w:color="auto" w:sz="4" w:space="0"/>
              <w:right w:val="single" w:color="auto" w:sz="4" w:space="0"/>
            </w:tcBorders>
            <w:noWrap/>
            <w:vAlign w:val="center"/>
          </w:tcPr>
          <w:p w14:paraId="6267936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3A8E1DF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变更申请-法定代表人/负责人变更申报</w:t>
            </w:r>
          </w:p>
        </w:tc>
        <w:tc>
          <w:tcPr>
            <w:tcW w:w="3166" w:type="pct"/>
            <w:tcBorders>
              <w:top w:val="nil"/>
              <w:left w:val="nil"/>
              <w:bottom w:val="single" w:color="auto" w:sz="4" w:space="0"/>
              <w:right w:val="single" w:color="auto" w:sz="4" w:space="0"/>
            </w:tcBorders>
            <w:noWrap/>
            <w:vAlign w:val="center"/>
          </w:tcPr>
          <w:p w14:paraId="7921A21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根据法定代表人/负责人的登记事项，建立法定代表人/负责人变更登记事项组件，提供采集表单前端展示、输入、暂存、提交、数据质量源头治理（控制）等能力。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法定代表人/负责人的法定代表人标记、姓名、证件类型、证件号、性别、出生日期、住所、国籍、民族等信息的预填能力，含智慧辅助输入（OCR图像识别、从代理人投资人等信息带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新任法定代表人/负责人的姓名、证件类型、证件号、性别、出生日期、住所、国籍、民族、职务、产生方式等信息，校验任职资格和法定条件符合性，调用外部验证服务验证法定代表人/负责人身份信息的真实性。提供数据质量源头治理功能：对人员姓名、证件类型、证件号码、性别、出生日期、职务、产生方式等进行必填项校验和格式验证、对上传的法定代表人/负责人身份证图片进行图像识别，与填报信息进行逻辑关系一致性检查、与历史数据的对比分析、对人员监控和失信被执行情况进行拦截和提示，对法定代表人兼职情况等实时数据质量进行提示和预警、数据标准化处理、异常数据识别和拦截</w:t>
            </w:r>
          </w:p>
        </w:tc>
      </w:tr>
      <w:tr w14:paraId="12234E4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D2CB12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17</w:t>
            </w:r>
          </w:p>
        </w:tc>
        <w:tc>
          <w:tcPr>
            <w:tcW w:w="389" w:type="pct"/>
            <w:tcBorders>
              <w:top w:val="nil"/>
              <w:left w:val="nil"/>
              <w:bottom w:val="single" w:color="auto" w:sz="4" w:space="0"/>
              <w:right w:val="single" w:color="auto" w:sz="4" w:space="0"/>
            </w:tcBorders>
            <w:noWrap/>
            <w:vAlign w:val="center"/>
          </w:tcPr>
          <w:p w14:paraId="2695722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E49DAA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变更申请-董事/监事/高级管理人员备案申报</w:t>
            </w:r>
          </w:p>
        </w:tc>
        <w:tc>
          <w:tcPr>
            <w:tcW w:w="3166" w:type="pct"/>
            <w:tcBorders>
              <w:top w:val="nil"/>
              <w:left w:val="nil"/>
              <w:bottom w:val="single" w:color="auto" w:sz="4" w:space="0"/>
              <w:right w:val="single" w:color="auto" w:sz="4" w:space="0"/>
            </w:tcBorders>
            <w:noWrap/>
            <w:vAlign w:val="center"/>
          </w:tcPr>
          <w:p w14:paraId="0255016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匹配董事、监事、高级管理人员的备案事项，建立主要人员变备案事项组件，提供采集表单前端展示、输入、暂存、提交、数据质量源头治理（控制）等能力。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是否设立董事会/董事和人数、是否设立监事会/监事和人数等公司管理架构、董事/监事/高级管理人员姓名、证件类型、证件号、性别、出生日期、住所、国籍、民族等信息的预填能力，含智慧辅助输入（OCR图像识别、从代理人投资人等信息带入、自历史申请获取）、通过查询辅助输入、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董事/监事/高级管理人员姓名、证件类型、证件号、性别、出生日期、住所、国籍、民族、职务、产生方式等信息，校验备案的合法性，记录变更前后的人员信息对比。提供数据质量源头治理功能：对人员姓名、证件类型、证件号码、性别、出生日期、职务、产生方式等进行必填项校验和格式验证、职务与公司管理架构、人数的数据逻辑关系一致性检查、与历史数据的对比分析、对人员兼职、人员重复等实时数据质量进行提示和预警、数据标准化处理、异常数据识别和拦截</w:t>
            </w:r>
          </w:p>
        </w:tc>
      </w:tr>
      <w:tr w14:paraId="656B85F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F7F5B7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18</w:t>
            </w:r>
          </w:p>
        </w:tc>
        <w:tc>
          <w:tcPr>
            <w:tcW w:w="389" w:type="pct"/>
            <w:tcBorders>
              <w:top w:val="nil"/>
              <w:left w:val="nil"/>
              <w:bottom w:val="single" w:color="auto" w:sz="4" w:space="0"/>
              <w:right w:val="single" w:color="auto" w:sz="4" w:space="0"/>
            </w:tcBorders>
            <w:noWrap/>
            <w:vAlign w:val="center"/>
          </w:tcPr>
          <w:p w14:paraId="03E54C1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EA3B54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变更申请-经营期限/合伙期限备案申报</w:t>
            </w:r>
          </w:p>
        </w:tc>
        <w:tc>
          <w:tcPr>
            <w:tcW w:w="3166" w:type="pct"/>
            <w:tcBorders>
              <w:top w:val="nil"/>
              <w:left w:val="nil"/>
              <w:bottom w:val="single" w:color="auto" w:sz="4" w:space="0"/>
              <w:right w:val="single" w:color="auto" w:sz="4" w:space="0"/>
            </w:tcBorders>
            <w:noWrap/>
            <w:vAlign w:val="center"/>
          </w:tcPr>
          <w:p w14:paraId="396EA98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建立经营期限/合伙期限变更登记事项组件，提供采集表单前端展示、输入、暂存、提交、数据质量源头治理（控制）等能力。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提供经营期限录入方式（年份数量或具体日期）、开始日期、结束日期、长期等字段预填能力，含智慧辅助输入（自历史申请获取）、通过查询辅助输入的、基于政务服务平台的免填免报等。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经营期限年份数量、经营开始日期、经营结束日期、是否长期经营等信息，校验期限变更的合法性，记录变更前后的期限对比。提供数据质量源头治理功能：对经营期限进行必填项校验和格式验证、对分支机构经营期限与隶属企业经营期限的数据逻辑关系一致性检查、对人员监控和失信被执行情况进行拦截和提示，与历史数据的对比分析、实时数据质量提示和预警、数据标准化处理、异常数据识别和拦截</w:t>
            </w:r>
          </w:p>
        </w:tc>
      </w:tr>
      <w:tr w14:paraId="114FE27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8FF960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19</w:t>
            </w:r>
          </w:p>
        </w:tc>
        <w:tc>
          <w:tcPr>
            <w:tcW w:w="389" w:type="pct"/>
            <w:tcBorders>
              <w:top w:val="nil"/>
              <w:left w:val="nil"/>
              <w:bottom w:val="single" w:color="auto" w:sz="4" w:space="0"/>
              <w:right w:val="single" w:color="auto" w:sz="4" w:space="0"/>
            </w:tcBorders>
            <w:noWrap/>
            <w:vAlign w:val="center"/>
          </w:tcPr>
          <w:p w14:paraId="302C161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2659228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变更申请-章程/章程修正案备案申报</w:t>
            </w:r>
          </w:p>
        </w:tc>
        <w:tc>
          <w:tcPr>
            <w:tcW w:w="3166" w:type="pct"/>
            <w:tcBorders>
              <w:top w:val="nil"/>
              <w:left w:val="nil"/>
              <w:bottom w:val="single" w:color="auto" w:sz="4" w:space="0"/>
              <w:right w:val="single" w:color="auto" w:sz="4" w:space="0"/>
            </w:tcBorders>
            <w:noWrap/>
            <w:vAlign w:val="center"/>
          </w:tcPr>
          <w:p w14:paraId="448DDC7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按照章程和章程修正案相应的备案事项，建立章程备案事项组件，提供采集表单前端展示、输入、暂存、提交、数据质量源头治理（控制）等能力。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提供章程备案数据项的预填能力，含智慧辅助输入、通过查询辅助输入的、基于政务服务平台的免填免报等。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采集章程制定日期、章程修改日期、修订条款等信息，校验章程日期的合法性和合规性，记录章程修订的版本信息和生效日期，验证章程修订程序的合法性</w:t>
            </w:r>
          </w:p>
        </w:tc>
      </w:tr>
      <w:tr w14:paraId="56DACE8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0B037F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20</w:t>
            </w:r>
          </w:p>
        </w:tc>
        <w:tc>
          <w:tcPr>
            <w:tcW w:w="389" w:type="pct"/>
            <w:tcBorders>
              <w:top w:val="nil"/>
              <w:left w:val="nil"/>
              <w:bottom w:val="single" w:color="auto" w:sz="4" w:space="0"/>
              <w:right w:val="single" w:color="auto" w:sz="4" w:space="0"/>
            </w:tcBorders>
            <w:noWrap/>
            <w:vAlign w:val="center"/>
          </w:tcPr>
          <w:p w14:paraId="435FC9C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CCDE43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变更申请-联络员备案申报</w:t>
            </w:r>
          </w:p>
        </w:tc>
        <w:tc>
          <w:tcPr>
            <w:tcW w:w="3166" w:type="pct"/>
            <w:tcBorders>
              <w:top w:val="nil"/>
              <w:left w:val="nil"/>
              <w:bottom w:val="single" w:color="auto" w:sz="4" w:space="0"/>
              <w:right w:val="single" w:color="auto" w:sz="4" w:space="0"/>
            </w:tcBorders>
            <w:noWrap/>
            <w:vAlign w:val="center"/>
          </w:tcPr>
          <w:p w14:paraId="11B7E50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根据联络员的备案事项，建立联络员备案事项组件。提供联络员信息采集表单前端展示、输入、暂存、提交、数据质量源头治理（控制）等能力。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提供联络员姓名、证件类型、证件号等信息的预填能力，含智慧辅助输入（OCR图像识别、自历史申请获取等）、通过查询辅助输入、基于政务服务平台的免填免报等。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联络员的姓名、证件类型、证件号码、联系电话、电子邮箱等内容，调用外部验证服务验证联络员身份信息的真实性，记录联络员信息变更的历史记录，建立联络员信息更新机制。提供数据质量源头治理功能：对联络员姓名、证件类型、证件号码、联系电话、电子邮箱进行必填项校验和格式验证、对上传的联络员身份证图片进行图像识别，与填报信息进行逻辑关系一致性检查、与历史数据的对比分析、实时数据质量提示和预警、对数据标准化处理、对人员监控和失信被执行情况进行拦截和提示，对联络员兼任代理人等异常数据识别和拦截</w:t>
            </w:r>
          </w:p>
        </w:tc>
      </w:tr>
      <w:tr w14:paraId="6552521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331203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21</w:t>
            </w:r>
          </w:p>
        </w:tc>
        <w:tc>
          <w:tcPr>
            <w:tcW w:w="389" w:type="pct"/>
            <w:tcBorders>
              <w:top w:val="nil"/>
              <w:left w:val="nil"/>
              <w:bottom w:val="single" w:color="auto" w:sz="4" w:space="0"/>
              <w:right w:val="single" w:color="auto" w:sz="4" w:space="0"/>
            </w:tcBorders>
            <w:noWrap/>
            <w:vAlign w:val="center"/>
          </w:tcPr>
          <w:p w14:paraId="2EAD2F9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507F01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变更申请-合伙人名称或者姓名、住所、承担责任方式变更申报</w:t>
            </w:r>
          </w:p>
        </w:tc>
        <w:tc>
          <w:tcPr>
            <w:tcW w:w="3166" w:type="pct"/>
            <w:tcBorders>
              <w:top w:val="nil"/>
              <w:left w:val="nil"/>
              <w:bottom w:val="single" w:color="auto" w:sz="4" w:space="0"/>
              <w:right w:val="single" w:color="auto" w:sz="4" w:space="0"/>
            </w:tcBorders>
            <w:noWrap/>
            <w:vAlign w:val="center"/>
          </w:tcPr>
          <w:p w14:paraId="5C91ED8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匹配合伙人登记事项，建立合伙人名称或者姓名、住所、承担责任方式变更申报变更登记事项组件，提供合伙人信息采集表单前端展示、输入、暂存、提交、数据质量源头治理（控制）等能力。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合伙人名称或姓名、证件类型、证件号、国籍、民族、投资人类型、住所、承担责任方式等信息的预填能力，含智慧辅助输入（OCR图像识别、其他人员信息带入、自历史申请获取等）、通过查询辅助输入（本市企业作为合伙人）、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合伙人名称或者姓名、住所、承担责任方式的变更内容，校验合伙人资格和承担责任方式，记录变更前后的合伙人信息对比，验证合伙人变更程序的合法性。提供数据质量源头治理功能：对合伙人名称或姓名、证件类型、证件号、投资人类型、住所、承担责任方式等进行必填项校验和格式验证，对上传证件和填报信息等进行数据逻辑关系一致性检查、调用外部验证服务对人员实人信息核验、对组织机构进行核验和预警、对人员监控和失信被执行情况进行拦截和提示，对数据标准化处理、对异常数据识别和拦截</w:t>
            </w:r>
          </w:p>
        </w:tc>
      </w:tr>
      <w:tr w14:paraId="2EAEA30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2236A5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22</w:t>
            </w:r>
          </w:p>
        </w:tc>
        <w:tc>
          <w:tcPr>
            <w:tcW w:w="389" w:type="pct"/>
            <w:tcBorders>
              <w:top w:val="nil"/>
              <w:left w:val="nil"/>
              <w:bottom w:val="single" w:color="auto" w:sz="4" w:space="0"/>
              <w:right w:val="single" w:color="auto" w:sz="4" w:space="0"/>
            </w:tcBorders>
            <w:noWrap/>
            <w:vAlign w:val="center"/>
          </w:tcPr>
          <w:p w14:paraId="43B2368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26E202F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变更申请-合伙人认缴或者实际缴付的出资数额、缴付期限和出资方式备案申报</w:t>
            </w:r>
          </w:p>
        </w:tc>
        <w:tc>
          <w:tcPr>
            <w:tcW w:w="3166" w:type="pct"/>
            <w:tcBorders>
              <w:top w:val="nil"/>
              <w:left w:val="nil"/>
              <w:bottom w:val="single" w:color="auto" w:sz="4" w:space="0"/>
              <w:right w:val="single" w:color="auto" w:sz="4" w:space="0"/>
            </w:tcBorders>
            <w:noWrap/>
            <w:vAlign w:val="center"/>
          </w:tcPr>
          <w:p w14:paraId="4798096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匹配合伙人认缴或者实际缴付的出资数额、缴付期限和出资方式的备案事项，建立合伙人认缴或者实际缴付的出资数额、缴付期限和出资方式备案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认缴出资时间、认缴出资方式、认缴出资金额、实缴出资时间、实缴出资方式、实缴出资金额、币种、折美元、折人民币等信息的预填能力，含智慧辅助输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合伙人认缴出资时间、认缴出资方式、认缴出资金额、实缴出资时间、实缴出资方式、实缴出资金额、币种、折美元、折人民币等信息，校验出资总额和出资方式的合法性，记录出资期限和实缴情况的变化。提供数据质量源头治理功能：对认缴出资时间、认缴出资方式、认缴出资金额、实缴出资时间、实缴出资方式、实缴出资金额、币种、折美元、折人民币信息进行必填项校验和格式验证、校验认缴出资总额与注册资本的一致性、分期缴纳与实缴的一致性、汇率折算后和总额的一致性、与历史数据的对比分析、实时数据质量提示和预警、数据标准化处理、异常数据识别和拦截</w:t>
            </w:r>
          </w:p>
        </w:tc>
      </w:tr>
      <w:tr w14:paraId="1D3CFA6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CB1ADE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23</w:t>
            </w:r>
          </w:p>
        </w:tc>
        <w:tc>
          <w:tcPr>
            <w:tcW w:w="389" w:type="pct"/>
            <w:tcBorders>
              <w:top w:val="nil"/>
              <w:left w:val="nil"/>
              <w:bottom w:val="single" w:color="auto" w:sz="4" w:space="0"/>
              <w:right w:val="single" w:color="auto" w:sz="4" w:space="0"/>
            </w:tcBorders>
            <w:noWrap/>
            <w:vAlign w:val="center"/>
          </w:tcPr>
          <w:p w14:paraId="4769F0C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647DFF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变更申请-执行事务合伙人变更申报</w:t>
            </w:r>
          </w:p>
        </w:tc>
        <w:tc>
          <w:tcPr>
            <w:tcW w:w="3166" w:type="pct"/>
            <w:tcBorders>
              <w:top w:val="nil"/>
              <w:left w:val="nil"/>
              <w:bottom w:val="single" w:color="auto" w:sz="4" w:space="0"/>
              <w:right w:val="single" w:color="auto" w:sz="4" w:space="0"/>
            </w:tcBorders>
            <w:noWrap/>
            <w:vAlign w:val="center"/>
          </w:tcPr>
          <w:p w14:paraId="4E68958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按照执行事务合伙人登记事项，建立执行事务合伙人变更登记事项组件，提供采集表单前端展示、输入、暂存、提交、数据质量源头治理（控制）等能力。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执行事务合伙人名称或姓名、证件类型、证件号、国籍、民族、投资人类型、住所、承担责任方式、执行事务合伙人标记等信息的预填能力，含智慧辅助输入（OCR图像识别、其他人员信息带入、自历史申请获取等）、通过查询辅助输入（本市企业作为合伙人）、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执行事务合伙人名称或姓名、证件类型、证件号、国籍、民族、投资人类型、住所、承担责任方式、执行事务合伙人标记等变更登记信息，校验执行事务合伙人资格条件。提供数据质量源头治理功能：必填项校验和格式验证、对执行事务合伙人姓名或名称、证件类型、证件号、投资人类型、住所、承担责任方式进行必填项校验和格式验证、对上传证件和填报信息等进行数据逻辑关系一致性检查、调用外部验证服务对人员实人信息核验、对人员监控和失信被执行情况进行拦截和提示，与历史数据的对比分析、实时数据质量提示和预警、数据标准化处理、异常数据识别和拦截</w:t>
            </w:r>
          </w:p>
        </w:tc>
      </w:tr>
      <w:tr w14:paraId="57094B8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75E977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24</w:t>
            </w:r>
          </w:p>
        </w:tc>
        <w:tc>
          <w:tcPr>
            <w:tcW w:w="389" w:type="pct"/>
            <w:tcBorders>
              <w:top w:val="nil"/>
              <w:left w:val="nil"/>
              <w:bottom w:val="single" w:color="auto" w:sz="4" w:space="0"/>
              <w:right w:val="single" w:color="auto" w:sz="4" w:space="0"/>
            </w:tcBorders>
            <w:noWrap/>
            <w:vAlign w:val="center"/>
          </w:tcPr>
          <w:p w14:paraId="12E5482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10D180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变更申请-执行事务合伙人委派代表变更申报</w:t>
            </w:r>
          </w:p>
        </w:tc>
        <w:tc>
          <w:tcPr>
            <w:tcW w:w="3166" w:type="pct"/>
            <w:tcBorders>
              <w:top w:val="nil"/>
              <w:left w:val="nil"/>
              <w:bottom w:val="single" w:color="auto" w:sz="4" w:space="0"/>
              <w:right w:val="single" w:color="auto" w:sz="4" w:space="0"/>
            </w:tcBorders>
            <w:noWrap/>
            <w:vAlign w:val="center"/>
          </w:tcPr>
          <w:p w14:paraId="6E5F3F3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根据执行事务合伙人委派代表变更事项，建立执行事务合伙人委派代表变更登记事项组件，提供采集表单前端展示、输入、暂存、提交、数据质量源头治理（控制）等能力。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执行事务合伙人委派代表姓名、证件类型、证件号、性别、出生日期、住所、国籍、民族、委派单位等信息预填能力，含智慧辅助输入（OCR图像识别、从代理人投资人等信息带入、自历史申请获取）、通过查询辅助输入的、基于政务服务平台的免填免报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采集执行事务合伙人委派代表姓名、证件类型、证件号、性别、出生日期、住所、国籍、民族、委派单位，校验任职资格和法定条件符合性，调用外部验证服务验证委派代表身份信息的真实性。提供数据质量源头治理功能：对委派代表姓名、证件类型、证件号、性别、出生日期、住所、国籍、民族、委派单位等字段进行必填项校验和格式验证、对上传的委派代表身份证图片进行图像识别，与填报信息进行逻辑关系一致性检查、与历史数据的对比分析、对人员监控和失信被执行情况进行拦截和提示，对数据质量进行提示和预警、对数据标准化处理、对异常数据识别和拦截</w:t>
            </w:r>
          </w:p>
        </w:tc>
      </w:tr>
      <w:tr w14:paraId="68964A5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AA2FC3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25</w:t>
            </w:r>
          </w:p>
        </w:tc>
        <w:tc>
          <w:tcPr>
            <w:tcW w:w="389" w:type="pct"/>
            <w:tcBorders>
              <w:top w:val="nil"/>
              <w:left w:val="nil"/>
              <w:bottom w:val="single" w:color="auto" w:sz="4" w:space="0"/>
              <w:right w:val="single" w:color="auto" w:sz="4" w:space="0"/>
            </w:tcBorders>
            <w:noWrap/>
            <w:vAlign w:val="center"/>
          </w:tcPr>
          <w:p w14:paraId="79B2AE1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6CD4F3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变更业务合规性辅助判断-适用于公司变更登记的合规性辅助判断</w:t>
            </w:r>
          </w:p>
        </w:tc>
        <w:tc>
          <w:tcPr>
            <w:tcW w:w="3166" w:type="pct"/>
            <w:tcBorders>
              <w:top w:val="nil"/>
              <w:left w:val="nil"/>
              <w:bottom w:val="single" w:color="auto" w:sz="4" w:space="0"/>
              <w:right w:val="single" w:color="auto" w:sz="4" w:space="0"/>
            </w:tcBorders>
            <w:noWrap/>
            <w:vAlign w:val="center"/>
          </w:tcPr>
          <w:p w14:paraId="1D65E1D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基于包括申请案控制和业务规则的近30项校验（具体校验事项详见方案文本），提供针对公司变更登记业务的合规性辅助判断，处理相关规则调用（参数输入、反馈接收与前端反馈），实现相关合规校验。</w:t>
            </w:r>
          </w:p>
        </w:tc>
      </w:tr>
      <w:tr w14:paraId="186AB5F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8AF369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26</w:t>
            </w:r>
          </w:p>
        </w:tc>
        <w:tc>
          <w:tcPr>
            <w:tcW w:w="389" w:type="pct"/>
            <w:tcBorders>
              <w:top w:val="nil"/>
              <w:left w:val="nil"/>
              <w:bottom w:val="single" w:color="auto" w:sz="4" w:space="0"/>
              <w:right w:val="single" w:color="auto" w:sz="4" w:space="0"/>
            </w:tcBorders>
            <w:noWrap/>
            <w:vAlign w:val="center"/>
          </w:tcPr>
          <w:p w14:paraId="24CDF4C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C35544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变更业务合规性辅助判断-适用于分公司变更登记的合规性辅助判断</w:t>
            </w:r>
          </w:p>
        </w:tc>
        <w:tc>
          <w:tcPr>
            <w:tcW w:w="3166" w:type="pct"/>
            <w:tcBorders>
              <w:top w:val="nil"/>
              <w:left w:val="nil"/>
              <w:bottom w:val="single" w:color="auto" w:sz="4" w:space="0"/>
              <w:right w:val="single" w:color="auto" w:sz="4" w:space="0"/>
            </w:tcBorders>
            <w:noWrap/>
            <w:vAlign w:val="center"/>
          </w:tcPr>
          <w:p w14:paraId="74EF390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该企业状态为非确立状态，不能进行变更申请；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提供针对分公司变更登记业务的合规性辅助判断，处理相关规则调用（参数输入、反馈接收与前端反馈），实现相关合规校验。</w:t>
            </w:r>
          </w:p>
        </w:tc>
      </w:tr>
      <w:tr w14:paraId="0D2F5A9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0D31C5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27</w:t>
            </w:r>
          </w:p>
        </w:tc>
        <w:tc>
          <w:tcPr>
            <w:tcW w:w="389" w:type="pct"/>
            <w:tcBorders>
              <w:top w:val="nil"/>
              <w:left w:val="nil"/>
              <w:bottom w:val="single" w:color="auto" w:sz="4" w:space="0"/>
              <w:right w:val="single" w:color="auto" w:sz="4" w:space="0"/>
            </w:tcBorders>
            <w:noWrap/>
            <w:vAlign w:val="center"/>
          </w:tcPr>
          <w:p w14:paraId="4DF3397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6F0F18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变更业务合规性辅助判断-适用于合伙企业变更登记的合规性辅助判断</w:t>
            </w:r>
          </w:p>
        </w:tc>
        <w:tc>
          <w:tcPr>
            <w:tcW w:w="3166" w:type="pct"/>
            <w:tcBorders>
              <w:top w:val="nil"/>
              <w:left w:val="nil"/>
              <w:bottom w:val="single" w:color="auto" w:sz="4" w:space="0"/>
              <w:right w:val="single" w:color="auto" w:sz="4" w:space="0"/>
            </w:tcBorders>
            <w:noWrap/>
            <w:vAlign w:val="center"/>
          </w:tcPr>
          <w:p w14:paraId="646EE40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基于包括申请案控制和业务规则的10余项校验，具体包括：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外资企业，注册资本超过50亿不能走无纸化；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该企业状态为非确立状态，不能进行变更申请；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本市、外省企业股东的统一社会信用代码为空，且通过实体也关联不到统一码，不能走无纸化；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对首期缴纳出资方式以及货币金额的校验；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对有限合伙企业合伙人类型的合法性的校验；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对合伙企业执行事务合伙人的合法性的校验；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对实缴出资（各种出资方式）的合法性的校验；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企业类型不能为特殊合伙企业不允许走全程网办。</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提供针对合伙企业变更登记业务的合规性辅助判断，处理相关规则调用（参数输入、反馈接收与前端反馈），实现相关合规校验。</w:t>
            </w:r>
          </w:p>
        </w:tc>
      </w:tr>
      <w:tr w14:paraId="076BA99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CB2BEC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28</w:t>
            </w:r>
          </w:p>
        </w:tc>
        <w:tc>
          <w:tcPr>
            <w:tcW w:w="389" w:type="pct"/>
            <w:tcBorders>
              <w:top w:val="nil"/>
              <w:left w:val="nil"/>
              <w:bottom w:val="single" w:color="auto" w:sz="4" w:space="0"/>
              <w:right w:val="single" w:color="auto" w:sz="4" w:space="0"/>
            </w:tcBorders>
            <w:noWrap/>
            <w:vAlign w:val="center"/>
          </w:tcPr>
          <w:p w14:paraId="204D980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BCF411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变更业务合规性辅助判断-适用于合伙企业分支机构变更登记的合规性辅助判断</w:t>
            </w:r>
          </w:p>
        </w:tc>
        <w:tc>
          <w:tcPr>
            <w:tcW w:w="3166" w:type="pct"/>
            <w:tcBorders>
              <w:top w:val="nil"/>
              <w:left w:val="nil"/>
              <w:bottom w:val="single" w:color="auto" w:sz="4" w:space="0"/>
              <w:right w:val="single" w:color="auto" w:sz="4" w:space="0"/>
            </w:tcBorders>
            <w:noWrap/>
            <w:vAlign w:val="center"/>
          </w:tcPr>
          <w:p w14:paraId="3901717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该企业状态为非确立状态，不能进行变更申请；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提供针对合伙企业分支机构变更登记业务的合规性辅助判断，处理相关规则调用（参数输入、反馈接收与前端反馈），实现相关合规校验。</w:t>
            </w:r>
          </w:p>
        </w:tc>
      </w:tr>
      <w:tr w14:paraId="05CDC71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855F63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29</w:t>
            </w:r>
          </w:p>
        </w:tc>
        <w:tc>
          <w:tcPr>
            <w:tcW w:w="389" w:type="pct"/>
            <w:tcBorders>
              <w:top w:val="nil"/>
              <w:left w:val="nil"/>
              <w:bottom w:val="single" w:color="auto" w:sz="4" w:space="0"/>
              <w:right w:val="single" w:color="auto" w:sz="4" w:space="0"/>
            </w:tcBorders>
            <w:noWrap/>
            <w:vAlign w:val="center"/>
          </w:tcPr>
          <w:p w14:paraId="24D4BA6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0001AB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变更业务合规性辅助判断-适用于个人独资企业变更登记的合规性辅助判断</w:t>
            </w:r>
          </w:p>
        </w:tc>
        <w:tc>
          <w:tcPr>
            <w:tcW w:w="3166" w:type="pct"/>
            <w:tcBorders>
              <w:top w:val="nil"/>
              <w:left w:val="nil"/>
              <w:bottom w:val="single" w:color="auto" w:sz="4" w:space="0"/>
              <w:right w:val="single" w:color="auto" w:sz="4" w:space="0"/>
            </w:tcBorders>
            <w:noWrap/>
            <w:vAlign w:val="center"/>
          </w:tcPr>
          <w:p w14:paraId="6F0DF71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外资企业，注册资本超过50亿不能走无纸化；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本市、外省企业股东的统一社会信用代码为空，且通过实体也关联不到统一码，不能走无纸化；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提供针对个人独资企业变更登记业务的合规性辅助判断，处理相关规则调用（参数输入、反馈接收与前端反馈），实现相关合规校验。</w:t>
            </w:r>
          </w:p>
        </w:tc>
      </w:tr>
      <w:tr w14:paraId="2A73A9B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25B6FA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30</w:t>
            </w:r>
          </w:p>
        </w:tc>
        <w:tc>
          <w:tcPr>
            <w:tcW w:w="389" w:type="pct"/>
            <w:tcBorders>
              <w:top w:val="nil"/>
              <w:left w:val="nil"/>
              <w:bottom w:val="single" w:color="auto" w:sz="4" w:space="0"/>
              <w:right w:val="single" w:color="auto" w:sz="4" w:space="0"/>
            </w:tcBorders>
            <w:noWrap/>
            <w:vAlign w:val="center"/>
          </w:tcPr>
          <w:p w14:paraId="48D66F1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6571C6D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变更业务合规性辅助判断-适用于个人独资企业分支机构变更登记的合规性辅助判断</w:t>
            </w:r>
          </w:p>
        </w:tc>
        <w:tc>
          <w:tcPr>
            <w:tcW w:w="3166" w:type="pct"/>
            <w:tcBorders>
              <w:top w:val="nil"/>
              <w:left w:val="nil"/>
              <w:bottom w:val="single" w:color="auto" w:sz="4" w:space="0"/>
              <w:right w:val="single" w:color="auto" w:sz="4" w:space="0"/>
            </w:tcBorders>
            <w:noWrap/>
            <w:vAlign w:val="center"/>
          </w:tcPr>
          <w:p w14:paraId="58E6D48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该企业状态为非确立状态，不能进行变更申请；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提供针对个人独资企业分支机构变更登记业务的合规性辅助判断，处理相关规则调用（参数输入、反馈接收与前端反馈），实现相关合规校验。</w:t>
            </w:r>
          </w:p>
        </w:tc>
      </w:tr>
      <w:tr w14:paraId="07ED1D1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241A7B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31</w:t>
            </w:r>
          </w:p>
        </w:tc>
        <w:tc>
          <w:tcPr>
            <w:tcW w:w="389" w:type="pct"/>
            <w:tcBorders>
              <w:top w:val="nil"/>
              <w:left w:val="nil"/>
              <w:bottom w:val="single" w:color="auto" w:sz="4" w:space="0"/>
              <w:right w:val="single" w:color="auto" w:sz="4" w:space="0"/>
            </w:tcBorders>
            <w:noWrap/>
            <w:vAlign w:val="center"/>
          </w:tcPr>
          <w:p w14:paraId="1BCB1A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9C75B1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变更业务合规性辅助判断-适用于非公司企业法人变更登记的合规性辅助判断</w:t>
            </w:r>
          </w:p>
        </w:tc>
        <w:tc>
          <w:tcPr>
            <w:tcW w:w="3166" w:type="pct"/>
            <w:tcBorders>
              <w:top w:val="nil"/>
              <w:left w:val="nil"/>
              <w:bottom w:val="single" w:color="auto" w:sz="4" w:space="0"/>
              <w:right w:val="single" w:color="auto" w:sz="4" w:space="0"/>
            </w:tcBorders>
            <w:noWrap/>
            <w:vAlign w:val="center"/>
          </w:tcPr>
          <w:p w14:paraId="4FFF159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外资企业，注册资本超过50亿不能走无纸化；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本市、外省企业股东的统一社会信用代码为空，且通过实体也关联不到统一码，不能走无纸化；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提供针对非公司企业法人变更登记业务的合规性辅助判断，处理相关规则调用（参数输入、反馈接收与前端反馈），实现相关合规校验。</w:t>
            </w:r>
          </w:p>
        </w:tc>
      </w:tr>
      <w:tr w14:paraId="1068106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E81311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32</w:t>
            </w:r>
          </w:p>
        </w:tc>
        <w:tc>
          <w:tcPr>
            <w:tcW w:w="389" w:type="pct"/>
            <w:tcBorders>
              <w:top w:val="nil"/>
              <w:left w:val="nil"/>
              <w:bottom w:val="single" w:color="auto" w:sz="4" w:space="0"/>
              <w:right w:val="single" w:color="auto" w:sz="4" w:space="0"/>
            </w:tcBorders>
            <w:noWrap/>
            <w:vAlign w:val="center"/>
          </w:tcPr>
          <w:p w14:paraId="2D458C1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601AFE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变更业务合规性辅助判断-适用于非公司企业法人分支机构变更登记的合规性辅助判断</w:t>
            </w:r>
          </w:p>
        </w:tc>
        <w:tc>
          <w:tcPr>
            <w:tcW w:w="3166" w:type="pct"/>
            <w:tcBorders>
              <w:top w:val="nil"/>
              <w:left w:val="nil"/>
              <w:bottom w:val="single" w:color="auto" w:sz="4" w:space="0"/>
              <w:right w:val="single" w:color="auto" w:sz="4" w:space="0"/>
            </w:tcBorders>
            <w:noWrap/>
            <w:vAlign w:val="center"/>
          </w:tcPr>
          <w:p w14:paraId="06A5598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该企业状态为非确立状态，不能进行变更申请；</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预核名称与名称核准信息不匹配；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跨行政区划不能走无纸化；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提供针对非公司企业法人分支机构变更登记业务的合规性辅助判断，处理相关规则调用（参数输入、反馈接收与前端反馈），实现相关合规校验。</w:t>
            </w:r>
          </w:p>
        </w:tc>
      </w:tr>
      <w:tr w14:paraId="6BE25D3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34AAF3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33</w:t>
            </w:r>
          </w:p>
        </w:tc>
        <w:tc>
          <w:tcPr>
            <w:tcW w:w="389" w:type="pct"/>
            <w:tcBorders>
              <w:top w:val="nil"/>
              <w:left w:val="nil"/>
              <w:bottom w:val="single" w:color="auto" w:sz="4" w:space="0"/>
              <w:right w:val="single" w:color="auto" w:sz="4" w:space="0"/>
            </w:tcBorders>
            <w:noWrap/>
            <w:vAlign w:val="center"/>
          </w:tcPr>
          <w:p w14:paraId="632FA7D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3647CAE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第三方合规验证-总局微服务校验</w:t>
            </w:r>
          </w:p>
        </w:tc>
        <w:tc>
          <w:tcPr>
            <w:tcW w:w="3166" w:type="pct"/>
            <w:tcBorders>
              <w:top w:val="nil"/>
              <w:left w:val="nil"/>
              <w:bottom w:val="single" w:color="auto" w:sz="4" w:space="0"/>
              <w:right w:val="single" w:color="auto" w:sz="4" w:space="0"/>
            </w:tcBorders>
            <w:noWrap/>
            <w:vAlign w:val="center"/>
          </w:tcPr>
          <w:p w14:paraId="7B4046A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调用总局微服务，对业务信息进行合规校验，包括适用性判断、申请信息提取（传入参数）、接口调用、反馈接收和处理等。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具体执行的校验包括：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全国黑名单限制服务：限制担任因违法被吊销营业执照、责令关闭的公司、企业的法定代表人，并负有个人责任的，自该公司、企业被吊销营业执照之日起未逾三年，不得担任公司的董事、监事、高级管理人员。</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全国法院老赖限制服务：查询自然人是否为法院老赖。被执行人具有履行能力而不履行生效法律文书确定的义务，人民法院将纳入失信被执行人名单，依法对其进行信用惩戒。</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全国严重违法失信服务：用于查询市场主体是否被列入严重违法失信企业名单。对列入严重违法失信企业名单的企业实施信用约束、部门联合惩戒。</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虚假登记直接责任人限制服务：查询自然人是否为虚假登记被撤销直接责任人。依据《细则》相关要求，因虚假市场主体登记被撤销的市场主体，其直接责任人自市场主体登记被撤销之日起3年内不得再次申请市场主体登记。</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全国外资登记负面清单禁限校验服务：用于负面清单和相关特别规定的外资登记负面清单禁限要求校验，提高外资登记业务的准确性、规范性。</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全国不可靠实体清单核验服务：全国不可靠实体清单核验服务（自然人），实现在业务办理中对不可靠实体清单中的自然人进行核验；全国不可靠实体清单核验服务（企业），实现在业务办理中对不可靠实体清单中的企业进行核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国企央企登记信息比对核验：应用全国假国企央企限制登记服务、全国国企央企登记比对核验服务（全级次企业判断服务、全级次企业登记信息比对核验服务）、国企央企登记信息上报接口相关机制</w:t>
            </w:r>
          </w:p>
        </w:tc>
      </w:tr>
      <w:tr w14:paraId="6E8073E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61FC36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34</w:t>
            </w:r>
          </w:p>
        </w:tc>
        <w:tc>
          <w:tcPr>
            <w:tcW w:w="389" w:type="pct"/>
            <w:tcBorders>
              <w:top w:val="nil"/>
              <w:left w:val="nil"/>
              <w:bottom w:val="single" w:color="auto" w:sz="4" w:space="0"/>
              <w:right w:val="single" w:color="auto" w:sz="4" w:space="0"/>
            </w:tcBorders>
            <w:noWrap/>
            <w:vAlign w:val="center"/>
          </w:tcPr>
          <w:p w14:paraId="6B9822F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681D0F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第三方合规验证-涉产业用地股权变更核验（规自）</w:t>
            </w:r>
          </w:p>
        </w:tc>
        <w:tc>
          <w:tcPr>
            <w:tcW w:w="3166" w:type="pct"/>
            <w:tcBorders>
              <w:top w:val="nil"/>
              <w:left w:val="nil"/>
              <w:bottom w:val="single" w:color="auto" w:sz="4" w:space="0"/>
              <w:right w:val="single" w:color="auto" w:sz="4" w:space="0"/>
            </w:tcBorders>
            <w:noWrap/>
            <w:vAlign w:val="center"/>
          </w:tcPr>
          <w:p w14:paraId="7D3B7EE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关于加强本市涉产业用地企业股权变更联合监管的通知（试行）》（沪规划资源用〔2024〕51号），加强对上海涉产业用地的企业股权变更（包括股权转让、非同比例的增资、减资导致涉地企业股东及出资比例发生变化的行为）的监管。如涉地企业未经出让人同意申请股权变更工商登记，市监部门会主动提示涉地企业需先履行出让合同中要求的事前审批手续，并将拟变动信息反馈区规自部门和经信部门。如市监部门提示后，涉地企业仍然继续申请工商变更的，区市监部门会依法办理但会将相关股权变更信息共享至区规自部门，区规自部门会对企业进行约谈，要求其按约定办理股权变更审批手续。</w:t>
            </w:r>
          </w:p>
        </w:tc>
      </w:tr>
      <w:tr w14:paraId="1CA88DE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0EC4FC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35</w:t>
            </w:r>
          </w:p>
        </w:tc>
        <w:tc>
          <w:tcPr>
            <w:tcW w:w="389" w:type="pct"/>
            <w:tcBorders>
              <w:top w:val="nil"/>
              <w:left w:val="nil"/>
              <w:bottom w:val="single" w:color="auto" w:sz="4" w:space="0"/>
              <w:right w:val="single" w:color="auto" w:sz="4" w:space="0"/>
            </w:tcBorders>
            <w:noWrap/>
            <w:vAlign w:val="center"/>
          </w:tcPr>
          <w:p w14:paraId="14BE12F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5AEA36A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智慧材料交互-公司变更登记</w:t>
            </w:r>
          </w:p>
        </w:tc>
        <w:tc>
          <w:tcPr>
            <w:tcW w:w="3166" w:type="pct"/>
            <w:tcBorders>
              <w:top w:val="nil"/>
              <w:left w:val="nil"/>
              <w:bottom w:val="single" w:color="auto" w:sz="4" w:space="0"/>
              <w:right w:val="single" w:color="auto" w:sz="4" w:space="0"/>
            </w:tcBorders>
            <w:noWrap/>
            <w:vAlign w:val="center"/>
          </w:tcPr>
          <w:p w14:paraId="663F122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公司变更登记所需材料包括《公司登记（备案)申请书》、 《公司登记（备案）申请书（人员信息表）》、修改公司章程的决议或决定、修改后的公司章程或者公司章程修正案、变更后住所使用相关文件、原法定代表人免职证明和新任法定代表人的任职证明、股权转让协议等约20余类文书，根据公司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对于公司变更登记的智慧文书，结合当前申请业务信息及智慧文书补充信息，调度对应的文书生成微服务，生成《公司登记（备案)申请书》、 人员信息表、修改公司章程的决议或决定、修改后的公司章程或者公司章程修正案、原法定代表人免职证明和新任法定代表人的任职证明、股权转让协议等材料，并提供前端交互，可预览、分享文书。对于生成失败的，接受反馈并可再次生成。对于变更后住所使用相关文件、新任法定代表人的身份证明、减少注册资本的公司债务清偿或债务担保情况的说明、新股东的主体资格文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5924A39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958BD0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36</w:t>
            </w:r>
          </w:p>
        </w:tc>
        <w:tc>
          <w:tcPr>
            <w:tcW w:w="389" w:type="pct"/>
            <w:tcBorders>
              <w:top w:val="nil"/>
              <w:left w:val="nil"/>
              <w:bottom w:val="single" w:color="auto" w:sz="4" w:space="0"/>
              <w:right w:val="single" w:color="auto" w:sz="4" w:space="0"/>
            </w:tcBorders>
            <w:noWrap/>
            <w:vAlign w:val="center"/>
          </w:tcPr>
          <w:p w14:paraId="2C593EF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76D0654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智慧材料交互-分公司变更登记</w:t>
            </w:r>
          </w:p>
        </w:tc>
        <w:tc>
          <w:tcPr>
            <w:tcW w:w="3166" w:type="pct"/>
            <w:tcBorders>
              <w:top w:val="nil"/>
              <w:left w:val="nil"/>
              <w:bottom w:val="single" w:color="auto" w:sz="4" w:space="0"/>
              <w:right w:val="single" w:color="auto" w:sz="4" w:space="0"/>
            </w:tcBorders>
            <w:noWrap/>
            <w:vAlign w:val="center"/>
          </w:tcPr>
          <w:p w14:paraId="33C9A0A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公司变更登记所需材料包括《分支机构登记变更（备案）申请书》，隶属企业名称变更后的营业执照复印件、原任负责人的免职信息、新任负责人的任职信息、新任负责人的身份证件、变更后经营场所的使用相关文件、分支机构人员信息表等约8类文书，根据分公司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分公司变更登记的智慧文书，结合当前申请业务信息及智慧文书补充信息，调度对应的文书生成微服务，生成《分支机构登记变更（备案）申请书》、原任负责人的免职信息、新任负责人的任职信息、人员信息表等材料，并提供前端交互，可预览、分享文书。对于生成失败的，接受反馈并可再次生成。对于变更后经营场所的使用相关文件、新任负责人的身份证件、隶属企业名称变更后的营业执照复印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2A4E1B2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DA4ED4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37</w:t>
            </w:r>
          </w:p>
        </w:tc>
        <w:tc>
          <w:tcPr>
            <w:tcW w:w="389" w:type="pct"/>
            <w:tcBorders>
              <w:top w:val="nil"/>
              <w:left w:val="nil"/>
              <w:bottom w:val="single" w:color="auto" w:sz="4" w:space="0"/>
              <w:right w:val="single" w:color="auto" w:sz="4" w:space="0"/>
            </w:tcBorders>
            <w:noWrap/>
            <w:vAlign w:val="center"/>
          </w:tcPr>
          <w:p w14:paraId="6B2F048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05CD52C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智慧材料交互-合伙企业变更登记</w:t>
            </w:r>
          </w:p>
        </w:tc>
        <w:tc>
          <w:tcPr>
            <w:tcW w:w="3166" w:type="pct"/>
            <w:tcBorders>
              <w:top w:val="nil"/>
              <w:left w:val="nil"/>
              <w:bottom w:val="single" w:color="auto" w:sz="4" w:space="0"/>
              <w:right w:val="single" w:color="auto" w:sz="4" w:space="0"/>
            </w:tcBorders>
            <w:noWrap/>
            <w:vAlign w:val="center"/>
          </w:tcPr>
          <w:p w14:paraId="30EDB53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变更登记所需材料包括《合伙企业登记（备案）申请书》、合伙企业人员信息表、全体合伙人或者合伙协议约定的人员签署的变更决定书，以及由全体合伙人或者合伙协议约定的人员签署的修改后或补充的合伙协议等约20类文书，根据合伙企业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变更登记的智慧文书，结合当前申请业务信息及智慧文书补充信息，调度对应的文书生成微服务，生成《合伙企业登记（备案）申请书》、合伙企业人员信息表、全体合伙人或者合伙协议约定的人员签署的变更决定书，以及由全体合伙人或者合伙协议约定的人员签署的修改后或补充的合伙协议等材料，并提供前端交互，可预览、分享文书。对于生成失败的，接受反馈并可再次生成。对于变更后经营场所的使用相关文件、合伙人更改名称或姓名的变更证明，变更后新的主体资格文件或者自然人身份证明复印件、新合伙人的主体资格文件或者自然人身份证明、入伙协议、执行事务合伙人更改名称或姓名（委派代表更改姓名）的名称或姓名变更证明、变更后新的主体资格文件或者自然人身份证明复印件、合伙人的职业资格证明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2CE9339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173AF8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38</w:t>
            </w:r>
          </w:p>
        </w:tc>
        <w:tc>
          <w:tcPr>
            <w:tcW w:w="389" w:type="pct"/>
            <w:tcBorders>
              <w:top w:val="nil"/>
              <w:left w:val="nil"/>
              <w:bottom w:val="single" w:color="auto" w:sz="4" w:space="0"/>
              <w:right w:val="single" w:color="auto" w:sz="4" w:space="0"/>
            </w:tcBorders>
            <w:noWrap/>
            <w:vAlign w:val="center"/>
          </w:tcPr>
          <w:p w14:paraId="1E20E4F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6EFDCB2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智慧材料交互-合伙企业分支机构变更登记</w:t>
            </w:r>
          </w:p>
        </w:tc>
        <w:tc>
          <w:tcPr>
            <w:tcW w:w="3166" w:type="pct"/>
            <w:tcBorders>
              <w:top w:val="nil"/>
              <w:left w:val="nil"/>
              <w:bottom w:val="single" w:color="auto" w:sz="4" w:space="0"/>
              <w:right w:val="single" w:color="auto" w:sz="4" w:space="0"/>
            </w:tcBorders>
            <w:noWrap/>
            <w:vAlign w:val="center"/>
          </w:tcPr>
          <w:p w14:paraId="196759B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分支机构变更登记所需材料包括《分支机构登记变更（备案）申请书》，变更后经营场所的使用相关文件、原任负责人的免职信息、新任负责人的任职信息、新任负责人的身份证件、隶属企业名称变更后的营业执照复印件、分支机构人员信息表等约8类文书，根据合伙企业分支机构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分支机构变更登记的智慧文书，结合当前申请业务信息及智慧文书补充信息，调度对应的文书生成微服务，生成《分支机构登记变更（备案）申请书》、人员信息表、原任负责人的免职信息、新任负责人的任职信息等材料，并提供前端交互，可预览、分享文书。对于生成失败的，接受反馈并可再次生成。对于变更后经营场所的使用相关文件、新任负责人的身份证件、隶属企业名称变更后的营业执照复印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7A93416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96E1D7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39</w:t>
            </w:r>
          </w:p>
        </w:tc>
        <w:tc>
          <w:tcPr>
            <w:tcW w:w="389" w:type="pct"/>
            <w:tcBorders>
              <w:top w:val="nil"/>
              <w:left w:val="nil"/>
              <w:bottom w:val="single" w:color="auto" w:sz="4" w:space="0"/>
              <w:right w:val="single" w:color="auto" w:sz="4" w:space="0"/>
            </w:tcBorders>
            <w:noWrap/>
            <w:vAlign w:val="center"/>
          </w:tcPr>
          <w:p w14:paraId="606C91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4019BB9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智慧材料交互-个人独资企业变更登记</w:t>
            </w:r>
          </w:p>
        </w:tc>
        <w:tc>
          <w:tcPr>
            <w:tcW w:w="3166" w:type="pct"/>
            <w:tcBorders>
              <w:top w:val="nil"/>
              <w:left w:val="nil"/>
              <w:bottom w:val="single" w:color="auto" w:sz="4" w:space="0"/>
              <w:right w:val="single" w:color="auto" w:sz="4" w:space="0"/>
            </w:tcBorders>
            <w:noWrap/>
            <w:vAlign w:val="center"/>
          </w:tcPr>
          <w:p w14:paraId="363DC3F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变更登记所需材料包括《个人独资企业登记（备案）申请书》，个人独资企业人员信息表、转让协议书、变更后的住所使用相关文件等约7类文书，根据个人独资企业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变更登记的智慧文书，结合当前申请业务信息及智慧文书补充信息，调度对应的文书生成微服务，生成《个人独资企业登记（备案）申请书》、个人独资企业人员信息表、变更投资人的转让协议书等材料，并提供前端交互，可预览、分享文书。对于生成失败的，接受反馈并可再次生成。对于变更后投资人的身份证件复印件、提交变更后的住所使用相关文件、有关的批准文件或者许可证件复印件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618C5F1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E40FD7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40</w:t>
            </w:r>
          </w:p>
        </w:tc>
        <w:tc>
          <w:tcPr>
            <w:tcW w:w="389" w:type="pct"/>
            <w:tcBorders>
              <w:top w:val="nil"/>
              <w:left w:val="nil"/>
              <w:bottom w:val="single" w:color="auto" w:sz="4" w:space="0"/>
              <w:right w:val="single" w:color="auto" w:sz="4" w:space="0"/>
            </w:tcBorders>
            <w:noWrap/>
            <w:vAlign w:val="center"/>
          </w:tcPr>
          <w:p w14:paraId="1E495BA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7F4D2AB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智慧材料交互-个人独资企业分支机构变更登记</w:t>
            </w:r>
          </w:p>
        </w:tc>
        <w:tc>
          <w:tcPr>
            <w:tcW w:w="3166" w:type="pct"/>
            <w:tcBorders>
              <w:top w:val="nil"/>
              <w:left w:val="nil"/>
              <w:bottom w:val="single" w:color="auto" w:sz="4" w:space="0"/>
              <w:right w:val="single" w:color="auto" w:sz="4" w:space="0"/>
            </w:tcBorders>
            <w:noWrap/>
            <w:vAlign w:val="center"/>
          </w:tcPr>
          <w:p w14:paraId="4E6DB38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分支机构变更登记所需材料包括《分支机构登记变更（备案）申请书》，隶属企业名称变更后的营业执照复印件、分支机构人员信息表、变更后经营场所的使用相关文件、原任负责人的免职信息、新任负责人的任职信息、新任负责人的身份证件等约8类文书，根据个人独资企业分支机构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分支机构变更登记的智慧文书，结合当前申请业务信息及智慧文书补充信息，调度对应的文书生成微服务，生成《分支机构登记变更（备案）申请书》、原任负责人的免职信息、新任负责人的任职信息、人员信息表等材料，并提供前端交互，可预览、分享文书。对于生成失败的，接受反馈并可再次生成。对于变更后经营场所的使用相关文件、隶属企业名称变更后的营业执照复印件、新任负责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747220F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127C4A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41</w:t>
            </w:r>
          </w:p>
        </w:tc>
        <w:tc>
          <w:tcPr>
            <w:tcW w:w="389" w:type="pct"/>
            <w:tcBorders>
              <w:top w:val="nil"/>
              <w:left w:val="nil"/>
              <w:bottom w:val="single" w:color="auto" w:sz="4" w:space="0"/>
              <w:right w:val="single" w:color="auto" w:sz="4" w:space="0"/>
            </w:tcBorders>
            <w:noWrap/>
            <w:vAlign w:val="center"/>
          </w:tcPr>
          <w:p w14:paraId="4DB0EED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7C7D80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智慧材料交互-非公司企业法人变更登记</w:t>
            </w:r>
          </w:p>
        </w:tc>
        <w:tc>
          <w:tcPr>
            <w:tcW w:w="3166" w:type="pct"/>
            <w:tcBorders>
              <w:top w:val="nil"/>
              <w:left w:val="nil"/>
              <w:bottom w:val="single" w:color="auto" w:sz="4" w:space="0"/>
              <w:right w:val="single" w:color="auto" w:sz="4" w:space="0"/>
            </w:tcBorders>
            <w:noWrap/>
            <w:vAlign w:val="center"/>
          </w:tcPr>
          <w:p w14:paraId="68B7F65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变更登记所需材料包括《非公司企业法人登记(备案)申请书》、非公司企业法人人员信息表、变更后住所的使用相关文件、修改企业章程的决定、修改后的企业章程或章程修正案、原任法定代表人的免职证明、新任法定代表人的任职证明及身份证件等约10类文书，根据非公司企业法人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变更登记的智慧文书，结合当前申请业务信息及智慧文书补充信息，调度对应的文书生成微服务，生成《非公司企业法人登记(备案)申请书》、原任法定代表人的免职证明、新任法定代表人的任职证明、修改企业章程的决定、修改后的企业章程或章程修正案等材料，并提供前端交互，可预览、分享文书。对于生成失败的，接受反馈并可再次生成。对于变更后住所的使用相关文件、新任法定代表人的身份证件复印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0F03694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968DC1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42</w:t>
            </w:r>
          </w:p>
        </w:tc>
        <w:tc>
          <w:tcPr>
            <w:tcW w:w="389" w:type="pct"/>
            <w:tcBorders>
              <w:top w:val="nil"/>
              <w:left w:val="nil"/>
              <w:bottom w:val="single" w:color="auto" w:sz="4" w:space="0"/>
              <w:right w:val="single" w:color="auto" w:sz="4" w:space="0"/>
            </w:tcBorders>
            <w:noWrap/>
            <w:vAlign w:val="center"/>
          </w:tcPr>
          <w:p w14:paraId="26CFFEC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移动端企业变更全程网办应用</w:t>
            </w:r>
          </w:p>
        </w:tc>
        <w:tc>
          <w:tcPr>
            <w:tcW w:w="1191" w:type="pct"/>
            <w:tcBorders>
              <w:top w:val="nil"/>
              <w:left w:val="nil"/>
              <w:bottom w:val="single" w:color="auto" w:sz="4" w:space="0"/>
              <w:right w:val="single" w:color="auto" w:sz="4" w:space="0"/>
            </w:tcBorders>
            <w:noWrap/>
            <w:vAlign w:val="center"/>
          </w:tcPr>
          <w:p w14:paraId="146ECAE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智慧材料交互-非公司企业法人分支机构变更登记</w:t>
            </w:r>
          </w:p>
        </w:tc>
        <w:tc>
          <w:tcPr>
            <w:tcW w:w="3166" w:type="pct"/>
            <w:tcBorders>
              <w:top w:val="nil"/>
              <w:left w:val="nil"/>
              <w:bottom w:val="single" w:color="auto" w:sz="4" w:space="0"/>
              <w:right w:val="single" w:color="auto" w:sz="4" w:space="0"/>
            </w:tcBorders>
            <w:noWrap/>
            <w:vAlign w:val="center"/>
          </w:tcPr>
          <w:p w14:paraId="796ABDE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分支机构变更登记所需材料包括《分支机构登记变更（备案）申请书》，变更后经营场所的使用相关文件、隶属企业名称变更后的营业执照复印件、原任负责人的免职信息、新任负责人的任职信息、新任负责人的身份证件、分支机构人员信息表等约8类文书，根据非公司企业法人分支机构变更登记具体变更事项，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分支机构变更登记的智慧文书，结合当前申请业务信息及智慧文书补充信息，调度对应的文书生成微服务，生成《分支机构登记变更（备案）申请书》、人员信息表、原任负责人的免职信息、新任负责人的任职信息等材料，并提供前端交互，可预览、分享文书。对于生成失败的，接受反馈并可再次生成。对于隶属企业名称变更后的营业执照复印件、新任负责人的身份证件、变更后经营场所的使用相关文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4517415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0E9E10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43</w:t>
            </w:r>
          </w:p>
        </w:tc>
        <w:tc>
          <w:tcPr>
            <w:tcW w:w="389" w:type="pct"/>
            <w:tcBorders>
              <w:top w:val="nil"/>
              <w:left w:val="nil"/>
              <w:bottom w:val="single" w:color="auto" w:sz="4" w:space="0"/>
              <w:right w:val="single" w:color="auto" w:sz="4" w:space="0"/>
            </w:tcBorders>
            <w:noWrap/>
            <w:vAlign w:val="center"/>
          </w:tcPr>
          <w:p w14:paraId="776A40B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241029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注销办理前置校验-注销前置判断</w:t>
            </w:r>
          </w:p>
        </w:tc>
        <w:tc>
          <w:tcPr>
            <w:tcW w:w="3166" w:type="pct"/>
            <w:tcBorders>
              <w:top w:val="nil"/>
              <w:left w:val="nil"/>
              <w:bottom w:val="single" w:color="auto" w:sz="4" w:space="0"/>
              <w:right w:val="single" w:color="auto" w:sz="4" w:space="0"/>
            </w:tcBorders>
            <w:noWrap/>
            <w:vAlign w:val="center"/>
          </w:tcPr>
          <w:p w14:paraId="530D6CE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系统自动对市场主体基本信息和经营状态进行初步扫描，判断是否存在必须完成的清算组备案、清税、社保注销等前置环节。</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系统通过一窗通和一件事相关税务接口，系统获取注销企业的清税证明材料。</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申请办理简易注销登记，市场主体应当将承诺书及注销登记申请通过国家企业信用信息公示系统公示，公示期为20日。</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系统通过检查是否发起注销公示，公示期是否期满，判断企业是否符合和适用简易注销程序。</w:t>
            </w:r>
          </w:p>
        </w:tc>
      </w:tr>
      <w:tr w14:paraId="5232C17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83290A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44</w:t>
            </w:r>
          </w:p>
        </w:tc>
        <w:tc>
          <w:tcPr>
            <w:tcW w:w="389" w:type="pct"/>
            <w:tcBorders>
              <w:top w:val="nil"/>
              <w:left w:val="nil"/>
              <w:bottom w:val="single" w:color="auto" w:sz="4" w:space="0"/>
              <w:right w:val="single" w:color="auto" w:sz="4" w:space="0"/>
            </w:tcBorders>
            <w:noWrap/>
            <w:vAlign w:val="center"/>
          </w:tcPr>
          <w:p w14:paraId="36E34B2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8C6E8C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注销办理前置校验-选择是否涉及注销前置审批事项</w:t>
            </w:r>
          </w:p>
        </w:tc>
        <w:tc>
          <w:tcPr>
            <w:tcW w:w="3166" w:type="pct"/>
            <w:tcBorders>
              <w:top w:val="nil"/>
              <w:left w:val="nil"/>
              <w:bottom w:val="single" w:color="auto" w:sz="4" w:space="0"/>
              <w:right w:val="single" w:color="auto" w:sz="4" w:space="0"/>
            </w:tcBorders>
            <w:noWrap/>
            <w:vAlign w:val="center"/>
          </w:tcPr>
          <w:p w14:paraId="11DC79A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引导市场主体自主确认是否涉及法律法规规定的专项审批事项（如外资、餐饮、危化品等），并根据选择结果调整后续办理流程。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企业就前置审批事项的清理情况做出正式声明和承诺。</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系统提供注销前置事项清单，并提供标准化表单，让企业选择。</w:t>
            </w:r>
          </w:p>
        </w:tc>
      </w:tr>
      <w:tr w14:paraId="4B0C723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0350A5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45</w:t>
            </w:r>
          </w:p>
        </w:tc>
        <w:tc>
          <w:tcPr>
            <w:tcW w:w="389" w:type="pct"/>
            <w:tcBorders>
              <w:top w:val="nil"/>
              <w:left w:val="nil"/>
              <w:bottom w:val="single" w:color="auto" w:sz="4" w:space="0"/>
              <w:right w:val="single" w:color="auto" w:sz="4" w:space="0"/>
            </w:tcBorders>
            <w:noWrap/>
            <w:vAlign w:val="center"/>
          </w:tcPr>
          <w:p w14:paraId="0DDA54B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BF1CC2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注销信息采集</w:t>
            </w:r>
          </w:p>
        </w:tc>
        <w:tc>
          <w:tcPr>
            <w:tcW w:w="3166" w:type="pct"/>
            <w:tcBorders>
              <w:top w:val="nil"/>
              <w:left w:val="nil"/>
              <w:bottom w:val="single" w:color="auto" w:sz="4" w:space="0"/>
              <w:right w:val="single" w:color="auto" w:sz="4" w:space="0"/>
            </w:tcBorders>
            <w:noWrap/>
            <w:vAlign w:val="center"/>
          </w:tcPr>
          <w:p w14:paraId="5631AED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统一录入界面，用于填报覆盖各类市场主体注销业务的核心信息，包括注销原因、清算组成员、债权债务处理情况等，支持依市场主体类型动态调整填报内容。</w:t>
            </w:r>
          </w:p>
        </w:tc>
      </w:tr>
      <w:tr w14:paraId="4E468BF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787197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46</w:t>
            </w:r>
          </w:p>
        </w:tc>
        <w:tc>
          <w:tcPr>
            <w:tcW w:w="389" w:type="pct"/>
            <w:tcBorders>
              <w:top w:val="nil"/>
              <w:left w:val="nil"/>
              <w:bottom w:val="single" w:color="auto" w:sz="4" w:space="0"/>
              <w:right w:val="single" w:color="auto" w:sz="4" w:space="0"/>
            </w:tcBorders>
            <w:noWrap/>
            <w:vAlign w:val="center"/>
          </w:tcPr>
          <w:p w14:paraId="54E9213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EABB77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注销公告</w:t>
            </w:r>
          </w:p>
        </w:tc>
        <w:tc>
          <w:tcPr>
            <w:tcW w:w="3166" w:type="pct"/>
            <w:tcBorders>
              <w:top w:val="nil"/>
              <w:left w:val="nil"/>
              <w:bottom w:val="single" w:color="auto" w:sz="4" w:space="0"/>
              <w:right w:val="single" w:color="auto" w:sz="4" w:space="0"/>
            </w:tcBorders>
            <w:noWrap/>
            <w:vAlign w:val="center"/>
          </w:tcPr>
          <w:p w14:paraId="6CA9EF1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系统通过数据共享将备案数据推送到国家总局，并通过国家企业信用信息公示系统发布债权人公告。</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提供与国家市场主体信用信息公示系统的接口对接，支持市场主体通过本平台在线发布注销公告，并采集公告期、公告状态等信息。</w:t>
            </w:r>
          </w:p>
        </w:tc>
      </w:tr>
      <w:tr w14:paraId="63CFE1D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375572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47</w:t>
            </w:r>
          </w:p>
        </w:tc>
        <w:tc>
          <w:tcPr>
            <w:tcW w:w="389" w:type="pct"/>
            <w:tcBorders>
              <w:top w:val="nil"/>
              <w:left w:val="nil"/>
              <w:bottom w:val="single" w:color="auto" w:sz="4" w:space="0"/>
              <w:right w:val="single" w:color="auto" w:sz="4" w:space="0"/>
            </w:tcBorders>
            <w:noWrap/>
            <w:vAlign w:val="center"/>
          </w:tcPr>
          <w:p w14:paraId="479C6E3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573E37E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注销进度汇聚</w:t>
            </w:r>
          </w:p>
        </w:tc>
        <w:tc>
          <w:tcPr>
            <w:tcW w:w="3166" w:type="pct"/>
            <w:tcBorders>
              <w:top w:val="nil"/>
              <w:left w:val="nil"/>
              <w:bottom w:val="single" w:color="auto" w:sz="4" w:space="0"/>
              <w:right w:val="single" w:color="auto" w:sz="4" w:space="0"/>
            </w:tcBorders>
            <w:noWrap/>
            <w:vAlign w:val="center"/>
          </w:tcPr>
          <w:p w14:paraId="08F2C08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为市场主体提供实时、可视化的注销办理进度跟踪功能，包括公告期倒计时、审批环节状态、补正通知等。</w:t>
            </w:r>
          </w:p>
        </w:tc>
      </w:tr>
      <w:tr w14:paraId="45CB2DB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916D74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48</w:t>
            </w:r>
          </w:p>
        </w:tc>
        <w:tc>
          <w:tcPr>
            <w:tcW w:w="389" w:type="pct"/>
            <w:tcBorders>
              <w:top w:val="nil"/>
              <w:left w:val="nil"/>
              <w:bottom w:val="single" w:color="auto" w:sz="4" w:space="0"/>
              <w:right w:val="single" w:color="auto" w:sz="4" w:space="0"/>
            </w:tcBorders>
            <w:noWrap/>
            <w:vAlign w:val="center"/>
          </w:tcPr>
          <w:p w14:paraId="3C4EB70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32CFA23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注销材料生成与交互-公司注销登记-公司通过普通程序注销登记</w:t>
            </w:r>
          </w:p>
        </w:tc>
        <w:tc>
          <w:tcPr>
            <w:tcW w:w="3166" w:type="pct"/>
            <w:tcBorders>
              <w:top w:val="nil"/>
              <w:left w:val="nil"/>
              <w:bottom w:val="single" w:color="auto" w:sz="4" w:space="0"/>
              <w:right w:val="single" w:color="auto" w:sz="4" w:space="0"/>
            </w:tcBorders>
            <w:noWrap/>
            <w:vAlign w:val="center"/>
          </w:tcPr>
          <w:p w14:paraId="628FE82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公司通过普通程序注销登记涉及10余类注销材料，如因股东会决议解散的或因公司合并或者分立需要解散的，提交公司依法作出的解散或合并分立的决议或决定等文件。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公司通过普通程序注销登记的智慧文书，结合当前申请业务信息，调度对应的文书生成微服务，生成公司普通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3CE4217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EA67D4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49</w:t>
            </w:r>
          </w:p>
        </w:tc>
        <w:tc>
          <w:tcPr>
            <w:tcW w:w="389" w:type="pct"/>
            <w:tcBorders>
              <w:top w:val="nil"/>
              <w:left w:val="nil"/>
              <w:bottom w:val="single" w:color="auto" w:sz="4" w:space="0"/>
              <w:right w:val="single" w:color="auto" w:sz="4" w:space="0"/>
            </w:tcBorders>
            <w:noWrap/>
            <w:vAlign w:val="center"/>
          </w:tcPr>
          <w:p w14:paraId="74201F6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F615E6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注销材料生成与交互-公司注销登记-公司通过简易程序注销登记</w:t>
            </w:r>
          </w:p>
        </w:tc>
        <w:tc>
          <w:tcPr>
            <w:tcW w:w="3166" w:type="pct"/>
            <w:tcBorders>
              <w:top w:val="nil"/>
              <w:left w:val="nil"/>
              <w:bottom w:val="single" w:color="auto" w:sz="4" w:space="0"/>
              <w:right w:val="single" w:color="auto" w:sz="4" w:space="0"/>
            </w:tcBorders>
            <w:noWrap/>
            <w:vAlign w:val="center"/>
          </w:tcPr>
          <w:p w14:paraId="256F60D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公司通过简易程序注销登记涉及数项注销材料，如提交全体投资人签署的经国家企业信用信息公示系统公告不少于二十日的《简易注销全体投资人承诺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公司通过简易程序注销登记的智慧文书，结合当前申请业务信息，调度对应的文书生成微服务，生成公司简易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73D747E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6E536B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50</w:t>
            </w:r>
          </w:p>
        </w:tc>
        <w:tc>
          <w:tcPr>
            <w:tcW w:w="389" w:type="pct"/>
            <w:tcBorders>
              <w:top w:val="nil"/>
              <w:left w:val="nil"/>
              <w:bottom w:val="single" w:color="auto" w:sz="4" w:space="0"/>
              <w:right w:val="single" w:color="auto" w:sz="4" w:space="0"/>
            </w:tcBorders>
            <w:noWrap/>
            <w:vAlign w:val="center"/>
          </w:tcPr>
          <w:p w14:paraId="726FD0F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6B02AB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注销材料生成与交互-公司注销登记-经人民法院裁定宣告破产并终结破产程序或强制清算程序终结后办理注销登记</w:t>
            </w:r>
          </w:p>
        </w:tc>
        <w:tc>
          <w:tcPr>
            <w:tcW w:w="3166" w:type="pct"/>
            <w:tcBorders>
              <w:top w:val="nil"/>
              <w:left w:val="nil"/>
              <w:bottom w:val="single" w:color="auto" w:sz="4" w:space="0"/>
              <w:right w:val="single" w:color="auto" w:sz="4" w:space="0"/>
            </w:tcBorders>
            <w:noWrap/>
            <w:vAlign w:val="center"/>
          </w:tcPr>
          <w:p w14:paraId="6F643F2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经人民法院裁定宣告破产并终结破产程序或强制清算程序终结后办理注销登记涉及数项注销材料，如提交人民法院宣告破产的裁定书、终结破产程序的裁定书复印件或人民法院终结强制清算程序的裁定书复印件（包括以无法清算或无法全面清算为由作出的裁定）。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人民法院裁定宣告破产并终结破产程序或强制清算程序终结后办理注销登记的智慧文书，结合当前申请业务信息，调度对应的文书生成微服务，生成公司破产清算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443D701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4EE64A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51</w:t>
            </w:r>
          </w:p>
        </w:tc>
        <w:tc>
          <w:tcPr>
            <w:tcW w:w="389" w:type="pct"/>
            <w:tcBorders>
              <w:top w:val="nil"/>
              <w:left w:val="nil"/>
              <w:bottom w:val="single" w:color="auto" w:sz="4" w:space="0"/>
              <w:right w:val="single" w:color="auto" w:sz="4" w:space="0"/>
            </w:tcBorders>
            <w:noWrap/>
            <w:vAlign w:val="center"/>
          </w:tcPr>
          <w:p w14:paraId="689723C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94407A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注销材料生成与交互-公司注销登记-因公司合并（分立）申请设立、变更或注销登记</w:t>
            </w:r>
          </w:p>
        </w:tc>
        <w:tc>
          <w:tcPr>
            <w:tcW w:w="3166" w:type="pct"/>
            <w:tcBorders>
              <w:top w:val="nil"/>
              <w:left w:val="nil"/>
              <w:bottom w:val="single" w:color="auto" w:sz="4" w:space="0"/>
              <w:right w:val="single" w:color="auto" w:sz="4" w:space="0"/>
            </w:tcBorders>
            <w:noWrap/>
            <w:vAlign w:val="center"/>
          </w:tcPr>
          <w:p w14:paraId="11E61EE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因公司合并（分立）申请注销登记业务涉及近10类注销材料，如合并的提交合并各方公司关于通过合并协议并载明合并信息的决议或决定；分立的提交公司分立的决议或决定（按公司治理架构有所区分）。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因公司合并（分立）申请注销的登记智慧文书，结合当前申请业务信息，调度对应的文书生成微服务，生成公司分立合并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38600A16">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40133B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52</w:t>
            </w:r>
          </w:p>
        </w:tc>
        <w:tc>
          <w:tcPr>
            <w:tcW w:w="389" w:type="pct"/>
            <w:tcBorders>
              <w:top w:val="nil"/>
              <w:left w:val="nil"/>
              <w:bottom w:val="single" w:color="auto" w:sz="4" w:space="0"/>
              <w:right w:val="single" w:color="auto" w:sz="4" w:space="0"/>
            </w:tcBorders>
            <w:noWrap/>
            <w:vAlign w:val="center"/>
          </w:tcPr>
          <w:p w14:paraId="3D28B5E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5DD796B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注销材料生成与交互-分公司注销登记</w:t>
            </w:r>
          </w:p>
        </w:tc>
        <w:tc>
          <w:tcPr>
            <w:tcW w:w="3166" w:type="pct"/>
            <w:tcBorders>
              <w:top w:val="nil"/>
              <w:left w:val="nil"/>
              <w:bottom w:val="single" w:color="auto" w:sz="4" w:space="0"/>
              <w:right w:val="single" w:color="auto" w:sz="4" w:space="0"/>
            </w:tcBorders>
            <w:noWrap/>
            <w:vAlign w:val="center"/>
          </w:tcPr>
          <w:p w14:paraId="32BDD9F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公司注销登记涉及近10类材料，如法律、行政法规或者国务院规定注销分公司须经批准的，提交有关批准文件复印件。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对于分公司注销登记的智慧文书，结合当前申请业务信息，调度对应的文书生成微服务，生成分公司注销登记所需材料，并提供前端交互，可预览、分享文书。对于生成失败的，接受反馈并可再次生成。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18E4C0E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76FC5A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53</w:t>
            </w:r>
          </w:p>
        </w:tc>
        <w:tc>
          <w:tcPr>
            <w:tcW w:w="389" w:type="pct"/>
            <w:tcBorders>
              <w:top w:val="nil"/>
              <w:left w:val="nil"/>
              <w:bottom w:val="single" w:color="auto" w:sz="4" w:space="0"/>
              <w:right w:val="single" w:color="auto" w:sz="4" w:space="0"/>
            </w:tcBorders>
            <w:noWrap/>
            <w:vAlign w:val="center"/>
          </w:tcPr>
          <w:p w14:paraId="75FEABC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611B54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注销材料生成与交互-合伙企业注销登记-合伙企业注销登记（普通程序）</w:t>
            </w:r>
          </w:p>
        </w:tc>
        <w:tc>
          <w:tcPr>
            <w:tcW w:w="3166" w:type="pct"/>
            <w:tcBorders>
              <w:top w:val="nil"/>
              <w:left w:val="nil"/>
              <w:bottom w:val="single" w:color="auto" w:sz="4" w:space="0"/>
              <w:right w:val="single" w:color="auto" w:sz="4" w:space="0"/>
            </w:tcBorders>
            <w:noWrap/>
            <w:vAlign w:val="center"/>
          </w:tcPr>
          <w:p w14:paraId="306474E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注销登记（普通程序）涉及近10类材料，如合伙企业依照《合伙企业法》作出解散的决议或者决定，人民法院的破产裁定、解散裁判文书；被行政机关依法责令关闭的、依法被吊销营业执照或被撤销市场主体登记的，提交被责令关闭、被吊销营业执照或被撤销市场主体登记的文件。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注销登记（普通程序）的智慧文书，结合当前申请业务信息，调度对应的文书生成微服务，生成合伙企业普通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115A35E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AC8CCE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54</w:t>
            </w:r>
          </w:p>
        </w:tc>
        <w:tc>
          <w:tcPr>
            <w:tcW w:w="389" w:type="pct"/>
            <w:tcBorders>
              <w:top w:val="nil"/>
              <w:left w:val="nil"/>
              <w:bottom w:val="single" w:color="auto" w:sz="4" w:space="0"/>
              <w:right w:val="single" w:color="auto" w:sz="4" w:space="0"/>
            </w:tcBorders>
            <w:noWrap/>
            <w:vAlign w:val="center"/>
          </w:tcPr>
          <w:p w14:paraId="2469D79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B7FB61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注销材料生成与交互-合伙企业注销登记-合伙企业简易注销登记</w:t>
            </w:r>
          </w:p>
        </w:tc>
        <w:tc>
          <w:tcPr>
            <w:tcW w:w="3166" w:type="pct"/>
            <w:tcBorders>
              <w:top w:val="nil"/>
              <w:left w:val="nil"/>
              <w:bottom w:val="single" w:color="auto" w:sz="4" w:space="0"/>
              <w:right w:val="single" w:color="auto" w:sz="4" w:space="0"/>
            </w:tcBorders>
            <w:noWrap/>
            <w:vAlign w:val="center"/>
          </w:tcPr>
          <w:p w14:paraId="3D7A213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简易注销登记涉及数项材料，如提交全体合伙人签署的经国家企业信用信息公示系统公告不少于二十日的《简易注销全体投资人承诺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简易注销登记的智慧文书，结合当前申请业务信息，调度对应的文书生成微服务，生成合伙企业简易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65F6C08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CD25B0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55</w:t>
            </w:r>
          </w:p>
        </w:tc>
        <w:tc>
          <w:tcPr>
            <w:tcW w:w="389" w:type="pct"/>
            <w:tcBorders>
              <w:top w:val="nil"/>
              <w:left w:val="nil"/>
              <w:bottom w:val="single" w:color="auto" w:sz="4" w:space="0"/>
              <w:right w:val="single" w:color="auto" w:sz="4" w:space="0"/>
            </w:tcBorders>
            <w:noWrap/>
            <w:vAlign w:val="center"/>
          </w:tcPr>
          <w:p w14:paraId="3CFABDF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7A5561F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注销材料生成与交互-合伙企业分支机构注销登记</w:t>
            </w:r>
          </w:p>
        </w:tc>
        <w:tc>
          <w:tcPr>
            <w:tcW w:w="3166" w:type="pct"/>
            <w:tcBorders>
              <w:top w:val="nil"/>
              <w:left w:val="nil"/>
              <w:bottom w:val="single" w:color="auto" w:sz="4" w:space="0"/>
              <w:right w:val="single" w:color="auto" w:sz="4" w:space="0"/>
            </w:tcBorders>
            <w:noWrap/>
            <w:vAlign w:val="center"/>
          </w:tcPr>
          <w:p w14:paraId="389C79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分支机构注销登记涉及数项材料，如分支机构隶属企业的执行事务合伙人（委派代表）签署的《分支机构注销登记申请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分支机构注销登记的智慧文书，结合当前申请业务信息，调度对应的文书生成微服务，生成合伙企业分支机构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0FDF875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645648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56</w:t>
            </w:r>
          </w:p>
        </w:tc>
        <w:tc>
          <w:tcPr>
            <w:tcW w:w="389" w:type="pct"/>
            <w:tcBorders>
              <w:top w:val="nil"/>
              <w:left w:val="nil"/>
              <w:bottom w:val="single" w:color="auto" w:sz="4" w:space="0"/>
              <w:right w:val="single" w:color="auto" w:sz="4" w:space="0"/>
            </w:tcBorders>
            <w:noWrap/>
            <w:vAlign w:val="center"/>
          </w:tcPr>
          <w:p w14:paraId="6F2E1BD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56EF7CB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注销材料生成与交互-个人独资企业注销登记-个人独资企业注销登记</w:t>
            </w:r>
          </w:p>
        </w:tc>
        <w:tc>
          <w:tcPr>
            <w:tcW w:w="3166" w:type="pct"/>
            <w:tcBorders>
              <w:top w:val="nil"/>
              <w:left w:val="nil"/>
              <w:bottom w:val="single" w:color="auto" w:sz="4" w:space="0"/>
              <w:right w:val="single" w:color="auto" w:sz="4" w:space="0"/>
            </w:tcBorders>
            <w:noWrap/>
            <w:vAlign w:val="center"/>
          </w:tcPr>
          <w:p w14:paraId="3C9088D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注销登记涉及近10类材料，如投资人或人民法院确认的清算报告。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注销登记的智慧文书，结合当前申请业务信息，调度对应的文书生成微服务，生成个人独资企业普通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786A22B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D56D9A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57</w:t>
            </w:r>
          </w:p>
        </w:tc>
        <w:tc>
          <w:tcPr>
            <w:tcW w:w="389" w:type="pct"/>
            <w:tcBorders>
              <w:top w:val="nil"/>
              <w:left w:val="nil"/>
              <w:bottom w:val="single" w:color="auto" w:sz="4" w:space="0"/>
              <w:right w:val="single" w:color="auto" w:sz="4" w:space="0"/>
            </w:tcBorders>
            <w:noWrap/>
            <w:vAlign w:val="center"/>
          </w:tcPr>
          <w:p w14:paraId="57E8FAD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1FEAF6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注销材料生成与交互-个人独资企业注销登记-个人独资企业简易注销登记</w:t>
            </w:r>
          </w:p>
        </w:tc>
        <w:tc>
          <w:tcPr>
            <w:tcW w:w="3166" w:type="pct"/>
            <w:tcBorders>
              <w:top w:val="nil"/>
              <w:left w:val="nil"/>
              <w:bottom w:val="single" w:color="auto" w:sz="4" w:space="0"/>
              <w:right w:val="single" w:color="auto" w:sz="4" w:space="0"/>
            </w:tcBorders>
            <w:noWrap/>
            <w:vAlign w:val="center"/>
          </w:tcPr>
          <w:p w14:paraId="13F6A6D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简易注销登记涉及数项材料，如提交投资人签署的经国家企业信用信息公示系统公告不少于二十日的《简易注销全体投资人承诺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简易注销登记的智慧文书，结合当前申请业务信息，调度对应的文书生成微服务，生成个人独资企业简易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7066EE3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AC1FC2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58</w:t>
            </w:r>
          </w:p>
        </w:tc>
        <w:tc>
          <w:tcPr>
            <w:tcW w:w="389" w:type="pct"/>
            <w:tcBorders>
              <w:top w:val="nil"/>
              <w:left w:val="nil"/>
              <w:bottom w:val="single" w:color="auto" w:sz="4" w:space="0"/>
              <w:right w:val="single" w:color="auto" w:sz="4" w:space="0"/>
            </w:tcBorders>
            <w:noWrap/>
            <w:vAlign w:val="center"/>
          </w:tcPr>
          <w:p w14:paraId="1EF336D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738AB0D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注销材料生成与交互-个人独资企业分支机构注销登记</w:t>
            </w:r>
          </w:p>
        </w:tc>
        <w:tc>
          <w:tcPr>
            <w:tcW w:w="3166" w:type="pct"/>
            <w:tcBorders>
              <w:top w:val="nil"/>
              <w:left w:val="nil"/>
              <w:bottom w:val="single" w:color="auto" w:sz="4" w:space="0"/>
              <w:right w:val="single" w:color="auto" w:sz="4" w:space="0"/>
            </w:tcBorders>
            <w:noWrap/>
            <w:vAlign w:val="center"/>
          </w:tcPr>
          <w:p w14:paraId="2AAE00F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分支机构注销登记涉及近10类材料，如隶属企业投资人签署的《分支机构注销登记申请书》；清算人申请注销登记的，应提交人民法院指定其为清算人的证明；个人独资企业分支机构被行政机关吊销营业执照、责令关闭、撤销的，提交相关文件。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分支机构注销登记的智慧文书，结合当前申请业务信息，调度对应的文书生成微服务，生成个人独资企业分支机构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13988A1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7CED8C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59</w:t>
            </w:r>
          </w:p>
        </w:tc>
        <w:tc>
          <w:tcPr>
            <w:tcW w:w="389" w:type="pct"/>
            <w:tcBorders>
              <w:top w:val="nil"/>
              <w:left w:val="nil"/>
              <w:bottom w:val="single" w:color="auto" w:sz="4" w:space="0"/>
              <w:right w:val="single" w:color="auto" w:sz="4" w:space="0"/>
            </w:tcBorders>
            <w:noWrap/>
            <w:vAlign w:val="center"/>
          </w:tcPr>
          <w:p w14:paraId="155F27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7E83F7D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注销材料生成与交互-非公司企业法人注销登记-非公司企业法人注销登记</w:t>
            </w:r>
          </w:p>
        </w:tc>
        <w:tc>
          <w:tcPr>
            <w:tcW w:w="3166" w:type="pct"/>
            <w:tcBorders>
              <w:top w:val="nil"/>
              <w:left w:val="nil"/>
              <w:bottom w:val="single" w:color="auto" w:sz="4" w:space="0"/>
              <w:right w:val="single" w:color="auto" w:sz="4" w:space="0"/>
            </w:tcBorders>
            <w:noWrap/>
            <w:vAlign w:val="center"/>
          </w:tcPr>
          <w:p w14:paraId="27C6E05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注销登记涉及近10类材料，如出资人（主管部门）、清算组织出具的负责清理债权债务的文件，或清算组织、人民法院确认的清算报告。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注销登记的智慧文书，结合当前申请业务信息，调度对应的文书生成微服务，生成非公司企业法人普通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2D00870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DF5BE0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60</w:t>
            </w:r>
          </w:p>
        </w:tc>
        <w:tc>
          <w:tcPr>
            <w:tcW w:w="389" w:type="pct"/>
            <w:tcBorders>
              <w:top w:val="nil"/>
              <w:left w:val="nil"/>
              <w:bottom w:val="single" w:color="auto" w:sz="4" w:space="0"/>
              <w:right w:val="single" w:color="auto" w:sz="4" w:space="0"/>
            </w:tcBorders>
            <w:noWrap/>
            <w:vAlign w:val="center"/>
          </w:tcPr>
          <w:p w14:paraId="378855E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0453873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注销材料生成与交互-非公司企业法人注销登记-非公司企业法人简易注销登记</w:t>
            </w:r>
          </w:p>
        </w:tc>
        <w:tc>
          <w:tcPr>
            <w:tcW w:w="3166" w:type="pct"/>
            <w:tcBorders>
              <w:top w:val="nil"/>
              <w:left w:val="nil"/>
              <w:bottom w:val="single" w:color="auto" w:sz="4" w:space="0"/>
              <w:right w:val="single" w:color="auto" w:sz="4" w:space="0"/>
            </w:tcBorders>
            <w:noWrap/>
            <w:vAlign w:val="center"/>
          </w:tcPr>
          <w:p w14:paraId="1375E5E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简易注销登记涉及数项材料，如提交全体投资人签署的经国家企业信用信息公示系统公告不少于二十日的《简易注销全体投资人承诺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简易注销登记的智慧文书，结合当前申请业务信息，调度对应的文书生成微服务，生成非公司企业法人简易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14FB016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848404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61</w:t>
            </w:r>
          </w:p>
        </w:tc>
        <w:tc>
          <w:tcPr>
            <w:tcW w:w="389" w:type="pct"/>
            <w:tcBorders>
              <w:top w:val="nil"/>
              <w:left w:val="nil"/>
              <w:bottom w:val="single" w:color="auto" w:sz="4" w:space="0"/>
              <w:right w:val="single" w:color="auto" w:sz="4" w:space="0"/>
            </w:tcBorders>
            <w:noWrap/>
            <w:vAlign w:val="center"/>
          </w:tcPr>
          <w:p w14:paraId="56D5C00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613397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注销材料生成与交互-非公司企业法人分支机构注销登记</w:t>
            </w:r>
          </w:p>
        </w:tc>
        <w:tc>
          <w:tcPr>
            <w:tcW w:w="3166" w:type="pct"/>
            <w:tcBorders>
              <w:top w:val="nil"/>
              <w:left w:val="nil"/>
              <w:bottom w:val="single" w:color="auto" w:sz="4" w:space="0"/>
              <w:right w:val="single" w:color="auto" w:sz="4" w:space="0"/>
            </w:tcBorders>
            <w:noWrap/>
            <w:vAlign w:val="center"/>
          </w:tcPr>
          <w:p w14:paraId="133FE32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处理非公司企业法人分支机构注销登记的数项材料，如申请简易注销登记的，提交《分支机构注销登记（备案）申请书》及出资人（主管部门）签署的经国家企业信用信息公示系统公告不少于二十日的《简易注销全体投资人承诺书》。相关处理包括免填免报、智慧文书调度生成和查看、自备文书上传预览等，提供包括材料列表展示、调用对应文书生成服务、文书上传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分支机构注销登记的智慧文书，结合当前申请业务信息，调度对应的文书生成微服务，生成非公司企业法人分支机构注销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1056978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C718DE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62</w:t>
            </w:r>
          </w:p>
        </w:tc>
        <w:tc>
          <w:tcPr>
            <w:tcW w:w="389" w:type="pct"/>
            <w:tcBorders>
              <w:top w:val="nil"/>
              <w:left w:val="nil"/>
              <w:bottom w:val="single" w:color="auto" w:sz="4" w:space="0"/>
              <w:right w:val="single" w:color="auto" w:sz="4" w:space="0"/>
            </w:tcBorders>
            <w:noWrap/>
            <w:vAlign w:val="center"/>
          </w:tcPr>
          <w:p w14:paraId="2B5DCDA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8A8624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注销业务合规性辅助判断-适用于公司注销登记的合规性辅助判断</w:t>
            </w:r>
          </w:p>
        </w:tc>
        <w:tc>
          <w:tcPr>
            <w:tcW w:w="3166" w:type="pct"/>
            <w:tcBorders>
              <w:top w:val="nil"/>
              <w:left w:val="nil"/>
              <w:bottom w:val="single" w:color="auto" w:sz="4" w:space="0"/>
              <w:right w:val="single" w:color="auto" w:sz="4" w:space="0"/>
            </w:tcBorders>
            <w:noWrap/>
            <w:vAlign w:val="center"/>
          </w:tcPr>
          <w:p w14:paraId="7ED018D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对企业是否需要进行清算组公告和债权人公告校验等进行校验；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对企业债权人公告和清算组公告的时间是否满足登记要求进行校验；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对企业清算组公告和债权人公告信息与注销登记信息的一致性进行校验；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对报纸公告和清算组公告的时间是否满足登记要求进行校验；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对企业银行账户撤销信息是否满足人员要求进行校验；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提供针对公司注销登记业务的合规性辅助判断，处理相关规则调用（参数输入、反馈接收与前端反馈），对公司注销申请的全部信息进行深度业务逻辑校验，如清算报告是否完整、债务清偿情况等。</w:t>
            </w:r>
          </w:p>
        </w:tc>
      </w:tr>
      <w:tr w14:paraId="404FA0B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500B7C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63</w:t>
            </w:r>
          </w:p>
        </w:tc>
        <w:tc>
          <w:tcPr>
            <w:tcW w:w="389" w:type="pct"/>
            <w:tcBorders>
              <w:top w:val="nil"/>
              <w:left w:val="nil"/>
              <w:bottom w:val="single" w:color="auto" w:sz="4" w:space="0"/>
              <w:right w:val="single" w:color="auto" w:sz="4" w:space="0"/>
            </w:tcBorders>
            <w:noWrap/>
            <w:vAlign w:val="center"/>
          </w:tcPr>
          <w:p w14:paraId="6797A9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057539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注销业务合规性辅助判断-适用于分公司注销登记的合规性辅助判断</w:t>
            </w:r>
          </w:p>
        </w:tc>
        <w:tc>
          <w:tcPr>
            <w:tcW w:w="3166" w:type="pct"/>
            <w:tcBorders>
              <w:top w:val="nil"/>
              <w:left w:val="nil"/>
              <w:bottom w:val="single" w:color="auto" w:sz="4" w:space="0"/>
              <w:right w:val="single" w:color="auto" w:sz="4" w:space="0"/>
            </w:tcBorders>
            <w:noWrap/>
            <w:vAlign w:val="center"/>
          </w:tcPr>
          <w:p w14:paraId="712F57F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基于包括申请案控制和业务规则的数项校验，具体包括：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提供针对分公司注销登记业务的合规性辅助判断，处理相关规则调用（参数输入、反馈接收与前端反馈），专项校验分公司注销申请内容的合规性，如总公司决议是否齐全等。</w:t>
            </w:r>
          </w:p>
        </w:tc>
      </w:tr>
      <w:tr w14:paraId="3D1561B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9D44BB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64</w:t>
            </w:r>
          </w:p>
        </w:tc>
        <w:tc>
          <w:tcPr>
            <w:tcW w:w="389" w:type="pct"/>
            <w:tcBorders>
              <w:top w:val="nil"/>
              <w:left w:val="nil"/>
              <w:bottom w:val="single" w:color="auto" w:sz="4" w:space="0"/>
              <w:right w:val="single" w:color="auto" w:sz="4" w:space="0"/>
            </w:tcBorders>
            <w:noWrap/>
            <w:vAlign w:val="center"/>
          </w:tcPr>
          <w:p w14:paraId="7068914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769A31A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注销业务合规性辅助判断-适用于合伙企业注销登记的合规性辅助判断</w:t>
            </w:r>
          </w:p>
        </w:tc>
        <w:tc>
          <w:tcPr>
            <w:tcW w:w="3166" w:type="pct"/>
            <w:tcBorders>
              <w:top w:val="nil"/>
              <w:left w:val="nil"/>
              <w:bottom w:val="single" w:color="auto" w:sz="4" w:space="0"/>
              <w:right w:val="single" w:color="auto" w:sz="4" w:space="0"/>
            </w:tcBorders>
            <w:noWrap/>
            <w:vAlign w:val="center"/>
          </w:tcPr>
          <w:p w14:paraId="14708E7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对企业是否需要进行清算组公告和债权人公告校验等进行校验；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对企业债权人公告和清算组公告的时间是否满足登记要求进行校验；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对企业清算组公告和债权人公告信息与注销登记信息的一致性进行校验；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对报纸公告和清算组公告的时间是否满足登记要求进行校验；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对企业银行账户撤销信息是否满足人员要求进行校验；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提供针对合伙企业注销登记业务的合规性辅助判断，处理相关规则调用（参数输入、反馈接收与前端反馈），专项校验合伙企业注销申请内容的合规性，如合伙人决议、清算人任命等。</w:t>
            </w:r>
          </w:p>
        </w:tc>
      </w:tr>
      <w:tr w14:paraId="2C40966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8535D9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65</w:t>
            </w:r>
          </w:p>
        </w:tc>
        <w:tc>
          <w:tcPr>
            <w:tcW w:w="389" w:type="pct"/>
            <w:tcBorders>
              <w:top w:val="nil"/>
              <w:left w:val="nil"/>
              <w:bottom w:val="single" w:color="auto" w:sz="4" w:space="0"/>
              <w:right w:val="single" w:color="auto" w:sz="4" w:space="0"/>
            </w:tcBorders>
            <w:noWrap/>
            <w:vAlign w:val="center"/>
          </w:tcPr>
          <w:p w14:paraId="313A19B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1CFA1DD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注销业务合规性辅助判断-适用于合伙企业分支机构注销登记的合规性辅助判断</w:t>
            </w:r>
          </w:p>
        </w:tc>
        <w:tc>
          <w:tcPr>
            <w:tcW w:w="3166" w:type="pct"/>
            <w:tcBorders>
              <w:top w:val="nil"/>
              <w:left w:val="nil"/>
              <w:bottom w:val="single" w:color="auto" w:sz="4" w:space="0"/>
              <w:right w:val="single" w:color="auto" w:sz="4" w:space="0"/>
            </w:tcBorders>
            <w:noWrap/>
            <w:vAlign w:val="center"/>
          </w:tcPr>
          <w:p w14:paraId="42575A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基于包括申请案控制和业务规则的数项校验，具体包括：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提供针对合伙企业分支机构注销登记业务的合规性辅助判断，处理相关规则调用（参数输入、反馈接收与前端反馈），专项校验合伙企业分支机构注销申请内容的合规性。</w:t>
            </w:r>
          </w:p>
        </w:tc>
      </w:tr>
      <w:tr w14:paraId="2388858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4D7629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66</w:t>
            </w:r>
          </w:p>
        </w:tc>
        <w:tc>
          <w:tcPr>
            <w:tcW w:w="389" w:type="pct"/>
            <w:tcBorders>
              <w:top w:val="nil"/>
              <w:left w:val="nil"/>
              <w:bottom w:val="single" w:color="auto" w:sz="4" w:space="0"/>
              <w:right w:val="single" w:color="auto" w:sz="4" w:space="0"/>
            </w:tcBorders>
            <w:noWrap/>
            <w:vAlign w:val="center"/>
          </w:tcPr>
          <w:p w14:paraId="15EDD48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6000310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注销业务合规性辅助判断-适用于个人独资企业注销登记的合规性辅助判断</w:t>
            </w:r>
          </w:p>
        </w:tc>
        <w:tc>
          <w:tcPr>
            <w:tcW w:w="3166" w:type="pct"/>
            <w:tcBorders>
              <w:top w:val="nil"/>
              <w:left w:val="nil"/>
              <w:bottom w:val="single" w:color="auto" w:sz="4" w:space="0"/>
              <w:right w:val="single" w:color="auto" w:sz="4" w:space="0"/>
            </w:tcBorders>
            <w:noWrap/>
            <w:vAlign w:val="center"/>
          </w:tcPr>
          <w:p w14:paraId="0266243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对企业是否需要进行清算组公告和债权人公告校验等进行校验；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对企业债权人公告和清算组公告的时间是否满足登记要求进行校验；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对企业清算组公告和债权人公告信息与注销登记信息的一致性进行校验；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对报纸公告和清算组公告的时间是否满足登记要求进行校验；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对企业银行账户撤销信息是否满足人员要求进行校验；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提供针对个人独资企业注销登记业务的合规性辅助判断，专处理相关规则调用（参数输入、反馈接收与前端反馈），专项校验个人独资企业注销申请内容的合规性，如投资人清算确认等。</w:t>
            </w:r>
          </w:p>
        </w:tc>
      </w:tr>
      <w:tr w14:paraId="5801C3A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776AE2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67</w:t>
            </w:r>
          </w:p>
        </w:tc>
        <w:tc>
          <w:tcPr>
            <w:tcW w:w="389" w:type="pct"/>
            <w:tcBorders>
              <w:top w:val="nil"/>
              <w:left w:val="nil"/>
              <w:bottom w:val="single" w:color="auto" w:sz="4" w:space="0"/>
              <w:right w:val="single" w:color="auto" w:sz="4" w:space="0"/>
            </w:tcBorders>
            <w:noWrap/>
            <w:vAlign w:val="center"/>
          </w:tcPr>
          <w:p w14:paraId="2F0434E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4F6DA1B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注销业务合规性辅助判断-适用于个人独资企业分支机构注销登记的合规性辅助判断</w:t>
            </w:r>
          </w:p>
        </w:tc>
        <w:tc>
          <w:tcPr>
            <w:tcW w:w="3166" w:type="pct"/>
            <w:tcBorders>
              <w:top w:val="nil"/>
              <w:left w:val="nil"/>
              <w:bottom w:val="single" w:color="auto" w:sz="4" w:space="0"/>
              <w:right w:val="single" w:color="auto" w:sz="4" w:space="0"/>
            </w:tcBorders>
            <w:noWrap/>
            <w:vAlign w:val="center"/>
          </w:tcPr>
          <w:p w14:paraId="3BE1944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基于包括申请案控制和业务规则的数项校验，具体包括：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提供针对个人独资企业分支机构注销登记业务的合规性辅助判断，处理相关规则调用（参数输入、反馈接收与前端反馈），专项校验个人独资企业分支机构注销申请内容的合规性。</w:t>
            </w:r>
          </w:p>
        </w:tc>
      </w:tr>
      <w:tr w14:paraId="56445A4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6BCAEE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68</w:t>
            </w:r>
          </w:p>
        </w:tc>
        <w:tc>
          <w:tcPr>
            <w:tcW w:w="389" w:type="pct"/>
            <w:tcBorders>
              <w:top w:val="nil"/>
              <w:left w:val="nil"/>
              <w:bottom w:val="single" w:color="auto" w:sz="4" w:space="0"/>
              <w:right w:val="single" w:color="auto" w:sz="4" w:space="0"/>
            </w:tcBorders>
            <w:noWrap/>
            <w:vAlign w:val="center"/>
          </w:tcPr>
          <w:p w14:paraId="1F8F5CD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59EA6EE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注销业务合规性辅助判断-适用于非公司企业法人注销登记的合规性辅助判断</w:t>
            </w:r>
          </w:p>
        </w:tc>
        <w:tc>
          <w:tcPr>
            <w:tcW w:w="3166" w:type="pct"/>
            <w:tcBorders>
              <w:top w:val="nil"/>
              <w:left w:val="nil"/>
              <w:bottom w:val="single" w:color="auto" w:sz="4" w:space="0"/>
              <w:right w:val="single" w:color="auto" w:sz="4" w:space="0"/>
            </w:tcBorders>
            <w:noWrap/>
            <w:vAlign w:val="center"/>
          </w:tcPr>
          <w:p w14:paraId="11ADDEA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对企业是否需要进行清算组公告和债权人公告校验等进行校验；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对企业债权人公告和清算组公告的时间是否满足登记要求进行校验；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对企业清算组公告和债权人公告信息与注销登记信息的一致性进行校验；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对报纸公告和清算组公告的时间是否满足登记要求进行校验；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对企业银行账户撤销信息是否满足人员要求进行校验；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提供针对非公司企业法人注销登记业务的合规性辅助判断，处理相关规则调用（参数输入、反馈接收与前端反馈），专项校验非公司企业法人注销申请内容的合规性。</w:t>
            </w:r>
          </w:p>
        </w:tc>
      </w:tr>
      <w:tr w14:paraId="77E188F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7474D6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69</w:t>
            </w:r>
          </w:p>
        </w:tc>
        <w:tc>
          <w:tcPr>
            <w:tcW w:w="389" w:type="pct"/>
            <w:tcBorders>
              <w:top w:val="nil"/>
              <w:left w:val="nil"/>
              <w:bottom w:val="single" w:color="auto" w:sz="4" w:space="0"/>
              <w:right w:val="single" w:color="auto" w:sz="4" w:space="0"/>
            </w:tcBorders>
            <w:noWrap/>
            <w:vAlign w:val="center"/>
          </w:tcPr>
          <w:p w14:paraId="257211F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2427C92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注销业务合规性辅助判断-适用于非公司企业法人分支机构注销登记的合规性辅助判断</w:t>
            </w:r>
          </w:p>
        </w:tc>
        <w:tc>
          <w:tcPr>
            <w:tcW w:w="3166" w:type="pct"/>
            <w:tcBorders>
              <w:top w:val="nil"/>
              <w:left w:val="nil"/>
              <w:bottom w:val="single" w:color="auto" w:sz="4" w:space="0"/>
              <w:right w:val="single" w:color="auto" w:sz="4" w:space="0"/>
            </w:tcBorders>
            <w:noWrap/>
            <w:vAlign w:val="center"/>
          </w:tcPr>
          <w:p w14:paraId="255CE59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基于包括申请案控制和业务规则的数项校验，具体包括：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对企业是否需要进行简易注销公告，以及是否完成简易注销和简易注销是否期满，是否有异议等进行校验；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对企业前置审批项目进行校验；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对企业负面清单项目进行校验。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提供针对非公司企业法人分支机构注销登记业务的合规性辅助判断，处理相关规则调用（参数输入、反馈接收与前端反馈），专项校验非公司企业法人分支机构注销申请内容的合规性。</w:t>
            </w:r>
          </w:p>
        </w:tc>
      </w:tr>
      <w:tr w14:paraId="6259777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24FFF7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70</w:t>
            </w:r>
          </w:p>
        </w:tc>
        <w:tc>
          <w:tcPr>
            <w:tcW w:w="389" w:type="pct"/>
            <w:tcBorders>
              <w:top w:val="nil"/>
              <w:left w:val="nil"/>
              <w:bottom w:val="single" w:color="auto" w:sz="4" w:space="0"/>
              <w:right w:val="single" w:color="auto" w:sz="4" w:space="0"/>
            </w:tcBorders>
            <w:noWrap/>
            <w:vAlign w:val="center"/>
          </w:tcPr>
          <w:p w14:paraId="72073CD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1AB5ACB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企业注销一件事-简易注销异议预检</w:t>
            </w:r>
          </w:p>
        </w:tc>
        <w:tc>
          <w:tcPr>
            <w:tcW w:w="3166" w:type="pct"/>
            <w:tcBorders>
              <w:top w:val="nil"/>
              <w:left w:val="nil"/>
              <w:bottom w:val="single" w:color="auto" w:sz="4" w:space="0"/>
              <w:right w:val="single" w:color="auto" w:sz="4" w:space="0"/>
            </w:tcBorders>
            <w:noWrap/>
            <w:vAlign w:val="center"/>
          </w:tcPr>
          <w:p w14:paraId="46AFD3B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税务、海关、公安、公积金、医保等部门为简易注销异议预检参与部门，允许前述部门按现有简易注销预检流程，办理简易注销异议预检。结合业务办理前置情况检查环节，将注销发起信息推送相关部门。</w:t>
            </w:r>
          </w:p>
        </w:tc>
      </w:tr>
      <w:tr w14:paraId="3847C61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D489FE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71</w:t>
            </w:r>
          </w:p>
        </w:tc>
        <w:tc>
          <w:tcPr>
            <w:tcW w:w="389" w:type="pct"/>
            <w:tcBorders>
              <w:top w:val="nil"/>
              <w:left w:val="nil"/>
              <w:bottom w:val="single" w:color="auto" w:sz="4" w:space="0"/>
              <w:right w:val="single" w:color="auto" w:sz="4" w:space="0"/>
            </w:tcBorders>
            <w:noWrap/>
            <w:vAlign w:val="center"/>
          </w:tcPr>
          <w:p w14:paraId="062AC63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32041F4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企业注销一件事-注销预检反馈</w:t>
            </w:r>
          </w:p>
        </w:tc>
        <w:tc>
          <w:tcPr>
            <w:tcW w:w="3166" w:type="pct"/>
            <w:tcBorders>
              <w:top w:val="nil"/>
              <w:left w:val="nil"/>
              <w:bottom w:val="single" w:color="auto" w:sz="4" w:space="0"/>
              <w:right w:val="single" w:color="auto" w:sz="4" w:space="0"/>
            </w:tcBorders>
            <w:noWrap/>
            <w:vAlign w:val="center"/>
          </w:tcPr>
          <w:p w14:paraId="632FB53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接收简易注销异议预检参与部门的反馈信息，并向经营主体反馈简易注销异议预检结果。</w:t>
            </w:r>
          </w:p>
        </w:tc>
      </w:tr>
      <w:tr w14:paraId="37F890C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487224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72</w:t>
            </w:r>
          </w:p>
        </w:tc>
        <w:tc>
          <w:tcPr>
            <w:tcW w:w="389" w:type="pct"/>
            <w:tcBorders>
              <w:top w:val="nil"/>
              <w:left w:val="nil"/>
              <w:bottom w:val="single" w:color="auto" w:sz="4" w:space="0"/>
              <w:right w:val="single" w:color="auto" w:sz="4" w:space="0"/>
            </w:tcBorders>
            <w:noWrap/>
            <w:vAlign w:val="center"/>
          </w:tcPr>
          <w:p w14:paraId="3F3B6B1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移动端企业注销全程网办应用</w:t>
            </w:r>
          </w:p>
        </w:tc>
        <w:tc>
          <w:tcPr>
            <w:tcW w:w="1191" w:type="pct"/>
            <w:tcBorders>
              <w:top w:val="nil"/>
              <w:left w:val="nil"/>
              <w:bottom w:val="single" w:color="auto" w:sz="4" w:space="0"/>
              <w:right w:val="single" w:color="auto" w:sz="4" w:space="0"/>
            </w:tcBorders>
            <w:noWrap/>
            <w:vAlign w:val="center"/>
          </w:tcPr>
          <w:p w14:paraId="6588350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注销登记通知书</w:t>
            </w:r>
          </w:p>
        </w:tc>
        <w:tc>
          <w:tcPr>
            <w:tcW w:w="3166" w:type="pct"/>
            <w:tcBorders>
              <w:top w:val="nil"/>
              <w:left w:val="nil"/>
              <w:bottom w:val="single" w:color="auto" w:sz="4" w:space="0"/>
              <w:right w:val="single" w:color="auto" w:sz="4" w:space="0"/>
            </w:tcBorders>
            <w:noWrap/>
            <w:vAlign w:val="center"/>
          </w:tcPr>
          <w:p w14:paraId="35667DE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登记机关核准注销后，对于选择在线办理（全程网办）的，通过短信提示申请人（委托代理人）。通过系统首页“进度跟踪”—“注销登记通知书下载”功能，由本次注销业务的申请人（委托代理人）进行身份验证后，查看或下载已注销企业的电子版注销登记通知书。</w:t>
            </w:r>
          </w:p>
        </w:tc>
      </w:tr>
      <w:tr w14:paraId="3775A36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5D82E2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73</w:t>
            </w:r>
          </w:p>
        </w:tc>
        <w:tc>
          <w:tcPr>
            <w:tcW w:w="389" w:type="pct"/>
            <w:tcBorders>
              <w:top w:val="nil"/>
              <w:left w:val="nil"/>
              <w:bottom w:val="single" w:color="auto" w:sz="4" w:space="0"/>
              <w:right w:val="single" w:color="auto" w:sz="4" w:space="0"/>
            </w:tcBorders>
            <w:noWrap/>
            <w:vAlign w:val="center"/>
          </w:tcPr>
          <w:p w14:paraId="616EE5D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7674E70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设立申请-个人独资企业设立-投资人信息</w:t>
            </w:r>
          </w:p>
        </w:tc>
        <w:tc>
          <w:tcPr>
            <w:tcW w:w="3166" w:type="pct"/>
            <w:tcBorders>
              <w:top w:val="nil"/>
              <w:left w:val="nil"/>
              <w:bottom w:val="single" w:color="auto" w:sz="4" w:space="0"/>
              <w:right w:val="single" w:color="auto" w:sz="4" w:space="0"/>
            </w:tcBorders>
            <w:noWrap/>
            <w:vAlign w:val="center"/>
          </w:tcPr>
          <w:p w14:paraId="7DD0345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面向个人独资企业设立业务（履行中华人民共和国个人独资企业法），提供投资人及出资申请，提供采集表单前端展示、输入、暂存、提交、数据质量源头治理（控制）等能力。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采集投资人姓名、证件信息、联系方式等内容，验证投资人身份证明文件的真实性，记录投资人居所详细信息，确保投资人信息完整性，确保投资人出资与个人独资企业出资额的一致性、投资人与个人独资企业负责人的一致性。</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p>
        </w:tc>
      </w:tr>
      <w:tr w14:paraId="53DC7E3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70BB67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74</w:t>
            </w:r>
          </w:p>
        </w:tc>
        <w:tc>
          <w:tcPr>
            <w:tcW w:w="389" w:type="pct"/>
            <w:tcBorders>
              <w:top w:val="nil"/>
              <w:left w:val="nil"/>
              <w:bottom w:val="single" w:color="auto" w:sz="4" w:space="0"/>
              <w:right w:val="single" w:color="auto" w:sz="4" w:space="0"/>
            </w:tcBorders>
            <w:noWrap/>
            <w:vAlign w:val="center"/>
          </w:tcPr>
          <w:p w14:paraId="57639E3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23BA6E0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设立申请-合伙企业设立-合伙人信息</w:t>
            </w:r>
          </w:p>
        </w:tc>
        <w:tc>
          <w:tcPr>
            <w:tcW w:w="3166" w:type="pct"/>
            <w:tcBorders>
              <w:top w:val="nil"/>
              <w:left w:val="nil"/>
              <w:bottom w:val="single" w:color="auto" w:sz="4" w:space="0"/>
              <w:right w:val="single" w:color="auto" w:sz="4" w:space="0"/>
            </w:tcBorders>
            <w:noWrap/>
            <w:vAlign w:val="center"/>
          </w:tcPr>
          <w:p w14:paraId="421C545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面向合伙企业设立业务（履行《中华人民共和国合伙企业法》《外商投资合伙企业登记管理规定》），提供合伙人及出资申请，提供采集表单前端展示、输入、暂存、提交、数据质量源头治理（控制）等能力。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包括：采集合伙人基本信息，校验合伙人资格和承担责任方式，验证合伙人合法性。采集合伙人出资信息，校验出资总额和出资方式的合法性，记录出资期限和计划，验证出资证明文件。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p>
        </w:tc>
      </w:tr>
      <w:tr w14:paraId="174AE51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CE32AC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75</w:t>
            </w:r>
          </w:p>
        </w:tc>
        <w:tc>
          <w:tcPr>
            <w:tcW w:w="389" w:type="pct"/>
            <w:tcBorders>
              <w:top w:val="nil"/>
              <w:left w:val="nil"/>
              <w:bottom w:val="single" w:color="auto" w:sz="4" w:space="0"/>
              <w:right w:val="single" w:color="auto" w:sz="4" w:space="0"/>
            </w:tcBorders>
            <w:noWrap/>
            <w:vAlign w:val="center"/>
          </w:tcPr>
          <w:p w14:paraId="41ECAE2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2FE18E7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设立申请-合伙企业设立-执行事务合伙人信息</w:t>
            </w:r>
          </w:p>
        </w:tc>
        <w:tc>
          <w:tcPr>
            <w:tcW w:w="3166" w:type="pct"/>
            <w:tcBorders>
              <w:top w:val="nil"/>
              <w:left w:val="nil"/>
              <w:bottom w:val="single" w:color="auto" w:sz="4" w:space="0"/>
              <w:right w:val="single" w:color="auto" w:sz="4" w:space="0"/>
            </w:tcBorders>
            <w:noWrap/>
            <w:vAlign w:val="center"/>
          </w:tcPr>
          <w:p w14:paraId="7B2360F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执行事务合伙人（类似法定代表人定位）允许有多个。</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面向合伙企业设立业务（履行《中华人民共和国合伙企业法》《外商投资合伙企业登记管理规定》），提供执行事务合伙人申请，提供采集表单前端展示、输入、暂存、提交、数据质量源头治理（控制）等能力。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包括：采集执行事务合伙人详细信息，校验执行事务合伙人资格条件，记录生成依据和生效日期，验证相关决议文件的合法性。</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p>
        </w:tc>
      </w:tr>
      <w:tr w14:paraId="7C264F3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F43F17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76</w:t>
            </w:r>
          </w:p>
        </w:tc>
        <w:tc>
          <w:tcPr>
            <w:tcW w:w="389" w:type="pct"/>
            <w:tcBorders>
              <w:top w:val="nil"/>
              <w:left w:val="nil"/>
              <w:bottom w:val="single" w:color="auto" w:sz="4" w:space="0"/>
              <w:right w:val="single" w:color="auto" w:sz="4" w:space="0"/>
            </w:tcBorders>
            <w:noWrap/>
            <w:vAlign w:val="center"/>
          </w:tcPr>
          <w:p w14:paraId="5C93F01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326FB97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设立申请-合伙企业设立-执行事务合伙人委派代表信息</w:t>
            </w:r>
          </w:p>
        </w:tc>
        <w:tc>
          <w:tcPr>
            <w:tcW w:w="3166" w:type="pct"/>
            <w:tcBorders>
              <w:top w:val="nil"/>
              <w:left w:val="nil"/>
              <w:bottom w:val="single" w:color="auto" w:sz="4" w:space="0"/>
              <w:right w:val="single" w:color="auto" w:sz="4" w:space="0"/>
            </w:tcBorders>
            <w:noWrap/>
            <w:vAlign w:val="center"/>
          </w:tcPr>
          <w:p w14:paraId="0329F8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当执行事务合伙人为法人或其他组织时，可委派代表履行执行事务合伙人权力。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面向合伙企业设立业务（履行《中华人民共和国合伙企业法》《外商投资合伙企业登记管理规定》），提供执行事务合伙人委派代表申请，提供采集表单前端展示、输入、暂存、提交、数据质量源头治理（控制）等能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包括：采集委派代表基本信息，验证委派代表任职资格，记录委派文件和生效日期信息，确保委派程序符合合伙协议约定。</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提供数据质量源头治理功能：必填项校验和格式验证、数据逻辑关系一致性检查、与历史数据的对比分析、实时数据质量提示和预警、数据标准化处理、异常数据识别和拦截</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对执行事务合伙人委派代表适格性（禁业、不可靠实体等）进行控制。</w:t>
            </w:r>
          </w:p>
        </w:tc>
      </w:tr>
      <w:tr w14:paraId="1966466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4B9331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77</w:t>
            </w:r>
          </w:p>
        </w:tc>
        <w:tc>
          <w:tcPr>
            <w:tcW w:w="389" w:type="pct"/>
            <w:tcBorders>
              <w:top w:val="nil"/>
              <w:left w:val="nil"/>
              <w:bottom w:val="single" w:color="auto" w:sz="4" w:space="0"/>
              <w:right w:val="single" w:color="auto" w:sz="4" w:space="0"/>
            </w:tcBorders>
            <w:noWrap/>
            <w:vAlign w:val="center"/>
          </w:tcPr>
          <w:p w14:paraId="2FE9E8E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3B99915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移动端多证合一功能-情形引导与事项精准推荐</w:t>
            </w:r>
          </w:p>
        </w:tc>
        <w:tc>
          <w:tcPr>
            <w:tcW w:w="3166" w:type="pct"/>
            <w:tcBorders>
              <w:top w:val="nil"/>
              <w:left w:val="nil"/>
              <w:bottom w:val="single" w:color="auto" w:sz="4" w:space="0"/>
              <w:right w:val="single" w:color="auto" w:sz="4" w:space="0"/>
            </w:tcBorders>
            <w:noWrap/>
            <w:vAlign w:val="center"/>
          </w:tcPr>
          <w:p w14:paraId="0D693D6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根据市场主体选择的主营业务类型或经营范围，系统自动判断并精准推荐需要同步办理的后置许可/备案事项。</w:t>
            </w:r>
          </w:p>
        </w:tc>
      </w:tr>
      <w:tr w14:paraId="6DE9183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3A6D18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78</w:t>
            </w:r>
          </w:p>
        </w:tc>
        <w:tc>
          <w:tcPr>
            <w:tcW w:w="389" w:type="pct"/>
            <w:tcBorders>
              <w:top w:val="nil"/>
              <w:left w:val="nil"/>
              <w:bottom w:val="single" w:color="auto" w:sz="4" w:space="0"/>
              <w:right w:val="single" w:color="auto" w:sz="4" w:space="0"/>
            </w:tcBorders>
            <w:noWrap/>
            <w:vAlign w:val="center"/>
          </w:tcPr>
          <w:p w14:paraId="31C0FD2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53BCF4E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移动端多证合一功能-“一表制”统一信息采集-直接派生许可证申请</w:t>
            </w:r>
          </w:p>
        </w:tc>
        <w:tc>
          <w:tcPr>
            <w:tcW w:w="3166" w:type="pct"/>
            <w:tcBorders>
              <w:top w:val="nil"/>
              <w:left w:val="nil"/>
              <w:bottom w:val="single" w:color="auto" w:sz="4" w:space="0"/>
              <w:right w:val="single" w:color="auto" w:sz="4" w:space="0"/>
            </w:tcBorders>
            <w:noWrap/>
            <w:vAlign w:val="center"/>
          </w:tcPr>
          <w:p w14:paraId="130CD23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不额外采集信息，仅自登记申请信息提取名称、住所、法定代表人/负责人等关键信息，按所涉多证合一部门对信息的要求，派生多证合一申请信息和双告知信息。</w:t>
            </w:r>
          </w:p>
        </w:tc>
      </w:tr>
      <w:tr w14:paraId="18B92D4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253C5F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79</w:t>
            </w:r>
          </w:p>
        </w:tc>
        <w:tc>
          <w:tcPr>
            <w:tcW w:w="389" w:type="pct"/>
            <w:tcBorders>
              <w:top w:val="nil"/>
              <w:left w:val="nil"/>
              <w:bottom w:val="single" w:color="auto" w:sz="4" w:space="0"/>
              <w:right w:val="single" w:color="auto" w:sz="4" w:space="0"/>
            </w:tcBorders>
            <w:noWrap/>
            <w:vAlign w:val="center"/>
          </w:tcPr>
          <w:p w14:paraId="02DE342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21828D9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移动端多证合一功能-代位信息采集</w:t>
            </w:r>
          </w:p>
        </w:tc>
        <w:tc>
          <w:tcPr>
            <w:tcW w:w="3166" w:type="pct"/>
            <w:tcBorders>
              <w:top w:val="nil"/>
              <w:left w:val="nil"/>
              <w:bottom w:val="single" w:color="auto" w:sz="4" w:space="0"/>
              <w:right w:val="single" w:color="auto" w:sz="4" w:space="0"/>
            </w:tcBorders>
            <w:noWrap/>
            <w:vAlign w:val="center"/>
          </w:tcPr>
          <w:p w14:paraId="287E84C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以海关“进出口货物收发货人备案”事项为例，企业在办理市场监管登记时，需勾选报关单位备案，并补充填写注册海关、经营类别等备案信息。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按相关主管部门数据规范和数据校验规则，代位采集额外信息，结合登记申请信息，针对特定单位派生多证合一双告知信息。</w:t>
            </w:r>
          </w:p>
        </w:tc>
      </w:tr>
      <w:tr w14:paraId="1F91903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30B966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80</w:t>
            </w:r>
          </w:p>
        </w:tc>
        <w:tc>
          <w:tcPr>
            <w:tcW w:w="389" w:type="pct"/>
            <w:tcBorders>
              <w:top w:val="nil"/>
              <w:left w:val="nil"/>
              <w:bottom w:val="single" w:color="auto" w:sz="4" w:space="0"/>
              <w:right w:val="single" w:color="auto" w:sz="4" w:space="0"/>
            </w:tcBorders>
            <w:noWrap/>
            <w:vAlign w:val="center"/>
          </w:tcPr>
          <w:p w14:paraId="3E94AB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68872A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移动端受益所有人直报功能-受益所有人直报核心处理模块</w:t>
            </w:r>
          </w:p>
        </w:tc>
        <w:tc>
          <w:tcPr>
            <w:tcW w:w="3166" w:type="pct"/>
            <w:tcBorders>
              <w:top w:val="nil"/>
              <w:left w:val="nil"/>
              <w:bottom w:val="single" w:color="auto" w:sz="4" w:space="0"/>
              <w:right w:val="single" w:color="auto" w:sz="4" w:space="0"/>
            </w:tcBorders>
            <w:noWrap/>
            <w:vAlign w:val="center"/>
          </w:tcPr>
          <w:p w14:paraId="246DB3A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由市场监管总局提供受益所有人直报服务的Client_ID，调用统一受益所有人信息直报服务获取授权码，使用授权码交换访问令牌作为参数TOKEN来访问受益所有人信息直报服务。</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总局基于豁免主体相关判断规则和豁免主体库，提供豁免主体判断接口服务，提供填报信息的必要校核（如自然人身份），提供插件的信息传输加密解密。</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调用总局豁免主体判断接口服务，判定主体是否需要进行受益所有人直报，并对豁免备案主体进行记录。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对于非豁免备案主体，调用总局访问地址，打开总局所提供的填报页面，并传输访问令牌、统一申请号、企业（机构）名称、主体类型等参数，以确认访问安全并形成流程衔接。</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本地应用对于受益所有人直报过程不介入（仅提供上下文衔接），本地不留存收益所有人直报内容。</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备案完成后，总局通过回调接口，反馈备案填报及记录已完成的确认信息。</w:t>
            </w:r>
          </w:p>
        </w:tc>
      </w:tr>
      <w:tr w14:paraId="2070465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E566E9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81</w:t>
            </w:r>
          </w:p>
        </w:tc>
        <w:tc>
          <w:tcPr>
            <w:tcW w:w="389" w:type="pct"/>
            <w:tcBorders>
              <w:top w:val="nil"/>
              <w:left w:val="nil"/>
              <w:bottom w:val="single" w:color="auto" w:sz="4" w:space="0"/>
              <w:right w:val="single" w:color="auto" w:sz="4" w:space="0"/>
            </w:tcBorders>
            <w:noWrap/>
            <w:vAlign w:val="center"/>
          </w:tcPr>
          <w:p w14:paraId="44DC695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56C154E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移动端受益所有人直报功能-受益所有人直报应用-独立申报专区</w:t>
            </w:r>
          </w:p>
        </w:tc>
        <w:tc>
          <w:tcPr>
            <w:tcW w:w="3166" w:type="pct"/>
            <w:tcBorders>
              <w:top w:val="nil"/>
              <w:left w:val="nil"/>
              <w:bottom w:val="single" w:color="auto" w:sz="4" w:space="0"/>
              <w:right w:val="single" w:color="auto" w:sz="4" w:space="0"/>
            </w:tcBorders>
            <w:noWrap/>
            <w:vAlign w:val="center"/>
          </w:tcPr>
          <w:p w14:paraId="51E384F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 《受益所有人信息管理办法》，自2024年11月1日起，公司、合伙企业、外国公司分支机构在设立登记时，应当通过相关登记注册系统备案受益所有人信息。2024年11月1日前已经登记注册的公司、 合伙企业、外国公司分支机构应当于2025年11月1日前，按照《受益所有人信息管理办法》规定备案受益所有人信息。”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面向受益所有人备案直报要求，结合实际业务情形，根据业务逻辑差异，设立"办理设立登记的经营主体申报受益所有人信息""办理外省市迁入登记的经营主体申报受益所有人信息""已经登记注册的经营主体更新受益所有人信息"三类独立移动端操作窗口。</w:t>
            </w:r>
          </w:p>
        </w:tc>
      </w:tr>
      <w:tr w14:paraId="4CC558B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E47D00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82</w:t>
            </w:r>
          </w:p>
        </w:tc>
        <w:tc>
          <w:tcPr>
            <w:tcW w:w="389" w:type="pct"/>
            <w:tcBorders>
              <w:top w:val="nil"/>
              <w:left w:val="nil"/>
              <w:bottom w:val="single" w:color="auto" w:sz="4" w:space="0"/>
              <w:right w:val="single" w:color="auto" w:sz="4" w:space="0"/>
            </w:tcBorders>
            <w:noWrap/>
            <w:vAlign w:val="center"/>
          </w:tcPr>
          <w:p w14:paraId="740359A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3F934AB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移动端受益所有人直报功能-受益所有人直报应用-身份核验</w:t>
            </w:r>
          </w:p>
        </w:tc>
        <w:tc>
          <w:tcPr>
            <w:tcW w:w="3166" w:type="pct"/>
            <w:tcBorders>
              <w:top w:val="nil"/>
              <w:left w:val="nil"/>
              <w:bottom w:val="single" w:color="auto" w:sz="4" w:space="0"/>
              <w:right w:val="single" w:color="auto" w:sz="4" w:space="0"/>
            </w:tcBorders>
            <w:noWrap/>
            <w:vAlign w:val="center"/>
          </w:tcPr>
          <w:p w14:paraId="10A6097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申请人登录身份，确认申请人适合当前操作窗口，是否可以办理受益所有人申报业务，是否进入正确窗口。若有异常（例如，以自然人身份进入“已经登记注册的经营主体更新受益所有人信息”窗口），进行反馈和办理提示。</w:t>
            </w:r>
          </w:p>
        </w:tc>
      </w:tr>
      <w:tr w14:paraId="0204589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9EA544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83</w:t>
            </w:r>
          </w:p>
        </w:tc>
        <w:tc>
          <w:tcPr>
            <w:tcW w:w="389" w:type="pct"/>
            <w:tcBorders>
              <w:top w:val="nil"/>
              <w:left w:val="nil"/>
              <w:bottom w:val="single" w:color="auto" w:sz="4" w:space="0"/>
              <w:right w:val="single" w:color="auto" w:sz="4" w:space="0"/>
            </w:tcBorders>
            <w:noWrap/>
            <w:vAlign w:val="center"/>
          </w:tcPr>
          <w:p w14:paraId="3DB101A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4A999B9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移动端受益所有人直报功能-受益所有人直报应用-申请号绑定情形</w:t>
            </w:r>
          </w:p>
        </w:tc>
        <w:tc>
          <w:tcPr>
            <w:tcW w:w="3166" w:type="pct"/>
            <w:tcBorders>
              <w:top w:val="nil"/>
              <w:left w:val="nil"/>
              <w:bottom w:val="single" w:color="auto" w:sz="4" w:space="0"/>
              <w:right w:val="single" w:color="auto" w:sz="4" w:space="0"/>
            </w:tcBorders>
            <w:noWrap/>
            <w:vAlign w:val="center"/>
          </w:tcPr>
          <w:p w14:paraId="01F3D37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于设立"办理设立登记的经营主体申报受益所有人信息"情形，尚未拥有统一社会信用代码;对于"办理外省市迁入登记的经营主体申报受益所有人信息"，统一社会信用代码尚未迁入本市，通过登记机关提供的统一申请号，实现与直报总局申请绑定。</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申请人通过设立登记和外省市迁入登记业务，获取市场监管部门提供的统一申请号，在“上海企业登记在线"中按应用专区访问相应功能，录入统一申请号，系统后台查询与申请相关的全国申请号。应用全国申请号，结合“移动端受益所有人直报功能”，发起受益所有人信息直报和反馈的集成。</w:t>
            </w:r>
          </w:p>
        </w:tc>
      </w:tr>
      <w:tr w14:paraId="6E94C7A6">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BC87DD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84</w:t>
            </w:r>
          </w:p>
        </w:tc>
        <w:tc>
          <w:tcPr>
            <w:tcW w:w="389" w:type="pct"/>
            <w:tcBorders>
              <w:top w:val="nil"/>
              <w:left w:val="nil"/>
              <w:bottom w:val="single" w:color="auto" w:sz="4" w:space="0"/>
              <w:right w:val="single" w:color="auto" w:sz="4" w:space="0"/>
            </w:tcBorders>
            <w:noWrap/>
            <w:vAlign w:val="center"/>
          </w:tcPr>
          <w:p w14:paraId="558F924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7FEBEB4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移动端受益所有人直报功能-受益所有人直报应用-直接应用统一社会信用代码情形</w:t>
            </w:r>
          </w:p>
        </w:tc>
        <w:tc>
          <w:tcPr>
            <w:tcW w:w="3166" w:type="pct"/>
            <w:tcBorders>
              <w:top w:val="nil"/>
              <w:left w:val="nil"/>
              <w:bottom w:val="single" w:color="auto" w:sz="4" w:space="0"/>
              <w:right w:val="single" w:color="auto" w:sz="4" w:space="0"/>
            </w:tcBorders>
            <w:noWrap/>
            <w:vAlign w:val="center"/>
          </w:tcPr>
          <w:p w14:paraId="18AE378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于"已经登记注册的经营主体更新受益所有人信息"，通过申请人身份信息提取统一社会信用代码；同时，应用总局“全国统一申请号赋码服务”创建一个新的全国申请号，与当前申报操作绑定。应用全国申请号，结合“移动端受益所有人直报功能”，发起受益所有人信息直报和反馈的集成。</w:t>
            </w:r>
          </w:p>
        </w:tc>
      </w:tr>
      <w:tr w14:paraId="48264FD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CBC1F7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85</w:t>
            </w:r>
          </w:p>
        </w:tc>
        <w:tc>
          <w:tcPr>
            <w:tcW w:w="389" w:type="pct"/>
            <w:tcBorders>
              <w:top w:val="nil"/>
              <w:left w:val="nil"/>
              <w:bottom w:val="single" w:color="auto" w:sz="4" w:space="0"/>
              <w:right w:val="single" w:color="auto" w:sz="4" w:space="0"/>
            </w:tcBorders>
            <w:noWrap/>
            <w:vAlign w:val="center"/>
          </w:tcPr>
          <w:p w14:paraId="380F20D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376CD7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移动端外商投资报告功能-信息直报</w:t>
            </w:r>
          </w:p>
        </w:tc>
        <w:tc>
          <w:tcPr>
            <w:tcW w:w="3166" w:type="pct"/>
            <w:tcBorders>
              <w:top w:val="nil"/>
              <w:left w:val="nil"/>
              <w:bottom w:val="single" w:color="auto" w:sz="4" w:space="0"/>
              <w:right w:val="single" w:color="auto" w:sz="4" w:space="0"/>
            </w:tcBorders>
            <w:noWrap/>
            <w:vAlign w:val="center"/>
          </w:tcPr>
          <w:p w14:paraId="658C08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包括外商投资信息报告修改（设立和变更备案登记环节）、外商投资信息报告修改（信息更新、责令改正等）、外资转内资等业务，省级局登记系统与外商投资信息报告直报系统通过统一申请号以及统一社会信用代码进行关联，其中设立登记环节、变更备案登记环节由登记核准状态确认直报信息。</w:t>
            </w:r>
          </w:p>
        </w:tc>
      </w:tr>
      <w:tr w14:paraId="4726822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0D14F2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86</w:t>
            </w:r>
          </w:p>
        </w:tc>
        <w:tc>
          <w:tcPr>
            <w:tcW w:w="389" w:type="pct"/>
            <w:tcBorders>
              <w:top w:val="nil"/>
              <w:left w:val="nil"/>
              <w:bottom w:val="single" w:color="auto" w:sz="4" w:space="0"/>
              <w:right w:val="single" w:color="auto" w:sz="4" w:space="0"/>
            </w:tcBorders>
            <w:noWrap/>
            <w:vAlign w:val="center"/>
          </w:tcPr>
          <w:p w14:paraId="78D694E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5B1A9CC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移动端外商投资报告功能-外省投资企业直接再投资企业处理</w:t>
            </w:r>
          </w:p>
        </w:tc>
        <w:tc>
          <w:tcPr>
            <w:tcW w:w="3166" w:type="pct"/>
            <w:tcBorders>
              <w:top w:val="nil"/>
              <w:left w:val="nil"/>
              <w:bottom w:val="single" w:color="auto" w:sz="4" w:space="0"/>
              <w:right w:val="single" w:color="auto" w:sz="4" w:space="0"/>
            </w:tcBorders>
            <w:noWrap/>
            <w:vAlign w:val="center"/>
          </w:tcPr>
          <w:p w14:paraId="26FCB13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与总局提供的全国统一登记业务支撑应用服务进行对接，实现“全国外商投资企业查询服务”“全国外商登记负面清单禁限检验服务”“全国外商投资企业授权登记机关查询服务”的接口调用，增加投资人是否包含外商投资企业的检查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在内资企业变更投资人业务申报过程中，调用“全国外商投资企业查询服务”，对投资人进行查询，如果发现投资人中包含外商投资企业：</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1）调用“全国外商投资企业授权登记机关查询服务”，对当前登记机关的授权情况进行核查。如果当前登记机关不属于授权登记机关范围，系统将自动提示：“当前登记机关未获授权，请前往外商投资企业授权登记机关办理相关业务”。</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（2）调用“全国外商登记负面清单禁限检验服务”，展示相关的特别管理情况，并提示企业进行勾选。对于已勾选的特别管理情况，系统需提示特别管理措施。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（3）对当前办理企业的主体类型进行检查，如果不是外资投资企业直接再投资企业的相关主体类型，则给予提示进行修改。</w:t>
            </w:r>
          </w:p>
        </w:tc>
      </w:tr>
      <w:tr w14:paraId="033DEB9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B5C452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87</w:t>
            </w:r>
          </w:p>
        </w:tc>
        <w:tc>
          <w:tcPr>
            <w:tcW w:w="389" w:type="pct"/>
            <w:tcBorders>
              <w:top w:val="nil"/>
              <w:left w:val="nil"/>
              <w:bottom w:val="single" w:color="auto" w:sz="4" w:space="0"/>
              <w:right w:val="single" w:color="auto" w:sz="4" w:space="0"/>
            </w:tcBorders>
            <w:noWrap/>
            <w:vAlign w:val="center"/>
          </w:tcPr>
          <w:p w14:paraId="0DD6808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790C8E5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移动端外商投资报告功能-核准回报-外商投资企业变更登记（备案）</w:t>
            </w:r>
          </w:p>
        </w:tc>
        <w:tc>
          <w:tcPr>
            <w:tcW w:w="3166" w:type="pct"/>
            <w:tcBorders>
              <w:top w:val="nil"/>
              <w:left w:val="nil"/>
              <w:bottom w:val="single" w:color="auto" w:sz="4" w:space="0"/>
              <w:right w:val="single" w:color="auto" w:sz="4" w:space="0"/>
            </w:tcBorders>
            <w:noWrap/>
            <w:vAlign w:val="center"/>
          </w:tcPr>
          <w:p w14:paraId="71BD38E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办理外商投资企业设立登记或变更登记（备案）业务，当核准完成后，如果填报了外商投资信息报告，控制必须调用“业务办理流程信息上报接口”上报核准结果。</w:t>
            </w:r>
          </w:p>
        </w:tc>
      </w:tr>
      <w:tr w14:paraId="799502E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983AD5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88</w:t>
            </w:r>
          </w:p>
        </w:tc>
        <w:tc>
          <w:tcPr>
            <w:tcW w:w="389" w:type="pct"/>
            <w:tcBorders>
              <w:top w:val="nil"/>
              <w:left w:val="nil"/>
              <w:bottom w:val="single" w:color="auto" w:sz="4" w:space="0"/>
              <w:right w:val="single" w:color="auto" w:sz="4" w:space="0"/>
            </w:tcBorders>
            <w:noWrap/>
            <w:vAlign w:val="center"/>
          </w:tcPr>
          <w:p w14:paraId="4B9D9FE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790C1B6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移动端外商投资报告功能-核准回报-外资转内资</w:t>
            </w:r>
          </w:p>
        </w:tc>
        <w:tc>
          <w:tcPr>
            <w:tcW w:w="3166" w:type="pct"/>
            <w:tcBorders>
              <w:top w:val="nil"/>
              <w:left w:val="nil"/>
              <w:bottom w:val="single" w:color="auto" w:sz="4" w:space="0"/>
              <w:right w:val="single" w:color="auto" w:sz="4" w:space="0"/>
            </w:tcBorders>
            <w:noWrap/>
            <w:vAlign w:val="center"/>
          </w:tcPr>
          <w:p w14:paraId="60856C3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办理外资转内资业务，当核准完成后，控制必须调用“外资转内资信息上报接口”上报外商投资企业转内资企业信息。</w:t>
            </w:r>
          </w:p>
        </w:tc>
      </w:tr>
      <w:tr w14:paraId="7818E39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49CFCA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89</w:t>
            </w:r>
          </w:p>
        </w:tc>
        <w:tc>
          <w:tcPr>
            <w:tcW w:w="389" w:type="pct"/>
            <w:tcBorders>
              <w:top w:val="nil"/>
              <w:left w:val="nil"/>
              <w:bottom w:val="single" w:color="auto" w:sz="4" w:space="0"/>
              <w:right w:val="single" w:color="auto" w:sz="4" w:space="0"/>
            </w:tcBorders>
            <w:noWrap/>
            <w:vAlign w:val="center"/>
          </w:tcPr>
          <w:p w14:paraId="7594ACF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63BD537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智慧材料交互-合伙企业开办</w:t>
            </w:r>
          </w:p>
        </w:tc>
        <w:tc>
          <w:tcPr>
            <w:tcW w:w="3166" w:type="pct"/>
            <w:tcBorders>
              <w:top w:val="nil"/>
              <w:left w:val="nil"/>
              <w:bottom w:val="single" w:color="auto" w:sz="4" w:space="0"/>
              <w:right w:val="single" w:color="auto" w:sz="4" w:space="0"/>
            </w:tcBorders>
            <w:noWrap/>
            <w:vAlign w:val="center"/>
          </w:tcPr>
          <w:p w14:paraId="7137788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开办涉及近10类材料文书，如《合伙企业登记（备案）申请书》、合伙协议等，结合拟设立的合伙企业具体申请信息，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开办的智慧文书，结合当前申请业务信息及智慧文书补充信息，调度对应的文书生成微服务，生成合伙企业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对于经营场所的使用相关文件、合伙人的身份证件等证明材料提供文件上传、预览等系列功能。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213B381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DE0B39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90</w:t>
            </w:r>
          </w:p>
        </w:tc>
        <w:tc>
          <w:tcPr>
            <w:tcW w:w="389" w:type="pct"/>
            <w:tcBorders>
              <w:top w:val="nil"/>
              <w:left w:val="nil"/>
              <w:bottom w:val="single" w:color="auto" w:sz="4" w:space="0"/>
              <w:right w:val="single" w:color="auto" w:sz="4" w:space="0"/>
            </w:tcBorders>
            <w:noWrap/>
            <w:vAlign w:val="center"/>
          </w:tcPr>
          <w:p w14:paraId="60573CB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0DC1189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智慧材料交互-合伙企业分支机构开办</w:t>
            </w:r>
          </w:p>
        </w:tc>
        <w:tc>
          <w:tcPr>
            <w:tcW w:w="3166" w:type="pct"/>
            <w:tcBorders>
              <w:top w:val="nil"/>
              <w:left w:val="nil"/>
              <w:bottom w:val="single" w:color="auto" w:sz="4" w:space="0"/>
              <w:right w:val="single" w:color="auto" w:sz="4" w:space="0"/>
            </w:tcBorders>
            <w:noWrap/>
            <w:vAlign w:val="center"/>
          </w:tcPr>
          <w:p w14:paraId="43DA1A9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伙企业分支机构开办涉及近10类文书，如《分支机构设立登记（备案）申请书》、全体合伙人委派执行分支机构事务负责人的委托书等，按照《市场主体登记提交材料规范》，结合拟设合伙企业分支机构的具体申请信息，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合伙企业分支机构开办的智慧文书，结合当前申请业务信息及智慧文书补充信息，调度对应的文书生成微服务，生成合伙企业分支机构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对于经营场所的使用相关文件、隶属企业营业执照复印件、负责人的身份证件等证明材料提供文件上传、预览等系列功能。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69D9239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7E2F83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91</w:t>
            </w:r>
          </w:p>
        </w:tc>
        <w:tc>
          <w:tcPr>
            <w:tcW w:w="389" w:type="pct"/>
            <w:tcBorders>
              <w:top w:val="nil"/>
              <w:left w:val="nil"/>
              <w:bottom w:val="single" w:color="auto" w:sz="4" w:space="0"/>
              <w:right w:val="single" w:color="auto" w:sz="4" w:space="0"/>
            </w:tcBorders>
            <w:noWrap/>
            <w:vAlign w:val="center"/>
          </w:tcPr>
          <w:p w14:paraId="5959ECA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69D8172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智慧材料交互-个人独资企业开办</w:t>
            </w:r>
          </w:p>
        </w:tc>
        <w:tc>
          <w:tcPr>
            <w:tcW w:w="3166" w:type="pct"/>
            <w:tcBorders>
              <w:top w:val="nil"/>
              <w:left w:val="nil"/>
              <w:bottom w:val="single" w:color="auto" w:sz="4" w:space="0"/>
              <w:right w:val="single" w:color="auto" w:sz="4" w:space="0"/>
            </w:tcBorders>
            <w:noWrap/>
            <w:vAlign w:val="center"/>
          </w:tcPr>
          <w:p w14:paraId="21FC5F1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开办涉及数个文书,如《个人独资企业登记（备案）申请书》、投资人身份证件复印件及《申请人实名身份信息登记表》（自然人）等，按照《市场主体登记提交材料规范》，根据拟设个人独资企业的具体申请信息，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开办的智慧文书，结合当前申请业务信息及智慧文书补充信息，调度对应的文书生成微服务，生成个人独资企业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对于经营场所的使用相关文件、个人独资企业投资人的身份证件等证明材料提供文件上传、预览等系列功能。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0B02C6F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A36313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92</w:t>
            </w:r>
          </w:p>
        </w:tc>
        <w:tc>
          <w:tcPr>
            <w:tcW w:w="389" w:type="pct"/>
            <w:tcBorders>
              <w:top w:val="nil"/>
              <w:left w:val="nil"/>
              <w:bottom w:val="single" w:color="auto" w:sz="4" w:space="0"/>
              <w:right w:val="single" w:color="auto" w:sz="4" w:space="0"/>
            </w:tcBorders>
            <w:noWrap/>
            <w:vAlign w:val="center"/>
          </w:tcPr>
          <w:p w14:paraId="1C0AE60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69271BE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智慧材料交互-个人独资企业分支机构开办</w:t>
            </w:r>
          </w:p>
        </w:tc>
        <w:tc>
          <w:tcPr>
            <w:tcW w:w="3166" w:type="pct"/>
            <w:tcBorders>
              <w:top w:val="nil"/>
              <w:left w:val="nil"/>
              <w:bottom w:val="single" w:color="auto" w:sz="4" w:space="0"/>
              <w:right w:val="single" w:color="auto" w:sz="4" w:space="0"/>
            </w:tcBorders>
            <w:noWrap/>
            <w:vAlign w:val="center"/>
          </w:tcPr>
          <w:p w14:paraId="1C65DE0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个人独资企业分支机构开办涉及数个文书，如隶属企业投资人签署的《分支机构设立登记申请书》、投资人委派分支机构负责人的委托书及身份证件复印件等，按照《市场主体登记提交材料规范》，根据拟设个人独资企业分支机构的具体申请信息，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个人独资企业分支机构开办的智慧文书，结合当前申请业务信息及智慧文书补充信息，调度对应的文书生成微服务，生成个人独资企业分支机构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对于经营场所的使用相关文件、隶属企业营业执照复印件、负责人的身份证件等证明材料提供文件上传、预览等系列功能。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42C6394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497120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93</w:t>
            </w:r>
          </w:p>
        </w:tc>
        <w:tc>
          <w:tcPr>
            <w:tcW w:w="389" w:type="pct"/>
            <w:tcBorders>
              <w:top w:val="nil"/>
              <w:left w:val="nil"/>
              <w:bottom w:val="single" w:color="auto" w:sz="4" w:space="0"/>
              <w:right w:val="single" w:color="auto" w:sz="4" w:space="0"/>
            </w:tcBorders>
            <w:noWrap/>
            <w:vAlign w:val="center"/>
          </w:tcPr>
          <w:p w14:paraId="329C31E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2D34033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智慧材料交互-非公司企业法人开办</w:t>
            </w:r>
          </w:p>
        </w:tc>
        <w:tc>
          <w:tcPr>
            <w:tcW w:w="3166" w:type="pct"/>
            <w:tcBorders>
              <w:top w:val="nil"/>
              <w:left w:val="nil"/>
              <w:bottom w:val="single" w:color="auto" w:sz="4" w:space="0"/>
              <w:right w:val="single" w:color="auto" w:sz="4" w:space="0"/>
            </w:tcBorders>
            <w:noWrap/>
            <w:vAlign w:val="center"/>
          </w:tcPr>
          <w:p w14:paraId="3F6C8F6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开办涉及近10类文书，如《非公司企业法人设立登记申请书》、出资人（主管部门）的主体资格文件等，根据拟设非公司企业法人的具体申请信息，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开办的智慧文书，结合当前申请业务信息及智慧文书补充信息，调度对应的文书生成微服务，生成非公司企业法人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对于经营场所的使用相关文件、法定代表人的身份证件等证明材料提供文件上传、预览等系列功能。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2A03C1D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98F86D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94</w:t>
            </w:r>
          </w:p>
        </w:tc>
        <w:tc>
          <w:tcPr>
            <w:tcW w:w="389" w:type="pct"/>
            <w:tcBorders>
              <w:top w:val="nil"/>
              <w:left w:val="nil"/>
              <w:bottom w:val="single" w:color="auto" w:sz="4" w:space="0"/>
              <w:right w:val="single" w:color="auto" w:sz="4" w:space="0"/>
            </w:tcBorders>
            <w:noWrap/>
            <w:vAlign w:val="center"/>
          </w:tcPr>
          <w:p w14:paraId="22340B1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419970C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智慧材料交互-非公司企业法人分支机构开办</w:t>
            </w:r>
          </w:p>
        </w:tc>
        <w:tc>
          <w:tcPr>
            <w:tcW w:w="3166" w:type="pct"/>
            <w:tcBorders>
              <w:top w:val="nil"/>
              <w:left w:val="nil"/>
              <w:bottom w:val="single" w:color="auto" w:sz="4" w:space="0"/>
              <w:right w:val="single" w:color="auto" w:sz="4" w:space="0"/>
            </w:tcBorders>
            <w:noWrap/>
            <w:vAlign w:val="center"/>
          </w:tcPr>
          <w:p w14:paraId="368867D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非公司企业法人分支机构开办涉及近10类文书，如《分支机构设立登记申请书》、分支机构负责人的任职信息等，根据拟设非公司企业法人分支机构的具体申请信息，按照《市场主体登记提交材料规范》，提供包括材料列表展示、调用对应文书生成服务、文书上传下载和展示交互等应用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基于基准清单，根据是否确认制、基于政务服务体系的免填免报等情况，提供材料文书清单。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非公司企业法人分支机构开办的智慧文书，结合当前申请业务信息及智慧文书补充信息，调度对应的文书生成微服务，生成非公司企业法人分支机构设立登记所需材料，并提供前端交互，可预览、分享文书。对于生成失败的，接受反馈并可再次生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对于需要自政务服务平台获取并存储的材料，应用相应接口获取。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对于经营场所的使用相关文件、隶属企业营业执照复印件、负责人的身份证件等证明材料提供文件上传、预览等系列功能。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对于上述材料选择自备文书的，提供文件上传、合并处理、预览、签署等功能。</w:t>
            </w:r>
          </w:p>
        </w:tc>
      </w:tr>
      <w:tr w14:paraId="40519F8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D30848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95</w:t>
            </w:r>
          </w:p>
        </w:tc>
        <w:tc>
          <w:tcPr>
            <w:tcW w:w="389" w:type="pct"/>
            <w:tcBorders>
              <w:top w:val="nil"/>
              <w:left w:val="nil"/>
              <w:bottom w:val="single" w:color="auto" w:sz="4" w:space="0"/>
              <w:right w:val="single" w:color="auto" w:sz="4" w:space="0"/>
            </w:tcBorders>
            <w:noWrap/>
            <w:vAlign w:val="center"/>
          </w:tcPr>
          <w:p w14:paraId="795877E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51FC720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设立业务合规性辅助判断-适用于合伙企业设立的业务合规性辅助判断</w:t>
            </w:r>
          </w:p>
        </w:tc>
        <w:tc>
          <w:tcPr>
            <w:tcW w:w="3166" w:type="pct"/>
            <w:tcBorders>
              <w:top w:val="nil"/>
              <w:left w:val="nil"/>
              <w:bottom w:val="single" w:color="auto" w:sz="4" w:space="0"/>
              <w:right w:val="single" w:color="auto" w:sz="4" w:space="0"/>
            </w:tcBorders>
            <w:noWrap/>
            <w:vAlign w:val="center"/>
          </w:tcPr>
          <w:p w14:paraId="5CAEFDF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基于包括申请案控制和业务规则的10余项校验，具体包括：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对同一个股东同一时间企业设立数量是否满足要求的校验；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对企业的认缴出资是否满足公司法要求的校验；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对股东名称和法律文件送达授权人名称匹配的校验（外资）；</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企业是否完成外商投资报告的校验；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对合伙企业执行事务合伙人的合法性的校验；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对有限合伙企业合伙人类型的合法性的校验；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对实缴出资（各种出资方式）的合法性的校验；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对企业注册资本是否合理的校验；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外资企业，注册资本超过50亿不能走无纸化；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设立登记业务的合规性辅助判断，处理相关规则调用（参数输入、反馈接收与前端反馈），对合伙企业开办申请的全部信息进行深度业务逻辑校验，确保符合《合伙企业法》等法规要求，如合伙人资格、出资比例、责任划分等。</w:t>
            </w:r>
          </w:p>
        </w:tc>
      </w:tr>
      <w:tr w14:paraId="2801D7E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662041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96</w:t>
            </w:r>
          </w:p>
        </w:tc>
        <w:tc>
          <w:tcPr>
            <w:tcW w:w="389" w:type="pct"/>
            <w:tcBorders>
              <w:top w:val="nil"/>
              <w:left w:val="nil"/>
              <w:bottom w:val="single" w:color="auto" w:sz="4" w:space="0"/>
              <w:right w:val="single" w:color="auto" w:sz="4" w:space="0"/>
            </w:tcBorders>
            <w:noWrap/>
            <w:vAlign w:val="center"/>
          </w:tcPr>
          <w:p w14:paraId="4943BE7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46EEF2C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设立业务合规性辅助判断-适用于合伙企业分支机构设立的业务合规性辅助判断</w:t>
            </w:r>
          </w:p>
        </w:tc>
        <w:tc>
          <w:tcPr>
            <w:tcW w:w="3166" w:type="pct"/>
            <w:tcBorders>
              <w:top w:val="nil"/>
              <w:left w:val="nil"/>
              <w:bottom w:val="single" w:color="auto" w:sz="4" w:space="0"/>
              <w:right w:val="single" w:color="auto" w:sz="4" w:space="0"/>
            </w:tcBorders>
            <w:noWrap/>
            <w:vAlign w:val="center"/>
          </w:tcPr>
          <w:p w14:paraId="57E5DAA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企业是否完成外商投资报告的校验；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提供针对合伙企业分支机构设立登记业务的合规性辅助判断，处理相关规则调用（参数输入、反馈接收与前端反馈），对分支机构设立信息进行校验，重点校验其与隶属合伙企业信息的逻辑一致性。</w:t>
            </w:r>
          </w:p>
        </w:tc>
      </w:tr>
      <w:tr w14:paraId="5ADA2E8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9C4FC0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97</w:t>
            </w:r>
          </w:p>
        </w:tc>
        <w:tc>
          <w:tcPr>
            <w:tcW w:w="389" w:type="pct"/>
            <w:tcBorders>
              <w:top w:val="nil"/>
              <w:left w:val="nil"/>
              <w:bottom w:val="single" w:color="auto" w:sz="4" w:space="0"/>
              <w:right w:val="single" w:color="auto" w:sz="4" w:space="0"/>
            </w:tcBorders>
            <w:noWrap/>
            <w:vAlign w:val="center"/>
          </w:tcPr>
          <w:p w14:paraId="4505987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02B629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设立业务合规性辅助判断-适用于个人独资企业设立的业务合规性辅助判断</w:t>
            </w:r>
          </w:p>
        </w:tc>
        <w:tc>
          <w:tcPr>
            <w:tcW w:w="3166" w:type="pct"/>
            <w:tcBorders>
              <w:top w:val="nil"/>
              <w:left w:val="nil"/>
              <w:bottom w:val="single" w:color="auto" w:sz="4" w:space="0"/>
              <w:right w:val="single" w:color="auto" w:sz="4" w:space="0"/>
            </w:tcBorders>
            <w:noWrap/>
            <w:vAlign w:val="center"/>
          </w:tcPr>
          <w:p w14:paraId="2165D64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基于包括申请案控制和业务规则的10余项校验，具体包括：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对同一个出资人同一时间企业设立数量是否满足要求的校验；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对企业的认缴出资是否满足公司法要求的校验；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对出资人名称和法律文件送达授权人名称的匹配性校验 （外资）；</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对实缴出资（各种出资方式）的合法性的校验；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对企业注册资本是否合理的校验；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外资企业，注册资本超过50亿不能走无纸化；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提供针对个人独资企业设立登记业务的合规性辅助判断，处理相关规则调用（参数输入、反馈接收与前端反馈），对申请信息进行校验，确保符合《个人独资企业法》规定，如投资人资格、出资能力等。</w:t>
            </w:r>
          </w:p>
        </w:tc>
      </w:tr>
      <w:tr w14:paraId="4A8D158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F37952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98</w:t>
            </w:r>
          </w:p>
        </w:tc>
        <w:tc>
          <w:tcPr>
            <w:tcW w:w="389" w:type="pct"/>
            <w:tcBorders>
              <w:top w:val="nil"/>
              <w:left w:val="nil"/>
              <w:bottom w:val="single" w:color="auto" w:sz="4" w:space="0"/>
              <w:right w:val="single" w:color="auto" w:sz="4" w:space="0"/>
            </w:tcBorders>
            <w:noWrap/>
            <w:vAlign w:val="center"/>
          </w:tcPr>
          <w:p w14:paraId="12620E8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56D31EC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设立业务合规性辅助判断-适用于个人独资企业分支机构设立的业务合规性辅助判断</w:t>
            </w:r>
          </w:p>
        </w:tc>
        <w:tc>
          <w:tcPr>
            <w:tcW w:w="3166" w:type="pct"/>
            <w:tcBorders>
              <w:top w:val="nil"/>
              <w:left w:val="nil"/>
              <w:bottom w:val="single" w:color="auto" w:sz="4" w:space="0"/>
              <w:right w:val="single" w:color="auto" w:sz="4" w:space="0"/>
            </w:tcBorders>
            <w:noWrap/>
            <w:vAlign w:val="center"/>
          </w:tcPr>
          <w:p w14:paraId="7C51007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企业是否完成外商投资报告的校验；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提供针对个人独资企业分支机构设立登记业务的合规性辅助判断，处理相关规则调用（参数输入、反馈接收与前端反馈），对分支机构设立信息进行校验，重点校验其与隶属个人独资企业信息的逻辑一致性。</w:t>
            </w:r>
          </w:p>
        </w:tc>
      </w:tr>
      <w:tr w14:paraId="031D687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17FAC9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99</w:t>
            </w:r>
          </w:p>
        </w:tc>
        <w:tc>
          <w:tcPr>
            <w:tcW w:w="389" w:type="pct"/>
            <w:tcBorders>
              <w:top w:val="nil"/>
              <w:left w:val="nil"/>
              <w:bottom w:val="single" w:color="auto" w:sz="4" w:space="0"/>
              <w:right w:val="single" w:color="auto" w:sz="4" w:space="0"/>
            </w:tcBorders>
            <w:noWrap/>
            <w:vAlign w:val="center"/>
          </w:tcPr>
          <w:p w14:paraId="3A0D00C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1FE4EAE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设立业务合规性辅助判断-适用于非公司企业法人设立的业务合规性辅助判断</w:t>
            </w:r>
          </w:p>
        </w:tc>
        <w:tc>
          <w:tcPr>
            <w:tcW w:w="3166" w:type="pct"/>
            <w:tcBorders>
              <w:top w:val="nil"/>
              <w:left w:val="nil"/>
              <w:bottom w:val="single" w:color="auto" w:sz="4" w:space="0"/>
              <w:right w:val="single" w:color="auto" w:sz="4" w:space="0"/>
            </w:tcBorders>
            <w:noWrap/>
            <w:vAlign w:val="center"/>
          </w:tcPr>
          <w:p w14:paraId="2C137FD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基于包括申请案控制和业务规则的10余项校验，具体包括：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对同一个股东同一时间企业设立数量是否满足要求的校验；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对企业的认缴出资是否满足公司法要求的校验；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对股东名称和法律文件送达授权人名称的匹配性校验 （外资）；</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企业是否完成外商投资报告的校验；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对实缴出资（各种出资方式）的合法性的校验；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对企业注册资本是否合理的校验；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分立合并企业不能走无纸化。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对非公司企业法人的主管部门类型的合法性的校验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设立登记业务的合规性辅助判断，处理相关规则调用（参数输入、反馈接收与前端反馈），对申请信息进行深度校验，确保符合《企业法人登记管理条例》等相关规定，如注册资金达到法定最低限额、有必要的财产和经费等。</w:t>
            </w:r>
          </w:p>
        </w:tc>
      </w:tr>
      <w:tr w14:paraId="49A84583">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A3CE6D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100</w:t>
            </w:r>
          </w:p>
        </w:tc>
        <w:tc>
          <w:tcPr>
            <w:tcW w:w="389" w:type="pct"/>
            <w:tcBorders>
              <w:top w:val="nil"/>
              <w:left w:val="nil"/>
              <w:bottom w:val="single" w:color="auto" w:sz="4" w:space="0"/>
              <w:right w:val="single" w:color="auto" w:sz="4" w:space="0"/>
            </w:tcBorders>
            <w:noWrap/>
            <w:vAlign w:val="center"/>
          </w:tcPr>
          <w:p w14:paraId="2D70582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移动端设立全程网办范围拓展</w:t>
            </w:r>
          </w:p>
        </w:tc>
        <w:tc>
          <w:tcPr>
            <w:tcW w:w="1191" w:type="pct"/>
            <w:tcBorders>
              <w:top w:val="nil"/>
              <w:left w:val="nil"/>
              <w:bottom w:val="single" w:color="auto" w:sz="4" w:space="0"/>
              <w:right w:val="single" w:color="auto" w:sz="4" w:space="0"/>
            </w:tcBorders>
            <w:noWrap/>
            <w:vAlign w:val="center"/>
          </w:tcPr>
          <w:p w14:paraId="49F32B7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设立业务合规性辅助判断-适用于非公司企业法人分支机构设立的业务合规性辅助判断</w:t>
            </w:r>
          </w:p>
        </w:tc>
        <w:tc>
          <w:tcPr>
            <w:tcW w:w="3166" w:type="pct"/>
            <w:tcBorders>
              <w:top w:val="nil"/>
              <w:left w:val="nil"/>
              <w:bottom w:val="single" w:color="auto" w:sz="4" w:space="0"/>
              <w:right w:val="single" w:color="auto" w:sz="4" w:space="0"/>
            </w:tcBorders>
            <w:noWrap/>
            <w:vAlign w:val="center"/>
          </w:tcPr>
          <w:p w14:paraId="10D800E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基于包括申请案控制和业务规则的近10项校验，具体包括：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有已经提交的相同企业名称的申请案；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相同企业名称的申请案控制；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对名称的企业类型的合法性的校验；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多证合一是否填报的校验；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企业是否完成外商投资报告的校验；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对企业经营期限年数合法性的校验。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提供针对非公司企业法人分支机构设立登记业务的合规性辅助判断，处理相关规则调用（参数输入、反馈接收与前端反馈），对分支机构设立信息进行校验，重点校验其与隶属个人独资企业信息的逻辑一致性。</w:t>
            </w:r>
          </w:p>
        </w:tc>
      </w:tr>
      <w:tr w14:paraId="4A1DF8B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77F7C0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101</w:t>
            </w:r>
          </w:p>
        </w:tc>
        <w:tc>
          <w:tcPr>
            <w:tcW w:w="389" w:type="pct"/>
            <w:tcBorders>
              <w:top w:val="nil"/>
              <w:left w:val="nil"/>
              <w:bottom w:val="single" w:color="auto" w:sz="4" w:space="0"/>
              <w:right w:val="single" w:color="auto" w:sz="4" w:space="0"/>
            </w:tcBorders>
            <w:noWrap/>
            <w:vAlign w:val="center"/>
          </w:tcPr>
          <w:p w14:paraId="50C5A5F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497C6F2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名称申报导办</w:t>
            </w:r>
          </w:p>
        </w:tc>
        <w:tc>
          <w:tcPr>
            <w:tcW w:w="3166" w:type="pct"/>
            <w:tcBorders>
              <w:top w:val="nil"/>
              <w:left w:val="nil"/>
              <w:bottom w:val="single" w:color="auto" w:sz="4" w:space="0"/>
              <w:right w:val="single" w:color="auto" w:sz="4" w:space="0"/>
            </w:tcBorders>
            <w:noWrap/>
            <w:vAlign w:val="center"/>
          </w:tcPr>
          <w:p w14:paraId="45C24D5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前置名称申报（名称用于前置许可和企业设立）、企业名称变更申报（名称限用于变更业务）、外省市迁入名称申报（名称限用于外省市迁入业务）相关的规范说明，包括业务适用情况、前置准备、命名规范、相关禁止性规定、申报流程等指引信息，确保用户了解申报要求。提供相应的申报入口、流程控制。</w:t>
            </w:r>
          </w:p>
        </w:tc>
      </w:tr>
      <w:tr w14:paraId="2B861E0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ADA825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102</w:t>
            </w:r>
          </w:p>
        </w:tc>
        <w:tc>
          <w:tcPr>
            <w:tcW w:w="389" w:type="pct"/>
            <w:tcBorders>
              <w:top w:val="nil"/>
              <w:left w:val="nil"/>
              <w:bottom w:val="single" w:color="auto" w:sz="4" w:space="0"/>
              <w:right w:val="single" w:color="auto" w:sz="4" w:space="0"/>
            </w:tcBorders>
            <w:noWrap/>
            <w:vAlign w:val="center"/>
          </w:tcPr>
          <w:p w14:paraId="2BC6BD2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0253B66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前置名称自主申报-母体企业名称自主申报</w:t>
            </w:r>
          </w:p>
        </w:tc>
        <w:tc>
          <w:tcPr>
            <w:tcW w:w="3166" w:type="pct"/>
            <w:tcBorders>
              <w:top w:val="nil"/>
              <w:left w:val="nil"/>
              <w:bottom w:val="single" w:color="auto" w:sz="4" w:space="0"/>
              <w:right w:val="single" w:color="auto" w:sz="4" w:space="0"/>
            </w:tcBorders>
            <w:noWrap/>
            <w:vAlign w:val="center"/>
          </w:tcPr>
          <w:p w14:paraId="608A0F9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落实《企业名称登记管理规定》《企业名称登记管理规定实施办法》《企业名称禁限用规则》《企业名称相同相近比对规则》等要求，提供母体企业名称自主申报功能，系统提供包括名称四段式（名称区划、名称字号、行业表述、组织形式）、登记机关、主营行业等信息的网上名称信息申报界面。</w:t>
            </w:r>
          </w:p>
        </w:tc>
      </w:tr>
      <w:tr w14:paraId="40729F0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33BE10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103</w:t>
            </w:r>
          </w:p>
        </w:tc>
        <w:tc>
          <w:tcPr>
            <w:tcW w:w="389" w:type="pct"/>
            <w:tcBorders>
              <w:top w:val="nil"/>
              <w:left w:val="nil"/>
              <w:bottom w:val="single" w:color="auto" w:sz="4" w:space="0"/>
              <w:right w:val="single" w:color="auto" w:sz="4" w:space="0"/>
            </w:tcBorders>
            <w:noWrap/>
            <w:vAlign w:val="center"/>
          </w:tcPr>
          <w:p w14:paraId="3B343FC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5E80842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前置名称自主申报-分支机构名称自主申报</w:t>
            </w:r>
          </w:p>
        </w:tc>
        <w:tc>
          <w:tcPr>
            <w:tcW w:w="3166" w:type="pct"/>
            <w:tcBorders>
              <w:top w:val="nil"/>
              <w:left w:val="nil"/>
              <w:bottom w:val="single" w:color="auto" w:sz="4" w:space="0"/>
              <w:right w:val="single" w:color="auto" w:sz="4" w:space="0"/>
            </w:tcBorders>
            <w:noWrap/>
            <w:vAlign w:val="center"/>
          </w:tcPr>
          <w:p w14:paraId="035A762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落实《企业名称登记管理规定》《企业名称登记管理规定实施办法》《企业名称禁限用规则》《企业名称相同相近比对规则》等要求，提供分支机构名称申报功能，需同步录入隶属企业名称及统一社会信用代码，确保隶属关系准确；同时保证行业表述的一致性，组织形式的一致性，名称继承派生的合规性。</w:t>
            </w:r>
          </w:p>
        </w:tc>
      </w:tr>
      <w:tr w14:paraId="44CD3BB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84C0E5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104</w:t>
            </w:r>
          </w:p>
        </w:tc>
        <w:tc>
          <w:tcPr>
            <w:tcW w:w="389" w:type="pct"/>
            <w:tcBorders>
              <w:top w:val="nil"/>
              <w:left w:val="nil"/>
              <w:bottom w:val="single" w:color="auto" w:sz="4" w:space="0"/>
              <w:right w:val="single" w:color="auto" w:sz="4" w:space="0"/>
            </w:tcBorders>
            <w:noWrap/>
            <w:vAlign w:val="center"/>
          </w:tcPr>
          <w:p w14:paraId="68CDD81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3BE70F8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前置名称自主申报-自主申报名称核验</w:t>
            </w:r>
          </w:p>
        </w:tc>
        <w:tc>
          <w:tcPr>
            <w:tcW w:w="3166" w:type="pct"/>
            <w:tcBorders>
              <w:top w:val="nil"/>
              <w:left w:val="nil"/>
              <w:bottom w:val="single" w:color="auto" w:sz="4" w:space="0"/>
              <w:right w:val="single" w:color="auto" w:sz="4" w:space="0"/>
            </w:tcBorders>
            <w:noWrap/>
            <w:vAlign w:val="center"/>
          </w:tcPr>
          <w:p w14:paraId="2A4C1BA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名称登记业务的主要目标是保证每户企业名称具有唯一性和合法性。合法性指名称要符合法定规范要求，不侵害他人利益。</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系统将根据申请人申报的名称进行自动比对，并根据各类业务规则对名称的各方面要素合规情况进行禁止控制与限制提示，并根据限制类别的不同，提示用户进行针对性操作。</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系统对申请人录入名称的校验核对，对申报的名称进行多重校验，包括格式规范性检查、禁用词校验、同行业近似度比对等智慧核验。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系统对填报市场主体名称信息进行检查，除禁止、限制和同行业字号完全相同外（同行业指行业小类），都能予以提交，企业自主判断、自主申报并自行以后可能发生的名称争议、名称强制变更等后果。</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申请人通过比对系统查询申请企业名称时，拟申请的企业名称与同一企业登记机关已登记、核准的企业名称相同的，列出相同的企业名称，提示该申请不能通过；拟申请的企业名称与同一企业登记机关已登记、核准的企业名称相近的，列出相近的企业名称清单，提示该申请可以通过，但存在审核不予核准的可能，存在虽然核准，但在使用中可能面临侵权纠纷，甚至以不适宜的企业名称被强制变更的风险。清晰展示名称核验结果，对通过核验的名称提供保留期信息，对未通过的名称明确标注具体原因。</w:t>
            </w:r>
          </w:p>
        </w:tc>
      </w:tr>
      <w:tr w14:paraId="77DD1DE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079C7B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105</w:t>
            </w:r>
          </w:p>
        </w:tc>
        <w:tc>
          <w:tcPr>
            <w:tcW w:w="389" w:type="pct"/>
            <w:tcBorders>
              <w:top w:val="nil"/>
              <w:left w:val="nil"/>
              <w:bottom w:val="single" w:color="auto" w:sz="4" w:space="0"/>
              <w:right w:val="single" w:color="auto" w:sz="4" w:space="0"/>
            </w:tcBorders>
            <w:noWrap/>
            <w:vAlign w:val="center"/>
          </w:tcPr>
          <w:p w14:paraId="2AEF42D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37E52FD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企业名称变更申报-母体企业名称变更申报</w:t>
            </w:r>
          </w:p>
        </w:tc>
        <w:tc>
          <w:tcPr>
            <w:tcW w:w="3166" w:type="pct"/>
            <w:tcBorders>
              <w:top w:val="nil"/>
              <w:left w:val="nil"/>
              <w:bottom w:val="single" w:color="auto" w:sz="4" w:space="0"/>
              <w:right w:val="single" w:color="auto" w:sz="4" w:space="0"/>
            </w:tcBorders>
            <w:noWrap/>
            <w:vAlign w:val="center"/>
          </w:tcPr>
          <w:p w14:paraId="6E6A1C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针对变更业务特点，提供企业信息查询功能，通过统一社会信用代码或企业名称快速获取已设立拟变更名称的母体企业。基于既有名称进行修改和调整，提供母体企业名称变更申报功能，支持录入新的拟变更名称，并关联原企业登记信息。</w:t>
            </w:r>
          </w:p>
        </w:tc>
      </w:tr>
      <w:tr w14:paraId="5918142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8D11D6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106</w:t>
            </w:r>
          </w:p>
        </w:tc>
        <w:tc>
          <w:tcPr>
            <w:tcW w:w="389" w:type="pct"/>
            <w:tcBorders>
              <w:top w:val="nil"/>
              <w:left w:val="nil"/>
              <w:bottom w:val="single" w:color="auto" w:sz="4" w:space="0"/>
              <w:right w:val="single" w:color="auto" w:sz="4" w:space="0"/>
            </w:tcBorders>
            <w:noWrap/>
            <w:vAlign w:val="center"/>
          </w:tcPr>
          <w:p w14:paraId="0960F2D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6750415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企业名称变更申报-分支机构名称变更申报</w:t>
            </w:r>
          </w:p>
        </w:tc>
        <w:tc>
          <w:tcPr>
            <w:tcW w:w="3166" w:type="pct"/>
            <w:tcBorders>
              <w:top w:val="nil"/>
              <w:left w:val="nil"/>
              <w:bottom w:val="single" w:color="auto" w:sz="4" w:space="0"/>
              <w:right w:val="single" w:color="auto" w:sz="4" w:space="0"/>
            </w:tcBorders>
            <w:noWrap/>
            <w:vAlign w:val="center"/>
          </w:tcPr>
          <w:p w14:paraId="0CE8C69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针对变更业务特点，提供企业信息查询功能，通过统一社会信用代码或企业名称快速获取已设立拟变更名称的分支机构。基于既有名称进行修改和调整，提供分支机构名称变更申报功能，需确保新的分支机构名称与变更后的母体企业名称保持逻辑一致。</w:t>
            </w:r>
          </w:p>
        </w:tc>
      </w:tr>
      <w:tr w14:paraId="75DC93C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BC91E7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107</w:t>
            </w:r>
          </w:p>
        </w:tc>
        <w:tc>
          <w:tcPr>
            <w:tcW w:w="389" w:type="pct"/>
            <w:tcBorders>
              <w:top w:val="nil"/>
              <w:left w:val="nil"/>
              <w:bottom w:val="single" w:color="auto" w:sz="4" w:space="0"/>
              <w:right w:val="single" w:color="auto" w:sz="4" w:space="0"/>
            </w:tcBorders>
            <w:noWrap/>
            <w:vAlign w:val="center"/>
          </w:tcPr>
          <w:p w14:paraId="3DA1907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7A30270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企业名称变更申报-变更名称校验核对</w:t>
            </w:r>
          </w:p>
        </w:tc>
        <w:tc>
          <w:tcPr>
            <w:tcW w:w="3166" w:type="pct"/>
            <w:tcBorders>
              <w:top w:val="nil"/>
              <w:left w:val="nil"/>
              <w:bottom w:val="single" w:color="auto" w:sz="4" w:space="0"/>
              <w:right w:val="single" w:color="auto" w:sz="4" w:space="0"/>
            </w:tcBorders>
            <w:noWrap/>
            <w:vAlign w:val="center"/>
          </w:tcPr>
          <w:p w14:paraId="2455424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变更申报的名称进行专项校验，重点核查新名称的合规性、新名称与原名称的关联性、分支机构与母体名称的关联性等，避免因名称变更导致市场混淆。展示名称变更核验结果，包括新名称的可用性状态及相关的法律风险提示。</w:t>
            </w:r>
          </w:p>
        </w:tc>
      </w:tr>
      <w:tr w14:paraId="3138934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A1F22E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108</w:t>
            </w:r>
          </w:p>
        </w:tc>
        <w:tc>
          <w:tcPr>
            <w:tcW w:w="389" w:type="pct"/>
            <w:tcBorders>
              <w:top w:val="nil"/>
              <w:left w:val="nil"/>
              <w:bottom w:val="single" w:color="auto" w:sz="4" w:space="0"/>
              <w:right w:val="single" w:color="auto" w:sz="4" w:space="0"/>
            </w:tcBorders>
            <w:noWrap/>
            <w:vAlign w:val="center"/>
          </w:tcPr>
          <w:p w14:paraId="078A9C1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6B93ADB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外省市迁入名称申报-拟迁入母体企业名称申报和确认</w:t>
            </w:r>
          </w:p>
        </w:tc>
        <w:tc>
          <w:tcPr>
            <w:tcW w:w="3166" w:type="pct"/>
            <w:tcBorders>
              <w:top w:val="nil"/>
              <w:left w:val="nil"/>
              <w:bottom w:val="single" w:color="auto" w:sz="4" w:space="0"/>
              <w:right w:val="single" w:color="auto" w:sz="4" w:space="0"/>
            </w:tcBorders>
            <w:noWrap/>
            <w:vAlign w:val="center"/>
          </w:tcPr>
          <w:p w14:paraId="1B7D4E7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外省市企业信息查询服务，通过原注册地统一社会信用代码等关键信息，获取拟迁入母体企业登记情况。基于外省市企业名称、行业、拟迁入区域进行申报初始化，提供外省市迁入的母体企业名称申报功能，支持根据本地命名规范对原企业名称进行适应性调整。</w:t>
            </w:r>
          </w:p>
        </w:tc>
      </w:tr>
      <w:tr w14:paraId="5C59EB1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2771FC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109</w:t>
            </w:r>
          </w:p>
        </w:tc>
        <w:tc>
          <w:tcPr>
            <w:tcW w:w="389" w:type="pct"/>
            <w:tcBorders>
              <w:top w:val="nil"/>
              <w:left w:val="nil"/>
              <w:bottom w:val="single" w:color="auto" w:sz="4" w:space="0"/>
              <w:right w:val="single" w:color="auto" w:sz="4" w:space="0"/>
            </w:tcBorders>
            <w:noWrap/>
            <w:vAlign w:val="center"/>
          </w:tcPr>
          <w:p w14:paraId="0F09E67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09DC05C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外省市迁入名称申报-拟迁入分支机构名称申报和确认</w:t>
            </w:r>
          </w:p>
        </w:tc>
        <w:tc>
          <w:tcPr>
            <w:tcW w:w="3166" w:type="pct"/>
            <w:tcBorders>
              <w:top w:val="nil"/>
              <w:left w:val="nil"/>
              <w:bottom w:val="single" w:color="auto" w:sz="4" w:space="0"/>
              <w:right w:val="single" w:color="auto" w:sz="4" w:space="0"/>
            </w:tcBorders>
            <w:noWrap/>
            <w:vAlign w:val="center"/>
          </w:tcPr>
          <w:p w14:paraId="58D772B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外省市企业信息查询服务，通过原注册地统一社会信用代码等关键信息，获取拟迁入分支机构登记情况。基于外省市分支机构名称、隶属企业、行业、拟迁入区域进行申报初始化，提供外省市迁入的分支机构名称申报功能，确保分支机构名称符合本地规范且与迁入后的母体企业名称一致。</w:t>
            </w:r>
          </w:p>
        </w:tc>
      </w:tr>
      <w:tr w14:paraId="3E8896F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09CCC2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110</w:t>
            </w:r>
          </w:p>
        </w:tc>
        <w:tc>
          <w:tcPr>
            <w:tcW w:w="389" w:type="pct"/>
            <w:tcBorders>
              <w:top w:val="nil"/>
              <w:left w:val="nil"/>
              <w:bottom w:val="single" w:color="auto" w:sz="4" w:space="0"/>
              <w:right w:val="single" w:color="auto" w:sz="4" w:space="0"/>
            </w:tcBorders>
            <w:noWrap/>
            <w:vAlign w:val="center"/>
          </w:tcPr>
          <w:p w14:paraId="1A5135E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388EE10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外省市迁入名称申报-外省市迁入名称核验</w:t>
            </w:r>
          </w:p>
        </w:tc>
        <w:tc>
          <w:tcPr>
            <w:tcW w:w="3166" w:type="pct"/>
            <w:tcBorders>
              <w:top w:val="nil"/>
              <w:left w:val="nil"/>
              <w:bottom w:val="single" w:color="auto" w:sz="4" w:space="0"/>
              <w:right w:val="single" w:color="auto" w:sz="4" w:space="0"/>
            </w:tcBorders>
            <w:noWrap/>
            <w:vAlign w:val="center"/>
          </w:tcPr>
          <w:p w14:paraId="5C5B884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对迁入申报的名称进行跨区域校验，重点核查名称在本地行政区域内的可用性，避免与现有企业名称冲突。展示外省市迁入名称核验结果，明确标注名称调整建议和迁入后的法律效力说明。</w:t>
            </w:r>
          </w:p>
        </w:tc>
      </w:tr>
      <w:tr w14:paraId="2D6F238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915376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111</w:t>
            </w:r>
          </w:p>
        </w:tc>
        <w:tc>
          <w:tcPr>
            <w:tcW w:w="389" w:type="pct"/>
            <w:tcBorders>
              <w:top w:val="nil"/>
              <w:left w:val="nil"/>
              <w:bottom w:val="single" w:color="auto" w:sz="4" w:space="0"/>
              <w:right w:val="single" w:color="auto" w:sz="4" w:space="0"/>
            </w:tcBorders>
            <w:noWrap/>
            <w:vAlign w:val="center"/>
          </w:tcPr>
          <w:p w14:paraId="5DFB864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移动端名称自主申报应用</w:t>
            </w:r>
          </w:p>
        </w:tc>
        <w:tc>
          <w:tcPr>
            <w:tcW w:w="1191" w:type="pct"/>
            <w:tcBorders>
              <w:top w:val="nil"/>
              <w:left w:val="nil"/>
              <w:bottom w:val="single" w:color="auto" w:sz="4" w:space="0"/>
              <w:right w:val="single" w:color="auto" w:sz="4" w:space="0"/>
            </w:tcBorders>
            <w:noWrap/>
            <w:vAlign w:val="center"/>
          </w:tcPr>
          <w:p w14:paraId="155AD7B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名称申报进度</w:t>
            </w:r>
          </w:p>
        </w:tc>
        <w:tc>
          <w:tcPr>
            <w:tcW w:w="3166" w:type="pct"/>
            <w:tcBorders>
              <w:top w:val="nil"/>
              <w:left w:val="nil"/>
              <w:bottom w:val="single" w:color="auto" w:sz="4" w:space="0"/>
              <w:right w:val="single" w:color="auto" w:sz="4" w:space="0"/>
            </w:tcBorders>
            <w:noWrap/>
            <w:vAlign w:val="center"/>
          </w:tcPr>
          <w:p w14:paraId="5912485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提供统一的名称申报进度查询功能，支持通过一网通办办件编号、业务流水号（申请号）或企业标识（统一社会信用代码）实时跟踪申报状态，包括受理、审核、核准等各环节信息。</w:t>
            </w:r>
          </w:p>
        </w:tc>
      </w:tr>
      <w:tr w14:paraId="1B4D35D2">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BB2C2A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112</w:t>
            </w:r>
          </w:p>
        </w:tc>
        <w:tc>
          <w:tcPr>
            <w:tcW w:w="389" w:type="pct"/>
            <w:tcBorders>
              <w:top w:val="nil"/>
              <w:left w:val="nil"/>
              <w:bottom w:val="single" w:color="auto" w:sz="4" w:space="0"/>
              <w:right w:val="single" w:color="auto" w:sz="4" w:space="0"/>
            </w:tcBorders>
            <w:noWrap/>
            <w:vAlign w:val="center"/>
          </w:tcPr>
          <w:p w14:paraId="33E2DEA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21859AC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分支机构授权登记-建立授权-授权处理</w:t>
            </w:r>
          </w:p>
        </w:tc>
        <w:tc>
          <w:tcPr>
            <w:tcW w:w="3166" w:type="pct"/>
            <w:tcBorders>
              <w:top w:val="nil"/>
              <w:left w:val="nil"/>
              <w:bottom w:val="single" w:color="auto" w:sz="4" w:space="0"/>
              <w:right w:val="single" w:color="auto" w:sz="4" w:space="0"/>
            </w:tcBorders>
            <w:noWrap/>
            <w:vAlign w:val="center"/>
          </w:tcPr>
          <w:p w14:paraId="1D8F3E1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结合本项目建立适格企业名单管理机制，管理试点单位清单。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检查相关企业是否在试点单位适格企业名单范围内，若不在试点单位适格企业名单范围内，则不提供授权相应的界面、流程、文书，不予建立授权。</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对于申请人所代表企业为试点单位时，在内外资公司登记系统“登记联络员”标签栏现有采集字段下方新增以下信息采集字段：</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是否授权（表述为“企业法定代表人授权登记联络员签署本企业《分支机构登记（备案）申请书》”，输入形式为选项）</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授权期限（录入授权起止日期（授权期限含起止日期当日），形式为日期范围）</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“企业法定代表人授权登记联络员签署本企业《分支机构登记（备案）申请书》”勾选后，开放“授权期限”可填写；不勾选的，授权字段为灰色不可填写。</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选择“企业法定代表人授权登记联络员签署本企业《分支机构登记（备案）申请书》”进行授权的，根据申请案（提取公司名称、法定代表人等信息）和“登记联络员”备案信息，结合文书模版，系统自动生成授权委托书。</w:t>
            </w:r>
          </w:p>
        </w:tc>
      </w:tr>
      <w:tr w14:paraId="7DA1A75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C1687B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113</w:t>
            </w:r>
          </w:p>
        </w:tc>
        <w:tc>
          <w:tcPr>
            <w:tcW w:w="389" w:type="pct"/>
            <w:tcBorders>
              <w:top w:val="nil"/>
              <w:left w:val="nil"/>
              <w:bottom w:val="single" w:color="auto" w:sz="4" w:space="0"/>
              <w:right w:val="single" w:color="auto" w:sz="4" w:space="0"/>
            </w:tcBorders>
            <w:noWrap/>
            <w:vAlign w:val="center"/>
          </w:tcPr>
          <w:p w14:paraId="07623E5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5EFD8F8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分支机构授权登记-建立授权-授权成立</w:t>
            </w:r>
          </w:p>
        </w:tc>
        <w:tc>
          <w:tcPr>
            <w:tcW w:w="3166" w:type="pct"/>
            <w:tcBorders>
              <w:top w:val="nil"/>
              <w:left w:val="nil"/>
              <w:bottom w:val="single" w:color="auto" w:sz="4" w:space="0"/>
              <w:right w:val="single" w:color="auto" w:sz="4" w:space="0"/>
            </w:tcBorders>
            <w:noWrap/>
            <w:vAlign w:val="center"/>
          </w:tcPr>
          <w:p w14:paraId="4079042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授权人（试点适格企业名单内的公司法定代表人）和被授权人对授权委托书进行电子签名后，授权成立。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基于文书材料电子签名体系，建立授权人和被授权人相关电子授权委托书签名应用。</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经签名后，授权生效，系统自动执行：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记录生效的授权记录，将之前生效的授权全部取消授权（设置为失效），实现新授权对旧授权的覆盖；</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应用“创设授权”相关机制，向电子营业执照系统推送新建授权和旧授权终止的消息；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向被授权人开放相应的授权使用权限。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对于试点单位并进行授权的,“分支机构登记授权委托书”一页，作为《分支机构登记（备案）申请书》附页作为归档材料进行管理。</w:t>
            </w:r>
          </w:p>
        </w:tc>
      </w:tr>
      <w:tr w14:paraId="7C48B55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D9D4D2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114</w:t>
            </w:r>
          </w:p>
        </w:tc>
        <w:tc>
          <w:tcPr>
            <w:tcW w:w="389" w:type="pct"/>
            <w:tcBorders>
              <w:top w:val="nil"/>
              <w:left w:val="nil"/>
              <w:bottom w:val="single" w:color="auto" w:sz="4" w:space="0"/>
              <w:right w:val="single" w:color="auto" w:sz="4" w:space="0"/>
            </w:tcBorders>
            <w:noWrap/>
            <w:vAlign w:val="center"/>
          </w:tcPr>
          <w:p w14:paraId="56A6CDB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582F479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分支机构授权登记-建立授权-联络员备案全程网办办理</w:t>
            </w:r>
          </w:p>
        </w:tc>
        <w:tc>
          <w:tcPr>
            <w:tcW w:w="3166" w:type="pct"/>
            <w:tcBorders>
              <w:top w:val="nil"/>
              <w:left w:val="nil"/>
              <w:bottom w:val="single" w:color="auto" w:sz="4" w:space="0"/>
              <w:right w:val="single" w:color="auto" w:sz="4" w:space="0"/>
            </w:tcBorders>
            <w:noWrap/>
            <w:vAlign w:val="center"/>
          </w:tcPr>
          <w:p w14:paraId="28DB333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于“上海企业登记在线”全程网办系统和移动端应用中的公司设立、变更等业务应用（连带包括联络员备案的关联业务）中，以及单独发起的登记联络员备案，进行应用调整，集成本项目授权相关机制，支持全程网办申请端相关业务开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不限于是否授权，对于所有联络员备案业务，在“上海企业登记在线”全程网办系统和移动端应用中，对登记联络员姓名、证件号码与移动电话一致性进行校验（证件类型为身份证的必须校验，其他证件类型如具备校验条件的需要校验、不具备条件的不校验）。校验一致的，可以继续办理，不一致的弹出提示：您填写的登记联络员移动电话非本人实名制移动电话，请修改。修改后方可继续办理。</w:t>
            </w:r>
          </w:p>
        </w:tc>
      </w:tr>
      <w:tr w14:paraId="297E3076">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C62E90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115</w:t>
            </w:r>
          </w:p>
        </w:tc>
        <w:tc>
          <w:tcPr>
            <w:tcW w:w="389" w:type="pct"/>
            <w:tcBorders>
              <w:top w:val="nil"/>
              <w:left w:val="nil"/>
              <w:bottom w:val="single" w:color="auto" w:sz="4" w:space="0"/>
              <w:right w:val="single" w:color="auto" w:sz="4" w:space="0"/>
            </w:tcBorders>
            <w:noWrap/>
            <w:vAlign w:val="center"/>
          </w:tcPr>
          <w:p w14:paraId="4992CAE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1F7F929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分支机构授权登记-建立授权-联络员备案窗口办理</w:t>
            </w:r>
          </w:p>
        </w:tc>
        <w:tc>
          <w:tcPr>
            <w:tcW w:w="3166" w:type="pct"/>
            <w:tcBorders>
              <w:top w:val="nil"/>
              <w:left w:val="nil"/>
              <w:bottom w:val="single" w:color="auto" w:sz="4" w:space="0"/>
              <w:right w:val="single" w:color="auto" w:sz="4" w:space="0"/>
            </w:tcBorders>
            <w:noWrap/>
            <w:vAlign w:val="center"/>
          </w:tcPr>
          <w:p w14:paraId="7C281A1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对于内网登记业务系统，在公司设立、变更等业务应用（连带包括联络员备案的关联业务）中，以及单独发起的登记联络员备案，进行应用调整，集成本项目授权相关机制，支持线下业务开展。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不限于是否授权，对于所有联络员备案业务，在内网登记业务系统中，对登记联络员姓名、证件号码与移动电话一致性进行校验（证件类型为身份证的必须校验，其他证件类型如具备校验条件的需要校验、不具备条件的不校验）。校验一致的，可以继续办理，不一致的进行提示：登记联络员移动电话非其本人实名制移动电话，请修改。修改后方可继续办理。</w:t>
            </w:r>
          </w:p>
        </w:tc>
      </w:tr>
      <w:tr w14:paraId="5F9A519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915F09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116</w:t>
            </w:r>
          </w:p>
        </w:tc>
        <w:tc>
          <w:tcPr>
            <w:tcW w:w="389" w:type="pct"/>
            <w:tcBorders>
              <w:top w:val="nil"/>
              <w:left w:val="nil"/>
              <w:bottom w:val="single" w:color="auto" w:sz="4" w:space="0"/>
              <w:right w:val="single" w:color="auto" w:sz="4" w:space="0"/>
            </w:tcBorders>
            <w:noWrap/>
            <w:vAlign w:val="center"/>
          </w:tcPr>
          <w:p w14:paraId="09BC976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2308C7C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分支机构授权登记-建立授权-授权关系推送与接收</w:t>
            </w:r>
          </w:p>
        </w:tc>
        <w:tc>
          <w:tcPr>
            <w:tcW w:w="3166" w:type="pct"/>
            <w:tcBorders>
              <w:top w:val="nil"/>
              <w:left w:val="nil"/>
              <w:bottom w:val="single" w:color="auto" w:sz="4" w:space="0"/>
              <w:right w:val="single" w:color="auto" w:sz="4" w:space="0"/>
            </w:tcBorders>
            <w:noWrap/>
            <w:vAlign w:val="center"/>
          </w:tcPr>
          <w:p w14:paraId="22E5A93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根据建立授权和授权有效性控制，控制授权关系，在新建授权关系后，进行授权关系推送。</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向电子营业执照系统推送包括授权主体、授权人（授权主体的法定代表人）、被授权人、授权类型（固定为“登记联络员分支机构登记授权”）、授权有效期的一组关系数据，同时，为保证信息可识别性，补充授权主体统一社会信用代码、授权人证件类型/证件号码、被授权人证件类型/证件号码等关系实体识别信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电子营业执照系统接收授权关系，进行落地存储，形成后续授权有效性判断的依据。</w:t>
            </w:r>
          </w:p>
        </w:tc>
      </w:tr>
      <w:tr w14:paraId="6D50F9C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E39E6A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117</w:t>
            </w:r>
          </w:p>
        </w:tc>
        <w:tc>
          <w:tcPr>
            <w:tcW w:w="389" w:type="pct"/>
            <w:tcBorders>
              <w:top w:val="nil"/>
              <w:left w:val="nil"/>
              <w:bottom w:val="single" w:color="auto" w:sz="4" w:space="0"/>
              <w:right w:val="single" w:color="auto" w:sz="4" w:space="0"/>
            </w:tcBorders>
            <w:noWrap/>
            <w:vAlign w:val="center"/>
          </w:tcPr>
          <w:p w14:paraId="4E53513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6D607B8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分支机构授权登记-使用授权-授权有效性验证</w:t>
            </w:r>
          </w:p>
        </w:tc>
        <w:tc>
          <w:tcPr>
            <w:tcW w:w="3166" w:type="pct"/>
            <w:tcBorders>
              <w:top w:val="nil"/>
              <w:left w:val="nil"/>
              <w:bottom w:val="single" w:color="auto" w:sz="4" w:space="0"/>
              <w:right w:val="single" w:color="auto" w:sz="4" w:space="0"/>
            </w:tcBorders>
            <w:noWrap/>
            <w:vAlign w:val="center"/>
          </w:tcPr>
          <w:p w14:paraId="2970F41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登记联络员持企业电子营业执照登录后，登记业务系统应用电子营业执照身份认定结果，确认当前操作者身份具备授权关系，可进行被授权操作。</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根据电子营业执照验证反馈信息，确定当前操作者为公司登记联络员备案人员。</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确定当前操作者所代表的市场主体，为适格企业名单内的试点单位。不是试点企业的，无法享受改革政策，按非试点企业相关进行操作。</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检查授权是否是生效状态，包括是否已超过有效期限。授权失效（非生效）的，无法享受改革政策，按非试点企业相关进行操作。</w:t>
            </w:r>
          </w:p>
        </w:tc>
      </w:tr>
      <w:tr w14:paraId="2F651FB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68B6F4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118</w:t>
            </w:r>
          </w:p>
        </w:tc>
        <w:tc>
          <w:tcPr>
            <w:tcW w:w="389" w:type="pct"/>
            <w:tcBorders>
              <w:top w:val="nil"/>
              <w:left w:val="nil"/>
              <w:bottom w:val="single" w:color="auto" w:sz="4" w:space="0"/>
              <w:right w:val="single" w:color="auto" w:sz="4" w:space="0"/>
            </w:tcBorders>
            <w:noWrap/>
            <w:vAlign w:val="center"/>
          </w:tcPr>
          <w:p w14:paraId="3E39004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2BCCD6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分支机构授权登记-使用授权-试点单位相关分支机构待签署的登记文件</w:t>
            </w:r>
          </w:p>
        </w:tc>
        <w:tc>
          <w:tcPr>
            <w:tcW w:w="3166" w:type="pct"/>
            <w:tcBorders>
              <w:top w:val="nil"/>
              <w:left w:val="nil"/>
              <w:bottom w:val="single" w:color="auto" w:sz="4" w:space="0"/>
              <w:right w:val="single" w:color="auto" w:sz="4" w:space="0"/>
            </w:tcBorders>
            <w:noWrap/>
            <w:vAlign w:val="center"/>
          </w:tcPr>
          <w:p w14:paraId="6C45088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经登记联络员身份验证和授权有效性验证的，在打开分支机构登记待签署文件页面时，按照母公司法定代表人的代理身份，列出可操作文件。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包括分支机构设立、变更、注销时提交的申请书、材料。</w:t>
            </w:r>
          </w:p>
        </w:tc>
      </w:tr>
      <w:tr w14:paraId="2CEE719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57EDFA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119</w:t>
            </w:r>
          </w:p>
        </w:tc>
        <w:tc>
          <w:tcPr>
            <w:tcW w:w="389" w:type="pct"/>
            <w:tcBorders>
              <w:top w:val="nil"/>
              <w:left w:val="nil"/>
              <w:bottom w:val="single" w:color="auto" w:sz="4" w:space="0"/>
              <w:right w:val="single" w:color="auto" w:sz="4" w:space="0"/>
            </w:tcBorders>
            <w:noWrap/>
            <w:vAlign w:val="center"/>
          </w:tcPr>
          <w:p w14:paraId="7F564B7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2C9A6A4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分支机构授权登记-使用授权-代法定代表人签署文件</w:t>
            </w:r>
          </w:p>
        </w:tc>
        <w:tc>
          <w:tcPr>
            <w:tcW w:w="3166" w:type="pct"/>
            <w:tcBorders>
              <w:top w:val="nil"/>
              <w:left w:val="nil"/>
              <w:bottom w:val="single" w:color="auto" w:sz="4" w:space="0"/>
              <w:right w:val="single" w:color="auto" w:sz="4" w:space="0"/>
            </w:tcBorders>
            <w:noWrap/>
            <w:vAlign w:val="center"/>
          </w:tcPr>
          <w:p w14:paraId="3AECE3D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企业全程网办分支机构登记时（设立、变更、注销），由登记联络员在《分支机构登记（备案）申请书》法定代表人签署位置电子签名，由系统在签名位置注明“授权签署”字样。</w:t>
            </w:r>
          </w:p>
        </w:tc>
      </w:tr>
      <w:tr w14:paraId="0CA2F58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288CC0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120</w:t>
            </w:r>
          </w:p>
        </w:tc>
        <w:tc>
          <w:tcPr>
            <w:tcW w:w="389" w:type="pct"/>
            <w:tcBorders>
              <w:top w:val="nil"/>
              <w:left w:val="nil"/>
              <w:bottom w:val="single" w:color="auto" w:sz="4" w:space="0"/>
              <w:right w:val="single" w:color="auto" w:sz="4" w:space="0"/>
            </w:tcBorders>
            <w:noWrap/>
            <w:vAlign w:val="center"/>
          </w:tcPr>
          <w:p w14:paraId="6508136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01DCBDE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分支机构授权登记-使用授权-应用电子营业执照电子签名</w:t>
            </w:r>
          </w:p>
        </w:tc>
        <w:tc>
          <w:tcPr>
            <w:tcW w:w="3166" w:type="pct"/>
            <w:tcBorders>
              <w:top w:val="nil"/>
              <w:left w:val="nil"/>
              <w:bottom w:val="single" w:color="auto" w:sz="4" w:space="0"/>
              <w:right w:val="single" w:color="auto" w:sz="4" w:space="0"/>
            </w:tcBorders>
            <w:noWrap/>
            <w:vAlign w:val="center"/>
          </w:tcPr>
          <w:p w14:paraId="0C6EAB0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登记系统将已授权信息推送给电子营业执照系统，实现企业法定代表人授权登记联络员下载电子营业执照后，登记联络员即可使用电子营业执照电子签名（在《分支机构登记（备案）申请书》盖章处电子签名）。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未经授权的企业，电子营业执照签名仍仅能由法定代表人操作。</w:t>
            </w:r>
          </w:p>
        </w:tc>
      </w:tr>
      <w:tr w14:paraId="2665708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2B2BE76">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121</w:t>
            </w:r>
          </w:p>
        </w:tc>
        <w:tc>
          <w:tcPr>
            <w:tcW w:w="389" w:type="pct"/>
            <w:tcBorders>
              <w:top w:val="nil"/>
              <w:left w:val="nil"/>
              <w:bottom w:val="single" w:color="auto" w:sz="4" w:space="0"/>
              <w:right w:val="single" w:color="auto" w:sz="4" w:space="0"/>
            </w:tcBorders>
            <w:noWrap/>
            <w:vAlign w:val="center"/>
          </w:tcPr>
          <w:p w14:paraId="7E4191C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3483761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分支机构授权登记-使用授权-身份认定（电子营业执照）</w:t>
            </w:r>
          </w:p>
        </w:tc>
        <w:tc>
          <w:tcPr>
            <w:tcW w:w="3166" w:type="pct"/>
            <w:tcBorders>
              <w:top w:val="nil"/>
              <w:left w:val="nil"/>
              <w:bottom w:val="single" w:color="auto" w:sz="4" w:space="0"/>
              <w:right w:val="single" w:color="auto" w:sz="4" w:space="0"/>
            </w:tcBorders>
            <w:noWrap/>
            <w:vAlign w:val="center"/>
          </w:tcPr>
          <w:p w14:paraId="3255F35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结合电子营业执照已建的识别认证能力，判断使用者是否为有效被授权人，将判断结果反馈给登记业务系统。</w:t>
            </w:r>
          </w:p>
        </w:tc>
      </w:tr>
      <w:tr w14:paraId="6D2A563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C99D02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122</w:t>
            </w:r>
          </w:p>
        </w:tc>
        <w:tc>
          <w:tcPr>
            <w:tcW w:w="389" w:type="pct"/>
            <w:tcBorders>
              <w:top w:val="nil"/>
              <w:left w:val="nil"/>
              <w:bottom w:val="single" w:color="auto" w:sz="4" w:space="0"/>
              <w:right w:val="single" w:color="auto" w:sz="4" w:space="0"/>
            </w:tcBorders>
            <w:noWrap/>
            <w:vAlign w:val="center"/>
          </w:tcPr>
          <w:p w14:paraId="53D3CA2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7EFF0D6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分支机构授权登记-使用授权-电子营业执照签名（电子营业执照，受控于登记系统）</w:t>
            </w:r>
          </w:p>
        </w:tc>
        <w:tc>
          <w:tcPr>
            <w:tcW w:w="3166" w:type="pct"/>
            <w:tcBorders>
              <w:top w:val="nil"/>
              <w:left w:val="nil"/>
              <w:bottom w:val="single" w:color="auto" w:sz="4" w:space="0"/>
              <w:right w:val="single" w:color="auto" w:sz="4" w:space="0"/>
            </w:tcBorders>
            <w:noWrap/>
            <w:vAlign w:val="center"/>
          </w:tcPr>
          <w:p w14:paraId="19B26DC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登记业务系统进行逻辑控制，在授权起止日期内（含起止日期当天）的，法定代表人将电子执照授权给登记联络员后，登记联络员即可使用电子执照电子签名签署登记文件（仅限分支机构登记文件）。</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电子营业执照系统接收签名请求，可依据授权有效性进行逻辑控制，对相关文件执行电子营业执照签名，并进行日志记录。</w:t>
            </w:r>
          </w:p>
        </w:tc>
      </w:tr>
      <w:tr w14:paraId="190B248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C3A5D8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123</w:t>
            </w:r>
          </w:p>
        </w:tc>
        <w:tc>
          <w:tcPr>
            <w:tcW w:w="389" w:type="pct"/>
            <w:tcBorders>
              <w:top w:val="nil"/>
              <w:left w:val="nil"/>
              <w:bottom w:val="single" w:color="auto" w:sz="4" w:space="0"/>
              <w:right w:val="single" w:color="auto" w:sz="4" w:space="0"/>
            </w:tcBorders>
            <w:noWrap/>
            <w:vAlign w:val="center"/>
          </w:tcPr>
          <w:p w14:paraId="36233DC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0106533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分支机构授权登记-授权有效性控制-法定代表人变更情形</w:t>
            </w:r>
          </w:p>
        </w:tc>
        <w:tc>
          <w:tcPr>
            <w:tcW w:w="3166" w:type="pct"/>
            <w:tcBorders>
              <w:top w:val="nil"/>
              <w:left w:val="nil"/>
              <w:bottom w:val="single" w:color="auto" w:sz="4" w:space="0"/>
              <w:right w:val="single" w:color="auto" w:sz="4" w:space="0"/>
            </w:tcBorders>
            <w:noWrap/>
            <w:vAlign w:val="center"/>
          </w:tcPr>
          <w:p w14:paraId="6AB4115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在相关交互环节，对申请人进行权利义务告知。</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于涉及授权关系的公司，在法定代表人变更收件环节提交申请时，弹出提示：“该企业法定代表人授权登记联络员签署《分支机构登记（备案）申请书》，法定代表人变更后授权即终止。”；在法定代表人变更材料创建环节提交申请时，弹出提示：“该企业法定代表人授权登记联络员签署《分支机构登记（备案）申请书》，法定代表人变更后授权即终止。”；在核准法定代表人变更时，弹出提示：“该企业法定代表人授权登记联络员签署《分支机构登记（备案）申请书》，法定代表人变更后授权即终止。”</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经告知后，申请人点击确认，并在核准法定代表人变更后，授权关系即终止（不能由登记联络员签署《分支机构登记（备案）申请书》）。</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同时调用相关接口，把终止授权关系的信息推送给电子营业执照系统，电子营业执照系统即终止登记联络员的电子签名功能。</w:t>
            </w:r>
          </w:p>
        </w:tc>
      </w:tr>
      <w:tr w14:paraId="2D5EB44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B8645FC">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124</w:t>
            </w:r>
          </w:p>
        </w:tc>
        <w:tc>
          <w:tcPr>
            <w:tcW w:w="389" w:type="pct"/>
            <w:tcBorders>
              <w:top w:val="nil"/>
              <w:left w:val="nil"/>
              <w:bottom w:val="single" w:color="auto" w:sz="4" w:space="0"/>
              <w:right w:val="single" w:color="auto" w:sz="4" w:space="0"/>
            </w:tcBorders>
            <w:noWrap/>
            <w:vAlign w:val="center"/>
          </w:tcPr>
          <w:p w14:paraId="4937ABB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77C2624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分支机构授权登记-授权有效性控制-登记联络员备案情形</w:t>
            </w:r>
          </w:p>
        </w:tc>
        <w:tc>
          <w:tcPr>
            <w:tcW w:w="3166" w:type="pct"/>
            <w:tcBorders>
              <w:top w:val="nil"/>
              <w:left w:val="nil"/>
              <w:bottom w:val="single" w:color="auto" w:sz="4" w:space="0"/>
              <w:right w:val="single" w:color="auto" w:sz="4" w:space="0"/>
            </w:tcBorders>
            <w:noWrap/>
            <w:vAlign w:val="center"/>
          </w:tcPr>
          <w:p w14:paraId="7741AB8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登记联络员备案通过时，取消所有已生效的授权（不能由登记联络员签署《分支机构登记（备案）申请书》）。</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调用相关接口，把终止授权关系的信息推送给电子营业执照系统，电子营业执照系统即终止登记联络员的电子签名功能。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是否建立新的授权关系，按照登记联络员备案否建立授权进行控制。应用“建立授权”相关机制，在建立授权的情况下，生成“授权委托书”，经授权人和被授权人电子签名后生效。</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调用相关接口，把建立授权关系的信息推送给电子营业执照系统，电子营业执照系统即开放登记联络员的电子签名功能。</w:t>
            </w:r>
          </w:p>
        </w:tc>
      </w:tr>
      <w:tr w14:paraId="7497A21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538193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125</w:t>
            </w:r>
          </w:p>
        </w:tc>
        <w:tc>
          <w:tcPr>
            <w:tcW w:w="389" w:type="pct"/>
            <w:tcBorders>
              <w:top w:val="nil"/>
              <w:left w:val="nil"/>
              <w:bottom w:val="single" w:color="auto" w:sz="4" w:space="0"/>
              <w:right w:val="single" w:color="auto" w:sz="4" w:space="0"/>
            </w:tcBorders>
            <w:noWrap/>
            <w:vAlign w:val="center"/>
          </w:tcPr>
          <w:p w14:paraId="742AFBC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300A347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分支机构授权登记-授权有效性控制-授权期限到期情形</w:t>
            </w:r>
          </w:p>
        </w:tc>
        <w:tc>
          <w:tcPr>
            <w:tcW w:w="3166" w:type="pct"/>
            <w:tcBorders>
              <w:top w:val="nil"/>
              <w:left w:val="nil"/>
              <w:bottom w:val="single" w:color="auto" w:sz="4" w:space="0"/>
              <w:right w:val="single" w:color="auto" w:sz="4" w:space="0"/>
            </w:tcBorders>
            <w:noWrap/>
            <w:vAlign w:val="center"/>
          </w:tcPr>
          <w:p w14:paraId="128ADEF2">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授权期限到期的情况，授权不再具备有效性。系统后台根据当前日期和授权期限进行判断和处理，对于超过授权期限的，将授权设置为失效，并向电子营业执照系统推送终止授权关系的消息。</w:t>
            </w:r>
          </w:p>
        </w:tc>
      </w:tr>
      <w:tr w14:paraId="46034BC8">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832EED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126</w:t>
            </w:r>
          </w:p>
        </w:tc>
        <w:tc>
          <w:tcPr>
            <w:tcW w:w="389" w:type="pct"/>
            <w:tcBorders>
              <w:top w:val="nil"/>
              <w:left w:val="nil"/>
              <w:bottom w:val="single" w:color="auto" w:sz="4" w:space="0"/>
              <w:right w:val="single" w:color="auto" w:sz="4" w:space="0"/>
            </w:tcBorders>
            <w:noWrap/>
            <w:vAlign w:val="center"/>
          </w:tcPr>
          <w:p w14:paraId="5502039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49500B4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分支机构授权登记-授权有效性控制-企业自动或人工移出适格企业名单情形</w:t>
            </w:r>
          </w:p>
        </w:tc>
        <w:tc>
          <w:tcPr>
            <w:tcW w:w="3166" w:type="pct"/>
            <w:tcBorders>
              <w:top w:val="nil"/>
              <w:left w:val="nil"/>
              <w:bottom w:val="single" w:color="auto" w:sz="4" w:space="0"/>
              <w:right w:val="single" w:color="auto" w:sz="4" w:space="0"/>
            </w:tcBorders>
            <w:noWrap/>
            <w:vAlign w:val="center"/>
          </w:tcPr>
          <w:p w14:paraId="1ECD535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为控制业务改革风险，“分支机构授权登记”应用“适格企业名单”机制，向相关试点单位提供。</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当企业自适格企业名单移出时，该企业所有“分支机构授权登记”授权不再成立，系统将相关授权关系设置为失效，并向电子营业执照系统推送终止授权关系的消息。</w:t>
            </w:r>
          </w:p>
        </w:tc>
      </w:tr>
      <w:tr w14:paraId="11A83EF7">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77F185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127</w:t>
            </w:r>
          </w:p>
        </w:tc>
        <w:tc>
          <w:tcPr>
            <w:tcW w:w="389" w:type="pct"/>
            <w:tcBorders>
              <w:top w:val="nil"/>
              <w:left w:val="nil"/>
              <w:bottom w:val="single" w:color="auto" w:sz="4" w:space="0"/>
              <w:right w:val="single" w:color="auto" w:sz="4" w:space="0"/>
            </w:tcBorders>
            <w:noWrap/>
            <w:vAlign w:val="center"/>
          </w:tcPr>
          <w:p w14:paraId="31D49B0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444CB0A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分支机构授权登记-授权有效性控制-终止授权关系推送与接收</w:t>
            </w:r>
          </w:p>
        </w:tc>
        <w:tc>
          <w:tcPr>
            <w:tcW w:w="3166" w:type="pct"/>
            <w:tcBorders>
              <w:top w:val="nil"/>
              <w:left w:val="nil"/>
              <w:bottom w:val="single" w:color="auto" w:sz="4" w:space="0"/>
              <w:right w:val="single" w:color="auto" w:sz="4" w:space="0"/>
            </w:tcBorders>
            <w:noWrap/>
            <w:vAlign w:val="center"/>
          </w:tcPr>
          <w:p w14:paraId="4D214D8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根据建立授权、授权有效性控制以及适格企业名单管理结果，控制授权终止关系，进行终止授权关系推送。</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根据建立授权的推送，包装取消授权的消息，向电子营业执照系统进行推送。</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电子营业执照系统接收终止授权关系，进行落地存储，形成后续授权有效性判断的依据。</w:t>
            </w:r>
          </w:p>
        </w:tc>
      </w:tr>
      <w:tr w14:paraId="2F63F71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E84341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128</w:t>
            </w:r>
          </w:p>
        </w:tc>
        <w:tc>
          <w:tcPr>
            <w:tcW w:w="389" w:type="pct"/>
            <w:tcBorders>
              <w:top w:val="nil"/>
              <w:left w:val="nil"/>
              <w:bottom w:val="single" w:color="auto" w:sz="4" w:space="0"/>
              <w:right w:val="single" w:color="auto" w:sz="4" w:space="0"/>
            </w:tcBorders>
            <w:noWrap/>
            <w:vAlign w:val="center"/>
          </w:tcPr>
          <w:p w14:paraId="30CE3BB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72D545D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分支机构授权登记-适格企业名单管理-人工管理</w:t>
            </w:r>
          </w:p>
        </w:tc>
        <w:tc>
          <w:tcPr>
            <w:tcW w:w="3166" w:type="pct"/>
            <w:tcBorders>
              <w:top w:val="nil"/>
              <w:left w:val="nil"/>
              <w:bottom w:val="single" w:color="auto" w:sz="4" w:space="0"/>
              <w:right w:val="single" w:color="auto" w:sz="4" w:space="0"/>
            </w:tcBorders>
            <w:noWrap/>
            <w:vAlign w:val="center"/>
          </w:tcPr>
          <w:p w14:paraId="7AE49CE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人工维护“适格企业名单”，“适格企业名单”内企业可以“批量签署”、“授权办理”。</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通过查询筛选本市登记企业，可选中多个企业，加入适格企业名单清单。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查询现有有效适格企业名单企业，选择其中一个或若干个企业，标记并移出适格企业名单。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增加和删除（逻辑删除）均支持一审一核操作。</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根据业务部门需求，提供适格企业名单增加、删除情况的查询功能。</w:t>
            </w:r>
          </w:p>
        </w:tc>
      </w:tr>
      <w:tr w14:paraId="4FBC9AB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90B684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129</w:t>
            </w:r>
          </w:p>
        </w:tc>
        <w:tc>
          <w:tcPr>
            <w:tcW w:w="389" w:type="pct"/>
            <w:tcBorders>
              <w:top w:val="nil"/>
              <w:left w:val="nil"/>
              <w:bottom w:val="single" w:color="auto" w:sz="4" w:space="0"/>
              <w:right w:val="single" w:color="auto" w:sz="4" w:space="0"/>
            </w:tcBorders>
            <w:noWrap/>
            <w:vAlign w:val="center"/>
          </w:tcPr>
          <w:p w14:paraId="35AD333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50932F6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分支机构授权登记-适格企业名单管理-自动更新</w:t>
            </w:r>
          </w:p>
        </w:tc>
        <w:tc>
          <w:tcPr>
            <w:tcW w:w="3166" w:type="pct"/>
            <w:tcBorders>
              <w:top w:val="nil"/>
              <w:left w:val="nil"/>
              <w:bottom w:val="single" w:color="auto" w:sz="4" w:space="0"/>
              <w:right w:val="single" w:color="auto" w:sz="4" w:space="0"/>
            </w:tcBorders>
            <w:noWrap/>
            <w:vAlign w:val="center"/>
          </w:tcPr>
          <w:p w14:paraId="398F765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建立后台调度应用，在指定日期发起适格企业名单自动处理程序（自动移入和自动移除），将企业移入或移出适格企业名单。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自指定日期第一次完成后，每季度执行。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自动移入处理：系统后台判定，存续分支机构大于等于5，且不在适格企业名单内的（公司类企业），自动移入适格企业名单。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自动移除处理：系统后台判定，在适格企业名单内，且无有效分支机构的，自动移出适格企业名单。</w:t>
            </w:r>
          </w:p>
        </w:tc>
      </w:tr>
      <w:tr w14:paraId="2427B03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1890D0B">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130</w:t>
            </w:r>
          </w:p>
        </w:tc>
        <w:tc>
          <w:tcPr>
            <w:tcW w:w="389" w:type="pct"/>
            <w:tcBorders>
              <w:top w:val="nil"/>
              <w:left w:val="nil"/>
              <w:bottom w:val="single" w:color="auto" w:sz="4" w:space="0"/>
              <w:right w:val="single" w:color="auto" w:sz="4" w:space="0"/>
            </w:tcBorders>
            <w:noWrap/>
            <w:vAlign w:val="center"/>
          </w:tcPr>
          <w:p w14:paraId="51C6244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396B9ED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分支机构授权登记-适格企业名单管理-日志记录</w:t>
            </w:r>
          </w:p>
        </w:tc>
        <w:tc>
          <w:tcPr>
            <w:tcW w:w="3166" w:type="pct"/>
            <w:tcBorders>
              <w:top w:val="nil"/>
              <w:left w:val="nil"/>
              <w:bottom w:val="single" w:color="auto" w:sz="4" w:space="0"/>
              <w:right w:val="single" w:color="auto" w:sz="4" w:space="0"/>
            </w:tcBorders>
            <w:noWrap/>
            <w:vAlign w:val="center"/>
          </w:tcPr>
          <w:p w14:paraId="70B9D4D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系统对于适格企业名单维护进行日志记录，包括试点单位出入适格企业名单清单（具体的企业）、相关操作类型、操作时间、操作方等。</w:t>
            </w:r>
          </w:p>
        </w:tc>
      </w:tr>
      <w:tr w14:paraId="41E2CD2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1A04C75">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131</w:t>
            </w:r>
          </w:p>
        </w:tc>
        <w:tc>
          <w:tcPr>
            <w:tcW w:w="389" w:type="pct"/>
            <w:tcBorders>
              <w:top w:val="nil"/>
              <w:left w:val="nil"/>
              <w:bottom w:val="single" w:color="auto" w:sz="4" w:space="0"/>
              <w:right w:val="single" w:color="auto" w:sz="4" w:space="0"/>
            </w:tcBorders>
            <w:noWrap/>
            <w:vAlign w:val="center"/>
          </w:tcPr>
          <w:p w14:paraId="1DA1DE8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65E19E9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分支机构登记文件批量签署-逻辑控制</w:t>
            </w:r>
          </w:p>
        </w:tc>
        <w:tc>
          <w:tcPr>
            <w:tcW w:w="3166" w:type="pct"/>
            <w:tcBorders>
              <w:top w:val="nil"/>
              <w:left w:val="nil"/>
              <w:bottom w:val="single" w:color="auto" w:sz="4" w:space="0"/>
              <w:right w:val="single" w:color="auto" w:sz="4" w:space="0"/>
            </w:tcBorders>
            <w:noWrap/>
            <w:vAlign w:val="center"/>
          </w:tcPr>
          <w:p w14:paraId="1B8E6C7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电子签名页面，并行于现有设立、变更、注销等功能标签后，新增“分支机构批量签署”功能标签。</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使用者应用电子营业执照登录后，识别使用者身份，以下身份情况与“分支机构批量签署”相关，可使用跨申请案签名应用：</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使用者以企业名义登录且企业在适格企业名单内（分公司所对应的母公司，代表母公司签署分支机构文件），用于以母公司名义签署分公司登记材料的场景；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使用者以企业名义登录且是适格企业名单内企业的分支机构的，用于通过分公司电子营业执照签名的场景；</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l 使用者以自然人身份登录，是适格企业名单内企业法定代表人（或经授权的登记联络员），用于母公司法定代表人（及其授权代理人）签署分公司登记材料的场景。</w:t>
            </w:r>
          </w:p>
        </w:tc>
      </w:tr>
      <w:tr w14:paraId="61E479B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4E4D0B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132</w:t>
            </w:r>
          </w:p>
        </w:tc>
        <w:tc>
          <w:tcPr>
            <w:tcW w:w="389" w:type="pct"/>
            <w:tcBorders>
              <w:top w:val="nil"/>
              <w:left w:val="nil"/>
              <w:bottom w:val="single" w:color="auto" w:sz="4" w:space="0"/>
              <w:right w:val="single" w:color="auto" w:sz="4" w:space="0"/>
            </w:tcBorders>
            <w:noWrap/>
            <w:vAlign w:val="center"/>
          </w:tcPr>
          <w:p w14:paraId="4927F93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1D915D3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分支机构登记文件批量签署-跨申请案签名应用-待签名文件枚举</w:t>
            </w:r>
          </w:p>
        </w:tc>
        <w:tc>
          <w:tcPr>
            <w:tcW w:w="3166" w:type="pct"/>
            <w:tcBorders>
              <w:top w:val="nil"/>
              <w:left w:val="nil"/>
              <w:bottom w:val="single" w:color="auto" w:sz="4" w:space="0"/>
              <w:right w:val="single" w:color="auto" w:sz="4" w:space="0"/>
            </w:tcBorders>
            <w:noWrap/>
            <w:vAlign w:val="center"/>
          </w:tcPr>
          <w:p w14:paraId="6CB11E4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合并使用者自然人和企业身份，枚举自然人或企业名下（含经法定代表人授权，代理法定代表人签署文件的情况），试点企业相关待签署分支机构登记文件（即母体是试点企业）。</w:t>
            </w:r>
          </w:p>
        </w:tc>
      </w:tr>
      <w:tr w14:paraId="63CBBA85">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51D4FB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133</w:t>
            </w:r>
          </w:p>
        </w:tc>
        <w:tc>
          <w:tcPr>
            <w:tcW w:w="389" w:type="pct"/>
            <w:tcBorders>
              <w:top w:val="nil"/>
              <w:left w:val="nil"/>
              <w:bottom w:val="single" w:color="auto" w:sz="4" w:space="0"/>
              <w:right w:val="single" w:color="auto" w:sz="4" w:space="0"/>
            </w:tcBorders>
            <w:noWrap/>
            <w:vAlign w:val="center"/>
          </w:tcPr>
          <w:p w14:paraId="2089211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47C6320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分支机构登记文件批量签署-跨申请案签名应用-选中签名文件</w:t>
            </w:r>
          </w:p>
        </w:tc>
        <w:tc>
          <w:tcPr>
            <w:tcW w:w="3166" w:type="pct"/>
            <w:tcBorders>
              <w:top w:val="nil"/>
              <w:left w:val="nil"/>
              <w:bottom w:val="single" w:color="auto" w:sz="4" w:space="0"/>
              <w:right w:val="single" w:color="auto" w:sz="4" w:space="0"/>
            </w:tcBorders>
            <w:noWrap/>
            <w:vAlign w:val="center"/>
          </w:tcPr>
          <w:p w14:paraId="197976B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使用者可选中多份待签名文件，相关文件可以来自（不同的分公司的）多个不同申请，确认后形成待签名队列并进行缓存。</w:t>
            </w:r>
          </w:p>
        </w:tc>
      </w:tr>
      <w:tr w14:paraId="59B8C506">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9BF661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134</w:t>
            </w:r>
          </w:p>
        </w:tc>
        <w:tc>
          <w:tcPr>
            <w:tcW w:w="389" w:type="pct"/>
            <w:tcBorders>
              <w:top w:val="nil"/>
              <w:left w:val="nil"/>
              <w:bottom w:val="single" w:color="auto" w:sz="4" w:space="0"/>
              <w:right w:val="single" w:color="auto" w:sz="4" w:space="0"/>
            </w:tcBorders>
            <w:noWrap/>
            <w:vAlign w:val="center"/>
          </w:tcPr>
          <w:p w14:paraId="5EBB8DA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5C35A2E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分支机构登记文件批量签署-跨申请案签名应用-一次签名</w:t>
            </w:r>
          </w:p>
        </w:tc>
        <w:tc>
          <w:tcPr>
            <w:tcW w:w="3166" w:type="pct"/>
            <w:tcBorders>
              <w:top w:val="nil"/>
              <w:left w:val="nil"/>
              <w:bottom w:val="single" w:color="auto" w:sz="4" w:space="0"/>
              <w:right w:val="single" w:color="auto" w:sz="4" w:space="0"/>
            </w:tcBorders>
            <w:noWrap/>
            <w:vAlign w:val="center"/>
          </w:tcPr>
          <w:p w14:paraId="10B70EA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使用者进行一次电子签名，对签名进行缓存处理，应用于多份文件后台签署。</w:t>
            </w:r>
          </w:p>
        </w:tc>
      </w:tr>
      <w:tr w14:paraId="095119C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06B5A2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135</w:t>
            </w:r>
          </w:p>
        </w:tc>
        <w:tc>
          <w:tcPr>
            <w:tcW w:w="389" w:type="pct"/>
            <w:tcBorders>
              <w:top w:val="nil"/>
              <w:left w:val="nil"/>
              <w:bottom w:val="single" w:color="auto" w:sz="4" w:space="0"/>
              <w:right w:val="single" w:color="auto" w:sz="4" w:space="0"/>
            </w:tcBorders>
            <w:noWrap/>
            <w:vAlign w:val="center"/>
          </w:tcPr>
          <w:p w14:paraId="516EAEB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1E31517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分支机构登记文件批量签署-跨申请案签名应用-多文件应用</w:t>
            </w:r>
          </w:p>
        </w:tc>
        <w:tc>
          <w:tcPr>
            <w:tcW w:w="3166" w:type="pct"/>
            <w:tcBorders>
              <w:top w:val="nil"/>
              <w:left w:val="nil"/>
              <w:bottom w:val="single" w:color="auto" w:sz="4" w:space="0"/>
              <w:right w:val="single" w:color="auto" w:sz="4" w:space="0"/>
            </w:tcBorders>
            <w:noWrap/>
            <w:vAlign w:val="center"/>
          </w:tcPr>
          <w:p w14:paraId="650EF16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对于使用者选中的每一文件（待签名队列），应用“一次签名”，根据使用者身份和签署文件类型，将签名应用于各分材料文书的不同部位（受控于文书类型）。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以授权代理身份进行文件签名的，标注“授权签署”。</w:t>
            </w:r>
          </w:p>
        </w:tc>
      </w:tr>
      <w:tr w14:paraId="2D564E1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07578539">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136</w:t>
            </w:r>
          </w:p>
        </w:tc>
        <w:tc>
          <w:tcPr>
            <w:tcW w:w="389" w:type="pct"/>
            <w:tcBorders>
              <w:top w:val="nil"/>
              <w:left w:val="nil"/>
              <w:bottom w:val="single" w:color="auto" w:sz="4" w:space="0"/>
              <w:right w:val="single" w:color="auto" w:sz="4" w:space="0"/>
            </w:tcBorders>
            <w:noWrap/>
            <w:vAlign w:val="center"/>
          </w:tcPr>
          <w:p w14:paraId="439E949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35B6C67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分支机构登记文件批量签署-跨申请案签名应用-完成反馈-进展展示</w:t>
            </w:r>
          </w:p>
        </w:tc>
        <w:tc>
          <w:tcPr>
            <w:tcW w:w="3166" w:type="pct"/>
            <w:tcBorders>
              <w:top w:val="nil"/>
              <w:left w:val="nil"/>
              <w:bottom w:val="single" w:color="auto" w:sz="4" w:space="0"/>
              <w:right w:val="single" w:color="auto" w:sz="4" w:space="0"/>
            </w:tcBorders>
            <w:noWrap/>
            <w:vAlign w:val="center"/>
          </w:tcPr>
          <w:p w14:paraId="3FE773E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批量签名提供签名进度展示，按待签名总量、已签名和在处理签名计算进度，向用户界面提供进度展示。</w:t>
            </w:r>
          </w:p>
        </w:tc>
      </w:tr>
      <w:tr w14:paraId="100A1A6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2FFAFA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137</w:t>
            </w:r>
          </w:p>
        </w:tc>
        <w:tc>
          <w:tcPr>
            <w:tcW w:w="389" w:type="pct"/>
            <w:tcBorders>
              <w:top w:val="nil"/>
              <w:left w:val="nil"/>
              <w:bottom w:val="single" w:color="auto" w:sz="4" w:space="0"/>
              <w:right w:val="single" w:color="auto" w:sz="4" w:space="0"/>
            </w:tcBorders>
            <w:noWrap/>
            <w:vAlign w:val="center"/>
          </w:tcPr>
          <w:p w14:paraId="0601D8C9">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0FE63EF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分支机构登记文件批量签署-跨申请案签名应用-完成反馈-提示签名成功状态</w:t>
            </w:r>
          </w:p>
        </w:tc>
        <w:tc>
          <w:tcPr>
            <w:tcW w:w="3166" w:type="pct"/>
            <w:tcBorders>
              <w:top w:val="nil"/>
              <w:left w:val="nil"/>
              <w:bottom w:val="single" w:color="auto" w:sz="4" w:space="0"/>
              <w:right w:val="single" w:color="auto" w:sz="4" w:space="0"/>
            </w:tcBorders>
            <w:noWrap/>
            <w:vAlign w:val="center"/>
          </w:tcPr>
          <w:p w14:paraId="0F0A0FB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在签署时提供提示（提示申请人可以关闭页面后续查看，并提示没有待签名文件即表示签名成功），避免申请人误认为操作失败。</w:t>
            </w:r>
          </w:p>
        </w:tc>
      </w:tr>
      <w:tr w14:paraId="1629DE8F">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EA4A8DA">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138</w:t>
            </w:r>
          </w:p>
        </w:tc>
        <w:tc>
          <w:tcPr>
            <w:tcW w:w="389" w:type="pct"/>
            <w:tcBorders>
              <w:top w:val="nil"/>
              <w:left w:val="nil"/>
              <w:bottom w:val="single" w:color="auto" w:sz="4" w:space="0"/>
              <w:right w:val="single" w:color="auto" w:sz="4" w:space="0"/>
            </w:tcBorders>
            <w:noWrap/>
            <w:vAlign w:val="center"/>
          </w:tcPr>
          <w:p w14:paraId="3DEEAA8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0811F11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分支机构登记文件批量签署-电子签名签署服务调整-个人批量签署服务</w:t>
            </w:r>
          </w:p>
        </w:tc>
        <w:tc>
          <w:tcPr>
            <w:tcW w:w="3166" w:type="pct"/>
            <w:tcBorders>
              <w:top w:val="nil"/>
              <w:left w:val="nil"/>
              <w:bottom w:val="single" w:color="auto" w:sz="4" w:space="0"/>
              <w:right w:val="single" w:color="auto" w:sz="4" w:space="0"/>
            </w:tcBorders>
            <w:noWrap/>
            <w:vAlign w:val="center"/>
          </w:tcPr>
          <w:p w14:paraId="3359C6B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个人批量签署服务，针对上传的PDF，进行判断，查看是否为标准PDF，查看是否可以进行签署。接收业务系统参数后，首先校验业务系统三选一的认证结果，认证通过后生成二维码页面并调用CA生成二维码接口，后台调用CA多源认证轮询获取用户人脸认证结果，若人脸认证结果通过，则再次调用CA个人事件证书发证系统发放SM2算法证书，完成签署后，将结果记录到数据库中，支持业务系统调用查询签署结果接口主动获取。</w:t>
            </w:r>
          </w:p>
        </w:tc>
      </w:tr>
      <w:tr w14:paraId="113B685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F4BD9A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139</w:t>
            </w:r>
          </w:p>
        </w:tc>
        <w:tc>
          <w:tcPr>
            <w:tcW w:w="389" w:type="pct"/>
            <w:tcBorders>
              <w:top w:val="nil"/>
              <w:left w:val="nil"/>
              <w:bottom w:val="single" w:color="auto" w:sz="4" w:space="0"/>
              <w:right w:val="single" w:color="auto" w:sz="4" w:space="0"/>
            </w:tcBorders>
            <w:noWrap/>
            <w:vAlign w:val="center"/>
          </w:tcPr>
          <w:p w14:paraId="7BE8F2D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32B91DE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分支机构登记文件批量签署-电子签名签署服务调整-营业执照用户批量签署综合服务</w:t>
            </w:r>
          </w:p>
        </w:tc>
        <w:tc>
          <w:tcPr>
            <w:tcW w:w="3166" w:type="pct"/>
            <w:tcBorders>
              <w:top w:val="nil"/>
              <w:left w:val="nil"/>
              <w:bottom w:val="single" w:color="auto" w:sz="4" w:space="0"/>
              <w:right w:val="single" w:color="auto" w:sz="4" w:space="0"/>
            </w:tcBorders>
            <w:noWrap/>
            <w:vAlign w:val="center"/>
          </w:tcPr>
          <w:p w14:paraId="02BC6A0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市场局登记营业执照用户批量签署综合服务，是整合服务端批量签署与移动端批量签署能力的一体化解决方案。该服务通过深度对接电子营业执照服务体系，构建“多端协同、批量处理、安全可控”的签署链路，既满足企业服务端系统的自动化批量签署需求，也支持企业授权人员通过移动端完成灵活的批量签署操作，全程涉及多系统交互、多层级安全校验及复杂状态流转。</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营业执照用户服务端批量签署服务，接收业务系统参数后，根据签名文件生成签名原文后，调用电子营业执照服务的获取请求唯一标识接口获取业务唯一标识，并将唯一标识和签名原文传递给业务系统，业务系统拿到唯一标识和签名原文后拉起电子营业执照服务，等待用户输入密码后，电子营业执照服务向签章服务回调签名值，签章服务拿到签名值之后进行合章，并调用签章服务中的验证接口进行验章，若验章通过后，则调用业务系统获取签名状态接口以及获取签名文件接口，将签名状态和签名文件传递给业务系统。</w:t>
            </w:r>
          </w:p>
        </w:tc>
      </w:tr>
      <w:tr w14:paraId="1B1DB2C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2F1F232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140</w:t>
            </w:r>
          </w:p>
        </w:tc>
        <w:tc>
          <w:tcPr>
            <w:tcW w:w="389" w:type="pct"/>
            <w:tcBorders>
              <w:top w:val="nil"/>
              <w:left w:val="nil"/>
              <w:bottom w:val="single" w:color="auto" w:sz="4" w:space="0"/>
              <w:right w:val="single" w:color="auto" w:sz="4" w:space="0"/>
            </w:tcBorders>
            <w:noWrap/>
            <w:vAlign w:val="center"/>
          </w:tcPr>
          <w:p w14:paraId="58958E6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7C85C8F4">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分支机构登记文件批量签署-电子签名签署服务调整-登记签署业务实时监测与分析</w:t>
            </w:r>
          </w:p>
        </w:tc>
        <w:tc>
          <w:tcPr>
            <w:tcW w:w="3166" w:type="pct"/>
            <w:tcBorders>
              <w:top w:val="nil"/>
              <w:left w:val="nil"/>
              <w:bottom w:val="single" w:color="auto" w:sz="4" w:space="0"/>
              <w:right w:val="single" w:color="auto" w:sz="4" w:space="0"/>
            </w:tcBorders>
            <w:noWrap/>
            <w:vAlign w:val="center"/>
          </w:tcPr>
          <w:p w14:paraId="337B454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构建企业登记签署业务的实时监测，解决传统统计方式数据滞后、无法即时感知业务状态的痛点。通过高性能数据接口，对电子签署服务产生的流水数据进行采集与处理，并动态可视化核心运营指标，包括但不限于实时登记签署业务发起总量、成功签署量等。这些指标以数字盘形式集中展现，支持按自定义时间粒度刷新。该功能为</w:t>
            </w:r>
            <w:r>
              <w:rPr>
                <w:rFonts w:ascii="Times New Roman" w:hAnsi="Times New Roman"/>
                <w:color w:val="000000" w:themeColor="text1"/>
                <w:kern w:val="0"/>
                <w:sz w:val="22"/>
                <w:szCs w:val="22"/>
                <w14:textFill>
                  <w14:solidFill>
                    <w14:schemeClr w14:val="tx1"/>
                  </w14:solidFill>
                </w14:textFill>
              </w:rPr>
              <w:t>​​</w:t>
            </w:r>
            <w:r>
              <w:rPr>
                <w:rFonts w:hint="eastAsia" w:cs="宋体"/>
                <w:color w:val="000000" w:themeColor="text1"/>
                <w:kern w:val="0"/>
                <w:sz w:val="22"/>
                <w:szCs w:val="22"/>
                <w14:textFill>
                  <w14:solidFill>
                    <w14:schemeClr w14:val="tx1"/>
                  </w14:solidFill>
                </w14:textFill>
              </w:rPr>
              <w:t>日常运营监控和异常快速发现</w:t>
            </w:r>
            <w:r>
              <w:rPr>
                <w:rFonts w:ascii="Times New Roman" w:hAnsi="Times New Roman"/>
                <w:color w:val="000000" w:themeColor="text1"/>
                <w:kern w:val="0"/>
                <w:sz w:val="22"/>
                <w:szCs w:val="22"/>
                <w14:textFill>
                  <w14:solidFill>
                    <w14:schemeClr w14:val="tx1"/>
                  </w14:solidFill>
                </w14:textFill>
              </w:rPr>
              <w:t>​​</w:t>
            </w:r>
            <w:r>
              <w:rPr>
                <w:rFonts w:hint="eastAsia" w:cs="宋体"/>
                <w:color w:val="000000" w:themeColor="text1"/>
                <w:kern w:val="0"/>
                <w:sz w:val="22"/>
                <w:szCs w:val="22"/>
                <w14:textFill>
                  <w14:solidFill>
                    <w14:schemeClr w14:val="tx1"/>
                  </w14:solidFill>
                </w14:textFill>
              </w:rPr>
              <w:t>提供数据支撑，从根本上改变了被动响应模式，为保障核心业务的连续性与稳定性提供了最关键的技术基础。</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对历史签署数据进行深度挖掘与多维度分析，以解决资源调配、流程优化的决策难题。支持从时间、主体类型、业务来源等多个维度对签署行为进行穿透式分析。关键能力包括：精准刻画个人、企业、新加坡人士等不同签署主体的业务占比与行为偏好；生成24小时签署趋势热力图，直观揭示每日业务高峰与低谷规律。通过本功能为运营管理提供量化依据，实现从经验管理到数据驱动的精细化管理升级。</w:t>
            </w:r>
          </w:p>
        </w:tc>
      </w:tr>
      <w:tr w14:paraId="111DF1E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D5F303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141</w:t>
            </w:r>
          </w:p>
        </w:tc>
        <w:tc>
          <w:tcPr>
            <w:tcW w:w="389" w:type="pct"/>
            <w:tcBorders>
              <w:top w:val="nil"/>
              <w:left w:val="nil"/>
              <w:bottom w:val="single" w:color="auto" w:sz="4" w:space="0"/>
              <w:right w:val="single" w:color="auto" w:sz="4" w:space="0"/>
            </w:tcBorders>
            <w:noWrap/>
            <w:vAlign w:val="center"/>
          </w:tcPr>
          <w:p w14:paraId="27C8835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移动端连锁企业分支机构登记便利化</w:t>
            </w:r>
          </w:p>
        </w:tc>
        <w:tc>
          <w:tcPr>
            <w:tcW w:w="1191" w:type="pct"/>
            <w:tcBorders>
              <w:top w:val="nil"/>
              <w:left w:val="nil"/>
              <w:bottom w:val="single" w:color="auto" w:sz="4" w:space="0"/>
              <w:right w:val="single" w:color="auto" w:sz="4" w:space="0"/>
            </w:tcBorders>
            <w:noWrap/>
            <w:vAlign w:val="center"/>
          </w:tcPr>
          <w:p w14:paraId="5264967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分支机构登记文件批量签署-电子签名签署服务调整-签署安全服务</w:t>
            </w:r>
          </w:p>
        </w:tc>
        <w:tc>
          <w:tcPr>
            <w:tcW w:w="3166" w:type="pct"/>
            <w:tcBorders>
              <w:top w:val="nil"/>
              <w:left w:val="nil"/>
              <w:bottom w:val="single" w:color="auto" w:sz="4" w:space="0"/>
              <w:right w:val="single" w:color="auto" w:sz="4" w:space="0"/>
            </w:tcBorders>
            <w:noWrap/>
            <w:vAlign w:val="center"/>
          </w:tcPr>
          <w:p w14:paraId="77EE6EC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市场局登记注册签署全流程安全保障服务，是覆盖登记注册签署“事前身份核验-事中签名验证-事后溯源审计”全链路的安全核心支撑体系。该服务通过整合安全核验、PDF签名有效性验证、业务流程绑定及溯源三大能力，构建跨系统协同的安全屏障，确保签署主体身份真实、签署行为有效、全流程可追溯，同时通过多系统交互校验与数据闭环管理，满足市场监管对登记注册行为的合规性、安全性要求。</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1.提供安全核验服务，为确保流程安全完整，在签署之前，针对登录三选一认证结果签章系统提供核验服务，确保用户在规定时间内有认证成功的数据记录。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2.提供对上传pdf签名有效性进行验证服务；</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3.提供业务流程绑定及溯源服务，在登记注册业务全流程中，签章系统通过流水号信息关联绑定，涵盖业务流水号、认证流水号、签署流水号等，通过签章系统完成流水号记录与绑定，为后续全流程服务溯源提供完整数据支撑。</w:t>
            </w:r>
          </w:p>
        </w:tc>
      </w:tr>
      <w:tr w14:paraId="5704263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4D56084">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142</w:t>
            </w:r>
          </w:p>
        </w:tc>
        <w:tc>
          <w:tcPr>
            <w:tcW w:w="389" w:type="pct"/>
            <w:tcBorders>
              <w:top w:val="nil"/>
              <w:left w:val="nil"/>
              <w:bottom w:val="single" w:color="auto" w:sz="4" w:space="0"/>
              <w:right w:val="single" w:color="auto" w:sz="4" w:space="0"/>
            </w:tcBorders>
            <w:noWrap/>
            <w:vAlign w:val="center"/>
          </w:tcPr>
          <w:p w14:paraId="48E473A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7F34D2D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升级移动端电子签名基础功能-调整电子签名待办</w:t>
            </w:r>
          </w:p>
        </w:tc>
        <w:tc>
          <w:tcPr>
            <w:tcW w:w="3166" w:type="pct"/>
            <w:tcBorders>
              <w:top w:val="nil"/>
              <w:left w:val="nil"/>
              <w:bottom w:val="single" w:color="auto" w:sz="4" w:space="0"/>
              <w:right w:val="single" w:color="auto" w:sz="4" w:space="0"/>
            </w:tcBorders>
            <w:noWrap/>
            <w:vAlign w:val="center"/>
          </w:tcPr>
          <w:p w14:paraId="288A26E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修改原电子签名待办后台查询功能，支持变更、注销、大型连锁机构签名业务的待办查询</w:t>
            </w:r>
          </w:p>
        </w:tc>
      </w:tr>
      <w:tr w14:paraId="4B41054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53BF1B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143</w:t>
            </w:r>
          </w:p>
        </w:tc>
        <w:tc>
          <w:tcPr>
            <w:tcW w:w="389" w:type="pct"/>
            <w:tcBorders>
              <w:top w:val="nil"/>
              <w:left w:val="nil"/>
              <w:bottom w:val="single" w:color="auto" w:sz="4" w:space="0"/>
              <w:right w:val="single" w:color="auto" w:sz="4" w:space="0"/>
            </w:tcBorders>
            <w:noWrap/>
            <w:vAlign w:val="center"/>
          </w:tcPr>
          <w:p w14:paraId="77B3CC9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47BDC7E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升级移动端电子签名基础功能-新增移动端待签署文件</w:t>
            </w:r>
          </w:p>
        </w:tc>
        <w:tc>
          <w:tcPr>
            <w:tcW w:w="3166" w:type="pct"/>
            <w:tcBorders>
              <w:top w:val="nil"/>
              <w:left w:val="nil"/>
              <w:bottom w:val="single" w:color="auto" w:sz="4" w:space="0"/>
              <w:right w:val="single" w:color="auto" w:sz="4" w:space="0"/>
            </w:tcBorders>
            <w:noWrap/>
            <w:vAlign w:val="center"/>
          </w:tcPr>
          <w:p w14:paraId="56A9CD9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将待签署的PDF转换成图片，通过图片进行展示，避免签署过程中的文件被人非法获取</w:t>
            </w:r>
          </w:p>
        </w:tc>
      </w:tr>
      <w:tr w14:paraId="064FB3D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87546F2">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144</w:t>
            </w:r>
          </w:p>
        </w:tc>
        <w:tc>
          <w:tcPr>
            <w:tcW w:w="389" w:type="pct"/>
            <w:tcBorders>
              <w:top w:val="nil"/>
              <w:left w:val="nil"/>
              <w:bottom w:val="single" w:color="auto" w:sz="4" w:space="0"/>
              <w:right w:val="single" w:color="auto" w:sz="4" w:space="0"/>
            </w:tcBorders>
            <w:noWrap/>
            <w:vAlign w:val="center"/>
          </w:tcPr>
          <w:p w14:paraId="662F81E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4798ADB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升级移动端电子签名基础功能-新增大型连锁机构批量签名控制</w:t>
            </w:r>
          </w:p>
        </w:tc>
        <w:tc>
          <w:tcPr>
            <w:tcW w:w="3166" w:type="pct"/>
            <w:tcBorders>
              <w:top w:val="nil"/>
              <w:left w:val="nil"/>
              <w:bottom w:val="single" w:color="auto" w:sz="4" w:space="0"/>
              <w:right w:val="single" w:color="auto" w:sz="4" w:space="0"/>
            </w:tcBorders>
            <w:noWrap/>
            <w:vAlign w:val="center"/>
          </w:tcPr>
          <w:p w14:paraId="474D94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通过与大型连锁机构批量签署授权业务、联络员授权签字业务，以及设立、变更、注销等业务的关联，控制大型连锁机构批量签名权限、逻辑和流程。</w:t>
            </w:r>
          </w:p>
        </w:tc>
      </w:tr>
      <w:tr w14:paraId="4D6BE94A">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AB1D8E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145</w:t>
            </w:r>
          </w:p>
        </w:tc>
        <w:tc>
          <w:tcPr>
            <w:tcW w:w="389" w:type="pct"/>
            <w:tcBorders>
              <w:top w:val="nil"/>
              <w:left w:val="nil"/>
              <w:bottom w:val="single" w:color="auto" w:sz="4" w:space="0"/>
              <w:right w:val="single" w:color="auto" w:sz="4" w:space="0"/>
            </w:tcBorders>
            <w:noWrap/>
            <w:vAlign w:val="center"/>
          </w:tcPr>
          <w:p w14:paraId="53DBD5F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33AB29D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升级移动端电子签名基础功能-新增H5人脸识别功能</w:t>
            </w:r>
          </w:p>
        </w:tc>
        <w:tc>
          <w:tcPr>
            <w:tcW w:w="3166" w:type="pct"/>
            <w:tcBorders>
              <w:top w:val="nil"/>
              <w:left w:val="nil"/>
              <w:bottom w:val="single" w:color="auto" w:sz="4" w:space="0"/>
              <w:right w:val="single" w:color="auto" w:sz="4" w:space="0"/>
            </w:tcBorders>
            <w:noWrap/>
            <w:vAlign w:val="center"/>
          </w:tcPr>
          <w:p w14:paraId="4871B65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通过对接多源认证SAAS服务的H5人脸识别能力，实现移动端人脸识别功能，用于“随申办 市民云”APP和小程序端的人脸识别。</w:t>
            </w:r>
          </w:p>
        </w:tc>
      </w:tr>
      <w:tr w14:paraId="183ED05D">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FE187A3">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146</w:t>
            </w:r>
          </w:p>
        </w:tc>
        <w:tc>
          <w:tcPr>
            <w:tcW w:w="389" w:type="pct"/>
            <w:tcBorders>
              <w:top w:val="nil"/>
              <w:left w:val="nil"/>
              <w:bottom w:val="single" w:color="auto" w:sz="4" w:space="0"/>
              <w:right w:val="single" w:color="auto" w:sz="4" w:space="0"/>
            </w:tcBorders>
            <w:noWrap/>
            <w:vAlign w:val="center"/>
          </w:tcPr>
          <w:p w14:paraId="4A1D443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5FCDECA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升级移动端电子签名基础功能-新增小程序电子营业执照和签名认证功能</w:t>
            </w:r>
          </w:p>
        </w:tc>
        <w:tc>
          <w:tcPr>
            <w:tcW w:w="3166" w:type="pct"/>
            <w:tcBorders>
              <w:top w:val="nil"/>
              <w:left w:val="nil"/>
              <w:bottom w:val="single" w:color="auto" w:sz="4" w:space="0"/>
              <w:right w:val="single" w:color="auto" w:sz="4" w:space="0"/>
            </w:tcBorders>
            <w:noWrap/>
            <w:vAlign w:val="center"/>
          </w:tcPr>
          <w:p w14:paraId="79FDCA1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通过随申办小程序端的电子营业执照和签名认证能力，实现小程序端企业认证功能</w:t>
            </w:r>
          </w:p>
        </w:tc>
      </w:tr>
      <w:tr w14:paraId="6C13F60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CCC4AF0">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147</w:t>
            </w:r>
          </w:p>
        </w:tc>
        <w:tc>
          <w:tcPr>
            <w:tcW w:w="389" w:type="pct"/>
            <w:tcBorders>
              <w:top w:val="nil"/>
              <w:left w:val="nil"/>
              <w:bottom w:val="single" w:color="auto" w:sz="4" w:space="0"/>
              <w:right w:val="single" w:color="auto" w:sz="4" w:space="0"/>
            </w:tcBorders>
            <w:noWrap/>
            <w:vAlign w:val="center"/>
          </w:tcPr>
          <w:p w14:paraId="0463BA2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00E8F8E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升级移动端电子签名基础功能-校验PDF有效性服务</w:t>
            </w:r>
          </w:p>
        </w:tc>
        <w:tc>
          <w:tcPr>
            <w:tcW w:w="3166" w:type="pct"/>
            <w:tcBorders>
              <w:top w:val="nil"/>
              <w:left w:val="nil"/>
              <w:bottom w:val="single" w:color="auto" w:sz="4" w:space="0"/>
              <w:right w:val="single" w:color="auto" w:sz="4" w:space="0"/>
            </w:tcBorders>
            <w:noWrap/>
            <w:vAlign w:val="center"/>
          </w:tcPr>
          <w:p w14:paraId="04A293FD">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提供PDF有效性校验功能，针对上传的PDF，进行判断，查看是否为标准PDF，查看是否可以进行签署。</w:t>
            </w:r>
          </w:p>
        </w:tc>
      </w:tr>
      <w:tr w14:paraId="42C9392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4D13FF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148</w:t>
            </w:r>
          </w:p>
        </w:tc>
        <w:tc>
          <w:tcPr>
            <w:tcW w:w="389" w:type="pct"/>
            <w:tcBorders>
              <w:top w:val="nil"/>
              <w:left w:val="nil"/>
              <w:bottom w:val="single" w:color="auto" w:sz="4" w:space="0"/>
              <w:right w:val="single" w:color="auto" w:sz="4" w:space="0"/>
            </w:tcBorders>
            <w:noWrap/>
            <w:vAlign w:val="center"/>
          </w:tcPr>
          <w:p w14:paraId="7A8FB8C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76B0802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升级移动端电子签名基础功能-实名认证流水号和签名业务的绑定</w:t>
            </w:r>
          </w:p>
        </w:tc>
        <w:tc>
          <w:tcPr>
            <w:tcW w:w="3166" w:type="pct"/>
            <w:tcBorders>
              <w:top w:val="nil"/>
              <w:left w:val="nil"/>
              <w:bottom w:val="single" w:color="auto" w:sz="4" w:space="0"/>
              <w:right w:val="single" w:color="auto" w:sz="4" w:space="0"/>
            </w:tcBorders>
            <w:noWrap/>
            <w:vAlign w:val="center"/>
          </w:tcPr>
          <w:p w14:paraId="6C31850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通过签名业务流水号贯穿整个签名流程，绑定实名认证记录，阻止通过非法手段跳过实名认证，提供系统安全性，同时便于后续的签名追溯。</w:t>
            </w:r>
          </w:p>
        </w:tc>
      </w:tr>
      <w:tr w14:paraId="4D234FD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CA3793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149</w:t>
            </w:r>
          </w:p>
        </w:tc>
        <w:tc>
          <w:tcPr>
            <w:tcW w:w="389" w:type="pct"/>
            <w:tcBorders>
              <w:top w:val="nil"/>
              <w:left w:val="nil"/>
              <w:bottom w:val="single" w:color="auto" w:sz="4" w:space="0"/>
              <w:right w:val="single" w:color="auto" w:sz="4" w:space="0"/>
            </w:tcBorders>
            <w:noWrap/>
            <w:vAlign w:val="center"/>
          </w:tcPr>
          <w:p w14:paraId="666F301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5293CF4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移动端电子签名新增业务类型-新增变更和注销业务电子签名</w:t>
            </w:r>
          </w:p>
        </w:tc>
        <w:tc>
          <w:tcPr>
            <w:tcW w:w="3166" w:type="pct"/>
            <w:tcBorders>
              <w:top w:val="nil"/>
              <w:left w:val="nil"/>
              <w:bottom w:val="single" w:color="auto" w:sz="4" w:space="0"/>
              <w:right w:val="single" w:color="auto" w:sz="4" w:space="0"/>
            </w:tcBorders>
            <w:noWrap/>
            <w:vAlign w:val="center"/>
          </w:tcPr>
          <w:p w14:paraId="0B8374C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提供变更及注销待签名办列表展示、待签名文书展示、签名结果展示、签名状态控制、签名文件锁定、签名列表手动刷新等功能和操作。</w:t>
            </w:r>
          </w:p>
        </w:tc>
      </w:tr>
      <w:tr w14:paraId="01992CA9">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EBB576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150</w:t>
            </w:r>
          </w:p>
        </w:tc>
        <w:tc>
          <w:tcPr>
            <w:tcW w:w="389" w:type="pct"/>
            <w:tcBorders>
              <w:top w:val="nil"/>
              <w:left w:val="nil"/>
              <w:bottom w:val="single" w:color="auto" w:sz="4" w:space="0"/>
              <w:right w:val="single" w:color="auto" w:sz="4" w:space="0"/>
            </w:tcBorders>
            <w:noWrap/>
            <w:vAlign w:val="center"/>
          </w:tcPr>
          <w:p w14:paraId="5415ECC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68288120">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移动端电子签名新增业务类型-新增大型连锁机构电子签名</w:t>
            </w:r>
          </w:p>
        </w:tc>
        <w:tc>
          <w:tcPr>
            <w:tcW w:w="3166" w:type="pct"/>
            <w:tcBorders>
              <w:top w:val="nil"/>
              <w:left w:val="nil"/>
              <w:bottom w:val="single" w:color="auto" w:sz="4" w:space="0"/>
              <w:right w:val="single" w:color="auto" w:sz="4" w:space="0"/>
            </w:tcBorders>
            <w:noWrap/>
            <w:vAlign w:val="center"/>
          </w:tcPr>
          <w:p w14:paraId="74EEA0B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大型连锁机构待签名办列表展示、待签名文书展示、签名结果展示、签名状态自动刷新、签名列表手动刷新、批量签署特殊控制（可跨业务批量签署）</w:t>
            </w:r>
          </w:p>
        </w:tc>
      </w:tr>
      <w:tr w14:paraId="1D4E162B">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6C52F348">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151</w:t>
            </w:r>
          </w:p>
        </w:tc>
        <w:tc>
          <w:tcPr>
            <w:tcW w:w="389" w:type="pct"/>
            <w:tcBorders>
              <w:top w:val="nil"/>
              <w:left w:val="nil"/>
              <w:bottom w:val="single" w:color="auto" w:sz="4" w:space="0"/>
              <w:right w:val="single" w:color="auto" w:sz="4" w:space="0"/>
            </w:tcBorders>
            <w:noWrap/>
            <w:vAlign w:val="center"/>
          </w:tcPr>
          <w:p w14:paraId="454C119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124B733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“随申办 市民云”APP电子签名调整-登记注册身份验证SDK优化</w:t>
            </w:r>
          </w:p>
        </w:tc>
        <w:tc>
          <w:tcPr>
            <w:tcW w:w="3166" w:type="pct"/>
            <w:tcBorders>
              <w:top w:val="nil"/>
              <w:left w:val="nil"/>
              <w:bottom w:val="single" w:color="auto" w:sz="4" w:space="0"/>
              <w:right w:val="single" w:color="auto" w:sz="4" w:space="0"/>
            </w:tcBorders>
            <w:noWrap/>
            <w:vAlign w:val="center"/>
          </w:tcPr>
          <w:p w14:paraId="739103D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验证信息填写页新增字段“验证结果有效期”提供三个选项20天、40天、60天供申请人选择（均指自然日），并提供提示：请按需选择验证结果有效期，申办登记时间超过有效期的，需重新验证。</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进入“登记注册身份验证”程序后，取消第一次人脸识别，新流程为：进入程序后，选择实名手机、支付宝或实名银行卡进行验证，通过的，展示历史验证记录并可以创建新验证。创建新验证完成信息录入后，进行人脸识别即完成验证。</w:t>
            </w:r>
          </w:p>
        </w:tc>
      </w:tr>
      <w:tr w14:paraId="55A8DE3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7B5443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152</w:t>
            </w:r>
          </w:p>
        </w:tc>
        <w:tc>
          <w:tcPr>
            <w:tcW w:w="389" w:type="pct"/>
            <w:tcBorders>
              <w:top w:val="nil"/>
              <w:left w:val="nil"/>
              <w:bottom w:val="single" w:color="auto" w:sz="4" w:space="0"/>
              <w:right w:val="single" w:color="auto" w:sz="4" w:space="0"/>
            </w:tcBorders>
            <w:noWrap/>
            <w:vAlign w:val="center"/>
          </w:tcPr>
          <w:p w14:paraId="6006CE9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0030642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“随申办 市民云”APP电子签名调整-新增自然人电子签名-自然人电子签名</w:t>
            </w:r>
          </w:p>
        </w:tc>
        <w:tc>
          <w:tcPr>
            <w:tcW w:w="3166" w:type="pct"/>
            <w:tcBorders>
              <w:top w:val="nil"/>
              <w:left w:val="nil"/>
              <w:bottom w:val="single" w:color="auto" w:sz="4" w:space="0"/>
              <w:right w:val="single" w:color="auto" w:sz="4" w:space="0"/>
            </w:tcBorders>
            <w:noWrap/>
            <w:vAlign w:val="center"/>
          </w:tcPr>
          <w:p w14:paraId="5B7FECB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将移动端电子签名功能从移动端上海企业在线中剥离出来，解除与整体框架的内部依赖服务，对列表控件、loading控件、页面间消息传递组件、接口数据处理组件等组件进行封装，并建立自身的路由、权限、队列、缓存等基础服务，形成可独立部署的独立应用。</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2、需要对与单点登录、电子营业执照、多源认证服务等第三方的对接进行改造，已满足电子签名功能自身可以独立拉起各类第三方服务。</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3、建立独立的电子签名应用首页，方便嵌入到随申办等第三方平台。</w:t>
            </w:r>
          </w:p>
        </w:tc>
      </w:tr>
      <w:tr w14:paraId="565AE0DC">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4A61622F">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153</w:t>
            </w:r>
          </w:p>
        </w:tc>
        <w:tc>
          <w:tcPr>
            <w:tcW w:w="389" w:type="pct"/>
            <w:tcBorders>
              <w:top w:val="nil"/>
              <w:left w:val="nil"/>
              <w:bottom w:val="single" w:color="auto" w:sz="4" w:space="0"/>
              <w:right w:val="single" w:color="auto" w:sz="4" w:space="0"/>
            </w:tcBorders>
            <w:noWrap/>
            <w:vAlign w:val="center"/>
          </w:tcPr>
          <w:p w14:paraId="1500712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4D00C07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“随申办 市民云”APP电子签名调整-新增自然人电子签名-自然人电子签名应用适配调整</w:t>
            </w:r>
          </w:p>
        </w:tc>
        <w:tc>
          <w:tcPr>
            <w:tcW w:w="3166" w:type="pct"/>
            <w:tcBorders>
              <w:top w:val="nil"/>
              <w:left w:val="nil"/>
              <w:bottom w:val="single" w:color="auto" w:sz="4" w:space="0"/>
              <w:right w:val="single" w:color="auto" w:sz="4" w:space="0"/>
            </w:tcBorders>
            <w:noWrap/>
            <w:vAlign w:val="center"/>
          </w:tcPr>
          <w:p w14:paraId="30E4D8B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对自然人电子签名功能进行移动端适配，确保其在市民云平台中的流畅运行。</w:t>
            </w:r>
          </w:p>
        </w:tc>
      </w:tr>
      <w:tr w14:paraId="5D91AE91">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77145D7">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154</w:t>
            </w:r>
          </w:p>
        </w:tc>
        <w:tc>
          <w:tcPr>
            <w:tcW w:w="389" w:type="pct"/>
            <w:tcBorders>
              <w:top w:val="nil"/>
              <w:left w:val="nil"/>
              <w:bottom w:val="single" w:color="auto" w:sz="4" w:space="0"/>
              <w:right w:val="single" w:color="auto" w:sz="4" w:space="0"/>
            </w:tcBorders>
            <w:noWrap/>
            <w:vAlign w:val="center"/>
          </w:tcPr>
          <w:p w14:paraId="4F9134D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10A570D5">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“随申办 市民云”APP电子签名调整-电子签名与“随申办 市民云”APP适配</w:t>
            </w:r>
          </w:p>
        </w:tc>
        <w:tc>
          <w:tcPr>
            <w:tcW w:w="3166" w:type="pct"/>
            <w:tcBorders>
              <w:top w:val="nil"/>
              <w:left w:val="nil"/>
              <w:bottom w:val="single" w:color="auto" w:sz="4" w:space="0"/>
              <w:right w:val="single" w:color="auto" w:sz="4" w:space="0"/>
            </w:tcBorders>
            <w:noWrap/>
            <w:vAlign w:val="center"/>
          </w:tcPr>
          <w:p w14:paraId="35E6427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与“随申办 市民云”用户体系对接，实现单点登录，并带入用户信息，预填后续实名认证的自然人基本信息。</w:t>
            </w:r>
          </w:p>
        </w:tc>
      </w:tr>
      <w:tr w14:paraId="36CF91E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38E2E5D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155</w:t>
            </w:r>
          </w:p>
        </w:tc>
        <w:tc>
          <w:tcPr>
            <w:tcW w:w="389" w:type="pct"/>
            <w:tcBorders>
              <w:top w:val="nil"/>
              <w:left w:val="nil"/>
              <w:bottom w:val="single" w:color="auto" w:sz="4" w:space="0"/>
              <w:right w:val="single" w:color="auto" w:sz="4" w:space="0"/>
            </w:tcBorders>
            <w:noWrap/>
            <w:vAlign w:val="center"/>
          </w:tcPr>
          <w:p w14:paraId="73992C6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5649FC9B">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新增小程序端电子签名-电子签名（随申办微信小程序端）</w:t>
            </w:r>
          </w:p>
        </w:tc>
        <w:tc>
          <w:tcPr>
            <w:tcW w:w="3166" w:type="pct"/>
            <w:tcBorders>
              <w:top w:val="nil"/>
              <w:left w:val="nil"/>
              <w:bottom w:val="single" w:color="auto" w:sz="4" w:space="0"/>
              <w:right w:val="single" w:color="auto" w:sz="4" w:space="0"/>
            </w:tcBorders>
            <w:noWrap/>
            <w:vAlign w:val="center"/>
          </w:tcPr>
          <w:p w14:paraId="6F6CAA5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面向随身办微信小程序的应用集成，包括应用微信端API和上下文处理（签名程序发起和反馈的跨小程序通讯），在随申办微信小程序内实现电子签名：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实现与“随申办”微信小程序的系统对接，支持用户在该平台内使用电子签名服务。实现本签名应用与“随申办”微信小程序平台的深度集成。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Ø微信开放平台配置：完成小程序注册、服务器域名配置、授权域名配置等，确保应用在微信环境中可正常运行。</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Ø微信用户体系对接：集成微信登录能力，获取用户的微信OpenID，并与随申办实名用户体系进行关联，实现免登或一键登录。</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Ø微信特定API调用：适配并使用微信小程序特有的API，如获取手机号、分享等，确保功能与体验符合微信平台规范。</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提供微信小程序端的自然人电子签名调用能力，优化用户体验。在微信小程序平台环境下，面向微信应用环境进行定制和适配：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Ø微信环境适配：确保所有H5页面（特别是CA的认证页）在微信内置浏览器（X5内核）中完全兼容，无显示或功能异常。</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Ø微信登录集成：在签名流程开始前，优先通过微信登录获取用户标识，平滑过渡到CA认证流程。</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Ø微信用户信息预填：可根据微信授权获得的用户信息（如姓名、身份证号经用户同意后），尝试预填CA认证表单，提升用户体验</w:t>
            </w:r>
          </w:p>
        </w:tc>
      </w:tr>
      <w:tr w14:paraId="3B934FB4">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541C99FD">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156</w:t>
            </w:r>
          </w:p>
        </w:tc>
        <w:tc>
          <w:tcPr>
            <w:tcW w:w="389" w:type="pct"/>
            <w:tcBorders>
              <w:top w:val="nil"/>
              <w:left w:val="nil"/>
              <w:bottom w:val="single" w:color="auto" w:sz="4" w:space="0"/>
              <w:right w:val="single" w:color="auto" w:sz="4" w:space="0"/>
            </w:tcBorders>
            <w:noWrap/>
            <w:vAlign w:val="center"/>
          </w:tcPr>
          <w:p w14:paraId="684C67A8">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移动端电子签名功能拓展</w:t>
            </w:r>
          </w:p>
        </w:tc>
        <w:tc>
          <w:tcPr>
            <w:tcW w:w="1191" w:type="pct"/>
            <w:tcBorders>
              <w:top w:val="nil"/>
              <w:left w:val="nil"/>
              <w:bottom w:val="single" w:color="auto" w:sz="4" w:space="0"/>
              <w:right w:val="single" w:color="auto" w:sz="4" w:space="0"/>
            </w:tcBorders>
            <w:noWrap/>
            <w:vAlign w:val="center"/>
          </w:tcPr>
          <w:p w14:paraId="563195AF">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新增小程序端电子签名-电子签名（随申办支付宝小程序端）</w:t>
            </w:r>
          </w:p>
        </w:tc>
        <w:tc>
          <w:tcPr>
            <w:tcW w:w="3166" w:type="pct"/>
            <w:tcBorders>
              <w:top w:val="nil"/>
              <w:left w:val="nil"/>
              <w:bottom w:val="single" w:color="auto" w:sz="4" w:space="0"/>
              <w:right w:val="single" w:color="auto" w:sz="4" w:space="0"/>
            </w:tcBorders>
            <w:noWrap/>
            <w:vAlign w:val="center"/>
          </w:tcPr>
          <w:p w14:paraId="47484BDE">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面向随身办支付宝小程序的应用集成，包括应用支付宝端API和上下文处理（签名程序发起和反馈的跨小程序通讯），在随申办支付宝小程序内实现电子签名：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实现与“随申办”支付宝小程序的系统对接，扩展电子签名服务覆盖范围。实现本签名应用与“随申办”支付宝小程序平台的深度集成。</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Ø支付宝开放平台配置：完成小程序创建、接口权限申请、安全域名配置等。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Ø支付宝用户体系对接：集成支付宝用户授权登录，获取用户的支付宝UserID，与后台用户身份绑定。</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Ø支付宝特定API调用：适配并使用支付宝小程序特有的API，如支付宝认证、小程序跳转等。</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提供支付宝小程序端的自然人电子签名调用能力，支持多平台用户使用。在支付宝小程序平台环境下，面向支付宝应用环境进行定制和适配：</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Ø支付宝环境适配：确保所有H5页面在支付宝小程序容器内兼容性良好。</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Ø支付宝认证能力利用：与支付宝自身的实名认证能力结合，作为CA认证的一种替代或前置验证。</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ØAlipayJSAPI调用：使用支付宝提供的JSAPI处理跳转、授权等交互，符合支付宝平台的开发规范和要求。</w:t>
            </w:r>
          </w:p>
        </w:tc>
      </w:tr>
      <w:tr w14:paraId="7BE736F0">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1D656DE1">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157</w:t>
            </w:r>
          </w:p>
        </w:tc>
        <w:tc>
          <w:tcPr>
            <w:tcW w:w="389" w:type="pct"/>
            <w:tcBorders>
              <w:top w:val="nil"/>
              <w:left w:val="nil"/>
              <w:bottom w:val="single" w:color="auto" w:sz="4" w:space="0"/>
              <w:right w:val="single" w:color="auto" w:sz="4" w:space="0"/>
            </w:tcBorders>
            <w:noWrap/>
            <w:vAlign w:val="center"/>
          </w:tcPr>
          <w:p w14:paraId="57352123">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密码应用改造</w:t>
            </w:r>
          </w:p>
        </w:tc>
        <w:tc>
          <w:tcPr>
            <w:tcW w:w="1191" w:type="pct"/>
            <w:tcBorders>
              <w:top w:val="nil"/>
              <w:left w:val="nil"/>
              <w:bottom w:val="single" w:color="auto" w:sz="4" w:space="0"/>
              <w:right w:val="single" w:color="auto" w:sz="4" w:space="0"/>
            </w:tcBorders>
            <w:vAlign w:val="center"/>
          </w:tcPr>
          <w:p w14:paraId="2C4511BC">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密码应用部署</w:t>
            </w:r>
          </w:p>
        </w:tc>
        <w:tc>
          <w:tcPr>
            <w:tcW w:w="3166" w:type="pct"/>
            <w:tcBorders>
              <w:top w:val="nil"/>
              <w:left w:val="nil"/>
              <w:bottom w:val="single" w:color="auto" w:sz="4" w:space="0"/>
              <w:right w:val="single" w:color="auto" w:sz="4" w:space="0"/>
            </w:tcBorders>
            <w:vAlign w:val="center"/>
          </w:tcPr>
          <w:p w14:paraId="70C620DA">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 用户身份认证机制模块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利旧现有用户身份认证机制模块，调用云平台提供的安全认证网关服务接口，并在终端部署用户证书、服务端部署站点证书，绑定应用用户数字证书和应用用户ID，实现对终端和服务端身份的鉴别。</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2. 用户访问控制信息签名验签模块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利旧现有用户访问控制信息签名验签模块，调用云平台提供的签名验签服务接口，实现应用系统登录用户的访问控制列表完整性保护。</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3. 应用系统重要数据签名验签模块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利旧应用系统重要数据签名验签模块，调用云平台提供的签名验签服务接口，实现登录用户身份鉴别数据、业务日志、重要业务数据的存储完整性保护。</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4. 应用系统重要数据加解密模块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利旧应用系统重要数据加解密模块，调用云平台提供的数据库加密服务接口，实现登录用户身份鉴别数据、重要业务数据等结构化数据的存储机密性保护。</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5. 服务器虚拟机设备日志/访问控制信息完整性模块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利旧服务器虚拟机设备日志/访问控制信息完整性模块，调用云平台提供的签名验签服务接口，实现应用服务器虚拟机、数据库服务器虚拟机等设备日志/访问控制信息的完整性保护。</w:t>
            </w:r>
          </w:p>
        </w:tc>
      </w:tr>
      <w:tr w14:paraId="5CF6B9CE">
        <w:tblPrEx>
          <w:tblCellMar>
            <w:top w:w="0" w:type="dxa"/>
            <w:left w:w="108" w:type="dxa"/>
            <w:bottom w:w="0" w:type="dxa"/>
            <w:right w:w="108" w:type="dxa"/>
          </w:tblCellMar>
        </w:tblPrEx>
        <w:trPr>
          <w:trHeight w:val="288" w:hRule="atLeast"/>
        </w:trPr>
        <w:tc>
          <w:tcPr>
            <w:tcW w:w="254" w:type="pct"/>
            <w:tcBorders>
              <w:top w:val="nil"/>
              <w:left w:val="single" w:color="auto" w:sz="4" w:space="0"/>
              <w:bottom w:val="single" w:color="auto" w:sz="4" w:space="0"/>
              <w:right w:val="single" w:color="auto" w:sz="4" w:space="0"/>
            </w:tcBorders>
            <w:noWrap/>
            <w:vAlign w:val="center"/>
          </w:tcPr>
          <w:p w14:paraId="70339D2E">
            <w:pPr>
              <w:widowControl/>
              <w:spacing w:line="240" w:lineRule="auto"/>
              <w:ind w:firstLine="0" w:firstLineChars="0"/>
              <w:jc w:val="righ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158</w:t>
            </w:r>
          </w:p>
        </w:tc>
        <w:tc>
          <w:tcPr>
            <w:tcW w:w="389" w:type="pct"/>
            <w:tcBorders>
              <w:top w:val="nil"/>
              <w:left w:val="nil"/>
              <w:bottom w:val="single" w:color="auto" w:sz="4" w:space="0"/>
              <w:right w:val="single" w:color="auto" w:sz="4" w:space="0"/>
            </w:tcBorders>
            <w:noWrap/>
            <w:vAlign w:val="center"/>
          </w:tcPr>
          <w:p w14:paraId="0721E1A1">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密码应用改造</w:t>
            </w:r>
          </w:p>
        </w:tc>
        <w:tc>
          <w:tcPr>
            <w:tcW w:w="1191" w:type="pct"/>
            <w:tcBorders>
              <w:top w:val="nil"/>
              <w:left w:val="nil"/>
              <w:bottom w:val="single" w:color="auto" w:sz="4" w:space="0"/>
              <w:right w:val="single" w:color="auto" w:sz="4" w:space="0"/>
            </w:tcBorders>
            <w:vAlign w:val="center"/>
          </w:tcPr>
          <w:p w14:paraId="39D990F7">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14:textFill>
                  <w14:solidFill>
                    <w14:schemeClr w14:val="tx1"/>
                  </w14:solidFill>
                </w14:textFill>
              </w:rPr>
              <w:t>密码应用功能模块组成</w:t>
            </w:r>
          </w:p>
        </w:tc>
        <w:tc>
          <w:tcPr>
            <w:tcW w:w="3166" w:type="pct"/>
            <w:tcBorders>
              <w:top w:val="nil"/>
              <w:left w:val="nil"/>
              <w:bottom w:val="single" w:color="auto" w:sz="4" w:space="0"/>
              <w:right w:val="single" w:color="auto" w:sz="4" w:space="0"/>
            </w:tcBorders>
            <w:vAlign w:val="center"/>
          </w:tcPr>
          <w:p w14:paraId="6A9B2566">
            <w:pPr>
              <w:widowControl/>
              <w:spacing w:line="240" w:lineRule="auto"/>
              <w:ind w:firstLine="0" w:firstLineChars="0"/>
              <w:jc w:val="left"/>
              <w:rPr>
                <w:rFonts w:hint="eastAsia" w:cs="宋体"/>
                <w:color w:val="000000" w:themeColor="text1"/>
                <w:kern w:val="0"/>
                <w:sz w:val="22"/>
                <w:szCs w:val="22"/>
                <w14:textFill>
                  <w14:solidFill>
                    <w14:schemeClr w14:val="tx1"/>
                  </w14:solidFill>
                </w14:textFill>
              </w:rPr>
            </w:pPr>
            <w:r>
              <w:rPr>
                <w:rFonts w:hint="eastAsia" w:cs="宋体"/>
                <w:color w:val="000000" w:themeColor="text1"/>
                <w:kern w:val="0"/>
                <w:sz w:val="22"/>
                <w:szCs w:val="22"/>
                <w:lang w:val="en-US" w:eastAsia="zh-CN"/>
                <w14:textFill>
                  <w14:solidFill>
                    <w14:schemeClr w14:val="tx1"/>
                  </w14:solidFill>
                </w14:textFill>
              </w:rPr>
              <w:t>1</w:t>
            </w:r>
            <w:r>
              <w:rPr>
                <w:rFonts w:hint="eastAsia" w:cs="宋体"/>
                <w:color w:val="000000" w:themeColor="text1"/>
                <w:kern w:val="0"/>
                <w:sz w:val="22"/>
                <w:szCs w:val="22"/>
                <w14:textFill>
                  <w14:solidFill>
                    <w14:schemeClr w14:val="tx1"/>
                  </w14:solidFill>
                </w14:textFill>
              </w:rPr>
              <w:t>. 业务重要数据安全传输模块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利旧业务重要数据安全传输模块，调用云平台提供的安全认证网关服务接口，实现应用系统通信数据的机密性和完整性保护。</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lang w:val="en-US" w:eastAsia="zh-CN"/>
                <w14:textFill>
                  <w14:solidFill>
                    <w14:schemeClr w14:val="tx1"/>
                  </w14:solidFill>
                </w14:textFill>
              </w:rPr>
              <w:t>2</w:t>
            </w:r>
            <w:r>
              <w:rPr>
                <w:rFonts w:hint="eastAsia" w:cs="宋体"/>
                <w:color w:val="000000" w:themeColor="text1"/>
                <w:kern w:val="0"/>
                <w:sz w:val="22"/>
                <w:szCs w:val="22"/>
                <w14:textFill>
                  <w14:solidFill>
                    <w14:schemeClr w14:val="tx1"/>
                  </w14:solidFill>
                </w14:textFill>
              </w:rPr>
              <w:t>. 重要可执行程序签名验签模块</w:t>
            </w:r>
            <w:r>
              <w:rPr>
                <w:rFonts w:hint="eastAsia" w:cs="宋体"/>
                <w:color w:val="000000" w:themeColor="text1"/>
                <w:kern w:val="0"/>
                <w:sz w:val="22"/>
                <w:szCs w:val="22"/>
                <w14:textFill>
                  <w14:solidFill>
                    <w14:schemeClr w14:val="tx1"/>
                  </w14:solidFill>
                </w14:textFill>
              </w:rPr>
              <w:br w:type="textWrapping"/>
            </w:r>
            <w:r>
              <w:rPr>
                <w:rFonts w:hint="eastAsia" w:cs="宋体"/>
                <w:color w:val="000000" w:themeColor="text1"/>
                <w:kern w:val="0"/>
                <w:sz w:val="22"/>
                <w:szCs w:val="22"/>
                <w14:textFill>
                  <w14:solidFill>
                    <w14:schemeClr w14:val="tx1"/>
                  </w14:solidFill>
                </w14:textFill>
              </w:rPr>
              <w:t>利旧重要可执行程序签名验签模块，调用云平台提供的签名验签服务接口，实现重要可执行程序的完整性、来源真实性保护。</w:t>
            </w:r>
          </w:p>
        </w:tc>
      </w:tr>
    </w:tbl>
    <w:p w14:paraId="0043086E">
      <w:pPr>
        <w:rPr>
          <w:rFonts w:hint="eastAsia"/>
          <w:color w:val="000000" w:themeColor="text1"/>
          <w14:textFill>
            <w14:solidFill>
              <w14:schemeClr w14:val="tx1"/>
            </w14:solidFill>
          </w14:textFill>
        </w:rPr>
      </w:pPr>
    </w:p>
    <w:p w14:paraId="65BC8F5C">
      <w:pPr>
        <w:pStyle w:val="2"/>
        <w:rPr>
          <w:rFonts w:hint="eastAsia"/>
          <w:color w:val="000000" w:themeColor="text1"/>
          <w14:textFill>
            <w14:solidFill>
              <w14:schemeClr w14:val="tx1"/>
            </w14:solidFill>
          </w14:textFill>
        </w:rPr>
      </w:pPr>
      <w:bookmarkStart w:id="26" w:name="_Toc62219358"/>
      <w:bookmarkEnd w:id="26"/>
      <w:bookmarkStart w:id="27" w:name="_Toc63762370"/>
      <w:bookmarkEnd w:id="27"/>
      <w:bookmarkStart w:id="28" w:name="_Toc62209488"/>
      <w:bookmarkEnd w:id="28"/>
      <w:bookmarkStart w:id="29" w:name="_Toc63785504"/>
      <w:bookmarkEnd w:id="29"/>
      <w:bookmarkStart w:id="30" w:name="_Toc63585480"/>
      <w:bookmarkEnd w:id="30"/>
      <w:bookmarkStart w:id="31" w:name="_Toc63785439"/>
      <w:bookmarkEnd w:id="31"/>
      <w:bookmarkStart w:id="32" w:name="_Toc63151871"/>
      <w:bookmarkEnd w:id="32"/>
      <w:bookmarkStart w:id="33" w:name="_Toc61968111"/>
      <w:bookmarkEnd w:id="33"/>
      <w:bookmarkStart w:id="34" w:name="_Toc63785505"/>
      <w:r>
        <w:rPr>
          <w:rFonts w:hint="eastAsia"/>
          <w:color w:val="000000" w:themeColor="text1"/>
          <w14:textFill>
            <w14:solidFill>
              <w14:schemeClr w14:val="tx1"/>
            </w14:solidFill>
          </w14:textFill>
        </w:rPr>
        <w:t>电子政务云资源及低代码建设要求</w:t>
      </w:r>
    </w:p>
    <w:p w14:paraId="0DD4A0D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根据项目前期资源现状，本次建设根据估算拟向电子政务云申请11台虚拟服务器资源CPU 176核 、内存384G、存储6500G。（以实际批复资源为准）。</w:t>
      </w:r>
    </w:p>
    <w:p w14:paraId="67B15E4F">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本次建设不涉及低代码建设内容。</w:t>
      </w:r>
    </w:p>
    <w:p w14:paraId="09FF9E43">
      <w:pPr>
        <w:pStyle w:val="2"/>
        <w:rPr>
          <w:rFonts w:hint="eastAsia"/>
          <w:color w:val="000000" w:themeColor="text1"/>
          <w14:textFill>
            <w14:solidFill>
              <w14:schemeClr w14:val="tx1"/>
            </w14:solidFill>
          </w14:textFill>
        </w:rPr>
      </w:pPr>
      <w:bookmarkStart w:id="35" w:name="_Toc63785503"/>
      <w:r>
        <w:rPr>
          <w:rFonts w:hint="eastAsia"/>
          <w:color w:val="000000" w:themeColor="text1"/>
          <w14:textFill>
            <w14:solidFill>
              <w14:schemeClr w14:val="tx1"/>
            </w14:solidFill>
          </w14:textFill>
        </w:rPr>
        <w:t>其他工作要求</w:t>
      </w:r>
      <w:bookmarkEnd w:id="35"/>
    </w:p>
    <w:p w14:paraId="75CC561A">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售后服务要求</w:t>
      </w:r>
      <w:bookmarkEnd w:id="34"/>
    </w:p>
    <w:p w14:paraId="3B100C32">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本项目从系统验收通过之日起1年内提供</w:t>
      </w:r>
      <w:r>
        <w:rPr>
          <w:rFonts w:ascii="宋体" w:hAnsi="宋体"/>
          <w:color w:val="000000" w:themeColor="text1"/>
          <w:sz w:val="24"/>
          <w:szCs w:val="24"/>
          <w14:textFill>
            <w14:solidFill>
              <w14:schemeClr w14:val="tx1"/>
            </w14:solidFill>
          </w14:textFill>
        </w:rPr>
        <w:t>7*24小时免费技术支持</w:t>
      </w:r>
      <w:r>
        <w:rPr>
          <w:rFonts w:hint="eastAsia" w:ascii="宋体" w:hAnsi="宋体"/>
          <w:color w:val="000000" w:themeColor="text1"/>
          <w:sz w:val="24"/>
          <w:szCs w:val="24"/>
          <w14:textFill>
            <w14:solidFill>
              <w14:schemeClr w14:val="tx1"/>
            </w14:solidFill>
          </w14:textFill>
        </w:rPr>
        <w:t>和售后服务，1年后进入有偿维护期。</w:t>
      </w:r>
    </w:p>
    <w:p w14:paraId="71B0B19A">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在质量保证期内，供应商将按照售后服务的承诺提供保修和运行维护服务，如果厂商对信息系统中软、硬件设备等产品中的部分保修期超过上述期限的，则按照厂商的规定进行免费保修。</w:t>
      </w:r>
    </w:p>
    <w:p w14:paraId="229A602D">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在质量保证期内，供应商负责信息系统的运行维护工作，确保信息系统安全、稳定、可靠地运行。供应商承诺，维护期内的技术服务免费，并至少提供以下服务：</w:t>
      </w:r>
    </w:p>
    <w:p w14:paraId="1768624F">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供应商在响应文件中详细列出售后服务清单，对每项服务需明确服务提供方名称、服务内容、服务方式、服务人员技术要求以及服务响应时间等。</w:t>
      </w:r>
    </w:p>
    <w:p w14:paraId="1A9040E0">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供应商应有专业售后服务团队，可按本需求要求及时提供本需求约定的服务。</w:t>
      </w:r>
    </w:p>
    <w:p w14:paraId="2B15927D">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在保修期免费维护期结束前，进行至少一次全面检查，任何缺陷由供应商负责修理，在修理之后，项目实施方将缺陷原因、修理内容、完成修理及恢复正常的时间和日期等报告给采购人。</w:t>
      </w:r>
    </w:p>
    <w:p w14:paraId="75A19954">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供应商具备相关的售后服务体系，在承诺服务期内提供完善、及时、无推诿的应用软件等项目实施范围内的服务保障。供应商需保障项目建设过程中、建成后的服务，满足国家相关信息安全防护的相关要求。</w:t>
      </w:r>
    </w:p>
    <w:p w14:paraId="53841623">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ab/>
      </w:r>
      <w:r>
        <w:rPr>
          <w:rFonts w:ascii="宋体" w:hAnsi="宋体"/>
          <w:color w:val="000000" w:themeColor="text1"/>
          <w:sz w:val="24"/>
          <w:szCs w:val="24"/>
          <w14:textFill>
            <w14:solidFill>
              <w14:schemeClr w14:val="tx1"/>
            </w14:solidFill>
          </w14:textFill>
        </w:rPr>
        <w:t>供应商应配合采购人做好系统运行情况健康体征监测和数据归集工作。</w:t>
      </w:r>
    </w:p>
    <w:p w14:paraId="0D5228D7">
      <w:pPr>
        <w:pStyle w:val="3"/>
        <w:rPr>
          <w:rFonts w:hint="eastAsia"/>
          <w:color w:val="000000" w:themeColor="text1"/>
          <w14:textFill>
            <w14:solidFill>
              <w14:schemeClr w14:val="tx1"/>
            </w14:solidFill>
          </w14:textFill>
        </w:rPr>
      </w:pPr>
      <w:bookmarkStart w:id="36" w:name="_Toc63785506"/>
      <w:r>
        <w:rPr>
          <w:rFonts w:hint="eastAsia"/>
          <w:color w:val="000000" w:themeColor="text1"/>
          <w14:textFill>
            <w14:solidFill>
              <w14:schemeClr w14:val="tx1"/>
            </w14:solidFill>
          </w14:textFill>
        </w:rPr>
        <w:t>应急响应要求</w:t>
      </w:r>
      <w:bookmarkEnd w:id="36"/>
    </w:p>
    <w:p w14:paraId="32ED5DCD">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供应商对系统故障应能够实时响应，若系统发生故障，接到通知后30分钟之内响应，专业工程师2小时内到达现场。特殊故障与采购人沟通协商后，按照协商的方式制定解决方案并进行处理。</w:t>
      </w:r>
    </w:p>
    <w:p w14:paraId="57345491">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具体故障级别及对应的应急响应要求如下：</w:t>
      </w:r>
    </w:p>
    <w:p w14:paraId="0D9D2961">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一级故障：在1小时内确诊，总故障解决时间不超过4小时。</w:t>
      </w:r>
    </w:p>
    <w:p w14:paraId="61491486">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二级故障：在2小时内确诊，并在4小时内由专家到达现场确诊并解决，总故障解决时间不超过8小时；</w:t>
      </w:r>
    </w:p>
    <w:p w14:paraId="4BA551EA">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三、四级故障：在4小时内确诊故障，总故障解决时间不超过16小时。</w:t>
      </w:r>
    </w:p>
    <w:p w14:paraId="204453CE">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依据故障时间及故障范围划分故障级别，故障级别分为四级，依次为Ⅰ级（紧急）、Ⅱ级（严重）、Ⅲ级（较大）和Ⅳ级（一般），分别定义如下：</w:t>
      </w:r>
    </w:p>
    <w:p w14:paraId="784FB87C">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Ⅰ级（紧急）故障为工作时间段（8:30——17:30）内大范围故障；</w:t>
      </w:r>
    </w:p>
    <w:p w14:paraId="25656529">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Ⅱ级（严重）故障为非工作时间段（17:30——次日8:30）内大范围故障；</w:t>
      </w:r>
    </w:p>
    <w:p w14:paraId="3DE68FF7">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Ⅲ级（较大）故障为工作时间段（8:30——17:30）内小范围故障；</w:t>
      </w:r>
    </w:p>
    <w:p w14:paraId="512DC7CD">
      <w:pPr>
        <w:spacing w:line="6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Ⅳ级（一般）故障为非工作时间段（17:30——次日8:30）内小范围故障；</w:t>
      </w:r>
    </w:p>
    <w:p w14:paraId="5EE6E3A3">
      <w:pPr>
        <w:pStyle w:val="106"/>
        <w:snapToGrid w:val="0"/>
        <w:spacing w:line="360" w:lineRule="auto"/>
        <w:ind w:firstLine="480"/>
        <w:rPr>
          <w:rFonts w:hint="eastAsia" w:ascii="宋体" w:hAnsi="宋体"/>
          <w:color w:val="000000" w:themeColor="text1"/>
          <w:sz w:val="24"/>
          <w:szCs w:val="24"/>
          <w14:textFill>
            <w14:solidFill>
              <w14:schemeClr w14:val="tx1"/>
            </w14:solidFill>
          </w14:textFill>
        </w:rPr>
      </w:pPr>
    </w:p>
    <w:p w14:paraId="5AB7C1CD">
      <w:pPr>
        <w:pStyle w:val="3"/>
        <w:rPr>
          <w:rFonts w:hint="eastAsia"/>
          <w:color w:val="000000" w:themeColor="text1"/>
          <w14:textFill>
            <w14:solidFill>
              <w14:schemeClr w14:val="tx1"/>
            </w14:solidFill>
          </w14:textFill>
        </w:rPr>
      </w:pPr>
      <w:bookmarkStart w:id="37" w:name="_Toc63785507"/>
      <w:r>
        <w:rPr>
          <w:rFonts w:hint="eastAsia"/>
          <w:color w:val="000000" w:themeColor="text1"/>
          <w14:textFill>
            <w14:solidFill>
              <w14:schemeClr w14:val="tx1"/>
            </w14:solidFill>
          </w14:textFill>
        </w:rPr>
        <w:t>培训要求</w:t>
      </w:r>
      <w:bookmarkEnd w:id="37"/>
    </w:p>
    <w:p w14:paraId="51D9A07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24ED620D">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(2)供应商应配合采购人开展相关安全制度和规范的制定，并根据项目实际，制定项目实施过程安全管理方案。</w:t>
      </w:r>
    </w:p>
    <w:p w14:paraId="41D75361">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7CA69517">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1DB27FEE">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(5)供应商应在项目实施过程中，按照数据差异化安全防护策略，根据系统需要采取数据加密、数据访问控制、日志记录、流转监测等防护能力及相关管理流程，切实保障数据安全。</w:t>
      </w:r>
    </w:p>
    <w:p w14:paraId="63E2889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(6)供应商应按照采购人场地及人员安全管理制度，加强人员管理，配合采购人落实人员背调、入离场、终端管理、网络限制、数据权限最小化等管控措施。</w:t>
      </w:r>
    </w:p>
    <w:p w14:paraId="049E7BAC">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4EFB2A29">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(8)供应商应在系统免维期内承担系统安全运维管理责任，落实安全管理保障措施，包括但不限于制度修订、风险排查、应急响应、漏洞修复、重保等工作。</w:t>
      </w:r>
    </w:p>
    <w:p w14:paraId="01F82A95">
      <w:pPr>
        <w:rPr>
          <w:rFonts w:hint="eastAsia"/>
          <w:color w:val="000000" w:themeColor="text1"/>
          <w14:textFill>
            <w14:solidFill>
              <w14:schemeClr w14:val="tx1"/>
            </w14:solidFill>
          </w14:textFill>
        </w:rPr>
      </w:pPr>
    </w:p>
    <w:p w14:paraId="2886414A">
      <w:pPr>
        <w:pStyle w:val="3"/>
        <w:rPr>
          <w:rFonts w:hint="eastAsia"/>
          <w:color w:val="000000" w:themeColor="text1"/>
          <w14:textFill>
            <w14:solidFill>
              <w14:schemeClr w14:val="tx1"/>
            </w14:solidFill>
          </w14:textFill>
        </w:rPr>
      </w:pPr>
      <w:bookmarkStart w:id="38" w:name="_Toc63785508"/>
      <w:r>
        <w:rPr>
          <w:rFonts w:hint="eastAsia"/>
          <w:color w:val="000000" w:themeColor="text1"/>
          <w14:textFill>
            <w14:solidFill>
              <w14:schemeClr w14:val="tx1"/>
            </w14:solidFill>
          </w14:textFill>
        </w:rPr>
        <w:t>验收要求</w:t>
      </w:r>
      <w:bookmarkEnd w:id="38"/>
    </w:p>
    <w:p w14:paraId="41837F57">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本项目按下述方式开展验收。</w:t>
      </w:r>
    </w:p>
    <w:p w14:paraId="6CB8F3B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（1）验收分初验和终验。</w:t>
      </w:r>
    </w:p>
    <w:p w14:paraId="0E6A756C">
      <w:pPr>
        <w:rPr>
          <w:rFonts w:hint="eastAsia"/>
          <w:color w:val="000000" w:themeColor="text1"/>
          <w:szCs w:val="21"/>
          <w14:textFill>
            <w14:solidFill>
              <w14:schemeClr w14:val="tx1"/>
            </w14:solidFill>
          </w14:textFill>
        </w:rPr>
      </w:pPr>
      <w:bookmarkStart w:id="39" w:name="OLE_LINK3"/>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bookmarkEnd w:id="39"/>
      <w:r>
        <w:rPr>
          <w:color w:val="000000" w:themeColor="text1"/>
          <w:szCs w:val="21"/>
          <w14:textFill>
            <w14:solidFill>
              <w14:schemeClr w14:val="tx1"/>
            </w14:solidFill>
          </w14:textFill>
        </w:rPr>
        <w:t>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递交初验通知书。</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应当在接到通知后的5个工作日内确定初验的具体日期，由双方按照本项目的约定完成本项目的初验。</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有权委托第三方检测机构进行验收，对此供应商应当配合。</w:t>
      </w:r>
    </w:p>
    <w:p w14:paraId="25275DB8">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3）初验时，供应商须提供软件文档包括《用户需求说明书》、《系统概要设计说明书》、《系统详细设计说明书》、</w:t>
      </w:r>
      <w:r>
        <w:rPr>
          <w:rFonts w:hint="eastAsia"/>
          <w:color w:val="000000" w:themeColor="text1"/>
          <w:szCs w:val="21"/>
          <w14:textFill>
            <w14:solidFill>
              <w14:schemeClr w14:val="tx1"/>
            </w14:solidFill>
          </w14:textFill>
        </w:rPr>
        <w:t>《三方功能需求确认单》、</w:t>
      </w:r>
      <w:r>
        <w:rPr>
          <w:color w:val="000000" w:themeColor="text1"/>
          <w:szCs w:val="21"/>
          <w14:textFill>
            <w14:solidFill>
              <w14:schemeClr w14:val="tx1"/>
            </w14:solidFill>
          </w14:textFill>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应向供应商出具书面报告，陈述需要改进的缺陷。供应商应立即严格依照</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的书面报告中的要求改进缺陷，并再次进行初验。</w:t>
      </w:r>
    </w:p>
    <w:p w14:paraId="72431922">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4）</w:t>
      </w:r>
      <w:bookmarkStart w:id="40" w:name="OLE_LINK2"/>
      <w:r>
        <w:rPr>
          <w:color w:val="000000" w:themeColor="text1"/>
          <w:szCs w:val="21"/>
          <w14:textFill>
            <w14:solidFill>
              <w14:schemeClr w14:val="tx1"/>
            </w14:solidFill>
          </w14:textFill>
        </w:rPr>
        <w:t>自初验通过之日起，</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享有供应商免费提供的</w:t>
      </w:r>
      <w:r>
        <w:rPr>
          <w:rFonts w:hint="eastAsia"/>
          <w:color w:val="000000" w:themeColor="text1"/>
          <w:szCs w:val="21"/>
          <w14:textFill>
            <w14:solidFill>
              <w14:schemeClr w14:val="tx1"/>
            </w14:solidFill>
          </w14:textFill>
        </w:rPr>
        <w:t>至少30天</w:t>
      </w:r>
      <w:r>
        <w:rPr>
          <w:color w:val="000000" w:themeColor="text1"/>
          <w:szCs w:val="21"/>
          <w14:textFill>
            <w14:solidFill>
              <w14:schemeClr w14:val="tx1"/>
            </w14:solidFill>
          </w14:textFill>
        </w:rPr>
        <w:t>信息系统试运行现场驻场服务期</w:t>
      </w:r>
      <w:r>
        <w:rPr>
          <w:rFonts w:hint="eastAsia"/>
          <w:color w:val="000000" w:themeColor="text1"/>
          <w:szCs w:val="21"/>
          <w14:textFill>
            <w14:solidFill>
              <w14:schemeClr w14:val="tx1"/>
            </w14:solidFill>
          </w14:textFill>
        </w:rPr>
        <w:t>，直至项目验收通过</w:t>
      </w:r>
      <w:r>
        <w:rPr>
          <w:color w:val="000000" w:themeColor="text1"/>
          <w:szCs w:val="21"/>
          <w14:textFill>
            <w14:solidFill>
              <w14:schemeClr w14:val="tx1"/>
            </w14:solidFill>
          </w14:textFill>
        </w:rPr>
        <w:t>。该期间内，供应商应当按照</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的要求提供现场技术支持服务，解决信息系统试运行期间可能出现的各类问题，或进一步提高与完善信息系统运行水平。</w:t>
      </w:r>
    </w:p>
    <w:p w14:paraId="13281D86">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5）初验通过且信息系统试运行期已经达到本项目约定的时间，经供应商确认信息系统具备正常运行条件，且信息系统通过运行测试，供应商应以书面形式通知</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信息系统已准备就绪等待终验。</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在收到终验通知后的</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个工作日内发起组织专家验收会。</w:t>
      </w:r>
    </w:p>
    <w:bookmarkEnd w:id="40"/>
    <w:p w14:paraId="05014E03">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）如果属于供应商原因致使本项目未能通过终验，供应商应当排除缺陷，直至本项目完全符合验收标准，由上述情形而产生的相关费用应由供应商自行承担。</w:t>
      </w:r>
    </w:p>
    <w:p w14:paraId="1E1A82A3">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）如果由于</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原因导致本项目在终验通过前出现故障或问题，供应商应及时配合排除该方面的故障或问题。</w:t>
      </w:r>
    </w:p>
    <w:p w14:paraId="7A126DDE">
      <w:pP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）如本项目连续3次验收未通过（含初验未通过或终验未通过），</w:t>
      </w:r>
      <w:r>
        <w:rPr>
          <w:rFonts w:hint="eastAsia"/>
          <w:color w:val="000000" w:themeColor="text1"/>
          <w:szCs w:val="21"/>
          <w:lang w:eastAsia="zh-CN"/>
          <w14:textFill>
            <w14:solidFill>
              <w14:schemeClr w14:val="tx1"/>
            </w14:solidFill>
          </w14:textFill>
        </w:rPr>
        <w:t>采购人</w:t>
      </w:r>
      <w:r>
        <w:rPr>
          <w:color w:val="000000" w:themeColor="text1"/>
          <w:szCs w:val="21"/>
          <w14:textFill>
            <w14:solidFill>
              <w14:schemeClr w14:val="tx1"/>
            </w14:solidFill>
          </w14:textFill>
        </w:rPr>
        <w:t>有权解除项目，并有权依照本项目约定的违约条款追究供应商的违约责任。</w:t>
      </w:r>
    </w:p>
    <w:p w14:paraId="300DE8DE">
      <w:pPr>
        <w:pStyle w:val="3"/>
        <w:rPr>
          <w:rFonts w:hint="eastAsia"/>
          <w:color w:val="000000" w:themeColor="text1"/>
          <w14:textFill>
            <w14:solidFill>
              <w14:schemeClr w14:val="tx1"/>
            </w14:solidFill>
          </w14:textFill>
        </w:rPr>
      </w:pPr>
      <w:bookmarkStart w:id="41" w:name="_Toc63785509"/>
      <w:r>
        <w:rPr>
          <w:rFonts w:hint="eastAsia"/>
          <w:color w:val="000000" w:themeColor="text1"/>
          <w14:textFill>
            <w14:solidFill>
              <w14:schemeClr w14:val="tx1"/>
            </w14:solidFill>
          </w14:textFill>
        </w:rPr>
        <w:t>进度要求</w:t>
      </w:r>
      <w:bookmarkEnd w:id="41"/>
    </w:p>
    <w:p w14:paraId="20AB5302">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响应供应商</w:t>
      </w:r>
      <w:r>
        <w:rPr>
          <w:rFonts w:hint="eastAsia"/>
          <w:color w:val="000000" w:themeColor="text1"/>
          <w14:textFill>
            <w14:solidFill>
              <w14:schemeClr w14:val="tx1"/>
            </w14:solidFill>
          </w14:textFill>
        </w:rPr>
        <w:t>应根据建设内容，分阶段制定合理的时间进度，并且应根据</w:t>
      </w:r>
      <w:r>
        <w:rPr>
          <w:rFonts w:hint="eastAsia"/>
          <w:color w:val="000000" w:themeColor="text1"/>
          <w:lang w:eastAsia="zh-CN"/>
          <w14:textFill>
            <w14:solidFill>
              <w14:schemeClr w14:val="tx1"/>
            </w14:solidFill>
          </w14:textFill>
        </w:rPr>
        <w:t>采购人</w:t>
      </w:r>
      <w:r>
        <w:rPr>
          <w:rFonts w:hint="eastAsia"/>
          <w:color w:val="000000" w:themeColor="text1"/>
          <w14:textFill>
            <w14:solidFill>
              <w14:schemeClr w14:val="tx1"/>
            </w14:solidFill>
          </w14:textFill>
        </w:rPr>
        <w:t>要求进行调整和细化。</w:t>
      </w:r>
    </w:p>
    <w:p w14:paraId="679C3CB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总建设周期为8个月，分为4个阶段。</w:t>
      </w:r>
    </w:p>
    <w:p w14:paraId="6FD1C271">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第一阶段为1个月，完成项目有关业务、系统和需求的调研，形成总体设计方案，完成系统架构、基础资源、功能等详细设计，并提供主体建设内容的部分系统原型。</w:t>
      </w:r>
    </w:p>
    <w:p w14:paraId="5D1D6F5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第二阶段为6个月，完成数据归集整合、资源申请和各模块的开发与测试工作，完成系统联调与部署，发布beta测试版本。</w:t>
      </w:r>
    </w:p>
    <w:p w14:paraId="4D4489CF">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第三阶段为1个月，完成项目功能试运行，修正各模块联调中出现的问题，完成系统完善和功能迭代，直至发布正式运行版本。</w:t>
      </w:r>
    </w:p>
    <w:p w14:paraId="5967AF0D">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第四阶段</w:t>
      </w:r>
      <w:r>
        <w:rPr>
          <w:rFonts w:hint="eastAsia"/>
          <w:color w:val="000000" w:themeColor="text1"/>
          <w:lang w:eastAsia="zh-CN"/>
          <w14:textFill>
            <w14:solidFill>
              <w14:schemeClr w14:val="tx1"/>
            </w14:solidFill>
          </w14:textFill>
        </w:rPr>
        <w:t>为</w:t>
      </w:r>
      <w:r>
        <w:rPr>
          <w:rFonts w:hint="eastAsia"/>
          <w:color w:val="000000" w:themeColor="text1"/>
          <w:lang w:val="en-US" w:eastAsia="zh-CN"/>
          <w14:textFill>
            <w14:solidFill>
              <w14:schemeClr w14:val="tx1"/>
            </w14:solidFill>
          </w14:textFill>
        </w:rPr>
        <w:t>1个月</w:t>
      </w:r>
      <w:r>
        <w:rPr>
          <w:rFonts w:hint="eastAsia"/>
          <w:color w:val="000000" w:themeColor="text1"/>
          <w14:textFill>
            <w14:solidFill>
              <w14:schemeClr w14:val="tx1"/>
            </w14:solidFill>
          </w14:textFill>
        </w:rPr>
        <w:t>，完成项目验收并启动项目的正式运行，根据项目运行情况和验收要求开展项目测评、功能优化和绩效评价等工作。</w:t>
      </w:r>
    </w:p>
    <w:p w14:paraId="79B3724A">
      <w:pPr>
        <w:pStyle w:val="3"/>
        <w:rPr>
          <w:rFonts w:hint="eastAsia"/>
          <w:color w:val="000000" w:themeColor="text1"/>
          <w14:textFill>
            <w14:solidFill>
              <w14:schemeClr w14:val="tx1"/>
            </w14:solidFill>
          </w14:textFill>
        </w:rPr>
      </w:pPr>
      <w:bookmarkStart w:id="42" w:name="_Toc63785510"/>
      <w:r>
        <w:rPr>
          <w:rFonts w:hint="eastAsia"/>
          <w:color w:val="000000" w:themeColor="text1"/>
          <w14:textFill>
            <w14:solidFill>
              <w14:schemeClr w14:val="tx1"/>
            </w14:solidFill>
          </w14:textFill>
        </w:rPr>
        <w:t>项目团队及驻场人员要求</w:t>
      </w:r>
      <w:bookmarkEnd w:id="42"/>
    </w:p>
    <w:p w14:paraId="743488A6">
      <w:pPr>
        <w:rPr>
          <w:rFonts w:hint="eastAsia"/>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eastAsia="zh-CN"/>
          <w14:textFill>
            <w14:solidFill>
              <w14:schemeClr w14:val="tx1"/>
            </w14:solidFill>
          </w14:textFill>
        </w:rPr>
        <w:t>响应供应商</w:t>
      </w:r>
      <w:r>
        <w:rPr>
          <w:color w:val="000000" w:themeColor="text1"/>
          <w14:textFill>
            <w14:solidFill>
              <w14:schemeClr w14:val="tx1"/>
            </w14:solidFill>
          </w14:textFill>
        </w:rPr>
        <w:t>须具有稳定的在职技术保障力量，能够提供及时的技术支援或服务，应针对本项目提供不少于</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人的项目服务团队（包括项目经理、产品经理、技术负责人、研发等），</w:t>
      </w:r>
      <w:r>
        <w:rPr>
          <w:rFonts w:hint="eastAsia"/>
          <w:color w:val="000000" w:themeColor="text1"/>
          <w:lang w:eastAsia="zh-CN"/>
          <w14:textFill>
            <w14:solidFill>
              <w14:schemeClr w14:val="tx1"/>
            </w14:solidFill>
          </w14:textFill>
        </w:rPr>
        <w:t>响应供应商</w:t>
      </w:r>
      <w:r>
        <w:rPr>
          <w:color w:val="000000" w:themeColor="text1"/>
          <w14:textFill>
            <w14:solidFill>
              <w14:schemeClr w14:val="tx1"/>
            </w14:solidFill>
          </w14:textFill>
        </w:rP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32"/>
        <w:gridCol w:w="1180"/>
        <w:gridCol w:w="1513"/>
        <w:gridCol w:w="1296"/>
      </w:tblGrid>
      <w:tr w14:paraId="5C14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E6B4D9B">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角色</w:t>
            </w:r>
          </w:p>
        </w:tc>
        <w:tc>
          <w:tcPr>
            <w:tcW w:w="2832" w:type="dxa"/>
            <w:noWrap/>
            <w:vAlign w:val="center"/>
          </w:tcPr>
          <w:p w14:paraId="158CEC2F">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主要职责</w:t>
            </w:r>
          </w:p>
        </w:tc>
        <w:tc>
          <w:tcPr>
            <w:tcW w:w="1180" w:type="dxa"/>
            <w:noWrap/>
            <w:vAlign w:val="center"/>
          </w:tcPr>
          <w:p w14:paraId="5A4D7561">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人员数量</w:t>
            </w:r>
          </w:p>
        </w:tc>
        <w:tc>
          <w:tcPr>
            <w:tcW w:w="1513" w:type="dxa"/>
            <w:vAlign w:val="center"/>
          </w:tcPr>
          <w:p w14:paraId="689CEDD1">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人员要求</w:t>
            </w:r>
          </w:p>
        </w:tc>
        <w:tc>
          <w:tcPr>
            <w:tcW w:w="1296" w:type="dxa"/>
            <w:noWrap/>
            <w:vAlign w:val="center"/>
          </w:tcPr>
          <w:p w14:paraId="675C541F">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驻场要求</w:t>
            </w:r>
          </w:p>
        </w:tc>
      </w:tr>
      <w:tr w14:paraId="2F47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CAA0A5B">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项目经理</w:t>
            </w:r>
          </w:p>
        </w:tc>
        <w:tc>
          <w:tcPr>
            <w:tcW w:w="2832" w:type="dxa"/>
            <w:vAlign w:val="center"/>
          </w:tcPr>
          <w:p w14:paraId="725BECFE">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负责项目质量和进度控制</w:t>
            </w:r>
          </w:p>
        </w:tc>
        <w:tc>
          <w:tcPr>
            <w:tcW w:w="1180" w:type="dxa"/>
            <w:noWrap/>
            <w:vAlign w:val="center"/>
          </w:tcPr>
          <w:p w14:paraId="4B9FC55B">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1人</w:t>
            </w:r>
          </w:p>
        </w:tc>
        <w:tc>
          <w:tcPr>
            <w:tcW w:w="1513" w:type="dxa"/>
          </w:tcPr>
          <w:p w14:paraId="4B632247">
            <w:pPr>
              <w:widowControl/>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本科及以上学历</w:t>
            </w:r>
            <w:r>
              <w:rPr>
                <w:rFonts w:hint="eastAsia"/>
                <w:color w:val="000000" w:themeColor="text1"/>
                <w:lang w:eastAsia="zh-CN"/>
                <w14:textFill>
                  <w14:solidFill>
                    <w14:schemeClr w14:val="tx1"/>
                  </w14:solidFill>
                </w14:textFill>
              </w:rPr>
              <w:t>，具有</w:t>
            </w:r>
            <w:r>
              <w:rPr>
                <w:rFonts w:hint="eastAsia"/>
                <w:color w:val="000000" w:themeColor="text1"/>
                <w14:textFill>
                  <w14:solidFill>
                    <w14:schemeClr w14:val="tx1"/>
                  </w14:solidFill>
                </w14:textFill>
              </w:rPr>
              <w:t>信息系统项目管理师（高级）证书</w:t>
            </w:r>
          </w:p>
        </w:tc>
        <w:tc>
          <w:tcPr>
            <w:tcW w:w="1296" w:type="dxa"/>
            <w:noWrap/>
            <w:vAlign w:val="center"/>
          </w:tcPr>
          <w:p w14:paraId="3526DF0D">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驻场</w:t>
            </w:r>
          </w:p>
        </w:tc>
      </w:tr>
      <w:tr w14:paraId="0007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F9F683E">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产品经理</w:t>
            </w:r>
          </w:p>
        </w:tc>
        <w:tc>
          <w:tcPr>
            <w:tcW w:w="2832" w:type="dxa"/>
            <w:vAlign w:val="center"/>
          </w:tcPr>
          <w:p w14:paraId="516F05D6">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负责项目需求评估与产品设计</w:t>
            </w:r>
          </w:p>
        </w:tc>
        <w:tc>
          <w:tcPr>
            <w:tcW w:w="1180" w:type="dxa"/>
            <w:noWrap/>
            <w:vAlign w:val="center"/>
          </w:tcPr>
          <w:p w14:paraId="2B3FD190">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1人</w:t>
            </w:r>
          </w:p>
        </w:tc>
        <w:tc>
          <w:tcPr>
            <w:tcW w:w="1513" w:type="dxa"/>
          </w:tcPr>
          <w:p w14:paraId="4A574D97">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本科及以上学历</w:t>
            </w:r>
          </w:p>
        </w:tc>
        <w:tc>
          <w:tcPr>
            <w:tcW w:w="1296" w:type="dxa"/>
            <w:noWrap/>
            <w:vAlign w:val="center"/>
          </w:tcPr>
          <w:p w14:paraId="12487040">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驻场</w:t>
            </w:r>
          </w:p>
        </w:tc>
      </w:tr>
      <w:tr w14:paraId="6C05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tcPr>
          <w:p w14:paraId="2948C6AA">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技术负责人</w:t>
            </w:r>
          </w:p>
        </w:tc>
        <w:tc>
          <w:tcPr>
            <w:tcW w:w="2832" w:type="dxa"/>
          </w:tcPr>
          <w:p w14:paraId="67FA24C0">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负责项目具体开发、设计与实施</w:t>
            </w:r>
          </w:p>
        </w:tc>
        <w:tc>
          <w:tcPr>
            <w:tcW w:w="1180" w:type="dxa"/>
            <w:noWrap/>
          </w:tcPr>
          <w:p w14:paraId="0260BBAF">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1人</w:t>
            </w:r>
          </w:p>
        </w:tc>
        <w:tc>
          <w:tcPr>
            <w:tcW w:w="1513" w:type="dxa"/>
          </w:tcPr>
          <w:p w14:paraId="540CEB8F">
            <w:pPr>
              <w:widowControl/>
              <w:spacing w:line="240" w:lineRule="auto"/>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本科及以上学历</w:t>
            </w:r>
            <w:r>
              <w:rPr>
                <w:rFonts w:hint="eastAsia"/>
                <w:color w:val="000000" w:themeColor="text1"/>
                <w:lang w:eastAsia="zh-CN"/>
                <w14:textFill>
                  <w14:solidFill>
                    <w14:schemeClr w14:val="tx1"/>
                  </w14:solidFill>
                </w14:textFill>
              </w:rPr>
              <w:t>，具有</w:t>
            </w:r>
            <w:r>
              <w:rPr>
                <w:rFonts w:hint="eastAsia"/>
                <w:color w:val="000000" w:themeColor="text1"/>
                <w14:textFill>
                  <w14:solidFill>
                    <w14:schemeClr w14:val="tx1"/>
                  </w14:solidFill>
                </w14:textFill>
              </w:rPr>
              <w:t>系统分析师</w:t>
            </w:r>
            <w:r>
              <w:rPr>
                <w:rFonts w:hint="eastAsia"/>
                <w:color w:val="000000" w:themeColor="text1"/>
                <w:lang w:eastAsia="zh-CN"/>
                <w14:textFill>
                  <w14:solidFill>
                    <w14:schemeClr w14:val="tx1"/>
                  </w14:solidFill>
                </w14:textFill>
              </w:rPr>
              <w:t>（高级）</w:t>
            </w:r>
            <w:r>
              <w:rPr>
                <w:rFonts w:hint="eastAsia"/>
                <w:color w:val="000000" w:themeColor="text1"/>
                <w14:textFill>
                  <w14:solidFill>
                    <w14:schemeClr w14:val="tx1"/>
                  </w14:solidFill>
                </w14:textFill>
              </w:rPr>
              <w:t>证书</w:t>
            </w:r>
          </w:p>
        </w:tc>
        <w:tc>
          <w:tcPr>
            <w:tcW w:w="1296" w:type="dxa"/>
            <w:noWrap/>
          </w:tcPr>
          <w:p w14:paraId="0EB5B5A1">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驻场</w:t>
            </w:r>
          </w:p>
        </w:tc>
      </w:tr>
      <w:tr w14:paraId="1195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2F360220">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研发</w:t>
            </w:r>
          </w:p>
        </w:tc>
        <w:tc>
          <w:tcPr>
            <w:tcW w:w="2832" w:type="dxa"/>
            <w:noWrap/>
            <w:vAlign w:val="center"/>
          </w:tcPr>
          <w:p w14:paraId="45FC5247">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负责项目具体开发与实施</w:t>
            </w:r>
          </w:p>
        </w:tc>
        <w:tc>
          <w:tcPr>
            <w:tcW w:w="1180" w:type="dxa"/>
            <w:noWrap/>
            <w:vAlign w:val="center"/>
          </w:tcPr>
          <w:p w14:paraId="7BED40A9">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12人</w:t>
            </w:r>
          </w:p>
        </w:tc>
        <w:tc>
          <w:tcPr>
            <w:tcW w:w="1513" w:type="dxa"/>
          </w:tcPr>
          <w:p w14:paraId="57D68F8D">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本科及以上学历</w:t>
            </w:r>
          </w:p>
        </w:tc>
        <w:tc>
          <w:tcPr>
            <w:tcW w:w="1296" w:type="dxa"/>
            <w:noWrap/>
            <w:vAlign w:val="center"/>
          </w:tcPr>
          <w:p w14:paraId="5D4DED50">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驻场6人</w:t>
            </w:r>
          </w:p>
        </w:tc>
      </w:tr>
    </w:tbl>
    <w:p w14:paraId="3FF62488">
      <w:pPr>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lang w:eastAsia="zh-CN"/>
          <w14:textFill>
            <w14:solidFill>
              <w14:schemeClr w14:val="tx1"/>
            </w14:solidFill>
          </w14:textFill>
        </w:rPr>
        <w:t>响应供应商</w:t>
      </w:r>
      <w:r>
        <w:rPr>
          <w:color w:val="000000" w:themeColor="text1"/>
          <w14:textFill>
            <w14:solidFill>
              <w14:schemeClr w14:val="tx1"/>
            </w14:solidFill>
          </w14:textFill>
        </w:rPr>
        <w:t>应针对本项目提供不少于</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人的质保期间支撑团队（其中技术经理</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人，产品经理</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人，技术工程师不少于</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人）；</w:t>
      </w:r>
      <w:r>
        <w:rPr>
          <w:rFonts w:hint="eastAsia"/>
          <w:color w:val="000000" w:themeColor="text1"/>
          <w:lang w:eastAsia="zh-CN"/>
          <w14:textFill>
            <w14:solidFill>
              <w14:schemeClr w14:val="tx1"/>
            </w14:solidFill>
          </w14:textFill>
        </w:rPr>
        <w:t>响应供应商</w:t>
      </w:r>
      <w:r>
        <w:rPr>
          <w:color w:val="000000" w:themeColor="text1"/>
          <w14:textFill>
            <w14:solidFill>
              <w14:schemeClr w14:val="tx1"/>
            </w14:solidFill>
          </w14:textFill>
        </w:rPr>
        <w:t>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79"/>
        <w:gridCol w:w="1180"/>
        <w:gridCol w:w="2273"/>
        <w:gridCol w:w="1180"/>
      </w:tblGrid>
      <w:tr w14:paraId="1CDA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60E43FE2">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角色</w:t>
            </w:r>
          </w:p>
        </w:tc>
        <w:tc>
          <w:tcPr>
            <w:tcW w:w="0" w:type="auto"/>
            <w:noWrap/>
            <w:vAlign w:val="center"/>
          </w:tcPr>
          <w:p w14:paraId="2F73B012">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主要职责</w:t>
            </w:r>
          </w:p>
        </w:tc>
        <w:tc>
          <w:tcPr>
            <w:tcW w:w="0" w:type="auto"/>
            <w:noWrap/>
            <w:vAlign w:val="center"/>
          </w:tcPr>
          <w:p w14:paraId="04367CC2">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人员数量</w:t>
            </w:r>
          </w:p>
        </w:tc>
        <w:tc>
          <w:tcPr>
            <w:tcW w:w="0" w:type="auto"/>
            <w:vAlign w:val="center"/>
          </w:tcPr>
          <w:p w14:paraId="395CC644">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人员要求</w:t>
            </w:r>
          </w:p>
        </w:tc>
        <w:tc>
          <w:tcPr>
            <w:tcW w:w="0" w:type="auto"/>
            <w:noWrap/>
            <w:vAlign w:val="center"/>
          </w:tcPr>
          <w:p w14:paraId="372EE37D">
            <w:pPr>
              <w:widowControl/>
              <w:spacing w:line="240" w:lineRule="auto"/>
              <w:ind w:firstLine="0" w:firstLineChars="0"/>
              <w:jc w:val="center"/>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驻场要求</w:t>
            </w:r>
          </w:p>
        </w:tc>
      </w:tr>
      <w:tr w14:paraId="0714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729F15BB">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项目经理</w:t>
            </w:r>
          </w:p>
        </w:tc>
        <w:tc>
          <w:tcPr>
            <w:tcW w:w="0" w:type="auto"/>
            <w:vAlign w:val="center"/>
          </w:tcPr>
          <w:p w14:paraId="5C11A556">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负责项目质量和进度控制</w:t>
            </w:r>
          </w:p>
        </w:tc>
        <w:tc>
          <w:tcPr>
            <w:tcW w:w="0" w:type="auto"/>
            <w:noWrap/>
            <w:vAlign w:val="center"/>
          </w:tcPr>
          <w:p w14:paraId="2C00BE91">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1人</w:t>
            </w:r>
          </w:p>
        </w:tc>
        <w:tc>
          <w:tcPr>
            <w:tcW w:w="0" w:type="auto"/>
          </w:tcPr>
          <w:p w14:paraId="339B90DA">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本科及以上学历</w:t>
            </w:r>
            <w:r>
              <w:rPr>
                <w:rFonts w:hint="eastAsia"/>
                <w:color w:val="000000" w:themeColor="text1"/>
                <w:lang w:eastAsia="zh-CN"/>
                <w14:textFill>
                  <w14:solidFill>
                    <w14:schemeClr w14:val="tx1"/>
                  </w14:solidFill>
                </w14:textFill>
              </w:rPr>
              <w:t>，具有</w:t>
            </w:r>
            <w:r>
              <w:rPr>
                <w:rFonts w:hint="eastAsia"/>
                <w:color w:val="000000" w:themeColor="text1"/>
                <w14:textFill>
                  <w14:solidFill>
                    <w14:schemeClr w14:val="tx1"/>
                  </w14:solidFill>
                </w14:textFill>
              </w:rPr>
              <w:t>信息系统项目管理师（高级）证书</w:t>
            </w:r>
          </w:p>
        </w:tc>
        <w:tc>
          <w:tcPr>
            <w:tcW w:w="0" w:type="auto"/>
            <w:noWrap/>
            <w:vAlign w:val="center"/>
          </w:tcPr>
          <w:p w14:paraId="7210BC4E">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不驻场</w:t>
            </w:r>
          </w:p>
        </w:tc>
      </w:tr>
      <w:tr w14:paraId="08A3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A45F605">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产品经理</w:t>
            </w:r>
          </w:p>
        </w:tc>
        <w:tc>
          <w:tcPr>
            <w:tcW w:w="0" w:type="auto"/>
            <w:vAlign w:val="center"/>
          </w:tcPr>
          <w:p w14:paraId="78FC09DC">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负责项目需求评估与产品设计</w:t>
            </w:r>
          </w:p>
        </w:tc>
        <w:tc>
          <w:tcPr>
            <w:tcW w:w="0" w:type="auto"/>
            <w:noWrap/>
            <w:vAlign w:val="center"/>
          </w:tcPr>
          <w:p w14:paraId="78133A46">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1人</w:t>
            </w:r>
          </w:p>
        </w:tc>
        <w:tc>
          <w:tcPr>
            <w:tcW w:w="0" w:type="auto"/>
          </w:tcPr>
          <w:p w14:paraId="14AF8B4A">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本科及以上学历</w:t>
            </w:r>
          </w:p>
        </w:tc>
        <w:tc>
          <w:tcPr>
            <w:tcW w:w="0" w:type="auto"/>
            <w:noWrap/>
            <w:vAlign w:val="center"/>
          </w:tcPr>
          <w:p w14:paraId="2D7F531A">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不驻场</w:t>
            </w:r>
          </w:p>
        </w:tc>
      </w:tr>
      <w:tr w14:paraId="64FA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F53D7E6">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技术工程师</w:t>
            </w:r>
          </w:p>
        </w:tc>
        <w:tc>
          <w:tcPr>
            <w:tcW w:w="0" w:type="auto"/>
            <w:noWrap/>
            <w:vAlign w:val="center"/>
          </w:tcPr>
          <w:p w14:paraId="1E8E44C2">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负责项目运行维护</w:t>
            </w:r>
          </w:p>
        </w:tc>
        <w:tc>
          <w:tcPr>
            <w:tcW w:w="0" w:type="auto"/>
            <w:noWrap/>
            <w:vAlign w:val="center"/>
          </w:tcPr>
          <w:p w14:paraId="52F094C7">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4人</w:t>
            </w:r>
          </w:p>
        </w:tc>
        <w:tc>
          <w:tcPr>
            <w:tcW w:w="0" w:type="auto"/>
          </w:tcPr>
          <w:p w14:paraId="72886903">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本科及以上学历</w:t>
            </w:r>
          </w:p>
        </w:tc>
        <w:tc>
          <w:tcPr>
            <w:tcW w:w="0" w:type="auto"/>
            <w:noWrap/>
            <w:vAlign w:val="center"/>
          </w:tcPr>
          <w:p w14:paraId="7631864E">
            <w:pPr>
              <w:widowControl/>
              <w:spacing w:line="240" w:lineRule="auto"/>
              <w:ind w:firstLine="0" w:firstLineChars="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驻场</w:t>
            </w:r>
          </w:p>
        </w:tc>
      </w:tr>
    </w:tbl>
    <w:p w14:paraId="752918F2">
      <w:pPr>
        <w:pStyle w:val="3"/>
        <w:rPr>
          <w:rFonts w:hint="eastAsia"/>
          <w:color w:val="000000" w:themeColor="text1"/>
          <w14:textFill>
            <w14:solidFill>
              <w14:schemeClr w14:val="tx1"/>
            </w14:solidFill>
          </w14:textFill>
        </w:rPr>
      </w:pPr>
      <w:bookmarkStart w:id="43" w:name="_Toc63785511"/>
      <w:r>
        <w:rPr>
          <w:color w:val="000000" w:themeColor="text1"/>
          <w14:textFill>
            <w14:solidFill>
              <w14:schemeClr w14:val="tx1"/>
            </w14:solidFill>
          </w14:textFill>
        </w:rPr>
        <w:t>等级保护要求</w:t>
      </w:r>
      <w:bookmarkEnd w:id="43"/>
    </w:p>
    <w:p w14:paraId="44AEE62A">
      <w:pPr>
        <w:rPr>
          <w:rFonts w:hint="eastAsia"/>
          <w:color w:val="000000" w:themeColor="text1"/>
          <w14:textFill>
            <w14:solidFill>
              <w14:schemeClr w14:val="tx1"/>
            </w14:solidFill>
          </w14:textFill>
        </w:rPr>
      </w:pPr>
      <w:r>
        <w:rPr>
          <w:color w:val="000000" w:themeColor="text1"/>
          <w14:textFill>
            <w14:solidFill>
              <w14:schemeClr w14:val="tx1"/>
            </w14:solidFill>
          </w14:textFill>
        </w:rPr>
        <w:t>本项目等级保护要求： 参照</w:t>
      </w:r>
      <w:r>
        <w:rPr>
          <w:rFonts w:hint="eastAsia"/>
          <w:color w:val="000000" w:themeColor="text1"/>
          <w14:textFill>
            <w14:solidFill>
              <w14:schemeClr w14:val="tx1"/>
            </w14:solidFill>
          </w14:textFill>
        </w:rPr>
        <w:t>等保三级</w:t>
      </w:r>
      <w:r>
        <w:rPr>
          <w:color w:val="000000" w:themeColor="text1"/>
          <w14:textFill>
            <w14:solidFill>
              <w14:schemeClr w14:val="tx1"/>
            </w14:solidFill>
          </w14:textFill>
        </w:rPr>
        <w:t>要求建设。</w:t>
      </w:r>
    </w:p>
    <w:p w14:paraId="04C0A29E">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商业密码应用需求</w:t>
      </w:r>
    </w:p>
    <w:p w14:paraId="6D2B3434">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满足商业密码应用建设要求，并通过商业密码应用安全测评，综合评分需达到75分。</w:t>
      </w:r>
    </w:p>
    <w:p w14:paraId="4ECE3B62">
      <w:pPr>
        <w:pStyle w:val="3"/>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企业综合实力</w:t>
      </w:r>
    </w:p>
    <w:p w14:paraId="12009378">
      <w:pPr>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响应供应商具有信息化系统建设相关的软件著作权证书的</w:t>
      </w:r>
      <w:r>
        <w:rPr>
          <w:rFonts w:hint="eastAsia"/>
          <w:color w:val="000000" w:themeColor="text1"/>
          <w:lang w:val="en-US" w:eastAsia="zh-CN"/>
          <w14:textFill>
            <w14:solidFill>
              <w14:schemeClr w14:val="tx1"/>
            </w14:solidFill>
          </w14:textFill>
        </w:rPr>
        <w:t>优先考虑。</w:t>
      </w:r>
    </w:p>
    <w:p w14:paraId="2D7EA08F">
      <w:pPr>
        <w:pStyle w:val="3"/>
        <w:rPr>
          <w:rFonts w:hint="eastAsia"/>
          <w:color w:val="000000" w:themeColor="text1"/>
          <w14:textFill>
            <w14:solidFill>
              <w14:schemeClr w14:val="tx1"/>
            </w14:solidFill>
          </w14:textFill>
        </w:rPr>
      </w:pPr>
      <w:bookmarkStart w:id="44" w:name="_Toc63785512"/>
      <w:r>
        <w:rPr>
          <w:rFonts w:hint="eastAsia"/>
          <w:color w:val="000000" w:themeColor="text1"/>
          <w14:textFill>
            <w14:solidFill>
              <w14:schemeClr w14:val="tx1"/>
            </w14:solidFill>
          </w14:textFill>
        </w:rPr>
        <w:t>技术文件要求</w:t>
      </w:r>
    </w:p>
    <w:p w14:paraId="6DE2568D">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响应供应商</w:t>
      </w:r>
      <w:r>
        <w:rPr>
          <w:rFonts w:hint="eastAsia"/>
          <w:color w:val="000000" w:themeColor="text1"/>
          <w14:textFill>
            <w14:solidFill>
              <w14:schemeClr w14:val="tx1"/>
            </w14:solidFill>
          </w14:textFill>
        </w:rPr>
        <w:t>提供的书面技术资料应能确保系统正常运行所需的管理、运营及维护有关的全套文件。技术文件应该全面、完整、详细。</w:t>
      </w:r>
      <w:r>
        <w:rPr>
          <w:rFonts w:hint="eastAsia"/>
          <w:color w:val="000000" w:themeColor="text1"/>
          <w:lang w:eastAsia="zh-CN"/>
          <w14:textFill>
            <w14:solidFill>
              <w14:schemeClr w14:val="tx1"/>
            </w14:solidFill>
          </w14:textFill>
        </w:rPr>
        <w:t>响应供应商</w:t>
      </w:r>
      <w:r>
        <w:rPr>
          <w:rFonts w:hint="eastAsia"/>
          <w:color w:val="000000" w:themeColor="text1"/>
          <w14:textFill>
            <w14:solidFill>
              <w14:schemeClr w14:val="tx1"/>
            </w14:solidFill>
          </w14:textFill>
        </w:rPr>
        <w:t>提供的技术文件至少应包括：</w:t>
      </w:r>
    </w:p>
    <w:p w14:paraId="1F1F5FCD">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系统说明文件； </w:t>
      </w:r>
    </w:p>
    <w:p w14:paraId="11AB09A0">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技术手册(安装、测试、操作、维护、故障排除等)； </w:t>
      </w:r>
    </w:p>
    <w:p w14:paraId="699D03E8">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项目文档，应该包括：</w:t>
      </w:r>
    </w:p>
    <w:p w14:paraId="47ABD1BE">
      <w:pPr>
        <w:ind w:left="360"/>
        <w:rPr>
          <w:rFonts w:hint="eastAsia"/>
          <w:color w:val="000000" w:themeColor="text1"/>
          <w14:textFill>
            <w14:solidFill>
              <w14:schemeClr w14:val="tx1"/>
            </w14:solidFill>
          </w14:textFill>
        </w:rPr>
      </w:pPr>
      <w:r>
        <w:rPr>
          <w:color w:val="000000" w:themeColor="text1"/>
          <w14:textFill>
            <w14:solidFill>
              <w14:schemeClr w14:val="tx1"/>
            </w14:solidFill>
          </w14:textFill>
        </w:rPr>
        <w:t>(1)软件需求说明书</w:t>
      </w:r>
    </w:p>
    <w:p w14:paraId="259A4688">
      <w:pPr>
        <w:ind w:left="360"/>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color w:val="000000" w:themeColor="text1"/>
          <w14:textFill>
            <w14:solidFill>
              <w14:schemeClr w14:val="tx1"/>
            </w14:solidFill>
          </w14:textFill>
        </w:rPr>
        <w:tab/>
      </w:r>
      <w:r>
        <w:rPr>
          <w:color w:val="000000" w:themeColor="text1"/>
          <w14:textFill>
            <w14:solidFill>
              <w14:schemeClr w14:val="tx1"/>
            </w14:solidFill>
          </w14:textFill>
        </w:rPr>
        <w:t>系统总体设计说明书</w:t>
      </w:r>
    </w:p>
    <w:p w14:paraId="2A90A773">
      <w:pPr>
        <w:ind w:left="360"/>
        <w:rPr>
          <w:rFonts w:hint="eastAsia"/>
          <w:color w:val="000000" w:themeColor="text1"/>
          <w14:textFill>
            <w14:solidFill>
              <w14:schemeClr w14:val="tx1"/>
            </w14:solidFill>
          </w14:textFill>
        </w:rPr>
      </w:pPr>
      <w:r>
        <w:rPr>
          <w:color w:val="000000" w:themeColor="text1"/>
          <w14:textFill>
            <w14:solidFill>
              <w14:schemeClr w14:val="tx1"/>
            </w14:solidFill>
          </w14:textFill>
        </w:rPr>
        <w:t>(3)</w:t>
      </w:r>
      <w:r>
        <w:rPr>
          <w:color w:val="000000" w:themeColor="text1"/>
          <w14:textFill>
            <w14:solidFill>
              <w14:schemeClr w14:val="tx1"/>
            </w14:solidFill>
          </w14:textFill>
        </w:rPr>
        <w:tab/>
      </w:r>
      <w:r>
        <w:rPr>
          <w:color w:val="000000" w:themeColor="text1"/>
          <w14:textFill>
            <w14:solidFill>
              <w14:schemeClr w14:val="tx1"/>
            </w14:solidFill>
          </w14:textFill>
        </w:rPr>
        <w:t>应用软件功能清单</w:t>
      </w:r>
    </w:p>
    <w:p w14:paraId="0A74AAAA">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提供全套技术文件纸介质</w:t>
      </w:r>
      <w:r>
        <w:rPr>
          <w:color w:val="000000" w:themeColor="text1"/>
          <w14:textFill>
            <w14:solidFill>
              <w14:schemeClr w14:val="tx1"/>
            </w14:solidFill>
          </w14:textFill>
        </w:rPr>
        <w:t>3套以及电子文件1套。</w:t>
      </w:r>
    </w:p>
    <w:p w14:paraId="38C404F7">
      <w:pPr>
        <w:pStyle w:val="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供应商资质要求</w:t>
      </w:r>
    </w:p>
    <w:p w14:paraId="52FF3CF7">
      <w:pPr>
        <w:rPr>
          <w:rFonts w:hint="eastAsia"/>
          <w:color w:val="000000" w:themeColor="text1"/>
          <w14:textFill>
            <w14:solidFill>
              <w14:schemeClr w14:val="tx1"/>
            </w14:solidFill>
          </w14:textFill>
        </w:rPr>
      </w:pPr>
      <w:r>
        <w:rPr>
          <w:color w:val="000000" w:themeColor="text1"/>
          <w14:textFill>
            <w14:solidFill>
              <w14:schemeClr w14:val="tx1"/>
            </w14:solidFill>
          </w14:textFill>
        </w:rPr>
        <w:t>1、符合《中华人民共和国政府采购法》第二十二条规定的供应商。</w:t>
      </w:r>
    </w:p>
    <w:p w14:paraId="24D2A347">
      <w:pPr>
        <w:rPr>
          <w:rFonts w:hint="eastAsia"/>
          <w:color w:val="000000" w:themeColor="text1"/>
          <w14:textFill>
            <w14:solidFill>
              <w14:schemeClr w14:val="tx1"/>
            </w14:solidFill>
          </w14:textFill>
        </w:rPr>
      </w:pPr>
      <w:r>
        <w:rPr>
          <w:color w:val="000000" w:themeColor="text1"/>
          <w14:textFill>
            <w14:solidFill>
              <w14:schemeClr w14:val="tx1"/>
            </w14:solidFill>
          </w14:textFill>
        </w:rPr>
        <w:t>2、根据《上海市政府采购供应商登记及诚信管理办法》已登记入库的供应商。</w:t>
      </w:r>
    </w:p>
    <w:p w14:paraId="3FCEA293">
      <w:pPr>
        <w:rPr>
          <w:rFonts w:hint="eastAsia"/>
          <w:color w:val="000000" w:themeColor="text1"/>
          <w14:textFill>
            <w14:solidFill>
              <w14:schemeClr w14:val="tx1"/>
            </w14:solidFill>
          </w14:textFill>
        </w:rPr>
      </w:pPr>
      <w:r>
        <w:rPr>
          <w:color w:val="000000" w:themeColor="text1"/>
          <w14:textFill>
            <w14:solidFill>
              <w14:schemeClr w14:val="tx1"/>
            </w14:solidFill>
          </w14:textFill>
        </w:rPr>
        <w:t>3、其他资格要求：</w:t>
      </w:r>
    </w:p>
    <w:p w14:paraId="753FBBB0">
      <w:pPr>
        <w:rPr>
          <w:rFonts w:hint="eastAsia"/>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本项目面向大、中、小、微型等各类供应商采购。</w:t>
      </w:r>
    </w:p>
    <w:p w14:paraId="29104A6C">
      <w:pPr>
        <w:rPr>
          <w:rFonts w:hint="eastAsia"/>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未被列入“信用中国”网站(www.creditchina.gov.cn)失信被执行人名单、重大税收违法案件当事人名单和中国政府采购网(www.ccgp.gov.cn)政府采购严重违法失信行为记录名单。</w:t>
      </w:r>
    </w:p>
    <w:p w14:paraId="7103D1E5">
      <w:pPr>
        <w:pStyle w:val="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供应商管理要求</w:t>
      </w:r>
      <w:bookmarkEnd w:id="44"/>
    </w:p>
    <w:p w14:paraId="3A983507">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1、在项目实施期间，</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应严格执行国家、地方、行业有关本项目业务管理和安全作业的法律、法规和制度并按规定承担相应的费用。</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因违反规定等原因造成的一切损失和责任由</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自行承担。</w:t>
      </w:r>
    </w:p>
    <w:p w14:paraId="7C372AAD">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在</w:t>
      </w:r>
      <w:r>
        <w:rPr>
          <w:rFonts w:hint="eastAsia"/>
          <w:color w:val="000000" w:themeColor="text1"/>
          <w:sz w:val="24"/>
          <w:szCs w:val="24"/>
          <w:lang w:eastAsia="zh-CN"/>
          <w14:textFill>
            <w14:solidFill>
              <w14:schemeClr w14:val="tx1"/>
            </w14:solidFill>
          </w14:textFill>
        </w:rPr>
        <w:t>响应文件</w:t>
      </w:r>
      <w:r>
        <w:rPr>
          <w:rFonts w:hint="eastAsia"/>
          <w:color w:val="000000" w:themeColor="text1"/>
          <w:sz w:val="24"/>
          <w:szCs w:val="24"/>
          <w14:textFill>
            <w14:solidFill>
              <w14:schemeClr w14:val="tx1"/>
            </w14:solidFill>
          </w14:textFill>
        </w:rPr>
        <w:t>中承诺并经</w:t>
      </w:r>
      <w:r>
        <w:rPr>
          <w:rFonts w:hint="eastAsia"/>
          <w:color w:val="000000" w:themeColor="text1"/>
          <w:sz w:val="24"/>
          <w:szCs w:val="24"/>
          <w:lang w:eastAsia="zh-CN"/>
          <w14:textFill>
            <w14:solidFill>
              <w14:schemeClr w14:val="tx1"/>
            </w14:solidFill>
          </w14:textFill>
        </w:rPr>
        <w:t>采购人</w:t>
      </w:r>
      <w:r>
        <w:rPr>
          <w:rFonts w:hint="eastAsia"/>
          <w:color w:val="000000" w:themeColor="text1"/>
          <w:sz w:val="24"/>
          <w:szCs w:val="24"/>
          <w14:textFill>
            <w14:solidFill>
              <w14:schemeClr w14:val="tx1"/>
            </w14:solidFill>
          </w14:textFill>
        </w:rPr>
        <w:t>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不得调换或撤离上述人员。如采购人认为有必要，可要求</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对上述人员中的部分人员作出更好的调整。</w:t>
      </w:r>
    </w:p>
    <w:p w14:paraId="6B6D2695">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在项目实施期间，应按项目实际进度与环节落实所对应项目整体及各环节管理工作，按照规范做好项目实施期间相关管理与实施记录。</w:t>
      </w:r>
    </w:p>
    <w:p w14:paraId="556E0628">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4、参与本项目的工作人员应严格遵循采购人的安全制度，保障采购人资料和设备的安全。</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如需进入采购人机房工作，只能在采购人规定的工作区域内对项目涉及的设备进行操作，严禁触动与项目无关的任何设备（包括任何操作行为），如需跨区操作必须得到采购人项目联系人确认。</w:t>
      </w:r>
    </w:p>
    <w:p w14:paraId="78EF1940">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在项目实施期间必须遵守采购人的规章制度并提供实施人员名单。</w:t>
      </w:r>
    </w:p>
    <w:p w14:paraId="07A89B99">
      <w:pPr>
        <w:pStyle w:val="80"/>
        <w:ind w:firstLine="48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6、各</w:t>
      </w:r>
      <w:r>
        <w:rPr>
          <w:rFonts w:hint="eastAsia"/>
          <w:color w:val="000000" w:themeColor="text1"/>
          <w:sz w:val="24"/>
          <w:szCs w:val="24"/>
          <w:lang w:eastAsia="zh-CN"/>
          <w14:textFill>
            <w14:solidFill>
              <w14:schemeClr w14:val="tx1"/>
            </w14:solidFill>
          </w14:textFill>
        </w:rPr>
        <w:t>响应供应商</w:t>
      </w:r>
      <w:r>
        <w:rPr>
          <w:rFonts w:hint="eastAsia"/>
          <w:color w:val="000000" w:themeColor="text1"/>
          <w:sz w:val="24"/>
          <w:szCs w:val="24"/>
          <w14:textFill>
            <w14:solidFill>
              <w14:schemeClr w14:val="tx1"/>
            </w14:solidFill>
          </w14:textFill>
        </w:rPr>
        <w:t>在</w:t>
      </w:r>
      <w:r>
        <w:rPr>
          <w:rFonts w:hint="eastAsia"/>
          <w:color w:val="000000" w:themeColor="text1"/>
          <w:sz w:val="24"/>
          <w:szCs w:val="24"/>
          <w:lang w:eastAsia="zh-CN"/>
          <w14:textFill>
            <w14:solidFill>
              <w14:schemeClr w14:val="tx1"/>
            </w14:solidFill>
          </w14:textFill>
        </w:rPr>
        <w:t>响应</w:t>
      </w:r>
      <w:r>
        <w:rPr>
          <w:rFonts w:hint="eastAsia"/>
          <w:color w:val="000000" w:themeColor="text1"/>
          <w:sz w:val="24"/>
          <w:szCs w:val="24"/>
          <w14:textFill>
            <w14:solidFill>
              <w14:schemeClr w14:val="tx1"/>
            </w14:solidFill>
          </w14:textFill>
        </w:rPr>
        <w:t>文件中要结合本项目的特点和采购人上述的具体要求制定相应的管理措施，并在报价中列支相应的费用清单，</w:t>
      </w:r>
      <w:r>
        <w:rPr>
          <w:rFonts w:hint="eastAsia"/>
          <w:color w:val="000000" w:themeColor="text1"/>
          <w:sz w:val="24"/>
          <w:szCs w:val="24"/>
          <w:lang w:eastAsia="zh-CN"/>
          <w14:textFill>
            <w14:solidFill>
              <w14:schemeClr w14:val="tx1"/>
            </w14:solidFill>
          </w14:textFill>
        </w:rPr>
        <w:t>响应供应商</w:t>
      </w:r>
      <w:r>
        <w:rPr>
          <w:rFonts w:hint="eastAsia"/>
          <w:color w:val="000000" w:themeColor="text1"/>
          <w:sz w:val="24"/>
          <w:szCs w:val="24"/>
          <w14:textFill>
            <w14:solidFill>
              <w14:schemeClr w14:val="tx1"/>
            </w14:solidFill>
          </w14:textFill>
        </w:rPr>
        <w:t>报价中未列支上述费用清单的，上述费用视为已包含在</w:t>
      </w:r>
      <w:r>
        <w:rPr>
          <w:rFonts w:hint="eastAsia"/>
          <w:color w:val="000000" w:themeColor="text1"/>
          <w:sz w:val="24"/>
          <w:szCs w:val="24"/>
          <w:lang w:eastAsia="zh-CN"/>
          <w14:textFill>
            <w14:solidFill>
              <w14:schemeClr w14:val="tx1"/>
            </w14:solidFill>
          </w14:textFill>
        </w:rPr>
        <w:t>响应供应商</w:t>
      </w:r>
      <w:r>
        <w:rPr>
          <w:rFonts w:hint="eastAsia"/>
          <w:color w:val="000000" w:themeColor="text1"/>
          <w:sz w:val="24"/>
          <w:szCs w:val="24"/>
          <w14:textFill>
            <w14:solidFill>
              <w14:schemeClr w14:val="tx1"/>
            </w14:solidFill>
          </w14:textFill>
        </w:rPr>
        <w:t>的</w:t>
      </w:r>
      <w:r>
        <w:rPr>
          <w:rFonts w:hint="eastAsia"/>
          <w:color w:val="000000" w:themeColor="text1"/>
          <w:sz w:val="24"/>
          <w:szCs w:val="24"/>
          <w:lang w:eastAsia="zh-CN"/>
          <w14:textFill>
            <w14:solidFill>
              <w14:schemeClr w14:val="tx1"/>
            </w14:solidFill>
          </w14:textFill>
        </w:rPr>
        <w:t>响应</w:t>
      </w:r>
      <w:r>
        <w:rPr>
          <w:rFonts w:hint="eastAsia"/>
          <w:color w:val="000000" w:themeColor="text1"/>
          <w:sz w:val="24"/>
          <w:szCs w:val="24"/>
          <w14:textFill>
            <w14:solidFill>
              <w14:schemeClr w14:val="tx1"/>
            </w14:solidFill>
          </w14:textFill>
        </w:rPr>
        <w:t>总报价中。</w:t>
      </w:r>
    </w:p>
    <w:p w14:paraId="6A65ED0F">
      <w:pPr>
        <w:pStyle w:val="80"/>
        <w:ind w:firstLine="480"/>
        <w:rPr>
          <w:rFonts w:hint="eastAsia"/>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7、本项目软件开发及调试将纳入采购人的管理范围，</w:t>
      </w:r>
      <w:r>
        <w:rPr>
          <w:rFonts w:hint="eastAsia"/>
          <w:color w:val="000000" w:themeColor="text1"/>
          <w:sz w:val="24"/>
          <w:szCs w:val="24"/>
          <w:lang w:eastAsia="zh-CN"/>
          <w14:textFill>
            <w14:solidFill>
              <w14:schemeClr w14:val="tx1"/>
            </w14:solidFill>
          </w14:textFill>
        </w:rPr>
        <w:t>成交供应商</w:t>
      </w:r>
      <w:r>
        <w:rPr>
          <w:rFonts w:hint="eastAsia"/>
          <w:color w:val="000000" w:themeColor="text1"/>
          <w:sz w:val="24"/>
          <w:szCs w:val="24"/>
          <w14:textFill>
            <w14:solidFill>
              <w14:schemeClr w14:val="tx1"/>
            </w14:solidFill>
          </w14:textFill>
        </w:rPr>
        <w:t>在此过程中须服从上述单位的管理协调。</w:t>
      </w:r>
    </w:p>
    <w:p w14:paraId="6344464B">
      <w:pPr>
        <w:pStyle w:val="2"/>
        <w:rPr>
          <w:rFonts w:hint="eastAsia"/>
          <w:color w:val="000000" w:themeColor="text1"/>
          <w14:textFill>
            <w14:solidFill>
              <w14:schemeClr w14:val="tx1"/>
            </w14:solidFill>
          </w14:textFill>
        </w:rPr>
      </w:pPr>
      <w:bookmarkStart w:id="45" w:name="_Toc63785513"/>
      <w:r>
        <w:rPr>
          <w:rFonts w:hint="eastAsia"/>
          <w:color w:val="000000" w:themeColor="text1"/>
          <w14:textFill>
            <w14:solidFill>
              <w14:schemeClr w14:val="tx1"/>
            </w14:solidFill>
          </w14:textFill>
        </w:rPr>
        <w:t>关于转让和分包的规定</w:t>
      </w:r>
    </w:p>
    <w:p w14:paraId="4D49900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本项目不得转让、不得分包。</w:t>
      </w:r>
    </w:p>
    <w:p w14:paraId="1A271BC9">
      <w:pPr>
        <w:pStyle w:val="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知识产权及保密要求</w:t>
      </w:r>
      <w:bookmarkEnd w:id="45"/>
    </w:p>
    <w:p w14:paraId="6961AD2F">
      <w:pPr>
        <w:ind w:firstLine="482"/>
        <w:rPr>
          <w:rFonts w:hint="eastAsia"/>
          <w:b/>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b/>
          <w:color w:val="000000" w:themeColor="text1"/>
          <w:lang w:eastAsia="zh-CN"/>
          <w14:textFill>
            <w14:solidFill>
              <w14:schemeClr w14:val="tx1"/>
            </w14:solidFill>
          </w14:textFill>
        </w:rPr>
        <w:t>成交供应商</w:t>
      </w:r>
      <w:r>
        <w:rPr>
          <w:b/>
          <w:color w:val="000000" w:themeColor="text1"/>
          <w14:textFill>
            <w14:solidFill>
              <w14:schemeClr w14:val="tx1"/>
            </w14:solidFill>
          </w14:textFill>
        </w:rPr>
        <w:t>数据、文件、资料知识产权</w:t>
      </w:r>
    </w:p>
    <w:p w14:paraId="633DC2A2">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应负责与第三方解决纠纷，若因此导致采购人损失的，采购人有权要求</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赔偿采购人因此遭受的全部损失，包括但不限于直接损失、间接损失、诉讼费／仲裁费、律师费、公证费、鉴定费等。</w:t>
      </w:r>
    </w:p>
    <w:p w14:paraId="5360A388">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因履行本项目而产生的所有成果的知识产权等权利均归采购人所有，</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应配合采购人进行相关权利登记或申请。未经采购人书面同意，</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不得以任何形式使用或许可他人使用本项目成果的相关内容，不得擅自对外公开发表或向任何第三方透露。</w:t>
      </w:r>
    </w:p>
    <w:p w14:paraId="3D6E7AB6">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52667DF2">
      <w:pPr>
        <w:ind w:firstLine="482"/>
        <w:rPr>
          <w:rFonts w:hint="eastAsia"/>
          <w:b/>
          <w:color w:val="000000" w:themeColor="text1"/>
          <w14:textFill>
            <w14:solidFill>
              <w14:schemeClr w14:val="tx1"/>
            </w14:solidFill>
          </w14:textFill>
        </w:rPr>
      </w:pPr>
      <w:r>
        <w:rPr>
          <w:b/>
          <w:color w:val="000000" w:themeColor="text1"/>
          <w14:textFill>
            <w14:solidFill>
              <w14:schemeClr w14:val="tx1"/>
            </w14:solidFill>
          </w14:textFill>
        </w:rPr>
        <w:t>2、项目保密要求</w:t>
      </w:r>
    </w:p>
    <w:p w14:paraId="40FA80FC">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不得对外泄露采购人要求保密的信息，不得用于其他用途，否则</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需承担由此引起的法律责任和经济责任，包括但不限于直接损失、间接损失、律师费、诉讼费/仲裁费、调查费、公证费等。</w:t>
      </w:r>
    </w:p>
    <w:p w14:paraId="653315BE">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应采取必要的有效措施保证其参与本项目的人员（包括</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聘用的人员、借调的人员、实习的人员）无论是在职或离职后，以及</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的合作方无论是合作中或合作终止后，都能够履行本项目约定的保密义务。若</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人员或</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合作方违反保密规定，</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应承担连带责任。</w:t>
      </w:r>
    </w:p>
    <w:p w14:paraId="73D5FDD3">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（含</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737785C1">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以上内容的保密期限自</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知悉保密信息起始至保密信息被合法公开之日止。</w:t>
      </w:r>
    </w:p>
    <w:p w14:paraId="4B5331ED">
      <w:pPr>
        <w:ind w:firstLine="482"/>
        <w:rPr>
          <w:rFonts w:hint="eastAsia"/>
          <w:b/>
          <w:color w:val="000000" w:themeColor="text1"/>
          <w14:textFill>
            <w14:solidFill>
              <w14:schemeClr w14:val="tx1"/>
            </w14:solidFill>
          </w14:textFill>
        </w:rPr>
      </w:pPr>
      <w:r>
        <w:rPr>
          <w:b/>
          <w:color w:val="000000" w:themeColor="text1"/>
          <w14:textFill>
            <w14:solidFill>
              <w14:schemeClr w14:val="tx1"/>
            </w14:solidFill>
          </w14:textFill>
        </w:rPr>
        <w:t>3、临时账号等使用要求</w:t>
      </w:r>
    </w:p>
    <w:p w14:paraId="51AF31D4">
      <w:pPr>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对采购人提拱的临时使用账号要保密，不得公开，对组件开发的账号密码需进行加密，避免信息安全的泄露。未经采购人的同意不得利用采购人的网络及平台进行短信、彩信、微信发送</w:t>
      </w:r>
      <w:r>
        <w:rPr>
          <w:color w:val="000000" w:themeColor="text1"/>
          <w14:textFill>
            <w14:solidFill>
              <w14:schemeClr w14:val="tx1"/>
            </w14:solidFill>
          </w14:textFill>
        </w:rPr>
        <w:t>,造成的一切后果由</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负责。</w:t>
      </w:r>
    </w:p>
    <w:p w14:paraId="49177EF6">
      <w:pPr>
        <w:pStyle w:val="2"/>
        <w:rPr>
          <w:rFonts w:hint="eastAsia"/>
          <w:color w:val="000000" w:themeColor="text1"/>
          <w14:textFill>
            <w14:solidFill>
              <w14:schemeClr w14:val="tx1"/>
            </w14:solidFill>
          </w14:textFill>
        </w:rPr>
      </w:pPr>
      <w:bookmarkStart w:id="46" w:name="_Toc65170093"/>
      <w:r>
        <w:rPr>
          <w:color w:val="000000" w:themeColor="text1"/>
          <w14:textFill>
            <w14:solidFill>
              <w14:schemeClr w14:val="tx1"/>
            </w14:solidFill>
          </w14:textFill>
        </w:rPr>
        <w:t>项目的变更、解除和终止</w:t>
      </w:r>
    </w:p>
    <w:p w14:paraId="256E8141">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如果</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丧失履约能力、发生资不抵债或进入破产程序，采购人可在任何时候以书面形式通知</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终止本项目的执行而不给予</w:t>
      </w:r>
      <w:r>
        <w:rPr>
          <w:rFonts w:hint="eastAsia"/>
          <w:color w:val="000000" w:themeColor="text1"/>
          <w:lang w:eastAsia="zh-CN"/>
          <w14:textFill>
            <w14:solidFill>
              <w14:schemeClr w14:val="tx1"/>
            </w14:solidFill>
          </w14:textFill>
        </w:rPr>
        <w:t>成交供应商</w:t>
      </w:r>
      <w:r>
        <w:rPr>
          <w:rFonts w:hint="eastAsia"/>
          <w:color w:val="000000" w:themeColor="text1"/>
          <w14:textFill>
            <w14:solidFill>
              <w14:schemeClr w14:val="tx1"/>
            </w14:solidFill>
          </w14:textFill>
        </w:rPr>
        <w:t>补偿。该终止本项目将不损害或影响采购人已经采取或将要采取任何行动或补救措施的权利。</w:t>
      </w:r>
    </w:p>
    <w:p w14:paraId="1B6164F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如遇国家、行业管理部门等机构的有关标准和规定调整的，导致本项目内容须做相应调整时，双方应按照公平、合理的原则共同协商修改本项目对应的合同的相关条款。</w:t>
      </w:r>
    </w:p>
    <w:p w14:paraId="026A5296">
      <w:pPr>
        <w:pStyle w:val="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违约责任</w:t>
      </w:r>
      <w:bookmarkEnd w:id="46"/>
    </w:p>
    <w:p w14:paraId="43EF0096">
      <w:pPr>
        <w:rPr>
          <w:rFonts w:hint="eastAsia"/>
          <w:color w:val="000000" w:themeColor="text1"/>
          <w14:textFill>
            <w14:solidFill>
              <w14:schemeClr w14:val="tx1"/>
            </w14:solidFill>
          </w14:textFill>
        </w:rPr>
      </w:pPr>
      <w:r>
        <w:rPr>
          <w:color w:val="000000" w:themeColor="text1"/>
          <w14:textFill>
            <w14:solidFill>
              <w14:schemeClr w14:val="tx1"/>
            </w14:solidFill>
          </w14:textFill>
        </w:rPr>
        <w:t>1、如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未按约定的时间或服务标准完成建设工作，采购人可要求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在规定的时间内采取补救措施。</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还应向采购人支付本项目费用总额30%的违约金，违约金不足以弥补采购人损失的，采购人有权要求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赔偿超过部分。</w:t>
      </w:r>
    </w:p>
    <w:p w14:paraId="42F647E5">
      <w:pPr>
        <w:rPr>
          <w:rFonts w:hint="eastAsia"/>
          <w:color w:val="000000" w:themeColor="text1"/>
          <w14:textFill>
            <w14:solidFill>
              <w14:schemeClr w14:val="tx1"/>
            </w14:solidFill>
          </w14:textFill>
        </w:rPr>
      </w:pPr>
      <w:r>
        <w:rPr>
          <w:color w:val="000000" w:themeColor="text1"/>
          <w14:textFill>
            <w14:solidFill>
              <w14:schemeClr w14:val="tx1"/>
            </w14:solidFill>
          </w14:textFill>
        </w:rPr>
        <w:t>2、因</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违反保密义务或知识产权约定的，采购人有权要求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支付本项目费用总额30%的违约金，违约金不足以弥补采购人损失的，采购人有权要求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赔偿超过部分。若</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违反保密义务，采购人还有权立即单方解除合同而不承担任何违约责任。</w:t>
      </w:r>
    </w:p>
    <w:p w14:paraId="7D30FF05">
      <w:pPr>
        <w:rPr>
          <w:rFonts w:hint="eastAsia"/>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有其他违反本项目合同约定的行为，</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应当支付本项目总价款金额的20%作为违约金，违约金不足以弥补采购人损失的，采购人有权要求</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赔偿超过部分。</w:t>
      </w:r>
    </w:p>
    <w:p w14:paraId="5BB4530F">
      <w:pPr>
        <w:rPr>
          <w:rFonts w:hint="eastAsia"/>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有下列情形之一，采购人有权解除合同：</w:t>
      </w:r>
    </w:p>
    <w:p w14:paraId="2FE34430">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）因</w:t>
      </w:r>
      <w:r>
        <w:rPr>
          <w:rFonts w:hint="eastAsia"/>
          <w:color w:val="000000" w:themeColor="text1"/>
          <w:lang w:eastAsia="zh-CN"/>
          <w14:textFill>
            <w14:solidFill>
              <w14:schemeClr w14:val="tx1"/>
            </w14:solidFill>
          </w14:textFill>
        </w:rPr>
        <w:t>成交供应商</w:t>
      </w:r>
      <w:r>
        <w:rPr>
          <w:color w:val="000000" w:themeColor="text1"/>
          <w14:textFill>
            <w14:solidFill>
              <w14:schemeClr w14:val="tx1"/>
            </w14:solidFill>
          </w14:textFill>
        </w:rPr>
        <w:t>服务质量问题导致采购人无法实现目的；</w:t>
      </w:r>
    </w:p>
    <w:p w14:paraId="3CBBA1D5">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）擅自转让或者分包其应履行的义务的；</w:t>
      </w:r>
    </w:p>
    <w:p w14:paraId="053C2B4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）违反或者未履行本项目合同约定的其他相关义务，且在采购人要求的合理时间内未能纠正的。</w:t>
      </w:r>
    </w:p>
    <w:p w14:paraId="70559796">
      <w:pPr>
        <w:pStyle w:val="2"/>
        <w:rPr>
          <w:rFonts w:hint="eastAsia"/>
          <w:color w:val="000000" w:themeColor="text1"/>
          <w14:textFill>
            <w14:solidFill>
              <w14:schemeClr w14:val="tx1"/>
            </w14:solidFill>
          </w14:textFill>
        </w:rPr>
      </w:pPr>
      <w:bookmarkStart w:id="47" w:name="_Toc63785514"/>
      <w:r>
        <w:rPr>
          <w:rFonts w:hint="eastAsia"/>
          <w:color w:val="000000" w:themeColor="text1"/>
          <w14:textFill>
            <w14:solidFill>
              <w14:schemeClr w14:val="tx1"/>
            </w14:solidFill>
          </w14:textFill>
        </w:rPr>
        <w:t>付款</w:t>
      </w:r>
      <w:bookmarkEnd w:id="47"/>
      <w:r>
        <w:rPr>
          <w:rFonts w:hint="eastAsia"/>
          <w:color w:val="000000" w:themeColor="text1"/>
          <w14:textFill>
            <w14:solidFill>
              <w14:schemeClr w14:val="tx1"/>
            </w14:solidFill>
          </w14:textFill>
        </w:rPr>
        <w:t>方式</w:t>
      </w:r>
    </w:p>
    <w:p w14:paraId="1EA5504D">
      <w:pPr>
        <w:rPr>
          <w:rFonts w:hint="eastAsia"/>
          <w:color w:val="000000" w:themeColor="text1"/>
          <w14:textFill>
            <w14:solidFill>
              <w14:schemeClr w14:val="tx1"/>
            </w14:solidFill>
          </w14:textFill>
        </w:rPr>
      </w:pPr>
      <w:r>
        <w:rPr>
          <w:color w:val="000000" w:themeColor="text1"/>
          <w14:textFill>
            <w14:solidFill>
              <w14:schemeClr w14:val="tx1"/>
            </w14:solidFill>
          </w14:textFill>
        </w:rPr>
        <w:t>本合同</w:t>
      </w:r>
      <w:r>
        <w:rPr>
          <w:rFonts w:hint="eastAsia"/>
          <w:color w:val="000000" w:themeColor="text1"/>
          <w14:textFill>
            <w14:solidFill>
              <w14:schemeClr w14:val="tx1"/>
            </w14:solidFill>
          </w14:textFill>
        </w:rPr>
        <w:t>采用两</w:t>
      </w:r>
      <w:r>
        <w:rPr>
          <w:color w:val="000000" w:themeColor="text1"/>
          <w14:textFill>
            <w14:solidFill>
              <w14:schemeClr w14:val="tx1"/>
            </w14:solidFill>
          </w14:textFill>
        </w:rPr>
        <w:t>期分期付款</w:t>
      </w:r>
      <w:r>
        <w:rPr>
          <w:rFonts w:hint="eastAsia"/>
          <w:color w:val="000000" w:themeColor="text1"/>
          <w14:textFill>
            <w14:solidFill>
              <w14:schemeClr w14:val="tx1"/>
            </w14:solidFill>
          </w14:textFill>
        </w:rPr>
        <w:t>：</w:t>
      </w:r>
    </w:p>
    <w:p w14:paraId="470668B9">
      <w:pPr>
        <w:pStyle w:val="144"/>
        <w:numPr>
          <w:ilvl w:val="0"/>
          <w:numId w:val="6"/>
        </w:numPr>
        <w:spacing w:line="600" w:lineRule="exact"/>
        <w:ind w:firstLineChars="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合同签订生效后且甲方收到乙方开具的等额发票后的10个工作日内，支付合同总价款的70%；</w:t>
      </w:r>
    </w:p>
    <w:p w14:paraId="5BEC5760">
      <w:pPr>
        <w:pStyle w:val="144"/>
        <w:numPr>
          <w:ilvl w:val="0"/>
          <w:numId w:val="6"/>
        </w:numPr>
        <w:spacing w:line="600" w:lineRule="exact"/>
        <w:ind w:firstLineChars="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本项目通过最终验收后且甲方收到约定的项目工作成果、乙方开具的等额发票后的 10个工作日内，支付合同总价款的30%</w:t>
      </w:r>
    </w:p>
    <w:p w14:paraId="14E0D35F">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付款条件备注：服务提供方应当在采购方每次付款前提前至少</w:t>
      </w:r>
      <w:r>
        <w:rPr>
          <w:rFonts w:hint="eastAsia" w:ascii="宋体" w:hAnsi="宋体"/>
          <w:color w:val="000000" w:themeColor="text1"/>
          <w:sz w:val="24"/>
          <w:szCs w:val="24"/>
          <w14:textFill>
            <w14:solidFill>
              <w14:schemeClr w14:val="tx1"/>
            </w14:solidFill>
          </w14:textFill>
        </w:rPr>
        <w:t>10个工作日</w:t>
      </w:r>
      <w:r>
        <w:rPr>
          <w:color w:val="000000" w:themeColor="text1"/>
          <w14:textFill>
            <w14:solidFill>
              <w14:schemeClr w14:val="tx1"/>
            </w14:solidFill>
          </w14:textFill>
        </w:rPr>
        <w:t>向采购方提供有效发票。</w:t>
      </w:r>
    </w:p>
    <w:p w14:paraId="5A576D77">
      <w:pPr>
        <w:pStyle w:val="2"/>
        <w:rPr>
          <w:rFonts w:hint="eastAsia"/>
          <w:color w:val="000000" w:themeColor="text1"/>
          <w14:textFill>
            <w14:solidFill>
              <w14:schemeClr w14:val="tx1"/>
            </w14:solidFill>
          </w14:textFill>
        </w:rPr>
      </w:pPr>
      <w:bookmarkStart w:id="48" w:name="_Toc68798863"/>
      <w:r>
        <w:rPr>
          <w:rFonts w:hint="eastAsia"/>
          <w:color w:val="000000" w:themeColor="text1"/>
          <w14:textFill>
            <w14:solidFill>
              <w14:schemeClr w14:val="tx1"/>
            </w14:solidFill>
          </w14:textFill>
        </w:rPr>
        <w:t>附录</w:t>
      </w:r>
      <w:bookmarkEnd w:id="48"/>
    </w:p>
    <w:p w14:paraId="51D95A5D">
      <w:pPr>
        <w:ind w:firstLine="482"/>
        <w:rPr>
          <w:rFonts w:hint="eastAsia"/>
          <w:color w:val="000000" w:themeColor="text1"/>
          <w14:textFill>
            <w14:solidFill>
              <w14:schemeClr w14:val="tx1"/>
            </w14:solidFill>
          </w14:textFill>
        </w:rPr>
      </w:pPr>
      <w:r>
        <w:rPr>
          <w:rFonts w:hint="eastAsia"/>
          <w:b/>
          <w:color w:val="000000" w:themeColor="text1"/>
          <w14:textFill>
            <w14:solidFill>
              <w14:schemeClr w14:val="tx1"/>
            </w14:solidFill>
          </w14:textFill>
        </w:rPr>
        <w:t>项目建设过程中需符合相关技术标准或规范文件的要求，参考如下：</w:t>
      </w:r>
    </w:p>
    <w:p w14:paraId="1A6C81EC">
      <w:pPr>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《政务网络安全监测平台总体技术要求》</w:t>
      </w:r>
    </w:p>
    <w:p w14:paraId="4FC0EFEF">
      <w:pPr>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54pt;width:76.8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37C17C51">
      <w:pPr>
        <w:ind w:firstLine="0" w:firstLineChars="0"/>
        <w:rPr>
          <w:rFonts w:hint="eastAsia"/>
          <w:color w:val="000000" w:themeColor="text1"/>
          <w14:textFill>
            <w14:solidFill>
              <w14:schemeClr w14:val="tx1"/>
            </w14:solidFill>
          </w14:textFill>
        </w:rPr>
      </w:pPr>
    </w:p>
    <w:p w14:paraId="14CAF6C3">
      <w:pPr>
        <w:ind w:firstLine="0" w:firstLineChars="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2、《上海市电子政务外网建设和运行管理指南（试行）》</w:t>
      </w:r>
    </w:p>
    <w:p w14:paraId="49694751">
      <w:pPr>
        <w:ind w:firstLine="0" w:firstLineChars="0"/>
        <w:jc w:val="left"/>
        <w:rPr>
          <w:rFonts w:hint="eastAsia"/>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54pt;width:76.8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66E1DC45">
      <w:pPr>
        <w:ind w:firstLine="0" w:firstLineChars="0"/>
        <w:jc w:val="left"/>
        <w:rPr>
          <w:rFonts w:hint="eastAsia"/>
          <w:b/>
          <w:bCs/>
          <w:color w:val="000000" w:themeColor="text1"/>
          <w14:textFill>
            <w14:solidFill>
              <w14:schemeClr w14:val="tx1"/>
            </w14:solidFill>
          </w14:textFill>
        </w:rPr>
      </w:pPr>
      <w:r>
        <w:rPr>
          <w:rFonts w:hint="eastAsia"/>
          <w:color w:val="000000" w:themeColor="text1"/>
          <w14:textFill>
            <w14:solidFill>
              <w14:schemeClr w14:val="tx1"/>
            </w14:solidFill>
          </w14:textFill>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国标宋体"/>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国标宋体">
    <w:panose1 w:val="02000500000000000000"/>
    <w:charset w:val="86"/>
    <w:family w:val="auto"/>
    <w:pitch w:val="default"/>
    <w:sig w:usb0="00000001" w:usb1="28000000" w:usb2="00000000" w:usb3="00000000" w:csb0="00060007"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08"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LiberationSans">
    <w:altName w:val="仿宋_GB2312"/>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4DABC">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5AE8197D">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8F7DC">
    <w:pPr>
      <w:rPr>
        <w:rFonts w:hint="eastAsia"/>
      </w:rPr>
    </w:pPr>
  </w:p>
  <w:p w14:paraId="6CF95FCD">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91EC9">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3AC6">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B668C02">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1FA95">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164C1">
    <w:pPr>
      <w:rPr>
        <w:rFonts w:hint="eastAsia"/>
      </w:rPr>
    </w:pPr>
  </w:p>
  <w:p w14:paraId="40A3298A">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86114">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8A336E"/>
    <w:multiLevelType w:val="multilevel"/>
    <w:tmpl w:val="178A336E"/>
    <w:lvl w:ilvl="0" w:tentative="0">
      <w:start w:val="1"/>
      <w:numFmt w:val="bullet"/>
      <w:lvlText w:val=""/>
      <w:lvlJc w:val="left"/>
      <w:pPr>
        <w:ind w:left="865" w:hanging="440"/>
      </w:pPr>
      <w:rPr>
        <w:rFonts w:hint="default" w:ascii="Wingdings" w:hAnsi="Wingdings"/>
      </w:rPr>
    </w:lvl>
    <w:lvl w:ilvl="1" w:tentative="0">
      <w:start w:val="1"/>
      <w:numFmt w:val="bullet"/>
      <w:lvlText w:val=""/>
      <w:lvlJc w:val="left"/>
      <w:pPr>
        <w:ind w:left="1305" w:hanging="440"/>
      </w:pPr>
      <w:rPr>
        <w:rFonts w:hint="default" w:ascii="Wingdings" w:hAnsi="Wingdings"/>
      </w:rPr>
    </w:lvl>
    <w:lvl w:ilvl="2" w:tentative="0">
      <w:start w:val="1"/>
      <w:numFmt w:val="bullet"/>
      <w:lvlText w:val=""/>
      <w:lvlJc w:val="left"/>
      <w:pPr>
        <w:ind w:left="1745" w:hanging="440"/>
      </w:pPr>
      <w:rPr>
        <w:rFonts w:hint="default" w:ascii="Wingdings" w:hAnsi="Wingdings"/>
      </w:rPr>
    </w:lvl>
    <w:lvl w:ilvl="3" w:tentative="0">
      <w:start w:val="1"/>
      <w:numFmt w:val="bullet"/>
      <w:lvlText w:val=""/>
      <w:lvlJc w:val="left"/>
      <w:pPr>
        <w:ind w:left="2185" w:hanging="440"/>
      </w:pPr>
      <w:rPr>
        <w:rFonts w:hint="default" w:ascii="Wingdings" w:hAnsi="Wingdings"/>
      </w:rPr>
    </w:lvl>
    <w:lvl w:ilvl="4" w:tentative="0">
      <w:start w:val="1"/>
      <w:numFmt w:val="bullet"/>
      <w:lvlText w:val=""/>
      <w:lvlJc w:val="left"/>
      <w:pPr>
        <w:ind w:left="2625" w:hanging="440"/>
      </w:pPr>
      <w:rPr>
        <w:rFonts w:hint="default" w:ascii="Wingdings" w:hAnsi="Wingdings"/>
      </w:rPr>
    </w:lvl>
    <w:lvl w:ilvl="5" w:tentative="0">
      <w:start w:val="1"/>
      <w:numFmt w:val="bullet"/>
      <w:lvlText w:val=""/>
      <w:lvlJc w:val="left"/>
      <w:pPr>
        <w:ind w:left="3065" w:hanging="440"/>
      </w:pPr>
      <w:rPr>
        <w:rFonts w:hint="default" w:ascii="Wingdings" w:hAnsi="Wingdings"/>
      </w:rPr>
    </w:lvl>
    <w:lvl w:ilvl="6" w:tentative="0">
      <w:start w:val="1"/>
      <w:numFmt w:val="bullet"/>
      <w:lvlText w:val=""/>
      <w:lvlJc w:val="left"/>
      <w:pPr>
        <w:ind w:left="3505" w:hanging="440"/>
      </w:pPr>
      <w:rPr>
        <w:rFonts w:hint="default" w:ascii="Wingdings" w:hAnsi="Wingdings"/>
      </w:rPr>
    </w:lvl>
    <w:lvl w:ilvl="7" w:tentative="0">
      <w:start w:val="1"/>
      <w:numFmt w:val="bullet"/>
      <w:lvlText w:val=""/>
      <w:lvlJc w:val="left"/>
      <w:pPr>
        <w:ind w:left="3945" w:hanging="440"/>
      </w:pPr>
      <w:rPr>
        <w:rFonts w:hint="default" w:ascii="Wingdings" w:hAnsi="Wingdings"/>
      </w:rPr>
    </w:lvl>
    <w:lvl w:ilvl="8" w:tentative="0">
      <w:start w:val="1"/>
      <w:numFmt w:val="bullet"/>
      <w:lvlText w:val=""/>
      <w:lvlJc w:val="left"/>
      <w:pPr>
        <w:ind w:left="4385" w:hanging="440"/>
      </w:pPr>
      <w:rPr>
        <w:rFonts w:hint="default" w:ascii="Wingdings" w:hAnsi="Wingdings"/>
      </w:rPr>
    </w:lvl>
  </w:abstractNum>
  <w:abstractNum w:abstractNumId="1">
    <w:nsid w:val="1B79283E"/>
    <w:multiLevelType w:val="multilevel"/>
    <w:tmpl w:val="1B79283E"/>
    <w:lvl w:ilvl="0" w:tentative="0">
      <w:start w:val="1"/>
      <w:numFmt w:val="lowerLetter"/>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
    <w:nsid w:val="73CF2087"/>
    <w:multiLevelType w:val="multilevel"/>
    <w:tmpl w:val="73CF2087"/>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3"/>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41"/>
    <w:rsid w:val="000447CB"/>
    <w:rsid w:val="00047915"/>
    <w:rsid w:val="00047D06"/>
    <w:rsid w:val="00050FBD"/>
    <w:rsid w:val="0005107A"/>
    <w:rsid w:val="0005192C"/>
    <w:rsid w:val="00052929"/>
    <w:rsid w:val="0005299F"/>
    <w:rsid w:val="000541D7"/>
    <w:rsid w:val="000545C0"/>
    <w:rsid w:val="00054705"/>
    <w:rsid w:val="0005586D"/>
    <w:rsid w:val="00056C0E"/>
    <w:rsid w:val="000574A8"/>
    <w:rsid w:val="000574F8"/>
    <w:rsid w:val="00057A49"/>
    <w:rsid w:val="000601CB"/>
    <w:rsid w:val="0006231F"/>
    <w:rsid w:val="00062A05"/>
    <w:rsid w:val="00062EE6"/>
    <w:rsid w:val="0006344E"/>
    <w:rsid w:val="00063626"/>
    <w:rsid w:val="000649E6"/>
    <w:rsid w:val="0006794B"/>
    <w:rsid w:val="00067DCA"/>
    <w:rsid w:val="00070063"/>
    <w:rsid w:val="0007087A"/>
    <w:rsid w:val="000710EC"/>
    <w:rsid w:val="00072237"/>
    <w:rsid w:val="00072ABE"/>
    <w:rsid w:val="00080B39"/>
    <w:rsid w:val="00083950"/>
    <w:rsid w:val="0008452F"/>
    <w:rsid w:val="00084E8E"/>
    <w:rsid w:val="00085223"/>
    <w:rsid w:val="00085A68"/>
    <w:rsid w:val="00090625"/>
    <w:rsid w:val="00090948"/>
    <w:rsid w:val="00090960"/>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5AE5"/>
    <w:rsid w:val="000B642F"/>
    <w:rsid w:val="000B6C99"/>
    <w:rsid w:val="000C3F3C"/>
    <w:rsid w:val="000C44DD"/>
    <w:rsid w:val="000C5A75"/>
    <w:rsid w:val="000C75F7"/>
    <w:rsid w:val="000D0AB2"/>
    <w:rsid w:val="000D225C"/>
    <w:rsid w:val="000D36F2"/>
    <w:rsid w:val="000D4B26"/>
    <w:rsid w:val="000D74DB"/>
    <w:rsid w:val="000D7BDC"/>
    <w:rsid w:val="000E05CD"/>
    <w:rsid w:val="000E1488"/>
    <w:rsid w:val="000E24D6"/>
    <w:rsid w:val="000E6072"/>
    <w:rsid w:val="000E6D61"/>
    <w:rsid w:val="000E7A23"/>
    <w:rsid w:val="000F1C29"/>
    <w:rsid w:val="000F1E9E"/>
    <w:rsid w:val="000F2B10"/>
    <w:rsid w:val="000F2DC7"/>
    <w:rsid w:val="000F3E3A"/>
    <w:rsid w:val="000F3F72"/>
    <w:rsid w:val="000F4DEC"/>
    <w:rsid w:val="00100037"/>
    <w:rsid w:val="00100982"/>
    <w:rsid w:val="00100F62"/>
    <w:rsid w:val="001055B2"/>
    <w:rsid w:val="001068F0"/>
    <w:rsid w:val="00106AB8"/>
    <w:rsid w:val="00106C9E"/>
    <w:rsid w:val="00106E16"/>
    <w:rsid w:val="0010768B"/>
    <w:rsid w:val="00110AF5"/>
    <w:rsid w:val="00111701"/>
    <w:rsid w:val="00112A29"/>
    <w:rsid w:val="0011458F"/>
    <w:rsid w:val="00114B5E"/>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AC"/>
    <w:rsid w:val="00137AC6"/>
    <w:rsid w:val="00145512"/>
    <w:rsid w:val="001465BD"/>
    <w:rsid w:val="00147B45"/>
    <w:rsid w:val="0015030D"/>
    <w:rsid w:val="00150803"/>
    <w:rsid w:val="00151D83"/>
    <w:rsid w:val="001546C9"/>
    <w:rsid w:val="00154FAE"/>
    <w:rsid w:val="00155E77"/>
    <w:rsid w:val="00156A70"/>
    <w:rsid w:val="00160A61"/>
    <w:rsid w:val="00160FC0"/>
    <w:rsid w:val="0016429B"/>
    <w:rsid w:val="00164525"/>
    <w:rsid w:val="00164C50"/>
    <w:rsid w:val="00165CB2"/>
    <w:rsid w:val="00166767"/>
    <w:rsid w:val="001707CB"/>
    <w:rsid w:val="00171477"/>
    <w:rsid w:val="00172A1A"/>
    <w:rsid w:val="00173251"/>
    <w:rsid w:val="00176BED"/>
    <w:rsid w:val="0017759D"/>
    <w:rsid w:val="001804A5"/>
    <w:rsid w:val="00181C94"/>
    <w:rsid w:val="00182B98"/>
    <w:rsid w:val="00182C84"/>
    <w:rsid w:val="00182CAA"/>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2AC1"/>
    <w:rsid w:val="001C3217"/>
    <w:rsid w:val="001C3B98"/>
    <w:rsid w:val="001C6028"/>
    <w:rsid w:val="001C6365"/>
    <w:rsid w:val="001C7F57"/>
    <w:rsid w:val="001D0E79"/>
    <w:rsid w:val="001D28EB"/>
    <w:rsid w:val="001D4F6E"/>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0878"/>
    <w:rsid w:val="002129E5"/>
    <w:rsid w:val="00212AA4"/>
    <w:rsid w:val="00212E13"/>
    <w:rsid w:val="00213FDF"/>
    <w:rsid w:val="002163C8"/>
    <w:rsid w:val="0021729B"/>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1B8F"/>
    <w:rsid w:val="00252457"/>
    <w:rsid w:val="00252581"/>
    <w:rsid w:val="002535B5"/>
    <w:rsid w:val="002538CB"/>
    <w:rsid w:val="002542BD"/>
    <w:rsid w:val="002545EA"/>
    <w:rsid w:val="00255995"/>
    <w:rsid w:val="0025774E"/>
    <w:rsid w:val="00257D64"/>
    <w:rsid w:val="0026340A"/>
    <w:rsid w:val="002654EA"/>
    <w:rsid w:val="002704EA"/>
    <w:rsid w:val="0027061A"/>
    <w:rsid w:val="002719CC"/>
    <w:rsid w:val="002730C5"/>
    <w:rsid w:val="0027337C"/>
    <w:rsid w:val="0027602B"/>
    <w:rsid w:val="00277F5E"/>
    <w:rsid w:val="00280084"/>
    <w:rsid w:val="00280490"/>
    <w:rsid w:val="002827FE"/>
    <w:rsid w:val="00283455"/>
    <w:rsid w:val="002860B8"/>
    <w:rsid w:val="0029206E"/>
    <w:rsid w:val="00293382"/>
    <w:rsid w:val="00294F51"/>
    <w:rsid w:val="002A2342"/>
    <w:rsid w:val="002A279E"/>
    <w:rsid w:val="002A4FA3"/>
    <w:rsid w:val="002B3606"/>
    <w:rsid w:val="002B3D80"/>
    <w:rsid w:val="002B4402"/>
    <w:rsid w:val="002B4946"/>
    <w:rsid w:val="002B4C41"/>
    <w:rsid w:val="002B588D"/>
    <w:rsid w:val="002B6412"/>
    <w:rsid w:val="002C07C3"/>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6420"/>
    <w:rsid w:val="002E748B"/>
    <w:rsid w:val="002F2002"/>
    <w:rsid w:val="002F335D"/>
    <w:rsid w:val="002F3F85"/>
    <w:rsid w:val="002F4E32"/>
    <w:rsid w:val="002F4F9E"/>
    <w:rsid w:val="002F503F"/>
    <w:rsid w:val="002F51DD"/>
    <w:rsid w:val="002F5D08"/>
    <w:rsid w:val="002F6895"/>
    <w:rsid w:val="002F6D13"/>
    <w:rsid w:val="003038D3"/>
    <w:rsid w:val="003049C7"/>
    <w:rsid w:val="00305F0E"/>
    <w:rsid w:val="0030667A"/>
    <w:rsid w:val="00306983"/>
    <w:rsid w:val="003106DE"/>
    <w:rsid w:val="00311530"/>
    <w:rsid w:val="00312D31"/>
    <w:rsid w:val="003141B9"/>
    <w:rsid w:val="00315216"/>
    <w:rsid w:val="0031691C"/>
    <w:rsid w:val="00317AEF"/>
    <w:rsid w:val="00317F49"/>
    <w:rsid w:val="0032089B"/>
    <w:rsid w:val="00323450"/>
    <w:rsid w:val="00323D93"/>
    <w:rsid w:val="0032489B"/>
    <w:rsid w:val="0032525B"/>
    <w:rsid w:val="00326A7A"/>
    <w:rsid w:val="00326FEE"/>
    <w:rsid w:val="00327C48"/>
    <w:rsid w:val="003315D7"/>
    <w:rsid w:val="0033217E"/>
    <w:rsid w:val="00334DE6"/>
    <w:rsid w:val="0033536D"/>
    <w:rsid w:val="003353FF"/>
    <w:rsid w:val="003366D2"/>
    <w:rsid w:val="00337C79"/>
    <w:rsid w:val="00337FEF"/>
    <w:rsid w:val="0034084C"/>
    <w:rsid w:val="00340D5E"/>
    <w:rsid w:val="003420B5"/>
    <w:rsid w:val="00343646"/>
    <w:rsid w:val="00344CC7"/>
    <w:rsid w:val="00344CCB"/>
    <w:rsid w:val="00345897"/>
    <w:rsid w:val="003475A7"/>
    <w:rsid w:val="00351BFC"/>
    <w:rsid w:val="0035575E"/>
    <w:rsid w:val="003565B4"/>
    <w:rsid w:val="00362E75"/>
    <w:rsid w:val="003631AA"/>
    <w:rsid w:val="003632D5"/>
    <w:rsid w:val="00363575"/>
    <w:rsid w:val="003646FD"/>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004"/>
    <w:rsid w:val="003A317E"/>
    <w:rsid w:val="003A3183"/>
    <w:rsid w:val="003A345B"/>
    <w:rsid w:val="003A49EE"/>
    <w:rsid w:val="003A649D"/>
    <w:rsid w:val="003A674D"/>
    <w:rsid w:val="003A7123"/>
    <w:rsid w:val="003B102E"/>
    <w:rsid w:val="003B2167"/>
    <w:rsid w:val="003B5F5D"/>
    <w:rsid w:val="003B62C8"/>
    <w:rsid w:val="003B7356"/>
    <w:rsid w:val="003C0C62"/>
    <w:rsid w:val="003C12DC"/>
    <w:rsid w:val="003C2CDA"/>
    <w:rsid w:val="003C39BF"/>
    <w:rsid w:val="003C4A5B"/>
    <w:rsid w:val="003C6D34"/>
    <w:rsid w:val="003D000A"/>
    <w:rsid w:val="003D31E9"/>
    <w:rsid w:val="003D544E"/>
    <w:rsid w:val="003D573B"/>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88F"/>
    <w:rsid w:val="003F1936"/>
    <w:rsid w:val="003F1BDD"/>
    <w:rsid w:val="003F3BA3"/>
    <w:rsid w:val="003F3BD5"/>
    <w:rsid w:val="003F400E"/>
    <w:rsid w:val="003F4272"/>
    <w:rsid w:val="003F6F35"/>
    <w:rsid w:val="003F7768"/>
    <w:rsid w:val="00400E8C"/>
    <w:rsid w:val="004017DC"/>
    <w:rsid w:val="00401B53"/>
    <w:rsid w:val="00402668"/>
    <w:rsid w:val="00404FEC"/>
    <w:rsid w:val="0040534D"/>
    <w:rsid w:val="00405FAD"/>
    <w:rsid w:val="00411703"/>
    <w:rsid w:val="004117AB"/>
    <w:rsid w:val="00412B2F"/>
    <w:rsid w:val="00415281"/>
    <w:rsid w:val="00415716"/>
    <w:rsid w:val="0041604D"/>
    <w:rsid w:val="00417842"/>
    <w:rsid w:val="00417A6E"/>
    <w:rsid w:val="0042285D"/>
    <w:rsid w:val="00427D2B"/>
    <w:rsid w:val="00430B13"/>
    <w:rsid w:val="00430CE5"/>
    <w:rsid w:val="0043153C"/>
    <w:rsid w:val="00431655"/>
    <w:rsid w:val="00431D0F"/>
    <w:rsid w:val="0043481C"/>
    <w:rsid w:val="004416C3"/>
    <w:rsid w:val="00444307"/>
    <w:rsid w:val="0044436F"/>
    <w:rsid w:val="004443EB"/>
    <w:rsid w:val="00444432"/>
    <w:rsid w:val="00444673"/>
    <w:rsid w:val="0044621E"/>
    <w:rsid w:val="00447BF1"/>
    <w:rsid w:val="00450BA4"/>
    <w:rsid w:val="004511FC"/>
    <w:rsid w:val="00452B2E"/>
    <w:rsid w:val="00456784"/>
    <w:rsid w:val="00456DCA"/>
    <w:rsid w:val="00461140"/>
    <w:rsid w:val="004611DB"/>
    <w:rsid w:val="004616F6"/>
    <w:rsid w:val="004658B0"/>
    <w:rsid w:val="00465D8B"/>
    <w:rsid w:val="0046614B"/>
    <w:rsid w:val="00466626"/>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651C"/>
    <w:rsid w:val="00497A33"/>
    <w:rsid w:val="004A0B92"/>
    <w:rsid w:val="004A1112"/>
    <w:rsid w:val="004A1DA0"/>
    <w:rsid w:val="004A1F20"/>
    <w:rsid w:val="004A2393"/>
    <w:rsid w:val="004A3569"/>
    <w:rsid w:val="004A425D"/>
    <w:rsid w:val="004A452A"/>
    <w:rsid w:val="004A5F2C"/>
    <w:rsid w:val="004A6E4F"/>
    <w:rsid w:val="004A720D"/>
    <w:rsid w:val="004B00D0"/>
    <w:rsid w:val="004B16B8"/>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0FF8"/>
    <w:rsid w:val="004F1193"/>
    <w:rsid w:val="004F11DC"/>
    <w:rsid w:val="004F2124"/>
    <w:rsid w:val="004F271B"/>
    <w:rsid w:val="004F3A52"/>
    <w:rsid w:val="004F3C0B"/>
    <w:rsid w:val="004F449F"/>
    <w:rsid w:val="004F4E7E"/>
    <w:rsid w:val="004F5BC5"/>
    <w:rsid w:val="004F63AB"/>
    <w:rsid w:val="004F6B76"/>
    <w:rsid w:val="004F6C7C"/>
    <w:rsid w:val="004F7F1A"/>
    <w:rsid w:val="004F7FBB"/>
    <w:rsid w:val="00501F72"/>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27670"/>
    <w:rsid w:val="00530D2F"/>
    <w:rsid w:val="0053487C"/>
    <w:rsid w:val="0053552D"/>
    <w:rsid w:val="005356E1"/>
    <w:rsid w:val="00536A8B"/>
    <w:rsid w:val="00540418"/>
    <w:rsid w:val="00541A96"/>
    <w:rsid w:val="00541C6A"/>
    <w:rsid w:val="00542C54"/>
    <w:rsid w:val="0054633E"/>
    <w:rsid w:val="00546A43"/>
    <w:rsid w:val="00546C70"/>
    <w:rsid w:val="00547258"/>
    <w:rsid w:val="00550CF0"/>
    <w:rsid w:val="005559FE"/>
    <w:rsid w:val="005560D6"/>
    <w:rsid w:val="005566FB"/>
    <w:rsid w:val="00556D07"/>
    <w:rsid w:val="005570FB"/>
    <w:rsid w:val="005611F2"/>
    <w:rsid w:val="00561734"/>
    <w:rsid w:val="00561952"/>
    <w:rsid w:val="00564B9A"/>
    <w:rsid w:val="00565694"/>
    <w:rsid w:val="00566DD6"/>
    <w:rsid w:val="005714EF"/>
    <w:rsid w:val="00571CEC"/>
    <w:rsid w:val="00572FCE"/>
    <w:rsid w:val="005750DB"/>
    <w:rsid w:val="005752F8"/>
    <w:rsid w:val="005759FC"/>
    <w:rsid w:val="00575B85"/>
    <w:rsid w:val="00576DB9"/>
    <w:rsid w:val="0057738F"/>
    <w:rsid w:val="005805E4"/>
    <w:rsid w:val="00581D5B"/>
    <w:rsid w:val="0058202F"/>
    <w:rsid w:val="00584221"/>
    <w:rsid w:val="00584EB6"/>
    <w:rsid w:val="00586B68"/>
    <w:rsid w:val="0058774E"/>
    <w:rsid w:val="005878CF"/>
    <w:rsid w:val="00590CA0"/>
    <w:rsid w:val="00593D42"/>
    <w:rsid w:val="00595B01"/>
    <w:rsid w:val="00596D98"/>
    <w:rsid w:val="005979A5"/>
    <w:rsid w:val="005A0021"/>
    <w:rsid w:val="005A017B"/>
    <w:rsid w:val="005A2AEC"/>
    <w:rsid w:val="005A2C37"/>
    <w:rsid w:val="005A412D"/>
    <w:rsid w:val="005A5212"/>
    <w:rsid w:val="005B002D"/>
    <w:rsid w:val="005B0FFF"/>
    <w:rsid w:val="005B19AF"/>
    <w:rsid w:val="005B258C"/>
    <w:rsid w:val="005B61DD"/>
    <w:rsid w:val="005B6735"/>
    <w:rsid w:val="005B7675"/>
    <w:rsid w:val="005B7831"/>
    <w:rsid w:val="005C06F8"/>
    <w:rsid w:val="005C0CD6"/>
    <w:rsid w:val="005C12D9"/>
    <w:rsid w:val="005C2146"/>
    <w:rsid w:val="005C309D"/>
    <w:rsid w:val="005C47D8"/>
    <w:rsid w:val="005C5098"/>
    <w:rsid w:val="005C544B"/>
    <w:rsid w:val="005C5916"/>
    <w:rsid w:val="005C5AEE"/>
    <w:rsid w:val="005C774A"/>
    <w:rsid w:val="005C78D5"/>
    <w:rsid w:val="005D3514"/>
    <w:rsid w:val="005D3734"/>
    <w:rsid w:val="005D4937"/>
    <w:rsid w:val="005D4F16"/>
    <w:rsid w:val="005D5A53"/>
    <w:rsid w:val="005D5DA0"/>
    <w:rsid w:val="005D7FBD"/>
    <w:rsid w:val="005E0280"/>
    <w:rsid w:val="005E19B4"/>
    <w:rsid w:val="005E1D6B"/>
    <w:rsid w:val="005E227A"/>
    <w:rsid w:val="005E2CF8"/>
    <w:rsid w:val="005E3126"/>
    <w:rsid w:val="005E6067"/>
    <w:rsid w:val="005E7075"/>
    <w:rsid w:val="005E75A7"/>
    <w:rsid w:val="005F38E2"/>
    <w:rsid w:val="005F3EE6"/>
    <w:rsid w:val="005F6736"/>
    <w:rsid w:val="006021A2"/>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1EE"/>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7AF"/>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97F24"/>
    <w:rsid w:val="006A20D4"/>
    <w:rsid w:val="006A268D"/>
    <w:rsid w:val="006A350F"/>
    <w:rsid w:val="006A3957"/>
    <w:rsid w:val="006A39A4"/>
    <w:rsid w:val="006A41D6"/>
    <w:rsid w:val="006A669D"/>
    <w:rsid w:val="006A6E41"/>
    <w:rsid w:val="006B012F"/>
    <w:rsid w:val="006B27CF"/>
    <w:rsid w:val="006B41BD"/>
    <w:rsid w:val="006B4AB5"/>
    <w:rsid w:val="006B566D"/>
    <w:rsid w:val="006B5678"/>
    <w:rsid w:val="006B62B2"/>
    <w:rsid w:val="006B674A"/>
    <w:rsid w:val="006C1C57"/>
    <w:rsid w:val="006C5760"/>
    <w:rsid w:val="006C6D6F"/>
    <w:rsid w:val="006D0D78"/>
    <w:rsid w:val="006D1128"/>
    <w:rsid w:val="006D2848"/>
    <w:rsid w:val="006D30E0"/>
    <w:rsid w:val="006D4C76"/>
    <w:rsid w:val="006D5521"/>
    <w:rsid w:val="006D5FE9"/>
    <w:rsid w:val="006D656F"/>
    <w:rsid w:val="006D6CBB"/>
    <w:rsid w:val="006D76A9"/>
    <w:rsid w:val="006D77F4"/>
    <w:rsid w:val="006E0898"/>
    <w:rsid w:val="006E17F5"/>
    <w:rsid w:val="006E41CD"/>
    <w:rsid w:val="006F2F5B"/>
    <w:rsid w:val="006F3BEC"/>
    <w:rsid w:val="006F4CF5"/>
    <w:rsid w:val="00703C00"/>
    <w:rsid w:val="007057CC"/>
    <w:rsid w:val="00706255"/>
    <w:rsid w:val="007066F2"/>
    <w:rsid w:val="00706AE5"/>
    <w:rsid w:val="0070740A"/>
    <w:rsid w:val="00710345"/>
    <w:rsid w:val="00711F93"/>
    <w:rsid w:val="00712940"/>
    <w:rsid w:val="0071428C"/>
    <w:rsid w:val="00715A16"/>
    <w:rsid w:val="007164B0"/>
    <w:rsid w:val="007166FF"/>
    <w:rsid w:val="0071745E"/>
    <w:rsid w:val="007260CC"/>
    <w:rsid w:val="00726543"/>
    <w:rsid w:val="0073353E"/>
    <w:rsid w:val="00736633"/>
    <w:rsid w:val="00736DC1"/>
    <w:rsid w:val="00741EE7"/>
    <w:rsid w:val="00743A79"/>
    <w:rsid w:val="007444D4"/>
    <w:rsid w:val="0074594D"/>
    <w:rsid w:val="007459F3"/>
    <w:rsid w:val="00746E35"/>
    <w:rsid w:val="007470E2"/>
    <w:rsid w:val="0075232F"/>
    <w:rsid w:val="00753132"/>
    <w:rsid w:val="007550B3"/>
    <w:rsid w:val="00755D3F"/>
    <w:rsid w:val="00760451"/>
    <w:rsid w:val="00761BA6"/>
    <w:rsid w:val="00764C70"/>
    <w:rsid w:val="00767E33"/>
    <w:rsid w:val="0077182A"/>
    <w:rsid w:val="00771913"/>
    <w:rsid w:val="00772718"/>
    <w:rsid w:val="00775BCF"/>
    <w:rsid w:val="007818AA"/>
    <w:rsid w:val="00783140"/>
    <w:rsid w:val="007838B6"/>
    <w:rsid w:val="00783E77"/>
    <w:rsid w:val="007906F1"/>
    <w:rsid w:val="0079243D"/>
    <w:rsid w:val="00794A9B"/>
    <w:rsid w:val="0079583B"/>
    <w:rsid w:val="00796602"/>
    <w:rsid w:val="00797139"/>
    <w:rsid w:val="00797185"/>
    <w:rsid w:val="007976B7"/>
    <w:rsid w:val="00797A7E"/>
    <w:rsid w:val="00797D6F"/>
    <w:rsid w:val="007A2F7C"/>
    <w:rsid w:val="007A5ED7"/>
    <w:rsid w:val="007B014B"/>
    <w:rsid w:val="007B0D88"/>
    <w:rsid w:val="007B306F"/>
    <w:rsid w:val="007B4714"/>
    <w:rsid w:val="007B4E82"/>
    <w:rsid w:val="007C1996"/>
    <w:rsid w:val="007C23EE"/>
    <w:rsid w:val="007C3773"/>
    <w:rsid w:val="007C3F1F"/>
    <w:rsid w:val="007D2D0D"/>
    <w:rsid w:val="007D3325"/>
    <w:rsid w:val="007D3818"/>
    <w:rsid w:val="007D6DC5"/>
    <w:rsid w:val="007D7425"/>
    <w:rsid w:val="007E0919"/>
    <w:rsid w:val="007E320E"/>
    <w:rsid w:val="007E3280"/>
    <w:rsid w:val="007E4A02"/>
    <w:rsid w:val="007E595C"/>
    <w:rsid w:val="007E59A5"/>
    <w:rsid w:val="007E6C26"/>
    <w:rsid w:val="007F26AF"/>
    <w:rsid w:val="007F3B8C"/>
    <w:rsid w:val="007F41D0"/>
    <w:rsid w:val="007F4B8B"/>
    <w:rsid w:val="007F5957"/>
    <w:rsid w:val="007F70B6"/>
    <w:rsid w:val="007F74CA"/>
    <w:rsid w:val="00800F1E"/>
    <w:rsid w:val="0080195A"/>
    <w:rsid w:val="008021E7"/>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4FBB"/>
    <w:rsid w:val="008654A6"/>
    <w:rsid w:val="00865D86"/>
    <w:rsid w:val="00870495"/>
    <w:rsid w:val="00870EA1"/>
    <w:rsid w:val="008710C5"/>
    <w:rsid w:val="00874438"/>
    <w:rsid w:val="00874E75"/>
    <w:rsid w:val="008765D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0FC"/>
    <w:rsid w:val="008D3ECD"/>
    <w:rsid w:val="008D5C03"/>
    <w:rsid w:val="008D67E2"/>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160DA"/>
    <w:rsid w:val="00920FD2"/>
    <w:rsid w:val="00923A43"/>
    <w:rsid w:val="0092439C"/>
    <w:rsid w:val="0092498E"/>
    <w:rsid w:val="00925B91"/>
    <w:rsid w:val="00931E9C"/>
    <w:rsid w:val="00932B8B"/>
    <w:rsid w:val="00932C1A"/>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670E4"/>
    <w:rsid w:val="00972969"/>
    <w:rsid w:val="00973B5D"/>
    <w:rsid w:val="0097755E"/>
    <w:rsid w:val="00981467"/>
    <w:rsid w:val="00981C24"/>
    <w:rsid w:val="009852F6"/>
    <w:rsid w:val="00985DE5"/>
    <w:rsid w:val="00986254"/>
    <w:rsid w:val="0098729E"/>
    <w:rsid w:val="00987854"/>
    <w:rsid w:val="00990067"/>
    <w:rsid w:val="0099256A"/>
    <w:rsid w:val="00992977"/>
    <w:rsid w:val="009937D4"/>
    <w:rsid w:val="00993A59"/>
    <w:rsid w:val="00993C78"/>
    <w:rsid w:val="009944BC"/>
    <w:rsid w:val="009948C7"/>
    <w:rsid w:val="00995850"/>
    <w:rsid w:val="0099632A"/>
    <w:rsid w:val="0099796C"/>
    <w:rsid w:val="009A194E"/>
    <w:rsid w:val="009A1EA2"/>
    <w:rsid w:val="009A209E"/>
    <w:rsid w:val="009A3B0D"/>
    <w:rsid w:val="009A3DDF"/>
    <w:rsid w:val="009A3FD7"/>
    <w:rsid w:val="009A4D85"/>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9F67A1"/>
    <w:rsid w:val="00A0056B"/>
    <w:rsid w:val="00A01657"/>
    <w:rsid w:val="00A01C65"/>
    <w:rsid w:val="00A0213D"/>
    <w:rsid w:val="00A04C73"/>
    <w:rsid w:val="00A0679A"/>
    <w:rsid w:val="00A07A2B"/>
    <w:rsid w:val="00A12375"/>
    <w:rsid w:val="00A125B8"/>
    <w:rsid w:val="00A13124"/>
    <w:rsid w:val="00A15370"/>
    <w:rsid w:val="00A156AB"/>
    <w:rsid w:val="00A16B8D"/>
    <w:rsid w:val="00A20107"/>
    <w:rsid w:val="00A21293"/>
    <w:rsid w:val="00A2134B"/>
    <w:rsid w:val="00A21623"/>
    <w:rsid w:val="00A220EB"/>
    <w:rsid w:val="00A22256"/>
    <w:rsid w:val="00A22302"/>
    <w:rsid w:val="00A25F1B"/>
    <w:rsid w:val="00A27E39"/>
    <w:rsid w:val="00A325F3"/>
    <w:rsid w:val="00A33103"/>
    <w:rsid w:val="00A33294"/>
    <w:rsid w:val="00A35DCB"/>
    <w:rsid w:val="00A3690E"/>
    <w:rsid w:val="00A37751"/>
    <w:rsid w:val="00A406B1"/>
    <w:rsid w:val="00A4113E"/>
    <w:rsid w:val="00A42435"/>
    <w:rsid w:val="00A438BA"/>
    <w:rsid w:val="00A446FD"/>
    <w:rsid w:val="00A46C4C"/>
    <w:rsid w:val="00A46F46"/>
    <w:rsid w:val="00A52914"/>
    <w:rsid w:val="00A52CB6"/>
    <w:rsid w:val="00A52F99"/>
    <w:rsid w:val="00A538BB"/>
    <w:rsid w:val="00A54164"/>
    <w:rsid w:val="00A56737"/>
    <w:rsid w:val="00A60002"/>
    <w:rsid w:val="00A603D8"/>
    <w:rsid w:val="00A60AE2"/>
    <w:rsid w:val="00A61834"/>
    <w:rsid w:val="00A618B0"/>
    <w:rsid w:val="00A62790"/>
    <w:rsid w:val="00A6291F"/>
    <w:rsid w:val="00A63F53"/>
    <w:rsid w:val="00A64AF6"/>
    <w:rsid w:val="00A7111E"/>
    <w:rsid w:val="00A755B6"/>
    <w:rsid w:val="00A75B1A"/>
    <w:rsid w:val="00A80ED4"/>
    <w:rsid w:val="00A816C4"/>
    <w:rsid w:val="00A82981"/>
    <w:rsid w:val="00A86F10"/>
    <w:rsid w:val="00A87AF2"/>
    <w:rsid w:val="00A90B23"/>
    <w:rsid w:val="00A93193"/>
    <w:rsid w:val="00A93C2B"/>
    <w:rsid w:val="00A94556"/>
    <w:rsid w:val="00A974CB"/>
    <w:rsid w:val="00A979D9"/>
    <w:rsid w:val="00AA111A"/>
    <w:rsid w:val="00AA1EAC"/>
    <w:rsid w:val="00AA45E2"/>
    <w:rsid w:val="00AA7AC1"/>
    <w:rsid w:val="00AB6327"/>
    <w:rsid w:val="00AB6B8F"/>
    <w:rsid w:val="00AC0C65"/>
    <w:rsid w:val="00AC0FB2"/>
    <w:rsid w:val="00AC3721"/>
    <w:rsid w:val="00AC379D"/>
    <w:rsid w:val="00AC3ADD"/>
    <w:rsid w:val="00AC41C6"/>
    <w:rsid w:val="00AC70C7"/>
    <w:rsid w:val="00AC76B7"/>
    <w:rsid w:val="00AD0223"/>
    <w:rsid w:val="00AD11E7"/>
    <w:rsid w:val="00AD123A"/>
    <w:rsid w:val="00AD15FF"/>
    <w:rsid w:val="00AD1AA5"/>
    <w:rsid w:val="00AD2920"/>
    <w:rsid w:val="00AD2CD5"/>
    <w:rsid w:val="00AD2DFC"/>
    <w:rsid w:val="00AD38C4"/>
    <w:rsid w:val="00AD5A4A"/>
    <w:rsid w:val="00AD60EE"/>
    <w:rsid w:val="00AD6A2B"/>
    <w:rsid w:val="00AD73D4"/>
    <w:rsid w:val="00AE1EA2"/>
    <w:rsid w:val="00AE2874"/>
    <w:rsid w:val="00AE2F98"/>
    <w:rsid w:val="00AE3602"/>
    <w:rsid w:val="00AE5342"/>
    <w:rsid w:val="00AE5987"/>
    <w:rsid w:val="00AE6472"/>
    <w:rsid w:val="00AE7AC1"/>
    <w:rsid w:val="00AF1345"/>
    <w:rsid w:val="00AF22D9"/>
    <w:rsid w:val="00AF38A8"/>
    <w:rsid w:val="00AF4681"/>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487"/>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1EB4"/>
    <w:rsid w:val="00B53F86"/>
    <w:rsid w:val="00B53FDC"/>
    <w:rsid w:val="00B5471C"/>
    <w:rsid w:val="00B55431"/>
    <w:rsid w:val="00B55CAE"/>
    <w:rsid w:val="00B576C6"/>
    <w:rsid w:val="00B60EFA"/>
    <w:rsid w:val="00B6147E"/>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1980"/>
    <w:rsid w:val="00B91EBC"/>
    <w:rsid w:val="00B93F46"/>
    <w:rsid w:val="00BA0A14"/>
    <w:rsid w:val="00BA228D"/>
    <w:rsid w:val="00BA2B8E"/>
    <w:rsid w:val="00BA355C"/>
    <w:rsid w:val="00BA398D"/>
    <w:rsid w:val="00BA39D3"/>
    <w:rsid w:val="00BA4333"/>
    <w:rsid w:val="00BA4DC2"/>
    <w:rsid w:val="00BA5C56"/>
    <w:rsid w:val="00BA776F"/>
    <w:rsid w:val="00BB0C0D"/>
    <w:rsid w:val="00BB0D69"/>
    <w:rsid w:val="00BB366E"/>
    <w:rsid w:val="00BB3AF0"/>
    <w:rsid w:val="00BB3B30"/>
    <w:rsid w:val="00BB4F70"/>
    <w:rsid w:val="00BB67FF"/>
    <w:rsid w:val="00BC0A84"/>
    <w:rsid w:val="00BC11B9"/>
    <w:rsid w:val="00BC138C"/>
    <w:rsid w:val="00BC14CF"/>
    <w:rsid w:val="00BC1659"/>
    <w:rsid w:val="00BC2C91"/>
    <w:rsid w:val="00BC3A9C"/>
    <w:rsid w:val="00BC5288"/>
    <w:rsid w:val="00BC5F2D"/>
    <w:rsid w:val="00BC6A71"/>
    <w:rsid w:val="00BC6B2F"/>
    <w:rsid w:val="00BD05E2"/>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3E11"/>
    <w:rsid w:val="00BF44FA"/>
    <w:rsid w:val="00BF57E1"/>
    <w:rsid w:val="00BF608E"/>
    <w:rsid w:val="00BF745C"/>
    <w:rsid w:val="00C003B4"/>
    <w:rsid w:val="00C00A5F"/>
    <w:rsid w:val="00C042E0"/>
    <w:rsid w:val="00C04B69"/>
    <w:rsid w:val="00C051D9"/>
    <w:rsid w:val="00C06333"/>
    <w:rsid w:val="00C06F68"/>
    <w:rsid w:val="00C075BA"/>
    <w:rsid w:val="00C10A3A"/>
    <w:rsid w:val="00C11140"/>
    <w:rsid w:val="00C11E20"/>
    <w:rsid w:val="00C15D16"/>
    <w:rsid w:val="00C17C84"/>
    <w:rsid w:val="00C20015"/>
    <w:rsid w:val="00C202D4"/>
    <w:rsid w:val="00C247DD"/>
    <w:rsid w:val="00C25B43"/>
    <w:rsid w:val="00C26A54"/>
    <w:rsid w:val="00C26A94"/>
    <w:rsid w:val="00C3261C"/>
    <w:rsid w:val="00C3318B"/>
    <w:rsid w:val="00C33C20"/>
    <w:rsid w:val="00C34FDB"/>
    <w:rsid w:val="00C35362"/>
    <w:rsid w:val="00C357EA"/>
    <w:rsid w:val="00C379F8"/>
    <w:rsid w:val="00C37A1C"/>
    <w:rsid w:val="00C42323"/>
    <w:rsid w:val="00C4316E"/>
    <w:rsid w:val="00C431F9"/>
    <w:rsid w:val="00C453A9"/>
    <w:rsid w:val="00C465D5"/>
    <w:rsid w:val="00C4756A"/>
    <w:rsid w:val="00C47C39"/>
    <w:rsid w:val="00C50649"/>
    <w:rsid w:val="00C50E1F"/>
    <w:rsid w:val="00C51C09"/>
    <w:rsid w:val="00C51C7D"/>
    <w:rsid w:val="00C52BB6"/>
    <w:rsid w:val="00C53471"/>
    <w:rsid w:val="00C55143"/>
    <w:rsid w:val="00C5611B"/>
    <w:rsid w:val="00C5695E"/>
    <w:rsid w:val="00C61528"/>
    <w:rsid w:val="00C63457"/>
    <w:rsid w:val="00C64964"/>
    <w:rsid w:val="00C65A72"/>
    <w:rsid w:val="00C6631E"/>
    <w:rsid w:val="00C67473"/>
    <w:rsid w:val="00C67AA4"/>
    <w:rsid w:val="00C7148C"/>
    <w:rsid w:val="00C72192"/>
    <w:rsid w:val="00C732E5"/>
    <w:rsid w:val="00C73D0B"/>
    <w:rsid w:val="00C75017"/>
    <w:rsid w:val="00C765B4"/>
    <w:rsid w:val="00C813EA"/>
    <w:rsid w:val="00C81496"/>
    <w:rsid w:val="00C81C9A"/>
    <w:rsid w:val="00C82CE6"/>
    <w:rsid w:val="00C82E22"/>
    <w:rsid w:val="00C83BCA"/>
    <w:rsid w:val="00C85144"/>
    <w:rsid w:val="00C86738"/>
    <w:rsid w:val="00C86A27"/>
    <w:rsid w:val="00C91517"/>
    <w:rsid w:val="00C929BD"/>
    <w:rsid w:val="00C931A2"/>
    <w:rsid w:val="00CA02E1"/>
    <w:rsid w:val="00CA15DA"/>
    <w:rsid w:val="00CA1C8D"/>
    <w:rsid w:val="00CA224E"/>
    <w:rsid w:val="00CA41C5"/>
    <w:rsid w:val="00CA42B7"/>
    <w:rsid w:val="00CA4A53"/>
    <w:rsid w:val="00CA51F5"/>
    <w:rsid w:val="00CB218A"/>
    <w:rsid w:val="00CB225A"/>
    <w:rsid w:val="00CB507E"/>
    <w:rsid w:val="00CB69E6"/>
    <w:rsid w:val="00CB761B"/>
    <w:rsid w:val="00CC13DF"/>
    <w:rsid w:val="00CC1EEE"/>
    <w:rsid w:val="00CC33A1"/>
    <w:rsid w:val="00CC562B"/>
    <w:rsid w:val="00CC6C15"/>
    <w:rsid w:val="00CC7FCF"/>
    <w:rsid w:val="00CD2749"/>
    <w:rsid w:val="00CD2A60"/>
    <w:rsid w:val="00CD306F"/>
    <w:rsid w:val="00CD3971"/>
    <w:rsid w:val="00CD3DAB"/>
    <w:rsid w:val="00CE0DF1"/>
    <w:rsid w:val="00CE3786"/>
    <w:rsid w:val="00CE4027"/>
    <w:rsid w:val="00CE47CC"/>
    <w:rsid w:val="00CE5D77"/>
    <w:rsid w:val="00CE68F6"/>
    <w:rsid w:val="00CE7E27"/>
    <w:rsid w:val="00CF22AC"/>
    <w:rsid w:val="00CF2F0A"/>
    <w:rsid w:val="00CF629D"/>
    <w:rsid w:val="00CF756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15441"/>
    <w:rsid w:val="00D203D1"/>
    <w:rsid w:val="00D2057A"/>
    <w:rsid w:val="00D20C5A"/>
    <w:rsid w:val="00D20FED"/>
    <w:rsid w:val="00D212BA"/>
    <w:rsid w:val="00D21C53"/>
    <w:rsid w:val="00D21D98"/>
    <w:rsid w:val="00D2317F"/>
    <w:rsid w:val="00D231A9"/>
    <w:rsid w:val="00D24391"/>
    <w:rsid w:val="00D2472B"/>
    <w:rsid w:val="00D253DD"/>
    <w:rsid w:val="00D26FFA"/>
    <w:rsid w:val="00D3215D"/>
    <w:rsid w:val="00D33352"/>
    <w:rsid w:val="00D347D9"/>
    <w:rsid w:val="00D3483C"/>
    <w:rsid w:val="00D35565"/>
    <w:rsid w:val="00D36A19"/>
    <w:rsid w:val="00D40DCF"/>
    <w:rsid w:val="00D41075"/>
    <w:rsid w:val="00D4152F"/>
    <w:rsid w:val="00D4186F"/>
    <w:rsid w:val="00D41C76"/>
    <w:rsid w:val="00D41DD8"/>
    <w:rsid w:val="00D41E5D"/>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0DC7"/>
    <w:rsid w:val="00D618D6"/>
    <w:rsid w:val="00D62426"/>
    <w:rsid w:val="00D62804"/>
    <w:rsid w:val="00D70F55"/>
    <w:rsid w:val="00D70FA5"/>
    <w:rsid w:val="00D74171"/>
    <w:rsid w:val="00D7474C"/>
    <w:rsid w:val="00D76CDA"/>
    <w:rsid w:val="00D8032C"/>
    <w:rsid w:val="00D80CE2"/>
    <w:rsid w:val="00D83080"/>
    <w:rsid w:val="00D84D5F"/>
    <w:rsid w:val="00D851E2"/>
    <w:rsid w:val="00D8665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5D5"/>
    <w:rsid w:val="00DA7769"/>
    <w:rsid w:val="00DB08C6"/>
    <w:rsid w:val="00DB0C5A"/>
    <w:rsid w:val="00DB1BC2"/>
    <w:rsid w:val="00DB1CBB"/>
    <w:rsid w:val="00DB31ED"/>
    <w:rsid w:val="00DB3577"/>
    <w:rsid w:val="00DB4124"/>
    <w:rsid w:val="00DB4511"/>
    <w:rsid w:val="00DB4F0C"/>
    <w:rsid w:val="00DB5B06"/>
    <w:rsid w:val="00DB5C24"/>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DF7043"/>
    <w:rsid w:val="00E00A96"/>
    <w:rsid w:val="00E01862"/>
    <w:rsid w:val="00E021C2"/>
    <w:rsid w:val="00E024A3"/>
    <w:rsid w:val="00E0423D"/>
    <w:rsid w:val="00E05716"/>
    <w:rsid w:val="00E057B5"/>
    <w:rsid w:val="00E0581E"/>
    <w:rsid w:val="00E079C5"/>
    <w:rsid w:val="00E07CBD"/>
    <w:rsid w:val="00E07F56"/>
    <w:rsid w:val="00E10A16"/>
    <w:rsid w:val="00E1112F"/>
    <w:rsid w:val="00E1318F"/>
    <w:rsid w:val="00E138BE"/>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45F8"/>
    <w:rsid w:val="00E561AD"/>
    <w:rsid w:val="00E57FAF"/>
    <w:rsid w:val="00E60BA9"/>
    <w:rsid w:val="00E63510"/>
    <w:rsid w:val="00E635EA"/>
    <w:rsid w:val="00E63B00"/>
    <w:rsid w:val="00E6417B"/>
    <w:rsid w:val="00E64814"/>
    <w:rsid w:val="00E655E5"/>
    <w:rsid w:val="00E65F4E"/>
    <w:rsid w:val="00E662E0"/>
    <w:rsid w:val="00E67208"/>
    <w:rsid w:val="00E67D5D"/>
    <w:rsid w:val="00E71C7A"/>
    <w:rsid w:val="00E73119"/>
    <w:rsid w:val="00E73E1E"/>
    <w:rsid w:val="00E74909"/>
    <w:rsid w:val="00E767FF"/>
    <w:rsid w:val="00E84C91"/>
    <w:rsid w:val="00E84E60"/>
    <w:rsid w:val="00E8556E"/>
    <w:rsid w:val="00E86A07"/>
    <w:rsid w:val="00E86B2D"/>
    <w:rsid w:val="00E86F4D"/>
    <w:rsid w:val="00E87D08"/>
    <w:rsid w:val="00E90D0E"/>
    <w:rsid w:val="00E9123A"/>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9CB"/>
    <w:rsid w:val="00EB3E49"/>
    <w:rsid w:val="00EB5FC3"/>
    <w:rsid w:val="00EB6DA9"/>
    <w:rsid w:val="00EC0336"/>
    <w:rsid w:val="00EC1561"/>
    <w:rsid w:val="00EC462E"/>
    <w:rsid w:val="00EC6CD8"/>
    <w:rsid w:val="00EC786F"/>
    <w:rsid w:val="00ED1866"/>
    <w:rsid w:val="00ED3134"/>
    <w:rsid w:val="00ED38E2"/>
    <w:rsid w:val="00ED4B8F"/>
    <w:rsid w:val="00ED5C44"/>
    <w:rsid w:val="00ED5C65"/>
    <w:rsid w:val="00ED635B"/>
    <w:rsid w:val="00EE742D"/>
    <w:rsid w:val="00EE7C50"/>
    <w:rsid w:val="00EF0A22"/>
    <w:rsid w:val="00EF1267"/>
    <w:rsid w:val="00EF180C"/>
    <w:rsid w:val="00EF3B6B"/>
    <w:rsid w:val="00EF4B43"/>
    <w:rsid w:val="00EF56BB"/>
    <w:rsid w:val="00EF6750"/>
    <w:rsid w:val="00EF770B"/>
    <w:rsid w:val="00F02836"/>
    <w:rsid w:val="00F02CFA"/>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4F23"/>
    <w:rsid w:val="00F3533E"/>
    <w:rsid w:val="00F35B84"/>
    <w:rsid w:val="00F35F42"/>
    <w:rsid w:val="00F402B5"/>
    <w:rsid w:val="00F4072F"/>
    <w:rsid w:val="00F42839"/>
    <w:rsid w:val="00F44CC0"/>
    <w:rsid w:val="00F450BA"/>
    <w:rsid w:val="00F4684B"/>
    <w:rsid w:val="00F46BE9"/>
    <w:rsid w:val="00F47C3B"/>
    <w:rsid w:val="00F506CA"/>
    <w:rsid w:val="00F51E50"/>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0DC1"/>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5BBD"/>
    <w:rsid w:val="00FC6FE1"/>
    <w:rsid w:val="00FD0C3D"/>
    <w:rsid w:val="00FD2F6B"/>
    <w:rsid w:val="00FD4A43"/>
    <w:rsid w:val="00FD666A"/>
    <w:rsid w:val="00FD78AD"/>
    <w:rsid w:val="00FE064A"/>
    <w:rsid w:val="00FE0B55"/>
    <w:rsid w:val="00FE1E98"/>
    <w:rsid w:val="00FE2452"/>
    <w:rsid w:val="00FE5469"/>
    <w:rsid w:val="00FE66C2"/>
    <w:rsid w:val="00FE684A"/>
    <w:rsid w:val="00FE6F23"/>
    <w:rsid w:val="00FF0DAE"/>
    <w:rsid w:val="00FF0F8C"/>
    <w:rsid w:val="00FF408B"/>
    <w:rsid w:val="00FF43E1"/>
    <w:rsid w:val="03430854"/>
    <w:rsid w:val="039F5FA6"/>
    <w:rsid w:val="08475D24"/>
    <w:rsid w:val="09305ADA"/>
    <w:rsid w:val="0E8013B7"/>
    <w:rsid w:val="10D604C6"/>
    <w:rsid w:val="11B515E0"/>
    <w:rsid w:val="13A53267"/>
    <w:rsid w:val="13F970D2"/>
    <w:rsid w:val="14AA4136"/>
    <w:rsid w:val="15DD7E3E"/>
    <w:rsid w:val="163A420B"/>
    <w:rsid w:val="19413B26"/>
    <w:rsid w:val="1C0A23B1"/>
    <w:rsid w:val="1C6D3688"/>
    <w:rsid w:val="1CC63D0A"/>
    <w:rsid w:val="1DC2081A"/>
    <w:rsid w:val="1DD94266"/>
    <w:rsid w:val="1F9D0947"/>
    <w:rsid w:val="1FFB29C6"/>
    <w:rsid w:val="22AF3620"/>
    <w:rsid w:val="22E70AD4"/>
    <w:rsid w:val="24F1508D"/>
    <w:rsid w:val="266F634F"/>
    <w:rsid w:val="272E14D9"/>
    <w:rsid w:val="291059EA"/>
    <w:rsid w:val="297F152F"/>
    <w:rsid w:val="2A075B2C"/>
    <w:rsid w:val="2BBF12EC"/>
    <w:rsid w:val="2BC649D9"/>
    <w:rsid w:val="3515160D"/>
    <w:rsid w:val="36BF08D7"/>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2D265FF"/>
    <w:rsid w:val="64DD6417"/>
    <w:rsid w:val="66004745"/>
    <w:rsid w:val="66194AF7"/>
    <w:rsid w:val="6A567F20"/>
    <w:rsid w:val="6CD97953"/>
    <w:rsid w:val="6E9D3D85"/>
    <w:rsid w:val="6ED30FD7"/>
    <w:rsid w:val="727D78FD"/>
    <w:rsid w:val="73CC655F"/>
    <w:rsid w:val="75957445"/>
    <w:rsid w:val="75D01AE1"/>
    <w:rsid w:val="77524363"/>
    <w:rsid w:val="77B917B5"/>
    <w:rsid w:val="78703975"/>
    <w:rsid w:val="7BBF906D"/>
    <w:rsid w:val="7BE420FD"/>
    <w:rsid w:val="7D0D296B"/>
    <w:rsid w:val="7D4E0B54"/>
    <w:rsid w:val="7D503E78"/>
    <w:rsid w:val="7E0160D4"/>
    <w:rsid w:val="7FFF2A39"/>
    <w:rsid w:val="9FFF9CDC"/>
    <w:rsid w:val="BBC3E61D"/>
    <w:rsid w:val="BEF7C71A"/>
    <w:rsid w:val="F3A3900D"/>
    <w:rsid w:val="FAFF323F"/>
    <w:rsid w:val="FEAF67C4"/>
    <w:rsid w:val="FFADFEFC"/>
    <w:rsid w:val="FFAFB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0"/>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35"/>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35"/>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可研正文"/>
    <w:basedOn w:val="1"/>
    <w:link w:val="135"/>
    <w:qFormat/>
    <w:uiPriority w:val="0"/>
    <w:pPr>
      <w:ind w:firstLine="200"/>
    </w:pPr>
    <w:rPr>
      <w:rFonts w:ascii="仿宋" w:hAnsi="仿宋" w:eastAsia="仿宋" w:cstheme="minorBidi"/>
      <w:sz w:val="28"/>
      <w:szCs w:val="28"/>
    </w:rPr>
  </w:style>
  <w:style w:type="character" w:customStyle="1" w:styleId="135">
    <w:name w:val="可研正文 Char"/>
    <w:link w:val="134"/>
    <w:qFormat/>
    <w:uiPriority w:val="0"/>
    <w:rPr>
      <w:rFonts w:ascii="仿宋" w:hAnsi="仿宋" w:eastAsia="仿宋" w:cstheme="minorBidi"/>
      <w:kern w:val="2"/>
      <w:sz w:val="28"/>
      <w:szCs w:val="28"/>
    </w:rPr>
  </w:style>
  <w:style w:type="paragraph" w:customStyle="1" w:styleId="136">
    <w:name w:val="图片"/>
    <w:basedOn w:val="1"/>
    <w:qFormat/>
    <w:uiPriority w:val="0"/>
    <w:pPr>
      <w:widowControl/>
      <w:ind w:firstLine="600"/>
      <w:jc w:val="center"/>
    </w:pPr>
    <w:rPr>
      <w:rFonts w:hint="eastAsia"/>
      <w:kern w:val="0"/>
      <w:szCs w:val="21"/>
    </w:rPr>
  </w:style>
  <w:style w:type="paragraph" w:customStyle="1" w:styleId="137">
    <w:name w:val="B-表正文"/>
    <w:qFormat/>
    <w:uiPriority w:val="0"/>
    <w:rPr>
      <w:rFonts w:ascii="Times New Roman" w:hAnsi="Times New Roman" w:eastAsia="仿宋" w:cstheme="minorBidi"/>
      <w:kern w:val="2"/>
      <w:sz w:val="21"/>
      <w:szCs w:val="24"/>
      <w:lang w:val="en-US" w:eastAsia="zh-CN" w:bidi="ar-SA"/>
    </w:rPr>
  </w:style>
  <w:style w:type="paragraph" w:customStyle="1" w:styleId="13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paragraph" w:customStyle="1" w:styleId="139">
    <w:name w:val="xl63"/>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color w:val="000000"/>
      <w:kern w:val="0"/>
      <w:sz w:val="18"/>
      <w:szCs w:val="18"/>
    </w:rPr>
  </w:style>
  <w:style w:type="paragraph" w:customStyle="1" w:styleId="140">
    <w:name w:val="xl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41">
    <w:name w:val="font6"/>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character" w:customStyle="1" w:styleId="142">
    <w:name w:val="fontstyle01"/>
    <w:basedOn w:val="37"/>
    <w:qFormat/>
    <w:uiPriority w:val="0"/>
    <w:rPr>
      <w:rFonts w:hint="eastAsia" w:ascii="宋体" w:hAnsi="宋体" w:eastAsia="宋体"/>
      <w:color w:val="000000"/>
      <w:sz w:val="22"/>
      <w:szCs w:val="22"/>
    </w:rPr>
  </w:style>
  <w:style w:type="character" w:customStyle="1" w:styleId="143">
    <w:name w:val="fontstyle11"/>
    <w:basedOn w:val="37"/>
    <w:qFormat/>
    <w:uiPriority w:val="0"/>
    <w:rPr>
      <w:rFonts w:hint="default" w:ascii="LiberationSans" w:hAnsi="LiberationSans"/>
      <w:color w:val="000000"/>
      <w:sz w:val="22"/>
      <w:szCs w:val="22"/>
    </w:rPr>
  </w:style>
  <w:style w:type="paragraph" w:customStyle="1" w:styleId="144">
    <w:name w:val="列出段落1"/>
    <w:basedOn w:val="1"/>
    <w:qFormat/>
    <w:uiPriority w:val="0"/>
    <w:pPr>
      <w:spacing w:line="240" w:lineRule="auto"/>
      <w:ind w:firstLine="420"/>
    </w:pPr>
    <w:rPr>
      <w:rFonts w:ascii="Calibri" w:hAnsi="Calibri"/>
      <w:sz w:val="21"/>
      <w:szCs w:val="21"/>
    </w:rPr>
  </w:style>
  <w:style w:type="paragraph" w:customStyle="1" w:styleId="145">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2124</Words>
  <Characters>2204</Characters>
  <Lines>2768</Lines>
  <Paragraphs>1063</Paragraphs>
  <TotalTime>127</TotalTime>
  <ScaleCrop>false</ScaleCrop>
  <LinksUpToDate>false</LinksUpToDate>
  <CharactersWithSpaces>2207</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2025-12-31T14:30:00Z</dcterms:created>
  <dc:creator>gtig_tzb</dc:creator>
  <cp:lastModifiedBy>王婉婷</cp:lastModifiedBy>
  <cp:lastPrinted>2020-08-08T20:08:00Z</cp:lastPrinted>
  <dcterms:modified xsi:type="dcterms:W3CDTF">2026-03-17T13:48:51Z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KSOTemplateDocerSaveRecord">
    <vt:lpwstr>eyJoZGlkIjoiNTc4NjBjZGJiMDdjNWJhNDI2Mjc1Y2FmMjdlZmQzN2QiLCJ1c2VySWQiOiIxNjA3NTk5MTY3In0=</vt:lpwstr>
  </property>
  <property fmtid="{D5CDD505-2E9C-101B-9397-08002B2CF9AE}" pid="4" name="ICV">
    <vt:lpwstr>EE3E2DC18AAF494790CE9062CE44837D_13</vt:lpwstr>
  </property>
</Properties>
</file>