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E15B">
      <w:pPr>
        <w:pStyle w:val="2"/>
        <w:spacing w:before="0" w:after="326" w:afterLines="100" w:line="600" w:lineRule="exact"/>
        <w:ind w:firstLine="720" w:firstLineChars="200"/>
        <w:jc w:val="center"/>
        <w:rPr>
          <w:rFonts w:ascii="方正小标宋简体" w:hAnsi="方正小标宋简体" w:eastAsia="方正小标宋简体"/>
          <w:color w:val="000000"/>
          <w:sz w:val="36"/>
          <w:szCs w:val="36"/>
        </w:rPr>
      </w:pPr>
      <w:bookmarkStart w:id="0" w:name="_Toc182228557"/>
      <w:bookmarkStart w:id="1" w:name="_Toc468394863"/>
      <w:r>
        <w:rPr>
          <w:rFonts w:hint="eastAsia" w:ascii="方正小标宋简体" w:hAnsi="方正小标宋简体" w:eastAsia="方正小标宋简体"/>
          <w:color w:val="000000"/>
          <w:sz w:val="36"/>
          <w:szCs w:val="36"/>
        </w:rPr>
        <w:t>数字社会发展研究和示范场景规划研究</w:t>
      </w:r>
    </w:p>
    <w:p w14:paraId="5ED56D89">
      <w:pPr>
        <w:pStyle w:val="2"/>
        <w:spacing w:before="0" w:after="326" w:afterLines="100" w:line="600" w:lineRule="exact"/>
        <w:ind w:firstLine="720" w:firstLineChars="200"/>
        <w:jc w:val="center"/>
        <w:rPr>
          <w:rFonts w:ascii="方正小标宋简体" w:hAnsi="方正小标宋简体" w:eastAsia="方正小标宋简体" w:cs="黑体"/>
          <w:color w:val="000000"/>
          <w:sz w:val="36"/>
          <w:szCs w:val="36"/>
        </w:rPr>
      </w:pPr>
      <w:r>
        <w:rPr>
          <w:rFonts w:hint="eastAsia" w:ascii="方正小标宋简体" w:hAnsi="方正小标宋简体" w:eastAsia="方正小标宋简体"/>
          <w:color w:val="000000"/>
          <w:sz w:val="36"/>
          <w:szCs w:val="36"/>
        </w:rPr>
        <w:t>项目需求书</w:t>
      </w:r>
      <w:bookmarkEnd w:id="0"/>
      <w:bookmarkEnd w:id="1"/>
    </w:p>
    <w:p w14:paraId="5D8CDC2E">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一、项目背景</w:t>
      </w:r>
    </w:p>
    <w:p w14:paraId="149B2355">
      <w:pPr>
        <w:spacing w:line="600" w:lineRule="exact"/>
        <w:ind w:firstLine="640" w:firstLineChars="200"/>
        <w:contextualSpacing/>
        <w:rPr>
          <w:rFonts w:ascii="仿宋_GB2312" w:hAnsi="宋体" w:eastAsia="仿宋_GB2312" w:cs="黑体"/>
          <w:bCs/>
          <w:color w:val="000000"/>
          <w:sz w:val="32"/>
          <w:szCs w:val="32"/>
        </w:rPr>
      </w:pPr>
      <w:r>
        <w:rPr>
          <w:rFonts w:hint="eastAsia" w:ascii="仿宋_GB2312" w:hAnsi="宋体" w:eastAsia="仿宋_GB2312" w:cs="黑体"/>
          <w:bCs/>
          <w:color w:val="000000"/>
          <w:sz w:val="32"/>
          <w:szCs w:val="32"/>
        </w:rPr>
        <w:t>党中央、国务院高度重视数字经济与数字社会高质量发展，明确要求健全促进实体经济和数字经济深度融合制度，加快构建数字经济发展体制机制。根据国家发展改革委、国家数据局印发的《深化智慧城市发展推进全域数字化转型行动计划》《2025年数字社会发展工作要点》等政策文件，明确提出要聚焦提升数字经济核心竞争力、培育新质生产力，深化数据要素市场化配置改革、提质增效数字公共服务、推进精准数字社会治理等重点任务，同时也强调要强化数据要素流通利用、完善数据安全治理体系，为数字社会建设和发展提供了明确政策指引。</w:t>
      </w:r>
    </w:p>
    <w:p w14:paraId="0F548D64">
      <w:pPr>
        <w:spacing w:line="600" w:lineRule="exact"/>
        <w:ind w:firstLine="640" w:firstLineChars="200"/>
        <w:contextualSpacing/>
        <w:rPr>
          <w:rFonts w:ascii="仿宋_GB2312" w:hAnsi="宋体" w:eastAsia="仿宋_GB2312" w:cs="黑体"/>
          <w:bCs/>
          <w:color w:val="000000"/>
          <w:sz w:val="32"/>
          <w:szCs w:val="32"/>
        </w:rPr>
      </w:pPr>
      <w:r>
        <w:rPr>
          <w:rFonts w:hint="eastAsia" w:ascii="仿宋_GB2312" w:hAnsi="宋体" w:eastAsia="仿宋_GB2312" w:cs="黑体"/>
          <w:bCs/>
          <w:color w:val="000000"/>
          <w:sz w:val="32"/>
          <w:szCs w:val="32"/>
        </w:rPr>
        <w:t>上海持续推进城市数字化转型，加速数字社会建设。为有效衔接《上海市全面推进城市数字化转型“十四五”规划》“1+3+6”任务体系，紧扣“国际数字之都”建设目标，全力推动数字产业化与产业数字化协同发展，强化数据要素赋能经济、生活、治理三大领域转型，破解公共数据共享协同、开发利用、场景创新等环节的瓶颈问题。因此，亟需通过顶层规划明确发展路径，统筹数字底座建设、数据要素流通、应用场景创新，确保数字社会建设符合“整体性转变、全方位赋能、革命性重塑”要求，为2035年建成具有世界影响力的国际数字之都提供基础支撑。</w:t>
      </w:r>
    </w:p>
    <w:p w14:paraId="7F30DAA6">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二、服务内容</w:t>
      </w:r>
    </w:p>
    <w:p w14:paraId="1F1D964C">
      <w:pPr>
        <w:spacing w:line="600" w:lineRule="exact"/>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（一）数字社会联合创新生态建设</w:t>
      </w:r>
    </w:p>
    <w:p w14:paraId="6455D5EE">
      <w:pPr>
        <w:spacing w:line="600" w:lineRule="exact"/>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1.</w:t>
      </w:r>
      <w:r>
        <w:rPr>
          <w:rFonts w:hint="eastAsia" w:ascii="仿宋_GB2312" w:hAnsi="宋体" w:eastAsia="仿宋_GB2312" w:cs="仿宋_GB2312"/>
          <w:sz w:val="32"/>
          <w:szCs w:val="32"/>
        </w:rPr>
        <w:t>为系统性研判国内外数字社会发展总体趋势，借鉴国际领先数字社会建设经验，全面总结“十四五”时期本市数字社会发展成效，精准把握数字社会发展新机遇、新挑战与新需求，为下阶段上海数字社会高质量发展提供科学参考和方向指引。</w:t>
      </w:r>
    </w:p>
    <w:p w14:paraId="260F04A8">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2.深度研究国内外数字社会发展前沿创新成果，对标先进城市典型实践案例，形成双月度简报（不少于5期），及时同步行业动态、传递先进理念，为相关单位提供常态化参考。</w:t>
      </w:r>
    </w:p>
    <w:p w14:paraId="68E2A07E">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系统梳理本市数字社会建设的特色模式、典型做法与关键突破，研判发展态势、明晰核心需求，形成针对性强、可落地的数字社会发展路径与政策建议，包括未来3-5年上海数字社会发展的分阶段目标、重点行动以及政策举措</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为数字社会三年行动方案编制提供专业研究成果和支撑依据。</w:t>
      </w:r>
    </w:p>
    <w:p w14:paraId="499CB223">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4.升级数字伙伴计划，组织开展不少于2场主题活动，单场会议参与人数不少于100人次，通过系统化、高规格的主题活动，扩大“数字伙伴计划”的品牌影响力与社会认知度，包括系统化的主题内容设计（涵盖权威政策解读、政策文件或产品发布、战略合作签约、专家主题报告、典型案例分享、行业发展研讨等）</w:t>
      </w:r>
      <w:r>
        <w:rPr>
          <w:rFonts w:hint="eastAsia" w:ascii="仿宋_GB2312" w:hAnsi="宋体" w:eastAsia="仿宋_GB2312" w:cs="仿宋_GB2312"/>
          <w:sz w:val="32"/>
          <w:szCs w:val="32"/>
          <w:lang w:eastAsia="zh-CN"/>
        </w:rPr>
        <w:t>，</w:t>
      </w:r>
      <w:r>
        <w:rPr>
          <w:rFonts w:hint="default" w:ascii="Times New Roman" w:hAnsi="Times New Roman" w:eastAsia="仿宋_GB2312" w:cs="Times New Roman"/>
          <w:sz w:val="32"/>
          <w:szCs w:val="32"/>
          <w:highlight w:val="none"/>
          <w:lang w:val="en-US" w:eastAsia="zh-CN"/>
        </w:rPr>
        <w:t>完成活动全流程策划执行与成果总结，做好全流程宣传推广</w:t>
      </w:r>
      <w:r>
        <w:rPr>
          <w:rFonts w:hint="eastAsia" w:ascii="仿宋_GB2312" w:hAnsi="宋体" w:eastAsia="仿宋_GB2312" w:cs="仿宋_GB2312"/>
          <w:sz w:val="32"/>
          <w:szCs w:val="32"/>
        </w:rPr>
        <w:t>。</w:t>
      </w:r>
    </w:p>
    <w:p w14:paraId="7064632C">
      <w:pPr>
        <w:spacing w:line="600" w:lineRule="exact"/>
        <w:ind w:firstLine="643" w:firstLineChars="20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（二）卫生健康数据开发利用</w:t>
      </w:r>
      <w:r>
        <w:rPr>
          <w:rFonts w:hint="eastAsia" w:ascii="仿宋_GB2312" w:hAnsi="宋体" w:eastAsia="仿宋_GB2312" w:cs="仿宋_GB2312"/>
          <w:b/>
          <w:bCs/>
          <w:sz w:val="32"/>
          <w:szCs w:val="32"/>
          <w:lang w:eastAsia="zh-CN"/>
        </w:rPr>
        <w:t>路径研究与生态营造</w:t>
      </w:r>
    </w:p>
    <w:p w14:paraId="061B2176">
      <w:pPr>
        <w:spacing w:line="600" w:lineRule="exact"/>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1.</w:t>
      </w:r>
      <w:r>
        <w:rPr>
          <w:rFonts w:hint="eastAsia" w:ascii="仿宋_GB2312" w:hAnsi="宋体" w:eastAsia="仿宋_GB2312" w:cs="仿宋_GB2312"/>
          <w:sz w:val="32"/>
          <w:szCs w:val="32"/>
        </w:rPr>
        <w:t>为推动数据开发利用，激活卫生健康领域创新动能，加速卫生健康新质生产力培育。以国家卫生健康数字化发展战略为指引，研究国内外卫生健康数据开发利用进展，结合上海市卫生健康发展布局及现状，围绕卫生健康数据开发利用的数据供给、数据治理、开放流通等关键环节，聚焦临床诊疗优化、公共卫生预警、健康管理服务、三医协同发展等场景，构建卫生健康数据从采集、加工到应用的全流程标准化管理体系，研究卫生健康数据开发利用路径，为行业数据规范化开发利用提供行动指南。</w:t>
      </w:r>
    </w:p>
    <w:p w14:paraId="22D20BAB">
      <w:pPr>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卫生健康行业交流合作服务。围绕医学科研、临床诊疗、健康管理、医药研发、医保监管等核心需求，面向医疗机构、科研院所、高校、医药企业等主体，梳理一批高价值、可落地、可推广的创新应用场景（不少于30个）。通过举办场景沙龙、需求对接会、创新大赛等形式，主动为供给方与需求方进行精准匹配。重点推动不少于5个创新场景达成合作意向并进入试点实施阶段。</w:t>
      </w:r>
    </w:p>
    <w:p w14:paraId="30ACAA91">
      <w:pPr>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3.卫生健康数据开发利用生态营造支撑服务。紧密结合国家及本市卫生健康数据开发利用、网络安全与个人信息保护等相关法规政策，为企业提供精准的政策解读、合规路径咨询与风险预警。为重点企业提供“一对一”形式的个性化辅导，协助其完成数据开发利用项目全流程材料准备</w:t>
      </w:r>
      <w:r>
        <w:rPr>
          <w:rFonts w:hint="eastAsia" w:ascii="仿宋_GB2312" w:hAnsi="宋体" w:eastAsia="仿宋_GB2312" w:cs="仿宋_GB2312"/>
          <w:color w:val="000000"/>
          <w:sz w:val="32"/>
          <w:szCs w:val="32"/>
          <w:lang w:val="en-US" w:eastAsia="zh-CN"/>
        </w:rPr>
        <w:t>工作</w:t>
      </w:r>
      <w:r>
        <w:rPr>
          <w:rFonts w:hint="eastAsia" w:ascii="仿宋_GB2312" w:hAnsi="宋体" w:eastAsia="仿宋_GB2312" w:cs="仿宋_GB2312"/>
          <w:color w:val="000000"/>
          <w:sz w:val="32"/>
          <w:szCs w:val="32"/>
        </w:rPr>
        <w:t>。对成功的试点项目进行全程跟踪与宣传辅导，提炼形成可复制、可推广的典型案例与合作模式，通过行业峰会、专题研讨会等方式进行推广</w:t>
      </w:r>
      <w:r>
        <w:rPr>
          <w:rFonts w:ascii="Times New Roman Regular" w:hAnsi="Times New Roman Regular" w:eastAsia="仿宋_GB2312" w:cs="Times New Roman Regular"/>
          <w:sz w:val="32"/>
          <w:szCs w:val="32"/>
        </w:rPr>
        <w:t>。</w:t>
      </w:r>
    </w:p>
    <w:p w14:paraId="43CFAF88">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三、服务期限</w:t>
      </w:r>
    </w:p>
    <w:p w14:paraId="7906A560">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eastAsia="仿宋_GB2312"/>
          <w:sz w:val="32"/>
          <w:szCs w:val="32"/>
        </w:rPr>
        <w:t>自合同签订之日起至2026年11月30日。</w:t>
      </w:r>
    </w:p>
    <w:p w14:paraId="22B9E6EF">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四、</w:t>
      </w:r>
      <w:r>
        <w:rPr>
          <w:rFonts w:hint="default" w:ascii="Times New Roman" w:hAnsi="Times New Roman" w:eastAsia="黑体" w:cs="Times New Roman"/>
          <w:sz w:val="32"/>
          <w:szCs w:val="32"/>
        </w:rPr>
        <w:t>供应商及人员要求</w:t>
      </w:r>
    </w:p>
    <w:p w14:paraId="48CF474E">
      <w:pPr>
        <w:spacing w:before="163" w:beforeLines="50" w:after="163" w:afterLines="50" w:line="600" w:lineRule="exact"/>
        <w:ind w:firstLine="640" w:firstLineChars="200"/>
        <w:contextualSpacing/>
        <w:rPr>
          <w:rFonts w:hint="eastAsia" w:ascii="Times New Roman Regular" w:hAnsi="Times New Roman Regular" w:eastAsia="仿宋_GB2312" w:cs="Times New Roman Regular"/>
          <w:bCs/>
          <w:sz w:val="32"/>
          <w:szCs w:val="32"/>
        </w:rPr>
      </w:pPr>
      <w:r>
        <w:rPr>
          <w:rFonts w:hint="eastAsia" w:ascii="Times New Roman Regular" w:hAnsi="Times New Roman Regular" w:eastAsia="仿宋_GB2312" w:cs="Times New Roman Regular"/>
          <w:bCs/>
          <w:sz w:val="32"/>
          <w:szCs w:val="32"/>
          <w:highlight w:val="none"/>
          <w:lang w:val="en-US" w:eastAsia="zh-CN"/>
        </w:rPr>
        <w:t>1.团队配置及驻场要求：</w:t>
      </w:r>
      <w:r>
        <w:rPr>
          <w:rFonts w:hint="eastAsia" w:ascii="Times New Roman Regular" w:hAnsi="Times New Roman Regular" w:eastAsia="仿宋_GB2312" w:cs="Times New Roman Regular"/>
          <w:bCs/>
          <w:sz w:val="32"/>
          <w:szCs w:val="32"/>
          <w:lang w:eastAsia="zh-CN"/>
        </w:rPr>
        <w:t>供应商</w:t>
      </w:r>
      <w:r>
        <w:rPr>
          <w:rFonts w:hint="default" w:ascii="Times New Roman" w:hAnsi="Times New Roman" w:eastAsia="仿宋_GB2312" w:cs="Times New Roman"/>
          <w:sz w:val="32"/>
          <w:szCs w:val="32"/>
          <w:highlight w:val="none"/>
          <w:lang w:val="en-US" w:eastAsia="zh-CN"/>
        </w:rPr>
        <w:t>须组建</w:t>
      </w:r>
      <w:r>
        <w:rPr>
          <w:rFonts w:hint="eastAsia" w:ascii="Times New Roman" w:hAnsi="Times New Roman" w:eastAsia="仿宋_GB2312" w:cs="Times New Roman"/>
          <w:sz w:val="32"/>
          <w:szCs w:val="32"/>
          <w:highlight w:val="none"/>
          <w:lang w:val="en-US" w:eastAsia="zh-CN"/>
        </w:rPr>
        <w:t>不少于10</w:t>
      </w:r>
      <w:r>
        <w:rPr>
          <w:rFonts w:hint="default" w:ascii="Times New Roman" w:hAnsi="Times New Roman" w:eastAsia="仿宋_GB2312" w:cs="Times New Roman"/>
          <w:sz w:val="32"/>
          <w:szCs w:val="32"/>
          <w:highlight w:val="none"/>
          <w:lang w:val="en-US" w:eastAsia="zh-CN"/>
        </w:rPr>
        <w:t>人的专属服务团队，明确项目</w:t>
      </w:r>
      <w:r>
        <w:rPr>
          <w:rFonts w:hint="eastAsia" w:eastAsia="仿宋_GB2312" w:cs="Times New Roman"/>
          <w:sz w:val="32"/>
          <w:szCs w:val="32"/>
          <w:highlight w:val="none"/>
          <w:lang w:val="en-US" w:eastAsia="zh-CN"/>
        </w:rPr>
        <w:t>经理</w:t>
      </w:r>
      <w:r>
        <w:rPr>
          <w:rFonts w:hint="default" w:ascii="Times New Roman" w:hAnsi="Times New Roman" w:eastAsia="仿宋_GB2312" w:cs="Times New Roman"/>
          <w:sz w:val="32"/>
          <w:szCs w:val="32"/>
          <w:highlight w:val="none"/>
          <w:lang w:val="en-US" w:eastAsia="zh-CN"/>
        </w:rPr>
        <w:t>、专职支撑人员及核心执行人员的岗位配置与职责分工。</w:t>
      </w:r>
      <w:r>
        <w:rPr>
          <w:rFonts w:hint="eastAsia" w:ascii="Times New Roman Regular" w:hAnsi="Times New Roman Regular" w:eastAsia="仿宋_GB2312" w:cs="Times New Roman Regular"/>
          <w:bCs/>
          <w:sz w:val="32"/>
          <w:szCs w:val="32"/>
        </w:rPr>
        <w:t>其中，需配置至少1名项目</w:t>
      </w:r>
      <w:r>
        <w:rPr>
          <w:rFonts w:hint="eastAsia" w:ascii="Times New Roman Regular" w:hAnsi="Times New Roman Regular" w:eastAsia="仿宋_GB2312" w:cs="Times New Roman Regular"/>
          <w:bCs/>
          <w:sz w:val="32"/>
          <w:szCs w:val="32"/>
          <w:lang w:eastAsia="zh-CN"/>
        </w:rPr>
        <w:t>经理</w:t>
      </w:r>
      <w:r>
        <w:rPr>
          <w:rFonts w:hint="eastAsia" w:ascii="Times New Roman Regular" w:hAnsi="Times New Roman Regular" w:eastAsia="仿宋_GB2312" w:cs="Times New Roman Regular"/>
          <w:bCs/>
          <w:sz w:val="32"/>
          <w:szCs w:val="32"/>
        </w:rPr>
        <w:t>，至少5名项目核心成员。</w:t>
      </w:r>
    </w:p>
    <w:p w14:paraId="149734D4">
      <w:pPr>
        <w:spacing w:before="163" w:beforeLines="50" w:after="163" w:afterLines="50" w:line="600" w:lineRule="exact"/>
        <w:ind w:firstLine="640" w:firstLineChars="200"/>
        <w:contextualSpacing/>
        <w:rPr>
          <w:rFonts w:hint="eastAsia" w:ascii="Times New Roman Regular" w:hAnsi="Times New Roman Regular" w:eastAsia="仿宋_GB2312" w:cs="Times New Roman Regular"/>
          <w:bCs/>
          <w:sz w:val="32"/>
          <w:szCs w:val="32"/>
        </w:rPr>
      </w:pPr>
      <w:r>
        <w:rPr>
          <w:rFonts w:hint="eastAsia" w:ascii="Times New Roman Regular" w:hAnsi="Times New Roman Regular" w:eastAsia="仿宋_GB2312" w:cs="Times New Roman Regular"/>
          <w:bCs/>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资质经验：</w:t>
      </w:r>
      <w:r>
        <w:rPr>
          <w:rFonts w:hint="eastAsia" w:ascii="Times New Roman Regular" w:hAnsi="Times New Roman Regular" w:eastAsia="仿宋_GB2312" w:cs="Times New Roman Regular"/>
          <w:bCs/>
          <w:sz w:val="32"/>
          <w:szCs w:val="32"/>
        </w:rPr>
        <w:t>项目</w:t>
      </w:r>
      <w:r>
        <w:rPr>
          <w:rFonts w:hint="eastAsia" w:ascii="Times New Roman Regular" w:hAnsi="Times New Roman Regular" w:eastAsia="仿宋_GB2312" w:cs="Times New Roman Regular"/>
          <w:bCs/>
          <w:sz w:val="32"/>
          <w:szCs w:val="32"/>
          <w:lang w:eastAsia="zh-CN"/>
        </w:rPr>
        <w:t>经理</w:t>
      </w:r>
      <w:r>
        <w:rPr>
          <w:rFonts w:hint="eastAsia" w:ascii="Times New Roman Regular" w:hAnsi="Times New Roman Regular" w:eastAsia="仿宋_GB2312" w:cs="Times New Roman Regular"/>
          <w:bCs/>
          <w:sz w:val="32"/>
          <w:szCs w:val="32"/>
        </w:rPr>
        <w:t>具备8年</w:t>
      </w:r>
      <w:r>
        <w:rPr>
          <w:rFonts w:hint="eastAsia" w:ascii="Times New Roman Regular" w:hAnsi="Times New Roman Regular" w:eastAsia="仿宋_GB2312" w:cs="Times New Roman Regular"/>
          <w:bCs/>
          <w:sz w:val="32"/>
          <w:szCs w:val="32"/>
          <w:lang w:eastAsia="zh-CN"/>
        </w:rPr>
        <w:t>及</w:t>
      </w:r>
      <w:r>
        <w:rPr>
          <w:rFonts w:hint="eastAsia" w:ascii="Times New Roman Regular" w:hAnsi="Times New Roman Regular" w:eastAsia="仿宋_GB2312" w:cs="Times New Roman Regular"/>
          <w:bCs/>
          <w:sz w:val="32"/>
          <w:szCs w:val="32"/>
        </w:rPr>
        <w:t>以上数字化领域项目运营管理经验</w:t>
      </w:r>
      <w:r>
        <w:rPr>
          <w:rFonts w:hint="eastAsia" w:ascii="Times New Roman Regular" w:hAnsi="Times New Roman Regular" w:eastAsia="仿宋_GB2312" w:cs="Times New Roman Regular"/>
          <w:bCs/>
          <w:sz w:val="32"/>
          <w:szCs w:val="32"/>
          <w:lang w:eastAsia="zh-CN"/>
        </w:rPr>
        <w:t>的优先考虑</w:t>
      </w:r>
      <w:r>
        <w:rPr>
          <w:rFonts w:hint="eastAsia" w:ascii="Times New Roman Regular" w:hAnsi="Times New Roman Regular" w:eastAsia="仿宋_GB2312" w:cs="Times New Roman Regular"/>
          <w:bCs/>
          <w:sz w:val="32"/>
          <w:szCs w:val="32"/>
        </w:rPr>
        <w:t>，具备高级职称</w:t>
      </w:r>
      <w:r>
        <w:rPr>
          <w:rFonts w:hint="eastAsia" w:ascii="Times New Roman Regular" w:hAnsi="Times New Roman Regular" w:eastAsia="仿宋_GB2312" w:cs="Times New Roman Regular"/>
          <w:bCs/>
          <w:sz w:val="32"/>
          <w:szCs w:val="32"/>
          <w:lang w:eastAsia="zh-CN"/>
        </w:rPr>
        <w:t>的优先考虑；</w:t>
      </w:r>
      <w:r>
        <w:rPr>
          <w:rFonts w:hint="eastAsia" w:ascii="Times New Roman Regular" w:hAnsi="Times New Roman Regular" w:eastAsia="仿宋_GB2312" w:cs="Times New Roman Regular"/>
          <w:bCs/>
          <w:sz w:val="32"/>
          <w:szCs w:val="32"/>
        </w:rPr>
        <w:t>具备统筹项目顶层设计、整体规划与团队管理的能力。项目核心成员具备5年</w:t>
      </w:r>
      <w:r>
        <w:rPr>
          <w:rFonts w:hint="eastAsia" w:ascii="Times New Roman Regular" w:hAnsi="Times New Roman Regular" w:eastAsia="仿宋_GB2312" w:cs="Times New Roman Regular"/>
          <w:bCs/>
          <w:sz w:val="32"/>
          <w:szCs w:val="32"/>
          <w:lang w:eastAsia="zh-CN"/>
        </w:rPr>
        <w:t>及</w:t>
      </w:r>
      <w:r>
        <w:rPr>
          <w:rFonts w:hint="eastAsia" w:ascii="Times New Roman Regular" w:hAnsi="Times New Roman Regular" w:eastAsia="仿宋_GB2312" w:cs="Times New Roman Regular"/>
          <w:bCs/>
          <w:sz w:val="32"/>
          <w:szCs w:val="32"/>
        </w:rPr>
        <w:t>以上数字化转型领域相关经验</w:t>
      </w:r>
      <w:r>
        <w:rPr>
          <w:rFonts w:hint="eastAsia" w:ascii="Times New Roman Regular" w:hAnsi="Times New Roman Regular" w:eastAsia="仿宋_GB2312" w:cs="Times New Roman Regular"/>
          <w:bCs/>
          <w:sz w:val="32"/>
          <w:szCs w:val="32"/>
          <w:lang w:eastAsia="zh-CN"/>
        </w:rPr>
        <w:t>的优先考虑</w:t>
      </w:r>
      <w:r>
        <w:rPr>
          <w:rFonts w:hint="eastAsia" w:ascii="Times New Roman Regular" w:hAnsi="Times New Roman Regular" w:eastAsia="仿宋_GB2312" w:cs="Times New Roman Regular"/>
          <w:bCs/>
          <w:sz w:val="32"/>
          <w:szCs w:val="32"/>
        </w:rPr>
        <w:t>，具备中级职称</w:t>
      </w:r>
      <w:r>
        <w:rPr>
          <w:rFonts w:hint="eastAsia" w:ascii="Times New Roman Regular" w:hAnsi="Times New Roman Regular" w:eastAsia="仿宋_GB2312" w:cs="Times New Roman Regular"/>
          <w:bCs/>
          <w:sz w:val="32"/>
          <w:szCs w:val="32"/>
          <w:lang w:eastAsia="zh-CN"/>
        </w:rPr>
        <w:t>的优先考虑；</w:t>
      </w:r>
      <w:r>
        <w:rPr>
          <w:rFonts w:hint="eastAsia" w:ascii="Times New Roman Regular" w:hAnsi="Times New Roman Regular" w:eastAsia="仿宋_GB2312" w:cs="Times New Roman Regular"/>
          <w:bCs/>
          <w:sz w:val="32"/>
          <w:szCs w:val="32"/>
        </w:rPr>
        <w:t>熟悉国家及上海市数字化转型相关政策，具备政策解读、标准编撰、研究报告撰写等能力。</w:t>
      </w:r>
    </w:p>
    <w:p w14:paraId="5A33F1D4">
      <w:pPr>
        <w:spacing w:before="163" w:beforeLines="50" w:after="163" w:afterLines="50" w:line="600" w:lineRule="exact"/>
        <w:ind w:firstLine="640" w:firstLineChars="200"/>
        <w:contextualSpacing/>
        <w:rPr>
          <w:rFonts w:ascii="黑体" w:hAnsi="黑体" w:eastAsia="仿宋_GB2312" w:cs="黑体"/>
          <w:bCs/>
          <w:sz w:val="32"/>
          <w:szCs w:val="32"/>
        </w:rPr>
      </w:pPr>
      <w:r>
        <w:rPr>
          <w:rFonts w:hint="eastAsia" w:ascii="Times New Roman Regular" w:hAnsi="Times New Roman Regular" w:eastAsia="仿宋_GB2312" w:cs="Times New Roman Regular"/>
          <w:bCs/>
          <w:sz w:val="32"/>
          <w:szCs w:val="32"/>
          <w:lang w:val="en-US" w:eastAsia="zh-CN"/>
        </w:rPr>
        <w:t>3.项目经验：</w:t>
      </w:r>
      <w:r>
        <w:rPr>
          <w:rFonts w:hint="eastAsia" w:ascii="Times New Roman Regular" w:hAnsi="Times New Roman Regular" w:eastAsia="仿宋_GB2312" w:cs="Times New Roman Regular"/>
          <w:bCs/>
          <w:sz w:val="32"/>
          <w:szCs w:val="32"/>
        </w:rPr>
        <w:t>项目</w:t>
      </w:r>
      <w:r>
        <w:rPr>
          <w:rFonts w:hint="eastAsia" w:ascii="Times New Roman Regular" w:hAnsi="Times New Roman Regular" w:eastAsia="仿宋_GB2312" w:cs="Times New Roman Regular"/>
          <w:bCs/>
          <w:sz w:val="32"/>
          <w:szCs w:val="32"/>
          <w:lang w:eastAsia="zh-CN"/>
        </w:rPr>
        <w:t>经理</w:t>
      </w:r>
      <w:r>
        <w:rPr>
          <w:rFonts w:hint="eastAsia" w:ascii="Times New Roman Regular" w:hAnsi="Times New Roman Regular" w:eastAsia="仿宋_GB2312" w:cs="Times New Roman Regular"/>
          <w:bCs/>
          <w:sz w:val="32"/>
          <w:szCs w:val="32"/>
        </w:rPr>
        <w:t>及核心成员应主持或参与过至少2个地市级及以上数字化相关项目，具备数字化规范、标准或白皮书等文件的编撰经验，相关成果曾被市级及以上主管部门采纳或参考。</w:t>
      </w:r>
    </w:p>
    <w:p w14:paraId="4F93E627">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五、付款方式</w:t>
      </w:r>
    </w:p>
    <w:p w14:paraId="6DA53598">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eastAsia="仿宋_GB2312"/>
          <w:sz w:val="32"/>
          <w:szCs w:val="32"/>
        </w:rPr>
        <w:t>合同签订</w:t>
      </w:r>
      <w:r>
        <w:rPr>
          <w:rFonts w:hint="eastAsia" w:eastAsia="仿宋_GB2312"/>
          <w:sz w:val="32"/>
          <w:szCs w:val="32"/>
          <w:lang w:eastAsia="zh-CN"/>
        </w:rPr>
        <w:t>生效</w:t>
      </w:r>
      <w:r>
        <w:rPr>
          <w:rFonts w:hint="eastAsia" w:eastAsia="仿宋_GB2312"/>
          <w:sz w:val="32"/>
          <w:szCs w:val="32"/>
        </w:rPr>
        <w:t>且采购人</w:t>
      </w:r>
      <w:r>
        <w:rPr>
          <w:rFonts w:hint="eastAsia" w:eastAsia="仿宋_GB2312"/>
          <w:sz w:val="32"/>
          <w:szCs w:val="32"/>
          <w:lang w:eastAsia="zh-CN"/>
        </w:rPr>
        <w:t>收到</w:t>
      </w:r>
      <w:r>
        <w:rPr>
          <w:rFonts w:hint="eastAsia" w:eastAsia="仿宋_GB2312"/>
          <w:sz w:val="32"/>
          <w:szCs w:val="32"/>
        </w:rPr>
        <w:t>发票后</w:t>
      </w:r>
      <w:r>
        <w:rPr>
          <w:rFonts w:hint="eastAsia" w:eastAsia="仿宋_GB2312"/>
          <w:sz w:val="32"/>
          <w:szCs w:val="32"/>
          <w:lang w:val="en-US" w:eastAsia="zh-CN"/>
        </w:rPr>
        <w:t>1</w:t>
      </w:r>
      <w:r>
        <w:rPr>
          <w:rFonts w:hint="eastAsia" w:eastAsia="仿宋_GB2312"/>
          <w:sz w:val="32"/>
          <w:szCs w:val="32"/>
        </w:rPr>
        <w:t>0个工作日内，</w:t>
      </w:r>
      <w:r>
        <w:rPr>
          <w:rFonts w:hint="eastAsia" w:eastAsia="仿宋_GB2312"/>
          <w:sz w:val="32"/>
          <w:szCs w:val="32"/>
          <w:lang w:eastAsia="zh-CN"/>
        </w:rPr>
        <w:t>支付合同金额的</w:t>
      </w:r>
      <w:r>
        <w:rPr>
          <w:rFonts w:hint="eastAsia" w:eastAsia="仿宋_GB2312"/>
          <w:sz w:val="32"/>
          <w:szCs w:val="32"/>
          <w:lang w:val="en-US" w:eastAsia="zh-CN"/>
        </w:rPr>
        <w:t>50</w:t>
      </w:r>
      <w:r>
        <w:rPr>
          <w:rFonts w:hint="eastAsia" w:eastAsia="仿宋_GB2312"/>
          <w:sz w:val="32"/>
          <w:szCs w:val="32"/>
        </w:rPr>
        <w:t>%</w:t>
      </w:r>
      <w:r>
        <w:rPr>
          <w:rFonts w:hint="eastAsia" w:eastAsia="仿宋_GB2312"/>
          <w:sz w:val="32"/>
          <w:szCs w:val="32"/>
          <w:lang w:eastAsia="zh-CN"/>
        </w:rPr>
        <w:t>；项目验收通过</w:t>
      </w:r>
      <w:r>
        <w:rPr>
          <w:rFonts w:hint="eastAsia" w:eastAsia="仿宋_GB2312"/>
          <w:sz w:val="32"/>
          <w:szCs w:val="32"/>
        </w:rPr>
        <w:t>且采购人</w:t>
      </w:r>
      <w:r>
        <w:rPr>
          <w:rFonts w:hint="eastAsia" w:eastAsia="仿宋_GB2312"/>
          <w:sz w:val="32"/>
          <w:szCs w:val="32"/>
          <w:lang w:eastAsia="zh-CN"/>
        </w:rPr>
        <w:t>收到发票后</w:t>
      </w:r>
      <w:r>
        <w:rPr>
          <w:rFonts w:hint="eastAsia" w:eastAsia="仿宋_GB2312"/>
          <w:sz w:val="32"/>
          <w:szCs w:val="32"/>
          <w:lang w:val="en-US" w:eastAsia="zh-CN"/>
        </w:rPr>
        <w:t>1</w:t>
      </w:r>
      <w:r>
        <w:rPr>
          <w:rFonts w:hint="eastAsia" w:eastAsia="仿宋_GB2312"/>
          <w:sz w:val="32"/>
          <w:szCs w:val="32"/>
        </w:rPr>
        <w:t>0个工作日内，支付</w:t>
      </w:r>
      <w:r>
        <w:rPr>
          <w:rFonts w:hint="eastAsia" w:eastAsia="仿宋_GB2312"/>
          <w:sz w:val="32"/>
          <w:szCs w:val="32"/>
          <w:lang w:eastAsia="zh-CN"/>
        </w:rPr>
        <w:t>合同金额的</w:t>
      </w:r>
      <w:r>
        <w:rPr>
          <w:rFonts w:hint="eastAsia" w:eastAsia="仿宋_GB2312"/>
          <w:sz w:val="32"/>
          <w:szCs w:val="32"/>
          <w:lang w:val="en-US" w:eastAsia="zh-CN"/>
        </w:rPr>
        <w:t>50</w:t>
      </w:r>
      <w:r>
        <w:rPr>
          <w:rFonts w:hint="eastAsia" w:eastAsia="仿宋_GB2312"/>
          <w:sz w:val="32"/>
          <w:szCs w:val="32"/>
        </w:rPr>
        <w:t>%</w:t>
      </w:r>
      <w:r>
        <w:rPr>
          <w:rFonts w:eastAsia="仿宋_GB2312"/>
          <w:sz w:val="32"/>
          <w:szCs w:val="32"/>
        </w:rPr>
        <w:t>。</w:t>
      </w:r>
    </w:p>
    <w:p w14:paraId="3CF25CE9">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六、成果交付</w:t>
      </w:r>
    </w:p>
    <w:p w14:paraId="073454E9">
      <w:pPr>
        <w:snapToGrid w:val="0"/>
        <w:spacing w:line="60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（一）数字社会联合创新生态建设服务成果</w:t>
      </w:r>
    </w:p>
    <w:p w14:paraId="0503043B">
      <w:pPr>
        <w:snapToGrid w:val="0"/>
        <w:spacing w:line="600" w:lineRule="exact"/>
        <w:ind w:firstLine="640" w:firstLineChars="200"/>
        <w:jc w:val="left"/>
        <w:rPr>
          <w:rFonts w:ascii="仿宋_GB2312" w:hAnsi="宋体" w:eastAsia="仿宋_GB2312" w:cs="仿宋_GB2312"/>
          <w:sz w:val="32"/>
          <w:szCs w:val="32"/>
        </w:rPr>
      </w:pPr>
      <w:r>
        <w:rPr>
          <w:rFonts w:hint="eastAsia" w:eastAsia="仿宋_GB2312"/>
          <w:bCs/>
          <w:sz w:val="32"/>
          <w:szCs w:val="32"/>
        </w:rPr>
        <w:t>1.形成</w:t>
      </w:r>
      <w:r>
        <w:rPr>
          <w:rFonts w:eastAsia="仿宋_GB2312"/>
          <w:bCs/>
          <w:sz w:val="32"/>
          <w:szCs w:val="32"/>
        </w:rPr>
        <w:t>1份</w:t>
      </w:r>
      <w:r>
        <w:rPr>
          <w:rFonts w:hint="eastAsia" w:ascii="仿宋_GB2312" w:hAnsi="宋体" w:eastAsia="仿宋_GB2312" w:cs="仿宋_GB2312"/>
          <w:color w:val="000000"/>
          <w:sz w:val="32"/>
          <w:szCs w:val="32"/>
        </w:rPr>
        <w:t>《</w:t>
      </w:r>
      <w:r>
        <w:rPr>
          <w:rFonts w:hint="eastAsia" w:ascii="仿宋_GB2312" w:hAnsi="宋体" w:eastAsia="仿宋_GB2312" w:cs="仿宋_GB2312"/>
          <w:sz w:val="32"/>
          <w:szCs w:val="32"/>
        </w:rPr>
        <w:t>数字社会发展现状与趋势分析报告</w:t>
      </w:r>
      <w:r>
        <w:rPr>
          <w:rFonts w:hint="eastAsia" w:ascii="仿宋_GB2312" w:hAnsi="宋体" w:eastAsia="仿宋_GB2312" w:cs="仿宋_GB2312"/>
          <w:color w:val="000000"/>
          <w:sz w:val="32"/>
          <w:szCs w:val="32"/>
        </w:rPr>
        <w:t>》：报告内容包括</w:t>
      </w:r>
      <w:r>
        <w:rPr>
          <w:rFonts w:hint="eastAsia" w:ascii="仿宋_GB2312" w:hAnsi="宋体" w:eastAsia="仿宋_GB2312" w:cs="仿宋_GB2312"/>
          <w:sz w:val="32"/>
          <w:szCs w:val="32"/>
        </w:rPr>
        <w:t>国际发展趋势研判、上海基础现状剖析、国内外领先案例对标、前瞻布局方向建议等，为未来本市数字社会发展提供科学决策依据，明确发展方向与重点。</w:t>
      </w:r>
    </w:p>
    <w:p w14:paraId="158D6F41">
      <w:pPr>
        <w:snapToGrid w:val="0"/>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形成不少于5期的《国内外数字社会发展先进案例月报》：多维度分析研究国内外数字社会发展情况并选取优秀典型案例编入月报中，从案例现状、案例亮点等方面进行剖析典型案例，总结可借鉴点，为本市数字社会建设提供实操参考。</w:t>
      </w:r>
    </w:p>
    <w:p w14:paraId="0A53D0B8">
      <w:pPr>
        <w:snapToGrid w:val="0"/>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3.组织开展不少于2场主题活动：单场会议参与不少于1</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0人次，涵盖相关政策解读、专业咨询、典型案例分享、活动参展宣贯物料等内容，会议围绕数字社会政策解读、案例分析、答疑解惑等内容开展，推动各相关单位协同参与数字社会建设，凝聚发展合力，</w:t>
      </w:r>
      <w:r>
        <w:rPr>
          <w:rFonts w:ascii="Times New Roman Regular" w:hAnsi="Times New Roman Regular" w:eastAsia="仿宋_GB2312" w:cs="Times New Roman Regular"/>
          <w:sz w:val="32"/>
          <w:szCs w:val="32"/>
        </w:rPr>
        <w:t>形成</w:t>
      </w:r>
      <w:r>
        <w:rPr>
          <w:rFonts w:hint="eastAsia" w:ascii="Times New Roman Regular" w:hAnsi="Times New Roman Regular" w:eastAsia="仿宋_GB2312" w:cs="Times New Roman Regular"/>
          <w:sz w:val="32"/>
          <w:szCs w:val="32"/>
        </w:rPr>
        <w:t>活动方</w:t>
      </w:r>
      <w:r>
        <w:rPr>
          <w:rFonts w:ascii="Times New Roman Regular" w:hAnsi="Times New Roman Regular" w:eastAsia="仿宋_GB2312" w:cs="Times New Roman Regular"/>
          <w:sz w:val="32"/>
          <w:szCs w:val="32"/>
        </w:rPr>
        <w:t>案</w:t>
      </w:r>
      <w:r>
        <w:rPr>
          <w:rFonts w:hint="eastAsia" w:ascii="Times New Roman Regular" w:hAnsi="Times New Roman Regular" w:eastAsia="仿宋_GB2312" w:cs="Times New Roman Regular"/>
          <w:sz w:val="32"/>
          <w:szCs w:val="32"/>
        </w:rPr>
        <w:t>、活动视频、图片</w:t>
      </w:r>
      <w:r>
        <w:rPr>
          <w:rFonts w:ascii="Times New Roman Regular" w:hAnsi="Times New Roman Regular" w:eastAsia="仿宋_GB2312" w:cs="Times New Roman Regular"/>
          <w:sz w:val="32"/>
          <w:szCs w:val="32"/>
        </w:rPr>
        <w:t>及总结报告等完整成果</w:t>
      </w:r>
      <w:r>
        <w:rPr>
          <w:rFonts w:hint="eastAsia" w:ascii="仿宋_GB2312" w:hAnsi="宋体" w:eastAsia="仿宋_GB2312" w:cs="仿宋_GB2312"/>
          <w:sz w:val="32"/>
          <w:szCs w:val="32"/>
        </w:rPr>
        <w:t>。</w:t>
      </w:r>
    </w:p>
    <w:p w14:paraId="3ECDC25D">
      <w:pPr>
        <w:snapToGrid w:val="0"/>
        <w:spacing w:line="60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（二）卫生健康数据开发利用路径研究成果</w:t>
      </w:r>
    </w:p>
    <w:p w14:paraId="615E790D">
      <w:pPr>
        <w:snapToGrid w:val="0"/>
        <w:spacing w:line="600" w:lineRule="exact"/>
        <w:ind w:firstLine="640" w:firstLineChars="200"/>
        <w:jc w:val="left"/>
        <w:rPr>
          <w:rFonts w:ascii="仿宋_GB2312" w:hAnsi="宋体" w:eastAsia="仿宋_GB2312" w:cs="仿宋_GB2312"/>
          <w:color w:val="000000"/>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形成1份</w:t>
      </w:r>
      <w:r>
        <w:rPr>
          <w:rFonts w:hint="eastAsia" w:ascii="仿宋_GB2312" w:hAnsi="宋体" w:eastAsia="仿宋_GB2312" w:cs="仿宋_GB2312"/>
          <w:color w:val="000000"/>
          <w:sz w:val="32"/>
          <w:szCs w:val="32"/>
        </w:rPr>
        <w:t>《卫生健康数据开发利用路径研究报告》：围绕卫生健康数据开发利用的数据供给、数据治理、开放流通等关键环节，编制1份科学、合理、完善的《卫生健康数据开发利用路径研究报告》，包括主要目标、重点任务、进度安排、保障措施等内容，为行业数据价值利用提供指导。</w:t>
      </w:r>
    </w:p>
    <w:p w14:paraId="11523783">
      <w:pPr>
        <w:snapToGrid w:val="0"/>
        <w:spacing w:line="600" w:lineRule="exact"/>
        <w:ind w:firstLine="640" w:firstLineChars="200"/>
        <w:jc w:val="lef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2.面向医疗机构、科研院所、高校、药企等关键主体，梳理一批高价值、可落地、可推广的创新应用场景（不少于30个），推动不少于5个创新性场景的精准对接。</w:t>
      </w:r>
    </w:p>
    <w:p w14:paraId="4E8726FC">
      <w:pPr>
        <w:snapToGrid w:val="0"/>
        <w:spacing w:line="600" w:lineRule="exact"/>
        <w:ind w:firstLine="640" w:firstLineChars="200"/>
        <w:jc w:val="lef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3. 面向卫生健康数据开发利用，组织开展不少于10场“一对一”辅导培训会，涵盖培训会开展时间、地点、培训对象等支撑性材料；形成一个《上海市卫生健康数据开发利用典型案例集》。</w:t>
      </w:r>
    </w:p>
    <w:p w14:paraId="1FA7AD38">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七、验收要求</w:t>
      </w:r>
    </w:p>
    <w:p w14:paraId="0E0D15E8">
      <w:pPr>
        <w:snapToGrid w:val="0"/>
        <w:spacing w:line="600" w:lineRule="exact"/>
        <w:ind w:firstLine="640" w:firstLineChars="200"/>
        <w:jc w:val="left"/>
        <w:rPr>
          <w:rFonts w:ascii="黑体" w:hAnsi="黑体" w:eastAsia="黑体" w:cs="黑体"/>
          <w:bCs/>
          <w:color w:val="000000"/>
          <w:sz w:val="32"/>
          <w:szCs w:val="32"/>
        </w:rPr>
      </w:pPr>
      <w:r>
        <w:rPr>
          <w:rFonts w:hint="eastAsia" w:eastAsia="仿宋_GB2312"/>
          <w:bCs/>
          <w:sz w:val="32"/>
          <w:szCs w:val="32"/>
        </w:rPr>
        <w:t>成交供应商应当提交项目对应的服务成果，并向采购人提出验收申请，由采购人自行组织成果验收。</w:t>
      </w:r>
    </w:p>
    <w:p w14:paraId="1F503B49">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八、服务要求</w:t>
      </w:r>
    </w:p>
    <w:p w14:paraId="39EDAA71">
      <w:pPr>
        <w:adjustRightInd/>
        <w:snapToGrid w:val="0"/>
        <w:spacing w:line="600" w:lineRule="exact"/>
        <w:ind w:firstLine="640" w:firstLineChars="200"/>
        <w:jc w:val="left"/>
        <w:textAlignment w:val="auto"/>
        <w:outlineLvl w:val="0"/>
        <w:rPr>
          <w:rFonts w:eastAsia="仿宋_GB2312"/>
          <w:sz w:val="32"/>
          <w:szCs w:val="32"/>
        </w:rPr>
      </w:pPr>
      <w:r>
        <w:rPr>
          <w:rFonts w:hint="eastAsia" w:eastAsia="仿宋_GB2312"/>
          <w:sz w:val="32"/>
          <w:szCs w:val="32"/>
        </w:rPr>
        <w:t>为确保项目顺利实施，供应商需满足以下核心要求：</w:t>
      </w:r>
    </w:p>
    <w:p w14:paraId="10D9861E">
      <w:pPr>
        <w:adjustRightInd/>
        <w:snapToGrid w:val="0"/>
        <w:spacing w:line="600" w:lineRule="exact"/>
        <w:ind w:firstLine="640" w:firstLineChars="200"/>
        <w:jc w:val="left"/>
        <w:textAlignment w:val="auto"/>
        <w:outlineLvl w:val="0"/>
        <w:rPr>
          <w:rFonts w:eastAsia="仿宋_GB2312"/>
          <w:sz w:val="32"/>
          <w:szCs w:val="32"/>
        </w:rPr>
      </w:pPr>
      <w:r>
        <w:rPr>
          <w:rFonts w:hint="eastAsia" w:eastAsia="仿宋_GB2312"/>
          <w:sz w:val="32"/>
          <w:szCs w:val="32"/>
        </w:rPr>
        <w:t>1.响应时效：对甲方提出的需求、咨询及问题，需在工作日2小时内响应；紧急事项1小时内响应。成果交付、阶段性汇报及线下活动筹备需按约定时间提前完成。平台故障需在24小时内解决。</w:t>
      </w:r>
    </w:p>
    <w:p w14:paraId="515E2F54">
      <w:pPr>
        <w:adjustRightInd/>
        <w:snapToGrid w:val="0"/>
        <w:spacing w:line="600" w:lineRule="exact"/>
        <w:ind w:firstLine="640" w:firstLineChars="200"/>
        <w:jc w:val="left"/>
        <w:textAlignment w:val="auto"/>
        <w:outlineLvl w:val="0"/>
        <w:rPr>
          <w:rFonts w:eastAsia="仿宋_GB2312"/>
          <w:sz w:val="32"/>
          <w:szCs w:val="32"/>
        </w:rPr>
      </w:pPr>
      <w:r>
        <w:rPr>
          <w:rFonts w:hint="eastAsia" w:eastAsia="仿宋_GB2312"/>
          <w:sz w:val="32"/>
          <w:szCs w:val="32"/>
        </w:rPr>
        <w:t>2.服务质量：所有交付成果需内容完整、数据准确、逻辑严谨，经内部审核后提交。</w:t>
      </w:r>
    </w:p>
    <w:p w14:paraId="33F87C91">
      <w:pPr>
        <w:adjustRightInd/>
        <w:snapToGrid w:val="0"/>
        <w:spacing w:line="600" w:lineRule="exact"/>
        <w:ind w:firstLine="640" w:firstLineChars="200"/>
        <w:jc w:val="left"/>
        <w:textAlignment w:val="auto"/>
        <w:outlineLvl w:val="0"/>
        <w:rPr>
          <w:rFonts w:eastAsia="仿宋_GB2312"/>
          <w:sz w:val="32"/>
          <w:szCs w:val="32"/>
        </w:rPr>
      </w:pPr>
      <w:r>
        <w:rPr>
          <w:rFonts w:hint="eastAsia" w:eastAsia="仿宋_GB2312"/>
          <w:sz w:val="32"/>
          <w:szCs w:val="32"/>
        </w:rPr>
        <w:t>3.过程管控：制定详细实施计划，定期汇报进展。对线下活动及成果修改建立档案管理与闭环机制，确保过程可追溯、问题可整改。</w:t>
      </w:r>
    </w:p>
    <w:p w14:paraId="523521F3">
      <w:pPr>
        <w:adjustRightInd/>
        <w:snapToGrid w:val="0"/>
        <w:spacing w:line="600" w:lineRule="exact"/>
        <w:ind w:firstLine="640" w:firstLineChars="200"/>
        <w:jc w:val="left"/>
        <w:textAlignment w:val="auto"/>
        <w:outlineLvl w:val="0"/>
        <w:rPr>
          <w:rFonts w:eastAsia="仿宋_GB2312"/>
          <w:sz w:val="32"/>
          <w:szCs w:val="32"/>
        </w:rPr>
      </w:pPr>
      <w:r>
        <w:rPr>
          <w:rFonts w:hint="eastAsia" w:eastAsia="仿宋_GB2312"/>
          <w:sz w:val="32"/>
          <w:szCs w:val="32"/>
        </w:rPr>
        <w:t>4.协同配合：主动与甲方及相关方保持沟通，积极配合验收、调研及成果推广工作。</w:t>
      </w:r>
    </w:p>
    <w:p w14:paraId="665AC6FE">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eastAsia="仿宋_GB2312"/>
          <w:sz w:val="32"/>
          <w:szCs w:val="32"/>
        </w:rPr>
        <w:t>5.安全与售后：严格遵守数据安全与保密法规，确保项目数据安全。项目结束后提供2个月免费售后支持，协助成果落地与应用。</w:t>
      </w:r>
    </w:p>
    <w:p w14:paraId="024B18D5">
      <w:pPr>
        <w:spacing w:before="163" w:beforeLines="50" w:after="163" w:afterLines="50" w:line="600" w:lineRule="exact"/>
        <w:ind w:firstLine="640" w:firstLineChars="200"/>
        <w:contextualSpacing/>
        <w:rPr>
          <w:rFonts w:ascii="黑体" w:hAnsi="黑体" w:eastAsia="黑体" w:cs="黑体"/>
          <w:bCs/>
          <w:color w:val="000000"/>
          <w:sz w:val="32"/>
          <w:szCs w:val="32"/>
        </w:rPr>
      </w:pPr>
      <w:r>
        <w:rPr>
          <w:rFonts w:hint="eastAsia" w:ascii="黑体" w:hAnsi="黑体" w:eastAsia="黑体" w:cs="黑体"/>
          <w:bCs/>
          <w:color w:val="000000"/>
          <w:sz w:val="32"/>
          <w:szCs w:val="32"/>
        </w:rPr>
        <w:t>九、报价要求</w:t>
      </w:r>
    </w:p>
    <w:p w14:paraId="2ED1FD73">
      <w:pPr>
        <w:adjustRightInd/>
        <w:snapToGrid w:val="0"/>
        <w:spacing w:line="600" w:lineRule="exact"/>
        <w:ind w:firstLine="640" w:firstLineChars="200"/>
        <w:textAlignment w:val="auto"/>
        <w:rPr>
          <w:rFonts w:ascii="Times New Roman Regular" w:hAnsi="Times New Roman Regular" w:eastAsia="仿宋_GB2312" w:cs="Times New Roman Regular"/>
          <w:bCs/>
          <w:sz w:val="32"/>
          <w:szCs w:val="32"/>
        </w:rPr>
      </w:pPr>
      <w:r>
        <w:rPr>
          <w:rFonts w:hint="eastAsia" w:ascii="Times New Roman Regular" w:hAnsi="Times New Roman Regular" w:eastAsia="仿宋_GB2312" w:cs="Times New Roman Regular"/>
          <w:bCs/>
          <w:sz w:val="32"/>
          <w:szCs w:val="32"/>
        </w:rPr>
        <w:t>1.</w:t>
      </w:r>
      <w:r>
        <w:rPr>
          <w:rFonts w:hint="eastAsia" w:ascii="Times New Roman Regular" w:hAnsi="Times New Roman Regular" w:eastAsia="仿宋_GB2312" w:cs="Times New Roman Regular"/>
          <w:bCs/>
          <w:sz w:val="32"/>
          <w:szCs w:val="32"/>
          <w:lang w:eastAsia="zh-CN"/>
        </w:rPr>
        <w:t>投标</w:t>
      </w:r>
      <w:bookmarkStart w:id="2" w:name="_GoBack"/>
      <w:bookmarkEnd w:id="2"/>
      <w:r>
        <w:rPr>
          <w:rFonts w:hint="eastAsia" w:ascii="Times New Roman Regular" w:hAnsi="Times New Roman Regular" w:eastAsia="仿宋_GB2312" w:cs="Times New Roman Regular"/>
          <w:bCs/>
          <w:sz w:val="32"/>
          <w:szCs w:val="32"/>
        </w:rPr>
        <w:t>报价应包含达到合同验收要求及完成所有相关服务的所有费用。</w:t>
      </w:r>
    </w:p>
    <w:p w14:paraId="528FF85E">
      <w:pPr>
        <w:adjustRightInd/>
        <w:snapToGrid w:val="0"/>
        <w:spacing w:line="600" w:lineRule="exact"/>
        <w:ind w:firstLine="640" w:firstLineChars="200"/>
        <w:textAlignment w:val="auto"/>
        <w:rPr>
          <w:rFonts w:ascii="Times New Roman Regular" w:hAnsi="Times New Roman Regular" w:eastAsia="仿宋_GB2312" w:cs="Times New Roman Regular"/>
          <w:bCs/>
          <w:sz w:val="32"/>
          <w:szCs w:val="32"/>
        </w:rPr>
      </w:pPr>
      <w:r>
        <w:rPr>
          <w:rFonts w:hint="eastAsia" w:ascii="Times New Roman Regular" w:hAnsi="Times New Roman Regular" w:eastAsia="仿宋_GB2312" w:cs="Times New Roman Regular"/>
          <w:bCs/>
          <w:sz w:val="32"/>
          <w:szCs w:val="32"/>
        </w:rPr>
        <w:t>2.供应商必须针对本</w:t>
      </w:r>
      <w:r>
        <w:rPr>
          <w:rFonts w:hint="eastAsia" w:ascii="Times New Roman Regular" w:hAnsi="Times New Roman Regular" w:eastAsia="仿宋_GB2312" w:cs="Times New Roman Regular"/>
          <w:bCs/>
          <w:sz w:val="32"/>
          <w:szCs w:val="32"/>
          <w:lang w:eastAsia="zh-CN"/>
        </w:rPr>
        <w:t>需求</w:t>
      </w:r>
      <w:r>
        <w:rPr>
          <w:rFonts w:hint="eastAsia" w:ascii="Times New Roman Regular" w:hAnsi="Times New Roman Regular" w:eastAsia="仿宋_GB2312" w:cs="Times New Roman Regular"/>
          <w:bCs/>
          <w:sz w:val="32"/>
          <w:szCs w:val="32"/>
        </w:rPr>
        <w:t>文件里涉及所有的服务及相关货物（如有）进行报价，不能只对部分服务及货物进行报价。</w:t>
      </w:r>
    </w:p>
    <w:p w14:paraId="696FFE06">
      <w:pPr>
        <w:snapToGrid w:val="0"/>
        <w:spacing w:line="600" w:lineRule="exact"/>
        <w:ind w:firstLine="440" w:firstLineChars="200"/>
        <w:jc w:val="left"/>
        <w:rPr>
          <w:bCs/>
          <w:sz w:val="22"/>
          <w:szCs w:val="22"/>
        </w:rPr>
      </w:pPr>
    </w:p>
    <w:p w14:paraId="1FB1FA28"/>
    <w:sectPr>
      <w:footerReference r:id="rId5" w:type="default"/>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DejaVu Sans"/>
    <w:panose1 w:val="020B0604020202020204"/>
    <w:charset w:val="00"/>
    <w:family w:val="auto"/>
    <w:pitch w:val="default"/>
    <w:sig w:usb0="00000000" w:usb1="00000000" w:usb2="00000001" w:usb3="00000000" w:csb0="400001BF" w:csb1="DFF70000"/>
  </w:font>
  <w:font w:name="楷体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5E63433">
        <w:pPr>
          <w:pStyle w:val="12"/>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6F"/>
    <w:rsid w:val="00015600"/>
    <w:rsid w:val="00041F9F"/>
    <w:rsid w:val="00043F31"/>
    <w:rsid w:val="00092CC7"/>
    <w:rsid w:val="000A1EA8"/>
    <w:rsid w:val="000A3447"/>
    <w:rsid w:val="000A7616"/>
    <w:rsid w:val="000D0972"/>
    <w:rsid w:val="000E07E7"/>
    <w:rsid w:val="00102CF0"/>
    <w:rsid w:val="00117A69"/>
    <w:rsid w:val="00122954"/>
    <w:rsid w:val="00124B10"/>
    <w:rsid w:val="00125DDD"/>
    <w:rsid w:val="00130A9D"/>
    <w:rsid w:val="00132113"/>
    <w:rsid w:val="00135475"/>
    <w:rsid w:val="00167C16"/>
    <w:rsid w:val="00176212"/>
    <w:rsid w:val="0017622F"/>
    <w:rsid w:val="00182498"/>
    <w:rsid w:val="00194CF5"/>
    <w:rsid w:val="001A1C37"/>
    <w:rsid w:val="001C244C"/>
    <w:rsid w:val="001D3230"/>
    <w:rsid w:val="001D482B"/>
    <w:rsid w:val="001E6B7A"/>
    <w:rsid w:val="002121E4"/>
    <w:rsid w:val="00215CDD"/>
    <w:rsid w:val="002170A7"/>
    <w:rsid w:val="002507A4"/>
    <w:rsid w:val="002643FD"/>
    <w:rsid w:val="00277884"/>
    <w:rsid w:val="00293A8F"/>
    <w:rsid w:val="002A3DCA"/>
    <w:rsid w:val="002B4806"/>
    <w:rsid w:val="002C2793"/>
    <w:rsid w:val="002E4A7A"/>
    <w:rsid w:val="002E5BE7"/>
    <w:rsid w:val="00315A92"/>
    <w:rsid w:val="00317E98"/>
    <w:rsid w:val="00341B46"/>
    <w:rsid w:val="00345546"/>
    <w:rsid w:val="0035744A"/>
    <w:rsid w:val="00374041"/>
    <w:rsid w:val="00375D9D"/>
    <w:rsid w:val="00390691"/>
    <w:rsid w:val="003B3A0E"/>
    <w:rsid w:val="003B780E"/>
    <w:rsid w:val="003D275E"/>
    <w:rsid w:val="003F753F"/>
    <w:rsid w:val="00424FED"/>
    <w:rsid w:val="00426848"/>
    <w:rsid w:val="00431593"/>
    <w:rsid w:val="004454CF"/>
    <w:rsid w:val="00470D23"/>
    <w:rsid w:val="004715C3"/>
    <w:rsid w:val="004879FA"/>
    <w:rsid w:val="004A236D"/>
    <w:rsid w:val="004B1677"/>
    <w:rsid w:val="004C1177"/>
    <w:rsid w:val="004E509E"/>
    <w:rsid w:val="005262A2"/>
    <w:rsid w:val="005531CD"/>
    <w:rsid w:val="00554813"/>
    <w:rsid w:val="0057265F"/>
    <w:rsid w:val="005A4559"/>
    <w:rsid w:val="005B4580"/>
    <w:rsid w:val="005C4CCC"/>
    <w:rsid w:val="005D0137"/>
    <w:rsid w:val="0060072D"/>
    <w:rsid w:val="0060781B"/>
    <w:rsid w:val="00632ADC"/>
    <w:rsid w:val="00632EB2"/>
    <w:rsid w:val="00644697"/>
    <w:rsid w:val="006453BD"/>
    <w:rsid w:val="00646305"/>
    <w:rsid w:val="0066743A"/>
    <w:rsid w:val="00667BE1"/>
    <w:rsid w:val="00682C68"/>
    <w:rsid w:val="0069157F"/>
    <w:rsid w:val="00695EF0"/>
    <w:rsid w:val="006A10CF"/>
    <w:rsid w:val="006D5FDD"/>
    <w:rsid w:val="006E2D8B"/>
    <w:rsid w:val="006F2C57"/>
    <w:rsid w:val="00714320"/>
    <w:rsid w:val="00724358"/>
    <w:rsid w:val="007620E9"/>
    <w:rsid w:val="007833A5"/>
    <w:rsid w:val="0079538A"/>
    <w:rsid w:val="00795820"/>
    <w:rsid w:val="007D118C"/>
    <w:rsid w:val="007D2A70"/>
    <w:rsid w:val="007E3049"/>
    <w:rsid w:val="007E6F4F"/>
    <w:rsid w:val="00800250"/>
    <w:rsid w:val="00815577"/>
    <w:rsid w:val="00832BCB"/>
    <w:rsid w:val="00854A1B"/>
    <w:rsid w:val="00855B7B"/>
    <w:rsid w:val="00886AC3"/>
    <w:rsid w:val="00897ADB"/>
    <w:rsid w:val="008A0F53"/>
    <w:rsid w:val="008B681A"/>
    <w:rsid w:val="008B7990"/>
    <w:rsid w:val="008D62E2"/>
    <w:rsid w:val="008F6594"/>
    <w:rsid w:val="00907F4B"/>
    <w:rsid w:val="0094439A"/>
    <w:rsid w:val="0097263D"/>
    <w:rsid w:val="009835BA"/>
    <w:rsid w:val="0098415D"/>
    <w:rsid w:val="009A415E"/>
    <w:rsid w:val="009B41BF"/>
    <w:rsid w:val="009C457A"/>
    <w:rsid w:val="009F48B7"/>
    <w:rsid w:val="009F6EAC"/>
    <w:rsid w:val="00A15974"/>
    <w:rsid w:val="00A27BC4"/>
    <w:rsid w:val="00A3275E"/>
    <w:rsid w:val="00A45305"/>
    <w:rsid w:val="00A465DF"/>
    <w:rsid w:val="00A521B8"/>
    <w:rsid w:val="00A6172B"/>
    <w:rsid w:val="00A7041D"/>
    <w:rsid w:val="00A71971"/>
    <w:rsid w:val="00A8340D"/>
    <w:rsid w:val="00AA1A15"/>
    <w:rsid w:val="00AD263C"/>
    <w:rsid w:val="00AF6530"/>
    <w:rsid w:val="00B376B8"/>
    <w:rsid w:val="00B50A19"/>
    <w:rsid w:val="00B84E10"/>
    <w:rsid w:val="00C16D44"/>
    <w:rsid w:val="00C350B4"/>
    <w:rsid w:val="00C71F4C"/>
    <w:rsid w:val="00C75DD3"/>
    <w:rsid w:val="00C87648"/>
    <w:rsid w:val="00C91820"/>
    <w:rsid w:val="00C92A1E"/>
    <w:rsid w:val="00CA00E4"/>
    <w:rsid w:val="00CA2291"/>
    <w:rsid w:val="00CE0D9D"/>
    <w:rsid w:val="00D04AA9"/>
    <w:rsid w:val="00D27C65"/>
    <w:rsid w:val="00D27D42"/>
    <w:rsid w:val="00D350B6"/>
    <w:rsid w:val="00D517EF"/>
    <w:rsid w:val="00D75B47"/>
    <w:rsid w:val="00D86685"/>
    <w:rsid w:val="00DA764E"/>
    <w:rsid w:val="00DB4C5C"/>
    <w:rsid w:val="00DD6E76"/>
    <w:rsid w:val="00E106A6"/>
    <w:rsid w:val="00E22C81"/>
    <w:rsid w:val="00E3066B"/>
    <w:rsid w:val="00E5685B"/>
    <w:rsid w:val="00E60338"/>
    <w:rsid w:val="00E777F7"/>
    <w:rsid w:val="00E8426F"/>
    <w:rsid w:val="00EB25E6"/>
    <w:rsid w:val="00ED1D95"/>
    <w:rsid w:val="00ED1F1A"/>
    <w:rsid w:val="00EE1470"/>
    <w:rsid w:val="00EF4611"/>
    <w:rsid w:val="00F00374"/>
    <w:rsid w:val="00F235B2"/>
    <w:rsid w:val="00F37DAA"/>
    <w:rsid w:val="00F467E9"/>
    <w:rsid w:val="00F51336"/>
    <w:rsid w:val="00F5654E"/>
    <w:rsid w:val="00F65A5B"/>
    <w:rsid w:val="00F861EB"/>
    <w:rsid w:val="00FA2279"/>
    <w:rsid w:val="00FB014B"/>
    <w:rsid w:val="00FB3F64"/>
    <w:rsid w:val="00FF220E"/>
    <w:rsid w:val="020B5EE9"/>
    <w:rsid w:val="030A75D9"/>
    <w:rsid w:val="04C76853"/>
    <w:rsid w:val="04D80F37"/>
    <w:rsid w:val="0D671E59"/>
    <w:rsid w:val="0F6E46F1"/>
    <w:rsid w:val="196AE2B2"/>
    <w:rsid w:val="1FC33239"/>
    <w:rsid w:val="2AB8C3A9"/>
    <w:rsid w:val="2BBD55EB"/>
    <w:rsid w:val="35D36382"/>
    <w:rsid w:val="37F3A983"/>
    <w:rsid w:val="3EFB508D"/>
    <w:rsid w:val="3FD70321"/>
    <w:rsid w:val="59EFDA40"/>
    <w:rsid w:val="5B6065F6"/>
    <w:rsid w:val="5FBF0677"/>
    <w:rsid w:val="683830A0"/>
    <w:rsid w:val="6EDB6958"/>
    <w:rsid w:val="6EDFEAEC"/>
    <w:rsid w:val="6F3B4618"/>
    <w:rsid w:val="787F0289"/>
    <w:rsid w:val="7A4778AC"/>
    <w:rsid w:val="7C1A19D3"/>
    <w:rsid w:val="7F0171EB"/>
    <w:rsid w:val="7FFF336D"/>
    <w:rsid w:val="9BD3912B"/>
    <w:rsid w:val="AECC2E7B"/>
    <w:rsid w:val="BCF661A9"/>
    <w:rsid w:val="BD666670"/>
    <w:rsid w:val="CBF74CF5"/>
    <w:rsid w:val="D7F9F592"/>
    <w:rsid w:val="DAB525FC"/>
    <w:rsid w:val="DFBF48F5"/>
    <w:rsid w:val="DFF79262"/>
    <w:rsid w:val="EEBECC5C"/>
    <w:rsid w:val="F3FE6A16"/>
    <w:rsid w:val="F7E63EE0"/>
    <w:rsid w:val="FBF5485D"/>
    <w:rsid w:val="FDFB4312"/>
    <w:rsid w:val="FE7F4A61"/>
    <w:rsid w:val="FF77788C"/>
    <w:rsid w:val="FFFF9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标题 1 字符1"/>
    <w:qFormat/>
    <w:uiPriority w:val="0"/>
    <w:rPr>
      <w:rFonts w:ascii="Times New Roman" w:hAnsi="Times New Roman" w:eastAsia="宋体" w:cs="Times New Roman"/>
      <w:b/>
      <w:bCs/>
      <w:kern w:val="44"/>
      <w:sz w:val="44"/>
      <w:szCs w:val="44"/>
      <w14:ligatures w14:val="none"/>
    </w:rPr>
  </w:style>
  <w:style w:type="paragraph" w:customStyle="1" w:styleId="41">
    <w:name w:val="列表段落1"/>
    <w:basedOn w:val="1"/>
    <w:link w:val="42"/>
    <w:qFormat/>
    <w:uiPriority w:val="34"/>
    <w:pPr>
      <w:ind w:firstLine="420" w:firstLineChars="200"/>
    </w:pPr>
  </w:style>
  <w:style w:type="character" w:customStyle="1" w:styleId="42">
    <w:name w:val="列出段落 Char1"/>
    <w:link w:val="41"/>
    <w:qFormat/>
    <w:uiPriority w:val="34"/>
    <w:rPr>
      <w:rFonts w:ascii="Times New Roman" w:hAnsi="Times New Roman" w:eastAsia="宋体" w:cs="Times New Roman"/>
      <w:kern w:val="0"/>
      <w:sz w:val="24"/>
      <w:szCs w:val="20"/>
      <w14:ligatures w14:val="none"/>
    </w:rPr>
  </w:style>
  <w:style w:type="paragraph" w:customStyle="1" w:styleId="43">
    <w:name w:val="修订1"/>
    <w:hidden/>
    <w:semiHidden/>
    <w:qFormat/>
    <w:uiPriority w:val="99"/>
    <w:rPr>
      <w:rFonts w:ascii="Times New Roman" w:hAnsi="Times New Roman" w:eastAsia="宋体" w:cs="Times New Roman"/>
      <w:sz w:val="24"/>
      <w:lang w:val="en-US" w:eastAsia="zh-CN" w:bidi="ar-SA"/>
    </w:rPr>
  </w:style>
  <w:style w:type="paragraph" w:customStyle="1" w:styleId="44">
    <w:name w:val="修订2"/>
    <w:hidden/>
    <w:unhideWhenUsed/>
    <w:qFormat/>
    <w:uiPriority w:val="99"/>
    <w:rPr>
      <w:rFonts w:ascii="Times New Roman" w:hAnsi="Times New Roman" w:eastAsia="宋体" w:cs="Times New Roman"/>
      <w:sz w:val="24"/>
      <w:lang w:val="en-US" w:eastAsia="zh-CN" w:bidi="ar-SA"/>
    </w:rPr>
  </w:style>
  <w:style w:type="paragraph" w:customStyle="1" w:styleId="45">
    <w:name w:val="修订3"/>
    <w:hidden/>
    <w:unhideWhenUsed/>
    <w:qFormat/>
    <w:uiPriority w:val="99"/>
    <w:rPr>
      <w:rFonts w:ascii="Times New Roman" w:hAnsi="Times New Roman" w:eastAsia="宋体" w:cs="Times New Roman"/>
      <w:sz w:val="24"/>
      <w:lang w:val="en-US" w:eastAsia="zh-CN" w:bidi="ar-SA"/>
    </w:rPr>
  </w:style>
  <w:style w:type="character" w:customStyle="1" w:styleId="46">
    <w:name w:val="bumpedfont15"/>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3189</Words>
  <Characters>3244</Characters>
  <Lines>24</Lines>
  <Paragraphs>6</Paragraphs>
  <TotalTime>1389</TotalTime>
  <ScaleCrop>false</ScaleCrop>
  <LinksUpToDate>false</LinksUpToDate>
  <CharactersWithSpaces>3246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2026-03-29T09:06:00Z</dcterms:created>
  <dc:creator>Lucas Zhi Wang</dc:creator>
  <cp:lastModifiedBy>王婉婷</cp:lastModifiedBy>
  <dcterms:modified xsi:type="dcterms:W3CDTF">2026-04-10T16:36:01Z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eyJoZGlkIjoiZmNhYjNmMmI5MGZlMDNhYjgzMDJmNWUyMjAxMTdmNGMiLCJ1c2VySWQiOiIxMjQwNjM1NTg3In0=</vt:lpwstr>
  </property>
  <property fmtid="{D5CDD505-2E9C-101B-9397-08002B2CF9AE}" pid="3" name="KSOProductBuildVer">
    <vt:lpwstr>2052-12.8.2.21176</vt:lpwstr>
  </property>
  <property fmtid="{D5CDD505-2E9C-101B-9397-08002B2CF9AE}" pid="4" name="ICV">
    <vt:lpwstr>3A6FDB6B39A5428885F024A8C1E9EB1D_13</vt:lpwstr>
  </property>
</Properties>
</file>