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4EE3C">
      <w:pPr>
        <w:pStyle w:val="2"/>
        <w:numPr>
          <w:ilvl w:val="0"/>
          <w:numId w:val="0"/>
        </w:numPr>
        <w:ind w:left="425"/>
        <w:jc w:val="center"/>
      </w:pPr>
      <w:bookmarkStart w:id="0" w:name="_Toc63785461"/>
      <w:r>
        <w:rPr>
          <w:rFonts w:hint="eastAsia"/>
        </w:rPr>
        <w:t>全域土地综合整治监测监管大系统建设项目采购需求</w:t>
      </w:r>
    </w:p>
    <w:p w14:paraId="4ACF483E">
      <w:pPr>
        <w:pStyle w:val="2"/>
      </w:pPr>
      <w:r>
        <w:rPr>
          <w:rFonts w:hint="eastAsia"/>
        </w:rPr>
        <w:t>项目概况</w:t>
      </w:r>
      <w:bookmarkEnd w:id="0"/>
    </w:p>
    <w:p w14:paraId="3B01F2C6">
      <w:pPr>
        <w:ind w:firstLine="482"/>
      </w:pPr>
      <w:bookmarkStart w:id="1" w:name="_Toc5612478"/>
      <w:r>
        <w:rPr>
          <w:rFonts w:hint="eastAsia"/>
          <w:b/>
          <w:bCs/>
        </w:rPr>
        <w:t>1 项目名称</w:t>
      </w:r>
      <w:bookmarkEnd w:id="1"/>
      <w:r>
        <w:rPr>
          <w:rFonts w:hint="eastAsia"/>
          <w:b/>
          <w:bCs/>
        </w:rPr>
        <w:t>：</w:t>
      </w:r>
      <w:r>
        <w:rPr>
          <w:rFonts w:hint="eastAsia"/>
        </w:rPr>
        <w:t>应用软件</w:t>
      </w:r>
    </w:p>
    <w:p w14:paraId="54CB5FE2">
      <w:pPr>
        <w:ind w:firstLine="482"/>
      </w:pPr>
      <w:bookmarkStart w:id="2" w:name="_Toc5612479"/>
      <w:r>
        <w:rPr>
          <w:rFonts w:hint="eastAsia"/>
          <w:b/>
          <w:bCs/>
        </w:rPr>
        <w:t>2 项目地点</w:t>
      </w:r>
      <w:bookmarkEnd w:id="2"/>
      <w:r>
        <w:rPr>
          <w:rFonts w:hint="eastAsia"/>
          <w:b/>
          <w:bCs/>
        </w:rPr>
        <w:t>：</w:t>
      </w:r>
      <w:r>
        <w:rPr>
          <w:rFonts w:hint="eastAsia"/>
        </w:rPr>
        <w:t>上海</w:t>
      </w:r>
    </w:p>
    <w:p w14:paraId="192A45A8">
      <w:pPr>
        <w:ind w:firstLine="482"/>
        <w:rPr>
          <w:b/>
          <w:bCs/>
        </w:rPr>
      </w:pPr>
      <w:bookmarkStart w:id="3" w:name="_Toc5612480"/>
      <w:r>
        <w:rPr>
          <w:rFonts w:hint="eastAsia"/>
          <w:b/>
          <w:bCs/>
        </w:rPr>
        <w:t>3 招标范围与内容</w:t>
      </w:r>
      <w:bookmarkEnd w:id="3"/>
    </w:p>
    <w:p w14:paraId="05BF0EBC">
      <w:pPr>
        <w:ind w:firstLine="482"/>
        <w:rPr>
          <w:b/>
          <w:bCs/>
        </w:rPr>
      </w:pPr>
      <w:r>
        <w:rPr>
          <w:rFonts w:hint="eastAsia"/>
          <w:b/>
          <w:bCs/>
        </w:rPr>
        <w:t>3.1 项目背景</w:t>
      </w:r>
    </w:p>
    <w:p w14:paraId="76F192FC">
      <w:r>
        <w:rPr>
          <w:rFonts w:hint="eastAsia"/>
        </w:rPr>
        <w:t>在国家积极推动生态文明建设与高质量发展的宏观战略布局下，一系列重要政策文件相继出台，为全域监管项目的建设筑牢根基、明确方向。其中，2025年9月上海市人民政府办公厅印发的《关于深入开展全市域土地综合整治助推郊野空间提质增效的实施意见》明确指出，要“强化全生命周期管理和全要素动态监管，建立完善全域土地综合整治监测监管平台”。为积极响应相关工作要求，助力推进本市“2+8”全域土地综合整治试点项目，搭建数智化全域土地综合整治监测监管系统场景，通过汇集多元时空信息数据、建立风险监测体系、搭建监管工作平台，实现对项目实时动态、可视化、可追踪的全面监测监管，全生命周期的一体化管控。</w:t>
      </w:r>
    </w:p>
    <w:p w14:paraId="5EAAE1BD">
      <w:pPr>
        <w:ind w:firstLine="482"/>
        <w:rPr>
          <w:b/>
          <w:bCs/>
        </w:rPr>
      </w:pPr>
      <w:r>
        <w:rPr>
          <w:rFonts w:hint="eastAsia"/>
          <w:b/>
          <w:bCs/>
        </w:rPr>
        <w:t>3.2 项目招标范围及内容</w:t>
      </w:r>
    </w:p>
    <w:p w14:paraId="5CA2EFDE">
      <w:r>
        <w:rPr>
          <w:rFonts w:hint="eastAsia"/>
        </w:rPr>
        <w:t>本项目为上海市全域土地综合整治监测监管大系统建设项目，为满足上海市全域土地综合整治试点项目的业务需求，主要包括8个功能模块：业务数据采集生产子系统，项目谋划报批子系统，市级项目监管子系统，生态修复项目监管子系统，全域整治决策支持子系统，系统安全管理子系统，系统接口建设，密码应用功能模块开发。</w:t>
      </w:r>
    </w:p>
    <w:p w14:paraId="58225132">
      <w:pPr>
        <w:ind w:firstLine="482"/>
      </w:pPr>
      <w:r>
        <w:rPr>
          <w:b/>
          <w:bCs/>
        </w:rPr>
        <w:t>4</w:t>
      </w:r>
      <w:r>
        <w:rPr>
          <w:rFonts w:hint="eastAsia"/>
          <w:b/>
          <w:bCs/>
        </w:rPr>
        <w:t xml:space="preserve"> </w:t>
      </w:r>
      <w:r>
        <w:t>采购预算金额：</w:t>
      </w:r>
      <w:r>
        <w:rPr>
          <w:rFonts w:hint="eastAsia"/>
        </w:rPr>
        <w:t>6675000.00元</w:t>
      </w:r>
    </w:p>
    <w:p w14:paraId="3A53C737">
      <w:r>
        <w:rPr>
          <w:b/>
          <w:bCs/>
        </w:rPr>
        <w:t>5</w:t>
      </w:r>
      <w:r>
        <w:rPr>
          <w:rFonts w:hint="eastAsia"/>
          <w:b/>
          <w:bCs/>
        </w:rPr>
        <w:t xml:space="preserve"> </w:t>
      </w:r>
      <w:r>
        <w:t>是否按</w:t>
      </w:r>
      <w:r>
        <w:rPr>
          <w:rFonts w:hint="eastAsia"/>
        </w:rPr>
        <w:t>XC</w:t>
      </w:r>
      <w:r>
        <w:t>要求建设：是</w:t>
      </w:r>
    </w:p>
    <w:p w14:paraId="4EFF3FB0"/>
    <w:p w14:paraId="3B0E5017">
      <w:pPr>
        <w:pStyle w:val="2"/>
      </w:pPr>
      <w:bookmarkStart w:id="4" w:name="_Toc47533256"/>
      <w:bookmarkEnd w:id="4"/>
      <w:bookmarkStart w:id="5" w:name="_Toc47531634"/>
      <w:bookmarkEnd w:id="5"/>
      <w:bookmarkStart w:id="6" w:name="_Toc47537134"/>
      <w:bookmarkEnd w:id="6"/>
      <w:bookmarkStart w:id="7" w:name="_Toc47532255"/>
      <w:bookmarkEnd w:id="7"/>
      <w:bookmarkStart w:id="8" w:name="_Toc47536644"/>
      <w:bookmarkEnd w:id="8"/>
      <w:bookmarkStart w:id="9" w:name="_Toc47536272"/>
      <w:bookmarkEnd w:id="9"/>
      <w:bookmarkStart w:id="10" w:name="_Toc47539070"/>
      <w:bookmarkEnd w:id="10"/>
      <w:bookmarkStart w:id="11" w:name="_Toc47532891"/>
      <w:bookmarkEnd w:id="11"/>
      <w:bookmarkStart w:id="12" w:name="_Toc48223882"/>
      <w:bookmarkStart w:id="13" w:name="_Toc63785463"/>
      <w:r>
        <w:rPr>
          <w:rFonts w:hint="eastAsia"/>
        </w:rPr>
        <w:t>建设目标</w:t>
      </w:r>
      <w:bookmarkEnd w:id="12"/>
      <w:bookmarkEnd w:id="13"/>
    </w:p>
    <w:p w14:paraId="13B2930D">
      <w:r>
        <w:rPr>
          <w:rFonts w:hint="eastAsia"/>
        </w:rPr>
        <w:t>一是汇集多元时空信息，夯实时空数据底座。基于现有系统和途径进行多元时空信息汇集和全域基础业务数据采集，实现跨部门、跨平台的数据联动共享。基于市局已有三维时空数据信息，采集、接入时空感知数据，汇集全域整治项目的全周期业务信息，协同部门业务数据，建立覆盖郊野空间的、资源要素统筹的时空数据库。</w:t>
      </w:r>
    </w:p>
    <w:p w14:paraId="652706CA">
      <w:r>
        <w:rPr>
          <w:rFonts w:hint="eastAsia"/>
        </w:rPr>
        <w:t>二是建立风险监测体系，推动风险监测监管智能化。基于全域国土空间综合整治的项目监管的理论和技术框架，从不同尺度建立多级风险监管指标体系。通过梳理风险监测规则模型，将其封装为计算机可识别的风险智能监测服务，埋点在项目监管模块中，利用多源信息接入途径，实现项目过程监管的定量、定性分析，形成全面的风险识别能力，达到风险早感知、智识别的目的，该体系的建设将显著提升对项目实施风险的早期发现和预警能力，助力量子城市数字孪生空间智能体建设。</w:t>
      </w:r>
    </w:p>
    <w:p w14:paraId="03FAD507">
      <w:r>
        <w:rPr>
          <w:rFonts w:hint="eastAsia"/>
        </w:rPr>
        <w:t>三是搭建监管工作平台，打造郊野空间治理专项场景。面向市区镇三级政府管理部门、实施主体、三师团队、社会公众等多元主体需求，围绕项目的实施计划-项目报批-项目实施-竣工验收四大业务阶段18个业务环节全链条，搭建全域土地综合整治监测监管工作平台。与局“大土地”模块深度衔接，实现整治项目进度全掌握、资金保障情况全监管、整治实施成效全掌控、实施方案调整全留痕，从而为打造郊野空间治理专项场景提供技术支撑。面向全域整治各个环节、各项工作的规范化管理、跨部门协同、多主体参与的业务需求。实现从基础调查、项目谋划、实施计划、报批管理、项目实施、竣工验收、后期管护、风险监管到评价评估等全过程留痕的建设目标。</w:t>
      </w:r>
    </w:p>
    <w:p w14:paraId="263FB60C"/>
    <w:p w14:paraId="76FFC516">
      <w:pPr>
        <w:pStyle w:val="2"/>
      </w:pPr>
      <w:bookmarkStart w:id="14" w:name="_Toc47532923"/>
      <w:bookmarkEnd w:id="14"/>
      <w:bookmarkStart w:id="15" w:name="_Toc47537166"/>
      <w:bookmarkEnd w:id="15"/>
      <w:bookmarkStart w:id="16" w:name="_Toc47536304"/>
      <w:bookmarkEnd w:id="16"/>
      <w:bookmarkStart w:id="17" w:name="_Toc47539102"/>
      <w:bookmarkEnd w:id="17"/>
      <w:bookmarkStart w:id="18" w:name="_Toc47536676"/>
      <w:bookmarkEnd w:id="18"/>
      <w:bookmarkStart w:id="19" w:name="_Toc47533288"/>
      <w:bookmarkEnd w:id="19"/>
      <w:r>
        <w:rPr>
          <w:rFonts w:hint="eastAsia"/>
        </w:rPr>
        <w:t>项目建设内容</w:t>
      </w:r>
    </w:p>
    <w:p w14:paraId="48691F6B">
      <w:pPr>
        <w:pStyle w:val="3"/>
      </w:pPr>
      <w:r>
        <w:rPr>
          <w:rFonts w:hint="eastAsia"/>
        </w:rPr>
        <w:t>软件开发工作清单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002"/>
        <w:gridCol w:w="2802"/>
        <w:gridCol w:w="1851"/>
      </w:tblGrid>
      <w:tr w14:paraId="0DCC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03E7330D">
            <w:pPr>
              <w:pStyle w:val="15"/>
              <w:ind w:firstLine="0" w:firstLineChars="0"/>
              <w:jc w:val="both"/>
              <w:rPr>
                <w:rFonts w:asciiTheme="minorEastAsia" w:hAnsiTheme="minorEastAsia" w:eastAsiaTheme="minorEastAsia"/>
                <w:b/>
                <w:bCs/>
              </w:rPr>
            </w:pPr>
            <w:r>
              <w:rPr>
                <w:rFonts w:asciiTheme="minorEastAsia" w:hAnsiTheme="minorEastAsia" w:eastAsiaTheme="minorEastAsia"/>
                <w:b/>
                <w:bCs/>
              </w:rPr>
              <w:t>序号</w:t>
            </w:r>
          </w:p>
        </w:tc>
        <w:tc>
          <w:tcPr>
            <w:tcW w:w="1760" w:type="pct"/>
          </w:tcPr>
          <w:p w14:paraId="579E31C5">
            <w:pPr>
              <w:pStyle w:val="15"/>
              <w:ind w:firstLine="0" w:firstLineChars="0"/>
              <w:rPr>
                <w:rFonts w:asciiTheme="minorEastAsia" w:hAnsiTheme="minorEastAsia" w:eastAsiaTheme="minorEastAsia"/>
                <w:b/>
                <w:bCs/>
              </w:rPr>
            </w:pPr>
            <w:r>
              <w:rPr>
                <w:rFonts w:asciiTheme="minorEastAsia" w:hAnsiTheme="minorEastAsia" w:eastAsiaTheme="minorEastAsia"/>
                <w:b/>
                <w:bCs/>
              </w:rPr>
              <w:t>模块名称</w:t>
            </w:r>
          </w:p>
        </w:tc>
        <w:tc>
          <w:tcPr>
            <w:tcW w:w="1643" w:type="pct"/>
          </w:tcPr>
          <w:p w14:paraId="6AE8274F">
            <w:pPr>
              <w:pStyle w:val="15"/>
              <w:ind w:firstLine="361"/>
              <w:rPr>
                <w:rFonts w:asciiTheme="minorEastAsia" w:hAnsiTheme="minorEastAsia" w:eastAsiaTheme="minorEastAsia"/>
                <w:b/>
                <w:bCs/>
              </w:rPr>
            </w:pPr>
            <w:r>
              <w:rPr>
                <w:rFonts w:asciiTheme="minorEastAsia" w:hAnsiTheme="minorEastAsia" w:eastAsiaTheme="minorEastAsia"/>
                <w:b/>
                <w:bCs/>
              </w:rPr>
              <w:t>功能及技术指标</w:t>
            </w:r>
          </w:p>
        </w:tc>
        <w:tc>
          <w:tcPr>
            <w:tcW w:w="1085" w:type="pct"/>
          </w:tcPr>
          <w:p w14:paraId="6738EC3F">
            <w:pPr>
              <w:pStyle w:val="15"/>
              <w:ind w:firstLine="361"/>
              <w:rPr>
                <w:rFonts w:asciiTheme="minorEastAsia" w:hAnsiTheme="minorEastAsia" w:eastAsiaTheme="minorEastAsia"/>
                <w:b/>
                <w:bCs/>
              </w:rPr>
            </w:pPr>
            <w:r>
              <w:rPr>
                <w:rFonts w:asciiTheme="minorEastAsia" w:hAnsiTheme="minorEastAsia" w:eastAsiaTheme="minorEastAsia"/>
                <w:b/>
                <w:bCs/>
              </w:rPr>
              <w:t>备注</w:t>
            </w:r>
          </w:p>
        </w:tc>
      </w:tr>
      <w:tr w14:paraId="4152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68DFCB95">
            <w:pPr>
              <w:pStyle w:val="15"/>
              <w:ind w:firstLine="0" w:firstLineChars="0"/>
              <w:jc w:val="both"/>
              <w:rPr>
                <w:rFonts w:asciiTheme="minorEastAsia" w:hAnsiTheme="minorEastAsia" w:eastAsiaTheme="minorEastAsia"/>
              </w:rPr>
            </w:pPr>
            <w:r>
              <w:rPr>
                <w:rFonts w:asciiTheme="minorEastAsia" w:hAnsiTheme="minorEastAsia" w:eastAsiaTheme="minorEastAsia"/>
              </w:rPr>
              <w:t>1</w:t>
            </w:r>
          </w:p>
        </w:tc>
        <w:tc>
          <w:tcPr>
            <w:tcW w:w="1760" w:type="pct"/>
          </w:tcPr>
          <w:p w14:paraId="6C92064B">
            <w:pPr>
              <w:pStyle w:val="15"/>
              <w:ind w:firstLine="0" w:firstLineChars="0"/>
              <w:jc w:val="both"/>
              <w:rPr>
                <w:rFonts w:asciiTheme="minorEastAsia" w:hAnsiTheme="minorEastAsia" w:eastAsiaTheme="minorEastAsia"/>
              </w:rPr>
            </w:pPr>
            <w:r>
              <w:rPr>
                <w:rFonts w:asciiTheme="minorEastAsia" w:hAnsiTheme="minorEastAsia" w:eastAsiaTheme="minorEastAsia"/>
              </w:rPr>
              <w:t xml:space="preserve">业务数据采集生产子系统 </w:t>
            </w:r>
          </w:p>
        </w:tc>
        <w:tc>
          <w:tcPr>
            <w:tcW w:w="1643" w:type="pct"/>
          </w:tcPr>
          <w:p w14:paraId="39084C0E">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0E5A82A4">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6AA1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152AE7E4">
            <w:pPr>
              <w:pStyle w:val="15"/>
              <w:ind w:firstLine="0" w:firstLineChars="0"/>
              <w:jc w:val="both"/>
              <w:rPr>
                <w:rFonts w:asciiTheme="minorEastAsia" w:hAnsiTheme="minorEastAsia" w:eastAsiaTheme="minorEastAsia"/>
              </w:rPr>
            </w:pPr>
            <w:r>
              <w:rPr>
                <w:rFonts w:asciiTheme="minorEastAsia" w:hAnsiTheme="minorEastAsia" w:eastAsiaTheme="minorEastAsia"/>
              </w:rPr>
              <w:t>2</w:t>
            </w:r>
          </w:p>
        </w:tc>
        <w:tc>
          <w:tcPr>
            <w:tcW w:w="1760" w:type="pct"/>
          </w:tcPr>
          <w:p w14:paraId="2A0ECCFA">
            <w:pPr>
              <w:pStyle w:val="15"/>
              <w:ind w:firstLine="0" w:firstLineChars="0"/>
              <w:jc w:val="both"/>
              <w:rPr>
                <w:rFonts w:asciiTheme="minorEastAsia" w:hAnsiTheme="minorEastAsia" w:eastAsiaTheme="minorEastAsia"/>
              </w:rPr>
            </w:pPr>
            <w:r>
              <w:rPr>
                <w:rFonts w:asciiTheme="minorEastAsia" w:hAnsiTheme="minorEastAsia" w:eastAsiaTheme="minorEastAsia"/>
              </w:rPr>
              <w:t>项目谋划报批子系统</w:t>
            </w:r>
          </w:p>
        </w:tc>
        <w:tc>
          <w:tcPr>
            <w:tcW w:w="1643" w:type="pct"/>
          </w:tcPr>
          <w:p w14:paraId="14DA60AC">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18BB75C3">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7317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4EEE4275">
            <w:pPr>
              <w:pStyle w:val="15"/>
              <w:ind w:firstLine="0" w:firstLineChars="0"/>
              <w:jc w:val="both"/>
              <w:rPr>
                <w:rFonts w:asciiTheme="minorEastAsia" w:hAnsiTheme="minorEastAsia" w:eastAsiaTheme="minorEastAsia"/>
              </w:rPr>
            </w:pPr>
            <w:r>
              <w:rPr>
                <w:rFonts w:asciiTheme="minorEastAsia" w:hAnsiTheme="minorEastAsia" w:eastAsiaTheme="minorEastAsia"/>
              </w:rPr>
              <w:t>3</w:t>
            </w:r>
          </w:p>
        </w:tc>
        <w:tc>
          <w:tcPr>
            <w:tcW w:w="1760" w:type="pct"/>
          </w:tcPr>
          <w:p w14:paraId="257868A2">
            <w:pPr>
              <w:pStyle w:val="15"/>
              <w:ind w:firstLine="0" w:firstLineChars="0"/>
              <w:jc w:val="both"/>
              <w:rPr>
                <w:rFonts w:asciiTheme="minorEastAsia" w:hAnsiTheme="minorEastAsia" w:eastAsiaTheme="minorEastAsia"/>
              </w:rPr>
            </w:pPr>
            <w:r>
              <w:rPr>
                <w:rFonts w:asciiTheme="minorEastAsia" w:hAnsiTheme="minorEastAsia" w:eastAsiaTheme="minorEastAsia"/>
              </w:rPr>
              <w:t>市级项目监管子系统</w:t>
            </w:r>
          </w:p>
        </w:tc>
        <w:tc>
          <w:tcPr>
            <w:tcW w:w="1643" w:type="pct"/>
          </w:tcPr>
          <w:p w14:paraId="1752D86F">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6045DC09">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6E14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5AC9130E">
            <w:pPr>
              <w:pStyle w:val="15"/>
              <w:ind w:firstLine="0" w:firstLineChars="0"/>
              <w:jc w:val="both"/>
              <w:rPr>
                <w:rFonts w:asciiTheme="minorEastAsia" w:hAnsiTheme="minorEastAsia" w:eastAsiaTheme="minorEastAsia"/>
              </w:rPr>
            </w:pPr>
            <w:r>
              <w:rPr>
                <w:rFonts w:asciiTheme="minorEastAsia" w:hAnsiTheme="minorEastAsia" w:eastAsiaTheme="minorEastAsia"/>
              </w:rPr>
              <w:t>4</w:t>
            </w:r>
          </w:p>
        </w:tc>
        <w:tc>
          <w:tcPr>
            <w:tcW w:w="1760" w:type="pct"/>
          </w:tcPr>
          <w:p w14:paraId="6EECEF34">
            <w:pPr>
              <w:pStyle w:val="15"/>
              <w:ind w:firstLine="0" w:firstLineChars="0"/>
              <w:jc w:val="both"/>
              <w:rPr>
                <w:rFonts w:asciiTheme="minorEastAsia" w:hAnsiTheme="minorEastAsia" w:eastAsiaTheme="minorEastAsia"/>
              </w:rPr>
            </w:pPr>
            <w:r>
              <w:rPr>
                <w:rFonts w:asciiTheme="minorEastAsia" w:hAnsiTheme="minorEastAsia" w:eastAsiaTheme="minorEastAsia"/>
              </w:rPr>
              <w:t>生态修复项目监管子系统</w:t>
            </w:r>
          </w:p>
        </w:tc>
        <w:tc>
          <w:tcPr>
            <w:tcW w:w="1643" w:type="pct"/>
          </w:tcPr>
          <w:p w14:paraId="12A1860B">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59A01A0E">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7FC9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1E7C54C4">
            <w:pPr>
              <w:pStyle w:val="15"/>
              <w:ind w:firstLine="0" w:firstLineChars="0"/>
              <w:jc w:val="both"/>
              <w:rPr>
                <w:rFonts w:asciiTheme="minorEastAsia" w:hAnsiTheme="minorEastAsia" w:eastAsiaTheme="minorEastAsia"/>
              </w:rPr>
            </w:pPr>
            <w:r>
              <w:rPr>
                <w:rFonts w:asciiTheme="minorEastAsia" w:hAnsiTheme="minorEastAsia" w:eastAsiaTheme="minorEastAsia"/>
              </w:rPr>
              <w:t>5</w:t>
            </w:r>
          </w:p>
        </w:tc>
        <w:tc>
          <w:tcPr>
            <w:tcW w:w="1760" w:type="pct"/>
          </w:tcPr>
          <w:p w14:paraId="22CC9B54">
            <w:pPr>
              <w:pStyle w:val="15"/>
              <w:ind w:firstLine="0" w:firstLineChars="0"/>
              <w:jc w:val="both"/>
              <w:rPr>
                <w:rFonts w:asciiTheme="minorEastAsia" w:hAnsiTheme="minorEastAsia" w:eastAsiaTheme="minorEastAsia"/>
              </w:rPr>
            </w:pPr>
            <w:r>
              <w:rPr>
                <w:rFonts w:asciiTheme="minorEastAsia" w:hAnsiTheme="minorEastAsia" w:eastAsiaTheme="minorEastAsia"/>
              </w:rPr>
              <w:t>全域整治决策支持子系统</w:t>
            </w:r>
          </w:p>
        </w:tc>
        <w:tc>
          <w:tcPr>
            <w:tcW w:w="1643" w:type="pct"/>
          </w:tcPr>
          <w:p w14:paraId="1E6F9ADE">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3A94F6B6">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3C6B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71AF7DA1">
            <w:pPr>
              <w:pStyle w:val="15"/>
              <w:ind w:firstLine="0" w:firstLineChars="0"/>
              <w:jc w:val="both"/>
              <w:rPr>
                <w:rFonts w:asciiTheme="minorEastAsia" w:hAnsiTheme="minorEastAsia" w:eastAsiaTheme="minorEastAsia"/>
              </w:rPr>
            </w:pPr>
            <w:r>
              <w:rPr>
                <w:rFonts w:asciiTheme="minorEastAsia" w:hAnsiTheme="minorEastAsia" w:eastAsiaTheme="minorEastAsia"/>
              </w:rPr>
              <w:t>6</w:t>
            </w:r>
          </w:p>
        </w:tc>
        <w:tc>
          <w:tcPr>
            <w:tcW w:w="1760" w:type="pct"/>
          </w:tcPr>
          <w:p w14:paraId="7473705D">
            <w:pPr>
              <w:pStyle w:val="15"/>
              <w:ind w:firstLine="0" w:firstLineChars="0"/>
              <w:jc w:val="both"/>
              <w:rPr>
                <w:rFonts w:asciiTheme="minorEastAsia" w:hAnsiTheme="minorEastAsia" w:eastAsiaTheme="minorEastAsia"/>
              </w:rPr>
            </w:pPr>
            <w:r>
              <w:rPr>
                <w:rFonts w:asciiTheme="minorEastAsia" w:hAnsiTheme="minorEastAsia" w:eastAsiaTheme="minorEastAsia"/>
              </w:rPr>
              <w:t>系统安全管理子系统</w:t>
            </w:r>
          </w:p>
        </w:tc>
        <w:tc>
          <w:tcPr>
            <w:tcW w:w="1643" w:type="pct"/>
          </w:tcPr>
          <w:p w14:paraId="0BAA88C3">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284D66C0">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1405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2E791652">
            <w:pPr>
              <w:pStyle w:val="15"/>
              <w:ind w:firstLine="0" w:firstLineChars="0"/>
              <w:jc w:val="both"/>
              <w:rPr>
                <w:rFonts w:asciiTheme="minorEastAsia" w:hAnsiTheme="minorEastAsia" w:eastAsiaTheme="minorEastAsia"/>
              </w:rPr>
            </w:pPr>
            <w:bookmarkStart w:id="20" w:name="_Hlk491530071"/>
            <w:r>
              <w:rPr>
                <w:rFonts w:asciiTheme="minorEastAsia" w:hAnsiTheme="minorEastAsia" w:eastAsiaTheme="minorEastAsia"/>
              </w:rPr>
              <w:t>7</w:t>
            </w:r>
          </w:p>
        </w:tc>
        <w:tc>
          <w:tcPr>
            <w:tcW w:w="1760" w:type="pct"/>
          </w:tcPr>
          <w:p w14:paraId="48846095">
            <w:pPr>
              <w:pStyle w:val="15"/>
              <w:ind w:firstLine="0" w:firstLineChars="0"/>
              <w:jc w:val="both"/>
              <w:rPr>
                <w:rFonts w:asciiTheme="minorEastAsia" w:hAnsiTheme="minorEastAsia" w:eastAsiaTheme="minorEastAsia"/>
              </w:rPr>
            </w:pPr>
            <w:r>
              <w:rPr>
                <w:rFonts w:asciiTheme="minorEastAsia" w:hAnsiTheme="minorEastAsia" w:eastAsiaTheme="minorEastAsia"/>
              </w:rPr>
              <w:t>系统接口建设</w:t>
            </w:r>
          </w:p>
        </w:tc>
        <w:tc>
          <w:tcPr>
            <w:tcW w:w="1643" w:type="pct"/>
          </w:tcPr>
          <w:p w14:paraId="0DF0A0AF">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41A3A897">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r w14:paraId="03AB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10" w:type="pct"/>
          </w:tcPr>
          <w:p w14:paraId="74C13391">
            <w:pPr>
              <w:pStyle w:val="15"/>
              <w:ind w:firstLine="0" w:firstLineChars="0"/>
              <w:jc w:val="both"/>
              <w:rPr>
                <w:rFonts w:asciiTheme="minorEastAsia" w:hAnsiTheme="minorEastAsia" w:eastAsiaTheme="minorEastAsia"/>
              </w:rPr>
            </w:pPr>
            <w:r>
              <w:rPr>
                <w:rFonts w:asciiTheme="minorEastAsia" w:hAnsiTheme="minorEastAsia" w:eastAsiaTheme="minorEastAsia"/>
              </w:rPr>
              <w:t>8</w:t>
            </w:r>
          </w:p>
        </w:tc>
        <w:tc>
          <w:tcPr>
            <w:tcW w:w="1760" w:type="pct"/>
          </w:tcPr>
          <w:p w14:paraId="56D0729D">
            <w:pPr>
              <w:pStyle w:val="15"/>
              <w:ind w:firstLine="0" w:firstLineChars="0"/>
              <w:jc w:val="both"/>
              <w:rPr>
                <w:rFonts w:asciiTheme="minorEastAsia" w:hAnsiTheme="minorEastAsia" w:eastAsiaTheme="minorEastAsia"/>
              </w:rPr>
            </w:pPr>
            <w:r>
              <w:rPr>
                <w:rFonts w:asciiTheme="minorEastAsia" w:hAnsiTheme="minorEastAsia" w:eastAsiaTheme="minorEastAsia"/>
              </w:rPr>
              <w:t>密码应用功能模块开发</w:t>
            </w:r>
          </w:p>
        </w:tc>
        <w:tc>
          <w:tcPr>
            <w:tcW w:w="1643" w:type="pct"/>
          </w:tcPr>
          <w:p w14:paraId="35334FF5">
            <w:pPr>
              <w:pStyle w:val="15"/>
              <w:ind w:firstLine="0" w:firstLineChars="0"/>
              <w:jc w:val="both"/>
              <w:rPr>
                <w:rFonts w:asciiTheme="minorEastAsia" w:hAnsiTheme="minorEastAsia" w:eastAsiaTheme="minorEastAsia"/>
              </w:rPr>
            </w:pPr>
            <w:r>
              <w:rPr>
                <w:rFonts w:asciiTheme="minorEastAsia" w:hAnsiTheme="minorEastAsia" w:eastAsiaTheme="minorEastAsia"/>
              </w:rPr>
              <w:t>详见3.2 各模块具体要求</w:t>
            </w:r>
          </w:p>
        </w:tc>
        <w:tc>
          <w:tcPr>
            <w:tcW w:w="1085" w:type="pct"/>
          </w:tcPr>
          <w:p w14:paraId="3B6B81BF">
            <w:pPr>
              <w:pStyle w:val="15"/>
              <w:ind w:firstLine="0" w:firstLineChars="0"/>
              <w:jc w:val="both"/>
              <w:rPr>
                <w:rFonts w:asciiTheme="minorEastAsia" w:hAnsiTheme="minorEastAsia" w:eastAsiaTheme="minorEastAsia"/>
              </w:rPr>
            </w:pPr>
            <w:r>
              <w:rPr>
                <w:rFonts w:asciiTheme="minorEastAsia" w:hAnsiTheme="minorEastAsia" w:eastAsiaTheme="minorEastAsia"/>
              </w:rPr>
              <w:t>●核心功能模块</w:t>
            </w:r>
          </w:p>
        </w:tc>
      </w:tr>
    </w:tbl>
    <w:p w14:paraId="19427781">
      <w:r>
        <w:t>说明：上表中所列为本次招标的主要工作内容，其中“●”标记的内容为本项目的核心工作内容，投标人不得减少核心模块。</w:t>
      </w:r>
      <w:bookmarkEnd w:id="20"/>
    </w:p>
    <w:p w14:paraId="393AC0DA">
      <w:pPr>
        <w:pStyle w:val="3"/>
      </w:pPr>
      <w:r>
        <w:rPr>
          <w:rFonts w:hint="eastAsia"/>
        </w:rPr>
        <w:t>各模块具体要求</w:t>
      </w:r>
    </w:p>
    <w:tbl>
      <w:tblPr>
        <w:tblStyle w:val="8"/>
        <w:tblW w:w="4998" w:type="pct"/>
        <w:tblInd w:w="0" w:type="dxa"/>
        <w:tblLayout w:type="autofit"/>
        <w:tblCellMar>
          <w:top w:w="0" w:type="dxa"/>
          <w:left w:w="108" w:type="dxa"/>
          <w:bottom w:w="0" w:type="dxa"/>
          <w:right w:w="108" w:type="dxa"/>
        </w:tblCellMar>
      </w:tblPr>
      <w:tblGrid>
        <w:gridCol w:w="527"/>
        <w:gridCol w:w="926"/>
        <w:gridCol w:w="2809"/>
        <w:gridCol w:w="4263"/>
      </w:tblGrid>
      <w:tr w14:paraId="341BF642">
        <w:tblPrEx>
          <w:tblCellMar>
            <w:top w:w="0" w:type="dxa"/>
            <w:left w:w="108" w:type="dxa"/>
            <w:bottom w:w="0" w:type="dxa"/>
            <w:right w:w="108" w:type="dxa"/>
          </w:tblCellMar>
        </w:tblPrEx>
        <w:trPr>
          <w:trHeight w:val="560" w:hRule="atLeast"/>
          <w:tblHeader/>
        </w:trPr>
        <w:tc>
          <w:tcPr>
            <w:tcW w:w="309" w:type="pct"/>
            <w:tcBorders>
              <w:top w:val="single" w:color="000000" w:sz="4" w:space="0"/>
              <w:left w:val="single" w:color="000000" w:sz="4" w:space="0"/>
              <w:bottom w:val="single" w:color="000000" w:sz="4" w:space="0"/>
              <w:right w:val="single" w:color="000000" w:sz="4" w:space="0"/>
            </w:tcBorders>
            <w:vAlign w:val="center"/>
          </w:tcPr>
          <w:p w14:paraId="2C6DF8EA">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543" w:type="pct"/>
            <w:tcBorders>
              <w:top w:val="single" w:color="000000" w:sz="4" w:space="0"/>
              <w:left w:val="single" w:color="000000" w:sz="4" w:space="0"/>
              <w:bottom w:val="single" w:color="000000" w:sz="4" w:space="0"/>
              <w:right w:val="single" w:color="000000" w:sz="4" w:space="0"/>
            </w:tcBorders>
            <w:vAlign w:val="center"/>
          </w:tcPr>
          <w:p w14:paraId="25882A90">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应用系统名称</w:t>
            </w:r>
          </w:p>
        </w:tc>
        <w:tc>
          <w:tcPr>
            <w:tcW w:w="1647" w:type="pct"/>
            <w:tcBorders>
              <w:top w:val="single" w:color="000000" w:sz="4" w:space="0"/>
              <w:left w:val="single" w:color="000000" w:sz="4" w:space="0"/>
              <w:bottom w:val="single" w:color="000000" w:sz="4" w:space="0"/>
              <w:right w:val="single" w:color="000000" w:sz="4" w:space="0"/>
            </w:tcBorders>
            <w:vAlign w:val="center"/>
          </w:tcPr>
          <w:p w14:paraId="258FD912">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模块名称</w:t>
            </w:r>
          </w:p>
        </w:tc>
        <w:tc>
          <w:tcPr>
            <w:tcW w:w="2499" w:type="pct"/>
            <w:tcBorders>
              <w:top w:val="single" w:color="000000" w:sz="4" w:space="0"/>
              <w:left w:val="single" w:color="000000" w:sz="4" w:space="0"/>
              <w:bottom w:val="single" w:color="000000" w:sz="4" w:space="0"/>
              <w:right w:val="single" w:color="000000" w:sz="4" w:space="0"/>
            </w:tcBorders>
            <w:vAlign w:val="center"/>
          </w:tcPr>
          <w:p w14:paraId="7088F781">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模块描述</w:t>
            </w:r>
          </w:p>
        </w:tc>
      </w:tr>
      <w:tr w14:paraId="4366C92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3063A1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2263203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业务数据采集生产子系统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6550A40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全域整治业务数据采集-基础调查数据-自然地理要素调查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1336F5B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包括地理区位、地形地貌、水资源、森林及生物资源、土壤资源、气候资源的调查数据采集</w:t>
            </w:r>
          </w:p>
        </w:tc>
      </w:tr>
      <w:tr w14:paraId="768F612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45CBDB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01589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9BA3A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全域整治业务数据采集-基础调查数据-社会经济条件调查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381421F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包括人口状况、经济发展和人文风貌的调查数据采集</w:t>
            </w:r>
          </w:p>
        </w:tc>
      </w:tr>
      <w:tr w14:paraId="2CCA9BD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B69ED1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B152AA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E52588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全域整治业务数据采集-基础调查数据-土地利用状况调查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68076C9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包括农用地现状、建设用地现状、未利用地现状的调查数据采集</w:t>
            </w:r>
          </w:p>
        </w:tc>
      </w:tr>
      <w:tr w14:paraId="7F739124">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7C0FC4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4048DF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C3AB45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全域整治业务数据采集-基础调查数据-土地权属状况调查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7718CAF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包括土地权属现状调查、土地权属调整意愿与期望调查数据采集</w:t>
            </w:r>
          </w:p>
        </w:tc>
      </w:tr>
      <w:tr w14:paraId="6F208F39">
        <w:tblPrEx>
          <w:tblCellMar>
            <w:top w:w="0" w:type="dxa"/>
            <w:left w:w="108" w:type="dxa"/>
            <w:bottom w:w="0" w:type="dxa"/>
            <w:right w:w="108"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31F979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C419A6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183697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全域整治业务数据采集-基础调查数据-基础设施建设情况调查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3C7E9BC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包括公共服务设施、基础设施、道路交通设施、农业技术设施的调查数据采集</w:t>
            </w:r>
          </w:p>
        </w:tc>
      </w:tr>
      <w:tr w14:paraId="2E5A3BF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B1B094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A4BB08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51C02A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全域整治业务数据采集-基础调查数据-规划衔接情况调查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46F74AA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包括区县、乡镇国土空间规划情况调查、相关专项规划情况调查和村庄规划情况调查数据采集</w:t>
            </w:r>
          </w:p>
        </w:tc>
      </w:tr>
      <w:tr w14:paraId="239D5F1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97D231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DBB0B7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D956F0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全域整治业务数据采集-基础调查数据-生态环境状况调查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53F72CC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包括乡村人居环境调查、生产环境现状调查、矿山资源现状调查、生态保护区调查、自然灾害情况调查调查数据采集</w:t>
            </w:r>
          </w:p>
        </w:tc>
      </w:tr>
      <w:tr w14:paraId="0AF2506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1E84C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980CA6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05FA0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全域整治业务数据采集-规划编制及评估数据</w:t>
            </w:r>
          </w:p>
        </w:tc>
        <w:tc>
          <w:tcPr>
            <w:tcW w:w="2499" w:type="pct"/>
            <w:tcBorders>
              <w:top w:val="single" w:color="000000" w:sz="4" w:space="0"/>
              <w:left w:val="single" w:color="000000" w:sz="4" w:space="0"/>
              <w:bottom w:val="single" w:color="000000" w:sz="4" w:space="0"/>
              <w:right w:val="single" w:color="000000" w:sz="4" w:space="0"/>
            </w:tcBorders>
            <w:vAlign w:val="center"/>
          </w:tcPr>
          <w:p w14:paraId="193FE5B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针对规划编制及评估数据，提供数据汇集及生产功能，对收集到的矢量、表格、图片等数据格式进行汇集、质检、一致性治理、空间化规整、建库、关联</w:t>
            </w:r>
          </w:p>
        </w:tc>
      </w:tr>
      <w:tr w14:paraId="101AFBF9">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B85FCF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30603E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45DE12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全域整治业务数据采集-郊野单元规划数据</w:t>
            </w:r>
          </w:p>
        </w:tc>
        <w:tc>
          <w:tcPr>
            <w:tcW w:w="2499" w:type="pct"/>
            <w:tcBorders>
              <w:top w:val="single" w:color="000000" w:sz="4" w:space="0"/>
              <w:left w:val="single" w:color="000000" w:sz="4" w:space="0"/>
              <w:bottom w:val="single" w:color="000000" w:sz="4" w:space="0"/>
              <w:right w:val="single" w:color="000000" w:sz="4" w:space="0"/>
            </w:tcBorders>
            <w:vAlign w:val="center"/>
          </w:tcPr>
          <w:p w14:paraId="7381C57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包括郊野单元村庄规划数据和郊野单元控详规划数据，提供数据治理功能，对收集到的矢量、表格、图片等格式数据汇集、质检、一致性治理、空间化规整、建库、关联</w:t>
            </w:r>
          </w:p>
        </w:tc>
      </w:tr>
      <w:tr w14:paraId="375ACAE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6C46B1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AB18C4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7B9556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全域整治业务数据采集-市级整治项目数据</w:t>
            </w:r>
          </w:p>
        </w:tc>
        <w:tc>
          <w:tcPr>
            <w:tcW w:w="2499" w:type="pct"/>
            <w:tcBorders>
              <w:top w:val="single" w:color="000000" w:sz="4" w:space="0"/>
              <w:left w:val="single" w:color="000000" w:sz="4" w:space="0"/>
              <w:bottom w:val="single" w:color="000000" w:sz="4" w:space="0"/>
              <w:right w:val="single" w:color="000000" w:sz="4" w:space="0"/>
            </w:tcBorders>
            <w:vAlign w:val="center"/>
          </w:tcPr>
          <w:p w14:paraId="7AD53E8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针对市级整治项目数据，提供数据治理功能，对收集到的矢量、表格、图片等格式数据汇集、质检、一致性治理、空间化规整、建库、关联</w:t>
            </w:r>
          </w:p>
        </w:tc>
      </w:tr>
      <w:tr w14:paraId="0E56107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FEF024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6E93A7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F33613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全域整治业务数据采集-全域整治项目数据</w:t>
            </w:r>
          </w:p>
        </w:tc>
        <w:tc>
          <w:tcPr>
            <w:tcW w:w="2499" w:type="pct"/>
            <w:tcBorders>
              <w:top w:val="single" w:color="000000" w:sz="4" w:space="0"/>
              <w:left w:val="single" w:color="000000" w:sz="4" w:space="0"/>
              <w:bottom w:val="single" w:color="000000" w:sz="4" w:space="0"/>
              <w:right w:val="single" w:color="000000" w:sz="4" w:space="0"/>
            </w:tcBorders>
            <w:vAlign w:val="center"/>
          </w:tcPr>
          <w:p w14:paraId="3DE8C29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针对全域整治项目数据，提供数据治理功能，对收集到的矢量、表格、图片、三维等格式数据汇集、质检、一致性治理、空间化规整、建库、关联</w:t>
            </w:r>
          </w:p>
        </w:tc>
      </w:tr>
      <w:tr w14:paraId="1EA076C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2BB65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C2EE4D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208F11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业务数据标准化预处理-数据编码赋值</w:t>
            </w:r>
          </w:p>
        </w:tc>
        <w:tc>
          <w:tcPr>
            <w:tcW w:w="2499" w:type="pct"/>
            <w:tcBorders>
              <w:top w:val="single" w:color="000000" w:sz="4" w:space="0"/>
              <w:left w:val="single" w:color="000000" w:sz="4" w:space="0"/>
              <w:bottom w:val="single" w:color="000000" w:sz="4" w:space="0"/>
              <w:right w:val="single" w:color="000000" w:sz="4" w:space="0"/>
            </w:tcBorders>
            <w:vAlign w:val="center"/>
          </w:tcPr>
          <w:p w14:paraId="5654989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针对数据图层、数据表中的数据管理类编码进行赋值，用于区分不同的数据类型</w:t>
            </w:r>
          </w:p>
        </w:tc>
      </w:tr>
      <w:tr w14:paraId="486B9CC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70C508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D28E97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02BB7C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业务数据标准化预处理-所属区域赋值</w:t>
            </w:r>
          </w:p>
        </w:tc>
        <w:tc>
          <w:tcPr>
            <w:tcW w:w="2499" w:type="pct"/>
            <w:tcBorders>
              <w:top w:val="single" w:color="000000" w:sz="4" w:space="0"/>
              <w:left w:val="single" w:color="000000" w:sz="4" w:space="0"/>
              <w:bottom w:val="single" w:color="000000" w:sz="4" w:space="0"/>
              <w:right w:val="single" w:color="000000" w:sz="4" w:space="0"/>
            </w:tcBorders>
            <w:vAlign w:val="center"/>
          </w:tcPr>
          <w:p w14:paraId="520B74E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针对数据图层、数据表中的区域管理类编码进行赋值，用于区分地图要素的不同归属区域</w:t>
            </w:r>
          </w:p>
        </w:tc>
      </w:tr>
      <w:tr w14:paraId="47E8FC60">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9E8A4F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88CF70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F5BD2E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业务数据标准化预处理-字典标准化</w:t>
            </w:r>
          </w:p>
        </w:tc>
        <w:tc>
          <w:tcPr>
            <w:tcW w:w="2499" w:type="pct"/>
            <w:tcBorders>
              <w:top w:val="single" w:color="000000" w:sz="4" w:space="0"/>
              <w:left w:val="single" w:color="000000" w:sz="4" w:space="0"/>
              <w:bottom w:val="single" w:color="000000" w:sz="4" w:space="0"/>
              <w:right w:val="single" w:color="000000" w:sz="4" w:space="0"/>
            </w:tcBorders>
            <w:vAlign w:val="center"/>
          </w:tcPr>
          <w:p w14:paraId="3F6CB7A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对数据的数据项、数据结构、数据流、数据存储、处理逻辑等进行定义和描述</w:t>
            </w:r>
          </w:p>
        </w:tc>
      </w:tr>
      <w:tr w14:paraId="654BC3F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BFD456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474B62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9FDB1A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业务数据标准化预处理-描述标准化</w:t>
            </w:r>
          </w:p>
        </w:tc>
        <w:tc>
          <w:tcPr>
            <w:tcW w:w="2499" w:type="pct"/>
            <w:tcBorders>
              <w:top w:val="single" w:color="000000" w:sz="4" w:space="0"/>
              <w:left w:val="single" w:color="000000" w:sz="4" w:space="0"/>
              <w:bottom w:val="single" w:color="000000" w:sz="4" w:space="0"/>
              <w:right w:val="single" w:color="000000" w:sz="4" w:space="0"/>
            </w:tcBorders>
            <w:vAlign w:val="center"/>
          </w:tcPr>
          <w:p w14:paraId="0FEB234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对于数据图层、数据表中存在结构化表述的数据的描述形式进行标准化处理</w:t>
            </w:r>
          </w:p>
        </w:tc>
      </w:tr>
      <w:tr w14:paraId="4C8E412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2F5CD0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C43DFC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9BF681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业务数据治理-数据一致性治理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0A0EB32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包括图形与属性表一致性治理、各业务表相互一致性治理、基本信息统一性治理</w:t>
            </w:r>
          </w:p>
        </w:tc>
      </w:tr>
      <w:tr w14:paraId="462B701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22504A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C4056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56F4EF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业务数据治理-空间数据治理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007006F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对全域整治的空间数据存在图形重叠和跑偏等情况进行治理</w:t>
            </w:r>
          </w:p>
        </w:tc>
      </w:tr>
      <w:tr w14:paraId="1A1A5CD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D815B2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44D46E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C44FAA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业务数据治理-数据缺省治理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21C27A9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通过质量检查，设置缺省值检查规则，对于发现的数据缺失情况，通过删除法、数据补齐法进行治理</w:t>
            </w:r>
          </w:p>
        </w:tc>
      </w:tr>
      <w:tr w14:paraId="3BCFE15B">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467443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12D33C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F3BD98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业务数据治理-数据空间化治理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F124E8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针对非空间化的部分业务数据进行治理</w:t>
            </w:r>
          </w:p>
        </w:tc>
      </w:tr>
      <w:tr w14:paraId="2418BE2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A4F877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303EA6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281537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业务数据格式转化-格式转换</w:t>
            </w:r>
          </w:p>
        </w:tc>
        <w:tc>
          <w:tcPr>
            <w:tcW w:w="2499" w:type="pct"/>
            <w:tcBorders>
              <w:top w:val="single" w:color="000000" w:sz="4" w:space="0"/>
              <w:left w:val="single" w:color="000000" w:sz="4" w:space="0"/>
              <w:bottom w:val="single" w:color="000000" w:sz="4" w:space="0"/>
              <w:right w:val="single" w:color="000000" w:sz="4" w:space="0"/>
            </w:tcBorders>
            <w:vAlign w:val="center"/>
          </w:tcPr>
          <w:p w14:paraId="120B3B5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解决数据在空间形态、坐标系统和文件结构上的异构性问题，确保数据符合统一标准及建库要求。包括数据矢量化、坐标系转换及数据格式转换</w:t>
            </w:r>
          </w:p>
        </w:tc>
      </w:tr>
      <w:tr w14:paraId="60071EB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900807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B23ED0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1035B8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业务数据格式转化-结构转换</w:t>
            </w:r>
          </w:p>
        </w:tc>
        <w:tc>
          <w:tcPr>
            <w:tcW w:w="2499" w:type="pct"/>
            <w:tcBorders>
              <w:top w:val="single" w:color="000000" w:sz="4" w:space="0"/>
              <w:left w:val="single" w:color="000000" w:sz="4" w:space="0"/>
              <w:bottom w:val="single" w:color="000000" w:sz="4" w:space="0"/>
              <w:right w:val="single" w:color="000000" w:sz="4" w:space="0"/>
            </w:tcBorders>
            <w:vAlign w:val="center"/>
          </w:tcPr>
          <w:p w14:paraId="31B4513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针对历史管理数据，根据表单字段的类型按标准进行结构转换</w:t>
            </w:r>
          </w:p>
        </w:tc>
      </w:tr>
      <w:tr w14:paraId="39FA6C5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76A9F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95D82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C3C63D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业务数据质检-数据质检规则</w:t>
            </w:r>
          </w:p>
        </w:tc>
        <w:tc>
          <w:tcPr>
            <w:tcW w:w="2499" w:type="pct"/>
            <w:tcBorders>
              <w:top w:val="single" w:color="000000" w:sz="4" w:space="0"/>
              <w:left w:val="single" w:color="000000" w:sz="4" w:space="0"/>
              <w:bottom w:val="single" w:color="000000" w:sz="4" w:space="0"/>
              <w:right w:val="single" w:color="000000" w:sz="4" w:space="0"/>
            </w:tcBorders>
            <w:vAlign w:val="center"/>
          </w:tcPr>
          <w:p w14:paraId="51E6287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数据治理检查，包括数据要素完整性检查、基础地理检查、数据结构一致性、数据值域一致性、数据分类检查、拓扑一致性检查、图属关联检查等</w:t>
            </w:r>
          </w:p>
        </w:tc>
      </w:tr>
      <w:tr w14:paraId="4B7BE5C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0529CB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EB1CD8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F2A586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业务数据质检-数据入库检查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0E953E0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包括质检规则选择、质检任务运行与评分以及质检进度监控与结果结构化展现</w:t>
            </w:r>
          </w:p>
        </w:tc>
      </w:tr>
      <w:tr w14:paraId="7C85B689">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050681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BF643D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24F5B7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业务数据质检-检查结果查看</w:t>
            </w:r>
          </w:p>
        </w:tc>
        <w:tc>
          <w:tcPr>
            <w:tcW w:w="2499" w:type="pct"/>
            <w:tcBorders>
              <w:top w:val="single" w:color="000000" w:sz="4" w:space="0"/>
              <w:left w:val="single" w:color="000000" w:sz="4" w:space="0"/>
              <w:bottom w:val="single" w:color="000000" w:sz="4" w:space="0"/>
              <w:right w:val="single" w:color="000000" w:sz="4" w:space="0"/>
            </w:tcBorders>
            <w:vAlign w:val="center"/>
          </w:tcPr>
          <w:p w14:paraId="1151553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包括质检结果生成、问题清单列表、问题类型筛选、问题图斑定位</w:t>
            </w:r>
          </w:p>
        </w:tc>
      </w:tr>
      <w:tr w14:paraId="721258F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0177C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1C1A23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11CA06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业务数据质检-检查结果导出</w:t>
            </w:r>
          </w:p>
        </w:tc>
        <w:tc>
          <w:tcPr>
            <w:tcW w:w="2499" w:type="pct"/>
            <w:tcBorders>
              <w:top w:val="single" w:color="000000" w:sz="4" w:space="0"/>
              <w:left w:val="single" w:color="000000" w:sz="4" w:space="0"/>
              <w:bottom w:val="single" w:color="000000" w:sz="4" w:space="0"/>
              <w:right w:val="single" w:color="000000" w:sz="4" w:space="0"/>
            </w:tcBorders>
            <w:vAlign w:val="center"/>
          </w:tcPr>
          <w:p w14:paraId="353F355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包括质检报告定制生成与导出及错误等详细问题数据包的导出</w:t>
            </w:r>
          </w:p>
        </w:tc>
      </w:tr>
      <w:tr w14:paraId="285D99E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A75DEA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9A9B83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244FE0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业务数据入库更新-业务数据入库管理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4D7E59B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支持按照全域土地综合整治的图层、字段、属性等规范性要求，进行标准化的离线数据包导入</w:t>
            </w:r>
          </w:p>
        </w:tc>
      </w:tr>
      <w:tr w14:paraId="6780D1F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4348AC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74FFDD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C28E79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业务数据入库更新-业务数据变化识别</w:t>
            </w:r>
          </w:p>
        </w:tc>
        <w:tc>
          <w:tcPr>
            <w:tcW w:w="2499" w:type="pct"/>
            <w:tcBorders>
              <w:top w:val="single" w:color="000000" w:sz="4" w:space="0"/>
              <w:left w:val="single" w:color="000000" w:sz="4" w:space="0"/>
              <w:bottom w:val="single" w:color="000000" w:sz="4" w:space="0"/>
              <w:right w:val="single" w:color="000000" w:sz="4" w:space="0"/>
            </w:tcBorders>
            <w:vAlign w:val="center"/>
          </w:tcPr>
          <w:p w14:paraId="27FD4F1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提供空间叠加分析、属性差异比对、冲突自动检测，支持专项调查数据与历史基底数据之间的比对</w:t>
            </w:r>
          </w:p>
        </w:tc>
      </w:tr>
      <w:tr w14:paraId="746D7C3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6B9884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910C2B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1FCAAE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业务数据入库更新-业务数据更新管理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7C5D9C8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支持按需对业务数据进行分类目的逐一查看和数据在线更新，支持对新增的基础调查数据利用机审功能进行复核分析</w:t>
            </w:r>
          </w:p>
        </w:tc>
      </w:tr>
      <w:tr w14:paraId="3E960870">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F938D4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3A9A30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9F2F0E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业务数据汇集共享-整治业务数据汇集</w:t>
            </w:r>
          </w:p>
        </w:tc>
        <w:tc>
          <w:tcPr>
            <w:tcW w:w="2499" w:type="pct"/>
            <w:tcBorders>
              <w:top w:val="single" w:color="000000" w:sz="4" w:space="0"/>
              <w:left w:val="single" w:color="000000" w:sz="4" w:space="0"/>
              <w:bottom w:val="single" w:color="000000" w:sz="4" w:space="0"/>
              <w:right w:val="single" w:color="000000" w:sz="4" w:space="0"/>
            </w:tcBorders>
            <w:vAlign w:val="center"/>
          </w:tcPr>
          <w:p w14:paraId="02F601F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支持空间数据、影像数据、文本数据等多类型的数据基本浏览操作，支持多图层、多要素的叠加、动态显示</w:t>
            </w:r>
          </w:p>
        </w:tc>
      </w:tr>
      <w:tr w14:paraId="5C8D0CE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583E76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DCECE8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D0237D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业务数据汇集共享-整治业务数据实体管理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4FC66FF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支持专题开关、移出、透明度调整、顺序调整、取消加载等操作</w:t>
            </w:r>
          </w:p>
        </w:tc>
      </w:tr>
      <w:tr w14:paraId="44F9A70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0C2D1D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2123BD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B27A8C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业务数据汇集共享-本地数据上传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69088A3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支持将本地CAD、SHP或TXT格式的矢量或范围数据加载到地图中进行查看</w:t>
            </w:r>
          </w:p>
        </w:tc>
      </w:tr>
      <w:tr w14:paraId="14FEC1C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A58306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6133F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E04BCC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业务数据汇集共享-整治业务数据渲染</w:t>
            </w:r>
          </w:p>
        </w:tc>
        <w:tc>
          <w:tcPr>
            <w:tcW w:w="2499" w:type="pct"/>
            <w:tcBorders>
              <w:top w:val="single" w:color="000000" w:sz="4" w:space="0"/>
              <w:left w:val="single" w:color="000000" w:sz="4" w:space="0"/>
              <w:bottom w:val="single" w:color="000000" w:sz="4" w:space="0"/>
              <w:right w:val="single" w:color="000000" w:sz="4" w:space="0"/>
            </w:tcBorders>
            <w:vAlign w:val="center"/>
          </w:tcPr>
          <w:p w14:paraId="630BAF8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支持GIS数据的可视化渲染，聚焦单个专题要素，通过渲染不同的颜色以区分要素属性</w:t>
            </w:r>
          </w:p>
        </w:tc>
      </w:tr>
      <w:tr w14:paraId="2999ACF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D310A5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CEBC71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1A7766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业务数据汇集共享-整治业务数据查询共享</w:t>
            </w:r>
          </w:p>
        </w:tc>
        <w:tc>
          <w:tcPr>
            <w:tcW w:w="2499" w:type="pct"/>
            <w:tcBorders>
              <w:top w:val="single" w:color="000000" w:sz="4" w:space="0"/>
              <w:left w:val="single" w:color="000000" w:sz="4" w:space="0"/>
              <w:bottom w:val="single" w:color="000000" w:sz="4" w:space="0"/>
              <w:right w:val="single" w:color="000000" w:sz="4" w:space="0"/>
            </w:tcBorders>
            <w:vAlign w:val="center"/>
          </w:tcPr>
          <w:p w14:paraId="5440BE3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依权限向用户提供整治业务数据的查询和共享</w:t>
            </w:r>
          </w:p>
        </w:tc>
      </w:tr>
      <w:tr w14:paraId="0475A56D">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DBC252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300EB0E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项目谋划报批子系统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2BFD259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整治项目谋划-规划传导反馈-规划传导总览</w:t>
            </w:r>
          </w:p>
        </w:tc>
        <w:tc>
          <w:tcPr>
            <w:tcW w:w="2499" w:type="pct"/>
            <w:tcBorders>
              <w:top w:val="single" w:color="000000" w:sz="4" w:space="0"/>
              <w:left w:val="single" w:color="000000" w:sz="4" w:space="0"/>
              <w:bottom w:val="single" w:color="000000" w:sz="4" w:space="0"/>
              <w:right w:val="single" w:color="000000" w:sz="4" w:space="0"/>
            </w:tcBorders>
            <w:vAlign w:val="center"/>
          </w:tcPr>
          <w:p w14:paraId="15FE200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包括识别与定义传导要素、构建规划层级框架、多维度传导要求聚焦、提炼传导内容特征、集成“一张清单”输出</w:t>
            </w:r>
          </w:p>
        </w:tc>
      </w:tr>
      <w:tr w14:paraId="143BAE1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CE6F6F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8D463B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238BD9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整治项目谋划-规划传导反馈-传导体系可视</w:t>
            </w:r>
          </w:p>
        </w:tc>
        <w:tc>
          <w:tcPr>
            <w:tcW w:w="2499" w:type="pct"/>
            <w:tcBorders>
              <w:top w:val="single" w:color="000000" w:sz="4" w:space="0"/>
              <w:left w:val="single" w:color="000000" w:sz="4" w:space="0"/>
              <w:bottom w:val="single" w:color="000000" w:sz="4" w:space="0"/>
              <w:right w:val="single" w:color="000000" w:sz="4" w:space="0"/>
            </w:tcBorders>
            <w:vAlign w:val="center"/>
          </w:tcPr>
          <w:p w14:paraId="4D8EFE1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包括规划要素统览功能、传导关系动态展示功能、传导规则可视功能</w:t>
            </w:r>
          </w:p>
        </w:tc>
      </w:tr>
      <w:tr w14:paraId="675DBDB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910595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B47ADA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FC8F4F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整治项目谋划-规划传导反馈-规划传导审查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3668118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包括规划成果审查、刚性管控审查、审查结果输出</w:t>
            </w:r>
          </w:p>
        </w:tc>
      </w:tr>
      <w:tr w14:paraId="25D759F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F0ABDF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136534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137BED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整治项目谋划-规划传导反馈-详细规划调整反馈</w:t>
            </w:r>
          </w:p>
        </w:tc>
        <w:tc>
          <w:tcPr>
            <w:tcW w:w="2499" w:type="pct"/>
            <w:tcBorders>
              <w:top w:val="single" w:color="000000" w:sz="4" w:space="0"/>
              <w:left w:val="single" w:color="000000" w:sz="4" w:space="0"/>
              <w:bottom w:val="single" w:color="000000" w:sz="4" w:space="0"/>
              <w:right w:val="single" w:color="000000" w:sz="4" w:space="0"/>
            </w:tcBorders>
            <w:vAlign w:val="center"/>
          </w:tcPr>
          <w:p w14:paraId="730FBFF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提取详细规划的调整要素，形成调整图斑，触发详细规划调整程序</w:t>
            </w:r>
          </w:p>
        </w:tc>
      </w:tr>
      <w:tr w14:paraId="26AB32C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5DA7A2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1037EA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ED06E8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整治项目谋划-项目策划生成-项目策划申报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3DAC9A2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面向区级部门、乡镇用户，对于拟纳入储备库的范围和项目进行申报，包括项目信息申报、项目清单列表</w:t>
            </w:r>
          </w:p>
        </w:tc>
      </w:tr>
      <w:tr w14:paraId="376B0C2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A9C9FB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F5FDDE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4A40E8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整治项目谋划-项目策划生成-项目概况及现状情况分析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3B7674D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分析项目范围内的概况及现状情况，并支持对用地类型进行一级类、二级类的逐级下钻汇总</w:t>
            </w:r>
          </w:p>
        </w:tc>
      </w:tr>
      <w:tr w14:paraId="29CB898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A309BB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17812A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426551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整治项目谋划-项目策划生成-项目控制线及历史文保压盖研判</w:t>
            </w:r>
          </w:p>
        </w:tc>
        <w:tc>
          <w:tcPr>
            <w:tcW w:w="2499" w:type="pct"/>
            <w:tcBorders>
              <w:top w:val="single" w:color="000000" w:sz="4" w:space="0"/>
              <w:left w:val="single" w:color="000000" w:sz="4" w:space="0"/>
              <w:bottom w:val="single" w:color="000000" w:sz="4" w:space="0"/>
              <w:right w:val="single" w:color="000000" w:sz="4" w:space="0"/>
            </w:tcBorders>
            <w:vAlign w:val="center"/>
          </w:tcPr>
          <w:p w14:paraId="6C140DB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分析项目范围所涉的永久基本农田、城镇开发边界、生态保护红线及历史文化资源情况，并支持分析结果的展示和资源在地图上的定位</w:t>
            </w:r>
          </w:p>
        </w:tc>
      </w:tr>
      <w:tr w14:paraId="2306C44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74A54E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E70AE7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54EC20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整治项目谋划-项目策划生成-项目基础调查及权属研判</w:t>
            </w:r>
          </w:p>
        </w:tc>
        <w:tc>
          <w:tcPr>
            <w:tcW w:w="2499" w:type="pct"/>
            <w:tcBorders>
              <w:top w:val="single" w:color="000000" w:sz="4" w:space="0"/>
              <w:left w:val="single" w:color="000000" w:sz="4" w:space="0"/>
              <w:bottom w:val="single" w:color="000000" w:sz="4" w:space="0"/>
              <w:right w:val="single" w:color="000000" w:sz="4" w:space="0"/>
            </w:tcBorders>
            <w:vAlign w:val="center"/>
          </w:tcPr>
          <w:p w14:paraId="1302323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分析项目范围所涉的自然资源、社会经济、土地利用现状、土地权属、基础设施、生态环境现状、整治潜力、产业发展等基础调查数据及权属情况进行分类研判，并支持对各类分析结果的展示和地图联动</w:t>
            </w:r>
          </w:p>
        </w:tc>
      </w:tr>
      <w:tr w14:paraId="134B47B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4832C7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1AF5B7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898AC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整治项目谋划-项目策划生成-农用地占用及批地情况研判</w:t>
            </w:r>
          </w:p>
        </w:tc>
        <w:tc>
          <w:tcPr>
            <w:tcW w:w="2499" w:type="pct"/>
            <w:tcBorders>
              <w:top w:val="single" w:color="000000" w:sz="4" w:space="0"/>
              <w:left w:val="single" w:color="000000" w:sz="4" w:space="0"/>
              <w:bottom w:val="single" w:color="000000" w:sz="4" w:space="0"/>
              <w:right w:val="single" w:color="000000" w:sz="4" w:space="0"/>
            </w:tcBorders>
            <w:vAlign w:val="center"/>
          </w:tcPr>
          <w:p w14:paraId="10FFA25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对项目范围所涉的农转用情况进行研判，包括已农转、待农转的面积和占比，支持对已农转和待农转的现状用地类型进行分类汇总。</w:t>
            </w:r>
          </w:p>
        </w:tc>
      </w:tr>
      <w:tr w14:paraId="05EF276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ACB301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7C7795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455359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整治项目谋划-项目策划生成-项目批地情况研判</w:t>
            </w:r>
          </w:p>
        </w:tc>
        <w:tc>
          <w:tcPr>
            <w:tcW w:w="2499" w:type="pct"/>
            <w:tcBorders>
              <w:top w:val="single" w:color="000000" w:sz="4" w:space="0"/>
              <w:left w:val="single" w:color="000000" w:sz="4" w:space="0"/>
              <w:bottom w:val="single" w:color="000000" w:sz="4" w:space="0"/>
              <w:right w:val="single" w:color="000000" w:sz="4" w:space="0"/>
            </w:tcBorders>
            <w:vAlign w:val="center"/>
          </w:tcPr>
          <w:p w14:paraId="1737343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对项目范围所涉的批地数据进行研判，按年份分析已批地块的宗数、面积，并支持查看批地数据的空间分布情况。</w:t>
            </w:r>
          </w:p>
        </w:tc>
      </w:tr>
      <w:tr w14:paraId="29E7563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6C6BB7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9B16F6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C3EE5D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整治项目谋划-项目策划生成-项目信息更新</w:t>
            </w:r>
          </w:p>
        </w:tc>
        <w:tc>
          <w:tcPr>
            <w:tcW w:w="2499" w:type="pct"/>
            <w:tcBorders>
              <w:top w:val="single" w:color="000000" w:sz="4" w:space="0"/>
              <w:left w:val="single" w:color="000000" w:sz="4" w:space="0"/>
              <w:bottom w:val="single" w:color="000000" w:sz="4" w:space="0"/>
              <w:right w:val="single" w:color="000000" w:sz="4" w:space="0"/>
            </w:tcBorders>
            <w:vAlign w:val="center"/>
          </w:tcPr>
          <w:p w14:paraId="59367CE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对储备项目进行信息更新、详情查看，以及意见征求，支持策划项目跨部门在线协同</w:t>
            </w:r>
          </w:p>
        </w:tc>
      </w:tr>
      <w:tr w14:paraId="4D40D19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A25976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90978F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8AAD8D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整治项目谋划-项目策划生成-项目复核确认</w:t>
            </w:r>
          </w:p>
        </w:tc>
        <w:tc>
          <w:tcPr>
            <w:tcW w:w="2499" w:type="pct"/>
            <w:tcBorders>
              <w:top w:val="single" w:color="000000" w:sz="4" w:space="0"/>
              <w:left w:val="single" w:color="000000" w:sz="4" w:space="0"/>
              <w:bottom w:val="single" w:color="000000" w:sz="4" w:space="0"/>
              <w:right w:val="single" w:color="000000" w:sz="4" w:space="0"/>
            </w:tcBorders>
            <w:vAlign w:val="center"/>
          </w:tcPr>
          <w:p w14:paraId="3B17D6F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包括成熟项目确认、未成熟项目处理、项目自动流转</w:t>
            </w:r>
          </w:p>
        </w:tc>
      </w:tr>
      <w:tr w14:paraId="7F9D9B3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83AD09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6CD07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3A5DAC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整治项目谋划-资金平衡匡算-预期投资估算</w:t>
            </w:r>
          </w:p>
        </w:tc>
        <w:tc>
          <w:tcPr>
            <w:tcW w:w="2499" w:type="pct"/>
            <w:tcBorders>
              <w:top w:val="single" w:color="000000" w:sz="4" w:space="0"/>
              <w:left w:val="single" w:color="000000" w:sz="4" w:space="0"/>
              <w:bottom w:val="single" w:color="000000" w:sz="4" w:space="0"/>
              <w:right w:val="single" w:color="000000" w:sz="4" w:space="0"/>
            </w:tcBorders>
            <w:vAlign w:val="center"/>
          </w:tcPr>
          <w:p w14:paraId="3658D40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支持图表展示土地前期投资成本等指标；支持根据项目范围进行匡算，展示不同层级的结果</w:t>
            </w:r>
          </w:p>
        </w:tc>
      </w:tr>
      <w:tr w14:paraId="4DCAB96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835107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98092D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A5BF31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整治项目谋划-资金平衡匡算-预期资金来源</w:t>
            </w:r>
          </w:p>
        </w:tc>
        <w:tc>
          <w:tcPr>
            <w:tcW w:w="2499" w:type="pct"/>
            <w:tcBorders>
              <w:top w:val="single" w:color="000000" w:sz="4" w:space="0"/>
              <w:left w:val="single" w:color="000000" w:sz="4" w:space="0"/>
              <w:bottom w:val="single" w:color="000000" w:sz="4" w:space="0"/>
              <w:right w:val="single" w:color="000000" w:sz="4" w:space="0"/>
            </w:tcBorders>
            <w:vAlign w:val="center"/>
          </w:tcPr>
          <w:p w14:paraId="32DE964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支持对项目区范围内各个项目的资金来源进行测算，按照不同的投资模式，选择不同的资金来源方式</w:t>
            </w:r>
          </w:p>
        </w:tc>
      </w:tr>
      <w:tr w14:paraId="6CDF115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273BE5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7AF600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BBDD7C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整治项目谋划-资金平衡匡算-资金平衡分析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683B773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包括资金结余计算、资金结余可视化展示、资金收支平衡分析</w:t>
            </w:r>
          </w:p>
        </w:tc>
      </w:tr>
      <w:tr w14:paraId="18F2F73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D2C38B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A3A5AA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E0150C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整治项目谋划-谋划项目数据分析-谋划项目数据统计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7B06DDC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支持统计范围输入、统计图层选择、统计字段设置，实现按自定义条件统计出数据结果表，以及每种数据所占的面积或数量</w:t>
            </w:r>
          </w:p>
        </w:tc>
      </w:tr>
      <w:tr w14:paraId="1468823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177487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9E2835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457408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整治项目谋划-谋划项目数据分析-谋划项目数据制图</w:t>
            </w:r>
          </w:p>
        </w:tc>
        <w:tc>
          <w:tcPr>
            <w:tcW w:w="2499" w:type="pct"/>
            <w:tcBorders>
              <w:top w:val="single" w:color="000000" w:sz="4" w:space="0"/>
              <w:left w:val="single" w:color="000000" w:sz="4" w:space="0"/>
              <w:bottom w:val="single" w:color="000000" w:sz="4" w:space="0"/>
              <w:right w:val="single" w:color="000000" w:sz="4" w:space="0"/>
            </w:tcBorders>
            <w:vAlign w:val="center"/>
          </w:tcPr>
          <w:p w14:paraId="31C99A6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通过数据图层选取和算法逻辑设定，实现对规划院各类时空数据的在线制图</w:t>
            </w:r>
          </w:p>
        </w:tc>
      </w:tr>
      <w:tr w14:paraId="0EBF793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7CE7CE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A16FC7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7B05AA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整治项目谋划-谋划项目数据分析-谋划项目范围分析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7239FF1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支持设置分析图层、选择属性字段、设定分析范围、输出分析结果</w:t>
            </w:r>
          </w:p>
        </w:tc>
      </w:tr>
      <w:tr w14:paraId="6C29C8C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6360D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C71B11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98B4F4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实施计划管理-实施方案审查-实施方案申报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018F2DC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包括实施方案在线申报功能、成果材料全流程管理功能、材料权限分级查询功能</w:t>
            </w:r>
          </w:p>
        </w:tc>
      </w:tr>
      <w:tr w14:paraId="452F68C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DAC2B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7C8B69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C2D2D2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实施计划管理-实施方案审查-实施方案审查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16D66EF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包括申报资料一站式查询、实施方案智能辅助分析、技术审查报告一键导出、申报主体反馈意见交互</w:t>
            </w:r>
          </w:p>
        </w:tc>
      </w:tr>
      <w:tr w14:paraId="729C595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778601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A477E1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CAD133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实施计划管理-实施方案审查-实施方案审核</w:t>
            </w:r>
          </w:p>
        </w:tc>
        <w:tc>
          <w:tcPr>
            <w:tcW w:w="2499" w:type="pct"/>
            <w:tcBorders>
              <w:top w:val="single" w:color="000000" w:sz="4" w:space="0"/>
              <w:left w:val="single" w:color="000000" w:sz="4" w:space="0"/>
              <w:bottom w:val="single" w:color="000000" w:sz="4" w:space="0"/>
              <w:right w:val="single" w:color="000000" w:sz="4" w:space="0"/>
            </w:tcBorders>
            <w:vAlign w:val="center"/>
          </w:tcPr>
          <w:p w14:paraId="2CA9D65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包括全流程审查留痕、智能审查要点分析计算、地图定位与结果渲染、审查要点勾选、实施方案智能入库功能</w:t>
            </w:r>
          </w:p>
        </w:tc>
      </w:tr>
      <w:tr w14:paraId="2916851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7DA446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1C6F6E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6DDBE8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实施计划管理-实施方案审查-实施方案入库</w:t>
            </w:r>
          </w:p>
        </w:tc>
        <w:tc>
          <w:tcPr>
            <w:tcW w:w="2499" w:type="pct"/>
            <w:tcBorders>
              <w:top w:val="single" w:color="000000" w:sz="4" w:space="0"/>
              <w:left w:val="single" w:color="000000" w:sz="4" w:space="0"/>
              <w:bottom w:val="single" w:color="000000" w:sz="4" w:space="0"/>
              <w:right w:val="single" w:color="000000" w:sz="4" w:space="0"/>
            </w:tcBorders>
            <w:vAlign w:val="center"/>
          </w:tcPr>
          <w:p w14:paraId="1D1BC96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支持全域整治方案完整的数据库进行上图入库，支持推送到局“大土地”系统进行数据更新</w:t>
            </w:r>
          </w:p>
        </w:tc>
      </w:tr>
      <w:tr w14:paraId="236177E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945FAA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199998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F2BE45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实施计划管理-实施方案审查-方案质检管理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4562560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用于管理质检任务，包括质检任务列表、质检任务新建、质检任务查看、重新质检、质检任务删除</w:t>
            </w:r>
          </w:p>
        </w:tc>
      </w:tr>
      <w:tr w14:paraId="17818CA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AE66D3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890E3D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BF48D4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实施计划管理-实施方案审查-方案质检规则</w:t>
            </w:r>
          </w:p>
        </w:tc>
        <w:tc>
          <w:tcPr>
            <w:tcW w:w="2499" w:type="pct"/>
            <w:tcBorders>
              <w:top w:val="single" w:color="000000" w:sz="4" w:space="0"/>
              <w:left w:val="single" w:color="000000" w:sz="4" w:space="0"/>
              <w:bottom w:val="single" w:color="000000" w:sz="4" w:space="0"/>
              <w:right w:val="single" w:color="000000" w:sz="4" w:space="0"/>
            </w:tcBorders>
            <w:vAlign w:val="center"/>
          </w:tcPr>
          <w:p w14:paraId="22099BF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包括数据完整性检查、空间数据基本检查、空间属性数据标准性检查、图形数据拓扑规范性检查等</w:t>
            </w:r>
          </w:p>
        </w:tc>
      </w:tr>
      <w:tr w14:paraId="7CB5345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71FD3D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C2FF7D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8374A3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实施计划管理-实施方案审查-实施方案检索</w:t>
            </w:r>
          </w:p>
        </w:tc>
        <w:tc>
          <w:tcPr>
            <w:tcW w:w="2499" w:type="pct"/>
            <w:tcBorders>
              <w:top w:val="single" w:color="000000" w:sz="4" w:space="0"/>
              <w:left w:val="single" w:color="000000" w:sz="4" w:space="0"/>
              <w:bottom w:val="single" w:color="000000" w:sz="4" w:space="0"/>
              <w:right w:val="single" w:color="000000" w:sz="4" w:space="0"/>
            </w:tcBorders>
            <w:vAlign w:val="center"/>
          </w:tcPr>
          <w:p w14:paraId="2BB40A0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包括实施方案资源检索、地图查询、全息查询、定位查询、通用查询等功能</w:t>
            </w:r>
          </w:p>
        </w:tc>
      </w:tr>
      <w:tr w14:paraId="057B808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E2CDB8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F323A0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B4C926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实施计划管理-实施计划管理-实施计划清单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162A08F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支持对实施计划进行批量管理，支持对计划清单内的实施方案进行增删改管理</w:t>
            </w:r>
          </w:p>
        </w:tc>
      </w:tr>
      <w:tr w14:paraId="62CCCF0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9406A6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28F846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F83809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实施计划管理-实施计划管理-实施计划下达</w:t>
            </w:r>
          </w:p>
        </w:tc>
        <w:tc>
          <w:tcPr>
            <w:tcW w:w="2499" w:type="pct"/>
            <w:tcBorders>
              <w:top w:val="single" w:color="000000" w:sz="4" w:space="0"/>
              <w:left w:val="single" w:color="000000" w:sz="4" w:space="0"/>
              <w:bottom w:val="single" w:color="000000" w:sz="4" w:space="0"/>
              <w:right w:val="single" w:color="000000" w:sz="4" w:space="0"/>
            </w:tcBorders>
            <w:vAlign w:val="center"/>
          </w:tcPr>
          <w:p w14:paraId="41A6161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对纳入计划的实施方案进行审核，并确定计划内容，明确工作实施要求、资金整合要求和各单体项目建设要求</w:t>
            </w:r>
          </w:p>
        </w:tc>
      </w:tr>
      <w:tr w14:paraId="38278C4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3088AA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EAB40B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4BB132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实施计划管理-实施项目清单-项目清单管理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B13A32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包括项目清单综合管理、多条件组合查询统计、单体项目详情查看、多维度项目筛选、项目信息可视化展示功能</w:t>
            </w:r>
          </w:p>
        </w:tc>
      </w:tr>
      <w:tr w14:paraId="4C165F4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899D9A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0C95AD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D8CCDD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实施计划管理-实施项目清单-项目时序管理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66F0930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包括项目时序数据提取、多维项目数据统计、项目全周期滚动监管、项目异常状态预警、项目问题督查督办功能</w:t>
            </w:r>
          </w:p>
        </w:tc>
      </w:tr>
      <w:tr w14:paraId="029C8B9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92F554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8EA74A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7F41F0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实施计划管理-资金概算分析-年度计划投入资金</w:t>
            </w:r>
          </w:p>
        </w:tc>
        <w:tc>
          <w:tcPr>
            <w:tcW w:w="2499" w:type="pct"/>
            <w:tcBorders>
              <w:top w:val="single" w:color="000000" w:sz="4" w:space="0"/>
              <w:left w:val="single" w:color="000000" w:sz="4" w:space="0"/>
              <w:bottom w:val="single" w:color="000000" w:sz="4" w:space="0"/>
              <w:right w:val="single" w:color="000000" w:sz="4" w:space="0"/>
            </w:tcBorders>
            <w:vAlign w:val="center"/>
          </w:tcPr>
          <w:p w14:paraId="713DF9D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包括年度计划投入资金来源跟踪、分类汇总</w:t>
            </w:r>
          </w:p>
        </w:tc>
      </w:tr>
      <w:tr w14:paraId="6FDD28B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168844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8ACE45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54199B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实施计划管理-资金概算分析-年度计划使用资金</w:t>
            </w:r>
          </w:p>
        </w:tc>
        <w:tc>
          <w:tcPr>
            <w:tcW w:w="2499" w:type="pct"/>
            <w:tcBorders>
              <w:top w:val="single" w:color="000000" w:sz="4" w:space="0"/>
              <w:left w:val="single" w:color="000000" w:sz="4" w:space="0"/>
              <w:bottom w:val="single" w:color="000000" w:sz="4" w:space="0"/>
              <w:right w:val="single" w:color="000000" w:sz="4" w:space="0"/>
            </w:tcBorders>
            <w:vAlign w:val="center"/>
          </w:tcPr>
          <w:p w14:paraId="7417E39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包括年度计划使用资金去向跟踪、年度计划使用资金项目指标分析、年度计划使用资金图表展示</w:t>
            </w:r>
          </w:p>
        </w:tc>
      </w:tr>
      <w:tr w14:paraId="6E9EA32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13D6C9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E2D91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94031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实施计划管理-资金概算分析-资金概算分析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48D7DC1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包括年度资金数据整合、年度资金平衡概算分析、资金结余展示与动向预测、多层级资金结余匡算与展示</w:t>
            </w:r>
          </w:p>
        </w:tc>
      </w:tr>
      <w:tr w14:paraId="2AF7B76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9FEBFA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B0EEB5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BD8F25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报批管理-设计审查管理-细化设计申报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00BC959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支持项目细化设计信息的录入和成果材料分类上传、预览、下载、删除，同步对必选材料进行验证；对已完成提交的项目材料通过权限控制</w:t>
            </w:r>
          </w:p>
        </w:tc>
      </w:tr>
      <w:tr w14:paraId="7FF5371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3DBD18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23190B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6C1B92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报批管理-设计审查管理-细化设计技术审查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542331C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支持进行申报信息和细化设计材料的查询、预览、下载，支持细化设计在线辅助分析，支持一键导出审查报告</w:t>
            </w:r>
          </w:p>
        </w:tc>
      </w:tr>
      <w:tr w14:paraId="49A53CD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8FC7F4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E00CA6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31CF28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报批管理-设计审查管理-细化设计审核</w:t>
            </w:r>
          </w:p>
        </w:tc>
        <w:tc>
          <w:tcPr>
            <w:tcW w:w="2499" w:type="pct"/>
            <w:tcBorders>
              <w:top w:val="single" w:color="000000" w:sz="4" w:space="0"/>
              <w:left w:val="single" w:color="000000" w:sz="4" w:space="0"/>
              <w:bottom w:val="single" w:color="000000" w:sz="4" w:space="0"/>
              <w:right w:val="single" w:color="000000" w:sz="4" w:space="0"/>
            </w:tcBorders>
            <w:vAlign w:val="center"/>
          </w:tcPr>
          <w:p w14:paraId="6F43509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支持调用细化设计在线分析功能，一键生成计算结果，支持对项目范围进行地图定位，并支持按照分析要点对分析结果进行逐项定位渲染</w:t>
            </w:r>
          </w:p>
        </w:tc>
      </w:tr>
      <w:tr w14:paraId="3019193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1C1068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4C6BE2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CFFCBF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报批管理-设计审查管理-细化设计预上图入库</w:t>
            </w:r>
          </w:p>
        </w:tc>
        <w:tc>
          <w:tcPr>
            <w:tcW w:w="2499" w:type="pct"/>
            <w:tcBorders>
              <w:top w:val="single" w:color="000000" w:sz="4" w:space="0"/>
              <w:left w:val="single" w:color="000000" w:sz="4" w:space="0"/>
              <w:bottom w:val="single" w:color="000000" w:sz="4" w:space="0"/>
              <w:right w:val="single" w:color="000000" w:sz="4" w:space="0"/>
            </w:tcBorders>
            <w:vAlign w:val="center"/>
          </w:tcPr>
          <w:p w14:paraId="148B981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根据细化设计数据标准进行上图入库，系统对数据的各个图层进行映射，匹配到系统数据库的各个图层中，支持增量入库的方式进行更新</w:t>
            </w:r>
          </w:p>
        </w:tc>
      </w:tr>
      <w:tr w14:paraId="0116FEF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8636A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4DB4CC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270098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报批管理-设计成果管理-细化设计成果图件管理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CB2FD0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包括细化设计图件存档、细化设计图件浏览、细化设计图册管理</w:t>
            </w:r>
          </w:p>
        </w:tc>
      </w:tr>
      <w:tr w14:paraId="36ED988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DD2CB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11CB70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C16BAD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报批管理-设计成果管理-细化设计成果附表管理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4A1C224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包括细化设计成果附表识别与存储、细化设计成果附表调阅展示</w:t>
            </w:r>
          </w:p>
        </w:tc>
      </w:tr>
      <w:tr w14:paraId="115DEE5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C931A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AEE8B8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D2E074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报批管理-设计成果管理-细化设计成果文本调阅</w:t>
            </w:r>
          </w:p>
        </w:tc>
        <w:tc>
          <w:tcPr>
            <w:tcW w:w="2499" w:type="pct"/>
            <w:tcBorders>
              <w:top w:val="single" w:color="000000" w:sz="4" w:space="0"/>
              <w:left w:val="single" w:color="000000" w:sz="4" w:space="0"/>
              <w:bottom w:val="single" w:color="000000" w:sz="4" w:space="0"/>
              <w:right w:val="single" w:color="000000" w:sz="4" w:space="0"/>
            </w:tcBorders>
            <w:vAlign w:val="center"/>
          </w:tcPr>
          <w:p w14:paraId="0D74592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提供在线阅览界面，用户可直接在系统内对存储的细化设计成果文本进行浏览。</w:t>
            </w:r>
          </w:p>
        </w:tc>
      </w:tr>
      <w:tr w14:paraId="594D761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651AE5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00DF585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市级项目监管子系统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2FB9934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项目实施监管-工程进度监管-工程项目清单管理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69935CE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以工程清单的方式进行管理，支持按多条件进行灵活筛选与排序，并支持对每个子项目进行工程进度数据报送操作，包括施工进度填写、监理进度填写等</w:t>
            </w:r>
          </w:p>
        </w:tc>
      </w:tr>
      <w:tr w14:paraId="272B83B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66F7D2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4CB752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2FB1F6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项目实施监管-工程进度监管-工程建设进度报送</w:t>
            </w:r>
          </w:p>
        </w:tc>
        <w:tc>
          <w:tcPr>
            <w:tcW w:w="2499" w:type="pct"/>
            <w:tcBorders>
              <w:top w:val="single" w:color="000000" w:sz="4" w:space="0"/>
              <w:left w:val="single" w:color="000000" w:sz="4" w:space="0"/>
              <w:bottom w:val="single" w:color="000000" w:sz="4" w:space="0"/>
              <w:right w:val="single" w:color="000000" w:sz="4" w:space="0"/>
            </w:tcBorders>
            <w:vAlign w:val="center"/>
          </w:tcPr>
          <w:p w14:paraId="4220E66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针对实施项目，支持实施主体对各类整治项目定期进行整治项目实施工程进度情况的填报、业务环节材料上传</w:t>
            </w:r>
          </w:p>
        </w:tc>
      </w:tr>
      <w:tr w14:paraId="5D4123D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361A6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A655EE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B09D55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项目实施监管-工程进度监管-数据质量核查分析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7590FAD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对实施过程中的实施进度以及上报资料，按照数据质量核查规则进行系统辅助分析，一键生成审查记录清单、材料校验结果清单，支持对各类清单进行下载</w:t>
            </w:r>
          </w:p>
        </w:tc>
      </w:tr>
      <w:tr w14:paraId="374C9A9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FAD4D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8C4730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A9E4DF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项目实施监管-工程进度监管-项目进度变化分析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7DAEDD0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对整治项目实施过程中各个项目在不同时点的情况进行变化分析，以跟踪项目的发展情况</w:t>
            </w:r>
          </w:p>
        </w:tc>
      </w:tr>
      <w:tr w14:paraId="374B9E0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7BFD8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F794B3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6A3E8F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项目实施监管-工程进度监管-项目填报进度分析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66E075A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包括整治项目进度预警、整治项目进度整体分析、整治项目填报进度明细分析</w:t>
            </w:r>
          </w:p>
        </w:tc>
      </w:tr>
      <w:tr w14:paraId="044039B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1C17A1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8BE6BA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70436F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项目实施监管-工程进度监管-月度数据按模板导出</w:t>
            </w:r>
          </w:p>
        </w:tc>
        <w:tc>
          <w:tcPr>
            <w:tcW w:w="2499" w:type="pct"/>
            <w:tcBorders>
              <w:top w:val="single" w:color="000000" w:sz="4" w:space="0"/>
              <w:left w:val="single" w:color="000000" w:sz="4" w:space="0"/>
              <w:bottom w:val="single" w:color="000000" w:sz="4" w:space="0"/>
              <w:right w:val="single" w:color="000000" w:sz="4" w:space="0"/>
            </w:tcBorders>
            <w:vAlign w:val="center"/>
          </w:tcPr>
          <w:p w14:paraId="4378EB0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系统支持按照统一模板，导出项目立项和验收矢量文件、佐证文件以及佐证照片等材料</w:t>
            </w:r>
          </w:p>
        </w:tc>
      </w:tr>
      <w:tr w14:paraId="0D07C4B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0E3FFE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7789A3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57467E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项目实施监管-工程进度监管-多维指标信息生成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4B36D94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支持对各片区实施情况如开工、完工情况、验收情况、指标完成情况、整治成效完成情况等进行汇总</w:t>
            </w:r>
          </w:p>
        </w:tc>
      </w:tr>
      <w:tr w14:paraId="55309D4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7F7113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4B7508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ACE2D0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项目实施监管-业务办理-新建任务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21CE826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提供统一新建口子对外提供全域实施监管方面的业务办理任务窗口，支持新建事项和续办事项</w:t>
            </w:r>
          </w:p>
        </w:tc>
      </w:tr>
      <w:tr w14:paraId="6D92289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F4FDED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BD7870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82EAD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项目实施监管-业务办理-任务清单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4EF813A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通过将各审批项目案卷按当前办理状态（包括待办箱、已办箱、办结箱）进行分类管理，并显示各详细分类下案卷的统计数值，用户可直接点击进行案卷的办理或信息查阅工作</w:t>
            </w:r>
          </w:p>
        </w:tc>
      </w:tr>
      <w:tr w14:paraId="145239F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1FFCA3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B133AE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885077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项目实施监管-申请采购编号监管-采购编号申请清单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4D115ED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包括生成采购编号申请列表、采购编号申请关键信息展示</w:t>
            </w:r>
          </w:p>
        </w:tc>
      </w:tr>
      <w:tr w14:paraId="68AF729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7FD17B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732455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F079C5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项目实施监管-申请采购编号监管-采购编号申请多维查询</w:t>
            </w:r>
          </w:p>
        </w:tc>
        <w:tc>
          <w:tcPr>
            <w:tcW w:w="2499" w:type="pct"/>
            <w:tcBorders>
              <w:top w:val="single" w:color="000000" w:sz="4" w:space="0"/>
              <w:left w:val="single" w:color="000000" w:sz="4" w:space="0"/>
              <w:bottom w:val="single" w:color="000000" w:sz="4" w:space="0"/>
              <w:right w:val="single" w:color="000000" w:sz="4" w:space="0"/>
            </w:tcBorders>
            <w:vAlign w:val="center"/>
          </w:tcPr>
          <w:p w14:paraId="35D1987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包括采购编号申请基础条件筛选与排序、采购编号申请组合检索、采购编号申请定位与信息展示</w:t>
            </w:r>
          </w:p>
        </w:tc>
      </w:tr>
      <w:tr w14:paraId="7008F19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E183A6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7C70CB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CB4B36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项目实施监管-申请采购编号监管-采购编号申请详情查看</w:t>
            </w:r>
          </w:p>
        </w:tc>
        <w:tc>
          <w:tcPr>
            <w:tcW w:w="2499" w:type="pct"/>
            <w:tcBorders>
              <w:top w:val="single" w:color="000000" w:sz="4" w:space="0"/>
              <w:left w:val="single" w:color="000000" w:sz="4" w:space="0"/>
              <w:bottom w:val="single" w:color="000000" w:sz="4" w:space="0"/>
              <w:right w:val="single" w:color="000000" w:sz="4" w:space="0"/>
            </w:tcBorders>
            <w:vAlign w:val="center"/>
          </w:tcPr>
          <w:p w14:paraId="541892F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包括采购编号申请详情展示、采购编号申请审核流程与进度展示</w:t>
            </w:r>
          </w:p>
        </w:tc>
      </w:tr>
      <w:tr w14:paraId="0AE3F60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A82E65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FFAF63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B35793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项目实施监管-申请采购编号监管-项目实施方案关联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30B983D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包括项目实施方案文件上传、已有方案文件关联功能、方案文件版本管理</w:t>
            </w:r>
          </w:p>
        </w:tc>
      </w:tr>
      <w:tr w14:paraId="6010278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2BF040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F3BD5B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2C5188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项目实施监管-申请采购编号监管-细化设计成果关联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6E35388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包括细化设计成果文件关联、多格式文件上传与存储、细化设计成果文件在线预览、细化设计成果关联保障</w:t>
            </w:r>
          </w:p>
        </w:tc>
      </w:tr>
      <w:tr w14:paraId="391071D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6AFA3B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CE4031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74DF96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项目实施监管-申请采购编号监管-采购需求信息填报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52CAD2A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包括采购类型对应模板、采购需求关键信息填报、填报信息实时校验</w:t>
            </w:r>
          </w:p>
        </w:tc>
      </w:tr>
      <w:tr w14:paraId="3D2C556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052C73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D60F2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1BBB72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项目实施监管-施工招投标监管-施工招投标监管清单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57E9C10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以列表形式集中展示所有施工招投标项目的关键监管信息，支持按项目类型、招标阶段、时间范围等多条件进行筛选与排序</w:t>
            </w:r>
          </w:p>
        </w:tc>
      </w:tr>
      <w:tr w14:paraId="35E10A7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57615C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AEBB76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5CFD2B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项目实施监管-施工招投标监管-招投标项目多维查询</w:t>
            </w:r>
          </w:p>
        </w:tc>
        <w:tc>
          <w:tcPr>
            <w:tcW w:w="2499" w:type="pct"/>
            <w:tcBorders>
              <w:top w:val="single" w:color="000000" w:sz="4" w:space="0"/>
              <w:left w:val="single" w:color="000000" w:sz="4" w:space="0"/>
              <w:bottom w:val="single" w:color="000000" w:sz="4" w:space="0"/>
              <w:right w:val="single" w:color="000000" w:sz="4" w:space="0"/>
            </w:tcBorders>
            <w:vAlign w:val="center"/>
          </w:tcPr>
          <w:p w14:paraId="53F840C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通过项目名称、招标编号等单一条件实现精确查询，还可组合招标单位、招标金额等多个条件，开展复杂场景下的深度检索</w:t>
            </w:r>
          </w:p>
        </w:tc>
      </w:tr>
      <w:tr w14:paraId="454AB91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D1524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67AC5A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1F88B5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项目实施监管-施工招投标监管-规划设计成果关联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7388889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支持上传项目的规划设计方案、可行性研究报告等成果文件，从系统文件库中直接关联已存储的相关文件</w:t>
            </w:r>
          </w:p>
        </w:tc>
      </w:tr>
      <w:tr w14:paraId="6237495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98192B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C049AB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7D3EF4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项目实施监管-施工招投标监管-施工图册信息上传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03A61D7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支持批量上传施工图册文件，支持 CAD 图纸、PDF 图集等多种格式。支持自动对文件进行完整性校验与格式转换，确保文件可正常预览与下载</w:t>
            </w:r>
          </w:p>
        </w:tc>
      </w:tr>
      <w:tr w14:paraId="7C9BE75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67222A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0EC3CA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F18D76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项目实施监管-施工招投标监管-招标文件上传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0BD2C01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支持多种文件格式上传，并可设置文件访问权限，控制文件的查看、下载范围。系统自动记录招标文件的上传时间、版本更新记录</w:t>
            </w:r>
          </w:p>
        </w:tc>
      </w:tr>
      <w:tr w14:paraId="5B86F07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792D41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437924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B95D7A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项目实施监管-施工招投标监管-采购文件审核</w:t>
            </w:r>
          </w:p>
        </w:tc>
        <w:tc>
          <w:tcPr>
            <w:tcW w:w="2499" w:type="pct"/>
            <w:tcBorders>
              <w:top w:val="single" w:color="000000" w:sz="4" w:space="0"/>
              <w:left w:val="single" w:color="000000" w:sz="4" w:space="0"/>
              <w:bottom w:val="single" w:color="000000" w:sz="4" w:space="0"/>
              <w:right w:val="single" w:color="000000" w:sz="4" w:space="0"/>
            </w:tcBorders>
            <w:vAlign w:val="center"/>
          </w:tcPr>
          <w:p w14:paraId="2009D76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审核人员在线对招标文件、投标文件等进行批注、修改，提出具体审核意见，审核过程全程留痕。系统具备提醒功能，自动通知审核人员，审核通过的文件自动归档，未通过的文件则退回修改</w:t>
            </w:r>
          </w:p>
        </w:tc>
      </w:tr>
      <w:tr w14:paraId="384048E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305C9F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B0E98C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4D0223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项目实施监管-施工招投标监管-回标分析报告上传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0CC1627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支持在系统中上传回标分析报告，系统对报告进行存储，严格控制访问权限</w:t>
            </w:r>
          </w:p>
        </w:tc>
      </w:tr>
      <w:tr w14:paraId="28E4401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1D1A35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915EF1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9D2A5B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项目实施监管-施工招投标监管-评标结果复核</w:t>
            </w:r>
          </w:p>
        </w:tc>
        <w:tc>
          <w:tcPr>
            <w:tcW w:w="2499" w:type="pct"/>
            <w:tcBorders>
              <w:top w:val="single" w:color="000000" w:sz="4" w:space="0"/>
              <w:left w:val="single" w:color="000000" w:sz="4" w:space="0"/>
              <w:bottom w:val="single" w:color="000000" w:sz="4" w:space="0"/>
              <w:right w:val="single" w:color="000000" w:sz="4" w:space="0"/>
            </w:tcBorders>
            <w:vAlign w:val="center"/>
          </w:tcPr>
          <w:p w14:paraId="23F2B64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评标结束后，复核人员可在系统中调取完整的招投标资料，对评标过程与结果进行全面复查</w:t>
            </w:r>
          </w:p>
        </w:tc>
      </w:tr>
      <w:tr w14:paraId="17B237B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2C7D7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3B741A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7DEC23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项目实施监管-施工招投标监管-项目招投信息管理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0B7259A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进行项目招投信息的统一管理，支持对实施项目的招标信息、投标信息、预算金额等信息查询、汇总统计及项目信息的导出</w:t>
            </w:r>
          </w:p>
        </w:tc>
      </w:tr>
      <w:tr w14:paraId="5B06E24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867F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A6DD12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3AB4E3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项目实施监管-开工准备监管-开工准备项目清单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2ACAB9A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包括项目清单集中展示、项目多条件筛选与排序、项目超期警示</w:t>
            </w:r>
          </w:p>
        </w:tc>
      </w:tr>
      <w:tr w14:paraId="280D1EA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D4D306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88CF3A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A60E5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项目实施监管-开工准备监管-项目开工信息管理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39EAE7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包括开工信息统一管理、开工信息汇总统计、开工信息导出</w:t>
            </w:r>
          </w:p>
        </w:tc>
      </w:tr>
      <w:tr w14:paraId="0738F33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9D838E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D4D3B1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5F0643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项目实施监管-开工准备监管-搬迁补偿协议上传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721D439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包括搬迁补偿协议批量上传、多格式文件支持、文件完整性校验</w:t>
            </w:r>
          </w:p>
        </w:tc>
      </w:tr>
      <w:tr w14:paraId="3D1EFDA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9C5719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6F05D4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A148EF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项目实施监管-开工准备监管-开工令上传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1DAD6EC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包括开工令版本管理与电子签章、开工令与项目自动关联、开工令通知推送</w:t>
            </w:r>
          </w:p>
        </w:tc>
      </w:tr>
      <w:tr w14:paraId="101C640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EA4F48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BAF3B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315A0D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项目实施监管-设计变更监管-设计变更项目清单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782042F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包括设计变更项目发起、变更项目状态标识与列表筛选</w:t>
            </w:r>
          </w:p>
        </w:tc>
      </w:tr>
      <w:tr w14:paraId="1759713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27C2CD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1A80EA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5DB488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项目实施监管-设计变更监管-细化设计调整申报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360A5FC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包括细化设计调整在线申请、细化设计调整成果材料上传、项目信息提取、调整前后信息变化分析、项目调整说明、数据质检工具下载</w:t>
            </w:r>
          </w:p>
        </w:tc>
      </w:tr>
      <w:tr w14:paraId="3948A54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B7DFB7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7DE9C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1F7831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项目实施监管-设计变更监管-细化设计调整技术审查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47897DC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根据细化设计调整审查进行在线辅助审查功能，包括调整审查要点自查、项目变化分析、核心指标变化分析等</w:t>
            </w:r>
          </w:p>
        </w:tc>
      </w:tr>
      <w:tr w14:paraId="63F3334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9672F6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06A2DB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79529D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项目实施监管-设计变更监管-细化设计调整审批</w:t>
            </w:r>
          </w:p>
        </w:tc>
        <w:tc>
          <w:tcPr>
            <w:tcW w:w="2499" w:type="pct"/>
            <w:tcBorders>
              <w:top w:val="single" w:color="000000" w:sz="4" w:space="0"/>
              <w:left w:val="single" w:color="000000" w:sz="4" w:space="0"/>
              <w:bottom w:val="single" w:color="000000" w:sz="4" w:space="0"/>
              <w:right w:val="single" w:color="000000" w:sz="4" w:space="0"/>
            </w:tcBorders>
            <w:vAlign w:val="center"/>
          </w:tcPr>
          <w:p w14:paraId="3E15F94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实施主体提交细化设计调整后，系统发送至技术审查人员、审批人员开展技术审查和审批，支持在线提交审批意见和审批审查材料的上传</w:t>
            </w:r>
          </w:p>
        </w:tc>
      </w:tr>
      <w:tr w14:paraId="114C077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A71405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0484C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0F36F4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项目实施监管-设计变更监管-两线调整成果提取</w:t>
            </w:r>
          </w:p>
        </w:tc>
        <w:tc>
          <w:tcPr>
            <w:tcW w:w="2499" w:type="pct"/>
            <w:tcBorders>
              <w:top w:val="single" w:color="000000" w:sz="4" w:space="0"/>
              <w:left w:val="single" w:color="000000" w:sz="4" w:space="0"/>
              <w:bottom w:val="single" w:color="000000" w:sz="4" w:space="0"/>
              <w:right w:val="single" w:color="000000" w:sz="4" w:space="0"/>
            </w:tcBorders>
            <w:vAlign w:val="center"/>
          </w:tcPr>
          <w:p w14:paraId="0A4EFC4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对通过批准后的设计变更成果进行上图入库，对方案数据的各个图层进行映射和提取，匹配到数据库的对应图层中</w:t>
            </w:r>
          </w:p>
        </w:tc>
      </w:tr>
      <w:tr w14:paraId="1D7D0E6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EE9559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B5869E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2392F3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项目实施监管-设计变更监管-细化设计调整上图入库</w:t>
            </w:r>
          </w:p>
        </w:tc>
        <w:tc>
          <w:tcPr>
            <w:tcW w:w="2499" w:type="pct"/>
            <w:tcBorders>
              <w:top w:val="single" w:color="000000" w:sz="4" w:space="0"/>
              <w:left w:val="single" w:color="000000" w:sz="4" w:space="0"/>
              <w:bottom w:val="single" w:color="000000" w:sz="4" w:space="0"/>
              <w:right w:val="single" w:color="000000" w:sz="4" w:space="0"/>
            </w:tcBorders>
            <w:vAlign w:val="center"/>
          </w:tcPr>
          <w:p w14:paraId="1884909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包括细化设计调整信息更新入库、调整前数据库版本保留、数据追溯</w:t>
            </w:r>
          </w:p>
        </w:tc>
      </w:tr>
      <w:tr w14:paraId="7BA5982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227DAB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7F4768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CFEEC4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项目实施监管-工程进度监管-实施进度辅助审查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56EBE3E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包括审查模型调用与规则应用、自动化检查与清单生成、红灯预警与问题定位、审查问题清单导出</w:t>
            </w:r>
          </w:p>
        </w:tc>
      </w:tr>
      <w:tr w14:paraId="0F9DDC3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1A4205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8BC2A5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169625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项目实施监管-工程进度监管-感知监测数据接入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3C3407F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接入高分遥感影像和无人机视频流两大核心感知数据源</w:t>
            </w:r>
          </w:p>
        </w:tc>
      </w:tr>
      <w:tr w14:paraId="4812C50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DC6FCE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DE828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8CBD79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项目实施监管-工程进度监管-移动端监管记录上传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2F9D61E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依托移动终端，将采集的图片、视频等数据一键上传至系统中</w:t>
            </w:r>
          </w:p>
        </w:tc>
      </w:tr>
      <w:tr w14:paraId="4CBCDC8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9B47E3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DF0F20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AF3AB2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项目实施监管-工程进度监管-移动端监管记录关联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04A16CC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将移动终端上传的记录与整治项目进行动态联动，汇集展示所有项目的移动端监管记录，实现监管数据与PC的实时关联</w:t>
            </w:r>
          </w:p>
        </w:tc>
      </w:tr>
      <w:tr w14:paraId="113AD4C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0206E4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DE5C2C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EE0762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项目实施监管-工程进度监管-项目进度分屏对比</w:t>
            </w:r>
          </w:p>
        </w:tc>
        <w:tc>
          <w:tcPr>
            <w:tcW w:w="2499" w:type="pct"/>
            <w:tcBorders>
              <w:top w:val="single" w:color="000000" w:sz="4" w:space="0"/>
              <w:left w:val="single" w:color="000000" w:sz="4" w:space="0"/>
              <w:bottom w:val="single" w:color="000000" w:sz="4" w:space="0"/>
              <w:right w:val="single" w:color="000000" w:sz="4" w:space="0"/>
            </w:tcBorders>
            <w:vAlign w:val="center"/>
          </w:tcPr>
          <w:p w14:paraId="6DB473A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支持地图分屏联动，直观地对同地块的现状、规划和整治前、后进行比对</w:t>
            </w:r>
          </w:p>
        </w:tc>
      </w:tr>
      <w:tr w14:paraId="0788E5B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BEF02C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47B03B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DBABAD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项目实施监管-工程进度监管-年度任务跟踪管理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6ACA5E2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支持进行年度计划填报、计划辅助分析、年度计划跟踪等</w:t>
            </w:r>
          </w:p>
        </w:tc>
      </w:tr>
      <w:tr w14:paraId="61DD356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2E57C5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6F49E6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E25AF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项目实施监管-工程进度监管-实施成效信息报送</w:t>
            </w:r>
          </w:p>
        </w:tc>
        <w:tc>
          <w:tcPr>
            <w:tcW w:w="2499" w:type="pct"/>
            <w:tcBorders>
              <w:top w:val="single" w:color="000000" w:sz="4" w:space="0"/>
              <w:left w:val="single" w:color="000000" w:sz="4" w:space="0"/>
              <w:bottom w:val="single" w:color="000000" w:sz="4" w:space="0"/>
              <w:right w:val="single" w:color="000000" w:sz="4" w:space="0"/>
            </w:tcBorders>
            <w:vAlign w:val="center"/>
          </w:tcPr>
          <w:p w14:paraId="7DE4D9B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支持施工单位对整治项目实施成效情况的填报，支持上传整治项目相关的各类进度佐证材料、整治前后佐证材料，以及整治实施成效多维度汇总统计和导出</w:t>
            </w:r>
          </w:p>
        </w:tc>
      </w:tr>
      <w:tr w14:paraId="2784224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E94F5A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BA7267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093BAB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项目实施监管-工程进度监管-验收信息管理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56DAF9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支持在系统中上传验收文件或证明材料，并对项目验收认定结果负责，支持系统中进行pdf、jpg格式的文件上传，对于不符合要求的文件进行提醒且不允许上传</w:t>
            </w:r>
          </w:p>
        </w:tc>
      </w:tr>
      <w:tr w14:paraId="45700AA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1374B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D41FDF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295B96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项目实施监管-预算申请监管-项目合同付款台账清单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62136FF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系统以列表形式汇总所有项目合同付款信息，支持按项目类型、合同签订时间、付款状态等多条件快速筛选与排序</w:t>
            </w:r>
          </w:p>
        </w:tc>
      </w:tr>
      <w:tr w14:paraId="2CAEFC0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B6AA90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93899C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331B55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项目实施监管-预算申请监管-合同付款信息关联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42259B6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合同付款信息可与项目立项文件、招投标资料等进行关联，同时还能与工程进度、预算执行情况等信息紧密挂钩</w:t>
            </w:r>
          </w:p>
        </w:tc>
      </w:tr>
      <w:tr w14:paraId="1B2A0EB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62722C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FCD94F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1E24A7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项目实施监管-预算申请监管-工程进度上传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19AE20F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支持文字描述、图片、视频、进度报表等多种形式</w:t>
            </w:r>
          </w:p>
        </w:tc>
      </w:tr>
      <w:tr w14:paraId="6DFC475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FAAC7A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A0B689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C9D92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项目实施监管-预算申请监管-工程进度核验</w:t>
            </w:r>
          </w:p>
        </w:tc>
        <w:tc>
          <w:tcPr>
            <w:tcW w:w="2499" w:type="pct"/>
            <w:tcBorders>
              <w:top w:val="single" w:color="000000" w:sz="4" w:space="0"/>
              <w:left w:val="single" w:color="000000" w:sz="4" w:space="0"/>
              <w:bottom w:val="single" w:color="000000" w:sz="4" w:space="0"/>
              <w:right w:val="single" w:color="000000" w:sz="4" w:space="0"/>
            </w:tcBorders>
            <w:vAlign w:val="center"/>
          </w:tcPr>
          <w:p w14:paraId="5B8DAB7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核验人员可在线对施工方上传的工程进度进行审核，通过查看现场照片、核对工程量清单、调取监理记录等方式，验证进度信息的真实性</w:t>
            </w:r>
          </w:p>
        </w:tc>
      </w:tr>
      <w:tr w14:paraId="7AB0570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461056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906C44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5989B4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项目实施监管-预算申请监管-预算执行表填报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227F97D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支持在线填报预算执行表，详细记录各项费用的实际支出金额、支出时间、对应合同与工程进度等信息</w:t>
            </w:r>
          </w:p>
        </w:tc>
      </w:tr>
      <w:tr w14:paraId="57EAF4A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BFEC52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7256D4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AFE978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项目实施监管-资金拨付监管-支付申请表填报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5BCC51A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根据工程项目类型及合同约定，预设多样化的支付申请表模板，涵盖预付款申请、进度款申请等类型，确保申请表内容完整且符合项目要求</w:t>
            </w:r>
          </w:p>
        </w:tc>
      </w:tr>
      <w:tr w14:paraId="5015D62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DDC4DD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3F5A4F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B888B7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项目实施监管-资金拨付监管-请款材料附件上传</w:t>
            </w:r>
          </w:p>
        </w:tc>
        <w:tc>
          <w:tcPr>
            <w:tcW w:w="2499" w:type="pct"/>
            <w:tcBorders>
              <w:top w:val="single" w:color="000000" w:sz="4" w:space="0"/>
              <w:left w:val="single" w:color="000000" w:sz="4" w:space="0"/>
              <w:bottom w:val="single" w:color="000000" w:sz="4" w:space="0"/>
              <w:right w:val="single" w:color="000000" w:sz="4" w:space="0"/>
            </w:tcBorders>
            <w:vAlign w:val="center"/>
          </w:tcPr>
          <w:p w14:paraId="6EEACD2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支持按系统提示批量上传请款所需的各类证明材料。上传过程中，系统自动对文件进行格式转换与完整性检查，确保文件可在线预览、下载及存档</w:t>
            </w:r>
          </w:p>
        </w:tc>
      </w:tr>
      <w:tr w14:paraId="4254D66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165536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EF00C5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D23871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项目实施监管-资金拨付监管-审核意见填写</w:t>
            </w:r>
          </w:p>
        </w:tc>
        <w:tc>
          <w:tcPr>
            <w:tcW w:w="2499" w:type="pct"/>
            <w:tcBorders>
              <w:top w:val="single" w:color="000000" w:sz="4" w:space="0"/>
              <w:left w:val="single" w:color="000000" w:sz="4" w:space="0"/>
              <w:bottom w:val="single" w:color="000000" w:sz="4" w:space="0"/>
              <w:right w:val="single" w:color="000000" w:sz="4" w:space="0"/>
            </w:tcBorders>
            <w:vAlign w:val="center"/>
          </w:tcPr>
          <w:p w14:paraId="75C7A25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支持查看支付申请表及请款材料后，通过在线填写或审核意见上传等方式，进行资金拨付意见提交</w:t>
            </w:r>
          </w:p>
        </w:tc>
      </w:tr>
      <w:tr w14:paraId="5B90B3E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03C006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7446A7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D37D8F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项目实施监管-资金拨付监管-合同支付情况表生成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125ED7B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根据合同付款台账清单等数据，自动生成合同支付情况表，支持按项目、合同、时间周期等维度自定义筛选条件，快速生成特定范围的支付情况表</w:t>
            </w:r>
          </w:p>
        </w:tc>
      </w:tr>
      <w:tr w14:paraId="43B80C8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FE7734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FEC0FC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D673A2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项目实施监管-项目资金监管-资金来源信息关联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7F87F58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支持关联资金来源，明确各来源占比</w:t>
            </w:r>
          </w:p>
        </w:tc>
      </w:tr>
      <w:tr w14:paraId="136EC2E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47734E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ED0E05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598243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项目实施监管-项目资金监管-资金拨付信息关联</w:t>
            </w:r>
          </w:p>
        </w:tc>
        <w:tc>
          <w:tcPr>
            <w:tcW w:w="2499" w:type="pct"/>
            <w:tcBorders>
              <w:top w:val="single" w:color="000000" w:sz="4" w:space="0"/>
              <w:left w:val="single" w:color="000000" w:sz="4" w:space="0"/>
              <w:bottom w:val="single" w:color="000000" w:sz="4" w:space="0"/>
              <w:right w:val="single" w:color="000000" w:sz="4" w:space="0"/>
            </w:tcBorders>
            <w:vAlign w:val="center"/>
          </w:tcPr>
          <w:p w14:paraId="03FB2C7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支持进行资金投入信息的关联，当月发生资金规模变化时必须上传资金凭证，填写新增金额以及完成新增凭证的上传操作</w:t>
            </w:r>
          </w:p>
        </w:tc>
      </w:tr>
      <w:tr w14:paraId="6C89897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054C7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827033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74AA7D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项目实施监管-项目资金监管-资金拨付信息核验</w:t>
            </w:r>
          </w:p>
        </w:tc>
        <w:tc>
          <w:tcPr>
            <w:tcW w:w="2499" w:type="pct"/>
            <w:tcBorders>
              <w:top w:val="single" w:color="000000" w:sz="4" w:space="0"/>
              <w:left w:val="single" w:color="000000" w:sz="4" w:space="0"/>
              <w:bottom w:val="single" w:color="000000" w:sz="4" w:space="0"/>
              <w:right w:val="single" w:color="000000" w:sz="4" w:space="0"/>
            </w:tcBorders>
            <w:vAlign w:val="center"/>
          </w:tcPr>
          <w:p w14:paraId="76D2EA0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包括设定资金投入信息校验规则，资金拨付提示、资金使用情况校验</w:t>
            </w:r>
          </w:p>
        </w:tc>
      </w:tr>
      <w:tr w14:paraId="37F5668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9704B4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46E5C8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AF91FC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项目实施监管-项目资金监管-资金数据质量校核</w:t>
            </w:r>
          </w:p>
        </w:tc>
        <w:tc>
          <w:tcPr>
            <w:tcW w:w="2499" w:type="pct"/>
            <w:tcBorders>
              <w:top w:val="single" w:color="000000" w:sz="4" w:space="0"/>
              <w:left w:val="single" w:color="000000" w:sz="4" w:space="0"/>
              <w:bottom w:val="single" w:color="000000" w:sz="4" w:space="0"/>
              <w:right w:val="single" w:color="000000" w:sz="4" w:space="0"/>
            </w:tcBorders>
            <w:vAlign w:val="center"/>
          </w:tcPr>
          <w:p w14:paraId="4080BB0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支持设定资金数据质量校核规则，按照规则进行分析，包括数据的齐全性和完整性</w:t>
            </w:r>
          </w:p>
        </w:tc>
      </w:tr>
      <w:tr w14:paraId="225BD8F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938A66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C2E38B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22D9C5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项目实施监管-项目资金监管-资金流入情况分析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1952165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支持资金流入情况分析，对各类资金来源的比例进行汇总分析</w:t>
            </w:r>
          </w:p>
        </w:tc>
      </w:tr>
      <w:tr w14:paraId="2CDE431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421E32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A6F807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034E7E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项目实施监管-项目资金监管-资金流出情况分析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752B0DC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按照时间、支付情况、资金用途等多重条件对全域土地综合整治项目资金使用情况进行统计</w:t>
            </w:r>
          </w:p>
        </w:tc>
      </w:tr>
      <w:tr w14:paraId="55B0FE5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57491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1F3D23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38B719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项目实施监管-项目资金监管-资金执行预警分析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12F0CB4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对资金的流入、流出是否按计划执行进行整体评价，对存在未按期执行的资金流动情况进行预警提醒</w:t>
            </w:r>
          </w:p>
        </w:tc>
      </w:tr>
      <w:tr w14:paraId="18C9A26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F399AD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EFDB5B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FB7864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项目实施监管-项目质量监管-工程质量指标数据填报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6401A07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实现全域整治工程质量相关指标模板的预设，并进行线上化、结构化的数据填报采集，指标覆盖施工各阶段的关键参数</w:t>
            </w:r>
          </w:p>
        </w:tc>
      </w:tr>
      <w:tr w14:paraId="18C9B59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A60FD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BCA577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35AB3C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项目实施监管-项目质量监管-生态环境质量监测数据接入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109B82F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通过API接口连接环境监测设备，实时抓取数据，标注监测点位，动态展示数据变化趋势，支持预设生态指标阈值，超标时自动触发预警</w:t>
            </w:r>
          </w:p>
        </w:tc>
      </w:tr>
      <w:tr w14:paraId="5B950E7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4EEE59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DB6E63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CA802B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项目实施监管-项目质量监管-新增耕地土壤检测数据填报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78FEC08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通过预设新增耕地的土壤检测指标，规范新增耕地土壤质量检测数据的采集</w:t>
            </w:r>
          </w:p>
        </w:tc>
      </w:tr>
      <w:tr w14:paraId="7C14D4E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5E3CC7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733DE0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66D0A8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项目实施监管-项目质量监管-新增耕地质量等别数据填报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322ED7A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针对新增耕地的质量等别数据进行指标数值的填报</w:t>
            </w:r>
          </w:p>
        </w:tc>
      </w:tr>
      <w:tr w14:paraId="51258FE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16B13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F7D95C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86078E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项目实施监管-项目质量监管-数据质量校核分析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5EC0EA7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通过内置数据质量校验规则，进行数据的多维度校验和分析，确保监管数据的准确性、完整性和一致性</w:t>
            </w:r>
          </w:p>
        </w:tc>
      </w:tr>
      <w:tr w14:paraId="1ED3FEC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249F5E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EDF3EE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AF4A4C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项目实施监管-项目质量监管-质量变化情况预警分析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6FF1E00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实时监测项目质量动态，提前预警风险，辅助监管部门快速响应</w:t>
            </w:r>
          </w:p>
        </w:tc>
      </w:tr>
      <w:tr w14:paraId="15C400A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9DDEA2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6B691B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71E456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项目实施监管-项目质量监管-质量监测报告生成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4B81633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自动汇总多源数据，生成规范化、可视化的质量监测报告</w:t>
            </w:r>
          </w:p>
        </w:tc>
      </w:tr>
      <w:tr w14:paraId="13E9A10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F30292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94CC3A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E774F4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项目实施监管-项目质量监管-项目质量监管信息按模板导出</w:t>
            </w:r>
          </w:p>
        </w:tc>
        <w:tc>
          <w:tcPr>
            <w:tcW w:w="2499" w:type="pct"/>
            <w:tcBorders>
              <w:top w:val="single" w:color="000000" w:sz="4" w:space="0"/>
              <w:left w:val="single" w:color="000000" w:sz="4" w:space="0"/>
              <w:bottom w:val="single" w:color="000000" w:sz="4" w:space="0"/>
              <w:right w:val="single" w:color="000000" w:sz="4" w:space="0"/>
            </w:tcBorders>
            <w:vAlign w:val="center"/>
          </w:tcPr>
          <w:p w14:paraId="373F92C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满足数据上报、存档及对外共享需求，提供标准化数据导出服务</w:t>
            </w:r>
          </w:p>
        </w:tc>
      </w:tr>
      <w:tr w14:paraId="794AA83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36D488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2FACA4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367A73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竣工验收管理-验收条件符合审查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44338A0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对子项目的实施进度、上报材料进行验收符合性审查分析</w:t>
            </w:r>
          </w:p>
        </w:tc>
      </w:tr>
      <w:tr w14:paraId="0405725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82CD3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CB82BF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546DB8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竣工验收管理-基础数据一键生成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226983E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按项目阶段、文件类型进行分类整理，支持对全过程环节材料进行一键打包并自动下载，导出整体验收的基础资料</w:t>
            </w:r>
          </w:p>
        </w:tc>
      </w:tr>
      <w:tr w14:paraId="01AE881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C58FB8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4825A4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94F41B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竣工验收管理-竣工验收申报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6D0F494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支持通过在线应用进行整体验收申报表单信息填写，自动集成相关的项目成果资料，并支持验收方案成果的上传</w:t>
            </w:r>
          </w:p>
        </w:tc>
      </w:tr>
      <w:tr w14:paraId="5A38EE2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DD9505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534E7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996CE7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竣工验收管理-在线辅助审查</w:t>
            </w:r>
          </w:p>
        </w:tc>
        <w:tc>
          <w:tcPr>
            <w:tcW w:w="2499" w:type="pct"/>
            <w:tcBorders>
              <w:top w:val="single" w:color="000000" w:sz="4" w:space="0"/>
              <w:left w:val="single" w:color="000000" w:sz="4" w:space="0"/>
              <w:bottom w:val="single" w:color="000000" w:sz="4" w:space="0"/>
              <w:right w:val="single" w:color="000000" w:sz="4" w:space="0"/>
            </w:tcBorders>
            <w:vAlign w:val="center"/>
          </w:tcPr>
          <w:p w14:paraId="4CE2757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包括耕地和永久基本农田调整前后成效、附表生成、空间数据叠加、图数表一致性比对等</w:t>
            </w:r>
          </w:p>
        </w:tc>
      </w:tr>
      <w:tr w14:paraId="579CBC7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592CC6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C5F9E9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ABD6B1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竣工验收管理-市级部门联审</w:t>
            </w:r>
          </w:p>
        </w:tc>
        <w:tc>
          <w:tcPr>
            <w:tcW w:w="2499" w:type="pct"/>
            <w:tcBorders>
              <w:top w:val="single" w:color="000000" w:sz="4" w:space="0"/>
              <w:left w:val="single" w:color="000000" w:sz="4" w:space="0"/>
              <w:bottom w:val="single" w:color="000000" w:sz="4" w:space="0"/>
              <w:right w:val="single" w:color="000000" w:sz="4" w:space="0"/>
            </w:tcBorders>
            <w:vAlign w:val="center"/>
          </w:tcPr>
          <w:p w14:paraId="701A6C3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支持相关部门通过场景对验收信息进行在线联审，提交各自审查意见后自动汇总形成联审意见</w:t>
            </w:r>
          </w:p>
        </w:tc>
      </w:tr>
      <w:tr w14:paraId="2E44F95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2F2F66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F3BA5A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3DCCD9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竣工验收管理-验收材料管理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2E3231B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支持对各类验收资料进行一键归集，并提供资料的查询和检索、在线浏览功能</w:t>
            </w:r>
          </w:p>
        </w:tc>
      </w:tr>
      <w:tr w14:paraId="59C3AC2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9754C3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CB9477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671C19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竣工验收管理-竣工决算资料备案</w:t>
            </w:r>
          </w:p>
        </w:tc>
        <w:tc>
          <w:tcPr>
            <w:tcW w:w="2499" w:type="pct"/>
            <w:tcBorders>
              <w:top w:val="single" w:color="000000" w:sz="4" w:space="0"/>
              <w:left w:val="single" w:color="000000" w:sz="4" w:space="0"/>
              <w:bottom w:val="single" w:color="000000" w:sz="4" w:space="0"/>
              <w:right w:val="single" w:color="000000" w:sz="4" w:space="0"/>
            </w:tcBorders>
            <w:vAlign w:val="center"/>
          </w:tcPr>
          <w:p w14:paraId="1048C69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将项目竣工验收后的决算资料进行备案，通过系统对各类资料进行一键备案</w:t>
            </w:r>
          </w:p>
        </w:tc>
      </w:tr>
      <w:tr w14:paraId="3B7D744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C9A1C3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5BDDF9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266594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竣工验收管理-新增耕地和永农验收管理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358DEC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支持对涉及新增耕地和永农验收的项目，由市级对验收成果进行管理，区进行永农验收信息登记，并结合验收要求，提供方案一致性分析功能</w:t>
            </w:r>
          </w:p>
        </w:tc>
      </w:tr>
      <w:tr w14:paraId="6320E20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9F6FE7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824700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28A5F2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后期管护管理-管护协议备案</w:t>
            </w:r>
          </w:p>
        </w:tc>
        <w:tc>
          <w:tcPr>
            <w:tcW w:w="2499" w:type="pct"/>
            <w:tcBorders>
              <w:top w:val="single" w:color="000000" w:sz="4" w:space="0"/>
              <w:left w:val="single" w:color="000000" w:sz="4" w:space="0"/>
              <w:bottom w:val="single" w:color="000000" w:sz="4" w:space="0"/>
              <w:right w:val="single" w:color="000000" w:sz="4" w:space="0"/>
            </w:tcBorders>
            <w:vAlign w:val="center"/>
          </w:tcPr>
          <w:p w14:paraId="6130A27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对各类整治项目的后期管护协议进行备案管理</w:t>
            </w:r>
          </w:p>
        </w:tc>
      </w:tr>
      <w:tr w14:paraId="4B999C5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562050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884AF8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7FE646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后期管护管理-项目立卷归档</w:t>
            </w:r>
          </w:p>
        </w:tc>
        <w:tc>
          <w:tcPr>
            <w:tcW w:w="2499" w:type="pct"/>
            <w:tcBorders>
              <w:top w:val="single" w:color="000000" w:sz="4" w:space="0"/>
              <w:left w:val="single" w:color="000000" w:sz="4" w:space="0"/>
              <w:bottom w:val="single" w:color="000000" w:sz="4" w:space="0"/>
              <w:right w:val="single" w:color="000000" w:sz="4" w:space="0"/>
            </w:tcBorders>
            <w:vAlign w:val="center"/>
          </w:tcPr>
          <w:p w14:paraId="11F3CF6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对各类整治项目的后期管护成果进行立卷归档</w:t>
            </w:r>
          </w:p>
        </w:tc>
      </w:tr>
      <w:tr w14:paraId="69FC806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409885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B1C632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A8D5E5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后期管护管理-管护项目跟踪</w:t>
            </w:r>
          </w:p>
        </w:tc>
        <w:tc>
          <w:tcPr>
            <w:tcW w:w="2499" w:type="pct"/>
            <w:tcBorders>
              <w:top w:val="single" w:color="000000" w:sz="4" w:space="0"/>
              <w:left w:val="single" w:color="000000" w:sz="4" w:space="0"/>
              <w:bottom w:val="single" w:color="000000" w:sz="4" w:space="0"/>
              <w:right w:val="single" w:color="000000" w:sz="4" w:space="0"/>
            </w:tcBorders>
            <w:vAlign w:val="center"/>
          </w:tcPr>
          <w:p w14:paraId="4EF5481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对于新增耕地子项目，形成后期管护跟踪项目清单，对发生问题的项目进行及时的跟踪预警</w:t>
            </w:r>
          </w:p>
        </w:tc>
      </w:tr>
      <w:tr w14:paraId="097080B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4DFBBC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3DCB9D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56950A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后期管护管理-运营效益跟踪</w:t>
            </w:r>
          </w:p>
        </w:tc>
        <w:tc>
          <w:tcPr>
            <w:tcW w:w="2499" w:type="pct"/>
            <w:tcBorders>
              <w:top w:val="single" w:color="000000" w:sz="4" w:space="0"/>
              <w:left w:val="single" w:color="000000" w:sz="4" w:space="0"/>
              <w:bottom w:val="single" w:color="000000" w:sz="4" w:space="0"/>
              <w:right w:val="single" w:color="000000" w:sz="4" w:space="0"/>
            </w:tcBorders>
            <w:vAlign w:val="center"/>
          </w:tcPr>
          <w:p w14:paraId="2F5AA15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选取成效明显的项目形成运营效益跟踪清单，定制效益跟踪模板，由项目实施部门持续反馈项目各类效益</w:t>
            </w:r>
          </w:p>
        </w:tc>
      </w:tr>
      <w:tr w14:paraId="3611FEA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1A493B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C5E6E3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3051D6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风险监测-实施风险监管-风险点归集</w:t>
            </w:r>
          </w:p>
        </w:tc>
        <w:tc>
          <w:tcPr>
            <w:tcW w:w="2499" w:type="pct"/>
            <w:tcBorders>
              <w:top w:val="single" w:color="000000" w:sz="4" w:space="0"/>
              <w:left w:val="single" w:color="000000" w:sz="4" w:space="0"/>
              <w:bottom w:val="single" w:color="000000" w:sz="4" w:space="0"/>
              <w:right w:val="single" w:color="000000" w:sz="4" w:space="0"/>
            </w:tcBorders>
            <w:vAlign w:val="center"/>
          </w:tcPr>
          <w:p w14:paraId="4625926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对全域项目范围内涉及的疑似风险问题进行动态归集，形成疑似风险清单，支持对项目疑似风险信息的查询、浏览、定位和批量下载</w:t>
            </w:r>
          </w:p>
        </w:tc>
      </w:tr>
      <w:tr w14:paraId="11B5FF4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0E1F3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51CC08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0A374E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风险监测-实施风险监管-风险识别</w:t>
            </w:r>
          </w:p>
        </w:tc>
        <w:tc>
          <w:tcPr>
            <w:tcW w:w="2499" w:type="pct"/>
            <w:tcBorders>
              <w:top w:val="single" w:color="000000" w:sz="4" w:space="0"/>
              <w:left w:val="single" w:color="000000" w:sz="4" w:space="0"/>
              <w:bottom w:val="single" w:color="000000" w:sz="4" w:space="0"/>
              <w:right w:val="single" w:color="000000" w:sz="4" w:space="0"/>
            </w:tcBorders>
            <w:vAlign w:val="center"/>
          </w:tcPr>
          <w:p w14:paraId="06289B3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对疑似风险清单进行辅助分析，对于识别通过的非风险问题进行消除，对难以判断或者明确为风险的问题纳入风险问题清单</w:t>
            </w:r>
          </w:p>
        </w:tc>
      </w:tr>
      <w:tr w14:paraId="49D483C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39AA0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27836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7C012E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风险监测-实施风险监管-风险推送</w:t>
            </w:r>
          </w:p>
        </w:tc>
        <w:tc>
          <w:tcPr>
            <w:tcW w:w="2499" w:type="pct"/>
            <w:tcBorders>
              <w:top w:val="single" w:color="000000" w:sz="4" w:space="0"/>
              <w:left w:val="single" w:color="000000" w:sz="4" w:space="0"/>
              <w:bottom w:val="single" w:color="000000" w:sz="4" w:space="0"/>
              <w:right w:val="single" w:color="000000" w:sz="4" w:space="0"/>
            </w:tcBorders>
            <w:vAlign w:val="center"/>
          </w:tcPr>
          <w:p w14:paraId="6BCB28F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将认定风险项目的信息推送到项目责任主体及行业主管部门，支持查询到风险的来源、识别过程信息</w:t>
            </w:r>
          </w:p>
        </w:tc>
      </w:tr>
      <w:tr w14:paraId="44F89B0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2E8F2F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A1A0FE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3F239B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风险监测-实施风险监管-风险整改反馈</w:t>
            </w:r>
          </w:p>
        </w:tc>
        <w:tc>
          <w:tcPr>
            <w:tcW w:w="2499" w:type="pct"/>
            <w:tcBorders>
              <w:top w:val="single" w:color="000000" w:sz="4" w:space="0"/>
              <w:left w:val="single" w:color="000000" w:sz="4" w:space="0"/>
              <w:bottom w:val="single" w:color="000000" w:sz="4" w:space="0"/>
              <w:right w:val="single" w:color="000000" w:sz="4" w:space="0"/>
            </w:tcBorders>
            <w:vAlign w:val="center"/>
          </w:tcPr>
          <w:p w14:paraId="70EC540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对于需要进行整改的风险问题，支持责任主体在风险问题整改后，上传整改材料，对于完成整改的任务进行关闭，在风险问题清单中进行销号</w:t>
            </w:r>
          </w:p>
        </w:tc>
      </w:tr>
      <w:tr w14:paraId="7D075EB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B7102E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DEE3F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B50A4C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风险监测-实施风险监管-风险闭环统计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4A34CA8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按照风险点归集、风险识别、风险推送、风险整改反馈过程，对风险问题进行计算分析</w:t>
            </w:r>
          </w:p>
        </w:tc>
      </w:tr>
      <w:tr w14:paraId="1087FF4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419945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795C55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9C28A2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风险监测-风险规则模型-多规协同规则</w:t>
            </w:r>
          </w:p>
        </w:tc>
        <w:tc>
          <w:tcPr>
            <w:tcW w:w="2499" w:type="pct"/>
            <w:tcBorders>
              <w:top w:val="single" w:color="000000" w:sz="4" w:space="0"/>
              <w:left w:val="single" w:color="000000" w:sz="4" w:space="0"/>
              <w:bottom w:val="single" w:color="000000" w:sz="4" w:space="0"/>
              <w:right w:val="single" w:color="000000" w:sz="4" w:space="0"/>
            </w:tcBorders>
            <w:vAlign w:val="center"/>
          </w:tcPr>
          <w:p w14:paraId="3CB2EF2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梳理多规协同规则，包括衔接既有的国土空间规划、生态保护红线、永久基本农田、城镇开发边界等上位法定规划与刚性管控要求</w:t>
            </w:r>
          </w:p>
        </w:tc>
      </w:tr>
      <w:tr w14:paraId="31DFAB5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A52108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A805F6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53BA9A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风险监测-风险规则模型-计划入库条件</w:t>
            </w:r>
          </w:p>
        </w:tc>
        <w:tc>
          <w:tcPr>
            <w:tcW w:w="2499" w:type="pct"/>
            <w:tcBorders>
              <w:top w:val="single" w:color="000000" w:sz="4" w:space="0"/>
              <w:left w:val="single" w:color="000000" w:sz="4" w:space="0"/>
              <w:bottom w:val="single" w:color="000000" w:sz="4" w:space="0"/>
              <w:right w:val="single" w:color="000000" w:sz="4" w:space="0"/>
            </w:tcBorders>
            <w:vAlign w:val="center"/>
          </w:tcPr>
          <w:p w14:paraId="5CD9478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梳理项目实施可行性、合规性、效益预期等多维度的关键审查要素及其量化阈值或定性标准</w:t>
            </w:r>
          </w:p>
        </w:tc>
      </w:tr>
      <w:tr w14:paraId="52CC298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C321ED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C43B6C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A5D038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风险监测-风险规则模型-开发边界调整规则</w:t>
            </w:r>
          </w:p>
        </w:tc>
        <w:tc>
          <w:tcPr>
            <w:tcW w:w="2499" w:type="pct"/>
            <w:tcBorders>
              <w:top w:val="single" w:color="000000" w:sz="4" w:space="0"/>
              <w:left w:val="single" w:color="000000" w:sz="4" w:space="0"/>
              <w:bottom w:val="single" w:color="000000" w:sz="4" w:space="0"/>
              <w:right w:val="single" w:color="000000" w:sz="4" w:space="0"/>
            </w:tcBorders>
            <w:vAlign w:val="center"/>
          </w:tcPr>
          <w:p w14:paraId="53EC47F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建立城镇开发边界状态变化感知与比对规则，及时获取潜在的不合规变化信息</w:t>
            </w:r>
          </w:p>
        </w:tc>
      </w:tr>
      <w:tr w14:paraId="5E28642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314C0A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595D9C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FB31AF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风险监测-风险规则模型-补充布局调整规则</w:t>
            </w:r>
          </w:p>
        </w:tc>
        <w:tc>
          <w:tcPr>
            <w:tcW w:w="2499" w:type="pct"/>
            <w:tcBorders>
              <w:top w:val="single" w:color="000000" w:sz="4" w:space="0"/>
              <w:left w:val="single" w:color="000000" w:sz="4" w:space="0"/>
              <w:bottom w:val="single" w:color="000000" w:sz="4" w:space="0"/>
              <w:right w:val="single" w:color="000000" w:sz="4" w:space="0"/>
            </w:tcBorders>
            <w:vAlign w:val="center"/>
          </w:tcPr>
          <w:p w14:paraId="5892E63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梳理永农布局调整规则，支持获取区域内发生的涉及永农田块的图斑变化信息</w:t>
            </w:r>
          </w:p>
        </w:tc>
      </w:tr>
      <w:tr w14:paraId="00F8052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33DC91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3BF5EC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F52C45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风险监测-风险规则模型-计划出库条件</w:t>
            </w:r>
          </w:p>
        </w:tc>
        <w:tc>
          <w:tcPr>
            <w:tcW w:w="2499" w:type="pct"/>
            <w:tcBorders>
              <w:top w:val="single" w:color="000000" w:sz="4" w:space="0"/>
              <w:left w:val="single" w:color="000000" w:sz="4" w:space="0"/>
              <w:bottom w:val="single" w:color="000000" w:sz="4" w:space="0"/>
              <w:right w:val="single" w:color="000000" w:sz="4" w:space="0"/>
            </w:tcBorders>
            <w:vAlign w:val="center"/>
          </w:tcPr>
          <w:p w14:paraId="0FCF929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梳理计划出库条件，支持对项目移出储备库的多种情形进行判定和移除</w:t>
            </w:r>
          </w:p>
        </w:tc>
      </w:tr>
      <w:tr w14:paraId="5B4DF01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0EE66B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61A01B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3C27EF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风险监测-风险规则模型-工程进度偏离风险</w:t>
            </w:r>
          </w:p>
        </w:tc>
        <w:tc>
          <w:tcPr>
            <w:tcW w:w="2499" w:type="pct"/>
            <w:tcBorders>
              <w:top w:val="single" w:color="000000" w:sz="4" w:space="0"/>
              <w:left w:val="single" w:color="000000" w:sz="4" w:space="0"/>
              <w:bottom w:val="single" w:color="000000" w:sz="4" w:space="0"/>
              <w:right w:val="single" w:color="000000" w:sz="4" w:space="0"/>
            </w:tcBorders>
            <w:vAlign w:val="center"/>
          </w:tcPr>
          <w:p w14:paraId="1F94258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梳理工程进度偏离风险监控规则，实时捕捉、智能评估并整治项目实施中出现的工期滞后或超前偏离计划基准线的风险状况</w:t>
            </w:r>
          </w:p>
        </w:tc>
      </w:tr>
      <w:tr w14:paraId="442CC43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1DF686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A9EDB4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E16D0F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风险监测-风险规则模型-耕地质量等到下降风险</w:t>
            </w:r>
          </w:p>
        </w:tc>
        <w:tc>
          <w:tcPr>
            <w:tcW w:w="2499" w:type="pct"/>
            <w:tcBorders>
              <w:top w:val="single" w:color="000000" w:sz="4" w:space="0"/>
              <w:left w:val="single" w:color="000000" w:sz="4" w:space="0"/>
              <w:bottom w:val="single" w:color="000000" w:sz="4" w:space="0"/>
              <w:right w:val="single" w:color="000000" w:sz="4" w:space="0"/>
            </w:tcBorders>
            <w:vAlign w:val="center"/>
          </w:tcPr>
          <w:p w14:paraId="4BAB228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梳理耕地质量等别下降风险监控规则，识别整治项目实施过程中或后期管护阶段出现的耕地质量下降趋势或低于预设目标等级的风险</w:t>
            </w:r>
          </w:p>
        </w:tc>
      </w:tr>
      <w:tr w14:paraId="0F4D376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50B686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3D1583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A49ED2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风险监测-风险规则模型-耕地和永农规模减少</w:t>
            </w:r>
          </w:p>
        </w:tc>
        <w:tc>
          <w:tcPr>
            <w:tcW w:w="2499" w:type="pct"/>
            <w:tcBorders>
              <w:top w:val="single" w:color="000000" w:sz="4" w:space="0"/>
              <w:left w:val="single" w:color="000000" w:sz="4" w:space="0"/>
              <w:bottom w:val="single" w:color="000000" w:sz="4" w:space="0"/>
              <w:right w:val="single" w:color="000000" w:sz="4" w:space="0"/>
            </w:tcBorders>
            <w:vAlign w:val="center"/>
          </w:tcPr>
          <w:p w14:paraId="0D7C7BA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梳理耕地和永农规模减少风险监控规则，严控并预警项目实施过程中出现区域耕地总面积、永久基本农田保护面积减少的风险。</w:t>
            </w:r>
          </w:p>
        </w:tc>
      </w:tr>
      <w:tr w14:paraId="4C3E972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400E9A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D24393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8273B6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风险监测-风险规则模型-生态环境破坏风险</w:t>
            </w:r>
          </w:p>
        </w:tc>
        <w:tc>
          <w:tcPr>
            <w:tcW w:w="2499" w:type="pct"/>
            <w:tcBorders>
              <w:top w:val="single" w:color="000000" w:sz="4" w:space="0"/>
              <w:left w:val="single" w:color="000000" w:sz="4" w:space="0"/>
              <w:bottom w:val="single" w:color="000000" w:sz="4" w:space="0"/>
              <w:right w:val="single" w:color="000000" w:sz="4" w:space="0"/>
            </w:tcBorders>
            <w:vAlign w:val="center"/>
          </w:tcPr>
          <w:p w14:paraId="37FD6ED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梳理生态环境破坏风险监控规则，对项目实施过程中可能导致的区域生态系统结构受损、生态功能退化或重要生境丧失等风险进行提醒</w:t>
            </w:r>
          </w:p>
        </w:tc>
      </w:tr>
      <w:tr w14:paraId="707BE23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7A94AB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3362D2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41A359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风险监测-风险规则模型-项目资金风险</w:t>
            </w:r>
          </w:p>
        </w:tc>
        <w:tc>
          <w:tcPr>
            <w:tcW w:w="2499" w:type="pct"/>
            <w:tcBorders>
              <w:top w:val="single" w:color="000000" w:sz="4" w:space="0"/>
              <w:left w:val="single" w:color="000000" w:sz="4" w:space="0"/>
              <w:bottom w:val="single" w:color="000000" w:sz="4" w:space="0"/>
              <w:right w:val="single" w:color="000000" w:sz="4" w:space="0"/>
            </w:tcBorders>
            <w:vAlign w:val="center"/>
          </w:tcPr>
          <w:p w14:paraId="391A794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梳理项目资金风险监控规则，动态识别、量化评估与及时预警项目实施中潜在的资金来源风险</w:t>
            </w:r>
          </w:p>
        </w:tc>
      </w:tr>
      <w:tr w14:paraId="0BE2188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7E48E7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D368DF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6223A8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协同工作-协同谋划-信息共享</w:t>
            </w:r>
          </w:p>
        </w:tc>
        <w:tc>
          <w:tcPr>
            <w:tcW w:w="2499" w:type="pct"/>
            <w:tcBorders>
              <w:top w:val="single" w:color="000000" w:sz="4" w:space="0"/>
              <w:left w:val="single" w:color="000000" w:sz="4" w:space="0"/>
              <w:bottom w:val="single" w:color="000000" w:sz="4" w:space="0"/>
              <w:right w:val="single" w:color="000000" w:sz="4" w:space="0"/>
            </w:tcBorders>
            <w:vAlign w:val="center"/>
          </w:tcPr>
          <w:p w14:paraId="4966AC9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提供项目基本信息和空间范围查询功能，支持查看项目的各阶段信息</w:t>
            </w:r>
          </w:p>
        </w:tc>
      </w:tr>
      <w:tr w14:paraId="09783B7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491671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B40AF9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2F3745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协同工作-协同谋划-信息更新</w:t>
            </w:r>
          </w:p>
        </w:tc>
        <w:tc>
          <w:tcPr>
            <w:tcW w:w="2499" w:type="pct"/>
            <w:tcBorders>
              <w:top w:val="single" w:color="000000" w:sz="4" w:space="0"/>
              <w:left w:val="single" w:color="000000" w:sz="4" w:space="0"/>
              <w:bottom w:val="single" w:color="000000" w:sz="4" w:space="0"/>
              <w:right w:val="single" w:color="000000" w:sz="4" w:space="0"/>
            </w:tcBorders>
            <w:vAlign w:val="center"/>
          </w:tcPr>
          <w:p w14:paraId="17E7730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提供项目信息协同更新入口，在项目谋划过程中，支持各类用户对项目的各类信息进行协同更新</w:t>
            </w:r>
          </w:p>
        </w:tc>
      </w:tr>
      <w:tr w14:paraId="71AEE39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D8F0BD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68248B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AC9F8F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协同工作-协同谋划-意见征求</w:t>
            </w:r>
          </w:p>
        </w:tc>
        <w:tc>
          <w:tcPr>
            <w:tcW w:w="2499" w:type="pct"/>
            <w:tcBorders>
              <w:top w:val="single" w:color="000000" w:sz="4" w:space="0"/>
              <w:left w:val="single" w:color="000000" w:sz="4" w:space="0"/>
              <w:bottom w:val="single" w:color="000000" w:sz="4" w:space="0"/>
              <w:right w:val="single" w:color="000000" w:sz="4" w:space="0"/>
            </w:tcBorders>
            <w:vAlign w:val="center"/>
          </w:tcPr>
          <w:p w14:paraId="662169C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提供意见征求模块，在项目谋划过程中，支持中心对各类用户发起对项目谋划情况的意见征求与收集任务</w:t>
            </w:r>
          </w:p>
        </w:tc>
      </w:tr>
      <w:tr w14:paraId="28F1807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DE505B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4889F4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9A4AC8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协同工作-协同治理-项目库申报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061F563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提供储备项目申报入口，支持各条线部门参与储备项目的申报，填写项目基本信息、上传空间范围及材料附件</w:t>
            </w:r>
          </w:p>
        </w:tc>
      </w:tr>
      <w:tr w14:paraId="7D089B2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0D0D6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647361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BAED59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协同工作-协同治理-项目库会商</w:t>
            </w:r>
          </w:p>
        </w:tc>
        <w:tc>
          <w:tcPr>
            <w:tcW w:w="2499" w:type="pct"/>
            <w:tcBorders>
              <w:top w:val="single" w:color="000000" w:sz="4" w:space="0"/>
              <w:left w:val="single" w:color="000000" w:sz="4" w:space="0"/>
              <w:bottom w:val="single" w:color="000000" w:sz="4" w:space="0"/>
              <w:right w:val="single" w:color="000000" w:sz="4" w:space="0"/>
            </w:tcBorders>
            <w:vAlign w:val="center"/>
          </w:tcPr>
          <w:p w14:paraId="34910B6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提供储备项目会商入口，支持各类用户在收到项目会商请求的时候，对各类项目的要素保障情况进行会商研判</w:t>
            </w:r>
          </w:p>
        </w:tc>
      </w:tr>
      <w:tr w14:paraId="3C6FF94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93537C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2C789B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2E62FF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协同工作-协同监管-问题推送</w:t>
            </w:r>
          </w:p>
        </w:tc>
        <w:tc>
          <w:tcPr>
            <w:tcW w:w="2499" w:type="pct"/>
            <w:tcBorders>
              <w:top w:val="single" w:color="000000" w:sz="4" w:space="0"/>
              <w:left w:val="single" w:color="000000" w:sz="4" w:space="0"/>
              <w:bottom w:val="single" w:color="000000" w:sz="4" w:space="0"/>
              <w:right w:val="single" w:color="000000" w:sz="4" w:space="0"/>
            </w:tcBorders>
            <w:vAlign w:val="center"/>
          </w:tcPr>
          <w:p w14:paraId="3128A23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对于认定为风险的项目将推到项目责任主体，并进行消息通知、风险定位、问题查看等</w:t>
            </w:r>
          </w:p>
        </w:tc>
      </w:tr>
      <w:tr w14:paraId="186E374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703AA4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C79FDB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542BFD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协同工作-协同监管-整改反馈</w:t>
            </w:r>
          </w:p>
        </w:tc>
        <w:tc>
          <w:tcPr>
            <w:tcW w:w="2499" w:type="pct"/>
            <w:tcBorders>
              <w:top w:val="single" w:color="000000" w:sz="4" w:space="0"/>
              <w:left w:val="single" w:color="000000" w:sz="4" w:space="0"/>
              <w:bottom w:val="single" w:color="000000" w:sz="4" w:space="0"/>
              <w:right w:val="single" w:color="000000" w:sz="4" w:space="0"/>
            </w:tcBorders>
            <w:vAlign w:val="center"/>
          </w:tcPr>
          <w:p w14:paraId="19C471E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对风险问题进行整改，支持项目责任主体进行现场整改资料的上传</w:t>
            </w:r>
          </w:p>
        </w:tc>
      </w:tr>
      <w:tr w14:paraId="6A73ADA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AD7BD5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79BF6C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D10963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协同工作-协同评价-信息推送及评价征求</w:t>
            </w:r>
          </w:p>
        </w:tc>
        <w:tc>
          <w:tcPr>
            <w:tcW w:w="2499" w:type="pct"/>
            <w:tcBorders>
              <w:top w:val="single" w:color="000000" w:sz="4" w:space="0"/>
              <w:left w:val="single" w:color="000000" w:sz="4" w:space="0"/>
              <w:bottom w:val="single" w:color="000000" w:sz="4" w:space="0"/>
              <w:right w:val="single" w:color="000000" w:sz="4" w:space="0"/>
            </w:tcBorders>
            <w:vAlign w:val="center"/>
          </w:tcPr>
          <w:p w14:paraId="09CFE52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支持将待评价的项目信息推送给相关责任主体，并征求评价意见</w:t>
            </w:r>
          </w:p>
        </w:tc>
      </w:tr>
      <w:tr w14:paraId="7D01A39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332946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9F2C89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59536E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协同工作-协同评价-评价反馈</w:t>
            </w:r>
          </w:p>
        </w:tc>
        <w:tc>
          <w:tcPr>
            <w:tcW w:w="2499" w:type="pct"/>
            <w:tcBorders>
              <w:top w:val="single" w:color="000000" w:sz="4" w:space="0"/>
              <w:left w:val="single" w:color="000000" w:sz="4" w:space="0"/>
              <w:bottom w:val="single" w:color="000000" w:sz="4" w:space="0"/>
              <w:right w:val="single" w:color="000000" w:sz="4" w:space="0"/>
            </w:tcBorders>
            <w:vAlign w:val="center"/>
          </w:tcPr>
          <w:p w14:paraId="10C1B95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支持市级相关部门通过场景对项目进行在线协同评价，提交各自评价意见后自动汇总形成评价结果意见</w:t>
            </w:r>
          </w:p>
        </w:tc>
      </w:tr>
      <w:tr w14:paraId="664D10E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A1527A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175</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00A6A24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生态修复项目监管子系统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517FD4D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生态修复项目实施管理-项目阶段管理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268194B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实现对生态修复项目阶段的进展进行监管，包括项目总览、项目管理、进度监管</w:t>
            </w:r>
          </w:p>
        </w:tc>
      </w:tr>
      <w:tr w14:paraId="0995AFB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EDD8CE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50375A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D8301A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生态修复项目实施管理-遥感影像管理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0FAA5F5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包括遥感影像管理、遥感对比分析、遥感变化预警、遥感监测工具接入</w:t>
            </w:r>
          </w:p>
        </w:tc>
      </w:tr>
      <w:tr w14:paraId="2FF82B9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CB5A65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50D6A4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249EE8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生态修复项目实施管理-视频监控管理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015C49C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包括在线视频监控、视频监控预警</w:t>
            </w:r>
          </w:p>
        </w:tc>
      </w:tr>
      <w:tr w14:paraId="6EA86D0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5BF67C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BF4DE1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FAC376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生态修复项目实施管理-移动巡查管理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6512F66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提供移动端的项目空间分布、巡查数据上报、项目进展监管</w:t>
            </w:r>
          </w:p>
        </w:tc>
      </w:tr>
      <w:tr w14:paraId="42B28C0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AE3E70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E78050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8A3CC4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生态修复项目资金管理-资金流入管理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3F9EA5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对生态修复项目资金来源情况进行管理，包括资金录入、资金分配</w:t>
            </w:r>
          </w:p>
        </w:tc>
      </w:tr>
      <w:tr w14:paraId="0C87FC9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A43277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BD013F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665F6A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生态修复项目资金管理-资金流出管理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90E8DB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对生态修复项目资金使用情况进行管理，实现资金流出信息记录，包括执行登记、资金流向</w:t>
            </w:r>
          </w:p>
        </w:tc>
      </w:tr>
      <w:tr w14:paraId="10E8DEA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E204C9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F8708C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46B67C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生态修复项目资金管理-资金统计管理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087847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支持对生态修复项目资金使用情况进行统计，包括资金使用动态、资金投入汇总、统计报告导出</w:t>
            </w:r>
          </w:p>
        </w:tc>
      </w:tr>
      <w:tr w14:paraId="4B7CEF2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02EADF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EA27B8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A1510A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生态修复项目资金管理-资金预警分析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0B2A347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包括资金使用预警、资金支出预警</w:t>
            </w:r>
          </w:p>
        </w:tc>
      </w:tr>
      <w:tr w14:paraId="1B60A76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0526CF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A69541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91A54F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项目成效监管-整治案例集导览</w:t>
            </w:r>
          </w:p>
        </w:tc>
        <w:tc>
          <w:tcPr>
            <w:tcW w:w="2499" w:type="pct"/>
            <w:tcBorders>
              <w:top w:val="single" w:color="000000" w:sz="4" w:space="0"/>
              <w:left w:val="single" w:color="000000" w:sz="4" w:space="0"/>
              <w:bottom w:val="single" w:color="000000" w:sz="4" w:space="0"/>
              <w:right w:val="single" w:color="000000" w:sz="4" w:space="0"/>
            </w:tcBorders>
            <w:vAlign w:val="center"/>
          </w:tcPr>
          <w:p w14:paraId="1E578E7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提供案例集导览功能，支持整治样板管理、项目缩略索引图，支持案例数据筛选</w:t>
            </w:r>
          </w:p>
        </w:tc>
      </w:tr>
      <w:tr w14:paraId="49EC3EC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2163F9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01BA11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CCB7BF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项目成效监管-案例模板定制</w:t>
            </w:r>
          </w:p>
        </w:tc>
        <w:tc>
          <w:tcPr>
            <w:tcW w:w="2499" w:type="pct"/>
            <w:tcBorders>
              <w:top w:val="single" w:color="000000" w:sz="4" w:space="0"/>
              <w:left w:val="single" w:color="000000" w:sz="4" w:space="0"/>
              <w:bottom w:val="single" w:color="000000" w:sz="4" w:space="0"/>
              <w:right w:val="single" w:color="000000" w:sz="4" w:space="0"/>
            </w:tcBorders>
            <w:vAlign w:val="center"/>
          </w:tcPr>
          <w:p w14:paraId="3015B8B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支持定制案例信息模板，保障“一案例一特色”的呈现</w:t>
            </w:r>
          </w:p>
        </w:tc>
      </w:tr>
      <w:tr w14:paraId="45F1602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388B5A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5D035F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6547CC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项目成效监管-整治案例看板</w:t>
            </w:r>
          </w:p>
        </w:tc>
        <w:tc>
          <w:tcPr>
            <w:tcW w:w="2499" w:type="pct"/>
            <w:tcBorders>
              <w:top w:val="single" w:color="000000" w:sz="4" w:space="0"/>
              <w:left w:val="single" w:color="000000" w:sz="4" w:space="0"/>
              <w:bottom w:val="single" w:color="000000" w:sz="4" w:space="0"/>
              <w:right w:val="single" w:color="000000" w:sz="4" w:space="0"/>
            </w:tcBorders>
            <w:vAlign w:val="center"/>
          </w:tcPr>
          <w:p w14:paraId="1A85981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提供整治案例看板，对案例信息进行多源信息的集成组装和可视化表达呈现</w:t>
            </w:r>
          </w:p>
        </w:tc>
      </w:tr>
      <w:tr w14:paraId="0AFFBBC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E82C93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2BD9E6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ACF07A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项目成效监管-案例全息资料</w:t>
            </w:r>
          </w:p>
        </w:tc>
        <w:tc>
          <w:tcPr>
            <w:tcW w:w="2499" w:type="pct"/>
            <w:tcBorders>
              <w:top w:val="single" w:color="000000" w:sz="4" w:space="0"/>
              <w:left w:val="single" w:color="000000" w:sz="4" w:space="0"/>
              <w:bottom w:val="single" w:color="000000" w:sz="4" w:space="0"/>
              <w:right w:val="single" w:color="000000" w:sz="4" w:space="0"/>
            </w:tcBorders>
            <w:vAlign w:val="center"/>
          </w:tcPr>
          <w:p w14:paraId="3FD1CF8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支持提取案例项目从谋划、实施到评估全过程的资料，并与地图匹配加载</w:t>
            </w:r>
          </w:p>
        </w:tc>
      </w:tr>
      <w:tr w14:paraId="52D187A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C9ADE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0481A2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6F4D9F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项目成效监管-整治空间信息</w:t>
            </w:r>
          </w:p>
        </w:tc>
        <w:tc>
          <w:tcPr>
            <w:tcW w:w="2499" w:type="pct"/>
            <w:tcBorders>
              <w:top w:val="single" w:color="000000" w:sz="4" w:space="0"/>
              <w:left w:val="single" w:color="000000" w:sz="4" w:space="0"/>
              <w:bottom w:val="single" w:color="000000" w:sz="4" w:space="0"/>
              <w:right w:val="single" w:color="000000" w:sz="4" w:space="0"/>
            </w:tcBorders>
            <w:vAlign w:val="center"/>
          </w:tcPr>
          <w:p w14:paraId="297C7E1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支持对项目区整治前地类、整治后地类数据的集成与对比</w:t>
            </w:r>
          </w:p>
        </w:tc>
      </w:tr>
      <w:tr w14:paraId="37866FD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D8E72A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656987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E5848F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项目成效监管-整治数字孪生</w:t>
            </w:r>
          </w:p>
        </w:tc>
        <w:tc>
          <w:tcPr>
            <w:tcW w:w="2499" w:type="pct"/>
            <w:tcBorders>
              <w:top w:val="single" w:color="000000" w:sz="4" w:space="0"/>
              <w:left w:val="single" w:color="000000" w:sz="4" w:space="0"/>
              <w:bottom w:val="single" w:color="000000" w:sz="4" w:space="0"/>
              <w:right w:val="single" w:color="000000" w:sz="4" w:space="0"/>
            </w:tcBorders>
            <w:vAlign w:val="center"/>
          </w:tcPr>
          <w:p w14:paraId="2793D9E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支持在实景三维底图上叠加项目立项、验收阶段矢量范围，支持实景三维数据与影像数据进行分屏对比，对整治效果进行呈现</w:t>
            </w:r>
          </w:p>
        </w:tc>
      </w:tr>
      <w:tr w14:paraId="1BDB930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FAE1D8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53EC72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A49F71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项目成效监管-影像对比功能</w:t>
            </w:r>
          </w:p>
        </w:tc>
        <w:tc>
          <w:tcPr>
            <w:tcW w:w="2499" w:type="pct"/>
            <w:tcBorders>
              <w:top w:val="single" w:color="000000" w:sz="4" w:space="0"/>
              <w:left w:val="single" w:color="000000" w:sz="4" w:space="0"/>
              <w:bottom w:val="single" w:color="000000" w:sz="4" w:space="0"/>
              <w:right w:val="single" w:color="000000" w:sz="4" w:space="0"/>
            </w:tcBorders>
            <w:vAlign w:val="center"/>
          </w:tcPr>
          <w:p w14:paraId="3481F2A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支持提取整治前、整治中、整治后的序列化影像，从地理空间定位、变化时间回溯、平面布局对比等维度进行展示</w:t>
            </w:r>
          </w:p>
        </w:tc>
      </w:tr>
      <w:tr w14:paraId="3A91EC1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1E0612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00B75A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80317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项目成效监管-地类变化信息</w:t>
            </w:r>
          </w:p>
        </w:tc>
        <w:tc>
          <w:tcPr>
            <w:tcW w:w="2499" w:type="pct"/>
            <w:tcBorders>
              <w:top w:val="single" w:color="000000" w:sz="4" w:space="0"/>
              <w:left w:val="single" w:color="000000" w:sz="4" w:space="0"/>
              <w:bottom w:val="single" w:color="000000" w:sz="4" w:space="0"/>
              <w:right w:val="single" w:color="000000" w:sz="4" w:space="0"/>
            </w:tcBorders>
            <w:vAlign w:val="center"/>
          </w:tcPr>
          <w:p w14:paraId="6B70980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支持对项目实施前到实施后，分析项目范围内的地类变化情况，进行历年的地类变化数值和空间的对比分析</w:t>
            </w:r>
          </w:p>
        </w:tc>
      </w:tr>
      <w:tr w14:paraId="5567E5B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B2A13D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87787C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C69C67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项目成效监管-特色成效信息</w:t>
            </w:r>
          </w:p>
        </w:tc>
        <w:tc>
          <w:tcPr>
            <w:tcW w:w="2499" w:type="pct"/>
            <w:tcBorders>
              <w:top w:val="single" w:color="000000" w:sz="4" w:space="0"/>
              <w:left w:val="single" w:color="000000" w:sz="4" w:space="0"/>
              <w:bottom w:val="single" w:color="000000" w:sz="4" w:space="0"/>
              <w:right w:val="single" w:color="000000" w:sz="4" w:space="0"/>
            </w:tcBorders>
            <w:vAlign w:val="center"/>
          </w:tcPr>
          <w:p w14:paraId="7C5EE6E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支持提取项目的预期成效目标，计算项目的实际成效指标，并对目标值和实际值进行对比，</w:t>
            </w:r>
          </w:p>
        </w:tc>
      </w:tr>
      <w:tr w14:paraId="38CD977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93FB00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D5487D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4FBFFA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项目成效监管-媒体报道展示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0FCEE09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收集典型案例的多媒体报道素材，通过专栏的形式进行价值显现</w:t>
            </w:r>
          </w:p>
        </w:tc>
      </w:tr>
      <w:tr w14:paraId="6B434C0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729B93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596F78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BA0520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项目成效评估评价-年度绩效评价-构建绩效评价模型</w:t>
            </w:r>
          </w:p>
        </w:tc>
        <w:tc>
          <w:tcPr>
            <w:tcW w:w="2499" w:type="pct"/>
            <w:tcBorders>
              <w:top w:val="single" w:color="000000" w:sz="4" w:space="0"/>
              <w:left w:val="single" w:color="000000" w:sz="4" w:space="0"/>
              <w:bottom w:val="single" w:color="000000" w:sz="4" w:space="0"/>
              <w:right w:val="single" w:color="000000" w:sz="4" w:space="0"/>
            </w:tcBorders>
            <w:vAlign w:val="center"/>
          </w:tcPr>
          <w:p w14:paraId="60DD788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进行绩效评价指标的数字化、规则化处理，形成系统化的分析模型</w:t>
            </w:r>
          </w:p>
        </w:tc>
      </w:tr>
      <w:tr w14:paraId="52B887C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58CDC6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97761D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5BCD51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项目成效评估评价-年度绩效评价-绩效评价指标管理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4F67DF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提供指标计算的信息化管理，实现指标的可视化管理和配置，便于指标库的快速操作、更新维护以及指标的动态调整</w:t>
            </w:r>
          </w:p>
        </w:tc>
      </w:tr>
      <w:tr w14:paraId="1F247B2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BE75EA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418C0B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3E4892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项目成效评估评价-年度绩效评价-绩效评价指标在城填报</w:t>
            </w:r>
          </w:p>
        </w:tc>
        <w:tc>
          <w:tcPr>
            <w:tcW w:w="2499" w:type="pct"/>
            <w:tcBorders>
              <w:top w:val="single" w:color="000000" w:sz="4" w:space="0"/>
              <w:left w:val="single" w:color="000000" w:sz="4" w:space="0"/>
              <w:bottom w:val="single" w:color="000000" w:sz="4" w:space="0"/>
              <w:right w:val="single" w:color="000000" w:sz="4" w:space="0"/>
            </w:tcBorders>
            <w:vAlign w:val="center"/>
          </w:tcPr>
          <w:p w14:paraId="7BB59DB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根据年度绩效评价过程要求，支持对评价结果进行填报、评价材料进行上传</w:t>
            </w:r>
          </w:p>
        </w:tc>
      </w:tr>
      <w:tr w14:paraId="308726A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D6947B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5A7E44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4A192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项目成效评估评价-年度绩效评价-年度绩效表生成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28064D7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根据实施成效评价要求，进行评价指标数据的提取、结果的导出</w:t>
            </w:r>
          </w:p>
        </w:tc>
      </w:tr>
      <w:tr w14:paraId="43DFF62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69C0B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4A564D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A5787E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项目成效评估评价-年度绩效评价-年度绩效成果维护</w:t>
            </w:r>
          </w:p>
        </w:tc>
        <w:tc>
          <w:tcPr>
            <w:tcW w:w="2499" w:type="pct"/>
            <w:tcBorders>
              <w:top w:val="single" w:color="000000" w:sz="4" w:space="0"/>
              <w:left w:val="single" w:color="000000" w:sz="4" w:space="0"/>
              <w:bottom w:val="single" w:color="000000" w:sz="4" w:space="0"/>
              <w:right w:val="single" w:color="000000" w:sz="4" w:space="0"/>
            </w:tcBorders>
            <w:vAlign w:val="center"/>
          </w:tcPr>
          <w:p w14:paraId="1821A3F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对年度评估的结果、评价材料进行上传、更新、维护</w:t>
            </w:r>
          </w:p>
        </w:tc>
      </w:tr>
      <w:tr w14:paraId="7E11209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9514FF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8C526A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6A5B5F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项目成效评估评价-项目综合评定-综合评定评价指标管理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35BEEE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结合全域整治综合评定工作需求，对综合评定的评价指标体系进行综合管理</w:t>
            </w:r>
          </w:p>
        </w:tc>
      </w:tr>
      <w:tr w14:paraId="7EE1938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7D32A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280747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C66685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项目成效评估评价-项目综合评定-综合评定评价指标生成</w:t>
            </w:r>
          </w:p>
        </w:tc>
        <w:tc>
          <w:tcPr>
            <w:tcW w:w="2499" w:type="pct"/>
            <w:tcBorders>
              <w:top w:val="single" w:color="000000" w:sz="4" w:space="0"/>
              <w:left w:val="single" w:color="000000" w:sz="4" w:space="0"/>
              <w:bottom w:val="single" w:color="000000" w:sz="4" w:space="0"/>
              <w:right w:val="single" w:color="000000" w:sz="4" w:space="0"/>
            </w:tcBorders>
            <w:vAlign w:val="center"/>
          </w:tcPr>
          <w:p w14:paraId="31FB90C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对综合评定的基础指标项进行在线生成、一键导出</w:t>
            </w:r>
          </w:p>
        </w:tc>
      </w:tr>
      <w:tr w14:paraId="0F5B737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6C6849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3ACB74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739126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项目成效评估评价-项目综合评定-综合评定评价结果管理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2C490F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支持按照评估周期进行数据版本管理，对评估报告文本支持在线预览；对评估矢量数据库和专题图支持服务接入和专题图的定位、加载、查询</w:t>
            </w:r>
          </w:p>
        </w:tc>
      </w:tr>
      <w:tr w14:paraId="1AF9244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5DCA8D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1DB573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F2D821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特色场景建设-山水工程场景-生态修复思路展示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604ED64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加载山水工程全域修复总览图，支持显示生态修复的完整修复思路，显示对应技术文档与设计图纸</w:t>
            </w:r>
          </w:p>
        </w:tc>
      </w:tr>
      <w:tr w14:paraId="4726F20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0AB08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48FAF3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10AED6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特色场景建设-山水工程场景-生态修复任务统计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1E0D9FA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支持生态修复任务的统计，采用图表组合的方式进行表达</w:t>
            </w:r>
          </w:p>
        </w:tc>
      </w:tr>
      <w:tr w14:paraId="08B0B35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00A9EA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A47B08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4CBFC4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特色场景建设-山水工程场景-山水项目信息汇总</w:t>
            </w:r>
          </w:p>
        </w:tc>
        <w:tc>
          <w:tcPr>
            <w:tcW w:w="2499" w:type="pct"/>
            <w:tcBorders>
              <w:top w:val="single" w:color="000000" w:sz="4" w:space="0"/>
              <w:left w:val="single" w:color="000000" w:sz="4" w:space="0"/>
              <w:bottom w:val="single" w:color="000000" w:sz="4" w:space="0"/>
              <w:right w:val="single" w:color="000000" w:sz="4" w:space="0"/>
            </w:tcBorders>
            <w:vAlign w:val="center"/>
          </w:tcPr>
          <w:p w14:paraId="0A4B1AE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支持山水项目信息汇总，显示所有子项目位置及基础信息、项目建设状态</w:t>
            </w:r>
          </w:p>
        </w:tc>
      </w:tr>
      <w:tr w14:paraId="7E5C84A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EAC76F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19B54E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32DFF5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特色场景建设-山水工程场景-物联监控数据接入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7BFA193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支持叠加实时传感器图层，接入物联监控数据</w:t>
            </w:r>
          </w:p>
        </w:tc>
      </w:tr>
      <w:tr w14:paraId="77968E6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8FE2A1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3D5FF6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8FBFDA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特色场景建设-山水工程场景-山水项目效益评价</w:t>
            </w:r>
          </w:p>
        </w:tc>
        <w:tc>
          <w:tcPr>
            <w:tcW w:w="2499" w:type="pct"/>
            <w:tcBorders>
              <w:top w:val="single" w:color="000000" w:sz="4" w:space="0"/>
              <w:left w:val="single" w:color="000000" w:sz="4" w:space="0"/>
              <w:bottom w:val="single" w:color="000000" w:sz="4" w:space="0"/>
              <w:right w:val="single" w:color="000000" w:sz="4" w:space="0"/>
            </w:tcBorders>
            <w:vAlign w:val="center"/>
          </w:tcPr>
          <w:p w14:paraId="00EA8F3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建立评价指标体系，支持叠加显示效益评价差异</w:t>
            </w:r>
          </w:p>
        </w:tc>
      </w:tr>
      <w:tr w14:paraId="4BC84B8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4BB76D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842E22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1D2D3F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特色场景建设-山水工程场景-山水项目典型案例</w:t>
            </w:r>
          </w:p>
        </w:tc>
        <w:tc>
          <w:tcPr>
            <w:tcW w:w="2499" w:type="pct"/>
            <w:tcBorders>
              <w:top w:val="single" w:color="000000" w:sz="4" w:space="0"/>
              <w:left w:val="single" w:color="000000" w:sz="4" w:space="0"/>
              <w:bottom w:val="single" w:color="000000" w:sz="4" w:space="0"/>
              <w:right w:val="single" w:color="000000" w:sz="4" w:space="0"/>
            </w:tcBorders>
            <w:vAlign w:val="center"/>
          </w:tcPr>
          <w:p w14:paraId="4ECB5DE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支持标注精品案例位置，显示案例位置，自动定位并高亮沙盘对应区域</w:t>
            </w:r>
          </w:p>
        </w:tc>
      </w:tr>
      <w:tr w14:paraId="4488F07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B4EDB4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8E485E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7B74D6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特色场景建设-沪派江南场景-沪派场景特色展示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5A14205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支持沪派江南特色场景的指标体系显示，并显示场景建设效果图</w:t>
            </w:r>
          </w:p>
        </w:tc>
      </w:tr>
      <w:tr w14:paraId="4EA82DD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C2BAF7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A90C31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B53AEA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特色场景建设-沪派江南场景-沪派工程任务统计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09FF1F3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支持对沪派江南的项目工程进行任务进展统计，按行政区进行年度任务进度、工程量清单统计</w:t>
            </w:r>
          </w:p>
        </w:tc>
      </w:tr>
      <w:tr w14:paraId="51A750E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57FD47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4AE5A4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BBBF57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特色场景建设-沪派江南场景-沪派子项目信息汇总</w:t>
            </w:r>
          </w:p>
        </w:tc>
        <w:tc>
          <w:tcPr>
            <w:tcW w:w="2499" w:type="pct"/>
            <w:tcBorders>
              <w:top w:val="single" w:color="000000" w:sz="4" w:space="0"/>
              <w:left w:val="single" w:color="000000" w:sz="4" w:space="0"/>
              <w:bottom w:val="single" w:color="000000" w:sz="4" w:space="0"/>
              <w:right w:val="single" w:color="000000" w:sz="4" w:space="0"/>
            </w:tcBorders>
            <w:vAlign w:val="center"/>
          </w:tcPr>
          <w:p w14:paraId="6F2F928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支持对沪派子项目信息进行标注项目点，显示档案面板、项目信息</w:t>
            </w:r>
          </w:p>
        </w:tc>
      </w:tr>
      <w:tr w14:paraId="5321961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96862C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87FF16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D30D6B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特色场景建设-沪派江南场景-无人机航拍数据接入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3174D35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支持接入无人机航拍数据，显示无人机航拍成果</w:t>
            </w:r>
          </w:p>
        </w:tc>
      </w:tr>
      <w:tr w14:paraId="098BA74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004FAA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5E3294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C40BA0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特色场景建设-沪派江南场景-建设成效展示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67DC4BE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设置成效看板，高亮显示场景建设成效</w:t>
            </w:r>
          </w:p>
        </w:tc>
      </w:tr>
      <w:tr w14:paraId="3ECFE90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4404BA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41F6F3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997FF9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特色场景建设-沪派江南场景-整治前后对比</w:t>
            </w:r>
          </w:p>
        </w:tc>
        <w:tc>
          <w:tcPr>
            <w:tcW w:w="2499" w:type="pct"/>
            <w:tcBorders>
              <w:top w:val="single" w:color="000000" w:sz="4" w:space="0"/>
              <w:left w:val="single" w:color="000000" w:sz="4" w:space="0"/>
              <w:bottom w:val="single" w:color="000000" w:sz="4" w:space="0"/>
              <w:right w:val="single" w:color="000000" w:sz="4" w:space="0"/>
            </w:tcBorders>
            <w:vAlign w:val="center"/>
          </w:tcPr>
          <w:p w14:paraId="69302C8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支持设置时光卷帘对比器，对整治前后效果进行对比呈现</w:t>
            </w:r>
          </w:p>
        </w:tc>
      </w:tr>
      <w:tr w14:paraId="5B1E231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124F5F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BB0E5B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C60CFE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特色场景建设-沪派江南场景-数字沙盘呈现</w:t>
            </w:r>
          </w:p>
        </w:tc>
        <w:tc>
          <w:tcPr>
            <w:tcW w:w="2499" w:type="pct"/>
            <w:tcBorders>
              <w:top w:val="single" w:color="000000" w:sz="4" w:space="0"/>
              <w:left w:val="single" w:color="000000" w:sz="4" w:space="0"/>
              <w:bottom w:val="single" w:color="000000" w:sz="4" w:space="0"/>
              <w:right w:val="single" w:color="000000" w:sz="4" w:space="0"/>
            </w:tcBorders>
            <w:vAlign w:val="center"/>
          </w:tcPr>
          <w:p w14:paraId="3E7158E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支持以数字沙盘的形式呈现沪派江南场景全貌</w:t>
            </w:r>
          </w:p>
        </w:tc>
      </w:tr>
      <w:tr w14:paraId="746BF8B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3C7E2D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B998BC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F8D92D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特色场景建设-沪派江南场景-沪派江南典型案例</w:t>
            </w:r>
          </w:p>
        </w:tc>
        <w:tc>
          <w:tcPr>
            <w:tcW w:w="2499" w:type="pct"/>
            <w:tcBorders>
              <w:top w:val="single" w:color="000000" w:sz="4" w:space="0"/>
              <w:left w:val="single" w:color="000000" w:sz="4" w:space="0"/>
              <w:bottom w:val="single" w:color="000000" w:sz="4" w:space="0"/>
              <w:right w:val="single" w:color="000000" w:sz="4" w:space="0"/>
            </w:tcBorders>
            <w:vAlign w:val="center"/>
          </w:tcPr>
          <w:p w14:paraId="4458254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支持标记标注典型案例位置，实现地图自动定位</w:t>
            </w:r>
          </w:p>
        </w:tc>
      </w:tr>
      <w:tr w14:paraId="4AB0211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951851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D86784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E11891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特色场景建设-五好两宜场景-五好两宜技术思路展示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1095694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加载技术思路沙盘，并高亮显示实景三维模型</w:t>
            </w:r>
          </w:p>
        </w:tc>
      </w:tr>
      <w:tr w14:paraId="3C7FB9E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612B91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54FDC9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A43C1D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特色场景建设-五好两宜场景-五好两宜工程任务统计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6174E4D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支持对五好两宜的工程任务进行统计</w:t>
            </w:r>
          </w:p>
        </w:tc>
      </w:tr>
      <w:tr w14:paraId="24063F2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B50A3C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049D3F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25F39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特色场景建设-五好两宜场景-五好两宜子项目信息汇总</w:t>
            </w:r>
          </w:p>
        </w:tc>
        <w:tc>
          <w:tcPr>
            <w:tcW w:w="2499" w:type="pct"/>
            <w:tcBorders>
              <w:top w:val="single" w:color="000000" w:sz="4" w:space="0"/>
              <w:left w:val="single" w:color="000000" w:sz="4" w:space="0"/>
              <w:bottom w:val="single" w:color="000000" w:sz="4" w:space="0"/>
              <w:right w:val="single" w:color="000000" w:sz="4" w:space="0"/>
            </w:tcBorders>
            <w:vAlign w:val="center"/>
          </w:tcPr>
          <w:p w14:paraId="7D8F1B5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支持对五好两宜子项目信息进行标注，展示该项目的档案卡及具体信息</w:t>
            </w:r>
          </w:p>
        </w:tc>
      </w:tr>
      <w:tr w14:paraId="041624F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0B3825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FC632C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F3A18A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特色场景建设-五好两宜场景-高位摄像头数据接入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032097F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支持显示高位摄像头所在位置，并接入摄像头数据</w:t>
            </w:r>
          </w:p>
        </w:tc>
      </w:tr>
      <w:tr w14:paraId="0131B73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048379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54797A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065AA6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特色场景建设-五好两宜场景-五好两宜综合效益评价</w:t>
            </w:r>
          </w:p>
        </w:tc>
        <w:tc>
          <w:tcPr>
            <w:tcW w:w="2499" w:type="pct"/>
            <w:tcBorders>
              <w:top w:val="single" w:color="000000" w:sz="4" w:space="0"/>
              <w:left w:val="single" w:color="000000" w:sz="4" w:space="0"/>
              <w:bottom w:val="single" w:color="000000" w:sz="4" w:space="0"/>
              <w:right w:val="single" w:color="000000" w:sz="4" w:space="0"/>
            </w:tcBorders>
            <w:vAlign w:val="center"/>
          </w:tcPr>
          <w:p w14:paraId="63FE4AF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右侧嵌入多维度评估台，每个维度权重可调节，可计算总分并输出雷达图和得分热力图</w:t>
            </w:r>
          </w:p>
        </w:tc>
      </w:tr>
      <w:tr w14:paraId="4975AFA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0BCAF6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C75E68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2AA8EB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特色场景建设-五好两宜场景-五好两宜典型案例定位</w:t>
            </w:r>
          </w:p>
        </w:tc>
        <w:tc>
          <w:tcPr>
            <w:tcW w:w="2499" w:type="pct"/>
            <w:tcBorders>
              <w:top w:val="single" w:color="000000" w:sz="4" w:space="0"/>
              <w:left w:val="single" w:color="000000" w:sz="4" w:space="0"/>
              <w:bottom w:val="single" w:color="000000" w:sz="4" w:space="0"/>
              <w:right w:val="single" w:color="000000" w:sz="4" w:space="0"/>
            </w:tcBorders>
            <w:vAlign w:val="center"/>
          </w:tcPr>
          <w:p w14:paraId="2118DB8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在地图上以标识标记案例点位，支持调取案例信息，支持地图自动定位并高亮该项目位置</w:t>
            </w:r>
          </w:p>
        </w:tc>
      </w:tr>
      <w:tr w14:paraId="2513144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1179C61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CBAC3E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5674C1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特色场景建设-水乡湿地场景-水乡湿地场景思路展示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0AB5171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支持加载水乡湿地的技术修复思路，直观呈现技术路线</w:t>
            </w:r>
          </w:p>
        </w:tc>
      </w:tr>
      <w:tr w14:paraId="4EDCB40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B07B4D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328722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AAC878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特色场景建设-水乡湿地场景-水乡湿地工程任务统计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142CA46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支持以柱状-热力组合看板的形式展现工程任务统计结果</w:t>
            </w:r>
          </w:p>
        </w:tc>
      </w:tr>
      <w:tr w14:paraId="0BD33D4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1076E6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B41D4E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F77E0E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特色场景建设-水乡湿地场景-水乡湿地子项目信息汇总</w:t>
            </w:r>
          </w:p>
        </w:tc>
        <w:tc>
          <w:tcPr>
            <w:tcW w:w="2499" w:type="pct"/>
            <w:tcBorders>
              <w:top w:val="single" w:color="000000" w:sz="4" w:space="0"/>
              <w:left w:val="single" w:color="000000" w:sz="4" w:space="0"/>
              <w:bottom w:val="single" w:color="000000" w:sz="4" w:space="0"/>
              <w:right w:val="single" w:color="000000" w:sz="4" w:space="0"/>
            </w:tcBorders>
            <w:vAlign w:val="center"/>
          </w:tcPr>
          <w:p w14:paraId="59DE0FC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支持在湿地数字地图标注子项目点位，支持查看项目档案卡，显示项目的具体信息</w:t>
            </w:r>
          </w:p>
        </w:tc>
      </w:tr>
      <w:tr w14:paraId="64938FA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7830EF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6C3197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F53020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特色场景建设-水乡湿地场景-湿地全景数据接入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03705C8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支持集成接入湿地全景数据，动态查看全景数据</w:t>
            </w:r>
          </w:p>
        </w:tc>
      </w:tr>
      <w:tr w14:paraId="7BC5068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E47D0D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9E0E28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BC926B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特色场景建设-水乡湿地场景-水乡湿地综合效益评价</w:t>
            </w:r>
          </w:p>
        </w:tc>
        <w:tc>
          <w:tcPr>
            <w:tcW w:w="2499" w:type="pct"/>
            <w:tcBorders>
              <w:top w:val="single" w:color="000000" w:sz="4" w:space="0"/>
              <w:left w:val="single" w:color="000000" w:sz="4" w:space="0"/>
              <w:bottom w:val="single" w:color="000000" w:sz="4" w:space="0"/>
              <w:right w:val="single" w:color="000000" w:sz="4" w:space="0"/>
            </w:tcBorders>
            <w:vAlign w:val="center"/>
          </w:tcPr>
          <w:p w14:paraId="5900302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支持展示湿地专属评价矩阵，支持显示修复前与当前效益评价指标的多边形差异对比</w:t>
            </w:r>
          </w:p>
        </w:tc>
      </w:tr>
      <w:tr w14:paraId="2D1D2EA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39B20C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CF6A0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3B6C7A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特色场景建设-水乡湿地场景-水乡湿地典型案例</w:t>
            </w:r>
          </w:p>
        </w:tc>
        <w:tc>
          <w:tcPr>
            <w:tcW w:w="2499" w:type="pct"/>
            <w:tcBorders>
              <w:top w:val="single" w:color="000000" w:sz="4" w:space="0"/>
              <w:left w:val="single" w:color="000000" w:sz="4" w:space="0"/>
              <w:bottom w:val="single" w:color="000000" w:sz="4" w:space="0"/>
              <w:right w:val="single" w:color="000000" w:sz="4" w:space="0"/>
            </w:tcBorders>
            <w:vAlign w:val="center"/>
          </w:tcPr>
          <w:p w14:paraId="0D0316F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支持在数字地图上使用图标标记国家级湿地修复案例，支持在案例卡片展示整治前后对比航拍图</w:t>
            </w:r>
          </w:p>
        </w:tc>
      </w:tr>
      <w:tr w14:paraId="43BE5D1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1C001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60D73F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409CFE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特色场景建设-优湿美地场景-优湿美地场景思路展示</w:t>
            </w:r>
          </w:p>
        </w:tc>
        <w:tc>
          <w:tcPr>
            <w:tcW w:w="2499" w:type="pct"/>
            <w:tcBorders>
              <w:top w:val="single" w:color="000000" w:sz="4" w:space="0"/>
              <w:left w:val="single" w:color="000000" w:sz="4" w:space="0"/>
              <w:bottom w:val="single" w:color="000000" w:sz="4" w:space="0"/>
              <w:right w:val="single" w:color="000000" w:sz="4" w:space="0"/>
            </w:tcBorders>
            <w:vAlign w:val="center"/>
          </w:tcPr>
          <w:p w14:paraId="4706A46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支持呈现优湿美地全域三维电子沙盘，查看场景具体介绍</w:t>
            </w:r>
          </w:p>
        </w:tc>
      </w:tr>
      <w:tr w14:paraId="41FF84A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2146EA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87A570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B83796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特色场景建设-优湿美地场景-优湿美地工程任务统计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47405B2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直观展示优湿美地总体任务完成率，显示各区实施强度</w:t>
            </w:r>
          </w:p>
        </w:tc>
      </w:tr>
      <w:tr w14:paraId="21D4EEC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2D2748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B68AA3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C122E0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特色场景建设-优湿美地场景-优湿美地子项目信息汇总</w:t>
            </w:r>
          </w:p>
        </w:tc>
        <w:tc>
          <w:tcPr>
            <w:tcW w:w="2499" w:type="pct"/>
            <w:tcBorders>
              <w:top w:val="single" w:color="000000" w:sz="4" w:space="0"/>
              <w:left w:val="single" w:color="000000" w:sz="4" w:space="0"/>
              <w:bottom w:val="single" w:color="000000" w:sz="4" w:space="0"/>
              <w:right w:val="single" w:color="000000" w:sz="4" w:space="0"/>
            </w:tcBorders>
            <w:vAlign w:val="center"/>
          </w:tcPr>
          <w:p w14:paraId="40E919C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展示优湿美地子项目具体工程点位，显示项目信息汇总</w:t>
            </w:r>
          </w:p>
        </w:tc>
      </w:tr>
      <w:tr w14:paraId="27F3366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76F6C1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0DE540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152A65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特色场景建设-优湿美地场景-优湿美地物联网数据接入</w:t>
            </w:r>
          </w:p>
        </w:tc>
        <w:tc>
          <w:tcPr>
            <w:tcW w:w="2499" w:type="pct"/>
            <w:tcBorders>
              <w:top w:val="single" w:color="000000" w:sz="4" w:space="0"/>
              <w:left w:val="single" w:color="000000" w:sz="4" w:space="0"/>
              <w:bottom w:val="single" w:color="000000" w:sz="4" w:space="0"/>
              <w:right w:val="single" w:color="000000" w:sz="4" w:space="0"/>
            </w:tcBorders>
            <w:vAlign w:val="center"/>
          </w:tcPr>
          <w:p w14:paraId="078CD25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支持接入并叠加物联网监测数据</w:t>
            </w:r>
          </w:p>
        </w:tc>
      </w:tr>
      <w:tr w14:paraId="709965A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C8CC30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0C236D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734AD9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特色场景建设-优湿美地场景-优湿美地综合效益评价</w:t>
            </w:r>
          </w:p>
        </w:tc>
        <w:tc>
          <w:tcPr>
            <w:tcW w:w="2499" w:type="pct"/>
            <w:tcBorders>
              <w:top w:val="single" w:color="000000" w:sz="4" w:space="0"/>
              <w:left w:val="single" w:color="000000" w:sz="4" w:space="0"/>
              <w:bottom w:val="single" w:color="000000" w:sz="4" w:space="0"/>
              <w:right w:val="single" w:color="000000" w:sz="4" w:space="0"/>
            </w:tcBorders>
            <w:vAlign w:val="center"/>
          </w:tcPr>
          <w:p w14:paraId="608B669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支持对优湿美地的综合效益进行评价，生成指标多边形</w:t>
            </w:r>
          </w:p>
        </w:tc>
      </w:tr>
      <w:tr w14:paraId="1C4CBB8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04BA6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B3C0FF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209144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特色场景建设-优湿美地场景-优湿美地典型案例定位</w:t>
            </w:r>
          </w:p>
        </w:tc>
        <w:tc>
          <w:tcPr>
            <w:tcW w:w="2499" w:type="pct"/>
            <w:tcBorders>
              <w:top w:val="single" w:color="000000" w:sz="4" w:space="0"/>
              <w:left w:val="single" w:color="000000" w:sz="4" w:space="0"/>
              <w:bottom w:val="single" w:color="000000" w:sz="4" w:space="0"/>
              <w:right w:val="single" w:color="000000" w:sz="4" w:space="0"/>
            </w:tcBorders>
            <w:vAlign w:val="center"/>
          </w:tcPr>
          <w:p w14:paraId="4495422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支持以钻石图标标注典型案例分布，展示修复前与修复后的对比照片，支持比对修复前后卫星影像</w:t>
            </w:r>
          </w:p>
        </w:tc>
      </w:tr>
      <w:tr w14:paraId="204CA05F">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985183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233</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19C43C1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全域整治决策支持子系统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04CEC9D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工作消息中心-日常消息推送</w:t>
            </w:r>
          </w:p>
        </w:tc>
        <w:tc>
          <w:tcPr>
            <w:tcW w:w="2499" w:type="pct"/>
            <w:tcBorders>
              <w:top w:val="single" w:color="000000" w:sz="4" w:space="0"/>
              <w:left w:val="single" w:color="000000" w:sz="4" w:space="0"/>
              <w:bottom w:val="single" w:color="000000" w:sz="4" w:space="0"/>
              <w:right w:val="single" w:color="000000" w:sz="4" w:space="0"/>
            </w:tcBorders>
            <w:vAlign w:val="center"/>
          </w:tcPr>
          <w:p w14:paraId="7628A16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针对日常工作中的消息，以及项目监管过程中发现的问题，进行自动推送</w:t>
            </w:r>
          </w:p>
        </w:tc>
      </w:tr>
      <w:tr w14:paraId="5EC63EE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B3BE89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963B8C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015A00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工作消息中心-工作任务跳转</w:t>
            </w:r>
          </w:p>
        </w:tc>
        <w:tc>
          <w:tcPr>
            <w:tcW w:w="2499" w:type="pct"/>
            <w:tcBorders>
              <w:top w:val="single" w:color="000000" w:sz="4" w:space="0"/>
              <w:left w:val="single" w:color="000000" w:sz="4" w:space="0"/>
              <w:bottom w:val="single" w:color="000000" w:sz="4" w:space="0"/>
              <w:right w:val="single" w:color="000000" w:sz="4" w:space="0"/>
            </w:tcBorders>
            <w:vAlign w:val="center"/>
          </w:tcPr>
          <w:p w14:paraId="5E0C6E2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针对工作中各类用户所关联的业务工作任务进行快速入口跳转</w:t>
            </w:r>
          </w:p>
        </w:tc>
      </w:tr>
      <w:tr w14:paraId="3BD254F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7EF248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870DAFA">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D0A59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项目谋划总览-策划规划分析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064A9A7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提取项目规划谋划阶段各环节的项目信息，对整治片区范围进行整体展示</w:t>
            </w:r>
          </w:p>
        </w:tc>
      </w:tr>
      <w:tr w14:paraId="22F1E759">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8727E7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3846C9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7E704C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项目谋划总览-项目储备统计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031C846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对全市全域整治和生态修复相关的储备库建立情况进行展示</w:t>
            </w:r>
          </w:p>
        </w:tc>
      </w:tr>
      <w:tr w14:paraId="29F248B3">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DD5D4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96346E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10F0F6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项目谋划总览-实施方案统计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5D8F98B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分年度、分来源展示全市、各区的实施方案的总数和面积；展示整治前、整治后相关指标的变化；支持查询实施方案和子项目的详情信息</w:t>
            </w:r>
          </w:p>
        </w:tc>
      </w:tr>
      <w:tr w14:paraId="357C610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3F430F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5E1D8D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B136B7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项目谋划总览-实施计划统计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1A012EE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对计划库的信息进行展示，分年度计算全市、各区的计划子项目总量和面积</w:t>
            </w:r>
          </w:p>
        </w:tc>
      </w:tr>
      <w:tr w14:paraId="1D4ECBB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FD6D67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24D388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65B49A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项目谋划总览-设计审查统计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2F4C691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分年度、分部门展示全市、各区的细化设计方案的总数和面积，展示细化设计项目在片区中的具体位置，查看细化设计方案和子项目相关信息</w:t>
            </w:r>
          </w:p>
        </w:tc>
      </w:tr>
      <w:tr w14:paraId="78C201B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1B95B9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C7E67F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339E76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工程进度跟踪统计-项目类型分类统计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067C0DF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按照工程类型，对已纳入实施阶段的子项目进行多维度统计与展示</w:t>
            </w:r>
          </w:p>
        </w:tc>
      </w:tr>
      <w:tr w14:paraId="749B121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D82C47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9D4A23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E3F370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工程进度跟踪统计-区域范围比对分析</w:t>
            </w:r>
          </w:p>
        </w:tc>
        <w:tc>
          <w:tcPr>
            <w:tcW w:w="2499" w:type="pct"/>
            <w:tcBorders>
              <w:top w:val="single" w:color="000000" w:sz="4" w:space="0"/>
              <w:left w:val="single" w:color="000000" w:sz="4" w:space="0"/>
              <w:bottom w:val="single" w:color="000000" w:sz="4" w:space="0"/>
              <w:right w:val="single" w:color="000000" w:sz="4" w:space="0"/>
            </w:tcBorders>
            <w:vAlign w:val="center"/>
          </w:tcPr>
          <w:p w14:paraId="7A76D10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根据所属市、区行政区对项目的实施情况进行分析比对，包括任务完成情况、指标完成情况、进度变化情况等</w:t>
            </w:r>
          </w:p>
        </w:tc>
      </w:tr>
      <w:tr w14:paraId="2CEB01A5">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5CCC8A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B59BC8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A5D0B6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工程进度跟踪统计-工程实施阶段监管统计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5E8F673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根据工程项目的实施推进阶段进行监管，分析各阶段项目的总数和规模；对实施进度滞后项目进行提醒</w:t>
            </w:r>
          </w:p>
        </w:tc>
      </w:tr>
      <w:tr w14:paraId="58E7B08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0F1A76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A60CA66">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25BCAF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整治风险预警-风险类型统计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1BF9B9F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包括风险问题汇总统计、风险统计图表查看</w:t>
            </w:r>
          </w:p>
        </w:tc>
      </w:tr>
      <w:tr w14:paraId="1399F6D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0FCC6C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EE4529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7FD733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整治风险预警-风险问题预警清单</w:t>
            </w:r>
          </w:p>
        </w:tc>
        <w:tc>
          <w:tcPr>
            <w:tcW w:w="2499" w:type="pct"/>
            <w:tcBorders>
              <w:top w:val="single" w:color="000000" w:sz="4" w:space="0"/>
              <w:left w:val="single" w:color="000000" w:sz="4" w:space="0"/>
              <w:bottom w:val="single" w:color="000000" w:sz="4" w:space="0"/>
              <w:right w:val="single" w:color="000000" w:sz="4" w:space="0"/>
            </w:tcBorders>
            <w:vAlign w:val="center"/>
          </w:tcPr>
          <w:p w14:paraId="50792C9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通过对接和衔接实施过程风险监管研判出的各类风险问题，形成问题清单，支持按照问题类型模板导出</w:t>
            </w:r>
          </w:p>
        </w:tc>
      </w:tr>
      <w:tr w14:paraId="54DBC8E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617443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542592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D167C6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整治风险预警-项目进度滞后提醒</w:t>
            </w:r>
          </w:p>
        </w:tc>
        <w:tc>
          <w:tcPr>
            <w:tcW w:w="2499" w:type="pct"/>
            <w:tcBorders>
              <w:top w:val="single" w:color="000000" w:sz="4" w:space="0"/>
              <w:left w:val="single" w:color="000000" w:sz="4" w:space="0"/>
              <w:bottom w:val="single" w:color="000000" w:sz="4" w:space="0"/>
              <w:right w:val="single" w:color="000000" w:sz="4" w:space="0"/>
            </w:tcBorders>
            <w:vAlign w:val="center"/>
          </w:tcPr>
          <w:p w14:paraId="2F90897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按月度汇总市级整治项目和生态修复项目的实施情况，对实施状态未达到目标的项目进行提醒</w:t>
            </w:r>
          </w:p>
        </w:tc>
      </w:tr>
      <w:tr w14:paraId="52367A5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A8B4A8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FDC78E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A5CDFC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整治案例集-案例集导览</w:t>
            </w:r>
          </w:p>
        </w:tc>
        <w:tc>
          <w:tcPr>
            <w:tcW w:w="2499" w:type="pct"/>
            <w:tcBorders>
              <w:top w:val="single" w:color="000000" w:sz="4" w:space="0"/>
              <w:left w:val="single" w:color="000000" w:sz="4" w:space="0"/>
              <w:bottom w:val="single" w:color="000000" w:sz="4" w:space="0"/>
              <w:right w:val="single" w:color="000000" w:sz="4" w:space="0"/>
            </w:tcBorders>
            <w:vAlign w:val="center"/>
          </w:tcPr>
          <w:p w14:paraId="5D2DAD1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提供案例集导览功能，提供整治样板管理、样板项目更新、案例特色亮点更新、案例筛选</w:t>
            </w:r>
          </w:p>
        </w:tc>
      </w:tr>
      <w:tr w14:paraId="7C1A3053">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C18A2C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97213F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15063CE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整治案例集-案例模板定制</w:t>
            </w:r>
          </w:p>
        </w:tc>
        <w:tc>
          <w:tcPr>
            <w:tcW w:w="2499" w:type="pct"/>
            <w:tcBorders>
              <w:top w:val="single" w:color="000000" w:sz="4" w:space="0"/>
              <w:left w:val="single" w:color="000000" w:sz="4" w:space="0"/>
              <w:bottom w:val="single" w:color="000000" w:sz="4" w:space="0"/>
              <w:right w:val="single" w:color="000000" w:sz="4" w:space="0"/>
            </w:tcBorders>
            <w:vAlign w:val="center"/>
          </w:tcPr>
          <w:p w14:paraId="2B615EDF">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结合每个项目的特色情况，定制案例信息模板</w:t>
            </w:r>
          </w:p>
        </w:tc>
      </w:tr>
      <w:tr w14:paraId="0CD806C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827077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B85818D">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DF43B0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整治案例集-案例看板</w:t>
            </w:r>
          </w:p>
        </w:tc>
        <w:tc>
          <w:tcPr>
            <w:tcW w:w="2499" w:type="pct"/>
            <w:tcBorders>
              <w:top w:val="single" w:color="000000" w:sz="4" w:space="0"/>
              <w:left w:val="single" w:color="000000" w:sz="4" w:space="0"/>
              <w:bottom w:val="single" w:color="000000" w:sz="4" w:space="0"/>
              <w:right w:val="single" w:color="000000" w:sz="4" w:space="0"/>
            </w:tcBorders>
            <w:vAlign w:val="center"/>
          </w:tcPr>
          <w:p w14:paraId="614BD57A">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包括案例基础信息、案例全息资料、整治空间信息、整治数字孪生、影像对比功能、地类变化信息、特色成效信息</w:t>
            </w:r>
          </w:p>
        </w:tc>
      </w:tr>
      <w:tr w14:paraId="734D29C0">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B12BE2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249</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0310AD2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系统安全管理子系统</w:t>
            </w:r>
          </w:p>
        </w:tc>
        <w:tc>
          <w:tcPr>
            <w:tcW w:w="1647" w:type="pct"/>
            <w:tcBorders>
              <w:top w:val="single" w:color="000000" w:sz="4" w:space="0"/>
              <w:left w:val="single" w:color="000000" w:sz="4" w:space="0"/>
              <w:bottom w:val="single" w:color="000000" w:sz="4" w:space="0"/>
              <w:right w:val="single" w:color="000000" w:sz="4" w:space="0"/>
            </w:tcBorders>
            <w:vAlign w:val="center"/>
          </w:tcPr>
          <w:p w14:paraId="10E7EBE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系统鉴权管理-用户机构管理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5974FCB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包括集成用户信息、集成组织机构信息、安全权限管理。</w:t>
            </w:r>
          </w:p>
        </w:tc>
      </w:tr>
      <w:tr w14:paraId="5D7105B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C03E5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BD33C1">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742E71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系统鉴权管理-系统资源管理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1609F7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包括服务接入管理、数据专题管理、系统菜单管理、功能组件管理。</w:t>
            </w:r>
          </w:p>
        </w:tc>
      </w:tr>
      <w:tr w14:paraId="7148961B">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14C217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DACB9F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248987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系统鉴权管理-资源权限管理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71D0E194">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包括菜单权限分配、专题权限分配、组件权限分配</w:t>
            </w:r>
          </w:p>
        </w:tc>
      </w:tr>
      <w:tr w14:paraId="7D29EC0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8ED1D7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F1E63E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455B8E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系统鉴权管理-鉴权监控管理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DA27EC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包括：身份鉴权安全监管、站点鉴权安全监控、服务鉴权安全监管、数据安全分级管控</w:t>
            </w:r>
          </w:p>
        </w:tc>
      </w:tr>
      <w:tr w14:paraId="3CA3811E">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690F21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1E3CEE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F28F922">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系统鉴权管理-运行安全管理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3C94291C">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包括：接口访问安全管理、数据访问安全管理、安全审计记录管理</w:t>
            </w:r>
          </w:p>
        </w:tc>
      </w:tr>
      <w:tr w14:paraId="4A27AFA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81782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984EB80">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4F3C37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业务流程管理-数据建模服务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09CAA83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包括数据源管理、数据表管理、数据包管理</w:t>
            </w:r>
          </w:p>
        </w:tc>
      </w:tr>
      <w:tr w14:paraId="0CFBA1B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BB0755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7C8631E">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AD9C57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业务流程管理-业务建模服务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5322F13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包括业务模板管理、业务模型管理</w:t>
            </w:r>
          </w:p>
        </w:tc>
      </w:tr>
      <w:tr w14:paraId="327E388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6C1EBB4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05919BF">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3C2BDF4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业务流程管理-表单建模服务-表单管理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6C59A9C0">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包括表单设计器、字段逻辑校验、数据关联设置</w:t>
            </w:r>
          </w:p>
        </w:tc>
      </w:tr>
      <w:tr w14:paraId="506D1DB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4FE4D4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D7254BB">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B7EB14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业务流程管理-表单建模服务-表单设计与预览</w:t>
            </w:r>
          </w:p>
        </w:tc>
        <w:tc>
          <w:tcPr>
            <w:tcW w:w="2499" w:type="pct"/>
            <w:tcBorders>
              <w:top w:val="single" w:color="000000" w:sz="4" w:space="0"/>
              <w:left w:val="single" w:color="000000" w:sz="4" w:space="0"/>
              <w:bottom w:val="single" w:color="000000" w:sz="4" w:space="0"/>
              <w:right w:val="single" w:color="000000" w:sz="4" w:space="0"/>
            </w:tcBorders>
            <w:vAlign w:val="center"/>
          </w:tcPr>
          <w:p w14:paraId="291B4E91">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包括表单画布、功能面板、属性配置、表单实时预览功能</w:t>
            </w:r>
          </w:p>
        </w:tc>
      </w:tr>
      <w:tr w14:paraId="21521FC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0A11AD5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258</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F6B646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5924B7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业务流程管理-报表建模服务-报表管理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325C7A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包括报表设计器、定制报表结构与展示样式，支持数据筛选、计算与钻取等功能设置</w:t>
            </w:r>
          </w:p>
        </w:tc>
      </w:tr>
      <w:tr w14:paraId="2BA575D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B1B71C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08BCF25">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766ED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业务流程管理-报表建模服务-报表设计与预览</w:t>
            </w:r>
          </w:p>
        </w:tc>
        <w:tc>
          <w:tcPr>
            <w:tcW w:w="2499" w:type="pct"/>
            <w:tcBorders>
              <w:top w:val="single" w:color="000000" w:sz="4" w:space="0"/>
              <w:left w:val="single" w:color="000000" w:sz="4" w:space="0"/>
              <w:bottom w:val="single" w:color="000000" w:sz="4" w:space="0"/>
              <w:right w:val="single" w:color="000000" w:sz="4" w:space="0"/>
            </w:tcBorders>
            <w:vAlign w:val="center"/>
          </w:tcPr>
          <w:p w14:paraId="5614C392">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包括报表画布、功能面板和属性配置、报表实时预览</w:t>
            </w:r>
          </w:p>
        </w:tc>
      </w:tr>
      <w:tr w14:paraId="066F046A">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DF6147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260</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0EFD837">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6B556DF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业务流程管理-材料建模服务-材料袋管理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7F37F9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包括材料袋列表管理、材料袋版本管理</w:t>
            </w:r>
          </w:p>
        </w:tc>
      </w:tr>
      <w:tr w14:paraId="73BD6662">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DE35B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5F01C38">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59CDB55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业务流程管理-材料建模服务-材料袋设计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4873FDD5">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支持快速创建和定制材料袋结构和内容</w:t>
            </w:r>
          </w:p>
        </w:tc>
      </w:tr>
      <w:tr w14:paraId="03F60425">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D89A88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262</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13418C2">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5B4F63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业务流程管理-流程建模服务-流程管理</w:t>
            </w:r>
          </w:p>
        </w:tc>
        <w:tc>
          <w:tcPr>
            <w:tcW w:w="2499" w:type="pct"/>
            <w:tcBorders>
              <w:top w:val="single" w:color="000000" w:sz="4" w:space="0"/>
              <w:left w:val="single" w:color="000000" w:sz="4" w:space="0"/>
              <w:bottom w:val="single" w:color="000000" w:sz="4" w:space="0"/>
              <w:right w:val="single" w:color="000000" w:sz="4" w:space="0"/>
            </w:tcBorders>
            <w:vAlign w:val="center"/>
          </w:tcPr>
          <w:p w14:paraId="19A56619">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提供流程设计工具，定制流程结构与节点属性，包括任务节点、审批节点、决策分支等多种组件</w:t>
            </w:r>
          </w:p>
        </w:tc>
      </w:tr>
      <w:tr w14:paraId="71246F3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4E8C44A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263</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0B6635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0A4A7F9A">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业务流程管理-流程建模服务-流程设计</w:t>
            </w:r>
          </w:p>
        </w:tc>
        <w:tc>
          <w:tcPr>
            <w:tcW w:w="2499" w:type="pct"/>
            <w:tcBorders>
              <w:top w:val="single" w:color="000000" w:sz="4" w:space="0"/>
              <w:left w:val="single" w:color="000000" w:sz="4" w:space="0"/>
              <w:bottom w:val="single" w:color="000000" w:sz="4" w:space="0"/>
              <w:right w:val="single" w:color="000000" w:sz="4" w:space="0"/>
            </w:tcBorders>
            <w:vAlign w:val="center"/>
          </w:tcPr>
          <w:p w14:paraId="770CA987">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提供可视化的流程设计器，包括流程画布、功能面板和属性配置</w:t>
            </w:r>
          </w:p>
        </w:tc>
      </w:tr>
      <w:tr w14:paraId="09C5DC7C">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9A39D4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264</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269671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D697D7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业务流程管理-流程建模服务-流程部署</w:t>
            </w:r>
          </w:p>
        </w:tc>
        <w:tc>
          <w:tcPr>
            <w:tcW w:w="2499" w:type="pct"/>
            <w:tcBorders>
              <w:top w:val="single" w:color="000000" w:sz="4" w:space="0"/>
              <w:left w:val="single" w:color="000000" w:sz="4" w:space="0"/>
              <w:bottom w:val="single" w:color="000000" w:sz="4" w:space="0"/>
              <w:right w:val="single" w:color="000000" w:sz="4" w:space="0"/>
            </w:tcBorders>
            <w:vAlign w:val="center"/>
          </w:tcPr>
          <w:p w14:paraId="7BE735F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将流程设计好的流程定义文件部署到流程引擎中，以便执行和管理业务流程</w:t>
            </w:r>
          </w:p>
        </w:tc>
      </w:tr>
      <w:tr w14:paraId="27C85F43">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93E619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265</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88113A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C00EF4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业务流程管理-权限建模服务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109E7BED">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包括角色管理、流程权限、表单权限、报表权限、材料权限</w:t>
            </w:r>
          </w:p>
        </w:tc>
      </w:tr>
      <w:tr w14:paraId="7BCD0D61">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230FA70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266</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7535E809">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B5B2E5C">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业务流程管理-配置管理服务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5B8007B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包括变量管理、字典管理、计数器管理、流水号管理、节假日管理。</w:t>
            </w:r>
          </w:p>
        </w:tc>
      </w:tr>
      <w:tr w14:paraId="663575A7">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5ACA11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267</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2024C614">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29A998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业务流程管理-流程运行服务</w:t>
            </w:r>
          </w:p>
        </w:tc>
        <w:tc>
          <w:tcPr>
            <w:tcW w:w="2499" w:type="pct"/>
            <w:tcBorders>
              <w:top w:val="single" w:color="000000" w:sz="4" w:space="0"/>
              <w:left w:val="single" w:color="000000" w:sz="4" w:space="0"/>
              <w:bottom w:val="single" w:color="000000" w:sz="4" w:space="0"/>
              <w:right w:val="single" w:color="000000" w:sz="4" w:space="0"/>
            </w:tcBorders>
            <w:vAlign w:val="center"/>
          </w:tcPr>
          <w:p w14:paraId="56595388">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包括流程实例启动、流程环节流转、流程运行监控。</w:t>
            </w:r>
          </w:p>
        </w:tc>
      </w:tr>
      <w:tr w14:paraId="0CD815E8">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394D609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268</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31CE0C9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系统接口建设</w:t>
            </w:r>
          </w:p>
        </w:tc>
        <w:tc>
          <w:tcPr>
            <w:tcW w:w="1647" w:type="pct"/>
            <w:tcBorders>
              <w:top w:val="single" w:color="000000" w:sz="4" w:space="0"/>
              <w:left w:val="single" w:color="000000" w:sz="4" w:space="0"/>
              <w:bottom w:val="single" w:color="000000" w:sz="4" w:space="0"/>
              <w:right w:val="single" w:color="000000" w:sz="4" w:space="0"/>
            </w:tcBorders>
            <w:vAlign w:val="center"/>
          </w:tcPr>
          <w:p w14:paraId="1086BC6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与市局大土地项目接口对接</w:t>
            </w:r>
          </w:p>
        </w:tc>
        <w:tc>
          <w:tcPr>
            <w:tcW w:w="2499" w:type="pct"/>
            <w:tcBorders>
              <w:top w:val="single" w:color="000000" w:sz="4" w:space="0"/>
              <w:left w:val="single" w:color="000000" w:sz="4" w:space="0"/>
              <w:bottom w:val="single" w:color="000000" w:sz="4" w:space="0"/>
              <w:right w:val="single" w:color="000000" w:sz="4" w:space="0"/>
            </w:tcBorders>
            <w:vAlign w:val="center"/>
          </w:tcPr>
          <w:p w14:paraId="1A1532FB">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与“大土地”子系统，在立项报批阶段，进行业务环节的流程衔接，将“大土地”中的计划管理和土地审批里的项目信息与本系统进行对接，以支撑后续的项目清单落地转化。</w:t>
            </w:r>
          </w:p>
        </w:tc>
      </w:tr>
      <w:tr w14:paraId="4FB4EDBD">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7CE4CBF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269</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04F6C743">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7C4364F5">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与市局大土地数据信息对接</w:t>
            </w:r>
          </w:p>
        </w:tc>
        <w:tc>
          <w:tcPr>
            <w:tcW w:w="2499" w:type="pct"/>
            <w:tcBorders>
              <w:top w:val="single" w:color="000000" w:sz="4" w:space="0"/>
              <w:left w:val="single" w:color="000000" w:sz="4" w:space="0"/>
              <w:bottom w:val="single" w:color="000000" w:sz="4" w:space="0"/>
              <w:right w:val="single" w:color="000000" w:sz="4" w:space="0"/>
            </w:tcBorders>
            <w:vAlign w:val="center"/>
          </w:tcPr>
          <w:p w14:paraId="363193C3">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依托空间资源大系统，与“大土地”子系统对接，获取上海市国土空间近期规划（2021-2025年）成果及整治实施数据，以支撑全域整治监管的数据基础</w:t>
            </w:r>
          </w:p>
        </w:tc>
      </w:tr>
      <w:tr w14:paraId="6E757454">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B504A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270</w:t>
            </w:r>
          </w:p>
        </w:tc>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17E7FB9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密码应用功能模块开发</w:t>
            </w:r>
          </w:p>
        </w:tc>
        <w:tc>
          <w:tcPr>
            <w:tcW w:w="1647" w:type="pct"/>
            <w:tcBorders>
              <w:top w:val="single" w:color="000000" w:sz="4" w:space="0"/>
              <w:left w:val="single" w:color="000000" w:sz="4" w:space="0"/>
              <w:bottom w:val="single" w:color="000000" w:sz="4" w:space="0"/>
              <w:right w:val="single" w:color="000000" w:sz="4" w:space="0"/>
            </w:tcBorders>
            <w:vAlign w:val="center"/>
          </w:tcPr>
          <w:p w14:paraId="10CC67E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用户身份认证机制模块、业务重要数据安全传输模块、服务器虚拟机设备日志/访问控制信息完整性模块、重要可执行程序签名验签模块</w:t>
            </w:r>
          </w:p>
        </w:tc>
        <w:tc>
          <w:tcPr>
            <w:tcW w:w="2499" w:type="pct"/>
            <w:tcBorders>
              <w:top w:val="single" w:color="000000" w:sz="4" w:space="0"/>
              <w:left w:val="single" w:color="000000" w:sz="4" w:space="0"/>
              <w:bottom w:val="single" w:color="000000" w:sz="4" w:space="0"/>
              <w:right w:val="single" w:color="000000" w:sz="4" w:space="0"/>
            </w:tcBorders>
            <w:vAlign w:val="center"/>
          </w:tcPr>
          <w:p w14:paraId="0169153E">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包括用户身份认证机制模块、业务重要数据安全传输模块、服务器虚拟机设备日志/访问控制信息完整性模块、重要可执行程序签名验签模块</w:t>
            </w:r>
          </w:p>
        </w:tc>
      </w:tr>
      <w:tr w14:paraId="3FA31E06">
        <w:tblPrEx>
          <w:tblCellMar>
            <w:top w:w="0" w:type="dxa"/>
            <w:left w:w="108" w:type="dxa"/>
            <w:bottom w:w="0" w:type="dxa"/>
            <w:right w:w="108" w:type="dxa"/>
          </w:tblCellMar>
        </w:tblPrEx>
        <w:trPr>
          <w:trHeight w:val="280" w:hRule="atLeast"/>
        </w:trPr>
        <w:tc>
          <w:tcPr>
            <w:tcW w:w="309" w:type="pct"/>
            <w:tcBorders>
              <w:top w:val="single" w:color="000000" w:sz="4" w:space="0"/>
              <w:left w:val="single" w:color="000000" w:sz="4" w:space="0"/>
              <w:bottom w:val="single" w:color="000000" w:sz="4" w:space="0"/>
              <w:right w:val="single" w:color="000000" w:sz="4" w:space="0"/>
            </w:tcBorders>
            <w:vAlign w:val="center"/>
          </w:tcPr>
          <w:p w14:paraId="5ED823E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271</w:t>
            </w:r>
          </w:p>
        </w:tc>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2DE4C8C">
            <w:pPr>
              <w:widowControl/>
              <w:ind w:firstLine="0" w:firstLineChars="0"/>
              <w:jc w:val="center"/>
              <w:rPr>
                <w:rFonts w:hint="eastAsia" w:ascii="宋体" w:hAnsi="宋体" w:cs="宋体"/>
                <w:color w:val="000000"/>
                <w:sz w:val="18"/>
                <w:szCs w:val="18"/>
              </w:rPr>
            </w:pPr>
          </w:p>
        </w:tc>
        <w:tc>
          <w:tcPr>
            <w:tcW w:w="1647" w:type="pct"/>
            <w:tcBorders>
              <w:top w:val="single" w:color="000000" w:sz="4" w:space="0"/>
              <w:left w:val="single" w:color="000000" w:sz="4" w:space="0"/>
              <w:bottom w:val="single" w:color="000000" w:sz="4" w:space="0"/>
              <w:right w:val="single" w:color="000000" w:sz="4" w:space="0"/>
            </w:tcBorders>
            <w:vAlign w:val="center"/>
          </w:tcPr>
          <w:p w14:paraId="47166C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用户访问控制信息签名验签模块、应用系统重要数据加解密模块、应用系统重要数据签名验签模块、电子公文电子印章模块</w:t>
            </w:r>
          </w:p>
        </w:tc>
        <w:tc>
          <w:tcPr>
            <w:tcW w:w="2499" w:type="pct"/>
            <w:tcBorders>
              <w:top w:val="single" w:color="000000" w:sz="4" w:space="0"/>
              <w:left w:val="single" w:color="000000" w:sz="4" w:space="0"/>
              <w:bottom w:val="single" w:color="000000" w:sz="4" w:space="0"/>
              <w:right w:val="single" w:color="000000" w:sz="4" w:space="0"/>
            </w:tcBorders>
            <w:vAlign w:val="center"/>
          </w:tcPr>
          <w:p w14:paraId="09A36D06">
            <w:pPr>
              <w:widowControl/>
              <w:ind w:firstLine="0" w:firstLineChars="0"/>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包括用户访问控制信息签名验签模块、应用系统重要数据加解密模块、应用系统重要数据签名验签模块、电子公文电子印章模块</w:t>
            </w:r>
          </w:p>
        </w:tc>
      </w:tr>
    </w:tbl>
    <w:p w14:paraId="21B5656C">
      <w:pPr>
        <w:ind w:firstLine="0" w:firstLineChars="0"/>
      </w:pPr>
    </w:p>
    <w:p w14:paraId="15D7F517">
      <w:pPr>
        <w:pStyle w:val="2"/>
      </w:pPr>
      <w:bookmarkStart w:id="21" w:name="_Toc63785502"/>
      <w:r>
        <w:rPr>
          <w:rFonts w:hint="eastAsia"/>
        </w:rPr>
        <w:t>电子政务云资源需求</w:t>
      </w:r>
      <w:bookmarkEnd w:id="21"/>
      <w:r>
        <w:rPr>
          <w:rFonts w:hint="eastAsia"/>
        </w:rPr>
        <w:t>（</w:t>
      </w:r>
      <w:r>
        <w:rPr>
          <w:rFonts w:hint="eastAsia"/>
          <w:color w:val="FF0000"/>
        </w:rPr>
        <w:t>仅针对上云项目</w:t>
      </w:r>
      <w:r>
        <w:rPr>
          <w:rFonts w:hint="eastAsia"/>
        </w:rPr>
        <w:t>）</w:t>
      </w:r>
    </w:p>
    <w:p w14:paraId="3CDB6E5C">
      <w:bookmarkStart w:id="22" w:name="_Toc63785503"/>
      <w:r>
        <w:rPr>
          <w:rFonts w:hint="eastAsia"/>
        </w:rPr>
        <w:t>本项目拟使用政务云的资源。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387"/>
        <w:gridCol w:w="1670"/>
        <w:gridCol w:w="2840"/>
        <w:gridCol w:w="1529"/>
      </w:tblGrid>
      <w:tr w14:paraId="5866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blHeader/>
        </w:trPr>
        <w:tc>
          <w:tcPr>
            <w:tcW w:w="646" w:type="pct"/>
            <w:vAlign w:val="center"/>
          </w:tcPr>
          <w:p w14:paraId="492585C8">
            <w:pPr>
              <w:spacing w:line="360" w:lineRule="auto"/>
              <w:ind w:firstLine="0" w:firstLineChars="0"/>
              <w:jc w:val="center"/>
              <w:rPr>
                <w:b/>
                <w:bCs/>
                <w:sz w:val="18"/>
                <w:szCs w:val="18"/>
              </w:rPr>
            </w:pPr>
            <w:r>
              <w:rPr>
                <w:rFonts w:hint="eastAsia"/>
                <w:b/>
                <w:bCs/>
                <w:sz w:val="18"/>
                <w:szCs w:val="18"/>
              </w:rPr>
              <w:t>序号</w:t>
            </w:r>
          </w:p>
        </w:tc>
        <w:tc>
          <w:tcPr>
            <w:tcW w:w="813" w:type="pct"/>
            <w:vAlign w:val="center"/>
          </w:tcPr>
          <w:p w14:paraId="3F8A12A3">
            <w:pPr>
              <w:spacing w:line="360" w:lineRule="auto"/>
              <w:ind w:firstLine="0" w:firstLineChars="0"/>
              <w:rPr>
                <w:b/>
                <w:bCs/>
                <w:sz w:val="18"/>
                <w:szCs w:val="18"/>
              </w:rPr>
            </w:pPr>
            <w:r>
              <w:rPr>
                <w:rFonts w:hint="eastAsia"/>
                <w:b/>
                <w:bCs/>
                <w:sz w:val="18"/>
                <w:szCs w:val="18"/>
              </w:rPr>
              <w:t>网络区域</w:t>
            </w:r>
          </w:p>
        </w:tc>
        <w:tc>
          <w:tcPr>
            <w:tcW w:w="979" w:type="pct"/>
            <w:vAlign w:val="center"/>
          </w:tcPr>
          <w:p w14:paraId="2EF9CDE9">
            <w:pPr>
              <w:spacing w:line="360" w:lineRule="auto"/>
              <w:ind w:firstLine="0" w:firstLineChars="0"/>
              <w:rPr>
                <w:b/>
                <w:bCs/>
                <w:sz w:val="18"/>
                <w:szCs w:val="18"/>
              </w:rPr>
            </w:pPr>
            <w:r>
              <w:rPr>
                <w:rFonts w:hint="eastAsia"/>
                <w:b/>
                <w:bCs/>
                <w:sz w:val="18"/>
                <w:szCs w:val="18"/>
              </w:rPr>
              <w:t>类别</w:t>
            </w:r>
          </w:p>
        </w:tc>
        <w:tc>
          <w:tcPr>
            <w:tcW w:w="1665" w:type="pct"/>
            <w:vAlign w:val="center"/>
          </w:tcPr>
          <w:p w14:paraId="405D1D31">
            <w:pPr>
              <w:spacing w:line="360" w:lineRule="auto"/>
              <w:ind w:firstLine="0" w:firstLineChars="0"/>
              <w:rPr>
                <w:b/>
                <w:bCs/>
                <w:sz w:val="18"/>
                <w:szCs w:val="18"/>
              </w:rPr>
            </w:pPr>
            <w:r>
              <w:rPr>
                <w:rFonts w:hint="eastAsia"/>
                <w:b/>
                <w:bCs/>
                <w:sz w:val="18"/>
                <w:szCs w:val="18"/>
              </w:rPr>
              <w:t>配置参数</w:t>
            </w:r>
          </w:p>
        </w:tc>
        <w:tc>
          <w:tcPr>
            <w:tcW w:w="896" w:type="pct"/>
            <w:vAlign w:val="center"/>
          </w:tcPr>
          <w:p w14:paraId="4F35A775">
            <w:pPr>
              <w:spacing w:line="360" w:lineRule="auto"/>
              <w:ind w:firstLine="0" w:firstLineChars="0"/>
              <w:jc w:val="center"/>
              <w:rPr>
                <w:rFonts w:ascii="Calibri"/>
                <w:b/>
                <w:bCs/>
                <w:sz w:val="18"/>
                <w:szCs w:val="18"/>
              </w:rPr>
            </w:pPr>
            <w:r>
              <w:rPr>
                <w:rFonts w:hint="eastAsia"/>
                <w:b/>
                <w:bCs/>
                <w:sz w:val="18"/>
                <w:szCs w:val="18"/>
              </w:rPr>
              <w:t>数量（台）</w:t>
            </w:r>
          </w:p>
        </w:tc>
      </w:tr>
      <w:tr w14:paraId="7444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6" w:type="pct"/>
            <w:vAlign w:val="center"/>
          </w:tcPr>
          <w:p w14:paraId="5FC147A1">
            <w:pPr>
              <w:spacing w:line="360" w:lineRule="auto"/>
              <w:ind w:firstLine="0" w:firstLineChars="0"/>
              <w:jc w:val="center"/>
              <w:rPr>
                <w:sz w:val="18"/>
                <w:szCs w:val="18"/>
              </w:rPr>
            </w:pPr>
            <w:r>
              <w:rPr>
                <w:rFonts w:hint="eastAsia"/>
                <w:sz w:val="18"/>
                <w:szCs w:val="18"/>
              </w:rPr>
              <w:t>1</w:t>
            </w:r>
          </w:p>
        </w:tc>
        <w:tc>
          <w:tcPr>
            <w:tcW w:w="813" w:type="pct"/>
            <w:vMerge w:val="restart"/>
            <w:vAlign w:val="center"/>
          </w:tcPr>
          <w:p w14:paraId="14E5CCE6">
            <w:pPr>
              <w:spacing w:line="360" w:lineRule="auto"/>
              <w:ind w:firstLine="0" w:firstLineChars="0"/>
              <w:rPr>
                <w:sz w:val="18"/>
                <w:szCs w:val="18"/>
              </w:rPr>
            </w:pPr>
            <w:r>
              <w:rPr>
                <w:rFonts w:hint="eastAsia"/>
                <w:sz w:val="18"/>
                <w:szCs w:val="18"/>
              </w:rPr>
              <w:t>政务外网</w:t>
            </w:r>
          </w:p>
        </w:tc>
        <w:tc>
          <w:tcPr>
            <w:tcW w:w="979" w:type="pct"/>
            <w:vAlign w:val="center"/>
          </w:tcPr>
          <w:p w14:paraId="4EF24C20">
            <w:pPr>
              <w:spacing w:line="360" w:lineRule="auto"/>
              <w:ind w:firstLine="0" w:firstLineChars="0"/>
              <w:rPr>
                <w:sz w:val="18"/>
                <w:szCs w:val="18"/>
              </w:rPr>
            </w:pPr>
            <w:r>
              <w:rPr>
                <w:rFonts w:hint="eastAsia"/>
                <w:sz w:val="18"/>
                <w:szCs w:val="18"/>
              </w:rPr>
              <w:t>数据库服务器</w:t>
            </w:r>
          </w:p>
        </w:tc>
        <w:tc>
          <w:tcPr>
            <w:tcW w:w="1665" w:type="pct"/>
            <w:vAlign w:val="center"/>
          </w:tcPr>
          <w:p w14:paraId="405F46C9">
            <w:pPr>
              <w:spacing w:line="360" w:lineRule="auto"/>
              <w:ind w:firstLine="0" w:firstLineChars="0"/>
              <w:rPr>
                <w:sz w:val="18"/>
                <w:szCs w:val="18"/>
              </w:rPr>
            </w:pPr>
            <w:r>
              <w:rPr>
                <w:rFonts w:hint="eastAsia"/>
                <w:sz w:val="18"/>
                <w:szCs w:val="18"/>
              </w:rPr>
              <w:t>16C，64G内存，1100G硬盘</w:t>
            </w:r>
          </w:p>
        </w:tc>
        <w:tc>
          <w:tcPr>
            <w:tcW w:w="896" w:type="pct"/>
            <w:vAlign w:val="center"/>
          </w:tcPr>
          <w:p w14:paraId="222B5AB9">
            <w:pPr>
              <w:spacing w:line="360" w:lineRule="auto"/>
              <w:ind w:firstLine="0" w:firstLineChars="0"/>
              <w:jc w:val="center"/>
              <w:rPr>
                <w:sz w:val="18"/>
                <w:szCs w:val="18"/>
              </w:rPr>
            </w:pPr>
            <w:r>
              <w:rPr>
                <w:rFonts w:hint="eastAsia"/>
                <w:sz w:val="18"/>
                <w:szCs w:val="18"/>
              </w:rPr>
              <w:t>2</w:t>
            </w:r>
          </w:p>
        </w:tc>
      </w:tr>
      <w:tr w14:paraId="403F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6" w:type="pct"/>
            <w:vAlign w:val="center"/>
          </w:tcPr>
          <w:p w14:paraId="766DB951">
            <w:pPr>
              <w:spacing w:line="360" w:lineRule="auto"/>
              <w:ind w:firstLine="0" w:firstLineChars="0"/>
              <w:jc w:val="center"/>
              <w:rPr>
                <w:sz w:val="18"/>
                <w:szCs w:val="18"/>
              </w:rPr>
            </w:pPr>
            <w:r>
              <w:rPr>
                <w:rFonts w:hint="eastAsia"/>
                <w:sz w:val="18"/>
                <w:szCs w:val="18"/>
              </w:rPr>
              <w:t>2</w:t>
            </w:r>
          </w:p>
        </w:tc>
        <w:tc>
          <w:tcPr>
            <w:tcW w:w="813" w:type="pct"/>
            <w:vMerge w:val="continue"/>
            <w:vAlign w:val="center"/>
          </w:tcPr>
          <w:p w14:paraId="6A6B5D1F">
            <w:pPr>
              <w:spacing w:line="360" w:lineRule="auto"/>
              <w:ind w:firstLine="0" w:firstLineChars="0"/>
              <w:rPr>
                <w:sz w:val="18"/>
                <w:szCs w:val="18"/>
              </w:rPr>
            </w:pPr>
          </w:p>
        </w:tc>
        <w:tc>
          <w:tcPr>
            <w:tcW w:w="979" w:type="pct"/>
            <w:vAlign w:val="center"/>
          </w:tcPr>
          <w:p w14:paraId="33E0627A">
            <w:pPr>
              <w:spacing w:line="360" w:lineRule="auto"/>
              <w:ind w:firstLine="0" w:firstLineChars="0"/>
              <w:rPr>
                <w:sz w:val="18"/>
                <w:szCs w:val="18"/>
              </w:rPr>
            </w:pPr>
            <w:r>
              <w:rPr>
                <w:rFonts w:hint="eastAsia"/>
                <w:sz w:val="18"/>
                <w:szCs w:val="18"/>
              </w:rPr>
              <w:t>应用服务器</w:t>
            </w:r>
          </w:p>
        </w:tc>
        <w:tc>
          <w:tcPr>
            <w:tcW w:w="1665" w:type="pct"/>
            <w:vAlign w:val="center"/>
          </w:tcPr>
          <w:p w14:paraId="422EB198">
            <w:pPr>
              <w:spacing w:line="360" w:lineRule="auto"/>
              <w:ind w:firstLine="0" w:firstLineChars="0"/>
              <w:rPr>
                <w:sz w:val="18"/>
                <w:szCs w:val="18"/>
              </w:rPr>
            </w:pPr>
            <w:r>
              <w:rPr>
                <w:rFonts w:hint="eastAsia"/>
                <w:sz w:val="18"/>
                <w:szCs w:val="18"/>
              </w:rPr>
              <w:t>16C，32G内存，600G硬盘</w:t>
            </w:r>
          </w:p>
        </w:tc>
        <w:tc>
          <w:tcPr>
            <w:tcW w:w="896" w:type="pct"/>
            <w:vAlign w:val="center"/>
          </w:tcPr>
          <w:p w14:paraId="145FF4CE">
            <w:pPr>
              <w:spacing w:line="360" w:lineRule="auto"/>
              <w:ind w:firstLine="0" w:firstLineChars="0"/>
              <w:jc w:val="center"/>
              <w:rPr>
                <w:sz w:val="18"/>
                <w:szCs w:val="18"/>
              </w:rPr>
            </w:pPr>
            <w:r>
              <w:rPr>
                <w:rFonts w:hint="eastAsia"/>
                <w:sz w:val="18"/>
                <w:szCs w:val="18"/>
              </w:rPr>
              <w:t>2</w:t>
            </w:r>
          </w:p>
        </w:tc>
      </w:tr>
      <w:tr w14:paraId="7248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6" w:type="pct"/>
            <w:vAlign w:val="center"/>
          </w:tcPr>
          <w:p w14:paraId="54D9C3CF">
            <w:pPr>
              <w:spacing w:line="360" w:lineRule="auto"/>
              <w:ind w:firstLine="0" w:firstLineChars="0"/>
              <w:jc w:val="center"/>
              <w:rPr>
                <w:sz w:val="18"/>
                <w:szCs w:val="18"/>
              </w:rPr>
            </w:pPr>
            <w:r>
              <w:rPr>
                <w:rFonts w:hint="eastAsia"/>
                <w:sz w:val="18"/>
                <w:szCs w:val="18"/>
              </w:rPr>
              <w:t>3</w:t>
            </w:r>
          </w:p>
        </w:tc>
        <w:tc>
          <w:tcPr>
            <w:tcW w:w="813" w:type="pct"/>
            <w:vMerge w:val="continue"/>
            <w:vAlign w:val="center"/>
          </w:tcPr>
          <w:p w14:paraId="4139CC24">
            <w:pPr>
              <w:spacing w:line="360" w:lineRule="auto"/>
              <w:ind w:firstLine="0" w:firstLineChars="0"/>
              <w:rPr>
                <w:sz w:val="18"/>
                <w:szCs w:val="18"/>
              </w:rPr>
            </w:pPr>
          </w:p>
        </w:tc>
        <w:tc>
          <w:tcPr>
            <w:tcW w:w="979" w:type="pct"/>
            <w:vAlign w:val="center"/>
          </w:tcPr>
          <w:p w14:paraId="61596927">
            <w:pPr>
              <w:spacing w:line="360" w:lineRule="auto"/>
              <w:ind w:firstLine="0" w:firstLineChars="0"/>
              <w:rPr>
                <w:sz w:val="18"/>
                <w:szCs w:val="18"/>
              </w:rPr>
            </w:pPr>
            <w:r>
              <w:rPr>
                <w:rFonts w:hint="eastAsia"/>
                <w:sz w:val="18"/>
                <w:szCs w:val="18"/>
              </w:rPr>
              <w:t>应用服务器</w:t>
            </w:r>
          </w:p>
        </w:tc>
        <w:tc>
          <w:tcPr>
            <w:tcW w:w="1665" w:type="pct"/>
            <w:vAlign w:val="center"/>
          </w:tcPr>
          <w:p w14:paraId="3E23E279">
            <w:pPr>
              <w:spacing w:line="360" w:lineRule="auto"/>
              <w:ind w:firstLine="0" w:firstLineChars="0"/>
              <w:rPr>
                <w:sz w:val="18"/>
                <w:szCs w:val="18"/>
              </w:rPr>
            </w:pPr>
            <w:r>
              <w:rPr>
                <w:rFonts w:hint="eastAsia"/>
                <w:sz w:val="18"/>
                <w:szCs w:val="18"/>
              </w:rPr>
              <w:t>16C，64G内存，4100G硬盘</w:t>
            </w:r>
          </w:p>
        </w:tc>
        <w:tc>
          <w:tcPr>
            <w:tcW w:w="896" w:type="pct"/>
            <w:vAlign w:val="center"/>
          </w:tcPr>
          <w:p w14:paraId="01B4059E">
            <w:pPr>
              <w:spacing w:line="360" w:lineRule="auto"/>
              <w:ind w:firstLine="0" w:firstLineChars="0"/>
              <w:jc w:val="center"/>
              <w:rPr>
                <w:sz w:val="18"/>
                <w:szCs w:val="18"/>
              </w:rPr>
            </w:pPr>
            <w:r>
              <w:rPr>
                <w:rFonts w:hint="eastAsia"/>
                <w:sz w:val="18"/>
                <w:szCs w:val="18"/>
              </w:rPr>
              <w:t>1</w:t>
            </w:r>
          </w:p>
        </w:tc>
      </w:tr>
      <w:tr w14:paraId="4018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6" w:type="pct"/>
            <w:vAlign w:val="center"/>
          </w:tcPr>
          <w:p w14:paraId="541BEDAA">
            <w:pPr>
              <w:spacing w:line="360" w:lineRule="auto"/>
              <w:ind w:firstLine="0" w:firstLineChars="0"/>
              <w:jc w:val="center"/>
              <w:rPr>
                <w:sz w:val="18"/>
                <w:szCs w:val="18"/>
              </w:rPr>
            </w:pPr>
            <w:r>
              <w:rPr>
                <w:rFonts w:hint="eastAsia"/>
                <w:sz w:val="18"/>
                <w:szCs w:val="18"/>
              </w:rPr>
              <w:t>4</w:t>
            </w:r>
          </w:p>
        </w:tc>
        <w:tc>
          <w:tcPr>
            <w:tcW w:w="813" w:type="pct"/>
            <w:vMerge w:val="continue"/>
            <w:vAlign w:val="center"/>
          </w:tcPr>
          <w:p w14:paraId="4E7973CA">
            <w:pPr>
              <w:spacing w:line="360" w:lineRule="auto"/>
              <w:ind w:firstLine="0" w:firstLineChars="0"/>
              <w:rPr>
                <w:sz w:val="18"/>
                <w:szCs w:val="18"/>
              </w:rPr>
            </w:pPr>
          </w:p>
        </w:tc>
        <w:tc>
          <w:tcPr>
            <w:tcW w:w="979" w:type="pct"/>
            <w:vAlign w:val="center"/>
          </w:tcPr>
          <w:p w14:paraId="245BEED7">
            <w:pPr>
              <w:spacing w:line="360" w:lineRule="auto"/>
              <w:ind w:firstLine="0" w:firstLineChars="0"/>
              <w:rPr>
                <w:sz w:val="18"/>
                <w:szCs w:val="18"/>
              </w:rPr>
            </w:pPr>
            <w:r>
              <w:rPr>
                <w:rFonts w:hint="eastAsia"/>
                <w:sz w:val="18"/>
                <w:szCs w:val="18"/>
              </w:rPr>
              <w:t>文件存储</w:t>
            </w:r>
          </w:p>
        </w:tc>
        <w:tc>
          <w:tcPr>
            <w:tcW w:w="1665" w:type="pct"/>
            <w:vAlign w:val="center"/>
          </w:tcPr>
          <w:p w14:paraId="75E67B81">
            <w:pPr>
              <w:spacing w:line="360" w:lineRule="auto"/>
              <w:ind w:firstLine="0" w:firstLineChars="0"/>
              <w:rPr>
                <w:sz w:val="18"/>
                <w:szCs w:val="18"/>
              </w:rPr>
            </w:pPr>
            <w:r>
              <w:rPr>
                <w:rFonts w:hint="eastAsia"/>
                <w:sz w:val="18"/>
                <w:szCs w:val="18"/>
              </w:rPr>
              <w:t>24000G存储</w:t>
            </w:r>
          </w:p>
        </w:tc>
        <w:tc>
          <w:tcPr>
            <w:tcW w:w="896" w:type="pct"/>
            <w:vAlign w:val="center"/>
          </w:tcPr>
          <w:p w14:paraId="261CF60E">
            <w:pPr>
              <w:spacing w:line="360" w:lineRule="auto"/>
              <w:ind w:firstLine="0" w:firstLineChars="0"/>
              <w:jc w:val="center"/>
              <w:rPr>
                <w:sz w:val="18"/>
                <w:szCs w:val="18"/>
              </w:rPr>
            </w:pPr>
            <w:r>
              <w:rPr>
                <w:rFonts w:hint="eastAsia"/>
                <w:sz w:val="18"/>
                <w:szCs w:val="18"/>
              </w:rPr>
              <w:t>1</w:t>
            </w:r>
          </w:p>
        </w:tc>
      </w:tr>
      <w:tr w14:paraId="4D32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6" w:type="pct"/>
            <w:vAlign w:val="center"/>
          </w:tcPr>
          <w:p w14:paraId="7EDCF1AA">
            <w:pPr>
              <w:spacing w:line="360" w:lineRule="auto"/>
              <w:ind w:firstLine="0" w:firstLineChars="0"/>
              <w:jc w:val="center"/>
              <w:rPr>
                <w:sz w:val="18"/>
                <w:szCs w:val="18"/>
              </w:rPr>
            </w:pPr>
            <w:r>
              <w:rPr>
                <w:rFonts w:hint="eastAsia"/>
                <w:sz w:val="18"/>
                <w:szCs w:val="18"/>
              </w:rPr>
              <w:t>5</w:t>
            </w:r>
          </w:p>
        </w:tc>
        <w:tc>
          <w:tcPr>
            <w:tcW w:w="813" w:type="pct"/>
            <w:vAlign w:val="center"/>
          </w:tcPr>
          <w:p w14:paraId="7D300203">
            <w:pPr>
              <w:spacing w:line="360" w:lineRule="auto"/>
              <w:ind w:firstLine="0" w:firstLineChars="0"/>
              <w:rPr>
                <w:sz w:val="18"/>
                <w:szCs w:val="18"/>
              </w:rPr>
            </w:pPr>
            <w:r>
              <w:rPr>
                <w:rFonts w:hint="eastAsia"/>
                <w:sz w:val="18"/>
                <w:szCs w:val="18"/>
              </w:rPr>
              <w:t>互联网</w:t>
            </w:r>
          </w:p>
        </w:tc>
        <w:tc>
          <w:tcPr>
            <w:tcW w:w="979" w:type="pct"/>
            <w:vAlign w:val="center"/>
          </w:tcPr>
          <w:p w14:paraId="35CA25A7">
            <w:pPr>
              <w:spacing w:line="360" w:lineRule="auto"/>
              <w:ind w:firstLine="0" w:firstLineChars="0"/>
              <w:rPr>
                <w:sz w:val="18"/>
                <w:szCs w:val="18"/>
              </w:rPr>
            </w:pPr>
            <w:r>
              <w:rPr>
                <w:rFonts w:hint="eastAsia"/>
                <w:sz w:val="18"/>
                <w:szCs w:val="18"/>
              </w:rPr>
              <w:t>应用服务器</w:t>
            </w:r>
          </w:p>
        </w:tc>
        <w:tc>
          <w:tcPr>
            <w:tcW w:w="1665" w:type="pct"/>
            <w:vAlign w:val="center"/>
          </w:tcPr>
          <w:p w14:paraId="27133530">
            <w:pPr>
              <w:spacing w:line="360" w:lineRule="auto"/>
              <w:ind w:firstLine="0" w:firstLineChars="0"/>
              <w:rPr>
                <w:sz w:val="18"/>
                <w:szCs w:val="18"/>
              </w:rPr>
            </w:pPr>
            <w:r>
              <w:rPr>
                <w:rFonts w:hint="eastAsia"/>
                <w:sz w:val="18"/>
                <w:szCs w:val="18"/>
              </w:rPr>
              <w:t>8C，32G内存，600G硬盘</w:t>
            </w:r>
          </w:p>
        </w:tc>
        <w:tc>
          <w:tcPr>
            <w:tcW w:w="896" w:type="pct"/>
            <w:vAlign w:val="center"/>
          </w:tcPr>
          <w:p w14:paraId="26EC2AC9">
            <w:pPr>
              <w:spacing w:line="360" w:lineRule="auto"/>
              <w:ind w:firstLine="0" w:firstLineChars="0"/>
              <w:jc w:val="center"/>
              <w:rPr>
                <w:sz w:val="18"/>
                <w:szCs w:val="18"/>
              </w:rPr>
            </w:pPr>
            <w:r>
              <w:rPr>
                <w:rFonts w:hint="eastAsia"/>
                <w:sz w:val="18"/>
                <w:szCs w:val="18"/>
              </w:rPr>
              <w:t>2</w:t>
            </w:r>
          </w:p>
        </w:tc>
      </w:tr>
    </w:tbl>
    <w:p w14:paraId="11A70F12">
      <w:pPr>
        <w:pStyle w:val="2"/>
      </w:pPr>
      <w:r>
        <w:rPr>
          <w:rFonts w:hint="eastAsia"/>
        </w:rPr>
        <w:t>其他工作要求</w:t>
      </w:r>
      <w:bookmarkEnd w:id="22"/>
    </w:p>
    <w:p w14:paraId="2ABBCC50">
      <w:pPr>
        <w:pStyle w:val="3"/>
      </w:pPr>
      <w:r>
        <w:rPr>
          <w:rFonts w:hint="eastAsia"/>
        </w:rPr>
        <w:t>架构设计要求</w:t>
      </w:r>
    </w:p>
    <w:p w14:paraId="409A3AF4">
      <w:r>
        <w:rPr>
          <w:rFonts w:hint="eastAsia"/>
        </w:rPr>
        <w:t>参照自然资源部、上海市自然资源和规划信息化建设总体架构设计要求，聚焦我中心全域土地综合整治项目的管理需要，全面提升土地整治的业务管理能力，满足面向全域整治各个环节、各项工作的规范化管理、跨部门协同、多主体参与的业务管理需求，并遵循先进性以及可行性等原则进行本次项目系统总体架构的设计。</w:t>
      </w:r>
    </w:p>
    <w:p w14:paraId="1B11B246">
      <w:pPr>
        <w:pStyle w:val="3"/>
      </w:pPr>
      <w:r>
        <w:rPr>
          <w:rFonts w:hint="eastAsia"/>
        </w:rPr>
        <w:t>关键技术要求</w:t>
      </w:r>
    </w:p>
    <w:p w14:paraId="3D62D90B">
      <w:r>
        <w:rPr>
          <w:rFonts w:hint="eastAsia"/>
        </w:rPr>
        <w:t>本项目系统建设应采用先进、成熟、可扩展的技术体系，满足政务业务复杂性高、多部门协同和空间信息深度应用的建设需求。</w:t>
      </w:r>
    </w:p>
    <w:p w14:paraId="7BAD4935">
      <w:r>
        <w:rPr>
          <w:rFonts w:hint="eastAsia"/>
        </w:rPr>
        <w:t>系统应遵循自主可控、安全可靠、符合</w:t>
      </w:r>
      <w:r>
        <w:rPr>
          <w:rFonts w:hint="eastAsia"/>
          <w:lang w:eastAsia="zh-CN"/>
        </w:rPr>
        <w:t>XC</w:t>
      </w:r>
      <w:r>
        <w:rPr>
          <w:rFonts w:hint="eastAsia"/>
        </w:rPr>
        <w:t>及政务云建设要求的总体技术原则，综合采用领域驱动设计、分布式微服务架构、流程引擎与地理信息系统融合、空间规则建模以及</w:t>
      </w:r>
      <w:r>
        <w:rPr>
          <w:rFonts w:ascii="宋体" w:hAnsi="宋体" w:cs="宋体"/>
        </w:rPr>
        <w:t>终端数据采集与时空加密</w:t>
      </w:r>
      <w:r>
        <w:rPr>
          <w:rFonts w:hint="eastAsia"/>
        </w:rPr>
        <w:t>等关键技术，构建架构清晰、运行稳定、具备持续演进能力的业务支撑平台。</w:t>
      </w:r>
    </w:p>
    <w:p w14:paraId="7A39FF54">
      <w:r>
        <w:rPr>
          <w:rFonts w:hint="eastAsia"/>
        </w:rPr>
        <w:t>（1）领域驱动设计技术要求</w:t>
      </w:r>
    </w:p>
    <w:p w14:paraId="1085A059">
      <w:r>
        <w:rPr>
          <w:rFonts w:hint="eastAsia"/>
        </w:rPr>
        <w:t>系统应采用领域驱动设计（DDD）的方法论开展业务建模与系统设计，对业务进行合理的领域划分，明确业务边界和职责分工。</w:t>
      </w:r>
    </w:p>
    <w:p w14:paraId="3BB19526">
      <w:r>
        <w:rPr>
          <w:rFonts w:hint="eastAsia"/>
        </w:rPr>
        <w:t>应通过限界上下文、领域模型和领域服务等设计方式，构建高内聚、低耦合的软件架构，有效分离业务复杂度与技术复杂度，提升系统的可维护性、可扩展性和长期演进能力。</w:t>
      </w:r>
    </w:p>
    <w:p w14:paraId="4480E1B7">
      <w:r>
        <w:rPr>
          <w:rFonts w:hint="eastAsia"/>
        </w:rPr>
        <w:t>（2）分布式微服务架构技术要求</w:t>
      </w:r>
    </w:p>
    <w:p w14:paraId="658A24F5">
      <w:r>
        <w:rPr>
          <w:rFonts w:hint="eastAsia"/>
        </w:rPr>
        <w:t>系统应采用分布式微服务架构，构建标准化、服务化的平台体系，支持业务功能的模块化拆分和独立部署。</w:t>
      </w:r>
    </w:p>
    <w:p w14:paraId="0DEBF729">
      <w:r>
        <w:rPr>
          <w:rFonts w:hint="eastAsia"/>
        </w:rPr>
        <w:t>应具备完善的服务治理机制，支持服务注册、发现、调用与管理，满足系统高并发访问、高可用运行和业务灵活扩展的要求，并为后续功能升级和系统扩展预留技术空间。</w:t>
      </w:r>
    </w:p>
    <w:p w14:paraId="7DCDD6CE">
      <w:r>
        <w:rPr>
          <w:rFonts w:hint="eastAsia"/>
        </w:rPr>
        <w:t>（3）流程引擎与地理信息系统融合技术要求</w:t>
      </w:r>
    </w:p>
    <w:p w14:paraId="36D50282">
      <w:r>
        <w:rPr>
          <w:rFonts w:hint="eastAsia"/>
        </w:rPr>
        <w:t>系统应采用流程引擎与地理信息系统深度融合的一体化协同技术，实现业务流程管理与空间信息管理的有机结合。</w:t>
      </w:r>
    </w:p>
    <w:p w14:paraId="5B53FEB5">
      <w:r>
        <w:rPr>
          <w:rFonts w:hint="eastAsia"/>
        </w:rPr>
        <w:t>应支持将业务流程、审批节点与空间对象进行关联管理，实现流程状态与空间信息的同步联动，打破业务流程与空间数据之间的信息壁垒，提升跨部门业务协同能力和审批处理效率。</w:t>
      </w:r>
    </w:p>
    <w:p w14:paraId="02780723">
      <w:r>
        <w:rPr>
          <w:rFonts w:hint="eastAsia"/>
        </w:rPr>
        <w:t>（4）空间规则建模数字化管控技术要求</w:t>
      </w:r>
    </w:p>
    <w:p w14:paraId="189C9831">
      <w:r>
        <w:rPr>
          <w:rFonts w:hint="eastAsia"/>
        </w:rPr>
        <w:t>系统应具备空间规则建模能力，对整治项目和重点区域涉及的空间对象、业务规则和监管逻辑进行统一建模和数字化管理。</w:t>
      </w:r>
    </w:p>
    <w:p w14:paraId="7950C389">
      <w:r>
        <w:rPr>
          <w:rFonts w:hint="eastAsia"/>
        </w:rPr>
        <w:t>应支持基于空间规则的自动校核、过程监测和动态监管，实现对项目实施全过程的精准管控，提高监管工作的科学性、规范性和透明度。</w:t>
      </w:r>
    </w:p>
    <w:p w14:paraId="7E67E83B">
      <w:r>
        <w:rPr>
          <w:rFonts w:hint="eastAsia"/>
        </w:rPr>
        <w:t>（5）</w:t>
      </w:r>
      <w:r>
        <w:rPr>
          <w:rFonts w:ascii="宋体" w:hAnsi="宋体" w:cs="宋体"/>
        </w:rPr>
        <w:t>终端数据采集与时空加密技术</w:t>
      </w:r>
      <w:r>
        <w:rPr>
          <w:rFonts w:hint="eastAsia"/>
        </w:rPr>
        <w:t>要求</w:t>
      </w:r>
    </w:p>
    <w:p w14:paraId="7AF9BFF8">
      <w:r>
        <w:rPr>
          <w:rFonts w:ascii="宋体" w:hAnsi="宋体" w:cs="宋体"/>
        </w:rPr>
        <w:t>系统应基于数字水印与时空加密技术进行终端数据采集，深度融合时空信息与图像像素，通过不可篡改且可实时联动的可信数字照片，确保现场巡查工作的真实性和有效性，满足外业核验、过程监管与流程管控的真实性和有效性要求。</w:t>
      </w:r>
    </w:p>
    <w:p w14:paraId="6EBD2C85">
      <w:pPr>
        <w:pStyle w:val="3"/>
      </w:pPr>
      <w:r>
        <w:rPr>
          <w:rFonts w:hint="eastAsia"/>
        </w:rPr>
        <w:t>系统接口要求</w:t>
      </w:r>
    </w:p>
    <w:p w14:paraId="45A3961C">
      <w:r>
        <w:rPr>
          <w:rFonts w:hint="eastAsia"/>
        </w:rPr>
        <w:t>要求系统接口满足跨平台、跨系统的远程数据调用，确保数据传输的规范性和稳定性，保障系统交互的高效性。要求保障接口数据传输和访问的安全性，防止非法调用。要求接口设计应具备良好的扩展性，便于后续新增功能或调整数据结构，考虑接口与现有系统的兼容性和未来业务发展的扩展性。</w:t>
      </w:r>
    </w:p>
    <w:p w14:paraId="6E888A63">
      <w:pPr>
        <w:pStyle w:val="3"/>
      </w:pPr>
      <w:r>
        <w:rPr>
          <w:rFonts w:hint="eastAsia"/>
        </w:rPr>
        <w:t>系统性能要求</w:t>
      </w:r>
    </w:p>
    <w:p w14:paraId="7765D708">
      <w:r>
        <w:rPr>
          <w:rFonts w:hint="eastAsia"/>
        </w:rPr>
        <w:t>1）系统用户并发性要求：支持同时在线用户数：≥300；支持并发用户数：≥50；</w:t>
      </w:r>
    </w:p>
    <w:p w14:paraId="1D33FEF6">
      <w:r>
        <w:rPr>
          <w:rFonts w:hint="eastAsia"/>
        </w:rPr>
        <w:t>2）操作响应要求：在网络稳定的环境下，系统登录到页面完成初始化加载要求≤1秒；对于一般查询、写入、搜索等操作响应时间≤3秒，报表统计类操作响应时间≤3秒；矢量GIS查询响应时间≤3秒。</w:t>
      </w:r>
    </w:p>
    <w:p w14:paraId="7AD902C8">
      <w:r>
        <w:rPr>
          <w:rFonts w:hint="eastAsia"/>
        </w:rPr>
        <w:t>3）故障恢复要求：系统发生故障后，应在30分钟内完成恢复，非关键系统故障恢复时间不超过2小时；在分布式部署系统的情况下，当某一节点发生故障时，系统应能自动切换到其他正常节点，确保业务不受影响。</w:t>
      </w:r>
    </w:p>
    <w:p w14:paraId="0C1C490E">
      <w:pPr>
        <w:pStyle w:val="3"/>
      </w:pPr>
      <w:bookmarkStart w:id="23" w:name="_Toc63785505"/>
      <w:r>
        <w:rPr>
          <w:rFonts w:hint="eastAsia"/>
        </w:rPr>
        <w:t>售后服务要求</w:t>
      </w:r>
      <w:bookmarkEnd w:id="23"/>
    </w:p>
    <w:p w14:paraId="342B66FE">
      <w:pPr>
        <w:pStyle w:val="13"/>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242933AB">
      <w:pPr>
        <w:pStyle w:val="13"/>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全域土地综合整治监测监管大系统建设项目的数据运维、系统运维、软件维护等工作。</w:t>
      </w:r>
    </w:p>
    <w:p w14:paraId="5BAFED67">
      <w:pPr>
        <w:pStyle w:val="3"/>
      </w:pPr>
      <w:bookmarkStart w:id="24" w:name="_Toc63785506"/>
      <w:r>
        <w:rPr>
          <w:rFonts w:hint="eastAsia"/>
        </w:rPr>
        <w:t>应急响应要求</w:t>
      </w:r>
      <w:bookmarkEnd w:id="24"/>
    </w:p>
    <w:p w14:paraId="07337F2F">
      <w:pPr>
        <w:pStyle w:val="13"/>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5DA2DDBA">
      <w:pPr>
        <w:pStyle w:val="13"/>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4C21167D">
      <w:pPr>
        <w:pStyle w:val="13"/>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2C68A529">
      <w:pPr>
        <w:pStyle w:val="13"/>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4594D103">
      <w:pPr>
        <w:pStyle w:val="13"/>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792345FD">
      <w:pPr>
        <w:pStyle w:val="3"/>
      </w:pPr>
      <w:bookmarkStart w:id="25" w:name="_Toc63785507"/>
      <w:r>
        <w:rPr>
          <w:rFonts w:hint="eastAsia"/>
        </w:rPr>
        <w:t>培训要求</w:t>
      </w:r>
      <w:bookmarkEnd w:id="25"/>
    </w:p>
    <w:p w14:paraId="5940FC4F">
      <w:pPr>
        <w:pStyle w:val="13"/>
        <w:spacing w:line="360" w:lineRule="auto"/>
        <w:ind w:firstLine="480"/>
        <w:rPr>
          <w:rFonts w:hint="eastAsia" w:ascii="宋体" w:hAnsi="宋体"/>
          <w:sz w:val="24"/>
          <w:szCs w:val="24"/>
        </w:rPr>
      </w:pPr>
      <w:r>
        <w:rPr>
          <w:rFonts w:hint="eastAsia" w:ascii="宋体" w:hAnsi="宋体"/>
          <w:sz w:val="24"/>
          <w:szCs w:val="24"/>
        </w:rPr>
        <w:t>对系统使用单位提供业务操作培训，应提供详细培训方案。</w:t>
      </w:r>
    </w:p>
    <w:p w14:paraId="2D1C5737">
      <w:pPr>
        <w:pStyle w:val="13"/>
        <w:spacing w:line="360" w:lineRule="auto"/>
        <w:ind w:firstLine="480"/>
        <w:rPr>
          <w:rFonts w:hint="eastAsia" w:ascii="宋体" w:hAnsi="宋体"/>
          <w:sz w:val="24"/>
          <w:szCs w:val="24"/>
        </w:rPr>
      </w:pPr>
      <w:r>
        <w:rPr>
          <w:rFonts w:hint="eastAsia" w:ascii="宋体" w:hAnsi="宋体"/>
          <w:sz w:val="24"/>
          <w:szCs w:val="24"/>
        </w:rPr>
        <w:t>(1)在12个月的质量保证期内，提供2次与项目相关的必要培训。</w:t>
      </w:r>
    </w:p>
    <w:p w14:paraId="334A9DC4">
      <w:pPr>
        <w:pStyle w:val="13"/>
        <w:spacing w:line="360" w:lineRule="auto"/>
        <w:ind w:firstLine="480"/>
        <w:rPr>
          <w:rFonts w:hint="eastAsia" w:ascii="宋体" w:hAnsi="宋体"/>
          <w:sz w:val="24"/>
          <w:szCs w:val="24"/>
        </w:rPr>
      </w:pPr>
      <w:r>
        <w:rPr>
          <w:rFonts w:hint="eastAsia" w:ascii="宋体" w:hAnsi="宋体"/>
          <w:sz w:val="24"/>
          <w:szCs w:val="24"/>
        </w:rPr>
        <w:t>(2)供应商需要开展分层次的人员培训工作，每次培训后应对参加培训人员进行测试，评估培训成果。培训应具有培训教材、培训环境和高水平的培训讲师。</w:t>
      </w:r>
    </w:p>
    <w:p w14:paraId="5093384D">
      <w:pPr>
        <w:pStyle w:val="13"/>
        <w:spacing w:line="360" w:lineRule="auto"/>
        <w:ind w:firstLine="480"/>
        <w:rPr>
          <w:rFonts w:hint="eastAsia" w:ascii="宋体" w:hAnsi="宋体"/>
          <w:sz w:val="24"/>
          <w:szCs w:val="24"/>
        </w:rPr>
      </w:pPr>
      <w:r>
        <w:rPr>
          <w:rFonts w:hint="eastAsia" w:ascii="宋体" w:hAnsi="宋体"/>
          <w:sz w:val="24"/>
          <w:szCs w:val="24"/>
        </w:rPr>
        <w:t>(3)供应商应提供一般用户的基础操作培训和部门信息管理员的日常应用维护的培训，确保用户对象能够掌握对应的操作技能。</w:t>
      </w:r>
    </w:p>
    <w:p w14:paraId="3AE3C27B">
      <w:pPr>
        <w:pStyle w:val="3"/>
      </w:pPr>
      <w:bookmarkStart w:id="26" w:name="_Toc63785509"/>
      <w:r>
        <w:rPr>
          <w:rFonts w:hint="eastAsia"/>
        </w:rPr>
        <w:t>进度要求</w:t>
      </w:r>
      <w:bookmarkEnd w:id="26"/>
    </w:p>
    <w:p w14:paraId="4EA8C0B9">
      <w:pPr>
        <w:pStyle w:val="13"/>
        <w:spacing w:line="360" w:lineRule="auto"/>
        <w:ind w:firstLine="480"/>
        <w:rPr>
          <w:rFonts w:hint="eastAsia" w:ascii="宋体" w:hAnsi="宋体"/>
          <w:sz w:val="24"/>
          <w:szCs w:val="24"/>
        </w:rPr>
      </w:pPr>
      <w:r>
        <w:rPr>
          <w:rFonts w:hint="eastAsia" w:ascii="宋体" w:hAnsi="宋体"/>
          <w:sz w:val="24"/>
          <w:szCs w:val="24"/>
        </w:rPr>
        <w:t>投标人应根据建设内容，分阶段制定合理的时间进度，并且应根据招标方要求进行调整和细化。</w:t>
      </w:r>
    </w:p>
    <w:p w14:paraId="136679D0">
      <w:pPr>
        <w:pStyle w:val="13"/>
        <w:spacing w:line="360" w:lineRule="auto"/>
        <w:ind w:firstLine="480"/>
        <w:rPr>
          <w:rFonts w:hint="eastAsia" w:ascii="宋体" w:hAnsi="宋体"/>
          <w:sz w:val="24"/>
          <w:szCs w:val="24"/>
        </w:rPr>
      </w:pPr>
      <w:r>
        <w:rPr>
          <w:rFonts w:hint="eastAsia" w:ascii="宋体" w:hAnsi="宋体"/>
          <w:sz w:val="24"/>
          <w:szCs w:val="24"/>
        </w:rPr>
        <w:t>开发周期（交付时间）要求：合同签订生效后8个月</w:t>
      </w:r>
      <w:r>
        <w:rPr>
          <w:rFonts w:hint="eastAsia" w:ascii="宋体" w:hAnsi="宋体"/>
          <w:sz w:val="24"/>
          <w:szCs w:val="24"/>
          <w:lang w:eastAsia="zh-CN"/>
        </w:rPr>
        <w:t>（包含至少一个月试运行）</w:t>
      </w:r>
      <w:r>
        <w:rPr>
          <w:rFonts w:hint="eastAsia" w:ascii="宋体" w:hAnsi="宋体"/>
          <w:sz w:val="24"/>
          <w:szCs w:val="24"/>
        </w:rPr>
        <w:t>内完成并通过验收。</w:t>
      </w:r>
    </w:p>
    <w:p w14:paraId="14413183">
      <w:pPr>
        <w:pStyle w:val="13"/>
        <w:spacing w:line="360" w:lineRule="auto"/>
        <w:ind w:firstLine="480"/>
        <w:rPr>
          <w:rFonts w:hint="eastAsia" w:ascii="宋体" w:hAnsi="宋体"/>
          <w:sz w:val="24"/>
          <w:szCs w:val="24"/>
        </w:rPr>
      </w:pPr>
      <w:r>
        <w:rPr>
          <w:rFonts w:hint="eastAsia" w:ascii="宋体" w:hAnsi="宋体"/>
          <w:sz w:val="24"/>
          <w:szCs w:val="24"/>
        </w:rPr>
        <w:t>自合同签订之日起1个月内完成上海市建设用地和土地整理事务中心的所有空间数据资源梳理，数据入库、管理、查询；完成市级土地整治项目的所有业务流程梳理、业务构建和试用；6个月内完成所有合同任务的研发；开发完成后至少试运行1个月，试运行通过后完成验收。</w:t>
      </w:r>
    </w:p>
    <w:p w14:paraId="03FC4605">
      <w:pPr>
        <w:pStyle w:val="13"/>
        <w:spacing w:line="360" w:lineRule="auto"/>
        <w:ind w:firstLine="480"/>
        <w:rPr>
          <w:rFonts w:hint="eastAsia" w:ascii="宋体" w:hAnsi="宋体"/>
          <w:sz w:val="24"/>
          <w:szCs w:val="24"/>
        </w:rPr>
      </w:pPr>
      <w:r>
        <w:rPr>
          <w:rFonts w:hint="eastAsia" w:ascii="宋体" w:hAnsi="宋体"/>
          <w:sz w:val="24"/>
          <w:szCs w:val="24"/>
        </w:rPr>
        <w:t>质量保证期：从项目验收通过并交付之日后起1年。质量保证期工作内容要求按照合同文件规定执行。质量保证期从项目验收通过并交付之日后起计。</w:t>
      </w:r>
    </w:p>
    <w:p w14:paraId="3E54C993">
      <w:pPr>
        <w:pStyle w:val="3"/>
      </w:pPr>
      <w:bookmarkStart w:id="27" w:name="_Toc63785510"/>
      <w:r>
        <w:rPr>
          <w:rFonts w:hint="eastAsia"/>
        </w:rPr>
        <w:t>项目团队及驻场人员</w:t>
      </w:r>
      <w:r>
        <w:rPr>
          <w:rFonts w:hint="eastAsia"/>
          <w:lang w:eastAsia="zh-CN"/>
        </w:rPr>
        <w:t>、供应商综合能力</w:t>
      </w:r>
      <w:r>
        <w:rPr>
          <w:rFonts w:hint="eastAsia"/>
        </w:rPr>
        <w:t>要求</w:t>
      </w:r>
      <w:bookmarkEnd w:id="27"/>
    </w:p>
    <w:p w14:paraId="55C5EC92">
      <w:pPr>
        <w:pStyle w:val="13"/>
        <w:spacing w:line="360" w:lineRule="auto"/>
        <w:ind w:firstLine="480"/>
        <w:rPr>
          <w:rFonts w:hint="eastAsia" w:ascii="宋体" w:hAnsi="宋体"/>
          <w:sz w:val="24"/>
          <w:szCs w:val="24"/>
        </w:rPr>
      </w:pPr>
      <w:r>
        <w:rPr>
          <w:rFonts w:hint="eastAsia" w:ascii="宋体" w:hAnsi="宋体"/>
          <w:sz w:val="24"/>
          <w:szCs w:val="24"/>
        </w:rPr>
        <w:t>5.9.1投标人具有稳定的在职技术保障力量，能够提供及时的技术支援或服务，针对本项目提供不少于20人的项目实施团队，其中驻场人员不少于5人，且团队成员里包含项目成功交付所具备的项目管理、需求分析、产品设计、软件开发及测试等相关专业人员（在投标文件中提供在职证明材料），投标文件中所提供的项目团队人员名单，与后续项目执行中所投入的人员保持一致。</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0"/>
        <w:gridCol w:w="1915"/>
        <w:gridCol w:w="1242"/>
        <w:gridCol w:w="2644"/>
        <w:gridCol w:w="1408"/>
      </w:tblGrid>
      <w:tr w14:paraId="599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jc w:val="center"/>
        </w:trPr>
        <w:tc>
          <w:tcPr>
            <w:tcW w:w="672" w:type="pct"/>
            <w:shd w:val="clear" w:color="auto" w:fill="F1F1F1" w:themeFill="background1" w:themeFillShade="F2"/>
            <w:noWrap/>
            <w:vAlign w:val="center"/>
          </w:tcPr>
          <w:p w14:paraId="25118F3B">
            <w:pPr>
              <w:pStyle w:val="15"/>
              <w:ind w:firstLine="0" w:firstLineChars="0"/>
            </w:pPr>
            <w:r>
              <w:t>岗位</w:t>
            </w:r>
          </w:p>
        </w:tc>
        <w:tc>
          <w:tcPr>
            <w:tcW w:w="1149" w:type="pct"/>
            <w:shd w:val="clear" w:color="auto" w:fill="F1F1F1" w:themeFill="background1" w:themeFillShade="F2"/>
            <w:noWrap/>
            <w:vAlign w:val="center"/>
          </w:tcPr>
          <w:p w14:paraId="2DB09D61">
            <w:pPr>
              <w:pStyle w:val="15"/>
              <w:ind w:firstLine="0" w:firstLineChars="0"/>
            </w:pPr>
            <w:r>
              <w:t>主要职责</w:t>
            </w:r>
          </w:p>
        </w:tc>
        <w:tc>
          <w:tcPr>
            <w:tcW w:w="745" w:type="pct"/>
            <w:shd w:val="clear" w:color="auto" w:fill="F1F1F1" w:themeFill="background1" w:themeFillShade="F2"/>
            <w:noWrap/>
            <w:vAlign w:val="center"/>
          </w:tcPr>
          <w:p w14:paraId="6B926EFF">
            <w:pPr>
              <w:pStyle w:val="15"/>
              <w:ind w:firstLine="0" w:firstLineChars="0"/>
            </w:pPr>
            <w:r>
              <w:t>人员数量</w:t>
            </w:r>
          </w:p>
        </w:tc>
        <w:tc>
          <w:tcPr>
            <w:tcW w:w="1587" w:type="pct"/>
            <w:shd w:val="clear" w:color="auto" w:fill="F1F1F1" w:themeFill="background1" w:themeFillShade="F2"/>
            <w:vAlign w:val="center"/>
          </w:tcPr>
          <w:p w14:paraId="6BB927E4">
            <w:pPr>
              <w:pStyle w:val="15"/>
              <w:ind w:firstLine="0" w:firstLineChars="0"/>
            </w:pPr>
            <w:r>
              <w:t>人员要求</w:t>
            </w:r>
          </w:p>
        </w:tc>
        <w:tc>
          <w:tcPr>
            <w:tcW w:w="845" w:type="pct"/>
            <w:shd w:val="clear" w:color="auto" w:fill="F1F1F1" w:themeFill="background1" w:themeFillShade="F2"/>
            <w:vAlign w:val="center"/>
          </w:tcPr>
          <w:p w14:paraId="393C4E63">
            <w:pPr>
              <w:ind w:firstLine="0" w:firstLineChars="0"/>
              <w:jc w:val="center"/>
              <w:rPr>
                <w:sz w:val="18"/>
                <w:szCs w:val="18"/>
              </w:rPr>
            </w:pPr>
            <w:r>
              <w:rPr>
                <w:rFonts w:hint="eastAsia"/>
                <w:sz w:val="18"/>
                <w:szCs w:val="18"/>
              </w:rPr>
              <w:t>驻场要求</w:t>
            </w:r>
          </w:p>
        </w:tc>
      </w:tr>
      <w:tr w14:paraId="65D2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72" w:type="pct"/>
            <w:noWrap/>
            <w:vAlign w:val="center"/>
          </w:tcPr>
          <w:p w14:paraId="39A4B02E">
            <w:pPr>
              <w:pStyle w:val="15"/>
              <w:ind w:firstLine="0" w:firstLineChars="0"/>
            </w:pPr>
            <w:r>
              <w:t>项目</w:t>
            </w:r>
            <w:r>
              <w:rPr>
                <w:rFonts w:hint="eastAsia"/>
                <w:lang w:val="en-US" w:eastAsia="zh-CN"/>
              </w:rPr>
              <w:t>经理（开发阶段）</w:t>
            </w:r>
          </w:p>
        </w:tc>
        <w:tc>
          <w:tcPr>
            <w:tcW w:w="1149" w:type="pct"/>
            <w:vAlign w:val="center"/>
          </w:tcPr>
          <w:p w14:paraId="7E079EF6">
            <w:pPr>
              <w:pStyle w:val="15"/>
              <w:ind w:firstLine="0" w:firstLineChars="0"/>
            </w:pPr>
            <w:r>
              <w:t>负责项目质量和进度控制</w:t>
            </w:r>
          </w:p>
        </w:tc>
        <w:tc>
          <w:tcPr>
            <w:tcW w:w="745" w:type="pct"/>
            <w:noWrap/>
            <w:vAlign w:val="center"/>
          </w:tcPr>
          <w:p w14:paraId="056A43CC">
            <w:pPr>
              <w:pStyle w:val="15"/>
              <w:ind w:firstLine="0" w:firstLineChars="0"/>
            </w:pPr>
            <w:r>
              <w:t>1人</w:t>
            </w:r>
          </w:p>
        </w:tc>
        <w:tc>
          <w:tcPr>
            <w:tcW w:w="1587" w:type="pct"/>
            <w:vAlign w:val="center"/>
          </w:tcPr>
          <w:p w14:paraId="58B7A979">
            <w:pPr>
              <w:pStyle w:val="15"/>
              <w:ind w:firstLine="0" w:firstLineChars="0"/>
            </w:pPr>
            <w:r>
              <w:t>具有计算机类专业高级职称；具有硕士及以上学历；具有10年或以上从业经历（以最高学历获得时间为准）；具有类似项目经验</w:t>
            </w:r>
          </w:p>
        </w:tc>
        <w:tc>
          <w:tcPr>
            <w:tcW w:w="845" w:type="pct"/>
            <w:vAlign w:val="center"/>
          </w:tcPr>
          <w:p w14:paraId="18ED61EC">
            <w:pPr>
              <w:ind w:firstLine="0" w:firstLineChars="0"/>
              <w:jc w:val="center"/>
              <w:rPr>
                <w:rFonts w:hint="eastAsia" w:ascii="SimSong Bold" w:hAnsi="SimSong Bold" w:eastAsia="SimSong" w:cs="SimSong"/>
                <w:sz w:val="18"/>
                <w:szCs w:val="18"/>
              </w:rPr>
            </w:pPr>
            <w:r>
              <w:rPr>
                <w:rFonts w:hint="eastAsia" w:ascii="SimSong Bold" w:hAnsi="SimSong Bold" w:eastAsia="SimSong" w:cs="SimSong"/>
                <w:sz w:val="18"/>
                <w:szCs w:val="18"/>
              </w:rPr>
              <w:t>驻场</w:t>
            </w:r>
          </w:p>
        </w:tc>
      </w:tr>
      <w:tr w14:paraId="0023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72" w:type="pct"/>
            <w:noWrap/>
            <w:vAlign w:val="center"/>
          </w:tcPr>
          <w:p w14:paraId="30F1274B">
            <w:pPr>
              <w:pStyle w:val="15"/>
              <w:ind w:firstLine="0" w:firstLineChars="0"/>
            </w:pPr>
            <w:r>
              <w:rPr>
                <w:rFonts w:hint="eastAsia"/>
                <w:lang w:val="en-US" w:eastAsia="zh-CN"/>
              </w:rPr>
              <w:t>技术经理</w:t>
            </w:r>
          </w:p>
        </w:tc>
        <w:tc>
          <w:tcPr>
            <w:tcW w:w="1149" w:type="pct"/>
            <w:vAlign w:val="center"/>
          </w:tcPr>
          <w:p w14:paraId="2E7D46E2">
            <w:pPr>
              <w:pStyle w:val="15"/>
              <w:ind w:firstLine="0" w:firstLineChars="0"/>
            </w:pPr>
            <w:r>
              <w:t>负责项目整体技术架构和核心技术方案</w:t>
            </w:r>
          </w:p>
        </w:tc>
        <w:tc>
          <w:tcPr>
            <w:tcW w:w="745" w:type="pct"/>
            <w:noWrap/>
            <w:vAlign w:val="center"/>
          </w:tcPr>
          <w:p w14:paraId="17150F64">
            <w:pPr>
              <w:pStyle w:val="15"/>
              <w:ind w:firstLine="0" w:firstLineChars="0"/>
            </w:pPr>
            <w:r>
              <w:t>1人</w:t>
            </w:r>
          </w:p>
        </w:tc>
        <w:tc>
          <w:tcPr>
            <w:tcW w:w="1587" w:type="pct"/>
            <w:vAlign w:val="center"/>
          </w:tcPr>
          <w:p w14:paraId="2ED885C5">
            <w:pPr>
              <w:pStyle w:val="15"/>
              <w:ind w:firstLine="0" w:firstLineChars="0"/>
            </w:pPr>
            <w:r>
              <w:t>具有本科及以上学历；</w:t>
            </w:r>
          </w:p>
          <w:p w14:paraId="7829579A">
            <w:pPr>
              <w:pStyle w:val="15"/>
              <w:ind w:firstLine="0" w:firstLineChars="0"/>
            </w:pPr>
            <w:r>
              <w:t>具有系统架构设计师资格；</w:t>
            </w:r>
          </w:p>
          <w:p w14:paraId="5658F91A">
            <w:pPr>
              <w:pStyle w:val="15"/>
              <w:ind w:firstLine="0" w:firstLineChars="0"/>
            </w:pPr>
            <w:r>
              <w:t>具有注册信息安全专业人员（CISP）；</w:t>
            </w:r>
          </w:p>
          <w:p w14:paraId="5182A0E0">
            <w:pPr>
              <w:pStyle w:val="15"/>
              <w:ind w:firstLine="0" w:firstLineChars="0"/>
            </w:pPr>
            <w:r>
              <w:t>具备类似项目经验</w:t>
            </w:r>
          </w:p>
        </w:tc>
        <w:tc>
          <w:tcPr>
            <w:tcW w:w="845" w:type="pct"/>
            <w:vAlign w:val="center"/>
          </w:tcPr>
          <w:p w14:paraId="6D76C301">
            <w:pPr>
              <w:ind w:firstLine="0" w:firstLineChars="0"/>
              <w:jc w:val="center"/>
              <w:rPr>
                <w:rFonts w:hint="eastAsia" w:ascii="SimSong Bold" w:hAnsi="SimSong Bold" w:eastAsia="宋体" w:cs="SimSong"/>
                <w:sz w:val="18"/>
                <w:szCs w:val="18"/>
                <w:lang w:val="en-US" w:eastAsia="zh-CN"/>
              </w:rPr>
            </w:pPr>
            <w:r>
              <w:rPr>
                <w:rFonts w:hint="eastAsia" w:ascii="SimSong Bold" w:hAnsi="SimSong Bold" w:eastAsia="SimSong" w:cs="SimSong"/>
                <w:sz w:val="18"/>
                <w:szCs w:val="18"/>
                <w:lang w:val="en-US" w:eastAsia="zh-CN"/>
              </w:rPr>
              <w:t>不</w:t>
            </w:r>
            <w:r>
              <w:rPr>
                <w:rFonts w:hint="eastAsia" w:ascii="SimSong Bold" w:hAnsi="SimSong Bold" w:eastAsia="SimSong" w:cs="SimSong"/>
                <w:sz w:val="18"/>
                <w:szCs w:val="18"/>
              </w:rPr>
              <w:t>驻场</w:t>
            </w:r>
          </w:p>
        </w:tc>
      </w:tr>
      <w:tr w14:paraId="1E36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72" w:type="pct"/>
            <w:noWrap/>
            <w:vAlign w:val="center"/>
          </w:tcPr>
          <w:p w14:paraId="53005D68">
            <w:pPr>
              <w:pStyle w:val="15"/>
              <w:ind w:firstLine="0" w:firstLineChars="0"/>
            </w:pPr>
            <w:r>
              <w:rPr>
                <w:rFonts w:hint="eastAsia"/>
                <w:lang w:val="en-US" w:eastAsia="zh-CN"/>
              </w:rPr>
              <w:t>需求分析</w:t>
            </w:r>
          </w:p>
        </w:tc>
        <w:tc>
          <w:tcPr>
            <w:tcW w:w="1149" w:type="pct"/>
            <w:vAlign w:val="center"/>
          </w:tcPr>
          <w:p w14:paraId="500C32A0">
            <w:pPr>
              <w:pStyle w:val="15"/>
              <w:ind w:firstLine="0" w:firstLineChars="0"/>
            </w:pPr>
            <w:r>
              <w:t>负责项目需求评估与产品设计</w:t>
            </w:r>
          </w:p>
        </w:tc>
        <w:tc>
          <w:tcPr>
            <w:tcW w:w="745" w:type="pct"/>
            <w:noWrap/>
            <w:vAlign w:val="center"/>
          </w:tcPr>
          <w:p w14:paraId="7EFF07C7">
            <w:pPr>
              <w:pStyle w:val="15"/>
              <w:ind w:firstLine="0" w:firstLineChars="0"/>
            </w:pPr>
            <w:r>
              <w:rPr>
                <w:rFonts w:hint="eastAsia"/>
                <w:lang w:val="en-US" w:eastAsia="zh-CN"/>
              </w:rPr>
              <w:t>3</w:t>
            </w:r>
            <w:r>
              <w:t>人</w:t>
            </w:r>
          </w:p>
        </w:tc>
        <w:tc>
          <w:tcPr>
            <w:tcW w:w="1587" w:type="pct"/>
            <w:vAlign w:val="center"/>
          </w:tcPr>
          <w:p w14:paraId="609B295B">
            <w:pPr>
              <w:pStyle w:val="15"/>
              <w:ind w:firstLine="0" w:firstLineChars="0"/>
            </w:pPr>
            <w:r>
              <w:t>具有本科及以上学历；</w:t>
            </w:r>
          </w:p>
          <w:p w14:paraId="18DA4D77">
            <w:pPr>
              <w:pStyle w:val="15"/>
              <w:ind w:firstLine="0" w:firstLineChars="0"/>
            </w:pPr>
            <w:r>
              <w:t>具有计算机类或测绘类中级及以上职称</w:t>
            </w:r>
          </w:p>
        </w:tc>
        <w:tc>
          <w:tcPr>
            <w:tcW w:w="845" w:type="pct"/>
            <w:vAlign w:val="center"/>
          </w:tcPr>
          <w:p w14:paraId="09DA7E90">
            <w:pPr>
              <w:pStyle w:val="15"/>
              <w:ind w:firstLine="0" w:firstLineChars="0"/>
            </w:pPr>
            <w:r>
              <w:t>项目交付期间至少保障</w:t>
            </w:r>
            <w:r>
              <w:rPr>
                <w:rFonts w:hint="eastAsia"/>
                <w:lang w:val="en-US" w:eastAsia="zh-CN"/>
              </w:rPr>
              <w:t>1</w:t>
            </w:r>
            <w:r>
              <w:t>人驻场</w:t>
            </w:r>
          </w:p>
        </w:tc>
      </w:tr>
      <w:tr w14:paraId="1DD1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72" w:type="pct"/>
            <w:noWrap/>
            <w:vAlign w:val="center"/>
          </w:tcPr>
          <w:p w14:paraId="1BA4A595">
            <w:pPr>
              <w:pStyle w:val="15"/>
              <w:ind w:firstLine="0" w:firstLineChars="0"/>
            </w:pPr>
            <w:r>
              <w:rPr>
                <w:rFonts w:hint="eastAsia"/>
                <w:lang w:val="en-US" w:eastAsia="zh-CN"/>
              </w:rPr>
              <w:t>软件开发</w:t>
            </w:r>
          </w:p>
        </w:tc>
        <w:tc>
          <w:tcPr>
            <w:tcW w:w="1149" w:type="pct"/>
            <w:noWrap/>
            <w:vAlign w:val="center"/>
          </w:tcPr>
          <w:p w14:paraId="1671039F">
            <w:pPr>
              <w:pStyle w:val="15"/>
              <w:ind w:firstLine="0" w:firstLineChars="0"/>
            </w:pPr>
            <w:r>
              <w:t>负责项目具体开发与实施</w:t>
            </w:r>
          </w:p>
        </w:tc>
        <w:tc>
          <w:tcPr>
            <w:tcW w:w="745" w:type="pct"/>
            <w:noWrap/>
            <w:vAlign w:val="center"/>
          </w:tcPr>
          <w:p w14:paraId="08A4B0F9">
            <w:pPr>
              <w:pStyle w:val="15"/>
              <w:ind w:firstLine="0" w:firstLineChars="0"/>
            </w:pPr>
            <w:r>
              <w:rPr>
                <w:rFonts w:hint="eastAsia"/>
                <w:lang w:val="en-US" w:eastAsia="zh-CN"/>
              </w:rPr>
              <w:t>10</w:t>
            </w:r>
            <w:r>
              <w:t>人</w:t>
            </w:r>
          </w:p>
        </w:tc>
        <w:tc>
          <w:tcPr>
            <w:tcW w:w="1587" w:type="pct"/>
            <w:vAlign w:val="center"/>
          </w:tcPr>
          <w:p w14:paraId="3125FB80">
            <w:pPr>
              <w:pStyle w:val="15"/>
              <w:ind w:firstLine="0" w:firstLineChars="0"/>
            </w:pPr>
            <w:bookmarkStart w:id="28" w:name="OLE_LINK1"/>
            <w:r>
              <w:t>具有本科及以上学历</w:t>
            </w:r>
            <w:bookmarkEnd w:id="28"/>
          </w:p>
        </w:tc>
        <w:tc>
          <w:tcPr>
            <w:tcW w:w="845" w:type="pct"/>
            <w:vAlign w:val="center"/>
          </w:tcPr>
          <w:p w14:paraId="192E3C70">
            <w:pPr>
              <w:pStyle w:val="15"/>
              <w:ind w:firstLine="0" w:firstLineChars="0"/>
            </w:pPr>
            <w:r>
              <w:t>项目交付期间至少保障</w:t>
            </w:r>
            <w:r>
              <w:rPr>
                <w:rFonts w:hint="eastAsia"/>
                <w:lang w:val="en-US" w:eastAsia="zh-CN"/>
              </w:rPr>
              <w:t>2</w:t>
            </w:r>
            <w:r>
              <w:t>人驻场</w:t>
            </w:r>
          </w:p>
        </w:tc>
      </w:tr>
      <w:tr w14:paraId="54A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72" w:type="pct"/>
            <w:noWrap/>
            <w:vAlign w:val="center"/>
          </w:tcPr>
          <w:p w14:paraId="01965BC0">
            <w:pPr>
              <w:pStyle w:val="15"/>
              <w:ind w:firstLine="0" w:firstLineChars="0"/>
            </w:pPr>
            <w:r>
              <w:t>测试</w:t>
            </w:r>
          </w:p>
        </w:tc>
        <w:tc>
          <w:tcPr>
            <w:tcW w:w="1149" w:type="pct"/>
            <w:noWrap/>
            <w:vAlign w:val="center"/>
          </w:tcPr>
          <w:p w14:paraId="004A9617">
            <w:pPr>
              <w:pStyle w:val="15"/>
              <w:ind w:firstLine="0" w:firstLineChars="0"/>
            </w:pPr>
            <w:r>
              <w:t>负责项目测试工作</w:t>
            </w:r>
          </w:p>
        </w:tc>
        <w:tc>
          <w:tcPr>
            <w:tcW w:w="745" w:type="pct"/>
            <w:noWrap/>
            <w:vAlign w:val="center"/>
          </w:tcPr>
          <w:p w14:paraId="486CB2D1">
            <w:pPr>
              <w:pStyle w:val="15"/>
              <w:ind w:firstLine="0" w:firstLineChars="0"/>
            </w:pPr>
            <w:r>
              <w:t>5人</w:t>
            </w:r>
          </w:p>
        </w:tc>
        <w:tc>
          <w:tcPr>
            <w:tcW w:w="1587" w:type="pct"/>
            <w:vAlign w:val="center"/>
          </w:tcPr>
          <w:p w14:paraId="0D14E5B0">
            <w:pPr>
              <w:pStyle w:val="15"/>
              <w:ind w:firstLine="0" w:firstLineChars="0"/>
            </w:pPr>
            <w:r>
              <w:t>具有本科及以上学历</w:t>
            </w:r>
          </w:p>
        </w:tc>
        <w:tc>
          <w:tcPr>
            <w:tcW w:w="845" w:type="pct"/>
            <w:vAlign w:val="center"/>
          </w:tcPr>
          <w:p w14:paraId="75BC5246">
            <w:pPr>
              <w:pStyle w:val="15"/>
              <w:ind w:firstLine="0" w:firstLineChars="0"/>
            </w:pPr>
            <w:r>
              <w:t>项目交付期间至少保障</w:t>
            </w:r>
            <w:r>
              <w:rPr>
                <w:rFonts w:hint="eastAsia"/>
                <w:lang w:val="en-US" w:eastAsia="zh-CN"/>
              </w:rPr>
              <w:t>1</w:t>
            </w:r>
            <w:r>
              <w:t>人驻场</w:t>
            </w:r>
          </w:p>
        </w:tc>
      </w:tr>
    </w:tbl>
    <w:p w14:paraId="13210BF3">
      <w:pPr>
        <w:pStyle w:val="13"/>
        <w:spacing w:line="360" w:lineRule="auto"/>
        <w:ind w:firstLine="480"/>
        <w:rPr>
          <w:rFonts w:hint="eastAsia" w:ascii="宋体" w:hAnsi="宋体"/>
          <w:sz w:val="24"/>
          <w:szCs w:val="24"/>
        </w:rPr>
      </w:pPr>
      <w:r>
        <w:rPr>
          <w:rFonts w:hint="eastAsia" w:ascii="宋体" w:hAnsi="宋体"/>
          <w:sz w:val="24"/>
          <w:szCs w:val="24"/>
        </w:rPr>
        <w:t>5.9.2投标人针对本项目提供不少于4人的质保期间支撑团队，其中驻场人员不少于1人，且团队成员里包含项目质保运维所需的</w:t>
      </w:r>
      <w:r>
        <w:rPr>
          <w:rFonts w:hint="eastAsia" w:ascii="宋体" w:hAnsi="宋体"/>
          <w:sz w:val="24"/>
          <w:szCs w:val="24"/>
          <w:lang w:eastAsia="zh-CN"/>
        </w:rPr>
        <w:t>项目经理（质保阶段）</w:t>
      </w:r>
      <w:r>
        <w:rPr>
          <w:rFonts w:hint="eastAsia" w:ascii="宋体" w:hAnsi="宋体"/>
          <w:sz w:val="24"/>
          <w:szCs w:val="24"/>
        </w:rPr>
        <w:t>、需求分析等相关专业人员，（在投标文件中提供在职证明材料），投标文件中所提供的项目团队人员名单，与后续项目执行中所投入的人员保持一致。</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80"/>
        <w:gridCol w:w="1886"/>
        <w:gridCol w:w="1204"/>
        <w:gridCol w:w="2604"/>
        <w:gridCol w:w="1350"/>
      </w:tblGrid>
      <w:tr w14:paraId="0B88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673" w:type="pct"/>
            <w:noWrap/>
            <w:vAlign w:val="center"/>
          </w:tcPr>
          <w:p w14:paraId="75D4370D">
            <w:pPr>
              <w:pStyle w:val="15"/>
              <w:ind w:firstLine="0" w:firstLineChars="0"/>
              <w:rPr>
                <w:b/>
                <w:bCs/>
              </w:rPr>
            </w:pPr>
            <w:r>
              <w:rPr>
                <w:b/>
                <w:bCs/>
              </w:rPr>
              <w:t>岗位</w:t>
            </w:r>
          </w:p>
        </w:tc>
        <w:tc>
          <w:tcPr>
            <w:tcW w:w="1156" w:type="pct"/>
            <w:noWrap/>
            <w:vAlign w:val="center"/>
          </w:tcPr>
          <w:p w14:paraId="6950DC64">
            <w:pPr>
              <w:pStyle w:val="15"/>
              <w:ind w:firstLine="0" w:firstLineChars="0"/>
              <w:rPr>
                <w:b/>
                <w:bCs/>
              </w:rPr>
            </w:pPr>
            <w:r>
              <w:rPr>
                <w:b/>
                <w:bCs/>
              </w:rPr>
              <w:t>主要职责</w:t>
            </w:r>
          </w:p>
        </w:tc>
        <w:tc>
          <w:tcPr>
            <w:tcW w:w="747" w:type="pct"/>
            <w:noWrap/>
            <w:vAlign w:val="center"/>
          </w:tcPr>
          <w:p w14:paraId="5E23CD1B">
            <w:pPr>
              <w:pStyle w:val="15"/>
              <w:ind w:firstLine="0" w:firstLineChars="0"/>
              <w:rPr>
                <w:b/>
                <w:bCs/>
              </w:rPr>
            </w:pPr>
            <w:r>
              <w:rPr>
                <w:b/>
                <w:bCs/>
              </w:rPr>
              <w:t>人员数量</w:t>
            </w:r>
          </w:p>
        </w:tc>
        <w:tc>
          <w:tcPr>
            <w:tcW w:w="1587" w:type="pct"/>
            <w:vAlign w:val="center"/>
          </w:tcPr>
          <w:p w14:paraId="1E806A6A">
            <w:pPr>
              <w:pStyle w:val="15"/>
              <w:ind w:firstLine="0" w:firstLineChars="0"/>
              <w:rPr>
                <w:b/>
                <w:bCs/>
              </w:rPr>
            </w:pPr>
            <w:r>
              <w:rPr>
                <w:b/>
                <w:bCs/>
              </w:rPr>
              <w:t>人员要求</w:t>
            </w:r>
          </w:p>
        </w:tc>
        <w:tc>
          <w:tcPr>
            <w:tcW w:w="834" w:type="pct"/>
            <w:vAlign w:val="center"/>
          </w:tcPr>
          <w:p w14:paraId="3F7F23AC">
            <w:pPr>
              <w:ind w:firstLine="0" w:firstLineChars="0"/>
              <w:jc w:val="center"/>
              <w:rPr>
                <w:b/>
                <w:bCs/>
                <w:sz w:val="18"/>
                <w:szCs w:val="18"/>
              </w:rPr>
            </w:pPr>
            <w:r>
              <w:rPr>
                <w:rFonts w:hint="eastAsia"/>
                <w:b/>
                <w:bCs/>
                <w:sz w:val="18"/>
                <w:szCs w:val="18"/>
              </w:rPr>
              <w:t>驻场要求</w:t>
            </w:r>
          </w:p>
        </w:tc>
      </w:tr>
      <w:tr w14:paraId="4D97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673" w:type="pct"/>
            <w:noWrap/>
            <w:vAlign w:val="center"/>
          </w:tcPr>
          <w:p w14:paraId="0A5506E8">
            <w:pPr>
              <w:pStyle w:val="15"/>
              <w:ind w:firstLine="0" w:firstLineChars="0"/>
              <w:rPr>
                <w:rFonts w:hint="eastAsia"/>
                <w:lang w:eastAsia="zh-CN"/>
              </w:rPr>
            </w:pPr>
            <w:r>
              <w:rPr>
                <w:rFonts w:hint="eastAsia"/>
                <w:lang w:eastAsia="zh-CN"/>
              </w:rPr>
              <w:t>项目经理</w:t>
            </w:r>
          </w:p>
          <w:p w14:paraId="093FF4AE">
            <w:pPr>
              <w:pStyle w:val="15"/>
              <w:ind w:firstLine="0" w:firstLineChars="0"/>
            </w:pPr>
            <w:bookmarkStart w:id="33" w:name="_GoBack"/>
            <w:bookmarkEnd w:id="33"/>
            <w:r>
              <w:rPr>
                <w:rFonts w:hint="eastAsia"/>
                <w:lang w:val="en-US" w:eastAsia="zh-CN"/>
              </w:rPr>
              <w:t>（质保阶段）</w:t>
            </w:r>
          </w:p>
        </w:tc>
        <w:tc>
          <w:tcPr>
            <w:tcW w:w="1156" w:type="pct"/>
            <w:vAlign w:val="center"/>
          </w:tcPr>
          <w:p w14:paraId="759A7327">
            <w:pPr>
              <w:pStyle w:val="15"/>
              <w:ind w:firstLine="0" w:firstLineChars="0"/>
            </w:pPr>
            <w:r>
              <w:t>负责项目质量和进度控制</w:t>
            </w:r>
          </w:p>
        </w:tc>
        <w:tc>
          <w:tcPr>
            <w:tcW w:w="747" w:type="pct"/>
            <w:noWrap/>
            <w:vAlign w:val="center"/>
          </w:tcPr>
          <w:p w14:paraId="414084FF">
            <w:pPr>
              <w:pStyle w:val="15"/>
              <w:ind w:firstLine="0" w:firstLineChars="0"/>
            </w:pPr>
            <w:r>
              <w:t>1人</w:t>
            </w:r>
          </w:p>
        </w:tc>
        <w:tc>
          <w:tcPr>
            <w:tcW w:w="1587" w:type="pct"/>
            <w:vAlign w:val="center"/>
          </w:tcPr>
          <w:p w14:paraId="53B2A235">
            <w:pPr>
              <w:pStyle w:val="15"/>
              <w:ind w:firstLine="0" w:firstLineChars="0"/>
            </w:pPr>
            <w:r>
              <w:t>具有本科及以上学历；</w:t>
            </w:r>
          </w:p>
          <w:p w14:paraId="633AFEC8">
            <w:pPr>
              <w:pStyle w:val="15"/>
              <w:ind w:firstLine="0" w:firstLineChars="0"/>
            </w:pPr>
            <w:r>
              <w:t>具有计算机类或测绘类中级及以上职称</w:t>
            </w:r>
          </w:p>
        </w:tc>
        <w:tc>
          <w:tcPr>
            <w:tcW w:w="834" w:type="pct"/>
            <w:vAlign w:val="center"/>
          </w:tcPr>
          <w:p w14:paraId="694D17D2">
            <w:pPr>
              <w:ind w:firstLine="0" w:firstLineChars="0"/>
              <w:jc w:val="center"/>
              <w:rPr>
                <w:rFonts w:hint="eastAsia" w:ascii="SimSong Bold" w:hAnsi="SimSong Bold" w:eastAsia="SimSong" w:cs="SimSong"/>
                <w:sz w:val="18"/>
                <w:szCs w:val="18"/>
              </w:rPr>
            </w:pPr>
            <w:r>
              <w:rPr>
                <w:rFonts w:hint="eastAsia" w:ascii="SimSong Bold" w:hAnsi="SimSong Bold" w:eastAsia="SimSong" w:cs="SimSong"/>
                <w:sz w:val="18"/>
                <w:szCs w:val="18"/>
              </w:rPr>
              <w:t>驻场</w:t>
            </w:r>
          </w:p>
        </w:tc>
      </w:tr>
      <w:tr w14:paraId="3AC5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673" w:type="pct"/>
            <w:noWrap/>
            <w:vAlign w:val="center"/>
          </w:tcPr>
          <w:p w14:paraId="4FB9D292">
            <w:pPr>
              <w:pStyle w:val="15"/>
              <w:ind w:firstLine="0" w:firstLineChars="0"/>
            </w:pPr>
            <w:r>
              <w:rPr>
                <w:rFonts w:hint="eastAsia"/>
                <w:lang w:val="en-US" w:eastAsia="zh-CN"/>
              </w:rPr>
              <w:t>需求分析</w:t>
            </w:r>
          </w:p>
        </w:tc>
        <w:tc>
          <w:tcPr>
            <w:tcW w:w="1156" w:type="pct"/>
            <w:vAlign w:val="center"/>
          </w:tcPr>
          <w:p w14:paraId="26D01C42">
            <w:pPr>
              <w:pStyle w:val="15"/>
              <w:ind w:firstLine="0" w:firstLineChars="0"/>
            </w:pPr>
            <w:r>
              <w:t>负责项目需求评估与产品设计</w:t>
            </w:r>
          </w:p>
        </w:tc>
        <w:tc>
          <w:tcPr>
            <w:tcW w:w="747" w:type="pct"/>
            <w:noWrap/>
            <w:vAlign w:val="center"/>
          </w:tcPr>
          <w:p w14:paraId="18D8D510">
            <w:pPr>
              <w:pStyle w:val="15"/>
              <w:ind w:firstLine="0" w:firstLineChars="0"/>
            </w:pPr>
            <w:r>
              <w:t>1人</w:t>
            </w:r>
          </w:p>
        </w:tc>
        <w:tc>
          <w:tcPr>
            <w:tcW w:w="1587" w:type="pct"/>
            <w:vAlign w:val="center"/>
          </w:tcPr>
          <w:p w14:paraId="33B89757">
            <w:pPr>
              <w:pStyle w:val="15"/>
              <w:ind w:firstLine="0" w:firstLineChars="0"/>
            </w:pPr>
            <w:r>
              <w:t>具有本科及以上学历；</w:t>
            </w:r>
          </w:p>
          <w:p w14:paraId="51728C6C">
            <w:pPr>
              <w:pStyle w:val="15"/>
              <w:ind w:firstLine="0" w:firstLineChars="0"/>
            </w:pPr>
            <w:r>
              <w:t>具有计算机</w:t>
            </w:r>
            <w:r>
              <w:rPr>
                <w:rFonts w:hint="eastAsia"/>
                <w:lang w:eastAsia="zh-CN"/>
              </w:rPr>
              <w:t>类</w:t>
            </w:r>
            <w:r>
              <w:t>或测绘类中级及以上职称</w:t>
            </w:r>
          </w:p>
        </w:tc>
        <w:tc>
          <w:tcPr>
            <w:tcW w:w="834" w:type="pct"/>
            <w:vAlign w:val="center"/>
          </w:tcPr>
          <w:p w14:paraId="3281DB42">
            <w:pPr>
              <w:ind w:firstLine="0" w:firstLineChars="0"/>
              <w:jc w:val="center"/>
              <w:rPr>
                <w:rFonts w:hint="eastAsia" w:ascii="SimSong Bold" w:hAnsi="SimSong Bold" w:eastAsia="SimSong" w:cs="SimSong"/>
                <w:sz w:val="18"/>
                <w:szCs w:val="18"/>
              </w:rPr>
            </w:pPr>
            <w:r>
              <w:rPr>
                <w:rFonts w:hint="eastAsia" w:ascii="SimSong Bold" w:hAnsi="SimSong Bold" w:eastAsia="SimSong" w:cs="SimSong"/>
                <w:sz w:val="18"/>
                <w:szCs w:val="18"/>
              </w:rPr>
              <w:t>不驻场</w:t>
            </w:r>
          </w:p>
        </w:tc>
      </w:tr>
      <w:tr w14:paraId="3FC3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673" w:type="pct"/>
            <w:noWrap/>
            <w:vAlign w:val="center"/>
          </w:tcPr>
          <w:p w14:paraId="3E15401E">
            <w:pPr>
              <w:pStyle w:val="15"/>
              <w:ind w:firstLine="0" w:firstLineChars="0"/>
            </w:pPr>
            <w:r>
              <w:rPr>
                <w:rFonts w:hint="eastAsia"/>
                <w:lang w:val="en-US" w:eastAsia="zh-CN"/>
              </w:rPr>
              <w:t>软件</w:t>
            </w:r>
            <w:r>
              <w:t>研发及运维</w:t>
            </w:r>
          </w:p>
        </w:tc>
        <w:tc>
          <w:tcPr>
            <w:tcW w:w="1156" w:type="pct"/>
            <w:noWrap/>
            <w:vAlign w:val="center"/>
          </w:tcPr>
          <w:p w14:paraId="50498268">
            <w:pPr>
              <w:pStyle w:val="15"/>
              <w:ind w:firstLine="0" w:firstLineChars="0"/>
            </w:pPr>
            <w:r>
              <w:t>负责项目运行维护</w:t>
            </w:r>
          </w:p>
        </w:tc>
        <w:tc>
          <w:tcPr>
            <w:tcW w:w="747" w:type="pct"/>
            <w:noWrap/>
            <w:vAlign w:val="center"/>
          </w:tcPr>
          <w:p w14:paraId="2F1CC2DF">
            <w:pPr>
              <w:pStyle w:val="15"/>
              <w:ind w:firstLine="0" w:firstLineChars="0"/>
            </w:pPr>
            <w:r>
              <w:t>2人</w:t>
            </w:r>
          </w:p>
        </w:tc>
        <w:tc>
          <w:tcPr>
            <w:tcW w:w="1587" w:type="pct"/>
            <w:vAlign w:val="center"/>
          </w:tcPr>
          <w:p w14:paraId="65703B96">
            <w:pPr>
              <w:pStyle w:val="15"/>
              <w:ind w:firstLine="0" w:firstLineChars="0"/>
            </w:pPr>
            <w:r>
              <w:t>具有本科及以上学历</w:t>
            </w:r>
          </w:p>
        </w:tc>
        <w:tc>
          <w:tcPr>
            <w:tcW w:w="834" w:type="pct"/>
            <w:vAlign w:val="center"/>
          </w:tcPr>
          <w:p w14:paraId="4FE282DE">
            <w:pPr>
              <w:ind w:firstLine="0" w:firstLineChars="0"/>
              <w:jc w:val="center"/>
              <w:rPr>
                <w:rFonts w:hint="eastAsia" w:ascii="SimSong Bold" w:hAnsi="SimSong Bold" w:eastAsia="SimSong" w:cs="SimSong"/>
                <w:sz w:val="18"/>
                <w:szCs w:val="18"/>
              </w:rPr>
            </w:pPr>
            <w:r>
              <w:rPr>
                <w:rFonts w:hint="eastAsia" w:ascii="SimSong Bold" w:hAnsi="SimSong Bold" w:eastAsia="SimSong" w:cs="SimSong"/>
                <w:sz w:val="18"/>
                <w:szCs w:val="18"/>
                <w:lang w:val="en-US" w:eastAsia="zh-CN"/>
              </w:rPr>
              <w:t>不</w:t>
            </w:r>
            <w:r>
              <w:rPr>
                <w:rFonts w:hint="eastAsia" w:ascii="SimSong Bold" w:hAnsi="SimSong Bold" w:eastAsia="SimSong" w:cs="SimSong"/>
                <w:sz w:val="18"/>
                <w:szCs w:val="18"/>
              </w:rPr>
              <w:t>驻场</w:t>
            </w:r>
          </w:p>
        </w:tc>
      </w:tr>
    </w:tbl>
    <w:p w14:paraId="385C0146">
      <w:pPr>
        <w:rPr>
          <w:rFonts w:hint="eastAsia"/>
          <w:b/>
          <w:bCs/>
        </w:rPr>
      </w:pPr>
      <w:r>
        <w:rPr>
          <w:rFonts w:hint="eastAsia" w:ascii="宋体" w:hAnsi="宋体"/>
          <w:sz w:val="24"/>
          <w:szCs w:val="24"/>
        </w:rPr>
        <w:t>5.9.</w:t>
      </w:r>
      <w:r>
        <w:rPr>
          <w:rFonts w:hint="eastAsia" w:ascii="宋体" w:hAnsi="宋体"/>
          <w:sz w:val="24"/>
          <w:szCs w:val="24"/>
          <w:lang w:val="en-US" w:eastAsia="zh-CN"/>
        </w:rPr>
        <w:t>3供应商具有DCMM数据管理能力成熟度等级证书、信息安全管理体系认证证书、信息技术服务管理体系认证证书的优先考虑。</w:t>
      </w:r>
    </w:p>
    <w:p w14:paraId="38F440F5"/>
    <w:p w14:paraId="285B095E">
      <w:pPr>
        <w:pStyle w:val="3"/>
      </w:pPr>
      <w:bookmarkStart w:id="29" w:name="_Toc9115024"/>
      <w:bookmarkStart w:id="30" w:name="_Toc144226130"/>
      <w:bookmarkStart w:id="31" w:name="_Toc17845553"/>
      <w:bookmarkStart w:id="32" w:name="_Toc68798863"/>
      <w:r>
        <w:rPr>
          <w:rFonts w:hint="eastAsia"/>
        </w:rPr>
        <w:t>信息安全需求</w:t>
      </w:r>
      <w:bookmarkEnd w:id="29"/>
      <w:bookmarkEnd w:id="30"/>
      <w:bookmarkEnd w:id="31"/>
    </w:p>
    <w:p w14:paraId="2BB98A38">
      <w:r>
        <w:rPr>
          <w:rFonts w:hint="eastAsia"/>
        </w:rPr>
        <w:t>本系统基础服务器由政务云平台提供，由于整个系统涉及面广、信息重要程度及保密要求较高，因此系统安全方面的基础功能以政务云平台现有服务为主，要求按照政务云平台等级保护二级要求进行安全系统建设，包括政务云互联网与政务外网的安全隔离。</w:t>
      </w:r>
    </w:p>
    <w:p w14:paraId="173BD6FF">
      <w:r>
        <w:rPr>
          <w:rFonts w:hint="eastAsia"/>
        </w:rPr>
        <w:t>确保系统软件的安全运行，防止非法入侵、及未授权用户的非法访问，以保障系统的正常运行。系统应通过设置诸如防火墙等技术手段，对外部用户的访问数据包、用户身份和连接方式进行控制，防止对本系统</w:t>
      </w:r>
      <w:r>
        <w:t>、</w:t>
      </w:r>
      <w:r>
        <w:rPr>
          <w:rFonts w:hint="eastAsia"/>
        </w:rPr>
        <w:t>与本平台相连的其他系统的非法访问、攻击和破坏。</w:t>
      </w:r>
    </w:p>
    <w:p w14:paraId="1FDE3078">
      <w:pPr>
        <w:pStyle w:val="3"/>
      </w:pPr>
      <w:r>
        <w:rPr>
          <w:rFonts w:hint="eastAsia"/>
        </w:rPr>
        <w:t>等级保护要求</w:t>
      </w:r>
    </w:p>
    <w:p w14:paraId="69889C54">
      <w:r>
        <w:rPr>
          <w:rFonts w:hint="eastAsia"/>
        </w:rPr>
        <w:t>本项目等级保护要求：网络安全等级为第二级。</w:t>
      </w:r>
    </w:p>
    <w:bookmarkEnd w:id="32"/>
    <w:p w14:paraId="67CA1065"/>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imSong Bold">
    <w:altName w:val="文泉驿微米黑"/>
    <w:panose1 w:val="00000000000000000000"/>
    <w:charset w:val="86"/>
    <w:family w:val="auto"/>
    <w:pitch w:val="default"/>
    <w:sig w:usb0="00000000" w:usb1="00000000" w:usb2="00000016" w:usb3="00000000" w:csb0="0004000D" w:csb1="00000000"/>
  </w:font>
  <w:font w:name="文泉驿微米黑">
    <w:panose1 w:val="020B0606030804020204"/>
    <w:charset w:val="86"/>
    <w:family w:val="auto"/>
    <w:pitch w:val="default"/>
    <w:sig w:usb0="E10002EF" w:usb1="6BDFFCFB" w:usb2="00800036" w:usb3="00000000" w:csb0="603E019F" w:csb1="DFD70000"/>
  </w:font>
  <w:font w:name="SimSong">
    <w:altName w:val="文泉驿微米黑"/>
    <w:panose1 w:val="00000000000000000000"/>
    <w:charset w:val="86"/>
    <w:family w:val="auto"/>
    <w:pitch w:val="default"/>
    <w:sig w:usb0="00000000" w:usb1="00000000" w:usb2="00000016"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976B">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079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1D7F">
    <w:pP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F839A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F9F8">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FFA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AA08">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9864DC"/>
    <w:rsid w:val="00276A37"/>
    <w:rsid w:val="00364653"/>
    <w:rsid w:val="00461239"/>
    <w:rsid w:val="005373E9"/>
    <w:rsid w:val="00550A3E"/>
    <w:rsid w:val="00607734"/>
    <w:rsid w:val="00621ABF"/>
    <w:rsid w:val="00677B4E"/>
    <w:rsid w:val="006A673C"/>
    <w:rsid w:val="008E0514"/>
    <w:rsid w:val="009864DC"/>
    <w:rsid w:val="00A10464"/>
    <w:rsid w:val="00A321BF"/>
    <w:rsid w:val="00B55814"/>
    <w:rsid w:val="00BF1237"/>
    <w:rsid w:val="00C36995"/>
    <w:rsid w:val="00D33605"/>
    <w:rsid w:val="00D94CBB"/>
    <w:rsid w:val="00F9375C"/>
    <w:rsid w:val="00FB6FB9"/>
    <w:rsid w:val="015431A3"/>
    <w:rsid w:val="01CE4193"/>
    <w:rsid w:val="01F3482B"/>
    <w:rsid w:val="05C85367"/>
    <w:rsid w:val="0DC450F2"/>
    <w:rsid w:val="1B070A4B"/>
    <w:rsid w:val="24B42E4A"/>
    <w:rsid w:val="25C5280D"/>
    <w:rsid w:val="2F612EAD"/>
    <w:rsid w:val="31A75D58"/>
    <w:rsid w:val="31DD5420"/>
    <w:rsid w:val="3BE63153"/>
    <w:rsid w:val="3BFC50AC"/>
    <w:rsid w:val="407947F5"/>
    <w:rsid w:val="42D65F34"/>
    <w:rsid w:val="472C559B"/>
    <w:rsid w:val="47515543"/>
    <w:rsid w:val="49E30CA1"/>
    <w:rsid w:val="49F72B69"/>
    <w:rsid w:val="4B12595B"/>
    <w:rsid w:val="4CFC34DC"/>
    <w:rsid w:val="53C953AC"/>
    <w:rsid w:val="554A42CB"/>
    <w:rsid w:val="55641225"/>
    <w:rsid w:val="5A8A561F"/>
    <w:rsid w:val="5F6958AF"/>
    <w:rsid w:val="645D785C"/>
    <w:rsid w:val="65CE1974"/>
    <w:rsid w:val="68FFBD88"/>
    <w:rsid w:val="6B092642"/>
    <w:rsid w:val="70753EE7"/>
    <w:rsid w:val="71614F31"/>
    <w:rsid w:val="71662546"/>
    <w:rsid w:val="723B2383"/>
    <w:rsid w:val="7BFD6E50"/>
    <w:rsid w:val="7E3154C3"/>
    <w:rsid w:val="7FFDB6DE"/>
    <w:rsid w:val="A0BE9ADB"/>
    <w:rsid w:val="FDFDA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unhideWhenUsed/>
    <w:qFormat/>
    <w:uiPriority w:val="0"/>
    <w:pPr>
      <w:jc w:val="left"/>
    </w:pPr>
  </w:style>
  <w:style w:type="paragraph" w:styleId="5">
    <w:name w:val="footer"/>
    <w:basedOn w:val="1"/>
    <w:link w:val="20"/>
    <w:qFormat/>
    <w:uiPriority w:val="0"/>
    <w:pPr>
      <w:tabs>
        <w:tab w:val="center" w:pos="4153"/>
        <w:tab w:val="right" w:pos="8306"/>
      </w:tabs>
      <w:spacing w:line="240" w:lineRule="auto"/>
      <w:jc w:val="left"/>
    </w:pPr>
    <w:rPr>
      <w:sz w:val="18"/>
      <w:szCs w:val="18"/>
    </w:rPr>
  </w:style>
  <w:style w:type="paragraph" w:styleId="6">
    <w:name w:val="header"/>
    <w:basedOn w:val="1"/>
    <w:qFormat/>
    <w:uiPriority w:val="99"/>
    <w:pPr>
      <w:pBdr>
        <w:bottom w:val="single" w:color="auto" w:sz="4" w:space="0"/>
      </w:pBdr>
      <w:tabs>
        <w:tab w:val="center" w:pos="4153"/>
        <w:tab w:val="right" w:pos="8306"/>
      </w:tabs>
      <w:jc w:val="center"/>
    </w:pPr>
    <w:rPr>
      <w:sz w:val="18"/>
      <w:szCs w:val="18"/>
    </w:rPr>
  </w:style>
  <w:style w:type="paragraph" w:styleId="7">
    <w:name w:val="annotation subject"/>
    <w:basedOn w:val="4"/>
    <w:next w:val="4"/>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annotation reference"/>
    <w:unhideWhenUsed/>
    <w:qFormat/>
    <w:uiPriority w:val="99"/>
    <w:rPr>
      <w:sz w:val="21"/>
      <w:szCs w:val="21"/>
    </w:rPr>
  </w:style>
  <w:style w:type="paragraph" w:customStyle="1" w:styleId="13">
    <w:name w:val="正文缩进1"/>
    <w:basedOn w:val="1"/>
    <w:autoRedefine/>
    <w:qFormat/>
    <w:uiPriority w:val="0"/>
    <w:pPr>
      <w:spacing w:line="240" w:lineRule="auto"/>
      <w:ind w:firstLine="420"/>
    </w:pPr>
    <w:rPr>
      <w:sz w:val="21"/>
      <w:szCs w:val="20"/>
    </w:rPr>
  </w:style>
  <w:style w:type="paragraph" w:customStyle="1" w:styleId="14">
    <w:name w:val="正文正文2"/>
    <w:basedOn w:val="1"/>
    <w:autoRedefine/>
    <w:qFormat/>
    <w:uiPriority w:val="0"/>
    <w:pPr>
      <w:ind w:firstLine="460"/>
    </w:pPr>
    <w:rPr>
      <w:sz w:val="21"/>
      <w:szCs w:val="21"/>
    </w:rPr>
  </w:style>
  <w:style w:type="paragraph" w:customStyle="1" w:styleId="15">
    <w:name w:val="表格"/>
    <w:basedOn w:val="1"/>
    <w:next w:val="1"/>
    <w:qFormat/>
    <w:uiPriority w:val="0"/>
    <w:pPr>
      <w:widowControl/>
      <w:jc w:val="center"/>
    </w:pPr>
    <w:rPr>
      <w:rFonts w:hint="eastAsia" w:ascii="SimSong Bold" w:hAnsi="SimSong Bold" w:eastAsia="SimSong" w:cs="SimSong"/>
      <w:sz w:val="18"/>
      <w:szCs w:val="18"/>
    </w:rPr>
  </w:style>
  <w:style w:type="character" w:customStyle="1" w:styleId="16">
    <w:name w:val="批注文字 字符"/>
    <w:basedOn w:val="10"/>
    <w:link w:val="4"/>
    <w:qFormat/>
    <w:uiPriority w:val="0"/>
    <w:rPr>
      <w:rFonts w:ascii="Times New Roman" w:hAnsi="Times New Roman" w:eastAsia="宋体" w:cs="Times New Roman"/>
      <w:kern w:val="2"/>
      <w:sz w:val="24"/>
      <w:szCs w:val="24"/>
    </w:rPr>
  </w:style>
  <w:style w:type="character" w:customStyle="1" w:styleId="17">
    <w:name w:val="批注主题 字符"/>
    <w:basedOn w:val="16"/>
    <w:link w:val="7"/>
    <w:qFormat/>
    <w:uiPriority w:val="0"/>
    <w:rPr>
      <w:rFonts w:ascii="Times New Roman" w:hAnsi="Times New Roman" w:eastAsia="宋体" w:cs="Times New Roman"/>
      <w:b/>
      <w:bCs/>
      <w:kern w:val="2"/>
      <w:sz w:val="24"/>
      <w:szCs w:val="24"/>
    </w:rPr>
  </w:style>
  <w:style w:type="paragraph" w:customStyle="1" w:styleId="18">
    <w:name w:val="flType"/>
    <w:basedOn w:val="1"/>
    <w:qFormat/>
    <w:uiPriority w:val="0"/>
    <w:pPr>
      <w:snapToGrid/>
      <w:spacing w:before="100" w:beforeAutospacing="1" w:after="284" w:line="240" w:lineRule="atLeast"/>
      <w:ind w:firstLine="0" w:firstLineChars="0"/>
      <w:jc w:val="center"/>
      <w:textAlignment w:val="baseline"/>
    </w:pPr>
    <w:rPr>
      <w:kern w:val="0"/>
    </w:rPr>
  </w:style>
  <w:style w:type="paragraph" w:customStyle="1" w:styleId="19">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20">
    <w:name w:val="页脚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17875</Words>
  <Characters>18383</Characters>
  <Lines>145</Lines>
  <Paragraphs>76</Paragraphs>
  <TotalTime>0</TotalTime>
  <ScaleCrop>false</ScaleCrop>
  <LinksUpToDate>false</LinksUpToDate>
  <CharactersWithSpaces>18407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2026-01-23T02:18:00Z</dcterms:created>
  <dc:creator>user</dc:creator>
  <cp:lastModifiedBy>李修辞</cp:lastModifiedBy>
  <dcterms:modified xsi:type="dcterms:W3CDTF">2026-02-11T11:51:28Z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4C5368A650E221F3A1F38B693BCAF176_43</vt:lpwstr>
  </property>
  <property fmtid="{D5CDD505-2E9C-101B-9397-08002B2CF9AE}" pid="4" name="KSOTemplateDocerSaveRecord">
    <vt:lpwstr>eyJoZGlkIjoiZTA0N2FmZDYwOTkzNzAxMzgxODNlZGM0MzUwY2NjZjMiLCJ1c2VySWQiOiIyODEzNTU4ODUifQ==</vt:lpwstr>
  </property>
</Properties>
</file>