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DBEC3">
      <w:pPr>
        <w:pStyle w:val="38"/>
        <w:spacing w:line="600" w:lineRule="auto"/>
        <w:ind w:left="425" w:firstLine="0" w:firstLineChars="0"/>
        <w:rPr>
          <w:rFonts w:eastAsia="楷体" w:cs="Times New Roman"/>
          <w:sz w:val="56"/>
          <w:szCs w:val="56"/>
        </w:rPr>
      </w:pPr>
    </w:p>
    <w:p w14:paraId="571BFDDA">
      <w:pPr>
        <w:spacing w:line="600" w:lineRule="auto"/>
        <w:ind w:firstLine="0" w:firstLineChars="0"/>
        <w:jc w:val="center"/>
        <w:rPr>
          <w:rFonts w:eastAsia="楷体" w:cs="Times New Roman"/>
          <w:sz w:val="56"/>
          <w:szCs w:val="56"/>
        </w:rPr>
      </w:pPr>
    </w:p>
    <w:p w14:paraId="67E68B2E">
      <w:pPr>
        <w:spacing w:line="600" w:lineRule="auto"/>
        <w:ind w:firstLine="0" w:firstLineChars="0"/>
        <w:jc w:val="center"/>
        <w:rPr>
          <w:rFonts w:eastAsia="楷体" w:cs="Times New Roman"/>
          <w:sz w:val="56"/>
          <w:szCs w:val="56"/>
        </w:rPr>
      </w:pPr>
    </w:p>
    <w:p w14:paraId="3F476400">
      <w:pPr>
        <w:spacing w:line="600" w:lineRule="auto"/>
        <w:ind w:firstLine="0" w:firstLineChars="0"/>
        <w:jc w:val="center"/>
        <w:rPr>
          <w:rFonts w:hint="eastAsia" w:eastAsia="楷体" w:cs="Times New Roman"/>
          <w:sz w:val="48"/>
          <w:szCs w:val="48"/>
        </w:rPr>
      </w:pPr>
      <w:r>
        <w:rPr>
          <w:rFonts w:hint="eastAsia" w:eastAsia="楷体" w:cs="Times New Roman"/>
          <w:sz w:val="48"/>
          <w:szCs w:val="48"/>
        </w:rPr>
        <w:t>国资综合业务大系统建设项目</w:t>
      </w:r>
    </w:p>
    <w:p w14:paraId="371329B2">
      <w:pPr>
        <w:spacing w:line="600" w:lineRule="auto"/>
        <w:ind w:firstLine="0" w:firstLineChars="0"/>
        <w:jc w:val="center"/>
        <w:rPr>
          <w:rFonts w:eastAsia="楷体" w:cs="Times New Roman"/>
          <w:sz w:val="48"/>
          <w:szCs w:val="48"/>
        </w:rPr>
      </w:pPr>
      <w:r>
        <w:rPr>
          <w:rFonts w:hint="eastAsia" w:eastAsia="楷体" w:cs="Times New Roman"/>
          <w:sz w:val="48"/>
          <w:szCs w:val="48"/>
        </w:rPr>
        <w:t>(2026年升级改造)</w:t>
      </w:r>
    </w:p>
    <w:p w14:paraId="5FB37E68">
      <w:pPr>
        <w:spacing w:line="600" w:lineRule="auto"/>
        <w:ind w:firstLine="0" w:firstLineChars="0"/>
        <w:jc w:val="center"/>
        <w:rPr>
          <w:rFonts w:eastAsia="楷体" w:cs="Times New Roman"/>
          <w:sz w:val="48"/>
          <w:szCs w:val="48"/>
        </w:rPr>
      </w:pPr>
      <w:r>
        <w:rPr>
          <w:rFonts w:hint="eastAsia" w:eastAsia="楷体" w:cs="Times New Roman"/>
          <w:sz w:val="48"/>
          <w:szCs w:val="48"/>
        </w:rPr>
        <w:t>采购需求</w:t>
      </w:r>
    </w:p>
    <w:p w14:paraId="040548A8">
      <w:pPr>
        <w:spacing w:line="600" w:lineRule="auto"/>
        <w:ind w:firstLine="0" w:firstLineChars="0"/>
        <w:jc w:val="center"/>
        <w:rPr>
          <w:rFonts w:eastAsia="楷体" w:cs="Times New Roman"/>
          <w:sz w:val="56"/>
          <w:szCs w:val="56"/>
        </w:rPr>
      </w:pPr>
    </w:p>
    <w:p w14:paraId="59C10595">
      <w:pPr>
        <w:spacing w:line="600" w:lineRule="auto"/>
        <w:ind w:firstLine="0" w:firstLineChars="0"/>
        <w:jc w:val="center"/>
        <w:rPr>
          <w:rFonts w:eastAsia="楷体" w:cs="Times New Roman"/>
          <w:sz w:val="56"/>
          <w:szCs w:val="56"/>
        </w:rPr>
      </w:pPr>
    </w:p>
    <w:p w14:paraId="5D0019F1">
      <w:pPr>
        <w:spacing w:line="600" w:lineRule="auto"/>
        <w:ind w:firstLine="0" w:firstLineChars="0"/>
        <w:jc w:val="center"/>
        <w:rPr>
          <w:rFonts w:eastAsia="楷体" w:cs="Times New Roman"/>
          <w:sz w:val="56"/>
          <w:szCs w:val="56"/>
        </w:rPr>
      </w:pPr>
    </w:p>
    <w:p w14:paraId="67F01335">
      <w:pPr>
        <w:spacing w:line="600" w:lineRule="auto"/>
        <w:ind w:firstLine="0" w:firstLineChars="0"/>
        <w:jc w:val="center"/>
        <w:rPr>
          <w:rFonts w:eastAsia="楷体" w:cs="Times New Roman"/>
          <w:sz w:val="56"/>
          <w:szCs w:val="56"/>
        </w:rPr>
      </w:pPr>
    </w:p>
    <w:p w14:paraId="001DBE3C">
      <w:pPr>
        <w:spacing w:line="600" w:lineRule="auto"/>
        <w:ind w:firstLine="0" w:firstLineChars="0"/>
        <w:jc w:val="center"/>
        <w:rPr>
          <w:rFonts w:eastAsia="楷体" w:cs="Times New Roman"/>
          <w:sz w:val="56"/>
          <w:szCs w:val="56"/>
        </w:rPr>
      </w:pPr>
    </w:p>
    <w:p w14:paraId="1017BF71">
      <w:pPr>
        <w:spacing w:line="600" w:lineRule="auto"/>
        <w:ind w:firstLine="0" w:firstLineChars="0"/>
        <w:jc w:val="center"/>
        <w:rPr>
          <w:rFonts w:eastAsia="楷体" w:cs="Times New Roman"/>
          <w:sz w:val="56"/>
          <w:szCs w:val="56"/>
        </w:rPr>
      </w:pPr>
    </w:p>
    <w:p w14:paraId="7A181C01">
      <w:pPr>
        <w:spacing w:line="600" w:lineRule="auto"/>
        <w:ind w:firstLine="0" w:firstLineChars="0"/>
        <w:jc w:val="center"/>
        <w:rPr>
          <w:rFonts w:eastAsia="楷体" w:cs="Times New Roman"/>
          <w:sz w:val="56"/>
          <w:szCs w:val="56"/>
        </w:rPr>
      </w:pPr>
    </w:p>
    <w:p w14:paraId="09F7454A">
      <w:pPr>
        <w:spacing w:line="600" w:lineRule="auto"/>
        <w:ind w:firstLine="0" w:firstLineChars="0"/>
        <w:jc w:val="center"/>
        <w:rPr>
          <w:rFonts w:eastAsia="楷体" w:cs="Times New Roman"/>
          <w:sz w:val="56"/>
          <w:szCs w:val="56"/>
        </w:rPr>
      </w:pPr>
    </w:p>
    <w:p w14:paraId="6E29D55D">
      <w:pPr>
        <w:spacing w:line="600" w:lineRule="auto"/>
        <w:ind w:firstLine="0" w:firstLineChars="0"/>
        <w:jc w:val="center"/>
        <w:rPr>
          <w:rFonts w:eastAsia="楷体" w:cs="Times New Roman"/>
          <w:sz w:val="56"/>
          <w:szCs w:val="56"/>
        </w:rPr>
      </w:pPr>
    </w:p>
    <w:p w14:paraId="0B5887D4">
      <w:pPr>
        <w:pStyle w:val="2"/>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bookmarkStart w:id="0" w:name="_Toc63785461"/>
    </w:p>
    <w:p w14:paraId="55EB3470">
      <w:pPr>
        <w:pStyle w:val="2"/>
      </w:pPr>
      <w:r>
        <w:t>项目概况</w:t>
      </w:r>
      <w:bookmarkEnd w:id="0"/>
    </w:p>
    <w:p w14:paraId="02AC5B1C">
      <w:pPr>
        <w:ind w:firstLine="480"/>
      </w:pPr>
      <w:r>
        <w:rPr>
          <w:rFonts w:hint="eastAsia"/>
        </w:rPr>
        <w:t>项目背景</w:t>
      </w:r>
      <w:r>
        <w:rPr>
          <w:rFonts w:hint="eastAsia" w:ascii="Times New Roman" w:hAnsi="Times New Roman" w:eastAsia="宋体"/>
        </w:rPr>
        <w:t>及现状：依托《上海市企业国有资产评估管理暂行办法》（沪国资委评估〔2019〕366 号）</w:t>
      </w:r>
      <w:r>
        <w:rPr>
          <w:rFonts w:hint="eastAsia" w:ascii="Times New Roman" w:hAnsi="Times New Roman" w:eastAsia="宋体"/>
          <w:lang w:eastAsia="zh-CN"/>
        </w:rPr>
        <w:t>、</w:t>
      </w:r>
      <w:r>
        <w:rPr>
          <w:rFonts w:hint="eastAsia" w:ascii="Times New Roman" w:hAnsi="Times New Roman" w:eastAsia="宋体"/>
          <w:lang w:val="en-US" w:eastAsia="zh-CN"/>
        </w:rPr>
        <w:t>《上海市国有企业数据资产评估管理工作指引（试行）</w:t>
      </w:r>
      <w:r>
        <w:rPr>
          <w:rFonts w:hint="eastAsia" w:ascii="Times New Roman" w:hAnsi="Times New Roman" w:eastAsia="宋体"/>
        </w:rPr>
        <w:t>等相关法规，推动上海市国资委各项业务的数字化、信息化建设，响应国家数字化转型战略，提升</w:t>
      </w:r>
      <w:r>
        <w:rPr>
          <w:rFonts w:hint="eastAsia"/>
        </w:rPr>
        <w:t>监管效率与服务水平，进一步优化国资监管、国企管理及政务服务。现计划重点升级市国资委国资监管综合业务子系统</w:t>
      </w:r>
      <w:r>
        <w:rPr>
          <w:rFonts w:hint="eastAsia"/>
          <w:lang w:eastAsia="zh-CN"/>
        </w:rPr>
        <w:t>、</w:t>
      </w:r>
      <w:r>
        <w:rPr>
          <w:rFonts w:hint="eastAsia"/>
          <w:lang w:val="en-US" w:eastAsia="zh-CN"/>
        </w:rPr>
        <w:t>建设集体企业产权登记子系统</w:t>
      </w:r>
      <w:r>
        <w:rPr>
          <w:rFonts w:hint="eastAsia"/>
        </w:rPr>
        <w:t>，以支持上海市国资委的各项职能和工作要求。</w:t>
      </w:r>
    </w:p>
    <w:p w14:paraId="1B025B3A">
      <w:pPr>
        <w:ind w:firstLine="480"/>
        <w:rPr>
          <w:rFonts w:hint="eastAsia"/>
        </w:rPr>
      </w:pPr>
      <w:r>
        <w:rPr>
          <w:rFonts w:hint="eastAsia"/>
          <w:lang w:val="en-US" w:eastAsia="zh-CN"/>
        </w:rPr>
        <w:t>其中</w:t>
      </w:r>
      <w:r>
        <w:rPr>
          <w:rFonts w:hint="eastAsia"/>
        </w:rPr>
        <w:t>市国资委国资监管综合业务子系统</w:t>
      </w:r>
      <w:r>
        <w:rPr>
          <w:rFonts w:hint="eastAsia"/>
          <w:lang w:eastAsia="zh-CN"/>
        </w:rPr>
        <w:t>，</w:t>
      </w:r>
      <w:r>
        <w:rPr>
          <w:rFonts w:hint="eastAsia"/>
          <w:lang w:val="en-US" w:eastAsia="zh-CN"/>
        </w:rPr>
        <w:t>针对产权登记工作，需</w:t>
      </w:r>
      <w:r>
        <w:rPr>
          <w:rFonts w:hint="eastAsia"/>
        </w:rPr>
        <w:t>提升产权登记管理效能，打通应登未登数据与产权信息查询系统对接通道</w:t>
      </w:r>
      <w:r>
        <w:rPr>
          <w:rFonts w:hint="eastAsia"/>
          <w:lang w:eastAsia="zh-CN"/>
        </w:rPr>
        <w:t>，</w:t>
      </w:r>
      <w:r>
        <w:rPr>
          <w:rFonts w:hint="eastAsia"/>
        </w:rPr>
        <w:t>增加</w:t>
      </w:r>
      <w:r>
        <w:rPr>
          <w:rFonts w:hint="eastAsia"/>
          <w:lang w:val="en-US" w:eastAsia="zh-CN"/>
        </w:rPr>
        <w:t>并升级</w:t>
      </w:r>
      <w:r>
        <w:rPr>
          <w:rFonts w:hint="eastAsia"/>
        </w:rPr>
        <w:t>智能填报</w:t>
      </w:r>
      <w:r>
        <w:rPr>
          <w:rFonts w:hint="eastAsia"/>
          <w:lang w:eastAsia="zh-CN"/>
        </w:rPr>
        <w:t>、</w:t>
      </w:r>
      <w:r>
        <w:rPr>
          <w:rFonts w:hint="eastAsia"/>
        </w:rPr>
        <w:t>自动校对流程</w:t>
      </w:r>
      <w:r>
        <w:rPr>
          <w:rFonts w:hint="eastAsia"/>
          <w:lang w:val="en-US" w:eastAsia="zh-CN"/>
        </w:rPr>
        <w:t>等功能</w:t>
      </w:r>
      <w:r>
        <w:rPr>
          <w:rFonts w:hint="eastAsia"/>
        </w:rPr>
        <w:t>，推动产权登记工作智能化。针对520项纳入考核的高频民生及涉企事项，围绕“减负提质增效”核心目标，通过嵌入智能填报、智能预审、智能帮办等AI技术模块，为考核事项办理“零材料提交率”“一次通过率”“视频导办覆盖率”等核心指标达标提供技术支撑。</w:t>
      </w:r>
      <w:r>
        <w:rPr>
          <w:rFonts w:hint="eastAsia"/>
          <w:lang w:val="en-US" w:eastAsia="zh-CN"/>
        </w:rPr>
        <w:t>针对资产评估工作，需</w:t>
      </w:r>
      <w:r>
        <w:rPr>
          <w:rFonts w:hint="eastAsia"/>
        </w:rPr>
        <w:t>整合分散的评估数据资源，优化评估业务流程，实现评估全过程的数字化、智能化管理，进而提高评估工作的质量与效率。</w:t>
      </w:r>
    </w:p>
    <w:p w14:paraId="00CC9249">
      <w:pPr>
        <w:ind w:firstLine="480"/>
        <w:rPr>
          <w:rFonts w:hint="eastAsia"/>
        </w:rPr>
      </w:pPr>
      <w:r>
        <w:rPr>
          <w:rFonts w:hint="eastAsia"/>
          <w:lang w:val="en-US" w:eastAsia="zh-CN"/>
        </w:rPr>
        <w:t>新建集体企业产权登记子系统，解决</w:t>
      </w:r>
      <w:r>
        <w:rPr>
          <w:rFonts w:hint="eastAsia"/>
        </w:rPr>
        <w:t>各地区集体企业产权登记工作标准不一、流程各异，数据分散、共享困难</w:t>
      </w:r>
      <w:r>
        <w:rPr>
          <w:rFonts w:hint="eastAsia"/>
          <w:lang w:val="en-US" w:eastAsia="zh-CN"/>
        </w:rPr>
        <w:t>等问题，</w:t>
      </w:r>
      <w:r>
        <w:rPr>
          <w:rFonts w:hint="eastAsia"/>
        </w:rPr>
        <w:t>整合集体企业产权数据，规范登记流程，实现与国资监管机构及其他相关系统的数据交互，为集体企业健康发展和国有资产保值增值筑牢根基。</w:t>
      </w:r>
    </w:p>
    <w:p w14:paraId="6C1AD2F5">
      <w:pPr>
        <w:ind w:firstLine="480"/>
        <w:rPr>
          <w:rFonts w:hint="eastAsia"/>
        </w:rPr>
      </w:pPr>
    </w:p>
    <w:p w14:paraId="6B8BEF11">
      <w:pPr>
        <w:ind w:firstLine="480"/>
      </w:pPr>
      <w:r>
        <w:t>建设期限：</w:t>
      </w:r>
      <w:r>
        <w:rPr>
          <w:rFonts w:hint="eastAsia"/>
        </w:rPr>
        <w:t>自合同签订之日起6</w:t>
      </w:r>
      <w:r>
        <w:t>个月</w:t>
      </w:r>
    </w:p>
    <w:p w14:paraId="725F5110">
      <w:pPr>
        <w:ind w:firstLine="480"/>
      </w:pPr>
      <w:r>
        <w:t>建设地点：</w:t>
      </w:r>
      <w:r>
        <w:rPr>
          <w:rFonts w:hint="eastAsia"/>
        </w:rPr>
        <w:t>上海市大数据中心，上海市黄浦区威海路48号（民生银行大厦）</w:t>
      </w:r>
    </w:p>
    <w:p w14:paraId="4DB5D69C">
      <w:pPr>
        <w:ind w:firstLine="480"/>
      </w:pPr>
      <w:r>
        <w:t>预算金额：</w:t>
      </w:r>
      <w:r>
        <w:rPr>
          <w:rFonts w:hint="eastAsia"/>
        </w:rPr>
        <w:t>1,130,000</w:t>
      </w:r>
      <w:r>
        <w:rPr>
          <w:rFonts w:hint="eastAsia"/>
        </w:rPr>
        <w:tab/>
      </w:r>
      <w:r>
        <w:rPr>
          <w:rFonts w:hint="eastAsia"/>
        </w:rPr>
        <w:tab/>
      </w:r>
      <w:r>
        <w:rPr>
          <w:rFonts w:hint="eastAsia"/>
        </w:rPr>
        <w:tab/>
      </w:r>
      <w:r>
        <w:rPr>
          <w:rFonts w:hint="eastAsia"/>
        </w:rPr>
        <w:tab/>
      </w:r>
      <w:r>
        <w:rPr>
          <w:rFonts w:hint="eastAsia"/>
        </w:rPr>
        <w:t>元</w:t>
      </w:r>
    </w:p>
    <w:p w14:paraId="53F70BFE">
      <w:pPr>
        <w:ind w:firstLine="480"/>
      </w:pPr>
      <w:r>
        <w:t>采购金额（最高限价）：</w:t>
      </w:r>
      <w:r>
        <w:rPr>
          <w:rFonts w:hint="eastAsia"/>
        </w:rPr>
        <w:t>1,130,000元</w:t>
      </w:r>
    </w:p>
    <w:p w14:paraId="4793E9A3">
      <w:pPr>
        <w:ind w:firstLine="480"/>
      </w:pPr>
      <w:r>
        <w:t>组织形式：</w:t>
      </w:r>
      <w:r>
        <w:rPr>
          <w:rFonts w:hint="eastAsia"/>
        </w:rPr>
        <w:t>集中</w:t>
      </w:r>
      <w:r>
        <w:t>采购</w:t>
      </w:r>
    </w:p>
    <w:p w14:paraId="1076EE4E">
      <w:pPr>
        <w:ind w:firstLine="480"/>
      </w:pPr>
      <w:r>
        <w:t>采购方式：</w:t>
      </w:r>
      <w:r>
        <w:rPr>
          <w:rFonts w:hint="eastAsia"/>
        </w:rPr>
        <w:t>竞争性磋商</w:t>
      </w:r>
    </w:p>
    <w:p w14:paraId="7ED10C31">
      <w:pPr>
        <w:ind w:firstLine="480"/>
      </w:pPr>
      <w:r>
        <w:rPr>
          <w:rFonts w:hint="eastAsia"/>
        </w:rPr>
        <w:t>面向企业类型：大中小微</w:t>
      </w:r>
    </w:p>
    <w:p w14:paraId="3DA0E2E1">
      <w:pPr>
        <w:ind w:firstLine="480"/>
      </w:pPr>
      <w:r>
        <w:t>是否接受联合体</w:t>
      </w:r>
      <w:r>
        <w:rPr>
          <w:rFonts w:hint="eastAsia"/>
          <w:lang w:eastAsia="zh-CN"/>
        </w:rPr>
        <w:t>响应</w:t>
      </w:r>
      <w:r>
        <w:t>：否</w:t>
      </w:r>
    </w:p>
    <w:p w14:paraId="602CA296">
      <w:pPr>
        <w:ind w:firstLine="480"/>
      </w:pPr>
      <w:r>
        <w:t>是否按</w:t>
      </w:r>
      <w:r>
        <w:rPr>
          <w:lang w:val="en-US"/>
        </w:rPr>
        <w:t>XC</w:t>
      </w:r>
      <w:r>
        <w:t>要求建设：是</w:t>
      </w:r>
    </w:p>
    <w:p w14:paraId="2B662DF5">
      <w:pPr>
        <w:ind w:firstLine="480"/>
      </w:pPr>
      <w:r>
        <w:t>运维后所属大系统：</w:t>
      </w:r>
      <w:r>
        <w:rPr>
          <w:rFonts w:hint="eastAsia"/>
        </w:rPr>
        <w:t>国资综合业务大系统</w:t>
      </w:r>
    </w:p>
    <w:p w14:paraId="09FDE533">
      <w:pPr>
        <w:pStyle w:val="2"/>
      </w:pPr>
      <w:bookmarkStart w:id="1" w:name="_Toc48223882"/>
      <w:bookmarkStart w:id="2" w:name="_Toc63785463"/>
      <w:r>
        <w:t>建设目标</w:t>
      </w:r>
      <w:bookmarkEnd w:id="1"/>
      <w:bookmarkEnd w:id="2"/>
    </w:p>
    <w:p w14:paraId="6C4E9D28">
      <w:pPr>
        <w:pStyle w:val="3"/>
        <w:numPr>
          <w:ilvl w:val="0"/>
          <w:numId w:val="0"/>
        </w:numPr>
        <w:rPr>
          <w:rFonts w:cs="Times New Roman"/>
        </w:rPr>
      </w:pPr>
      <w:r>
        <w:rPr>
          <w:rFonts w:cs="Times New Roman"/>
        </w:rPr>
        <w:t>2.1 总体目标</w:t>
      </w:r>
    </w:p>
    <w:p w14:paraId="3D6D4E3A">
      <w:pPr>
        <w:ind w:firstLine="480"/>
        <w:rPr>
          <w:rFonts w:cs="Times New Roman"/>
        </w:rPr>
      </w:pPr>
      <w:r>
        <w:rPr>
          <w:rFonts w:hint="eastAsia" w:cs="Times New Roman"/>
        </w:rPr>
        <w:t>本项目响应国家数字化转型的战略部署，旨在推动上海市国资委各项业务的数字化、信息化建设，以提升监管效率和服务水平。项目内容包括</w:t>
      </w:r>
      <w:r>
        <w:rPr>
          <w:rFonts w:hint="eastAsia" w:cs="Times New Roman"/>
          <w:lang w:val="en-US" w:eastAsia="zh-CN"/>
        </w:rPr>
        <w:t>升级改造</w:t>
      </w:r>
      <w:r>
        <w:rPr>
          <w:rFonts w:hint="eastAsia" w:ascii="Times New Roman" w:hAnsi="Times New Roman" w:eastAsia="宋体" w:cs="Times New Roman"/>
          <w:kern w:val="2"/>
          <w:sz w:val="24"/>
          <w:szCs w:val="24"/>
          <w:lang w:val="en-US" w:eastAsia="zh-CN" w:bidi="ar-SA"/>
        </w:rPr>
        <w:t>市国资委国资监管综合业务子系统的国有企业资产评估管理信息模块、产权管理综合信息模块，新建集体企业产权登记子系统</w:t>
      </w:r>
      <w:r>
        <w:rPr>
          <w:rFonts w:hint="eastAsia" w:cs="Times New Roman"/>
        </w:rPr>
        <w:t>。</w:t>
      </w:r>
    </w:p>
    <w:p w14:paraId="589A570A">
      <w:pPr>
        <w:pStyle w:val="38"/>
        <w:ind w:firstLine="424" w:firstLineChars="177"/>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（一）市国资委国资监管综合业务子系统-国有企业资产评估管理信息模块</w:t>
      </w:r>
    </w:p>
    <w:p w14:paraId="5A4388AB">
      <w:pPr>
        <w:pStyle w:val="38"/>
        <w:ind w:firstLine="424" w:firstLineChars="177"/>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按照上海市国资委业务需求，结合自身资产评估监管工作需要及信息化建设实际，需对上海市国资产权综合管理系统进行升级改造，内容包括估值项目备案、预沟通模块、信息发布以及统计分析相关的数据治理等资产评估模块进行升级完善。</w:t>
      </w:r>
    </w:p>
    <w:p w14:paraId="6D766D45">
      <w:pPr>
        <w:pStyle w:val="38"/>
        <w:ind w:firstLine="424" w:firstLineChars="177"/>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（二）市国资委国资监管综合业务子系统-产权管理综合信息模块</w:t>
      </w:r>
    </w:p>
    <w:p w14:paraId="1C2C384E">
      <w:pPr>
        <w:pStyle w:val="38"/>
        <w:ind w:firstLine="424" w:firstLineChars="177"/>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产权登记管理模块：实现产权办理人员管理；根据520要求，针对国家出资企业产权登记的金融企业年度监督检查登记情形为试点实现产权登记智能填报；实现应登未登数据与产权信息查询数据对接；混合所有制国有控股企业数据报表统计。</w:t>
      </w:r>
    </w:p>
    <w:p w14:paraId="696D7CAD">
      <w:pPr>
        <w:pStyle w:val="38"/>
        <w:ind w:firstLine="424" w:firstLineChars="177"/>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（2）国家出资企业产权事项一网通办</w:t>
      </w:r>
    </w:p>
    <w:p w14:paraId="5E46AB39">
      <w:pPr>
        <w:pStyle w:val="38"/>
        <w:ind w:firstLine="424" w:firstLineChars="177"/>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通过系统打通国家出资企业产权登记系统与“一网通办”办不成事平台的对接，提供兜底服务，解决企业和群众在办事过程中遇到的疑难事项和复杂问题。在“一网通办”平台上开发国家出资企业产权登记与“办不成事”对接的专门模块，设置线上渠道及办理跟踪。通过智能客服能力提升，与“一网通办”智能客服“小申”的客服知识库对接，实现国家出资产权事项知识的覆盖，支持通过交互引导企业完成填报。与人工智能平台和工具服务的对接，配合RPA自动校对流程升级。</w:t>
      </w:r>
    </w:p>
    <w:p w14:paraId="48CD3945">
      <w:pPr>
        <w:pStyle w:val="38"/>
        <w:ind w:firstLine="424" w:firstLineChars="177"/>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（三）集体企业产权登记子系统</w:t>
      </w:r>
    </w:p>
    <w:p w14:paraId="687DB5B8">
      <w:pPr>
        <w:pStyle w:val="38"/>
        <w:ind w:firstLine="424" w:firstLineChars="177"/>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建设集体企业产权登记系统，整合集体企业产权数据，规范登记流程，实现与国资监管机构及其他相关系统的数据交互；同时实现集体企业产权树管理、产权关系图管理、工作流引擎、审核管理、产权登记附件管理、产权查询、产权登记业务监控等功能。</w:t>
      </w:r>
    </w:p>
    <w:p w14:paraId="7722EA78">
      <w:pPr>
        <w:ind w:firstLine="480"/>
        <w:rPr>
          <w:rFonts w:cs="Times New Roman"/>
        </w:rPr>
      </w:pPr>
    </w:p>
    <w:p w14:paraId="50A0511D">
      <w:pPr>
        <w:pStyle w:val="3"/>
        <w:numPr>
          <w:ilvl w:val="0"/>
          <w:numId w:val="0"/>
        </w:numPr>
        <w:rPr>
          <w:rFonts w:cs="Times New Roman"/>
        </w:rPr>
      </w:pPr>
      <w:r>
        <w:rPr>
          <w:rFonts w:cs="Times New Roman"/>
        </w:rPr>
        <w:t>2.2 技术指标</w:t>
      </w:r>
    </w:p>
    <w:p w14:paraId="5DFBB6AD">
      <w:pPr>
        <w:ind w:firstLine="480"/>
      </w:pPr>
      <w:r>
        <w:rPr>
          <w:rFonts w:hint="eastAsia"/>
        </w:rPr>
        <w:t>本项目各项技术指标要求如下：①软件开发完成率达到100%</w:t>
      </w:r>
      <w:r>
        <w:rPr>
          <w:rFonts w:hint="eastAsia"/>
          <w:lang w:eastAsia="zh-CN"/>
        </w:rPr>
        <w:t>，</w:t>
      </w:r>
      <w:r>
        <w:rPr>
          <w:rFonts w:hint="eastAsia"/>
          <w:lang w:val="en-US" w:eastAsia="zh-CN"/>
        </w:rPr>
        <w:t>建设周期≤6个月</w:t>
      </w:r>
      <w:r>
        <w:rPr>
          <w:rFonts w:hint="eastAsia"/>
        </w:rPr>
        <w:t>；</w:t>
      </w:r>
      <w:r>
        <w:rPr>
          <w:rFonts w:hint="eastAsia"/>
          <w:lang w:val="en-US" w:eastAsia="zh-CN"/>
        </w:rPr>
        <w:t>②</w:t>
      </w:r>
      <w:r>
        <w:t>平均操作响应时间</w:t>
      </w:r>
      <w:r>
        <w:rPr>
          <w:rFonts w:hint="eastAsia"/>
          <w:lang w:val="en-US" w:eastAsia="zh-CN"/>
        </w:rPr>
        <w:t>≤3</w:t>
      </w:r>
      <w:r>
        <w:t>秒</w:t>
      </w:r>
      <w:r>
        <w:rPr>
          <w:rFonts w:hint="eastAsia"/>
          <w:lang w:eastAsia="zh-CN"/>
        </w:rPr>
        <w:t>；</w:t>
      </w:r>
      <w:r>
        <w:rPr>
          <w:rFonts w:hint="eastAsia"/>
          <w:lang w:val="en-US" w:eastAsia="zh-CN"/>
        </w:rPr>
        <w:t>③满足用户量9000、</w:t>
      </w:r>
      <w:r>
        <w:rPr>
          <w:rFonts w:hint="eastAsia"/>
        </w:rPr>
        <w:t>并发</w:t>
      </w:r>
      <w:r>
        <w:rPr>
          <w:rFonts w:hint="eastAsia"/>
          <w:lang w:val="en-US" w:eastAsia="zh-CN"/>
        </w:rPr>
        <w:t>用户数50的性能要求</w:t>
      </w:r>
      <w:r>
        <w:rPr>
          <w:rFonts w:hint="eastAsia"/>
        </w:rPr>
        <w:t>；</w:t>
      </w:r>
      <w:r>
        <w:rPr>
          <w:rFonts w:hint="eastAsia"/>
          <w:lang w:val="en-US" w:eastAsia="zh-CN"/>
        </w:rPr>
        <w:t>④</w:t>
      </w:r>
      <w:r>
        <w:rPr>
          <w:rFonts w:hint="eastAsia"/>
        </w:rPr>
        <w:t>系统稳定性要求无故障连续运行时间为7*24小时，年故障时间不超过24小时，故障修复时间不超过24小时</w:t>
      </w:r>
      <w:r>
        <w:rPr>
          <w:rFonts w:hint="eastAsia"/>
          <w:lang w:eastAsia="zh-CN"/>
        </w:rPr>
        <w:t>；</w:t>
      </w:r>
      <w:r>
        <w:rPr>
          <w:rFonts w:hint="eastAsia"/>
          <w:lang w:val="en-US" w:eastAsia="zh-CN"/>
        </w:rPr>
        <w:t>⑤</w:t>
      </w:r>
      <w:r>
        <w:rPr>
          <w:rFonts w:hint="eastAsia"/>
        </w:rPr>
        <w:t>数据安全方面要求每周进行全量备份，可恢复周期为半年，恢复耗时不超过24小时，并提供电子政务云同城灾备方案。</w:t>
      </w:r>
    </w:p>
    <w:p w14:paraId="186CE0CA">
      <w:pPr>
        <w:ind w:firstLine="0" w:firstLineChars="0"/>
        <w:outlineLvl w:val="2"/>
        <w:rPr>
          <w:rFonts w:cs="Times New Roman"/>
          <w:b/>
          <w:sz w:val="28"/>
          <w:szCs w:val="28"/>
        </w:rPr>
      </w:pPr>
      <w:r>
        <w:rPr>
          <w:rFonts w:cs="Times New Roman"/>
          <w:b/>
          <w:sz w:val="28"/>
          <w:szCs w:val="28"/>
        </w:rPr>
        <w:t>2.3</w:t>
      </w:r>
      <w:r>
        <w:rPr>
          <w:rFonts w:hint="eastAsia" w:cs="Times New Roman"/>
          <w:b/>
          <w:sz w:val="28"/>
          <w:szCs w:val="28"/>
        </w:rPr>
        <w:t>.1</w:t>
      </w:r>
      <w:r>
        <w:rPr>
          <w:rFonts w:cs="Times New Roman"/>
          <w:b/>
          <w:sz w:val="28"/>
          <w:szCs w:val="28"/>
        </w:rPr>
        <w:t xml:space="preserve"> 技术架构</w:t>
      </w:r>
    </w:p>
    <w:p w14:paraId="026A22B7">
      <w:pPr>
        <w:ind w:firstLine="480"/>
        <w:rPr>
          <w:rFonts w:cs="Times New Roman"/>
        </w:rPr>
      </w:pPr>
      <w:r>
        <w:rPr>
          <w:rFonts w:hint="eastAsia" w:cs="Times New Roman"/>
        </w:rPr>
        <w:t>为了保证业务子系统应用具有良好的横向扩展能力，以应对未来业务的快速发展，整个应用架构采用分布式云架构设计，业务能力通过微服务框架基于高内聚低耦合的思路实现。通过应用大数据分析、web、移动应用技术应用，实现智能管理</w:t>
      </w:r>
      <w:r>
        <w:rPr>
          <w:rFonts w:hint="eastAsia" w:cs="Times New Roman"/>
          <w:lang w:eastAsia="zh-CN"/>
        </w:rPr>
        <w:t>，</w:t>
      </w:r>
      <w:r>
        <w:rPr>
          <w:rFonts w:hint="eastAsia" w:cs="Times New Roman"/>
        </w:rPr>
        <w:t>提升监管效率。</w:t>
      </w:r>
    </w:p>
    <w:p w14:paraId="09EE7C2A">
      <w:pPr>
        <w:ind w:firstLine="0" w:firstLineChars="0"/>
        <w:outlineLvl w:val="2"/>
        <w:rPr>
          <w:rFonts w:cs="Times New Roman"/>
          <w:b/>
          <w:sz w:val="28"/>
          <w:szCs w:val="28"/>
        </w:rPr>
      </w:pPr>
      <w:r>
        <w:rPr>
          <w:rFonts w:cs="Times New Roman"/>
          <w:b/>
          <w:sz w:val="28"/>
          <w:szCs w:val="28"/>
        </w:rPr>
        <w:t>2.</w:t>
      </w:r>
      <w:r>
        <w:rPr>
          <w:rFonts w:hint="eastAsia" w:cs="Times New Roman"/>
          <w:b/>
          <w:sz w:val="28"/>
          <w:szCs w:val="28"/>
        </w:rPr>
        <w:t>3.2</w:t>
      </w:r>
      <w:r>
        <w:rPr>
          <w:rFonts w:cs="Times New Roman"/>
          <w:b/>
          <w:sz w:val="28"/>
          <w:szCs w:val="28"/>
        </w:rPr>
        <w:t xml:space="preserve"> 部署环境</w:t>
      </w:r>
    </w:p>
    <w:p w14:paraId="036334A9">
      <w:pPr>
        <w:ind w:firstLine="480"/>
        <w:rPr>
          <w:rFonts w:hint="eastAsia" w:cs="Times New Roman"/>
        </w:rPr>
      </w:pPr>
      <w:r>
        <w:rPr>
          <w:rFonts w:hint="eastAsia" w:cs="Times New Roman"/>
        </w:rPr>
        <w:t>本系统将部署在上海市电子政务云（</w:t>
      </w:r>
      <w:r>
        <w:rPr>
          <w:rFonts w:hint="default" w:cs="Times New Roman"/>
          <w:lang w:val="en-US"/>
        </w:rPr>
        <w:t>XC</w:t>
      </w:r>
      <w:r>
        <w:rPr>
          <w:rFonts w:hint="eastAsia" w:cs="Times New Roman"/>
        </w:rPr>
        <w:t>云）上，项目的等保要求需达到二级等保。</w:t>
      </w:r>
    </w:p>
    <w:p w14:paraId="1D1E1D05">
      <w:pPr>
        <w:ind w:firstLine="480"/>
        <w:rPr>
          <w:rFonts w:cs="Times New Roman"/>
        </w:rPr>
      </w:pPr>
      <w:r>
        <w:rPr>
          <w:rFonts w:hint="eastAsia" w:cs="Times New Roman"/>
        </w:rPr>
        <w:t>本系统使用符合</w:t>
      </w:r>
      <w:r>
        <w:rPr>
          <w:rFonts w:hint="default" w:cs="Times New Roman"/>
          <w:lang w:val="en-US"/>
        </w:rPr>
        <w:t>XC</w:t>
      </w:r>
      <w:r>
        <w:rPr>
          <w:rFonts w:hint="eastAsia" w:cs="Times New Roman"/>
        </w:rPr>
        <w:t>要求的软件开发工具、数据库，满足</w:t>
      </w:r>
      <w:r>
        <w:rPr>
          <w:rFonts w:hint="default" w:cs="Times New Roman"/>
          <w:lang w:val="en-US"/>
        </w:rPr>
        <w:t>XC</w:t>
      </w:r>
      <w:r>
        <w:rPr>
          <w:rFonts w:hint="eastAsia" w:cs="Times New Roman"/>
        </w:rPr>
        <w:t>要求。</w:t>
      </w:r>
    </w:p>
    <w:p w14:paraId="274C006A">
      <w:pPr>
        <w:pStyle w:val="2"/>
      </w:pPr>
      <w:r>
        <w:t>项目建设内容</w:t>
      </w:r>
    </w:p>
    <w:p w14:paraId="29B8B3CF">
      <w:pPr>
        <w:pStyle w:val="3"/>
        <w:numPr>
          <w:ilvl w:val="0"/>
          <w:numId w:val="0"/>
        </w:numPr>
        <w:rPr>
          <w:rFonts w:cs="Times New Roman"/>
        </w:rPr>
      </w:pPr>
      <w:bookmarkStart w:id="3" w:name="_Toc63785502"/>
      <w:r>
        <w:rPr>
          <w:rFonts w:hint="eastAsia" w:cs="Times New Roman"/>
        </w:rPr>
        <w:t>3.1 软件开发清单</w:t>
      </w:r>
    </w:p>
    <w:p w14:paraId="2DD6C2C0">
      <w:pPr>
        <w:ind w:firstLine="0" w:firstLineChars="0"/>
        <w:outlineLvl w:val="2"/>
        <w:rPr>
          <w:rFonts w:cs="Times New Roman"/>
          <w:b/>
          <w:sz w:val="28"/>
          <w:szCs w:val="28"/>
        </w:rPr>
      </w:pPr>
      <w:r>
        <w:rPr>
          <w:rFonts w:hint="eastAsia" w:cs="Times New Roman"/>
          <w:b/>
          <w:sz w:val="28"/>
          <w:szCs w:val="28"/>
        </w:rPr>
        <w:t>3.1.1 集体企业产权登记子系统</w:t>
      </w:r>
      <w:r>
        <w:rPr>
          <w:rFonts w:cs="Times New Roman"/>
          <w:b/>
          <w:sz w:val="28"/>
          <w:szCs w:val="28"/>
        </w:rPr>
        <w:t>软件开发清单</w:t>
      </w:r>
    </w:p>
    <w:p w14:paraId="22F9FC38">
      <w:pPr>
        <w:ind w:firstLine="480"/>
        <w:rPr>
          <w:rFonts w:hint="eastAsia" w:cs="Times New Roman"/>
          <w:lang w:val="en-US" w:eastAsia="zh-CN"/>
        </w:rPr>
      </w:pPr>
      <w:r>
        <w:rPr>
          <w:rFonts w:hint="eastAsia" w:cs="Times New Roman"/>
        </w:rPr>
        <w:t>本子系统建设内容包括：发起和决策</w:t>
      </w:r>
      <w:r>
        <w:rPr>
          <w:rFonts w:hint="eastAsia" w:cs="Times New Roman"/>
        </w:rPr>
        <w:tab/>
      </w:r>
      <w:r>
        <w:rPr>
          <w:rFonts w:hint="eastAsia" w:cs="Times New Roman"/>
          <w:lang w:eastAsia="zh-CN"/>
        </w:rPr>
        <w:t>、</w:t>
      </w:r>
      <w:r>
        <w:rPr>
          <w:rFonts w:hint="eastAsia" w:cs="Times New Roman"/>
        </w:rPr>
        <w:t>上报产权登记信息</w:t>
      </w:r>
      <w:r>
        <w:rPr>
          <w:rFonts w:hint="eastAsia" w:cs="Times New Roman"/>
          <w:lang w:val="en-US" w:eastAsia="zh-CN"/>
        </w:rPr>
        <w:t>等</w:t>
      </w:r>
      <w:r>
        <w:rPr>
          <w:rFonts w:hint="eastAsia" w:cs="Times New Roman"/>
        </w:rPr>
        <w:t>共计</w:t>
      </w:r>
      <w:r>
        <w:rPr>
          <w:rFonts w:hint="eastAsia" w:cs="Times New Roman"/>
          <w:lang w:val="en-US" w:eastAsia="zh-CN"/>
        </w:rPr>
        <w:t>18</w:t>
      </w:r>
      <w:r>
        <w:rPr>
          <w:rFonts w:hint="eastAsia" w:cs="Times New Roman"/>
        </w:rPr>
        <w:t>个功能点。</w:t>
      </w:r>
      <w:r>
        <w:rPr>
          <w:rFonts w:hint="eastAsia" w:cs="Times New Roman"/>
          <w:lang w:val="en-US" w:eastAsia="zh-CN"/>
        </w:rPr>
        <w:t>具体内容如下表：</w:t>
      </w:r>
    </w:p>
    <w:tbl>
      <w:tblPr>
        <w:tblStyle w:val="18"/>
        <w:tblW w:w="85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5"/>
        <w:gridCol w:w="1765"/>
        <w:gridCol w:w="6115"/>
      </w:tblGrid>
      <w:tr w14:paraId="6C737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2C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lang w:val="en-US" w:eastAsia="zh-CN"/>
              </w:rPr>
              <w:t>序号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EA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lang w:val="en-US" w:eastAsia="zh-CN"/>
              </w:rPr>
              <w:t>功能名称</w:t>
            </w:r>
          </w:p>
        </w:tc>
        <w:tc>
          <w:tcPr>
            <w:tcW w:w="6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DF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lang w:val="en-US" w:eastAsia="zh-CN"/>
              </w:rPr>
              <w:t>功能描述</w:t>
            </w:r>
          </w:p>
        </w:tc>
      </w:tr>
      <w:tr w14:paraId="66780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6"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7E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B8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发起和决策</w:t>
            </w:r>
          </w:p>
        </w:tc>
        <w:tc>
          <w:tcPr>
            <w:tcW w:w="6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F1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eastAsia="宋体" w:asciiTheme="minorEastAsia" w:hAnsi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包含新设企业、收购非国有、集体企业内部股权划转、产权进场转让、减资、改制、司法改制、司法处置、首次补登记、增资、注销法人资格、合并、企业分立、集体企业内部协议转让、基础信息变更、缴纳实收资本、对外增资、进场投资、多股东变动、产权二级以下企业转一级、股份有限公司上市、其他经济行为，等21个经济行为的发起和决策填报。</w:t>
            </w:r>
          </w:p>
        </w:tc>
      </w:tr>
      <w:tr w14:paraId="4B7C8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6"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05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9F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上报产权登记信息</w:t>
            </w:r>
          </w:p>
        </w:tc>
        <w:tc>
          <w:tcPr>
            <w:tcW w:w="6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0E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包含新设企业、收购非国有、集体企业内部股权划转、产权进场转让、减资、改制、司法改制、司法处置、首次补登记、增资、注销法人资格、合并、企业分立、集体企业内部协议转让、基础信息变更、缴纳实收资本、对外增资、进场投资、多股东变动、产权二级以下企业转一级、股份有限公司上市、其他经济行为，等21个经济行为的上报产权登记信息页面开发。</w:t>
            </w:r>
          </w:p>
        </w:tc>
      </w:tr>
      <w:tr w14:paraId="7975B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55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32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审核</w:t>
            </w:r>
          </w:p>
        </w:tc>
        <w:tc>
          <w:tcPr>
            <w:tcW w:w="6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BD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审核页面，根据集体企业上报的经济行为产权登记信息进行逐级审核，市属企业办理产权登记的需要到市国资委审核结束；区县下属企业办理产权登记的需要到区县国资委审核结束；委托监管单位下属企业办理产权登记的需要到委托监管单位审核结束。</w:t>
            </w:r>
          </w:p>
        </w:tc>
      </w:tr>
      <w:tr w14:paraId="186D9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87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7B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批量导入和注销</w:t>
            </w:r>
          </w:p>
        </w:tc>
        <w:tc>
          <w:tcPr>
            <w:tcW w:w="6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6C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（1）批量导入：将“批量导入”的功能内置到相关登记情形中</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（2）批量注销：可作为一项登记情形独立办理。(2)在相关登记情形中内置“批量注销”办理功能。</w:t>
            </w:r>
          </w:p>
        </w:tc>
      </w:tr>
      <w:tr w14:paraId="4B39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56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88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有限合伙企业权益登记</w:t>
            </w:r>
          </w:p>
        </w:tc>
        <w:tc>
          <w:tcPr>
            <w:tcW w:w="6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D7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（1）占有：有限合伙企业权益占有登记。</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（2）变动：有限合伙企业权益变动登记。</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（3）注销：有限合伙企业权益注销登记。</w:t>
            </w:r>
          </w:p>
        </w:tc>
      </w:tr>
      <w:tr w14:paraId="496FC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DB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BA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产权树管理</w:t>
            </w:r>
          </w:p>
        </w:tc>
        <w:tc>
          <w:tcPr>
            <w:tcW w:w="6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6C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提供树形结构可视化呈现集体企业产权层级关系，涵盖产权主体（管理单位/母公司/子公司/分支机构）、股权占比，系统根据集体企业登记审核情况动态增删改节点并自动校验产权链完整性。</w:t>
            </w:r>
          </w:p>
        </w:tc>
      </w:tr>
      <w:tr w14:paraId="71EB5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66E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3D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产权穿透查询</w:t>
            </w:r>
          </w:p>
        </w:tc>
        <w:tc>
          <w:tcPr>
            <w:tcW w:w="6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69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提供产权穿透查询（如从基层企业向上追溯至终极控股方），确保产权归属清晰可追溯。</w:t>
            </w:r>
          </w:p>
        </w:tc>
      </w:tr>
      <w:tr w14:paraId="0C4C9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58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65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产权图管理</w:t>
            </w:r>
          </w:p>
        </w:tc>
        <w:tc>
          <w:tcPr>
            <w:tcW w:w="6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21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基于集体企业登记审核通过的产权数据，自动解析股权层级与控制关系，生成动态可视化产权图谱，通过树形/网络拓扑结构清晰呈现终极控股方至基层企业的多级持股路径，节点连线标注股权比例。</w:t>
            </w:r>
          </w:p>
        </w:tc>
      </w:tr>
      <w:tr w14:paraId="4EBBD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B9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98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与产权登记联动</w:t>
            </w:r>
          </w:p>
        </w:tc>
        <w:tc>
          <w:tcPr>
            <w:tcW w:w="6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78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与产权登记流程实时联动，自动更新关系图并推送变更提醒，确保数据时效性，提供产权关系下载导出功能。</w:t>
            </w:r>
          </w:p>
        </w:tc>
      </w:tr>
      <w:tr w14:paraId="70E4C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3"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B0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F6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集体企业登记流程配置/动态表单匹配</w:t>
            </w:r>
          </w:p>
        </w:tc>
        <w:tc>
          <w:tcPr>
            <w:tcW w:w="6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93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（1）集体企业登记流程配置</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提供产权登记流程管理模板（如占有登记、变更登记、注销登记），可灵活配置多级审批节点及流转条件，通过流程设计器标准建模，确保集体铱登记流程合规企业差异化管理要求</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（2）动态表单匹配</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通过经济行为自动关联电子表单及附件清单，支持表单字段动态配置（必填/选填、校验规则）实现登记材料数字化升级。</w:t>
            </w:r>
          </w:p>
        </w:tc>
      </w:tr>
      <w:tr w14:paraId="0C11E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6F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11</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9A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多级审批管理</w:t>
            </w:r>
          </w:p>
        </w:tc>
        <w:tc>
          <w:tcPr>
            <w:tcW w:w="6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06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构建跨部门、跨层级的多层级审批网络，支持逐级审核、并行审核及条件分支（特殊审核流程），提供审批意见一键调用，提供审批记录全程留痕且不可篡改</w:t>
            </w:r>
          </w:p>
        </w:tc>
      </w:tr>
      <w:tr w14:paraId="6361B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7C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12</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C1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产权信息动态更新</w:t>
            </w:r>
          </w:p>
        </w:tc>
        <w:tc>
          <w:tcPr>
            <w:tcW w:w="6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DB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与产权管理树及产权关系图模块实时联动，当登记流程完成终审后，自动同步更新产权数据，触发产权关系图谱的智能重构，并向关联业务系统推送变更数据</w:t>
            </w:r>
          </w:p>
        </w:tc>
      </w:tr>
      <w:tr w14:paraId="7EC5F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99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13</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6D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集体企业待办管理</w:t>
            </w:r>
          </w:p>
        </w:tc>
        <w:tc>
          <w:tcPr>
            <w:tcW w:w="6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CC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（1）集中企业代办管理：集中展示登录用户权限范围内的待处理任务，提供任务催办功能及超期预警，待办数据与工作流引擎实时同步。</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（2）集体企业已办管理：归档用户已处理完成的业务事项，支持按时间/类型/关键词检索历史审批记录，提供审批意见检索及操作日志追溯。</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（3）集体企业在办管理：动态展示登录用户参与中的业务流程实例，提供流程日志进度监控，在办数据与产权管理树联动</w:t>
            </w:r>
          </w:p>
        </w:tc>
      </w:tr>
      <w:tr w14:paraId="2592A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AB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14</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4C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集体企业产权登记附件管理</w:t>
            </w:r>
          </w:p>
        </w:tc>
        <w:tc>
          <w:tcPr>
            <w:tcW w:w="6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42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附件上传与附件检索。集体企业产权登记附件管理功能主要用于规范与集体企业产权登记相关的各类附件资料管理。</w:t>
            </w:r>
          </w:p>
        </w:tc>
      </w:tr>
      <w:tr w14:paraId="26B4D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3B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15</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C7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集体企业产权查询</w:t>
            </w:r>
          </w:p>
        </w:tc>
        <w:tc>
          <w:tcPr>
            <w:tcW w:w="6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40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提供多样的查询条件设置查询、模糊查询及汇总分析。</w:t>
            </w:r>
          </w:p>
        </w:tc>
      </w:tr>
      <w:tr w14:paraId="37A5E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17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16</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8B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集体企业产权登记业务监控</w:t>
            </w:r>
          </w:p>
        </w:tc>
        <w:tc>
          <w:tcPr>
            <w:tcW w:w="6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3E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提供集体企业产权登记业务监控功能，不同用户能够针对所管范围实时查询产权登记申请、审核进展，对所有发起的产权登记申请进行监管，实施掌握各个企业所有集体企业登记信息。</w:t>
            </w:r>
          </w:p>
        </w:tc>
      </w:tr>
      <w:tr w14:paraId="1549B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A0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17</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D4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系统对接</w:t>
            </w:r>
          </w:p>
        </w:tc>
        <w:tc>
          <w:tcPr>
            <w:tcW w:w="6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AD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集体企业产权登记系统与国家出资企业产权登记系统对接：制定集体企业与国家出资企业系统的标准化数据接口规范；实现集体企业产权登记系统与国家出资企业系统之间的实时或定期数据同步；建立数据同步监控机制。</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集体企业登记系统与有限合伙企业登记系统对接：制定统一数据标准和格式规范；后续在登记业务办理过程中，可以提供两个系统间的信息核验功能。基于双方系统共享与交互的数据，搭建汇总分析功能模块。</w:t>
            </w:r>
          </w:p>
        </w:tc>
      </w:tr>
      <w:tr w14:paraId="6FBE4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7C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18</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83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密码应用建设</w:t>
            </w:r>
          </w:p>
        </w:tc>
        <w:tc>
          <w:tcPr>
            <w:tcW w:w="6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80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针对新建子系统，配合进行密码应用建设</w:t>
            </w:r>
          </w:p>
        </w:tc>
      </w:tr>
    </w:tbl>
    <w:p w14:paraId="33B5A316">
      <w:pPr>
        <w:ind w:left="0" w:leftChars="0" w:firstLine="0" w:firstLineChars="0"/>
        <w:rPr>
          <w:rFonts w:cs="Times New Roman"/>
        </w:rPr>
      </w:pPr>
    </w:p>
    <w:p w14:paraId="2C2A7623">
      <w:pPr>
        <w:ind w:firstLine="0" w:firstLineChars="0"/>
        <w:outlineLvl w:val="2"/>
        <w:rPr>
          <w:rFonts w:cs="Times New Roman"/>
          <w:b/>
          <w:sz w:val="28"/>
          <w:szCs w:val="28"/>
        </w:rPr>
      </w:pPr>
      <w:r>
        <w:rPr>
          <w:rFonts w:hint="eastAsia" w:cs="Times New Roman"/>
          <w:b/>
          <w:sz w:val="28"/>
          <w:szCs w:val="28"/>
        </w:rPr>
        <w:t>3.1.2</w:t>
      </w:r>
      <w:bookmarkStart w:id="4" w:name="_Hlk183528294"/>
      <w:r>
        <w:rPr>
          <w:rFonts w:hint="eastAsia" w:cs="Times New Roman"/>
          <w:b/>
          <w:sz w:val="28"/>
          <w:szCs w:val="28"/>
        </w:rPr>
        <w:t xml:space="preserve"> 市国资委国资综合业务监管子系统-产权管理综合信息模块软件开发清单</w:t>
      </w:r>
      <w:bookmarkEnd w:id="4"/>
    </w:p>
    <w:p w14:paraId="7402F919">
      <w:pPr>
        <w:ind w:firstLine="480"/>
        <w:rPr>
          <w:rFonts w:cs="Times New Roman"/>
        </w:rPr>
      </w:pPr>
      <w:r>
        <w:rPr>
          <w:rFonts w:hint="eastAsia" w:cs="Times New Roman"/>
        </w:rPr>
        <w:t>本</w:t>
      </w:r>
      <w:r>
        <w:rPr>
          <w:rFonts w:hint="eastAsia" w:cs="Times New Roman"/>
          <w:lang w:val="en-US" w:eastAsia="zh-CN"/>
        </w:rPr>
        <w:t>模块</w:t>
      </w:r>
      <w:r>
        <w:rPr>
          <w:rFonts w:hint="eastAsia" w:cs="Times New Roman"/>
        </w:rPr>
        <w:t>建设内容包括</w:t>
      </w:r>
      <w:r>
        <w:rPr>
          <w:rFonts w:hint="eastAsia" w:cs="Times New Roman"/>
          <w:lang w:val="en-US" w:eastAsia="zh-CN"/>
        </w:rPr>
        <w:t>产权登记管理、</w:t>
      </w:r>
      <w:r>
        <w:rPr>
          <w:rFonts w:hint="eastAsia" w:cs="Times New Roman"/>
        </w:rPr>
        <w:t>国家出资企业产权事项一网通办-一网通办办不成事对接</w:t>
      </w:r>
      <w:r>
        <w:rPr>
          <w:rFonts w:hint="eastAsia" w:cs="Times New Roman"/>
          <w:lang w:val="en-US" w:eastAsia="zh-CN"/>
        </w:rPr>
        <w:t>两部分</w:t>
      </w:r>
      <w:r>
        <w:rPr>
          <w:rFonts w:hint="eastAsia" w:cs="Times New Roman"/>
        </w:rPr>
        <w:t>，共计</w:t>
      </w:r>
      <w:r>
        <w:rPr>
          <w:rFonts w:hint="eastAsia" w:cs="Times New Roman"/>
          <w:lang w:val="en-US" w:eastAsia="zh-CN"/>
        </w:rPr>
        <w:t>17</w:t>
      </w:r>
      <w:r>
        <w:rPr>
          <w:rFonts w:hint="eastAsia" w:cs="Times New Roman"/>
        </w:rPr>
        <w:t>个功能点。</w:t>
      </w:r>
      <w:r>
        <w:rPr>
          <w:rFonts w:hint="eastAsia" w:cs="Times New Roman"/>
          <w:lang w:val="en-US" w:eastAsia="zh-CN"/>
        </w:rPr>
        <w:t>具体内容如下表：</w:t>
      </w:r>
    </w:p>
    <w:tbl>
      <w:tblPr>
        <w:tblStyle w:val="18"/>
        <w:tblW w:w="0" w:type="auto"/>
        <w:tblInd w:w="0" w:type="dxa"/>
        <w:tblLayout w:type="autofit"/>
        <w:tblCellMar>
          <w:top w:w="0" w:type="dxa"/>
          <w:left w:w="108" w:type="dxa"/>
          <w:bottom w:w="0" w:type="dxa"/>
          <w:right w:w="108" w:type="dxa"/>
        </w:tblCellMar>
      </w:tblPr>
      <w:tblGrid>
        <w:gridCol w:w="638"/>
        <w:gridCol w:w="1783"/>
        <w:gridCol w:w="6101"/>
      </w:tblGrid>
      <w:tr w14:paraId="48F0B668">
        <w:tblPrEx>
          <w:tblCellMar>
            <w:top w:w="0" w:type="dxa"/>
            <w:left w:w="108" w:type="dxa"/>
            <w:bottom w:w="0" w:type="dxa"/>
            <w:right w:w="108" w:type="dxa"/>
          </w:tblCellMar>
        </w:tblPrEx>
        <w:trPr>
          <w:trHeight w:val="27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28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cs="Times New Roman"/>
                <w:b/>
                <w:bCs/>
                <w:color w:val="000000"/>
                <w:kern w:val="0"/>
                <w:sz w:val="21"/>
                <w:szCs w:val="21"/>
              </w:rPr>
            </w:pPr>
            <w:r>
              <w:rPr>
                <w:rFonts w:cs="Times New Roman"/>
                <w:b/>
                <w:bCs/>
                <w:color w:val="000000"/>
                <w:kern w:val="0"/>
                <w:sz w:val="21"/>
                <w:szCs w:val="21"/>
              </w:rPr>
              <w:t>序号</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36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cs="Times New Roman"/>
                <w:b/>
                <w:bCs/>
                <w:color w:val="000000"/>
                <w:kern w:val="0"/>
                <w:sz w:val="21"/>
                <w:szCs w:val="21"/>
              </w:rPr>
            </w:pPr>
            <w:r>
              <w:rPr>
                <w:rFonts w:cs="Times New Roman"/>
                <w:b/>
                <w:bCs/>
                <w:color w:val="000000"/>
                <w:kern w:val="0"/>
                <w:sz w:val="21"/>
                <w:szCs w:val="21"/>
              </w:rPr>
              <w:t>功能名称</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BE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cs="Times New Roman"/>
                <w:b/>
                <w:bCs/>
                <w:color w:val="000000"/>
                <w:kern w:val="0"/>
                <w:sz w:val="21"/>
                <w:szCs w:val="21"/>
              </w:rPr>
            </w:pPr>
            <w:r>
              <w:rPr>
                <w:rFonts w:cs="Times New Roman"/>
                <w:b/>
                <w:bCs/>
                <w:color w:val="000000"/>
                <w:kern w:val="0"/>
                <w:sz w:val="21"/>
                <w:szCs w:val="21"/>
              </w:rPr>
              <w:t>功能描述</w:t>
            </w:r>
          </w:p>
        </w:tc>
      </w:tr>
      <w:tr w14:paraId="3CE40F33">
        <w:tblPrEx>
          <w:tblCellMar>
            <w:top w:w="0" w:type="dxa"/>
            <w:left w:w="108" w:type="dxa"/>
            <w:bottom w:w="0" w:type="dxa"/>
            <w:right w:w="108" w:type="dxa"/>
          </w:tblCellMar>
        </w:tblPrEx>
        <w:trPr>
          <w:trHeight w:val="27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80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1</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55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产权管理综合信息模块-产权登记管理-产权办理人员管理</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17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（1）办理人员管理</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提供产权登记系统终审用户、用户管理岗在线管理操作。支持管理员对用户的登记、审核权限进行新增操作，能根据业务需求，在线调整用户产权登记权限；支持对用户产权办理权限进行注销处理，在申请材料审核通过后开通产权登记系统相应功能权限。</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（2）申请盖章材料上传</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用户在产权登记业务办理过程中，可通过系统在线提交申请所需的盖章材料。支持多种文件格式上传，方便用户整理和提交材料，减少线下奔波，提高业务办理效率。</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（3）申请审核</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支持一级企业用户审核岗、区国资委用户审核岗、市国资委用户审核岗、委托监管单位用户审核岗人员在线对用户提交的申请及盖章材料进行审核。支持系统中查看材料详情，对材料完整性、准确性等进行检查，并给出审核意见。若材料存在问题，可反馈给用户要求补充或修改；若审核通过，则进入后续开通流程。</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（4）开通短信下发</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当用户账号及权限开通成功后，系统自动向用户预留的手机号码发送开通通知短信。短信内容包含用户账号、开通时间、提示等关键信息，方便用户及时了解开通情况，快速登录系统开展业务操作 。</w:t>
            </w:r>
          </w:p>
        </w:tc>
      </w:tr>
      <w:tr w14:paraId="12526AAD">
        <w:tblPrEx>
          <w:tblCellMar>
            <w:top w:w="0" w:type="dxa"/>
            <w:left w:w="108" w:type="dxa"/>
            <w:bottom w:w="0" w:type="dxa"/>
            <w:right w:w="108" w:type="dxa"/>
          </w:tblCellMar>
        </w:tblPrEx>
        <w:trPr>
          <w:trHeight w:val="27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E0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2</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51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产权管理综合信息模块-产权登记管理-产权登记智能填报-智能提示与引导</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A1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根据520项高频事项要求，增加产权登记智能填报功能,在用户填报过程中，系统提供实时的智能提示与引导服务。当用户将鼠标悬停在某个字段上时，系统自动弹出该字段的详细说明和填报要求，帮助用户准确理解字段含义。对于一些复杂或容易出错的字段，系统通过示例、提示框等方式给予用户明确的指导。</w:t>
            </w:r>
          </w:p>
        </w:tc>
      </w:tr>
      <w:tr w14:paraId="6BD7DF25">
        <w:tblPrEx>
          <w:tblCellMar>
            <w:top w:w="0" w:type="dxa"/>
            <w:left w:w="108" w:type="dxa"/>
            <w:bottom w:w="0" w:type="dxa"/>
            <w:right w:w="108" w:type="dxa"/>
          </w:tblCellMar>
        </w:tblPrEx>
        <w:trPr>
          <w:trHeight w:val="27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2B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3</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0B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产权管理综合信息模块-产权登记管理-产权登记智能填报-智能填报</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11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提供根据企业提供财务指标数据，系统自动提取企业基本字段信息、企业管理人员信息、企业出资情况、企业资本状况等核心要素信息，并自动整合这些数据，在用户进入金融企业年度监督检查登记页面时，预先填充至对应字段，减少用户手动输入的工作量，解决企业大量手工填报录入工作，具体如下：</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1、自动操作功能脚本构建</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自动操作功能脚本构建，通过自动化技术实现金融企业年度监督检查登记业务流程处理，根据用户财务业务需求，设计并构建自动化脚本，模拟人工在计算机上的操作行为，如系统登录、功能导览、数据录入等。通过设计脚本，可自动执行重复性、规律性任务。</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2、数据识别与填报</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自动扫描企业提供的账务表单，利用图像识别与文本解析技术，精准识别表单中的关键数据。识别完成后，能依据预设规则或业务逻辑，将数据自动、准确填报至对产权登记系统指定位置，具体包含企业基本字段信息识别与填报、企业管理人员信息识别与填报、企业出资情况识别与填报、企业资本状况识别与填报。</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提供针对金融企业年度监督检查登记所需的各类合规性材料，如财务报表、审计报告、合规证明等，进行智能识别和信息提取。并将提取出来附件填至登记系统的相应字段中，减少用户手动录入的工作量。</w:t>
            </w:r>
          </w:p>
        </w:tc>
      </w:tr>
      <w:tr w14:paraId="3663EA38">
        <w:tblPrEx>
          <w:tblCellMar>
            <w:top w:w="0" w:type="dxa"/>
            <w:left w:w="108" w:type="dxa"/>
            <w:bottom w:w="0" w:type="dxa"/>
            <w:right w:w="108" w:type="dxa"/>
          </w:tblCellMar>
        </w:tblPrEx>
        <w:trPr>
          <w:trHeight w:val="27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78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4</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68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产权管理综合信息模块-产权登记管理-产权登记智能填报-智能预审</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43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针对国家出资企业产权登记的金融企业年度监督检查登记情形，开发智能预审及退回功能。覆盖企业基本信息、出资人信息以及合规性材料等多个关键维度。</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在企业基本信息方面及合规性材料方面，开发智能预审信息提取与核对功能。自动识别并提取材料中的关键信息，与预设的合规标准进行细致比对，从而快速发现潜在问题。一旦发现不合规之处，系统将立即向企业回退材料，并详细反馈问题所在，指导企业及时修正，有效提升审查效率和准确性，降低企业因材料不合规而导致的反复修改成本。识别的内容与范围包括：</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（1）国有金融资本经营年度报告书；</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（2）产权登记表-XXXXX有限公司;</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（3）监督检查登记表-XXXXX有限公司;</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（4）利润表_XXXXX有限公司;</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（5）营业执照-XXXXX有限公司;</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（6）资产负债表_XXXXX有限公司</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识别规则，比对各文件盖章情况，签报单位，标的公司名称、统一社会信用代码，以及相关财务数据与填报整理数据是否匹配等。</w:t>
            </w:r>
          </w:p>
        </w:tc>
      </w:tr>
      <w:tr w14:paraId="04DE85A5">
        <w:tblPrEx>
          <w:tblCellMar>
            <w:top w:w="0" w:type="dxa"/>
            <w:left w:w="108" w:type="dxa"/>
            <w:bottom w:w="0" w:type="dxa"/>
            <w:right w:w="108" w:type="dxa"/>
          </w:tblCellMar>
        </w:tblPrEx>
        <w:trPr>
          <w:trHeight w:val="27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3F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5</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9E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产权管理综合信息模块-产权登记管理-产权登记智能填报-逻辑校验与纠错</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AE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在用户填报数据的过程中，系统实时进行逻辑校验。根据高频事项规则库中设定的数据逻辑关系，对用户输入的数据进行逐一比对和验证。例如，检查股东出资比例之和是否等于 100%、产权登记日期是否在合理的时间范围内等。一旦发现数据逻辑错误，系统立即阻止用户继续提交表单，并详细列出错误信息，包括错误字段名称、错误原因和正确的数据范围。用户可根据提示及时修改数据，确保填报数据的准确性和完整性。</w:t>
            </w:r>
          </w:p>
        </w:tc>
      </w:tr>
      <w:tr w14:paraId="3279FDEC">
        <w:tblPrEx>
          <w:tblCellMar>
            <w:top w:w="0" w:type="dxa"/>
            <w:left w:w="108" w:type="dxa"/>
            <w:bottom w:w="0" w:type="dxa"/>
            <w:right w:w="108" w:type="dxa"/>
          </w:tblCellMar>
        </w:tblPrEx>
        <w:trPr>
          <w:trHeight w:val="27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C1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6</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7A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产权管理综合信息模块-产权登记管理-产权登记智能填报-RPA 流程升级与优化功能</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D7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本次建设拟引入流程可视化设计器，实现流程设计从“代码驱动”到“业务驱动”的转变，显著降低流程开发门槛，提升业务部门自主优化流程的能力。具体功能如下：</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（1）流程可视化设计器</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 提供图形化拖拽界面，支持用户通过可视化操作（如拖拽、连线、配置）快速设计、编辑及优化业务流程，无需编写代码即可完成流程建模。设计器内置丰富的流程组件库（如开始节点、审批节点、分支条件、并行网关、结束节点等），支持自定义节点属性（如审批人、处理时限、分支规则），并实时生成流程图预览，确保流程逻辑直观可验证。同时支持流程版本管理，可保存历史设计记录并回滚至任意版本，降低流程变更风险。</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（2）流程模板管理</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 内置标准化流程模板库（如合同审批、报销流程、资产处置等），支持用户直接调用模板并快速适配业务需求，减少重复设计工作。模板支持按行业、场景分类管理，并允许用户基于模板二次修改，保存为自定义模板供团队共享复用，提升流程设计效率与一致性。</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（3）提供流程仿真测试功能</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支持用户模拟流程执行过程（如输入测试数据、触发分支条件），实时查看流程流转路径、节点处理状态及耗时统计，验证流程逻辑是否符合预期。调试过程中可快速定位阻塞节点或异常分支，并直接在设计器中调整优化，减少上线后问题修复成本。</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根据业务变化和系统需求，对产权登记及业务审核流程进行升级，调整流程中的环节设置、操作步骤以及数据流转方式，以适应新的业务规则和管理要求，提高流程的灵活性和适应性，确保产权登记及业务审核工作能够高效、准确地开展。对金融企业年度监督检查审核业务流程进行调整，在企业侧添加“自动填报”、“自动审核”节点，确保其能够更好地适应产权登记管理业务的调整。</w:t>
            </w:r>
          </w:p>
        </w:tc>
      </w:tr>
      <w:tr w14:paraId="01E5DE1B">
        <w:tblPrEx>
          <w:tblCellMar>
            <w:top w:w="0" w:type="dxa"/>
            <w:left w:w="108" w:type="dxa"/>
            <w:bottom w:w="0" w:type="dxa"/>
            <w:right w:w="108" w:type="dxa"/>
          </w:tblCellMar>
        </w:tblPrEx>
        <w:trPr>
          <w:trHeight w:val="27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0F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7</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97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产权管理综合信息模块-产权登记管理-应登未登数据与产权信息查询数据对接-应登未登企业查询接口开发</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B0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（1）应登未登企业查询</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搭建应登未登数据与产权信息查询系统的数据对接桥梁，针对应登记而未登记的国家出资企业数据，开发专门的查询接口。该接口从应登未登数据库中精准提取相关企业信息，按照产权信息查询系统的数据格式和规范进行封装，确保产权信息查询系统能够稳定、准确地获取应登未登企业列表。用户在使用产权信息查询功能时，可通过该接口快速定位到应登未登的国家出资企业，提高信息查询的全面性和准确性,具体功能如下：</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1）数据提取功能</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设计定时与实时触发机制：在应登未登子系统中设置定时任务，每隔 1 小时自动扫描数据库，查找新录入或更新的应登记而未登记的国家出资企业数据。同时，支持实时触发机制，当有新的应登未登企业数据录入或现有数据发生变更时，立即启动数据提取流程。</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精准数据筛选处理：根据预设的筛选条件，企业类型（国家出资企业）、登记状态（应登未登）等，从应登未登数据库中精准提取符合条件的企业信息，包括企业名称、统一社会信用代码、法定代表人、注册资本、成立日期、所属行业等关键字段。</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2）数据封装功能</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数据格式转换：建立应登未登子系统与产权信息查询系统之间的数据映射规则，明确每个字段的对应关系，将提取的应登未登企业信息按照产权信息查询系统的数据格式和规范进行转换。例如，若产权信息查询系统要求日期格式为“YYYY-MM-DD”，而应登未登数据库中的日期格式为“DD/MM/YYYY”，则需要进行相应的格式转换。</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数据结构封装：把转换后的数据按照产权信息查询系统规定的接口数据结构进行封装。通常采用 JSON 或 XML 格式，将企业信息组织成特定的键值对结构。</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3）接口定义与开发</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系统数据对接后，开发专门的查询接口，定义清晰的请求和响应格式。请求参数包括查询条件（如企业名称模糊查询、统一社会信用代码精准匹配等），响应结果为封装好的应登未登企业列表数据，在数据传输过程中，采用 HTTPS 协议进行加密传输，确保数据在传输过程中的安全性，防止数据被窃取或篡改。同时，对接口进行身份认证，只有经过授权的产权信息查询系统才能调用该接口。</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（2）补充填报</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基于梳理后的标准化查询字段，开发应登未登字段补充填报功能。当用户在产权信息查询系统中查询到应登未登企业信息后，可通过该功能直接进入补充填报页面。页面按照标准字段进行布局，用户可根据实际情况填写或修改相关字段信息。系统对用户输入的数据进行实时校验，确保数据的合法性和准确性。填报完成后，数据自动保存至应登未登数据库。</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增加标签补充填报功能，根据企业填报的应登未登信息，增加标签标记与标签查询，随着企业登记信息的变化和业务的发展，系统提供标签补充填报，允许管理员对企业的标签类别和标签值进行标记等操作。对于已标记标签的企业，当其相关信息发生变化时，系统可根据预设规则自动更新标签，或者由业务人员手动进行调整，确保标签信息的准确性和时效性。</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增加应登记未登记企业确认过程填报，若企业因政策、前置审批等因素无法登记，可详细说明原因并附证明材料；若登记存在瑕疵，需指出问题并提供正确信息；若信息缺失，要列出缺失项并完整填写；若合规性材料缺失，应说明名称、原因及补交时间。企业填报后，系统将信息推送至相关部门审核反馈，助力相关部门及时掌握企业登记状况，采取针对性措施，推动企业登记工作规范、高效开展。</w:t>
            </w:r>
          </w:p>
        </w:tc>
      </w:tr>
      <w:tr w14:paraId="58A93297">
        <w:tblPrEx>
          <w:tblCellMar>
            <w:top w:w="0" w:type="dxa"/>
            <w:left w:w="108" w:type="dxa"/>
            <w:bottom w:w="0" w:type="dxa"/>
            <w:right w:w="108" w:type="dxa"/>
          </w:tblCellMar>
        </w:tblPrEx>
        <w:trPr>
          <w:trHeight w:val="27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6E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8</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82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产权管理综合信息模块-产权登记管理-混合所有制国有控股企业数据报表统计-字段提取处理与自动计算</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97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（1）字段提取处理与自动计算</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系统能够自动从企业数据中准确提取股权比例相关字段信息，包括国有股权比例、非国有股权比例以及各股东的具体持股比例等。对提取的股权比例数据进行规范化处理，统一数据格式和精度，确保数据的准确性和可比性。</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基于提取和梳理后的数据，系统具备自动计算统计功能。能够按照预设的统计规则和算法，对企业名单中的各项统计指标进行自动计算。</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（2）数据报表生成</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系统提供数据报表生成功能，支持用户根据不同的统计需求和展示目的，自定义报表字段。用户可以选择需要展示的统计指标、时间范围、企业范围等参数，系统自动从数据库中提取相关数据，并按照设定的格式生成报表。</w:t>
            </w:r>
          </w:p>
        </w:tc>
      </w:tr>
      <w:tr w14:paraId="643BC875">
        <w:tblPrEx>
          <w:tblCellMar>
            <w:top w:w="0" w:type="dxa"/>
            <w:left w:w="108" w:type="dxa"/>
            <w:bottom w:w="0" w:type="dxa"/>
            <w:right w:w="108" w:type="dxa"/>
          </w:tblCellMar>
        </w:tblPrEx>
        <w:trPr>
          <w:trHeight w:val="27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B5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9</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B6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产权管理综合信息模块-国家出资企业产权事项一网通办-一网通办办不成事对接-线上渠道</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72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（1）线上渠道</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市国资委国家出资企业产权登记事项办理提交前的申报页面中引入感知引导页，触发场景主要包括页面停留时间超时、页面提交前中途离开，引导到“办不成事”反映页面。对事项申报页面中“好差评”按钮调整为“反映办不成事”，并按照《“办不成事”反映对接技术规范》引导到“办不成事”反映页面。</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（2）办理跟踪</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对办理进行跟踪，支持登录“好差评管理系统”在“办不成事”反映模块查看用户反映本单位的“办不成事”反映办件。</w:t>
            </w:r>
          </w:p>
        </w:tc>
      </w:tr>
      <w:tr w14:paraId="1D788F3B">
        <w:tblPrEx>
          <w:tblCellMar>
            <w:top w:w="0" w:type="dxa"/>
            <w:left w:w="108" w:type="dxa"/>
            <w:bottom w:w="0" w:type="dxa"/>
            <w:right w:w="108" w:type="dxa"/>
          </w:tblCellMar>
        </w:tblPrEx>
        <w:trPr>
          <w:trHeight w:val="27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1F6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10</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5F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产权管理综合信息模块-国家出资企业产权事项一网通办-智能客服能力提升-客服知识库对接</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DF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（1）客服知识库对接</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与一网通办平台知识库对接，实现国家出资产权事项知识的覆盖：</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知识库框架：涵盖产权登记的各类业务场景、政策法规、审查标准等，确保知识库的全面性和系统性。组织专业团队对产权登记相关的审查要点进行梳理和录入，并建立定期更新机制，确保知识库内容与最新政策法规和业务流程保持同步。</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2）问答对构建：基于审查要点知识库，构建大量高质量的问答对，涵盖产权登记的常见问题、难点问题和政策解读等，为“小申”提供丰富的回答素材。</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3）对话管理：基于审查要点知识库，构建大量高质量的问答对，涵盖产权登记的常见问题、难点问题和政策解读等，为“小申”提供丰富的回答素材。</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4）热门问题更新：基于“办不成事”窗口高频问题，更新客服知识库。</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（2）办事流程引导</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根据用户意图和审查要点知识库，为“小申”配置办事流程引导功能，指导用户逐步完成产权登记的各项手续，减少用户操作难度。支持通过交互引导企业完成填报。</w:t>
            </w:r>
          </w:p>
        </w:tc>
      </w:tr>
    </w:tbl>
    <w:p w14:paraId="590715CD">
      <w:pPr>
        <w:ind w:firstLine="480"/>
        <w:rPr>
          <w:rFonts w:cs="Times New Roman"/>
        </w:rPr>
      </w:pPr>
    </w:p>
    <w:p w14:paraId="514E7FCE">
      <w:pPr>
        <w:ind w:firstLine="0" w:firstLineChars="0"/>
        <w:outlineLvl w:val="2"/>
        <w:rPr>
          <w:rFonts w:cs="Times New Roman"/>
          <w:b/>
          <w:sz w:val="28"/>
          <w:szCs w:val="28"/>
        </w:rPr>
      </w:pPr>
      <w:r>
        <w:rPr>
          <w:rFonts w:hint="eastAsia" w:cs="Times New Roman"/>
          <w:b/>
          <w:sz w:val="28"/>
          <w:szCs w:val="28"/>
        </w:rPr>
        <w:t>3.1.3 市国资委国资综合业务监管子系统-国有企业资产评估管理信息模块软件开发清单</w:t>
      </w:r>
    </w:p>
    <w:p w14:paraId="4B89D169">
      <w:pPr>
        <w:ind w:firstLine="480"/>
        <w:rPr>
          <w:rFonts w:cs="Times New Roman"/>
        </w:rPr>
      </w:pPr>
      <w:r>
        <w:rPr>
          <w:rFonts w:hint="eastAsia" w:cs="Times New Roman"/>
        </w:rPr>
        <w:t>本子系统建设内容包括系统预沟通模块、</w:t>
      </w:r>
      <w:r>
        <w:rPr>
          <w:rFonts w:hint="eastAsia" w:cs="Times New Roman"/>
          <w:lang w:val="en-US" w:eastAsia="zh-CN"/>
        </w:rPr>
        <w:t>资产评估两部分，共计10个功能</w:t>
      </w:r>
      <w:r>
        <w:rPr>
          <w:rFonts w:hint="eastAsia" w:cs="Times New Roman"/>
        </w:rPr>
        <w:t>点。</w:t>
      </w:r>
      <w:r>
        <w:rPr>
          <w:rFonts w:hint="eastAsia" w:cs="Times New Roman"/>
          <w:lang w:val="en-US" w:eastAsia="zh-CN"/>
        </w:rPr>
        <w:t>具体内容如下表：</w:t>
      </w:r>
    </w:p>
    <w:tbl>
      <w:tblPr>
        <w:tblStyle w:val="18"/>
        <w:tblW w:w="0" w:type="auto"/>
        <w:tblInd w:w="0" w:type="dxa"/>
        <w:tblLayout w:type="autofit"/>
        <w:tblCellMar>
          <w:top w:w="0" w:type="dxa"/>
          <w:left w:w="108" w:type="dxa"/>
          <w:bottom w:w="0" w:type="dxa"/>
          <w:right w:w="108" w:type="dxa"/>
        </w:tblCellMar>
      </w:tblPr>
      <w:tblGrid>
        <w:gridCol w:w="466"/>
        <w:gridCol w:w="1955"/>
        <w:gridCol w:w="6101"/>
      </w:tblGrid>
      <w:tr w14:paraId="3184B27C">
        <w:tblPrEx>
          <w:tblCellMar>
            <w:top w:w="0" w:type="dxa"/>
            <w:left w:w="108" w:type="dxa"/>
            <w:bottom w:w="0" w:type="dxa"/>
            <w:right w:w="108" w:type="dxa"/>
          </w:tblCellMar>
        </w:tblPrEx>
        <w:trPr>
          <w:trHeight w:val="2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5882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序号</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DD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功能名称</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07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功能描述</w:t>
            </w:r>
          </w:p>
        </w:tc>
      </w:tr>
      <w:tr w14:paraId="1CECBDD2">
        <w:tblPrEx>
          <w:tblCellMar>
            <w:top w:w="0" w:type="dxa"/>
            <w:left w:w="108" w:type="dxa"/>
            <w:bottom w:w="0" w:type="dxa"/>
            <w:right w:w="108" w:type="dxa"/>
          </w:tblCellMar>
        </w:tblPrEx>
        <w:trPr>
          <w:trHeight w:val="2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01B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1</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60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国有企业资产评估管理信息模块-系统预沟通模块</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36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收件人/发件人回复:当用户进入已发送预沟通列表，对于收件人未回复的预沟通，预沟通详情页面的【回复】按钮不再处于不可操作状态。用户点击【回复】按钮后，系统弹出预沟通编辑窗口，默认填充原预沟通内容和收件人信息，用户可以在窗口中撰写新的回复内容，如同正常撰写预沟通一样进行编辑、添加附件等操作，完成后点击发送，即可将再次回复的预沟通发送给收件人，大大提高了沟通的灵活性和及时性。</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收件人列表：在系统预沟通模块的预沟通发送页面，当用户点击选择收件人按钮时，升级后的系统默认展示的收件人列表仅包含评估处、东方通、专家库、区国资委、委托监管单位、上海市国资委这些与业务紧密相关的选项。系统通过筛选算法，排除其他不相关的用户或组织信息。如用户需要选择其他收件人，可以点击 “更多收件人” 按钮，展开完整的收件人列表进行查找和选择。</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（3）增删联系人：用户进入分组管理页面后，点击 “新建分组” 按钮，输入自定义的分组名称（如 “项目 A 沟通组”“紧急事务组” 等），通过搜索或勾选的方式将需要的联系人添加到新建分组中。对于已有的分组，用户可以根据实际需求进行删除操作，点击分组名称旁边的删除按钮，系统会提示确认删除信息，确认后即可删除该分组及其包含的联系人关系。在每个分组内部，用户还能随时添加新的联系人或删除已有的联系人。</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（4）添加消息标签：用户点击添加标签按钮，弹出标签编辑框，用户可以在框内输入自定义的标签内容，例如按照业务类型输入 “产权 / 评估”“项目融资” 等，也可以根据预沟通紧急程度输入 “紧急”“普通”，或者按照项目名称输入具体项目代号等。系统支持同时为一封预沟通添加多个不同维度的标签，添加完成后，预沟通会自动归类到相应标签分类下。用户在预沟通列表页面，可以通过点击标签快速筛选出具有相同标签的预沟通，方便查找和管理预沟通。</w:t>
            </w:r>
          </w:p>
        </w:tc>
      </w:tr>
      <w:tr w14:paraId="712D45E4">
        <w:tblPrEx>
          <w:tblCellMar>
            <w:top w:w="0" w:type="dxa"/>
            <w:left w:w="108" w:type="dxa"/>
            <w:bottom w:w="0" w:type="dxa"/>
            <w:right w:w="108" w:type="dxa"/>
          </w:tblCellMar>
        </w:tblPrEx>
        <w:trPr>
          <w:trHeight w:val="2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AF3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2</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20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国有企业资产评估管理信息模块-资产评估-备案/信息发布</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A8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（1）备案：</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审批流程增加：针对区国资委下级企业备案申请，需重新构建一套严谨的审批流程。研发团队要开发从企业填报开始，到区县国资委受理、审核、复核，再到科领导及委领导审批的全流程功能。包括设计系统自动流转机制，实现申请自动从企业端流转至受理环节；开发各环节信息记录功能，确保每个操作步骤和处理意见都能准确留存；设置严格的审核校验规则，保障审批过程的合规性。进行业务逻辑梳理、代码编写、多轮测试及优化调整，以保证审批透明规范、全程可溯。</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（2）信息发布</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特定项目数据导出：进行信息发布时，新增【导出】按钮，用户点击【导出】系统会导出本季度已备案项目、上季度暂缓发布项目（不含区国资委和委托监管企业项目）及其对应的户管名单，便于用户统计分析。在信息发布模块中，当用户点击【导出】按钮后，系统依据预设的筛选规则进行数据处理。系统从数据库中检索本季度已成功备案的项目数据，以及上季度标记为暂缓发布且不属于区国资委和委托监管企业的项目数据，并关联获取这些项目对应的户管名单数据。将这些数据按照特定的报表格式进行整理和汇总，生成一个包含：核准/备案编号、户管名称、项目名称(报告标题)、一级单位简称、一级单位全称、经济行为一级目录、经济行为二级目录、核准/备案类型、评估对象类型、账面值、评估结果、核准/备案日期、增值率、核准/备案日期的导出文件，文件格式是Excel。导出的文件内容准确、规范，方便用户进行数据统计分析，为企业决策提供有力的数据支持。</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在线编辑及发布：用户点击【导出】按钮完成数据导出后，可对导出报表进行编辑操作。编辑完成后，用户以修改后的报表内容作为最终确认发布的信息依据，实现信息发布的个性化调整与确认。在信息发布模块中，当用户完成数据导出后，系统自动进入在线编辑模式。系统提供了一个功能齐全的在线报表编辑界面，界面布局和操作方式类似于常见的电子表格软件。用户可以在编辑界面中对报表的内容进行修改，如调整户管名称、修改数据内容、添加或删除行列等。编辑过程中，系统实时保存用户的操作记录，防止数据丢失。编辑完成后，用户将编辑好的信息发布报表导入至信息发布业务中，系统将以修改后的报表内容作为最终信息发布的依据，将报表内容推送至信息发布平台，实现了信息发布的个性化定制，满足了不同用户和业务场景的多样化需求。</w:t>
            </w:r>
          </w:p>
        </w:tc>
      </w:tr>
      <w:tr w14:paraId="459D67F7">
        <w:tblPrEx>
          <w:tblCellMar>
            <w:top w:w="0" w:type="dxa"/>
            <w:left w:w="108" w:type="dxa"/>
            <w:bottom w:w="0" w:type="dxa"/>
            <w:right w:w="108" w:type="dxa"/>
          </w:tblCellMar>
        </w:tblPrEx>
        <w:trPr>
          <w:trHeight w:val="2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F3D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3</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8E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国有企业资产评估管理信息模块-资产评估-报表分析-评估管理树</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E9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（1）评估管理树与产权树对接</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①原功能：评估管理树与产权系统中的产权关系树相互独立，缺乏联动机制，导致企业信息在两个树状结构中无法实时同步，影响数据一致性和管理效率。</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②本次升级改造内容：结合产权管理树重新调研后升级改造评估管理树，与产权系统的产权树进行对接，建立产权管理树与产权关系树的联动机制，当产权树中相关企业节点发生变动时，评估系统内对应节点同步更新，确保两者一致。产权管理树专门用于数据统计。</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③细化功能描述：在系统中，评估简树和产权关系树是企业组织架构和业务关系的重要呈现方式。本次升级建立了两者之间的实时联动机制，系统通过实时数据监测技术，持续监控产权关系树的变化。一旦产权树中某个企业节点发生如企业股权变更、层级调整等变动时，系统立即捕捉这一变化信息，并通过数据映射和同步算法，自动在评估管理树中找到对应的节点进行同步更新。例如，若某企业在产权树中被调整到新的上级节点下，评估管理树中该企业的位置和层级也会相应改变，保证了两个树状结构中企业信息的一致性，方便企业进行统一管理和业务协同。</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为确保两个系统中企业信息一致，对评估管理树和产权关系树的各类数据结构、字段含义进行深度分析与匹配。针对不同类型的企业信息变动（如企业基本信息变更、业务关联关系调整等），制定详细的数据同步策略和异常处理机制。进行数据结构分析、策略制定及相关代码开发与测试，以保障数据在不同系统间准确、一致流转。</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（2）企业架构与权限管理</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本模块对企业相关架构及权限管理进行优化升级：权限管理：针对原企业配置及流程权限分配混乱问题，基于评估管理树层级结构和节点属性，构建全新企业配置及流程权限管理体系。依据评估管理树层级，为不同层级企业分配适配权限，高层级企业拥有更多系统配置权限，如自定义部分业务流程、设置数据查看范围；低层级企业权限相对受限。流程权限方面，各业务环节与评估简树企业节点对应，仅具备相应权限企业可参与，保障权限管理规范与业务流程安全。</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企业架构展示：为解决原系统企业层级架构展示缺失问题，在企业单位简树模块增设虚拟企业节点，构建以上海市为根节点，涵盖直接监管企业、委托监管企业、区国资委的层级体系。通过搭建该层级架构，系统可清晰呈现企业间隶属和监管关系，用户能直观了解企业在体系中位置、上下级单位情况，便于跨企业业务协同、资源调配与监管。同时，研发后台维护功能供运维使用，虽用户无感知，但保障了企业架构数据的准确与稳定 。</w:t>
            </w:r>
          </w:p>
        </w:tc>
      </w:tr>
      <w:tr w14:paraId="289D2F3B">
        <w:tblPrEx>
          <w:tblCellMar>
            <w:top w:w="0" w:type="dxa"/>
            <w:left w:w="108" w:type="dxa"/>
            <w:bottom w:w="0" w:type="dxa"/>
            <w:right w:w="108" w:type="dxa"/>
          </w:tblCellMar>
        </w:tblPrEx>
        <w:trPr>
          <w:trHeight w:val="2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AA44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4</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E1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国有企业资产评估管理信息模块-资产评估-报表分析-数据校验</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27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（1）数据校验</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1）数据统计基表搭建</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汇总各模块的统计指标（自定义查询、核准/备案统计表、评估机构排名表、项目汇总表），构建统一的数据统计基表。该基表将整合所有相关的统计数据，形成一个完整、规范的数据集合，所有的数据统计工作都将基于数据基表自检中的数据进行核验。通过这种方式，从源头上避免了因数据来源不一致而导致的数据差异问题，确保了各表每季度统计的项目总数保持一致，提高了数据的准确性和连贯性。</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2）数据统计基表自检</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在数据统计流程启动前，增加数据基表自检环节。通过编写专门的自检程序，对统计条件数据（如所属组织机构、时间范围、业务类型等）进行全面校准。</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自检程序将自动检查统计条件数据是否完整、准确，是否与评估组织机构树中的信息一致。如果发现数据存在问题，系统将及时发出警报，并提供详细的错误信息和修复建议，帮助用户快速解决问题，确保统计数据的质量。</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为了提高自检效率和准确性，设置灵活的自检参数和校验规则，用户可以根据实际需求进行自定义配置。同时，记录每次自检的结果和处理情况，形成完整的自检日志，便于后续的审计和追溯工作。</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（2）自定义查询、项目汇总、评估机构排名表、核准/备案项目统计表查询</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在上述表进行查询时，直接从数据统计基表中进行取数后展示。</w:t>
            </w:r>
          </w:p>
        </w:tc>
      </w:tr>
    </w:tbl>
    <w:p w14:paraId="062C5305">
      <w:pPr>
        <w:pStyle w:val="3"/>
        <w:numPr>
          <w:ilvl w:val="0"/>
          <w:numId w:val="0"/>
        </w:numPr>
        <w:jc w:val="left"/>
        <w:rPr>
          <w:rFonts w:cs="Times New Roman"/>
        </w:rPr>
      </w:pPr>
      <w:r>
        <w:rPr>
          <w:rFonts w:hint="eastAsia" w:cs="Times New Roman"/>
        </w:rPr>
        <w:t>3.2 硬件购置清单</w:t>
      </w:r>
    </w:p>
    <w:p w14:paraId="6D798828">
      <w:pPr>
        <w:ind w:firstLine="480"/>
        <w:rPr>
          <w:rFonts w:cs="Times New Roman"/>
        </w:rPr>
      </w:pPr>
      <w:r>
        <w:rPr>
          <w:rFonts w:hint="eastAsia" w:cs="Times New Roman"/>
        </w:rPr>
        <w:t>本项目不涉及硬件购置。</w:t>
      </w:r>
    </w:p>
    <w:p w14:paraId="6A696036">
      <w:pPr>
        <w:pStyle w:val="3"/>
        <w:numPr>
          <w:ilvl w:val="0"/>
          <w:numId w:val="0"/>
        </w:numPr>
        <w:rPr>
          <w:rFonts w:cs="Times New Roman"/>
        </w:rPr>
      </w:pPr>
      <w:r>
        <w:rPr>
          <w:rFonts w:hint="eastAsia" w:cs="Times New Roman"/>
        </w:rPr>
        <w:t>3.3 产品软件购置清单</w:t>
      </w:r>
    </w:p>
    <w:p w14:paraId="679CF738">
      <w:pPr>
        <w:ind w:firstLine="480"/>
        <w:rPr>
          <w:rFonts w:cs="Times New Roman"/>
        </w:rPr>
      </w:pPr>
      <w:r>
        <w:rPr>
          <w:rFonts w:hint="eastAsia" w:cs="Times New Roman"/>
        </w:rPr>
        <w:t>本项目不涉及产品软件购置。</w:t>
      </w:r>
    </w:p>
    <w:p w14:paraId="0BC50600">
      <w:pPr>
        <w:pStyle w:val="3"/>
        <w:numPr>
          <w:ilvl w:val="0"/>
          <w:numId w:val="0"/>
        </w:numPr>
        <w:rPr>
          <w:rFonts w:cs="Times New Roman"/>
        </w:rPr>
      </w:pPr>
      <w:r>
        <w:rPr>
          <w:rFonts w:hint="eastAsia" w:cs="Times New Roman"/>
        </w:rPr>
        <w:t>3.4 安全产品购置清单</w:t>
      </w:r>
    </w:p>
    <w:p w14:paraId="2083DBA2">
      <w:pPr>
        <w:ind w:firstLine="480"/>
        <w:rPr>
          <w:rFonts w:hint="eastAsia" w:cs="Times New Roman"/>
        </w:rPr>
      </w:pPr>
      <w:r>
        <w:rPr>
          <w:rFonts w:hint="eastAsia" w:cs="Times New Roman"/>
        </w:rPr>
        <w:t>本项目不涉及安全产品购置。</w:t>
      </w:r>
    </w:p>
    <w:p w14:paraId="4336B1CB">
      <w:pPr>
        <w:pStyle w:val="3"/>
        <w:numPr>
          <w:ilvl w:val="0"/>
          <w:numId w:val="0"/>
        </w:numPr>
        <w:rPr>
          <w:rFonts w:cs="Times New Roman"/>
        </w:rPr>
      </w:pPr>
      <w:r>
        <w:rPr>
          <w:rFonts w:hint="eastAsia" w:cs="Times New Roman"/>
        </w:rPr>
        <w:t>3.</w:t>
      </w:r>
      <w:r>
        <w:rPr>
          <w:rFonts w:hint="eastAsia" w:cs="Times New Roman"/>
          <w:lang w:val="en-US" w:eastAsia="zh-CN"/>
        </w:rPr>
        <w:t>5</w:t>
      </w:r>
      <w:r>
        <w:rPr>
          <w:rFonts w:hint="eastAsia" w:cs="Times New Roman"/>
        </w:rPr>
        <w:t xml:space="preserve"> </w:t>
      </w:r>
      <w:r>
        <w:rPr>
          <w:rFonts w:hint="eastAsia" w:cs="Times New Roman"/>
          <w:lang w:val="en-US" w:eastAsia="zh-CN"/>
        </w:rPr>
        <w:t>数据服务</w:t>
      </w:r>
      <w:r>
        <w:rPr>
          <w:rFonts w:hint="eastAsia" w:cs="Times New Roman"/>
        </w:rPr>
        <w:t>清单</w:t>
      </w:r>
    </w:p>
    <w:p w14:paraId="5D87641C">
      <w:pPr>
        <w:ind w:firstLine="480"/>
        <w:rPr>
          <w:rFonts w:hint="eastAsia" w:cs="Times New Roman"/>
        </w:rPr>
      </w:pPr>
      <w:r>
        <w:rPr>
          <w:rFonts w:hint="eastAsia" w:cs="Times New Roman"/>
        </w:rPr>
        <w:t>本项目不涉及</w:t>
      </w:r>
      <w:r>
        <w:rPr>
          <w:rFonts w:hint="eastAsia" w:cs="Times New Roman"/>
          <w:lang w:val="en-US" w:eastAsia="zh-CN"/>
        </w:rPr>
        <w:t>数据服务</w:t>
      </w:r>
      <w:r>
        <w:rPr>
          <w:rFonts w:hint="eastAsia" w:cs="Times New Roman"/>
        </w:rPr>
        <w:t>。</w:t>
      </w:r>
    </w:p>
    <w:p w14:paraId="7503EC46">
      <w:pPr>
        <w:pStyle w:val="2"/>
      </w:pPr>
      <w:r>
        <w:t>电子政务云资源需求</w:t>
      </w:r>
      <w:bookmarkEnd w:id="3"/>
    </w:p>
    <w:p w14:paraId="328C2DDF">
      <w:pPr>
        <w:ind w:firstLine="480"/>
        <w:rPr>
          <w:rFonts w:cs="Times New Roman"/>
        </w:rPr>
      </w:pPr>
      <w:r>
        <w:rPr>
          <w:rFonts w:hint="eastAsia" w:cs="Times New Roman"/>
        </w:rPr>
        <w:t>本项目拟向上海市政务云申请</w:t>
      </w:r>
      <w:r>
        <w:rPr>
          <w:rFonts w:hint="eastAsia" w:cs="Times New Roman"/>
          <w:lang w:val="en-US" w:eastAsia="zh-CN"/>
        </w:rPr>
        <w:t>7</w:t>
      </w:r>
      <w:r>
        <w:rPr>
          <w:rFonts w:hint="eastAsia" w:cs="Times New Roman"/>
        </w:rPr>
        <w:t>台虚拟机资源</w:t>
      </w:r>
      <w:r>
        <w:rPr>
          <w:rFonts w:hint="eastAsia" w:cs="Times New Roman"/>
          <w:lang w:eastAsia="zh-CN"/>
        </w:rPr>
        <w:t>，</w:t>
      </w:r>
      <w:r>
        <w:rPr>
          <w:rFonts w:hint="eastAsia" w:cs="Times New Roman"/>
        </w:rPr>
        <w:t>共计</w:t>
      </w:r>
      <w:r>
        <w:rPr>
          <w:rFonts w:hint="eastAsia" w:cs="Times New Roman"/>
          <w:lang w:val="en-US" w:eastAsia="zh-CN"/>
        </w:rPr>
        <w:t>5</w:t>
      </w:r>
      <w:r>
        <w:rPr>
          <w:rFonts w:hint="eastAsia" w:cs="Times New Roman"/>
        </w:rPr>
        <w:t>6核CPU、</w:t>
      </w:r>
      <w:r>
        <w:rPr>
          <w:rFonts w:hint="eastAsia" w:cs="Times New Roman"/>
          <w:lang w:val="en-US" w:eastAsia="zh-CN"/>
        </w:rPr>
        <w:t>136</w:t>
      </w:r>
      <w:r>
        <w:rPr>
          <w:rFonts w:hint="eastAsia" w:cs="Times New Roman"/>
        </w:rPr>
        <w:t>G内存、</w:t>
      </w:r>
      <w:r>
        <w:rPr>
          <w:rFonts w:hint="eastAsia" w:cs="Times New Roman"/>
          <w:lang w:val="en-US" w:eastAsia="zh-CN"/>
        </w:rPr>
        <w:t>5600</w:t>
      </w:r>
      <w:r>
        <w:rPr>
          <w:rFonts w:hint="eastAsia" w:cs="Times New Roman"/>
        </w:rPr>
        <w:t>G虚机存储。配套申请操作系统</w:t>
      </w:r>
      <w:r>
        <w:rPr>
          <w:rFonts w:hint="eastAsia" w:cs="Times New Roman"/>
          <w:lang w:val="en-US" w:eastAsia="zh-CN"/>
        </w:rPr>
        <w:t>7</w:t>
      </w:r>
      <w:r>
        <w:rPr>
          <w:rFonts w:hint="eastAsia" w:cs="Times New Roman"/>
        </w:rPr>
        <w:t>套、中间件4套、数据库</w:t>
      </w:r>
      <w:r>
        <w:rPr>
          <w:rFonts w:hint="eastAsia" w:cs="Times New Roman"/>
          <w:lang w:val="en-US" w:eastAsia="zh-CN"/>
        </w:rPr>
        <w:t>3</w:t>
      </w:r>
      <w:r>
        <w:rPr>
          <w:rFonts w:hint="eastAsia" w:cs="Times New Roman"/>
        </w:rPr>
        <w:t>套</w:t>
      </w:r>
      <w:r>
        <w:rPr>
          <w:rFonts w:hint="eastAsia" w:cs="Times New Roman"/>
          <w:lang w:eastAsia="zh-CN"/>
        </w:rPr>
        <w:t>、身份认证服务</w:t>
      </w:r>
      <w:r>
        <w:rPr>
          <w:rFonts w:hint="eastAsia" w:cs="Times New Roman"/>
          <w:lang w:val="en-US" w:eastAsia="zh-CN"/>
        </w:rPr>
        <w:t>-</w:t>
      </w:r>
      <w:r>
        <w:rPr>
          <w:rFonts w:hint="eastAsia" w:cs="Times New Roman"/>
          <w:lang w:eastAsia="zh-CN"/>
        </w:rPr>
        <w:t>个人多源认证</w:t>
      </w:r>
      <w:r>
        <w:rPr>
          <w:rFonts w:hint="eastAsia" w:cs="Times New Roman"/>
          <w:lang w:eastAsia="zh-CN"/>
        </w:rPr>
        <w:tab/>
      </w:r>
      <w:r>
        <w:rPr>
          <w:rFonts w:hint="eastAsia" w:cs="Times New Roman"/>
          <w:lang w:eastAsia="zh-CN"/>
        </w:rPr>
        <w:tab/>
      </w:r>
      <w:r>
        <w:rPr>
          <w:rFonts w:hint="eastAsia" w:cs="Times New Roman"/>
          <w:lang w:eastAsia="zh-CN"/>
        </w:rPr>
        <w:tab/>
      </w:r>
      <w:r>
        <w:rPr>
          <w:rFonts w:hint="eastAsia" w:cs="Times New Roman"/>
          <w:lang w:val="en-US" w:eastAsia="zh-CN"/>
        </w:rPr>
        <w:t>2000次、</w:t>
      </w:r>
      <w:r>
        <w:rPr>
          <w:rFonts w:hint="eastAsia" w:cs="Times New Roman"/>
          <w:lang w:eastAsia="zh-CN"/>
        </w:rPr>
        <w:t>短信服务</w:t>
      </w:r>
      <w:r>
        <w:rPr>
          <w:rFonts w:hint="eastAsia" w:cs="Times New Roman"/>
          <w:lang w:eastAsia="zh-CN"/>
        </w:rPr>
        <w:tab/>
      </w:r>
      <w:r>
        <w:rPr>
          <w:rFonts w:hint="eastAsia" w:cs="Times New Roman"/>
          <w:lang w:eastAsia="zh-CN"/>
        </w:rPr>
        <w:tab/>
      </w:r>
      <w:r>
        <w:rPr>
          <w:rFonts w:hint="eastAsia" w:cs="Times New Roman"/>
          <w:lang w:eastAsia="zh-CN"/>
        </w:rPr>
        <w:tab/>
      </w:r>
      <w:r>
        <w:rPr>
          <w:rFonts w:hint="eastAsia" w:cs="Times New Roman"/>
          <w:lang w:eastAsia="zh-CN"/>
        </w:rPr>
        <w:t>100000</w:t>
      </w:r>
      <w:r>
        <w:rPr>
          <w:rFonts w:hint="eastAsia" w:cs="Times New Roman"/>
          <w:lang w:val="en-US" w:eastAsia="zh-CN"/>
        </w:rPr>
        <w:t>条、</w:t>
      </w:r>
      <w:r>
        <w:rPr>
          <w:rFonts w:hint="eastAsia" w:cs="Times New Roman"/>
          <w:lang w:eastAsia="zh-CN"/>
        </w:rPr>
        <w:t>安全防病毒(服务器端)</w:t>
      </w:r>
      <w:r>
        <w:rPr>
          <w:rFonts w:hint="eastAsia" w:cs="Times New Roman"/>
          <w:lang w:eastAsia="zh-CN"/>
        </w:rPr>
        <w:tab/>
      </w:r>
      <w:r>
        <w:rPr>
          <w:rFonts w:hint="eastAsia" w:cs="Times New Roman"/>
          <w:lang w:eastAsia="zh-CN"/>
        </w:rPr>
        <w:tab/>
      </w:r>
      <w:r>
        <w:rPr>
          <w:rFonts w:hint="eastAsia" w:cs="Times New Roman"/>
          <w:lang w:eastAsia="zh-CN"/>
        </w:rPr>
        <w:tab/>
      </w:r>
      <w:r>
        <w:rPr>
          <w:rFonts w:hint="eastAsia" w:cs="Times New Roman"/>
          <w:lang w:val="en-US" w:eastAsia="zh-CN"/>
        </w:rPr>
        <w:t>7套、</w:t>
      </w:r>
      <w:r>
        <w:rPr>
          <w:rFonts w:hint="eastAsia" w:cs="Times New Roman"/>
          <w:lang w:eastAsia="zh-CN"/>
        </w:rPr>
        <w:t>安全认证网关服务</w:t>
      </w:r>
      <w:r>
        <w:rPr>
          <w:rFonts w:hint="eastAsia" w:cs="Times New Roman"/>
          <w:lang w:eastAsia="zh-CN"/>
        </w:rPr>
        <w:tab/>
      </w:r>
      <w:r>
        <w:rPr>
          <w:rFonts w:hint="eastAsia" w:cs="Times New Roman"/>
          <w:lang w:eastAsia="zh-CN"/>
        </w:rPr>
        <w:tab/>
      </w:r>
      <w:r>
        <w:rPr>
          <w:rFonts w:hint="eastAsia" w:cs="Times New Roman"/>
          <w:lang w:eastAsia="zh-CN"/>
        </w:rPr>
        <w:tab/>
      </w:r>
      <w:r>
        <w:rPr>
          <w:rFonts w:hint="eastAsia" w:cs="Times New Roman"/>
          <w:lang w:val="en-US" w:eastAsia="zh-CN"/>
        </w:rPr>
        <w:t>2套、</w:t>
      </w:r>
      <w:r>
        <w:rPr>
          <w:rFonts w:hint="eastAsia" w:cs="Times New Roman"/>
          <w:lang w:eastAsia="zh-CN"/>
        </w:rPr>
        <w:t>签名验签服务</w:t>
      </w:r>
      <w:r>
        <w:rPr>
          <w:rFonts w:hint="eastAsia" w:cs="Times New Roman"/>
          <w:lang w:eastAsia="zh-CN"/>
        </w:rPr>
        <w:tab/>
      </w:r>
      <w:r>
        <w:rPr>
          <w:rFonts w:hint="eastAsia" w:cs="Times New Roman"/>
          <w:lang w:eastAsia="zh-CN"/>
        </w:rPr>
        <w:tab/>
      </w:r>
      <w:r>
        <w:rPr>
          <w:rFonts w:hint="eastAsia" w:cs="Times New Roman"/>
          <w:lang w:eastAsia="zh-CN"/>
        </w:rPr>
        <w:tab/>
      </w:r>
      <w:r>
        <w:rPr>
          <w:rFonts w:hint="eastAsia" w:cs="Times New Roman"/>
          <w:lang w:val="en-US" w:eastAsia="zh-CN"/>
        </w:rPr>
        <w:t>2套、</w:t>
      </w:r>
      <w:r>
        <w:rPr>
          <w:rFonts w:hint="eastAsia" w:cs="Times New Roman"/>
          <w:lang w:eastAsia="zh-CN"/>
        </w:rPr>
        <w:t>可信密码服务</w:t>
      </w:r>
      <w:r>
        <w:rPr>
          <w:rFonts w:hint="eastAsia" w:cs="Times New Roman"/>
          <w:lang w:eastAsia="zh-CN"/>
        </w:rPr>
        <w:tab/>
      </w:r>
      <w:r>
        <w:rPr>
          <w:rFonts w:hint="eastAsia" w:cs="Times New Roman"/>
          <w:lang w:eastAsia="zh-CN"/>
        </w:rPr>
        <w:tab/>
      </w:r>
      <w:r>
        <w:rPr>
          <w:rFonts w:hint="eastAsia" w:cs="Times New Roman"/>
          <w:lang w:eastAsia="zh-CN"/>
        </w:rPr>
        <w:tab/>
      </w:r>
      <w:r>
        <w:rPr>
          <w:rFonts w:hint="eastAsia" w:cs="Times New Roman"/>
          <w:lang w:val="en-US" w:eastAsia="zh-CN"/>
        </w:rPr>
        <w:t>2应用、</w:t>
      </w:r>
      <w:r>
        <w:rPr>
          <w:rFonts w:hint="eastAsia" w:cs="Times New Roman"/>
          <w:lang w:eastAsia="zh-CN"/>
        </w:rPr>
        <w:t>数字证书服务 - SSL证书-通配符</w:t>
      </w:r>
      <w:r>
        <w:rPr>
          <w:rFonts w:hint="eastAsia" w:cs="Times New Roman"/>
          <w:lang w:eastAsia="zh-CN"/>
        </w:rPr>
        <w:tab/>
      </w:r>
      <w:r>
        <w:rPr>
          <w:rFonts w:hint="eastAsia" w:cs="Times New Roman"/>
          <w:lang w:eastAsia="zh-CN"/>
        </w:rPr>
        <w:tab/>
      </w:r>
      <w:r>
        <w:rPr>
          <w:rFonts w:hint="eastAsia" w:cs="Times New Roman"/>
          <w:lang w:eastAsia="zh-CN"/>
        </w:rPr>
        <w:tab/>
      </w:r>
      <w:r>
        <w:rPr>
          <w:rFonts w:hint="eastAsia" w:cs="Times New Roman"/>
          <w:lang w:val="en-US" w:eastAsia="zh-CN"/>
        </w:rPr>
        <w:t>2张、</w:t>
      </w:r>
      <w:r>
        <w:rPr>
          <w:rFonts w:hint="eastAsia" w:cs="Times New Roman"/>
          <w:lang w:eastAsia="zh-CN"/>
        </w:rPr>
        <w:t>数字证书服务 - SSL证书-单域名</w:t>
      </w:r>
      <w:r>
        <w:rPr>
          <w:rFonts w:hint="eastAsia" w:cs="Times New Roman"/>
          <w:lang w:eastAsia="zh-CN"/>
        </w:rPr>
        <w:tab/>
      </w:r>
      <w:r>
        <w:rPr>
          <w:rFonts w:hint="eastAsia" w:cs="Times New Roman"/>
          <w:lang w:eastAsia="zh-CN"/>
        </w:rPr>
        <w:tab/>
      </w:r>
      <w:r>
        <w:rPr>
          <w:rFonts w:hint="eastAsia" w:cs="Times New Roman"/>
          <w:lang w:eastAsia="zh-CN"/>
        </w:rPr>
        <w:tab/>
      </w:r>
      <w:r>
        <w:rPr>
          <w:rFonts w:hint="eastAsia" w:cs="Times New Roman"/>
          <w:lang w:val="en-US" w:eastAsia="zh-CN"/>
        </w:rPr>
        <w:t>2张</w:t>
      </w:r>
      <w:r>
        <w:rPr>
          <w:rFonts w:hint="eastAsia" w:cs="Times New Roman"/>
        </w:rPr>
        <w:t>。</w:t>
      </w:r>
      <w:bookmarkStart w:id="5" w:name="_Hlk182296798"/>
    </w:p>
    <w:bookmarkEnd w:id="5"/>
    <w:p w14:paraId="46C881FA">
      <w:pPr>
        <w:pStyle w:val="2"/>
      </w:pPr>
      <w:bookmarkStart w:id="6" w:name="_Toc63785503"/>
      <w:r>
        <w:t>其他工作要求</w:t>
      </w:r>
      <w:bookmarkEnd w:id="6"/>
    </w:p>
    <w:p w14:paraId="152F35FB">
      <w:pPr>
        <w:pStyle w:val="3"/>
        <w:rPr>
          <w:rFonts w:cs="Times New Roman"/>
        </w:rPr>
      </w:pPr>
      <w:bookmarkStart w:id="7" w:name="_Toc63785505"/>
      <w:r>
        <w:rPr>
          <w:rFonts w:cs="Times New Roman"/>
        </w:rPr>
        <w:t>售后服务要求</w:t>
      </w:r>
      <w:bookmarkEnd w:id="7"/>
    </w:p>
    <w:p w14:paraId="4F368FB6">
      <w:pPr>
        <w:pStyle w:val="31"/>
        <w:snapToGrid w:val="0"/>
        <w:spacing w:line="360" w:lineRule="auto"/>
        <w:ind w:firstLine="480"/>
        <w:rPr>
          <w:rFonts w:cs="Times New Roman"/>
          <w:sz w:val="24"/>
          <w:szCs w:val="24"/>
        </w:rPr>
      </w:pPr>
      <w:r>
        <w:rPr>
          <w:rFonts w:hint="eastAsia" w:cs="Times New Roman"/>
          <w:sz w:val="24"/>
          <w:szCs w:val="24"/>
        </w:rPr>
        <w:t>本项目从系统验收通过之日起1年内提供7*24小时免费技术支持和售后服务，1年后进入有偿维护期。</w:t>
      </w:r>
    </w:p>
    <w:p w14:paraId="7B34156D">
      <w:pPr>
        <w:pStyle w:val="31"/>
        <w:snapToGrid w:val="0"/>
        <w:spacing w:line="360" w:lineRule="auto"/>
        <w:ind w:firstLine="480"/>
        <w:rPr>
          <w:rFonts w:cs="Times New Roman"/>
          <w:sz w:val="24"/>
          <w:szCs w:val="24"/>
        </w:rPr>
      </w:pPr>
      <w:r>
        <w:rPr>
          <w:rFonts w:hint="eastAsia" w:cs="Times New Roman"/>
          <w:sz w:val="24"/>
          <w:szCs w:val="24"/>
        </w:rPr>
        <w:t>在质量保证期内，供应商将按照售后服务的承诺提供保修和运行维护服务，如果厂商对信息系统中软、硬件设备等产品中的部分保修期超过上述期限的，则按照厂商的规定进行免费保修。</w:t>
      </w:r>
    </w:p>
    <w:p w14:paraId="1826EE69">
      <w:pPr>
        <w:pStyle w:val="31"/>
        <w:snapToGrid w:val="0"/>
        <w:spacing w:line="360" w:lineRule="auto"/>
        <w:ind w:firstLine="480"/>
        <w:rPr>
          <w:rFonts w:cs="Times New Roman"/>
          <w:sz w:val="24"/>
          <w:szCs w:val="24"/>
        </w:rPr>
      </w:pPr>
      <w:r>
        <w:rPr>
          <w:rFonts w:hint="eastAsia" w:cs="Times New Roman"/>
          <w:sz w:val="24"/>
          <w:szCs w:val="24"/>
        </w:rPr>
        <w:t>在质量保证期内，供应商负责信息系统的运行维护工作，确保信息系统安全、稳定、可靠地运行。本项目涉及的运行维护工作范围为：</w:t>
      </w:r>
      <w:r>
        <w:rPr>
          <w:rFonts w:hint="eastAsia" w:cs="Times New Roman"/>
          <w:sz w:val="24"/>
          <w:szCs w:val="24"/>
          <w:lang w:val="en-US" w:eastAsia="zh-CN"/>
        </w:rPr>
        <w:t>集体企业产权登记子系统、市国资委国资综合业务监管子系统的</w:t>
      </w:r>
      <w:r>
        <w:rPr>
          <w:rFonts w:hint="eastAsia" w:cs="Times New Roman"/>
          <w:sz w:val="24"/>
          <w:szCs w:val="24"/>
        </w:rPr>
        <w:t>相关事项。</w:t>
      </w:r>
    </w:p>
    <w:p w14:paraId="2894F6B5">
      <w:pPr>
        <w:pStyle w:val="3"/>
        <w:rPr>
          <w:rFonts w:cs="Times New Roman"/>
        </w:rPr>
      </w:pPr>
      <w:bookmarkStart w:id="8" w:name="_Toc63785506"/>
      <w:r>
        <w:rPr>
          <w:rFonts w:cs="Times New Roman"/>
        </w:rPr>
        <w:t>应急响应要求</w:t>
      </w:r>
      <w:bookmarkEnd w:id="8"/>
    </w:p>
    <w:p w14:paraId="75C938F2">
      <w:pPr>
        <w:pStyle w:val="31"/>
        <w:snapToGrid w:val="0"/>
        <w:spacing w:line="360" w:lineRule="auto"/>
        <w:ind w:firstLine="480"/>
        <w:rPr>
          <w:rFonts w:cs="Times New Roman"/>
          <w:sz w:val="24"/>
          <w:szCs w:val="24"/>
        </w:rPr>
      </w:pPr>
      <w:r>
        <w:rPr>
          <w:rFonts w:cs="Times New Roman"/>
          <w:sz w:val="24"/>
          <w:szCs w:val="24"/>
        </w:rPr>
        <w:t>供应商对系统故障应能够实时响应，若系统发生故障，接到通知后30分钟之内响应，专业工程师2小时内到达现场。特殊故障与客户沟通协商后，按照协商的方式制定解决方案并进行处理。</w:t>
      </w:r>
    </w:p>
    <w:p w14:paraId="439A88C9">
      <w:pPr>
        <w:pStyle w:val="31"/>
        <w:snapToGrid w:val="0"/>
        <w:spacing w:line="360" w:lineRule="auto"/>
        <w:ind w:firstLine="480"/>
        <w:rPr>
          <w:rFonts w:cs="Times New Roman"/>
          <w:sz w:val="24"/>
          <w:szCs w:val="24"/>
        </w:rPr>
      </w:pPr>
      <w:r>
        <w:rPr>
          <w:rFonts w:cs="Times New Roman"/>
          <w:sz w:val="24"/>
          <w:szCs w:val="24"/>
        </w:rPr>
        <w:t>具体故障级别及对应的应急响应要求如下：</w:t>
      </w:r>
    </w:p>
    <w:p w14:paraId="1A7E5E04">
      <w:pPr>
        <w:pStyle w:val="31"/>
        <w:snapToGrid w:val="0"/>
        <w:spacing w:line="360" w:lineRule="auto"/>
        <w:ind w:firstLine="480"/>
        <w:rPr>
          <w:rFonts w:cs="Times New Roman"/>
          <w:sz w:val="24"/>
          <w:szCs w:val="24"/>
        </w:rPr>
      </w:pPr>
      <w:r>
        <w:rPr>
          <w:rFonts w:cs="Times New Roman"/>
          <w:sz w:val="24"/>
          <w:szCs w:val="24"/>
        </w:rPr>
        <w:t>一级故障：在1小时内确诊，总故障解决时间不超过4小时。</w:t>
      </w:r>
    </w:p>
    <w:p w14:paraId="7CE96E81">
      <w:pPr>
        <w:pStyle w:val="31"/>
        <w:snapToGrid w:val="0"/>
        <w:spacing w:line="360" w:lineRule="auto"/>
        <w:ind w:firstLine="480"/>
        <w:rPr>
          <w:rFonts w:cs="Times New Roman"/>
          <w:sz w:val="24"/>
          <w:szCs w:val="24"/>
        </w:rPr>
      </w:pPr>
      <w:r>
        <w:rPr>
          <w:rFonts w:cs="Times New Roman"/>
          <w:sz w:val="24"/>
          <w:szCs w:val="24"/>
        </w:rPr>
        <w:t>二级故障：在2小时内确诊，并在4小时内由专家到达现场确诊并解决，总故障解决时间不超过8小时；</w:t>
      </w:r>
    </w:p>
    <w:p w14:paraId="22414DC4">
      <w:pPr>
        <w:pStyle w:val="31"/>
        <w:snapToGrid w:val="0"/>
        <w:spacing w:line="360" w:lineRule="auto"/>
        <w:ind w:firstLine="480"/>
        <w:rPr>
          <w:rFonts w:cs="Times New Roman"/>
          <w:sz w:val="24"/>
          <w:szCs w:val="24"/>
        </w:rPr>
      </w:pPr>
      <w:r>
        <w:rPr>
          <w:rFonts w:cs="Times New Roman"/>
          <w:sz w:val="24"/>
          <w:szCs w:val="24"/>
        </w:rPr>
        <w:t>三、四级故障：在4小时内确诊故障，总故障解决时间不超过16小时。</w:t>
      </w:r>
    </w:p>
    <w:p w14:paraId="3E511844">
      <w:pPr>
        <w:pStyle w:val="3"/>
        <w:rPr>
          <w:rFonts w:cs="Times New Roman"/>
        </w:rPr>
      </w:pPr>
      <w:bookmarkStart w:id="9" w:name="_Toc63785507"/>
      <w:r>
        <w:rPr>
          <w:rFonts w:cs="Times New Roman"/>
        </w:rPr>
        <w:t>培训要求</w:t>
      </w:r>
      <w:bookmarkEnd w:id="9"/>
    </w:p>
    <w:p w14:paraId="481CCE28">
      <w:pPr>
        <w:ind w:firstLine="480"/>
        <w:rPr>
          <w:rFonts w:cs="Times New Roman"/>
        </w:rPr>
      </w:pPr>
      <w:r>
        <w:rPr>
          <w:rFonts w:cs="Times New Roman"/>
        </w:rPr>
        <w:t>对系统使用单位提供业务操作培训，应提供详细培训方案。</w:t>
      </w:r>
    </w:p>
    <w:p w14:paraId="141DAC20">
      <w:pPr>
        <w:ind w:firstLine="480"/>
        <w:rPr>
          <w:rFonts w:cs="Times New Roman"/>
        </w:rPr>
      </w:pPr>
      <w:r>
        <w:rPr>
          <w:rFonts w:cs="Times New Roman"/>
        </w:rPr>
        <w:t>1、提供</w:t>
      </w:r>
      <w:r>
        <w:rPr>
          <w:rFonts w:hint="eastAsia" w:cs="Times New Roman"/>
        </w:rPr>
        <w:t>至少</w:t>
      </w:r>
      <w:r>
        <w:rPr>
          <w:rFonts w:cs="Times New Roman"/>
        </w:rPr>
        <w:t>2次与项目相关的必要培训。</w:t>
      </w:r>
    </w:p>
    <w:p w14:paraId="51610810">
      <w:pPr>
        <w:ind w:firstLine="480"/>
        <w:rPr>
          <w:rFonts w:cs="Times New Roman"/>
        </w:rPr>
      </w:pPr>
      <w:r>
        <w:rPr>
          <w:rFonts w:cs="Times New Roman"/>
        </w:rPr>
        <w:t>2、供应商需要开展分层次的人员培训工作，每次培训后应对参加培训人员进行测试，评估培训成果。培训应具有培训教材、培训环境和高水平的培训讲师。</w:t>
      </w:r>
    </w:p>
    <w:p w14:paraId="127F2FBF">
      <w:pPr>
        <w:ind w:firstLine="480"/>
        <w:rPr>
          <w:rFonts w:cs="Times New Roman"/>
        </w:rPr>
      </w:pPr>
      <w:r>
        <w:rPr>
          <w:rFonts w:cs="Times New Roman"/>
        </w:rPr>
        <w:t>3、供应商应提供一般用户的基础操作培训和部门信息管理员的日常应用维护的培训，确保用户对象能够掌握对应的操作技能。</w:t>
      </w:r>
    </w:p>
    <w:p w14:paraId="34577560">
      <w:pPr>
        <w:pStyle w:val="3"/>
        <w:rPr>
          <w:rFonts w:cs="Times New Roman"/>
        </w:rPr>
      </w:pPr>
      <w:bookmarkStart w:id="10" w:name="_Toc63785509"/>
      <w:r>
        <w:rPr>
          <w:rFonts w:cs="Times New Roman"/>
        </w:rPr>
        <w:t>进度要求</w:t>
      </w:r>
      <w:bookmarkEnd w:id="10"/>
    </w:p>
    <w:p w14:paraId="1A3EA630">
      <w:pPr>
        <w:ind w:firstLine="480"/>
        <w:rPr>
          <w:rFonts w:cs="Times New Roman"/>
        </w:rPr>
      </w:pPr>
      <w:r>
        <w:rPr>
          <w:rFonts w:hint="eastAsia" w:cs="Times New Roman"/>
          <w:lang w:val="en-US" w:eastAsia="zh-CN"/>
        </w:rPr>
        <w:t>供应商</w:t>
      </w:r>
      <w:r>
        <w:rPr>
          <w:rFonts w:cs="Times New Roman"/>
        </w:rPr>
        <w:t>应根据建设内容，分阶段制定合理的时间进度，并且应根据</w:t>
      </w:r>
      <w:r>
        <w:rPr>
          <w:rFonts w:hint="eastAsia" w:cs="Times New Roman"/>
          <w:lang w:val="en-US" w:eastAsia="zh-CN"/>
        </w:rPr>
        <w:t>采购人</w:t>
      </w:r>
      <w:r>
        <w:rPr>
          <w:rFonts w:cs="Times New Roman"/>
        </w:rPr>
        <w:t>要求进行调整和细化。</w:t>
      </w:r>
    </w:p>
    <w:p w14:paraId="707A4FC2">
      <w:pPr>
        <w:ind w:firstLine="480"/>
        <w:rPr>
          <w:rFonts w:cs="Times New Roman"/>
        </w:rPr>
      </w:pPr>
      <w:r>
        <w:rPr>
          <w:rFonts w:cs="Times New Roman"/>
        </w:rPr>
        <w:t>总建设周期为</w:t>
      </w:r>
      <w:r>
        <w:rPr>
          <w:rFonts w:hint="eastAsia" w:cs="Times New Roman"/>
        </w:rPr>
        <w:t>签订合同之日起6个月</w:t>
      </w:r>
      <w:r>
        <w:rPr>
          <w:rFonts w:cs="Times New Roman"/>
        </w:rPr>
        <w:t>。</w:t>
      </w:r>
    </w:p>
    <w:p w14:paraId="1F52BAE4">
      <w:pPr>
        <w:pStyle w:val="3"/>
        <w:rPr>
          <w:rFonts w:cs="Times New Roman"/>
        </w:rPr>
      </w:pPr>
      <w:bookmarkStart w:id="11" w:name="_Toc63785510"/>
      <w:r>
        <w:rPr>
          <w:rFonts w:cs="Times New Roman"/>
        </w:rPr>
        <w:t>项目团队及驻场人员要求</w:t>
      </w:r>
      <w:bookmarkEnd w:id="11"/>
    </w:p>
    <w:p w14:paraId="43D88895">
      <w:pPr>
        <w:ind w:firstLine="480"/>
        <w:rPr>
          <w:rFonts w:cs="Times New Roman"/>
        </w:rPr>
      </w:pPr>
      <w:r>
        <w:rPr>
          <w:rFonts w:hint="eastAsia" w:cs="Times New Roman"/>
          <w:lang w:val="en-US" w:eastAsia="zh-CN"/>
        </w:rPr>
        <w:t>供应商</w:t>
      </w:r>
      <w:r>
        <w:rPr>
          <w:rFonts w:cs="Times New Roman"/>
        </w:rPr>
        <w:t>须具有稳定的在职技术保障力量，能够提供及时的技术支援或服务，应针对本项目提供不少于</w:t>
      </w:r>
      <w:r>
        <w:rPr>
          <w:rFonts w:hint="eastAsia" w:cs="Times New Roman"/>
          <w:lang w:val="en-US" w:eastAsia="zh-CN"/>
        </w:rPr>
        <w:t>8</w:t>
      </w:r>
      <w:r>
        <w:rPr>
          <w:rFonts w:cs="Times New Roman"/>
        </w:rPr>
        <w:t>人的项目服务团队（包括项目经理、</w:t>
      </w:r>
      <w:r>
        <w:rPr>
          <w:rFonts w:hint="eastAsia" w:cs="Times New Roman"/>
          <w:lang w:val="en-US" w:eastAsia="zh-CN"/>
        </w:rPr>
        <w:t>产品经理、</w:t>
      </w:r>
      <w:r>
        <w:rPr>
          <w:rFonts w:hint="eastAsia" w:cs="Times New Roman"/>
        </w:rPr>
        <w:t>软件开发人员</w:t>
      </w:r>
      <w:r>
        <w:rPr>
          <w:rFonts w:cs="Times New Roman"/>
        </w:rPr>
        <w:t>等）</w:t>
      </w:r>
      <w:r>
        <w:rPr>
          <w:rFonts w:hint="eastAsia" w:cs="Times New Roman"/>
        </w:rPr>
        <w:t>。</w:t>
      </w:r>
      <w:r>
        <w:rPr>
          <w:rFonts w:cs="Times New Roman"/>
        </w:rPr>
        <w:t>需提供相关证明（最近一个季度依法缴纳社保费的证明）。</w:t>
      </w:r>
    </w:p>
    <w:tbl>
      <w:tblPr>
        <w:tblStyle w:val="18"/>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5"/>
        <w:gridCol w:w="1932"/>
        <w:gridCol w:w="1418"/>
        <w:gridCol w:w="2699"/>
        <w:gridCol w:w="1157"/>
      </w:tblGrid>
      <w:tr w14:paraId="6DFE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5" w:type="dxa"/>
            <w:shd w:val="clear" w:color="auto" w:fill="auto"/>
            <w:noWrap/>
            <w:vAlign w:val="center"/>
          </w:tcPr>
          <w:p w14:paraId="64FC881B">
            <w:pPr>
              <w:widowControl/>
              <w:spacing w:line="240" w:lineRule="auto"/>
              <w:ind w:firstLine="0" w:firstLineChars="0"/>
              <w:jc w:val="center"/>
              <w:rPr>
                <w:rFonts w:cs="Times New Roman"/>
                <w:b/>
                <w:sz w:val="22"/>
                <w:szCs w:val="22"/>
              </w:rPr>
            </w:pPr>
            <w:r>
              <w:rPr>
                <w:rFonts w:cs="Times New Roman"/>
                <w:b/>
                <w:sz w:val="22"/>
                <w:szCs w:val="22"/>
              </w:rPr>
              <w:t>角色</w:t>
            </w:r>
          </w:p>
        </w:tc>
        <w:tc>
          <w:tcPr>
            <w:tcW w:w="1932" w:type="dxa"/>
            <w:shd w:val="clear" w:color="auto" w:fill="auto"/>
            <w:noWrap/>
            <w:vAlign w:val="center"/>
          </w:tcPr>
          <w:p w14:paraId="46FE54B1">
            <w:pPr>
              <w:widowControl/>
              <w:spacing w:line="240" w:lineRule="auto"/>
              <w:ind w:firstLine="0" w:firstLineChars="0"/>
              <w:jc w:val="center"/>
              <w:rPr>
                <w:rFonts w:cs="Times New Roman"/>
                <w:b/>
                <w:sz w:val="22"/>
                <w:szCs w:val="22"/>
              </w:rPr>
            </w:pPr>
            <w:r>
              <w:rPr>
                <w:rFonts w:cs="Times New Roman"/>
                <w:b/>
                <w:sz w:val="22"/>
                <w:szCs w:val="22"/>
              </w:rPr>
              <w:t>主要职责</w:t>
            </w:r>
          </w:p>
        </w:tc>
        <w:tc>
          <w:tcPr>
            <w:tcW w:w="1418" w:type="dxa"/>
            <w:shd w:val="clear" w:color="auto" w:fill="auto"/>
            <w:noWrap/>
            <w:vAlign w:val="center"/>
          </w:tcPr>
          <w:p w14:paraId="2603DED2">
            <w:pPr>
              <w:widowControl/>
              <w:spacing w:line="240" w:lineRule="auto"/>
              <w:ind w:firstLine="0" w:firstLineChars="0"/>
              <w:jc w:val="center"/>
              <w:rPr>
                <w:rFonts w:cs="Times New Roman"/>
                <w:b/>
                <w:sz w:val="22"/>
                <w:szCs w:val="22"/>
              </w:rPr>
            </w:pPr>
            <w:r>
              <w:rPr>
                <w:rFonts w:cs="Times New Roman"/>
                <w:b/>
                <w:sz w:val="22"/>
                <w:szCs w:val="22"/>
              </w:rPr>
              <w:t>人员数量</w:t>
            </w:r>
          </w:p>
        </w:tc>
        <w:tc>
          <w:tcPr>
            <w:tcW w:w="2699" w:type="dxa"/>
            <w:vAlign w:val="center"/>
          </w:tcPr>
          <w:p w14:paraId="7D87F3EE">
            <w:pPr>
              <w:widowControl/>
              <w:spacing w:line="240" w:lineRule="auto"/>
              <w:ind w:firstLine="0" w:firstLineChars="0"/>
              <w:jc w:val="center"/>
              <w:rPr>
                <w:rFonts w:cs="Times New Roman"/>
                <w:b/>
                <w:sz w:val="22"/>
                <w:szCs w:val="22"/>
              </w:rPr>
            </w:pPr>
            <w:r>
              <w:rPr>
                <w:rFonts w:cs="Times New Roman"/>
                <w:b/>
                <w:sz w:val="22"/>
                <w:szCs w:val="22"/>
              </w:rPr>
              <w:t>人员要求</w:t>
            </w:r>
          </w:p>
        </w:tc>
        <w:tc>
          <w:tcPr>
            <w:tcW w:w="1157" w:type="dxa"/>
            <w:shd w:val="clear" w:color="auto" w:fill="auto"/>
            <w:noWrap/>
            <w:vAlign w:val="center"/>
          </w:tcPr>
          <w:p w14:paraId="63A5E2E7">
            <w:pPr>
              <w:widowControl/>
              <w:spacing w:line="240" w:lineRule="auto"/>
              <w:ind w:firstLine="0" w:firstLineChars="0"/>
              <w:jc w:val="center"/>
              <w:rPr>
                <w:rFonts w:cs="Times New Roman"/>
                <w:b/>
                <w:sz w:val="22"/>
                <w:szCs w:val="22"/>
              </w:rPr>
            </w:pPr>
            <w:r>
              <w:rPr>
                <w:rFonts w:cs="Times New Roman"/>
                <w:b/>
                <w:sz w:val="22"/>
                <w:szCs w:val="22"/>
              </w:rPr>
              <w:t>驻场要求</w:t>
            </w:r>
          </w:p>
        </w:tc>
      </w:tr>
      <w:tr w14:paraId="0B7B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1475" w:type="dxa"/>
            <w:shd w:val="clear" w:color="auto" w:fill="auto"/>
            <w:noWrap/>
            <w:vAlign w:val="center"/>
          </w:tcPr>
          <w:p w14:paraId="5A3610A1">
            <w:pPr>
              <w:spacing w:line="240" w:lineRule="auto"/>
              <w:ind w:firstLine="0" w:firstLineChars="0"/>
              <w:jc w:val="center"/>
              <w:rPr>
                <w:rFonts w:cs="Times New Roman"/>
                <w:sz w:val="22"/>
                <w:szCs w:val="22"/>
              </w:rPr>
            </w:pPr>
            <w:r>
              <w:rPr>
                <w:rFonts w:cs="Times New Roman"/>
                <w:color w:val="000000"/>
                <w:kern w:val="0"/>
                <w:sz w:val="22"/>
                <w:szCs w:val="22"/>
              </w:rPr>
              <w:t>项目经理</w:t>
            </w:r>
          </w:p>
        </w:tc>
        <w:tc>
          <w:tcPr>
            <w:tcW w:w="1932" w:type="dxa"/>
            <w:shd w:val="clear" w:color="auto" w:fill="auto"/>
            <w:vAlign w:val="center"/>
          </w:tcPr>
          <w:p w14:paraId="6728DFE8">
            <w:pPr>
              <w:spacing w:line="240" w:lineRule="auto"/>
              <w:ind w:firstLine="0" w:firstLineChars="0"/>
              <w:jc w:val="center"/>
              <w:rPr>
                <w:rFonts w:cs="Times New Roman"/>
                <w:sz w:val="22"/>
                <w:szCs w:val="22"/>
              </w:rPr>
            </w:pPr>
            <w:r>
              <w:rPr>
                <w:rFonts w:cs="Times New Roman"/>
                <w:color w:val="000000"/>
                <w:kern w:val="0"/>
                <w:sz w:val="22"/>
                <w:szCs w:val="22"/>
              </w:rPr>
              <w:t>负责项目质量和进度控制</w:t>
            </w:r>
          </w:p>
        </w:tc>
        <w:tc>
          <w:tcPr>
            <w:tcW w:w="1418" w:type="dxa"/>
            <w:shd w:val="clear" w:color="auto" w:fill="auto"/>
            <w:noWrap/>
            <w:vAlign w:val="center"/>
          </w:tcPr>
          <w:p w14:paraId="2622A4F2">
            <w:pPr>
              <w:spacing w:line="240" w:lineRule="auto"/>
              <w:ind w:firstLine="0" w:firstLineChars="0"/>
              <w:jc w:val="center"/>
              <w:rPr>
                <w:rFonts w:cs="Times New Roman"/>
                <w:sz w:val="22"/>
                <w:szCs w:val="22"/>
              </w:rPr>
            </w:pPr>
            <w:r>
              <w:rPr>
                <w:rFonts w:cs="Times New Roman"/>
                <w:color w:val="000000"/>
                <w:kern w:val="0"/>
                <w:sz w:val="22"/>
                <w:szCs w:val="22"/>
              </w:rPr>
              <w:t>1人</w:t>
            </w:r>
          </w:p>
        </w:tc>
        <w:tc>
          <w:tcPr>
            <w:tcW w:w="2699" w:type="dxa"/>
            <w:vAlign w:val="center"/>
          </w:tcPr>
          <w:p w14:paraId="1A1E8D57">
            <w:pPr>
              <w:spacing w:line="240" w:lineRule="auto"/>
              <w:ind w:firstLine="0" w:firstLineChars="0"/>
              <w:jc w:val="left"/>
              <w:rPr>
                <w:rFonts w:cs="Times New Roman"/>
                <w:sz w:val="22"/>
                <w:szCs w:val="22"/>
              </w:rPr>
            </w:pPr>
            <w:r>
              <w:rPr>
                <w:rFonts w:hint="eastAsia" w:cs="Times New Roman"/>
                <w:color w:val="000000"/>
                <w:kern w:val="0"/>
                <w:sz w:val="22"/>
                <w:szCs w:val="22"/>
              </w:rPr>
              <w:t>硕士</w:t>
            </w:r>
            <w:r>
              <w:rPr>
                <w:rFonts w:cs="Times New Roman"/>
                <w:color w:val="000000"/>
                <w:kern w:val="0"/>
                <w:sz w:val="22"/>
                <w:szCs w:val="22"/>
              </w:rPr>
              <w:t>及以上学历</w:t>
            </w:r>
            <w:r>
              <w:rPr>
                <w:rFonts w:hint="eastAsia" w:cs="Times New Roman"/>
                <w:color w:val="000000"/>
                <w:kern w:val="0"/>
                <w:sz w:val="22"/>
                <w:szCs w:val="22"/>
              </w:rPr>
              <w:t>；具有10年以上相关项目管理工作经验；具备信息系统项目管理师证书</w:t>
            </w:r>
            <w:r>
              <w:rPr>
                <w:rFonts w:hint="eastAsia" w:cs="Times New Roman"/>
                <w:color w:val="000000"/>
                <w:kern w:val="0"/>
                <w:sz w:val="22"/>
                <w:szCs w:val="22"/>
                <w:lang w:eastAsia="zh-CN"/>
              </w:rPr>
              <w:t>、</w:t>
            </w:r>
            <w:r>
              <w:rPr>
                <w:rFonts w:hint="eastAsia" w:cs="Times New Roman"/>
                <w:color w:val="000000"/>
                <w:kern w:val="0"/>
                <w:sz w:val="22"/>
                <w:szCs w:val="22"/>
              </w:rPr>
              <w:t>高级工程师职称</w:t>
            </w:r>
          </w:p>
        </w:tc>
        <w:tc>
          <w:tcPr>
            <w:tcW w:w="1157" w:type="dxa"/>
            <w:shd w:val="clear" w:color="auto" w:fill="auto"/>
            <w:noWrap/>
            <w:vAlign w:val="center"/>
          </w:tcPr>
          <w:p w14:paraId="212109A4">
            <w:pPr>
              <w:spacing w:line="240" w:lineRule="auto"/>
              <w:ind w:firstLine="0" w:firstLineChars="0"/>
              <w:jc w:val="center"/>
              <w:rPr>
                <w:rFonts w:cs="Times New Roman"/>
                <w:sz w:val="22"/>
                <w:szCs w:val="22"/>
              </w:rPr>
            </w:pPr>
            <w:r>
              <w:rPr>
                <w:rFonts w:cs="Times New Roman"/>
                <w:color w:val="000000"/>
                <w:kern w:val="0"/>
                <w:sz w:val="22"/>
                <w:szCs w:val="22"/>
              </w:rPr>
              <w:t>驻场</w:t>
            </w:r>
          </w:p>
        </w:tc>
      </w:tr>
      <w:tr w14:paraId="11118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475" w:type="dxa"/>
            <w:shd w:val="clear" w:color="auto" w:fill="auto"/>
            <w:noWrap/>
            <w:vAlign w:val="center"/>
          </w:tcPr>
          <w:p w14:paraId="085D14EA">
            <w:pPr>
              <w:widowControl/>
              <w:spacing w:line="240" w:lineRule="auto"/>
              <w:ind w:firstLine="0" w:firstLineChars="0"/>
              <w:jc w:val="center"/>
              <w:rPr>
                <w:rFonts w:hint="default" w:eastAsia="宋体" w:cs="Times New Roman"/>
                <w:sz w:val="22"/>
                <w:szCs w:val="22"/>
                <w:lang w:val="en-US" w:eastAsia="zh-CN"/>
              </w:rPr>
            </w:pPr>
            <w:r>
              <w:rPr>
                <w:rFonts w:hint="eastAsia" w:cs="Times New Roman"/>
                <w:sz w:val="22"/>
                <w:szCs w:val="22"/>
                <w:lang w:val="en-US" w:eastAsia="zh-CN"/>
              </w:rPr>
              <w:t>产品经理</w:t>
            </w:r>
          </w:p>
        </w:tc>
        <w:tc>
          <w:tcPr>
            <w:tcW w:w="1932" w:type="dxa"/>
            <w:shd w:val="clear" w:color="auto" w:fill="auto"/>
            <w:noWrap/>
            <w:vAlign w:val="center"/>
          </w:tcPr>
          <w:p w14:paraId="14AFB46B">
            <w:pPr>
              <w:widowControl/>
              <w:spacing w:line="240" w:lineRule="auto"/>
              <w:ind w:firstLine="0" w:firstLineChars="0"/>
              <w:jc w:val="center"/>
              <w:rPr>
                <w:rFonts w:hint="default" w:eastAsia="宋体" w:cs="Times New Roman"/>
                <w:sz w:val="22"/>
                <w:szCs w:val="22"/>
                <w:lang w:val="en-US" w:eastAsia="zh-CN"/>
              </w:rPr>
            </w:pPr>
            <w:r>
              <w:rPr>
                <w:rFonts w:cs="Times New Roman"/>
                <w:sz w:val="22"/>
                <w:szCs w:val="22"/>
              </w:rPr>
              <w:t>负责项目具体开发与实施</w:t>
            </w:r>
          </w:p>
        </w:tc>
        <w:tc>
          <w:tcPr>
            <w:tcW w:w="1418" w:type="dxa"/>
            <w:shd w:val="clear" w:color="auto" w:fill="auto"/>
            <w:noWrap/>
            <w:vAlign w:val="center"/>
          </w:tcPr>
          <w:p w14:paraId="7B67E03C">
            <w:pPr>
              <w:widowControl/>
              <w:spacing w:line="240" w:lineRule="auto"/>
              <w:ind w:firstLine="0" w:firstLineChars="0"/>
              <w:jc w:val="center"/>
              <w:rPr>
                <w:rFonts w:hint="default" w:cs="Times New Roman"/>
                <w:sz w:val="22"/>
                <w:szCs w:val="22"/>
                <w:lang w:val="en-US" w:eastAsia="zh-CN"/>
              </w:rPr>
            </w:pPr>
            <w:r>
              <w:rPr>
                <w:rFonts w:hint="eastAsia" w:cs="Times New Roman"/>
                <w:sz w:val="22"/>
                <w:szCs w:val="22"/>
                <w:lang w:val="en-US" w:eastAsia="zh-CN"/>
              </w:rPr>
              <w:t>1人</w:t>
            </w:r>
          </w:p>
        </w:tc>
        <w:tc>
          <w:tcPr>
            <w:tcW w:w="2699" w:type="dxa"/>
            <w:vAlign w:val="center"/>
          </w:tcPr>
          <w:p w14:paraId="7130C556">
            <w:pPr>
              <w:spacing w:line="240" w:lineRule="auto"/>
              <w:ind w:firstLine="0" w:firstLineChars="0"/>
              <w:jc w:val="left"/>
              <w:rPr>
                <w:rFonts w:cs="Times New Roman"/>
                <w:color w:val="000000"/>
                <w:kern w:val="0"/>
                <w:sz w:val="22"/>
                <w:szCs w:val="22"/>
              </w:rPr>
            </w:pPr>
            <w:r>
              <w:rPr>
                <w:rFonts w:hint="eastAsia" w:cs="Times New Roman"/>
                <w:color w:val="000000"/>
                <w:kern w:val="0"/>
                <w:sz w:val="22"/>
                <w:szCs w:val="22"/>
                <w:lang w:val="en-US" w:eastAsia="zh-CN"/>
              </w:rPr>
              <w:t>硕士</w:t>
            </w:r>
            <w:r>
              <w:rPr>
                <w:rFonts w:cs="Times New Roman"/>
                <w:color w:val="000000"/>
                <w:kern w:val="0"/>
                <w:sz w:val="22"/>
                <w:szCs w:val="22"/>
              </w:rPr>
              <w:t>及以上学历</w:t>
            </w:r>
            <w:r>
              <w:rPr>
                <w:rFonts w:hint="eastAsia" w:cs="Times New Roman"/>
                <w:color w:val="000000"/>
                <w:kern w:val="0"/>
                <w:sz w:val="22"/>
                <w:szCs w:val="22"/>
              </w:rPr>
              <w:t>，具备2年以上相关工作经验</w:t>
            </w:r>
          </w:p>
        </w:tc>
        <w:tc>
          <w:tcPr>
            <w:tcW w:w="1157" w:type="dxa"/>
            <w:shd w:val="clear" w:color="auto" w:fill="auto"/>
            <w:noWrap/>
            <w:vAlign w:val="center"/>
          </w:tcPr>
          <w:p w14:paraId="15DC6C41">
            <w:pPr>
              <w:widowControl/>
              <w:spacing w:line="240" w:lineRule="auto"/>
              <w:ind w:firstLine="0" w:firstLineChars="0"/>
              <w:jc w:val="center"/>
              <w:rPr>
                <w:rFonts w:cs="Times New Roman"/>
                <w:sz w:val="22"/>
                <w:szCs w:val="22"/>
              </w:rPr>
            </w:pPr>
            <w:r>
              <w:rPr>
                <w:rFonts w:hint="eastAsia" w:cs="Times New Roman"/>
                <w:color w:val="000000"/>
                <w:kern w:val="0"/>
                <w:sz w:val="22"/>
                <w:szCs w:val="22"/>
                <w:lang w:val="en-US" w:eastAsia="zh-CN"/>
              </w:rPr>
              <w:t>不</w:t>
            </w:r>
            <w:r>
              <w:rPr>
                <w:rFonts w:cs="Times New Roman"/>
                <w:color w:val="000000"/>
                <w:kern w:val="0"/>
                <w:sz w:val="22"/>
                <w:szCs w:val="22"/>
              </w:rPr>
              <w:t>驻场</w:t>
            </w:r>
          </w:p>
        </w:tc>
      </w:tr>
      <w:tr w14:paraId="0B51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75" w:type="dxa"/>
            <w:shd w:val="clear" w:color="auto" w:fill="auto"/>
            <w:noWrap/>
            <w:vAlign w:val="center"/>
          </w:tcPr>
          <w:p w14:paraId="70B0F2C1">
            <w:pPr>
              <w:widowControl/>
              <w:spacing w:line="240" w:lineRule="auto"/>
              <w:ind w:firstLine="0" w:firstLineChars="0"/>
              <w:jc w:val="center"/>
              <w:rPr>
                <w:rFonts w:cs="Times New Roman"/>
                <w:sz w:val="22"/>
                <w:szCs w:val="22"/>
              </w:rPr>
            </w:pPr>
            <w:r>
              <w:rPr>
                <w:rFonts w:hint="eastAsia" w:cs="Times New Roman"/>
                <w:sz w:val="22"/>
                <w:szCs w:val="22"/>
              </w:rPr>
              <w:t>软件开发人员</w:t>
            </w:r>
          </w:p>
        </w:tc>
        <w:tc>
          <w:tcPr>
            <w:tcW w:w="1932" w:type="dxa"/>
            <w:shd w:val="clear" w:color="auto" w:fill="auto"/>
            <w:noWrap/>
            <w:vAlign w:val="center"/>
          </w:tcPr>
          <w:p w14:paraId="4F5DBD37">
            <w:pPr>
              <w:widowControl/>
              <w:spacing w:line="240" w:lineRule="auto"/>
              <w:ind w:firstLine="0" w:firstLineChars="0"/>
              <w:jc w:val="center"/>
              <w:rPr>
                <w:rFonts w:cs="Times New Roman"/>
                <w:sz w:val="22"/>
                <w:szCs w:val="22"/>
              </w:rPr>
            </w:pPr>
            <w:r>
              <w:rPr>
                <w:rFonts w:cs="Times New Roman"/>
                <w:sz w:val="22"/>
                <w:szCs w:val="22"/>
              </w:rPr>
              <w:t>负责项目具体开发与实施</w:t>
            </w:r>
          </w:p>
        </w:tc>
        <w:tc>
          <w:tcPr>
            <w:tcW w:w="1418" w:type="dxa"/>
            <w:shd w:val="clear" w:color="auto" w:fill="auto"/>
            <w:noWrap/>
            <w:vAlign w:val="center"/>
          </w:tcPr>
          <w:p w14:paraId="5A30BE6C">
            <w:pPr>
              <w:widowControl/>
              <w:spacing w:line="240" w:lineRule="auto"/>
              <w:ind w:firstLine="0" w:firstLineChars="0"/>
              <w:jc w:val="center"/>
              <w:rPr>
                <w:rFonts w:cs="Times New Roman"/>
                <w:sz w:val="22"/>
                <w:szCs w:val="22"/>
              </w:rPr>
            </w:pPr>
            <w:r>
              <w:rPr>
                <w:rFonts w:hint="eastAsia" w:cs="Times New Roman"/>
                <w:sz w:val="22"/>
                <w:szCs w:val="22"/>
                <w:lang w:val="en-US" w:eastAsia="zh-CN"/>
              </w:rPr>
              <w:t>6</w:t>
            </w:r>
            <w:r>
              <w:rPr>
                <w:rFonts w:cs="Times New Roman"/>
                <w:sz w:val="22"/>
                <w:szCs w:val="22"/>
              </w:rPr>
              <w:t>人</w:t>
            </w:r>
          </w:p>
        </w:tc>
        <w:tc>
          <w:tcPr>
            <w:tcW w:w="2699" w:type="dxa"/>
            <w:vAlign w:val="center"/>
          </w:tcPr>
          <w:p w14:paraId="1B060E1A">
            <w:pPr>
              <w:spacing w:line="240" w:lineRule="auto"/>
              <w:ind w:firstLine="0" w:firstLineChars="0"/>
              <w:jc w:val="left"/>
              <w:rPr>
                <w:rFonts w:cs="Times New Roman"/>
                <w:sz w:val="22"/>
                <w:szCs w:val="22"/>
              </w:rPr>
            </w:pPr>
            <w:r>
              <w:rPr>
                <w:rFonts w:cs="Times New Roman"/>
                <w:color w:val="000000"/>
                <w:kern w:val="0"/>
                <w:sz w:val="22"/>
                <w:szCs w:val="22"/>
              </w:rPr>
              <w:t>本科及以上学历</w:t>
            </w:r>
            <w:r>
              <w:rPr>
                <w:rFonts w:hint="eastAsia" w:cs="Times New Roman"/>
                <w:color w:val="000000"/>
                <w:kern w:val="0"/>
                <w:sz w:val="22"/>
                <w:szCs w:val="22"/>
              </w:rPr>
              <w:t>，具备2年以上相关工作经验</w:t>
            </w:r>
          </w:p>
        </w:tc>
        <w:tc>
          <w:tcPr>
            <w:tcW w:w="1157" w:type="dxa"/>
            <w:shd w:val="clear" w:color="auto" w:fill="auto"/>
            <w:noWrap/>
            <w:vAlign w:val="center"/>
          </w:tcPr>
          <w:p w14:paraId="5257BF41">
            <w:pPr>
              <w:widowControl/>
              <w:spacing w:line="240" w:lineRule="auto"/>
              <w:ind w:firstLine="0" w:firstLineChars="0"/>
              <w:jc w:val="center"/>
              <w:rPr>
                <w:rFonts w:cs="Times New Roman"/>
                <w:sz w:val="22"/>
                <w:szCs w:val="22"/>
              </w:rPr>
            </w:pPr>
            <w:r>
              <w:rPr>
                <w:rFonts w:cs="Times New Roman"/>
                <w:sz w:val="22"/>
                <w:szCs w:val="22"/>
              </w:rPr>
              <w:t>不少于</w:t>
            </w:r>
            <w:r>
              <w:rPr>
                <w:rFonts w:hint="eastAsia" w:cs="Times New Roman"/>
                <w:sz w:val="22"/>
                <w:szCs w:val="22"/>
                <w:lang w:val="en-US" w:eastAsia="zh-CN"/>
              </w:rPr>
              <w:t>2</w:t>
            </w:r>
            <w:r>
              <w:rPr>
                <w:rFonts w:cs="Times New Roman"/>
                <w:sz w:val="22"/>
                <w:szCs w:val="22"/>
              </w:rPr>
              <w:t>人驻场</w:t>
            </w:r>
          </w:p>
        </w:tc>
      </w:tr>
    </w:tbl>
    <w:p w14:paraId="2F5F95A2">
      <w:pPr>
        <w:ind w:firstLine="480"/>
        <w:rPr>
          <w:rFonts w:cs="Times New Roman"/>
        </w:rPr>
      </w:pPr>
    </w:p>
    <w:p w14:paraId="593AE6F9">
      <w:pPr>
        <w:ind w:firstLine="480"/>
        <w:rPr>
          <w:rFonts w:cs="Times New Roman"/>
        </w:rPr>
      </w:pPr>
      <w:r>
        <w:rPr>
          <w:rFonts w:hint="eastAsia" w:cs="Times New Roman"/>
          <w:lang w:val="en-US" w:eastAsia="zh-CN"/>
        </w:rPr>
        <w:t>供应商</w:t>
      </w:r>
      <w:r>
        <w:rPr>
          <w:rFonts w:cs="Times New Roman"/>
        </w:rPr>
        <w:t>应针对本项目提供不少于</w:t>
      </w:r>
      <w:r>
        <w:rPr>
          <w:rFonts w:hint="eastAsia" w:cs="Times New Roman"/>
        </w:rPr>
        <w:t>3</w:t>
      </w:r>
      <w:r>
        <w:rPr>
          <w:rFonts w:cs="Times New Roman"/>
        </w:rPr>
        <w:t>人的质保期间支撑团队（其中</w:t>
      </w:r>
      <w:r>
        <w:rPr>
          <w:rFonts w:hint="eastAsia" w:cs="Times New Roman"/>
        </w:rPr>
        <w:t>项目</w:t>
      </w:r>
      <w:r>
        <w:rPr>
          <w:rFonts w:cs="Times New Roman"/>
        </w:rPr>
        <w:t>经理</w:t>
      </w:r>
      <w:r>
        <w:rPr>
          <w:rFonts w:hint="eastAsia" w:cs="Times New Roman"/>
        </w:rPr>
        <w:t>1</w:t>
      </w:r>
      <w:r>
        <w:rPr>
          <w:rFonts w:cs="Times New Roman"/>
        </w:rPr>
        <w:t>人，</w:t>
      </w:r>
      <w:r>
        <w:rPr>
          <w:rFonts w:hint="eastAsia" w:cs="Times New Roman"/>
        </w:rPr>
        <w:t>运维</w:t>
      </w:r>
      <w:r>
        <w:rPr>
          <w:rFonts w:cs="Times New Roman"/>
        </w:rPr>
        <w:t>工程师</w:t>
      </w:r>
      <w:r>
        <w:rPr>
          <w:rFonts w:hint="eastAsia" w:cs="Times New Roman"/>
        </w:rPr>
        <w:t>2</w:t>
      </w:r>
      <w:r>
        <w:rPr>
          <w:rFonts w:cs="Times New Roman"/>
        </w:rPr>
        <w:t>人）；</w:t>
      </w:r>
      <w:r>
        <w:rPr>
          <w:rFonts w:hint="eastAsia" w:cs="Times New Roman"/>
          <w:lang w:val="en-US" w:eastAsia="zh-CN"/>
        </w:rPr>
        <w:t>供应商</w:t>
      </w:r>
      <w:r>
        <w:rPr>
          <w:rFonts w:cs="Times New Roman"/>
        </w:rPr>
        <w:t>的相关服务人员需具备相应的服务能力，需提供相关证明（最近一个季度依法缴纳社保费的证明）。</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950"/>
        <w:gridCol w:w="1387"/>
        <w:gridCol w:w="2681"/>
        <w:gridCol w:w="1107"/>
      </w:tblGrid>
      <w:tr w14:paraId="05BD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97" w:type="dxa"/>
            <w:shd w:val="clear" w:color="auto" w:fill="auto"/>
            <w:noWrap/>
            <w:vAlign w:val="center"/>
          </w:tcPr>
          <w:p w14:paraId="43BBD4EB">
            <w:pPr>
              <w:widowControl/>
              <w:spacing w:line="240" w:lineRule="auto"/>
              <w:ind w:firstLine="0" w:firstLineChars="0"/>
              <w:jc w:val="center"/>
              <w:rPr>
                <w:rFonts w:cs="Times New Roman"/>
                <w:b/>
                <w:sz w:val="22"/>
                <w:szCs w:val="22"/>
              </w:rPr>
            </w:pPr>
            <w:r>
              <w:rPr>
                <w:rFonts w:cs="Times New Roman"/>
                <w:b/>
                <w:sz w:val="22"/>
                <w:szCs w:val="22"/>
              </w:rPr>
              <w:t>角色</w:t>
            </w:r>
          </w:p>
        </w:tc>
        <w:tc>
          <w:tcPr>
            <w:tcW w:w="1950" w:type="dxa"/>
            <w:shd w:val="clear" w:color="auto" w:fill="auto"/>
            <w:noWrap/>
            <w:vAlign w:val="center"/>
          </w:tcPr>
          <w:p w14:paraId="17E41BE2">
            <w:pPr>
              <w:widowControl/>
              <w:spacing w:line="240" w:lineRule="auto"/>
              <w:ind w:firstLine="0" w:firstLineChars="0"/>
              <w:jc w:val="center"/>
              <w:rPr>
                <w:rFonts w:cs="Times New Roman"/>
                <w:b/>
                <w:sz w:val="22"/>
                <w:szCs w:val="22"/>
              </w:rPr>
            </w:pPr>
            <w:r>
              <w:rPr>
                <w:rFonts w:cs="Times New Roman"/>
                <w:b/>
                <w:sz w:val="22"/>
                <w:szCs w:val="22"/>
              </w:rPr>
              <w:t>主要职责</w:t>
            </w:r>
          </w:p>
        </w:tc>
        <w:tc>
          <w:tcPr>
            <w:tcW w:w="1387" w:type="dxa"/>
            <w:shd w:val="clear" w:color="auto" w:fill="auto"/>
            <w:noWrap/>
            <w:vAlign w:val="center"/>
          </w:tcPr>
          <w:p w14:paraId="250E5EC8">
            <w:pPr>
              <w:widowControl/>
              <w:spacing w:line="240" w:lineRule="auto"/>
              <w:ind w:firstLine="0" w:firstLineChars="0"/>
              <w:jc w:val="center"/>
              <w:rPr>
                <w:rFonts w:cs="Times New Roman"/>
                <w:b/>
                <w:sz w:val="22"/>
                <w:szCs w:val="22"/>
              </w:rPr>
            </w:pPr>
            <w:r>
              <w:rPr>
                <w:rFonts w:cs="Times New Roman"/>
                <w:b/>
                <w:sz w:val="22"/>
                <w:szCs w:val="22"/>
              </w:rPr>
              <w:t>人员数量</w:t>
            </w:r>
          </w:p>
        </w:tc>
        <w:tc>
          <w:tcPr>
            <w:tcW w:w="2681" w:type="dxa"/>
            <w:vAlign w:val="center"/>
          </w:tcPr>
          <w:p w14:paraId="3356E28B">
            <w:pPr>
              <w:widowControl/>
              <w:spacing w:line="240" w:lineRule="auto"/>
              <w:ind w:firstLine="0" w:firstLineChars="0"/>
              <w:jc w:val="center"/>
              <w:rPr>
                <w:rFonts w:cs="Times New Roman"/>
                <w:b/>
                <w:sz w:val="22"/>
                <w:szCs w:val="22"/>
              </w:rPr>
            </w:pPr>
            <w:r>
              <w:rPr>
                <w:rFonts w:cs="Times New Roman"/>
                <w:b/>
                <w:sz w:val="22"/>
                <w:szCs w:val="22"/>
              </w:rPr>
              <w:t>人员要求</w:t>
            </w:r>
          </w:p>
        </w:tc>
        <w:tc>
          <w:tcPr>
            <w:tcW w:w="1107" w:type="dxa"/>
            <w:shd w:val="clear" w:color="auto" w:fill="auto"/>
            <w:noWrap/>
            <w:vAlign w:val="center"/>
          </w:tcPr>
          <w:p w14:paraId="273DB7B4">
            <w:pPr>
              <w:widowControl/>
              <w:spacing w:line="240" w:lineRule="auto"/>
              <w:ind w:firstLine="0" w:firstLineChars="0"/>
              <w:jc w:val="center"/>
              <w:rPr>
                <w:rFonts w:cs="Times New Roman"/>
                <w:b/>
                <w:sz w:val="22"/>
                <w:szCs w:val="22"/>
              </w:rPr>
            </w:pPr>
            <w:r>
              <w:rPr>
                <w:rFonts w:cs="Times New Roman"/>
                <w:b/>
                <w:sz w:val="22"/>
                <w:szCs w:val="22"/>
              </w:rPr>
              <w:t>驻场要求</w:t>
            </w:r>
          </w:p>
        </w:tc>
      </w:tr>
      <w:tr w14:paraId="7C3C3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97" w:type="dxa"/>
            <w:shd w:val="clear" w:color="auto" w:fill="auto"/>
            <w:noWrap/>
            <w:vAlign w:val="center"/>
          </w:tcPr>
          <w:p w14:paraId="475882AC">
            <w:pPr>
              <w:spacing w:line="240" w:lineRule="auto"/>
              <w:ind w:firstLine="0" w:firstLineChars="0"/>
              <w:jc w:val="center"/>
              <w:rPr>
                <w:rFonts w:cs="Times New Roman"/>
                <w:sz w:val="22"/>
                <w:szCs w:val="22"/>
              </w:rPr>
            </w:pPr>
            <w:r>
              <w:rPr>
                <w:rFonts w:hint="eastAsia" w:cs="Times New Roman"/>
                <w:color w:val="000000"/>
                <w:kern w:val="0"/>
                <w:sz w:val="22"/>
                <w:szCs w:val="22"/>
              </w:rPr>
              <w:t>项目</w:t>
            </w:r>
            <w:r>
              <w:rPr>
                <w:rFonts w:cs="Times New Roman"/>
                <w:color w:val="000000"/>
                <w:kern w:val="0"/>
                <w:sz w:val="22"/>
                <w:szCs w:val="22"/>
              </w:rPr>
              <w:t>经理</w:t>
            </w:r>
          </w:p>
        </w:tc>
        <w:tc>
          <w:tcPr>
            <w:tcW w:w="1950" w:type="dxa"/>
            <w:shd w:val="clear" w:color="auto" w:fill="auto"/>
            <w:vAlign w:val="center"/>
          </w:tcPr>
          <w:p w14:paraId="2999C844">
            <w:pPr>
              <w:spacing w:line="240" w:lineRule="auto"/>
              <w:ind w:firstLine="0" w:firstLineChars="0"/>
              <w:jc w:val="center"/>
              <w:rPr>
                <w:rFonts w:cs="Times New Roman"/>
                <w:sz w:val="22"/>
                <w:szCs w:val="22"/>
              </w:rPr>
            </w:pPr>
            <w:r>
              <w:rPr>
                <w:rFonts w:cs="Times New Roman"/>
                <w:color w:val="000000"/>
                <w:kern w:val="0"/>
                <w:sz w:val="22"/>
                <w:szCs w:val="22"/>
              </w:rPr>
              <w:t>负责项目质量和进度控制</w:t>
            </w:r>
          </w:p>
        </w:tc>
        <w:tc>
          <w:tcPr>
            <w:tcW w:w="1387" w:type="dxa"/>
            <w:shd w:val="clear" w:color="auto" w:fill="auto"/>
            <w:noWrap/>
            <w:vAlign w:val="center"/>
          </w:tcPr>
          <w:p w14:paraId="0BA4B2FF">
            <w:pPr>
              <w:spacing w:line="240" w:lineRule="auto"/>
              <w:ind w:firstLine="0" w:firstLineChars="0"/>
              <w:jc w:val="center"/>
              <w:rPr>
                <w:rFonts w:cs="Times New Roman"/>
                <w:sz w:val="22"/>
                <w:szCs w:val="22"/>
              </w:rPr>
            </w:pPr>
            <w:r>
              <w:rPr>
                <w:rFonts w:hint="eastAsia" w:cs="Times New Roman"/>
                <w:color w:val="000000"/>
                <w:kern w:val="0"/>
                <w:sz w:val="22"/>
                <w:szCs w:val="22"/>
              </w:rPr>
              <w:t>1</w:t>
            </w:r>
            <w:r>
              <w:rPr>
                <w:rFonts w:cs="Times New Roman"/>
                <w:color w:val="000000"/>
                <w:kern w:val="0"/>
                <w:sz w:val="22"/>
                <w:szCs w:val="22"/>
              </w:rPr>
              <w:t>人</w:t>
            </w:r>
          </w:p>
        </w:tc>
        <w:tc>
          <w:tcPr>
            <w:tcW w:w="2681" w:type="dxa"/>
            <w:vAlign w:val="center"/>
          </w:tcPr>
          <w:p w14:paraId="48738F64">
            <w:pPr>
              <w:spacing w:line="240" w:lineRule="auto"/>
              <w:ind w:firstLine="0" w:firstLineChars="0"/>
              <w:jc w:val="center"/>
              <w:rPr>
                <w:rFonts w:cs="Times New Roman"/>
                <w:sz w:val="22"/>
                <w:szCs w:val="22"/>
              </w:rPr>
            </w:pPr>
            <w:r>
              <w:rPr>
                <w:rFonts w:cs="Times New Roman"/>
                <w:color w:val="000000"/>
                <w:kern w:val="0"/>
                <w:sz w:val="22"/>
                <w:szCs w:val="22"/>
              </w:rPr>
              <w:t>本科及以上学历</w:t>
            </w:r>
          </w:p>
        </w:tc>
        <w:tc>
          <w:tcPr>
            <w:tcW w:w="1107" w:type="dxa"/>
            <w:shd w:val="clear" w:color="auto" w:fill="auto"/>
            <w:noWrap/>
            <w:vAlign w:val="center"/>
          </w:tcPr>
          <w:p w14:paraId="1450D65C">
            <w:pPr>
              <w:spacing w:line="240" w:lineRule="auto"/>
              <w:ind w:firstLine="0" w:firstLineChars="0"/>
              <w:jc w:val="center"/>
              <w:rPr>
                <w:rFonts w:cs="Times New Roman"/>
                <w:sz w:val="22"/>
                <w:szCs w:val="22"/>
              </w:rPr>
            </w:pPr>
            <w:r>
              <w:rPr>
                <w:rFonts w:hint="eastAsia" w:cs="Times New Roman"/>
                <w:color w:val="000000"/>
                <w:kern w:val="0"/>
                <w:sz w:val="22"/>
                <w:szCs w:val="22"/>
              </w:rPr>
              <w:t>不</w:t>
            </w:r>
            <w:r>
              <w:rPr>
                <w:rFonts w:cs="Times New Roman"/>
                <w:color w:val="000000"/>
                <w:kern w:val="0"/>
                <w:sz w:val="22"/>
                <w:szCs w:val="22"/>
              </w:rPr>
              <w:t>驻场</w:t>
            </w:r>
          </w:p>
        </w:tc>
      </w:tr>
      <w:tr w14:paraId="0C8C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97" w:type="dxa"/>
            <w:shd w:val="clear" w:color="auto" w:fill="auto"/>
            <w:noWrap/>
            <w:vAlign w:val="center"/>
          </w:tcPr>
          <w:p w14:paraId="2C450B65">
            <w:pPr>
              <w:spacing w:line="240" w:lineRule="auto"/>
              <w:ind w:firstLine="0" w:firstLineChars="0"/>
              <w:jc w:val="center"/>
              <w:rPr>
                <w:rFonts w:cs="Times New Roman"/>
                <w:sz w:val="22"/>
                <w:szCs w:val="22"/>
              </w:rPr>
            </w:pPr>
            <w:r>
              <w:rPr>
                <w:rFonts w:hint="eastAsia" w:cs="Times New Roman"/>
                <w:color w:val="000000"/>
                <w:kern w:val="0"/>
                <w:sz w:val="22"/>
                <w:szCs w:val="22"/>
              </w:rPr>
              <w:t>运维</w:t>
            </w:r>
            <w:r>
              <w:rPr>
                <w:rFonts w:cs="Times New Roman"/>
                <w:color w:val="000000"/>
                <w:kern w:val="0"/>
                <w:sz w:val="22"/>
                <w:szCs w:val="22"/>
              </w:rPr>
              <w:t>工程师</w:t>
            </w:r>
          </w:p>
        </w:tc>
        <w:tc>
          <w:tcPr>
            <w:tcW w:w="1950" w:type="dxa"/>
            <w:shd w:val="clear" w:color="auto" w:fill="auto"/>
            <w:noWrap/>
            <w:vAlign w:val="center"/>
          </w:tcPr>
          <w:p w14:paraId="6FD2E533">
            <w:pPr>
              <w:spacing w:line="240" w:lineRule="auto"/>
              <w:ind w:firstLine="0" w:firstLineChars="0"/>
              <w:jc w:val="center"/>
              <w:rPr>
                <w:rFonts w:cs="Times New Roman"/>
                <w:sz w:val="22"/>
                <w:szCs w:val="22"/>
              </w:rPr>
            </w:pPr>
            <w:r>
              <w:rPr>
                <w:rFonts w:cs="Times New Roman"/>
                <w:color w:val="000000"/>
                <w:kern w:val="0"/>
                <w:sz w:val="22"/>
                <w:szCs w:val="22"/>
              </w:rPr>
              <w:t>负责项目运行及维护</w:t>
            </w:r>
          </w:p>
        </w:tc>
        <w:tc>
          <w:tcPr>
            <w:tcW w:w="1387" w:type="dxa"/>
            <w:shd w:val="clear" w:color="auto" w:fill="auto"/>
            <w:noWrap/>
            <w:vAlign w:val="center"/>
          </w:tcPr>
          <w:p w14:paraId="08AFC89F">
            <w:pPr>
              <w:spacing w:line="240" w:lineRule="auto"/>
              <w:ind w:firstLine="0" w:firstLineChars="0"/>
              <w:jc w:val="center"/>
              <w:rPr>
                <w:rFonts w:cs="Times New Roman"/>
                <w:sz w:val="22"/>
                <w:szCs w:val="22"/>
              </w:rPr>
            </w:pPr>
            <w:r>
              <w:rPr>
                <w:rFonts w:hint="eastAsia" w:cs="Times New Roman"/>
                <w:color w:val="000000"/>
                <w:kern w:val="0"/>
                <w:sz w:val="22"/>
                <w:szCs w:val="22"/>
              </w:rPr>
              <w:t>2</w:t>
            </w:r>
            <w:r>
              <w:rPr>
                <w:rFonts w:cs="Times New Roman"/>
                <w:color w:val="000000"/>
                <w:kern w:val="0"/>
                <w:sz w:val="22"/>
                <w:szCs w:val="22"/>
              </w:rPr>
              <w:t>人</w:t>
            </w:r>
          </w:p>
        </w:tc>
        <w:tc>
          <w:tcPr>
            <w:tcW w:w="2681" w:type="dxa"/>
            <w:vAlign w:val="center"/>
          </w:tcPr>
          <w:p w14:paraId="5AB02F3C">
            <w:pPr>
              <w:spacing w:line="240" w:lineRule="auto"/>
              <w:ind w:firstLine="0" w:firstLineChars="0"/>
              <w:jc w:val="center"/>
              <w:rPr>
                <w:rFonts w:cs="Times New Roman"/>
                <w:sz w:val="22"/>
                <w:szCs w:val="22"/>
              </w:rPr>
            </w:pPr>
            <w:r>
              <w:rPr>
                <w:rFonts w:cs="Times New Roman"/>
                <w:color w:val="000000"/>
                <w:kern w:val="0"/>
                <w:sz w:val="22"/>
                <w:szCs w:val="22"/>
              </w:rPr>
              <w:t>本科及以上学历</w:t>
            </w:r>
          </w:p>
        </w:tc>
        <w:tc>
          <w:tcPr>
            <w:tcW w:w="1107" w:type="dxa"/>
            <w:shd w:val="clear" w:color="auto" w:fill="auto"/>
            <w:noWrap/>
            <w:vAlign w:val="center"/>
          </w:tcPr>
          <w:p w14:paraId="341108D5">
            <w:pPr>
              <w:spacing w:line="240" w:lineRule="auto"/>
              <w:ind w:firstLine="0" w:firstLineChars="0"/>
              <w:jc w:val="center"/>
              <w:rPr>
                <w:rFonts w:cs="Times New Roman"/>
                <w:sz w:val="22"/>
                <w:szCs w:val="22"/>
              </w:rPr>
            </w:pPr>
            <w:r>
              <w:rPr>
                <w:rFonts w:hint="eastAsia" w:cs="Times New Roman"/>
                <w:color w:val="000000"/>
                <w:kern w:val="0"/>
                <w:sz w:val="22"/>
                <w:szCs w:val="22"/>
              </w:rPr>
              <w:t>不</w:t>
            </w:r>
            <w:r>
              <w:rPr>
                <w:rFonts w:cs="Times New Roman"/>
                <w:color w:val="000000"/>
                <w:kern w:val="0"/>
                <w:sz w:val="22"/>
                <w:szCs w:val="22"/>
              </w:rPr>
              <w:t>驻场</w:t>
            </w:r>
          </w:p>
        </w:tc>
      </w:tr>
    </w:tbl>
    <w:p w14:paraId="0BCCCFCC">
      <w:pPr>
        <w:pStyle w:val="3"/>
        <w:rPr>
          <w:rFonts w:cs="Times New Roman"/>
        </w:rPr>
      </w:pPr>
      <w:bookmarkStart w:id="12" w:name="_Toc63785511"/>
      <w:r>
        <w:rPr>
          <w:rFonts w:cs="Times New Roman"/>
        </w:rPr>
        <w:t>等级保护要求</w:t>
      </w:r>
      <w:bookmarkEnd w:id="12"/>
    </w:p>
    <w:p w14:paraId="4FD944F6">
      <w:pPr>
        <w:ind w:firstLine="480"/>
        <w:rPr>
          <w:rFonts w:cs="Times New Roman"/>
        </w:rPr>
      </w:pPr>
      <w:r>
        <w:rPr>
          <w:rFonts w:hint="eastAsia" w:cs="Times New Roman"/>
        </w:rPr>
        <w:t>本项目参照信息系统安全等保二级建设。</w:t>
      </w:r>
    </w:p>
    <w:p w14:paraId="4D9E7C7A">
      <w:pPr>
        <w:pStyle w:val="3"/>
        <w:rPr>
          <w:rFonts w:cs="Times New Roman"/>
        </w:rPr>
      </w:pPr>
      <w:r>
        <w:rPr>
          <w:rFonts w:cs="Times New Roman"/>
        </w:rPr>
        <w:t>商业密码应用需求</w:t>
      </w:r>
    </w:p>
    <w:p w14:paraId="541A3534">
      <w:pPr>
        <w:ind w:firstLine="480"/>
        <w:rPr>
          <w:rFonts w:cs="Times New Roman"/>
        </w:rPr>
      </w:pPr>
      <w:r>
        <w:rPr>
          <w:rFonts w:cs="Times New Roman"/>
        </w:rPr>
        <w:t>系统相关功能设计需要使用国密算法标准，项目完成后需要通过商用密码应用安全性评估。</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831"/>
        <w:gridCol w:w="4650"/>
        <w:gridCol w:w="1324"/>
      </w:tblGrid>
      <w:tr w14:paraId="4A71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pct"/>
            <w:shd w:val="clear" w:color="auto" w:fill="auto"/>
            <w:vAlign w:val="center"/>
          </w:tcPr>
          <w:p w14:paraId="412FB7DD">
            <w:pPr>
              <w:pStyle w:val="35"/>
              <w:spacing w:line="240" w:lineRule="auto"/>
              <w:rPr>
                <w:rFonts w:cs="Times New Roman"/>
                <w:b/>
                <w:bCs/>
                <w:sz w:val="21"/>
                <w:szCs w:val="21"/>
              </w:rPr>
            </w:pPr>
            <w:r>
              <w:rPr>
                <w:rFonts w:cs="Times New Roman"/>
                <w:b/>
                <w:bCs/>
                <w:sz w:val="21"/>
                <w:szCs w:val="21"/>
              </w:rPr>
              <w:t>安全层面</w:t>
            </w:r>
          </w:p>
        </w:tc>
        <w:tc>
          <w:tcPr>
            <w:tcW w:w="1074" w:type="pct"/>
            <w:shd w:val="clear" w:color="auto" w:fill="auto"/>
            <w:vAlign w:val="center"/>
          </w:tcPr>
          <w:p w14:paraId="5EAD68B5">
            <w:pPr>
              <w:pStyle w:val="35"/>
              <w:spacing w:line="240" w:lineRule="auto"/>
              <w:rPr>
                <w:rFonts w:cs="Times New Roman"/>
                <w:b/>
                <w:bCs/>
                <w:sz w:val="21"/>
                <w:szCs w:val="21"/>
              </w:rPr>
            </w:pPr>
            <w:r>
              <w:rPr>
                <w:rFonts w:cs="Times New Roman"/>
                <w:b/>
                <w:bCs/>
                <w:sz w:val="21"/>
                <w:szCs w:val="21"/>
              </w:rPr>
              <w:t>密码技术应用点</w:t>
            </w:r>
          </w:p>
        </w:tc>
        <w:tc>
          <w:tcPr>
            <w:tcW w:w="2728" w:type="pct"/>
            <w:shd w:val="clear" w:color="auto" w:fill="auto"/>
            <w:vAlign w:val="center"/>
          </w:tcPr>
          <w:p w14:paraId="3D96D646">
            <w:pPr>
              <w:pStyle w:val="35"/>
              <w:spacing w:line="240" w:lineRule="auto"/>
              <w:rPr>
                <w:rFonts w:cs="Times New Roman"/>
                <w:b/>
                <w:bCs/>
                <w:sz w:val="21"/>
                <w:szCs w:val="21"/>
              </w:rPr>
            </w:pPr>
            <w:r>
              <w:rPr>
                <w:rFonts w:cs="Times New Roman"/>
                <w:b/>
                <w:bCs/>
                <w:sz w:val="21"/>
                <w:szCs w:val="21"/>
              </w:rPr>
              <w:t>密码应用需求</w:t>
            </w:r>
          </w:p>
        </w:tc>
        <w:tc>
          <w:tcPr>
            <w:tcW w:w="777" w:type="pct"/>
            <w:shd w:val="clear" w:color="auto" w:fill="auto"/>
            <w:vAlign w:val="center"/>
          </w:tcPr>
          <w:p w14:paraId="5EA71232">
            <w:pPr>
              <w:pStyle w:val="35"/>
              <w:spacing w:line="240" w:lineRule="auto"/>
              <w:rPr>
                <w:rFonts w:cs="Times New Roman"/>
                <w:b/>
                <w:bCs/>
                <w:sz w:val="21"/>
                <w:szCs w:val="21"/>
              </w:rPr>
            </w:pPr>
            <w:r>
              <w:rPr>
                <w:rFonts w:cs="Times New Roman"/>
                <w:b/>
                <w:bCs/>
                <w:sz w:val="21"/>
                <w:szCs w:val="21"/>
              </w:rPr>
              <w:t>说明</w:t>
            </w:r>
          </w:p>
        </w:tc>
      </w:tr>
      <w:tr w14:paraId="7DF8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pct"/>
            <w:vMerge w:val="restart"/>
            <w:vAlign w:val="center"/>
          </w:tcPr>
          <w:p w14:paraId="0FEC3B89">
            <w:pPr>
              <w:pStyle w:val="35"/>
              <w:spacing w:line="240" w:lineRule="auto"/>
              <w:rPr>
                <w:rFonts w:cs="Times New Roman"/>
                <w:sz w:val="21"/>
                <w:szCs w:val="21"/>
              </w:rPr>
            </w:pPr>
            <w:r>
              <w:rPr>
                <w:rFonts w:cs="Times New Roman"/>
                <w:sz w:val="21"/>
                <w:szCs w:val="21"/>
              </w:rPr>
              <w:t>物理和环境安全</w:t>
            </w:r>
          </w:p>
        </w:tc>
        <w:tc>
          <w:tcPr>
            <w:tcW w:w="1074" w:type="pct"/>
            <w:vAlign w:val="center"/>
          </w:tcPr>
          <w:p w14:paraId="74B4B5A2">
            <w:pPr>
              <w:pStyle w:val="35"/>
              <w:spacing w:line="240" w:lineRule="auto"/>
              <w:rPr>
                <w:rFonts w:cs="Times New Roman"/>
                <w:sz w:val="21"/>
                <w:szCs w:val="21"/>
              </w:rPr>
            </w:pPr>
            <w:r>
              <w:rPr>
                <w:rFonts w:cs="Times New Roman"/>
                <w:sz w:val="21"/>
                <w:szCs w:val="21"/>
              </w:rPr>
              <w:t>身份鉴别</w:t>
            </w:r>
          </w:p>
        </w:tc>
        <w:tc>
          <w:tcPr>
            <w:tcW w:w="2728" w:type="pct"/>
            <w:vMerge w:val="restart"/>
            <w:vAlign w:val="center"/>
          </w:tcPr>
          <w:p w14:paraId="53A8F0E6">
            <w:pPr>
              <w:pStyle w:val="35"/>
              <w:spacing w:line="240" w:lineRule="auto"/>
              <w:rPr>
                <w:rFonts w:cs="Times New Roman"/>
                <w:sz w:val="21"/>
                <w:szCs w:val="21"/>
              </w:rPr>
            </w:pPr>
            <w:r>
              <w:rPr>
                <w:rFonts w:cs="Times New Roman"/>
                <w:sz w:val="21"/>
                <w:szCs w:val="21"/>
              </w:rPr>
              <w:t>系统的物理和环境安全由云平台提供安全保障，适用。</w:t>
            </w:r>
          </w:p>
        </w:tc>
        <w:tc>
          <w:tcPr>
            <w:tcW w:w="777" w:type="pct"/>
            <w:vMerge w:val="restart"/>
            <w:vAlign w:val="center"/>
          </w:tcPr>
          <w:p w14:paraId="132E9ADF">
            <w:pPr>
              <w:pStyle w:val="35"/>
              <w:spacing w:line="240" w:lineRule="auto"/>
              <w:rPr>
                <w:rFonts w:cs="Times New Roman"/>
                <w:sz w:val="21"/>
                <w:szCs w:val="21"/>
              </w:rPr>
            </w:pPr>
            <w:r>
              <w:rPr>
                <w:rFonts w:cs="Times New Roman"/>
                <w:sz w:val="21"/>
                <w:szCs w:val="21"/>
              </w:rPr>
              <w:t>云平台通过密评，已被完全评估。</w:t>
            </w:r>
          </w:p>
        </w:tc>
      </w:tr>
      <w:tr w14:paraId="5DA1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pct"/>
            <w:vMerge w:val="continue"/>
            <w:vAlign w:val="center"/>
          </w:tcPr>
          <w:p w14:paraId="33BF5900">
            <w:pPr>
              <w:pStyle w:val="35"/>
              <w:spacing w:line="240" w:lineRule="auto"/>
              <w:rPr>
                <w:rFonts w:cs="Times New Roman"/>
                <w:sz w:val="21"/>
                <w:szCs w:val="21"/>
              </w:rPr>
            </w:pPr>
          </w:p>
        </w:tc>
        <w:tc>
          <w:tcPr>
            <w:tcW w:w="1074" w:type="pct"/>
            <w:vAlign w:val="center"/>
          </w:tcPr>
          <w:p w14:paraId="4EC62F96">
            <w:pPr>
              <w:pStyle w:val="35"/>
              <w:spacing w:line="240" w:lineRule="auto"/>
              <w:rPr>
                <w:rFonts w:cs="Times New Roman"/>
                <w:sz w:val="21"/>
                <w:szCs w:val="21"/>
              </w:rPr>
            </w:pPr>
            <w:r>
              <w:rPr>
                <w:rFonts w:cs="Times New Roman"/>
                <w:sz w:val="21"/>
                <w:szCs w:val="21"/>
              </w:rPr>
              <w:t>电子门禁记录数</w:t>
            </w:r>
          </w:p>
          <w:p w14:paraId="241C7E7C">
            <w:pPr>
              <w:pStyle w:val="35"/>
              <w:spacing w:line="240" w:lineRule="auto"/>
              <w:rPr>
                <w:rFonts w:cs="Times New Roman"/>
                <w:sz w:val="21"/>
                <w:szCs w:val="21"/>
              </w:rPr>
            </w:pPr>
            <w:r>
              <w:rPr>
                <w:rFonts w:cs="Times New Roman"/>
                <w:sz w:val="21"/>
                <w:szCs w:val="21"/>
              </w:rPr>
              <w:t>据完整性</w:t>
            </w:r>
          </w:p>
        </w:tc>
        <w:tc>
          <w:tcPr>
            <w:tcW w:w="2728" w:type="pct"/>
            <w:vMerge w:val="continue"/>
            <w:vAlign w:val="center"/>
          </w:tcPr>
          <w:p w14:paraId="742D3196">
            <w:pPr>
              <w:pStyle w:val="35"/>
              <w:spacing w:line="240" w:lineRule="auto"/>
              <w:rPr>
                <w:rFonts w:cs="Times New Roman"/>
                <w:sz w:val="21"/>
                <w:szCs w:val="21"/>
              </w:rPr>
            </w:pPr>
          </w:p>
        </w:tc>
        <w:tc>
          <w:tcPr>
            <w:tcW w:w="777" w:type="pct"/>
            <w:vMerge w:val="continue"/>
            <w:vAlign w:val="center"/>
          </w:tcPr>
          <w:p w14:paraId="04D43FD5">
            <w:pPr>
              <w:pStyle w:val="35"/>
              <w:spacing w:line="240" w:lineRule="auto"/>
              <w:rPr>
                <w:rFonts w:cs="Times New Roman"/>
                <w:sz w:val="21"/>
                <w:szCs w:val="21"/>
              </w:rPr>
            </w:pPr>
          </w:p>
        </w:tc>
      </w:tr>
      <w:tr w14:paraId="4B92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pct"/>
            <w:vMerge w:val="continue"/>
            <w:vAlign w:val="center"/>
          </w:tcPr>
          <w:p w14:paraId="166192DB">
            <w:pPr>
              <w:pStyle w:val="35"/>
              <w:spacing w:line="240" w:lineRule="auto"/>
              <w:rPr>
                <w:rFonts w:cs="Times New Roman"/>
                <w:sz w:val="21"/>
                <w:szCs w:val="21"/>
              </w:rPr>
            </w:pPr>
          </w:p>
        </w:tc>
        <w:tc>
          <w:tcPr>
            <w:tcW w:w="1074" w:type="pct"/>
            <w:vAlign w:val="center"/>
          </w:tcPr>
          <w:p w14:paraId="384BA091">
            <w:pPr>
              <w:pStyle w:val="35"/>
              <w:spacing w:line="240" w:lineRule="auto"/>
              <w:rPr>
                <w:rFonts w:cs="Times New Roman"/>
                <w:sz w:val="21"/>
                <w:szCs w:val="21"/>
              </w:rPr>
            </w:pPr>
            <w:r>
              <w:rPr>
                <w:rFonts w:cs="Times New Roman"/>
                <w:sz w:val="21"/>
                <w:szCs w:val="21"/>
              </w:rPr>
              <w:t>密码服务</w:t>
            </w:r>
          </w:p>
        </w:tc>
        <w:tc>
          <w:tcPr>
            <w:tcW w:w="2728" w:type="pct"/>
            <w:vMerge w:val="continue"/>
            <w:vAlign w:val="center"/>
          </w:tcPr>
          <w:p w14:paraId="485BBFAE">
            <w:pPr>
              <w:pStyle w:val="35"/>
              <w:spacing w:line="240" w:lineRule="auto"/>
              <w:rPr>
                <w:rFonts w:cs="Times New Roman"/>
                <w:sz w:val="21"/>
                <w:szCs w:val="21"/>
              </w:rPr>
            </w:pPr>
          </w:p>
        </w:tc>
        <w:tc>
          <w:tcPr>
            <w:tcW w:w="777" w:type="pct"/>
            <w:vMerge w:val="continue"/>
            <w:vAlign w:val="center"/>
          </w:tcPr>
          <w:p w14:paraId="02D54A5C">
            <w:pPr>
              <w:pStyle w:val="35"/>
              <w:spacing w:line="240" w:lineRule="auto"/>
              <w:rPr>
                <w:rFonts w:cs="Times New Roman"/>
                <w:sz w:val="21"/>
                <w:szCs w:val="21"/>
              </w:rPr>
            </w:pPr>
          </w:p>
        </w:tc>
      </w:tr>
      <w:tr w14:paraId="20CE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pct"/>
            <w:vMerge w:val="continue"/>
            <w:vAlign w:val="center"/>
          </w:tcPr>
          <w:p w14:paraId="49359064">
            <w:pPr>
              <w:pStyle w:val="35"/>
              <w:spacing w:line="240" w:lineRule="auto"/>
              <w:rPr>
                <w:rFonts w:cs="Times New Roman"/>
                <w:sz w:val="21"/>
                <w:szCs w:val="21"/>
              </w:rPr>
            </w:pPr>
          </w:p>
        </w:tc>
        <w:tc>
          <w:tcPr>
            <w:tcW w:w="1074" w:type="pct"/>
            <w:vAlign w:val="center"/>
          </w:tcPr>
          <w:p w14:paraId="26F13B73">
            <w:pPr>
              <w:pStyle w:val="35"/>
              <w:spacing w:line="240" w:lineRule="auto"/>
              <w:rPr>
                <w:rFonts w:cs="Times New Roman"/>
                <w:sz w:val="21"/>
                <w:szCs w:val="21"/>
              </w:rPr>
            </w:pPr>
            <w:r>
              <w:rPr>
                <w:rFonts w:cs="Times New Roman"/>
                <w:sz w:val="21"/>
                <w:szCs w:val="21"/>
              </w:rPr>
              <w:t>密码产品</w:t>
            </w:r>
          </w:p>
        </w:tc>
        <w:tc>
          <w:tcPr>
            <w:tcW w:w="2728" w:type="pct"/>
            <w:vMerge w:val="continue"/>
            <w:vAlign w:val="center"/>
          </w:tcPr>
          <w:p w14:paraId="0F826C91">
            <w:pPr>
              <w:pStyle w:val="35"/>
              <w:spacing w:line="240" w:lineRule="auto"/>
              <w:rPr>
                <w:rFonts w:cs="Times New Roman"/>
                <w:sz w:val="21"/>
                <w:szCs w:val="21"/>
              </w:rPr>
            </w:pPr>
          </w:p>
        </w:tc>
        <w:tc>
          <w:tcPr>
            <w:tcW w:w="777" w:type="pct"/>
            <w:vMerge w:val="continue"/>
            <w:vAlign w:val="center"/>
          </w:tcPr>
          <w:p w14:paraId="198BBC96">
            <w:pPr>
              <w:pStyle w:val="35"/>
              <w:spacing w:line="240" w:lineRule="auto"/>
              <w:rPr>
                <w:rFonts w:cs="Times New Roman"/>
                <w:sz w:val="21"/>
                <w:szCs w:val="21"/>
              </w:rPr>
            </w:pPr>
          </w:p>
        </w:tc>
      </w:tr>
      <w:tr w14:paraId="64E9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pct"/>
            <w:vMerge w:val="restart"/>
            <w:vAlign w:val="center"/>
          </w:tcPr>
          <w:p w14:paraId="2EDEB199">
            <w:pPr>
              <w:pStyle w:val="35"/>
              <w:spacing w:line="240" w:lineRule="auto"/>
              <w:rPr>
                <w:rFonts w:cs="Times New Roman"/>
                <w:sz w:val="21"/>
                <w:szCs w:val="21"/>
              </w:rPr>
            </w:pPr>
            <w:r>
              <w:rPr>
                <w:rFonts w:cs="Times New Roman"/>
                <w:sz w:val="21"/>
                <w:szCs w:val="21"/>
              </w:rPr>
              <w:t>网络和通信安全</w:t>
            </w:r>
          </w:p>
        </w:tc>
        <w:tc>
          <w:tcPr>
            <w:tcW w:w="1074" w:type="pct"/>
            <w:vMerge w:val="restart"/>
            <w:vAlign w:val="center"/>
          </w:tcPr>
          <w:p w14:paraId="3050183E">
            <w:pPr>
              <w:pStyle w:val="35"/>
              <w:spacing w:line="240" w:lineRule="auto"/>
              <w:rPr>
                <w:rFonts w:cs="Times New Roman"/>
                <w:sz w:val="21"/>
                <w:szCs w:val="21"/>
              </w:rPr>
            </w:pPr>
            <w:r>
              <w:rPr>
                <w:rFonts w:cs="Times New Roman"/>
                <w:sz w:val="21"/>
                <w:szCs w:val="21"/>
              </w:rPr>
              <w:t>身份鉴别</w:t>
            </w:r>
          </w:p>
        </w:tc>
        <w:tc>
          <w:tcPr>
            <w:tcW w:w="2728" w:type="pct"/>
            <w:vAlign w:val="center"/>
          </w:tcPr>
          <w:p w14:paraId="0BBEDE50">
            <w:pPr>
              <w:pStyle w:val="35"/>
              <w:spacing w:line="240" w:lineRule="auto"/>
              <w:rPr>
                <w:rFonts w:cs="Times New Roman"/>
                <w:sz w:val="21"/>
                <w:szCs w:val="21"/>
              </w:rPr>
            </w:pPr>
            <w:r>
              <w:rPr>
                <w:rFonts w:cs="Times New Roman"/>
                <w:sz w:val="21"/>
                <w:szCs w:val="21"/>
              </w:rPr>
              <w:t>确保用户端和服务端通信实体身份的真实性，防止与假冒实体进行通信</w:t>
            </w:r>
          </w:p>
        </w:tc>
        <w:tc>
          <w:tcPr>
            <w:tcW w:w="777" w:type="pct"/>
            <w:vAlign w:val="center"/>
          </w:tcPr>
          <w:p w14:paraId="34636A18">
            <w:pPr>
              <w:pStyle w:val="35"/>
              <w:spacing w:line="240" w:lineRule="auto"/>
              <w:rPr>
                <w:rFonts w:cs="Times New Roman"/>
                <w:sz w:val="21"/>
                <w:szCs w:val="21"/>
              </w:rPr>
            </w:pPr>
            <w:r>
              <w:rPr>
                <w:rFonts w:cs="Times New Roman"/>
                <w:sz w:val="21"/>
                <w:szCs w:val="21"/>
              </w:rPr>
              <w:t>无</w:t>
            </w:r>
          </w:p>
        </w:tc>
      </w:tr>
      <w:tr w14:paraId="57F6E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pct"/>
            <w:vMerge w:val="continue"/>
            <w:vAlign w:val="center"/>
          </w:tcPr>
          <w:p w14:paraId="7F7756AF">
            <w:pPr>
              <w:pStyle w:val="35"/>
              <w:spacing w:line="240" w:lineRule="auto"/>
              <w:rPr>
                <w:rFonts w:cs="Times New Roman"/>
                <w:sz w:val="21"/>
                <w:szCs w:val="21"/>
              </w:rPr>
            </w:pPr>
          </w:p>
        </w:tc>
        <w:tc>
          <w:tcPr>
            <w:tcW w:w="1074" w:type="pct"/>
            <w:vMerge w:val="continue"/>
            <w:vAlign w:val="center"/>
          </w:tcPr>
          <w:p w14:paraId="20458138">
            <w:pPr>
              <w:pStyle w:val="35"/>
              <w:spacing w:line="240" w:lineRule="auto"/>
              <w:rPr>
                <w:rFonts w:cs="Times New Roman"/>
                <w:sz w:val="21"/>
                <w:szCs w:val="21"/>
              </w:rPr>
            </w:pPr>
          </w:p>
        </w:tc>
        <w:tc>
          <w:tcPr>
            <w:tcW w:w="2728" w:type="pct"/>
            <w:vAlign w:val="center"/>
          </w:tcPr>
          <w:p w14:paraId="257B0EBF">
            <w:pPr>
              <w:pStyle w:val="35"/>
              <w:spacing w:line="240" w:lineRule="auto"/>
              <w:rPr>
                <w:rFonts w:cs="Times New Roman"/>
                <w:sz w:val="21"/>
                <w:szCs w:val="21"/>
              </w:rPr>
            </w:pPr>
            <w:r>
              <w:rPr>
                <w:rFonts w:cs="Times New Roman"/>
                <w:sz w:val="21"/>
                <w:szCs w:val="21"/>
              </w:rPr>
              <w:t>管理端的身份鉴别由云平台提供安全保障，不适用</w:t>
            </w:r>
          </w:p>
        </w:tc>
        <w:tc>
          <w:tcPr>
            <w:tcW w:w="777" w:type="pct"/>
            <w:vAlign w:val="center"/>
          </w:tcPr>
          <w:p w14:paraId="7CF18136">
            <w:pPr>
              <w:pStyle w:val="35"/>
              <w:spacing w:line="240" w:lineRule="auto"/>
              <w:rPr>
                <w:rFonts w:cs="Times New Roman"/>
                <w:sz w:val="21"/>
                <w:szCs w:val="21"/>
              </w:rPr>
            </w:pPr>
            <w:r>
              <w:rPr>
                <w:rFonts w:cs="Times New Roman"/>
                <w:sz w:val="21"/>
                <w:szCs w:val="21"/>
              </w:rPr>
              <w:t>云平台通过密评，已被完全评估。</w:t>
            </w:r>
          </w:p>
        </w:tc>
      </w:tr>
      <w:tr w14:paraId="6363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pct"/>
            <w:vMerge w:val="continue"/>
            <w:vAlign w:val="center"/>
          </w:tcPr>
          <w:p w14:paraId="371279EF">
            <w:pPr>
              <w:pStyle w:val="35"/>
              <w:spacing w:line="240" w:lineRule="auto"/>
              <w:rPr>
                <w:rFonts w:cs="Times New Roman"/>
                <w:sz w:val="21"/>
                <w:szCs w:val="21"/>
              </w:rPr>
            </w:pPr>
          </w:p>
        </w:tc>
        <w:tc>
          <w:tcPr>
            <w:tcW w:w="1074" w:type="pct"/>
            <w:vMerge w:val="restart"/>
            <w:vAlign w:val="center"/>
          </w:tcPr>
          <w:p w14:paraId="5ADCA1AF">
            <w:pPr>
              <w:pStyle w:val="35"/>
              <w:spacing w:line="240" w:lineRule="auto"/>
              <w:rPr>
                <w:rFonts w:cs="Times New Roman"/>
                <w:sz w:val="21"/>
                <w:szCs w:val="21"/>
              </w:rPr>
            </w:pPr>
            <w:r>
              <w:rPr>
                <w:rFonts w:cs="Times New Roman"/>
                <w:sz w:val="21"/>
                <w:szCs w:val="21"/>
              </w:rPr>
              <w:t>通信数据完整性</w:t>
            </w:r>
          </w:p>
        </w:tc>
        <w:tc>
          <w:tcPr>
            <w:tcW w:w="2728" w:type="pct"/>
            <w:vAlign w:val="center"/>
          </w:tcPr>
          <w:p w14:paraId="5D33AAF0">
            <w:pPr>
              <w:pStyle w:val="35"/>
              <w:spacing w:line="240" w:lineRule="auto"/>
              <w:rPr>
                <w:rFonts w:cs="Times New Roman"/>
                <w:sz w:val="21"/>
                <w:szCs w:val="21"/>
              </w:rPr>
            </w:pPr>
            <w:r>
              <w:rPr>
                <w:rFonts w:cs="Times New Roman"/>
                <w:sz w:val="21"/>
                <w:szCs w:val="21"/>
              </w:rPr>
              <w:t>保护用户端和服务端通信过程中业务数据的完整性，防止数据被非授权篡改。</w:t>
            </w:r>
          </w:p>
        </w:tc>
        <w:tc>
          <w:tcPr>
            <w:tcW w:w="777" w:type="pct"/>
            <w:vAlign w:val="center"/>
          </w:tcPr>
          <w:p w14:paraId="22319667">
            <w:pPr>
              <w:pStyle w:val="35"/>
              <w:spacing w:line="240" w:lineRule="auto"/>
              <w:rPr>
                <w:rFonts w:cs="Times New Roman"/>
                <w:sz w:val="21"/>
                <w:szCs w:val="21"/>
              </w:rPr>
            </w:pPr>
            <w:r>
              <w:rPr>
                <w:rFonts w:cs="Times New Roman"/>
                <w:sz w:val="21"/>
                <w:szCs w:val="21"/>
              </w:rPr>
              <w:t>无</w:t>
            </w:r>
          </w:p>
        </w:tc>
      </w:tr>
      <w:tr w14:paraId="51AF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pct"/>
            <w:vMerge w:val="continue"/>
            <w:vAlign w:val="center"/>
          </w:tcPr>
          <w:p w14:paraId="7FE6C572">
            <w:pPr>
              <w:pStyle w:val="35"/>
              <w:spacing w:line="240" w:lineRule="auto"/>
              <w:rPr>
                <w:rFonts w:cs="Times New Roman"/>
                <w:sz w:val="21"/>
                <w:szCs w:val="21"/>
              </w:rPr>
            </w:pPr>
          </w:p>
        </w:tc>
        <w:tc>
          <w:tcPr>
            <w:tcW w:w="1074" w:type="pct"/>
            <w:vMerge w:val="continue"/>
            <w:vAlign w:val="center"/>
          </w:tcPr>
          <w:p w14:paraId="5331ABDC">
            <w:pPr>
              <w:pStyle w:val="35"/>
              <w:spacing w:line="240" w:lineRule="auto"/>
              <w:rPr>
                <w:rFonts w:cs="Times New Roman"/>
                <w:sz w:val="21"/>
                <w:szCs w:val="21"/>
              </w:rPr>
            </w:pPr>
          </w:p>
        </w:tc>
        <w:tc>
          <w:tcPr>
            <w:tcW w:w="2728" w:type="pct"/>
            <w:vAlign w:val="center"/>
          </w:tcPr>
          <w:p w14:paraId="339B0418">
            <w:pPr>
              <w:pStyle w:val="35"/>
              <w:spacing w:line="240" w:lineRule="auto"/>
              <w:rPr>
                <w:rFonts w:cs="Times New Roman"/>
                <w:sz w:val="21"/>
                <w:szCs w:val="21"/>
              </w:rPr>
            </w:pPr>
            <w:r>
              <w:rPr>
                <w:rFonts w:cs="Times New Roman"/>
                <w:sz w:val="21"/>
                <w:szCs w:val="21"/>
              </w:rPr>
              <w:t>管理端进行远程运维管理时的运维通信数据完整性由云平台提供安全保障，不适用。</w:t>
            </w:r>
          </w:p>
        </w:tc>
        <w:tc>
          <w:tcPr>
            <w:tcW w:w="777" w:type="pct"/>
            <w:vAlign w:val="center"/>
          </w:tcPr>
          <w:p w14:paraId="5CF8D925">
            <w:pPr>
              <w:pStyle w:val="35"/>
              <w:spacing w:line="240" w:lineRule="auto"/>
              <w:rPr>
                <w:rFonts w:cs="Times New Roman"/>
                <w:sz w:val="21"/>
                <w:szCs w:val="21"/>
              </w:rPr>
            </w:pPr>
            <w:r>
              <w:rPr>
                <w:rFonts w:cs="Times New Roman"/>
                <w:sz w:val="21"/>
                <w:szCs w:val="21"/>
              </w:rPr>
              <w:t>云平台通过密评，已被完全评估。</w:t>
            </w:r>
          </w:p>
        </w:tc>
      </w:tr>
      <w:tr w14:paraId="283E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pct"/>
            <w:vMerge w:val="continue"/>
            <w:vAlign w:val="center"/>
          </w:tcPr>
          <w:p w14:paraId="4BEE1BB9">
            <w:pPr>
              <w:pStyle w:val="35"/>
              <w:spacing w:line="240" w:lineRule="auto"/>
              <w:rPr>
                <w:rFonts w:cs="Times New Roman"/>
                <w:sz w:val="21"/>
                <w:szCs w:val="21"/>
              </w:rPr>
            </w:pPr>
          </w:p>
        </w:tc>
        <w:tc>
          <w:tcPr>
            <w:tcW w:w="1074" w:type="pct"/>
            <w:vMerge w:val="restart"/>
            <w:vAlign w:val="center"/>
          </w:tcPr>
          <w:p w14:paraId="08AA601A">
            <w:pPr>
              <w:pStyle w:val="35"/>
              <w:spacing w:line="240" w:lineRule="auto"/>
              <w:rPr>
                <w:rFonts w:cs="Times New Roman"/>
                <w:sz w:val="21"/>
                <w:szCs w:val="21"/>
              </w:rPr>
            </w:pPr>
            <w:r>
              <w:rPr>
                <w:rFonts w:cs="Times New Roman"/>
                <w:sz w:val="21"/>
                <w:szCs w:val="21"/>
              </w:rPr>
              <w:t>通信过程中重要数据的机密性</w:t>
            </w:r>
          </w:p>
        </w:tc>
        <w:tc>
          <w:tcPr>
            <w:tcW w:w="2728" w:type="pct"/>
            <w:vAlign w:val="center"/>
          </w:tcPr>
          <w:p w14:paraId="0B357B66">
            <w:pPr>
              <w:pStyle w:val="35"/>
              <w:spacing w:line="240" w:lineRule="auto"/>
              <w:rPr>
                <w:rFonts w:cs="Times New Roman"/>
                <w:sz w:val="21"/>
                <w:szCs w:val="21"/>
              </w:rPr>
            </w:pPr>
            <w:r>
              <w:rPr>
                <w:rFonts w:cs="Times New Roman"/>
                <w:sz w:val="21"/>
                <w:szCs w:val="21"/>
              </w:rPr>
              <w:t>保护用户端和服务端通信过程中业务数据的机密性，防止敏感数据泄露</w:t>
            </w:r>
          </w:p>
        </w:tc>
        <w:tc>
          <w:tcPr>
            <w:tcW w:w="777" w:type="pct"/>
            <w:vAlign w:val="center"/>
          </w:tcPr>
          <w:p w14:paraId="1DCBA324">
            <w:pPr>
              <w:pStyle w:val="35"/>
              <w:spacing w:line="240" w:lineRule="auto"/>
              <w:rPr>
                <w:rFonts w:cs="Times New Roman"/>
                <w:sz w:val="21"/>
                <w:szCs w:val="21"/>
              </w:rPr>
            </w:pPr>
            <w:r>
              <w:rPr>
                <w:rFonts w:cs="Times New Roman"/>
                <w:sz w:val="21"/>
                <w:szCs w:val="21"/>
              </w:rPr>
              <w:t>无</w:t>
            </w:r>
          </w:p>
        </w:tc>
      </w:tr>
      <w:tr w14:paraId="34A9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pct"/>
            <w:vMerge w:val="continue"/>
            <w:vAlign w:val="center"/>
          </w:tcPr>
          <w:p w14:paraId="7C0B4EE6">
            <w:pPr>
              <w:pStyle w:val="35"/>
              <w:spacing w:line="240" w:lineRule="auto"/>
              <w:rPr>
                <w:rFonts w:cs="Times New Roman"/>
                <w:sz w:val="21"/>
                <w:szCs w:val="21"/>
              </w:rPr>
            </w:pPr>
          </w:p>
        </w:tc>
        <w:tc>
          <w:tcPr>
            <w:tcW w:w="1074" w:type="pct"/>
            <w:vMerge w:val="continue"/>
            <w:vAlign w:val="center"/>
          </w:tcPr>
          <w:p w14:paraId="58DEBE8C">
            <w:pPr>
              <w:pStyle w:val="35"/>
              <w:spacing w:line="240" w:lineRule="auto"/>
              <w:rPr>
                <w:rFonts w:cs="Times New Roman"/>
                <w:sz w:val="21"/>
                <w:szCs w:val="21"/>
              </w:rPr>
            </w:pPr>
          </w:p>
        </w:tc>
        <w:tc>
          <w:tcPr>
            <w:tcW w:w="2728" w:type="pct"/>
            <w:vAlign w:val="center"/>
          </w:tcPr>
          <w:p w14:paraId="7440D766">
            <w:pPr>
              <w:pStyle w:val="35"/>
              <w:spacing w:line="240" w:lineRule="auto"/>
              <w:rPr>
                <w:rFonts w:cs="Times New Roman"/>
                <w:sz w:val="21"/>
                <w:szCs w:val="21"/>
              </w:rPr>
            </w:pPr>
            <w:r>
              <w:rPr>
                <w:rFonts w:cs="Times New Roman"/>
                <w:sz w:val="21"/>
                <w:szCs w:val="21"/>
              </w:rPr>
              <w:t>管理端进行远程运维管理时的运维通信数据机密性由云平台提供安全保障，不适用。</w:t>
            </w:r>
          </w:p>
        </w:tc>
        <w:tc>
          <w:tcPr>
            <w:tcW w:w="777" w:type="pct"/>
            <w:vAlign w:val="center"/>
          </w:tcPr>
          <w:p w14:paraId="76945C63">
            <w:pPr>
              <w:pStyle w:val="35"/>
              <w:spacing w:line="240" w:lineRule="auto"/>
              <w:rPr>
                <w:rFonts w:cs="Times New Roman"/>
                <w:sz w:val="21"/>
                <w:szCs w:val="21"/>
              </w:rPr>
            </w:pPr>
            <w:r>
              <w:rPr>
                <w:rFonts w:cs="Times New Roman"/>
                <w:sz w:val="21"/>
                <w:szCs w:val="21"/>
              </w:rPr>
              <w:t>云平台通过密评，已被完全评估。</w:t>
            </w:r>
          </w:p>
        </w:tc>
      </w:tr>
      <w:tr w14:paraId="1BFA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pct"/>
            <w:vMerge w:val="continue"/>
            <w:vAlign w:val="center"/>
          </w:tcPr>
          <w:p w14:paraId="5ABE4FFD">
            <w:pPr>
              <w:pStyle w:val="35"/>
              <w:spacing w:line="240" w:lineRule="auto"/>
              <w:rPr>
                <w:rFonts w:cs="Times New Roman"/>
                <w:sz w:val="21"/>
                <w:szCs w:val="21"/>
              </w:rPr>
            </w:pPr>
          </w:p>
        </w:tc>
        <w:tc>
          <w:tcPr>
            <w:tcW w:w="1074" w:type="pct"/>
            <w:vAlign w:val="center"/>
          </w:tcPr>
          <w:p w14:paraId="520F8F40">
            <w:pPr>
              <w:pStyle w:val="35"/>
              <w:spacing w:line="240" w:lineRule="auto"/>
              <w:rPr>
                <w:rFonts w:cs="Times New Roman"/>
                <w:sz w:val="21"/>
                <w:szCs w:val="21"/>
              </w:rPr>
            </w:pPr>
            <w:r>
              <w:rPr>
                <w:rFonts w:cs="Times New Roman"/>
                <w:sz w:val="21"/>
                <w:szCs w:val="21"/>
              </w:rPr>
              <w:t>网络边界访问控制信息的完整性</w:t>
            </w:r>
          </w:p>
        </w:tc>
        <w:tc>
          <w:tcPr>
            <w:tcW w:w="2728" w:type="pct"/>
            <w:vAlign w:val="center"/>
          </w:tcPr>
          <w:p w14:paraId="39F76B22">
            <w:pPr>
              <w:pStyle w:val="35"/>
              <w:spacing w:line="240" w:lineRule="auto"/>
              <w:rPr>
                <w:rFonts w:cs="Times New Roman"/>
                <w:sz w:val="21"/>
                <w:szCs w:val="21"/>
              </w:rPr>
            </w:pPr>
            <w:r>
              <w:rPr>
                <w:rFonts w:cs="Times New Roman"/>
                <w:sz w:val="21"/>
                <w:szCs w:val="21"/>
              </w:rPr>
              <w:t>系统网络拓扑中不同区域网络边界访问控制信息的完整性保护由云平台提供，不适用。</w:t>
            </w:r>
          </w:p>
        </w:tc>
        <w:tc>
          <w:tcPr>
            <w:tcW w:w="777" w:type="pct"/>
            <w:vAlign w:val="center"/>
          </w:tcPr>
          <w:p w14:paraId="63D5CBDE">
            <w:pPr>
              <w:pStyle w:val="35"/>
              <w:spacing w:line="240" w:lineRule="auto"/>
              <w:rPr>
                <w:rFonts w:cs="Times New Roman"/>
                <w:sz w:val="21"/>
                <w:szCs w:val="21"/>
              </w:rPr>
            </w:pPr>
            <w:r>
              <w:rPr>
                <w:rFonts w:cs="Times New Roman"/>
                <w:sz w:val="21"/>
                <w:szCs w:val="21"/>
              </w:rPr>
              <w:t>云平台通过密评，已被完全评估。</w:t>
            </w:r>
          </w:p>
        </w:tc>
      </w:tr>
      <w:tr w14:paraId="3D5F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pct"/>
            <w:vMerge w:val="continue"/>
            <w:vAlign w:val="center"/>
          </w:tcPr>
          <w:p w14:paraId="072E9B1D">
            <w:pPr>
              <w:pStyle w:val="35"/>
              <w:spacing w:line="240" w:lineRule="auto"/>
              <w:rPr>
                <w:rFonts w:cs="Times New Roman"/>
                <w:sz w:val="21"/>
                <w:szCs w:val="21"/>
              </w:rPr>
            </w:pPr>
          </w:p>
        </w:tc>
        <w:tc>
          <w:tcPr>
            <w:tcW w:w="1074" w:type="pct"/>
            <w:vMerge w:val="restart"/>
            <w:vAlign w:val="center"/>
          </w:tcPr>
          <w:p w14:paraId="22015B2A">
            <w:pPr>
              <w:pStyle w:val="35"/>
              <w:spacing w:line="240" w:lineRule="auto"/>
              <w:rPr>
                <w:rFonts w:cs="Times New Roman"/>
                <w:sz w:val="21"/>
                <w:szCs w:val="21"/>
              </w:rPr>
            </w:pPr>
            <w:r>
              <w:rPr>
                <w:rFonts w:cs="Times New Roman"/>
                <w:sz w:val="21"/>
                <w:szCs w:val="21"/>
              </w:rPr>
              <w:t>密码服务</w:t>
            </w:r>
          </w:p>
        </w:tc>
        <w:tc>
          <w:tcPr>
            <w:tcW w:w="2728" w:type="pct"/>
            <w:vAlign w:val="center"/>
          </w:tcPr>
          <w:p w14:paraId="29131381">
            <w:pPr>
              <w:pStyle w:val="35"/>
              <w:spacing w:line="240" w:lineRule="auto"/>
              <w:rPr>
                <w:rFonts w:cs="Times New Roman"/>
                <w:sz w:val="21"/>
                <w:szCs w:val="21"/>
              </w:rPr>
            </w:pPr>
            <w:r>
              <w:rPr>
                <w:rFonts w:cs="Times New Roman"/>
                <w:sz w:val="21"/>
                <w:szCs w:val="21"/>
              </w:rPr>
              <w:t>采用的数字证书由具备资质的电子认证服务机构签发。</w:t>
            </w:r>
          </w:p>
        </w:tc>
        <w:tc>
          <w:tcPr>
            <w:tcW w:w="777" w:type="pct"/>
            <w:vAlign w:val="center"/>
          </w:tcPr>
          <w:p w14:paraId="5BE00D02">
            <w:pPr>
              <w:pStyle w:val="35"/>
              <w:spacing w:line="240" w:lineRule="auto"/>
              <w:rPr>
                <w:rFonts w:cs="Times New Roman"/>
                <w:sz w:val="21"/>
                <w:szCs w:val="21"/>
              </w:rPr>
            </w:pPr>
            <w:r>
              <w:rPr>
                <w:rFonts w:cs="Times New Roman"/>
                <w:sz w:val="21"/>
                <w:szCs w:val="21"/>
              </w:rPr>
              <w:t>无</w:t>
            </w:r>
          </w:p>
        </w:tc>
      </w:tr>
      <w:tr w14:paraId="2774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pct"/>
            <w:vMerge w:val="continue"/>
            <w:vAlign w:val="center"/>
          </w:tcPr>
          <w:p w14:paraId="262F7FE3">
            <w:pPr>
              <w:pStyle w:val="35"/>
              <w:spacing w:line="240" w:lineRule="auto"/>
              <w:rPr>
                <w:rFonts w:cs="Times New Roman"/>
                <w:sz w:val="21"/>
                <w:szCs w:val="21"/>
              </w:rPr>
            </w:pPr>
          </w:p>
        </w:tc>
        <w:tc>
          <w:tcPr>
            <w:tcW w:w="1074" w:type="pct"/>
            <w:vMerge w:val="continue"/>
            <w:vAlign w:val="center"/>
          </w:tcPr>
          <w:p w14:paraId="0749F099">
            <w:pPr>
              <w:pStyle w:val="35"/>
              <w:spacing w:line="240" w:lineRule="auto"/>
              <w:rPr>
                <w:rFonts w:cs="Times New Roman"/>
                <w:sz w:val="21"/>
                <w:szCs w:val="21"/>
              </w:rPr>
            </w:pPr>
          </w:p>
        </w:tc>
        <w:tc>
          <w:tcPr>
            <w:tcW w:w="2728" w:type="pct"/>
            <w:vAlign w:val="center"/>
          </w:tcPr>
          <w:p w14:paraId="3A9FDBD9">
            <w:pPr>
              <w:pStyle w:val="35"/>
              <w:spacing w:line="240" w:lineRule="auto"/>
              <w:rPr>
                <w:rFonts w:cs="Times New Roman"/>
                <w:sz w:val="21"/>
                <w:szCs w:val="21"/>
              </w:rPr>
            </w:pPr>
            <w:r>
              <w:rPr>
                <w:rFonts w:cs="Times New Roman"/>
                <w:sz w:val="21"/>
                <w:szCs w:val="21"/>
              </w:rPr>
              <w:t>采用的云密码服务由云平台提供，不适用。</w:t>
            </w:r>
          </w:p>
        </w:tc>
        <w:tc>
          <w:tcPr>
            <w:tcW w:w="777" w:type="pct"/>
            <w:vAlign w:val="center"/>
          </w:tcPr>
          <w:p w14:paraId="21C1EB80">
            <w:pPr>
              <w:pStyle w:val="35"/>
              <w:spacing w:line="240" w:lineRule="auto"/>
              <w:rPr>
                <w:rFonts w:cs="Times New Roman"/>
                <w:sz w:val="21"/>
                <w:szCs w:val="21"/>
              </w:rPr>
            </w:pPr>
            <w:r>
              <w:rPr>
                <w:rFonts w:cs="Times New Roman"/>
                <w:sz w:val="21"/>
                <w:szCs w:val="21"/>
              </w:rPr>
              <w:t>云平台通过密评，已被完全评估。</w:t>
            </w:r>
          </w:p>
        </w:tc>
      </w:tr>
      <w:tr w14:paraId="21E13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pct"/>
            <w:vMerge w:val="continue"/>
            <w:vAlign w:val="center"/>
          </w:tcPr>
          <w:p w14:paraId="34EA2618">
            <w:pPr>
              <w:pStyle w:val="35"/>
              <w:spacing w:line="240" w:lineRule="auto"/>
              <w:rPr>
                <w:rFonts w:cs="Times New Roman"/>
                <w:sz w:val="21"/>
                <w:szCs w:val="21"/>
              </w:rPr>
            </w:pPr>
          </w:p>
        </w:tc>
        <w:tc>
          <w:tcPr>
            <w:tcW w:w="1074" w:type="pct"/>
            <w:vMerge w:val="restart"/>
            <w:vAlign w:val="center"/>
          </w:tcPr>
          <w:p w14:paraId="15C42A15">
            <w:pPr>
              <w:pStyle w:val="35"/>
              <w:spacing w:line="240" w:lineRule="auto"/>
              <w:rPr>
                <w:rFonts w:cs="Times New Roman"/>
                <w:sz w:val="21"/>
                <w:szCs w:val="21"/>
              </w:rPr>
            </w:pPr>
            <w:r>
              <w:rPr>
                <w:rFonts w:cs="Times New Roman"/>
                <w:sz w:val="21"/>
                <w:szCs w:val="21"/>
              </w:rPr>
              <w:t>密码产品</w:t>
            </w:r>
          </w:p>
        </w:tc>
        <w:tc>
          <w:tcPr>
            <w:tcW w:w="2728" w:type="pct"/>
            <w:vAlign w:val="center"/>
          </w:tcPr>
          <w:p w14:paraId="218F266C">
            <w:pPr>
              <w:pStyle w:val="35"/>
              <w:spacing w:line="240" w:lineRule="auto"/>
              <w:rPr>
                <w:rFonts w:cs="Times New Roman"/>
                <w:sz w:val="21"/>
                <w:szCs w:val="21"/>
              </w:rPr>
            </w:pPr>
            <w:r>
              <w:rPr>
                <w:rFonts w:cs="Times New Roman"/>
                <w:sz w:val="21"/>
                <w:szCs w:val="21"/>
              </w:rPr>
              <w:t>移动终端采用的密码产品应达到GB/T37092二级及以上安全要求。</w:t>
            </w:r>
          </w:p>
        </w:tc>
        <w:tc>
          <w:tcPr>
            <w:tcW w:w="777" w:type="pct"/>
            <w:vAlign w:val="center"/>
          </w:tcPr>
          <w:p w14:paraId="0BC1B8F5">
            <w:pPr>
              <w:pStyle w:val="35"/>
              <w:spacing w:line="240" w:lineRule="auto"/>
              <w:rPr>
                <w:rFonts w:cs="Times New Roman"/>
                <w:sz w:val="21"/>
                <w:szCs w:val="21"/>
              </w:rPr>
            </w:pPr>
            <w:r>
              <w:rPr>
                <w:rFonts w:cs="Times New Roman"/>
                <w:sz w:val="21"/>
                <w:szCs w:val="21"/>
              </w:rPr>
              <w:t>无</w:t>
            </w:r>
          </w:p>
        </w:tc>
      </w:tr>
      <w:tr w14:paraId="6ACC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pct"/>
            <w:vMerge w:val="continue"/>
            <w:vAlign w:val="center"/>
          </w:tcPr>
          <w:p w14:paraId="586A29BE">
            <w:pPr>
              <w:pStyle w:val="35"/>
              <w:spacing w:line="240" w:lineRule="auto"/>
              <w:rPr>
                <w:rFonts w:cs="Times New Roman"/>
                <w:sz w:val="21"/>
                <w:szCs w:val="21"/>
              </w:rPr>
            </w:pPr>
          </w:p>
        </w:tc>
        <w:tc>
          <w:tcPr>
            <w:tcW w:w="1074" w:type="pct"/>
            <w:vMerge w:val="continue"/>
            <w:vAlign w:val="center"/>
          </w:tcPr>
          <w:p w14:paraId="7BD05575">
            <w:pPr>
              <w:pStyle w:val="35"/>
              <w:spacing w:line="240" w:lineRule="auto"/>
              <w:rPr>
                <w:rFonts w:cs="Times New Roman"/>
                <w:sz w:val="21"/>
                <w:szCs w:val="21"/>
              </w:rPr>
            </w:pPr>
          </w:p>
        </w:tc>
        <w:tc>
          <w:tcPr>
            <w:tcW w:w="2728" w:type="pct"/>
            <w:vAlign w:val="center"/>
          </w:tcPr>
          <w:p w14:paraId="026B57E1">
            <w:pPr>
              <w:pStyle w:val="35"/>
              <w:spacing w:line="240" w:lineRule="auto"/>
              <w:rPr>
                <w:rFonts w:cs="Times New Roman"/>
                <w:sz w:val="21"/>
                <w:szCs w:val="21"/>
              </w:rPr>
            </w:pPr>
            <w:r>
              <w:rPr>
                <w:rFonts w:cs="Times New Roman"/>
                <w:sz w:val="21"/>
                <w:szCs w:val="21"/>
              </w:rPr>
              <w:t>服务端相关的密码产品由云平台提供安全保障，不适用。</w:t>
            </w:r>
          </w:p>
        </w:tc>
        <w:tc>
          <w:tcPr>
            <w:tcW w:w="777" w:type="pct"/>
            <w:vAlign w:val="center"/>
          </w:tcPr>
          <w:p w14:paraId="6B16F547">
            <w:pPr>
              <w:pStyle w:val="35"/>
              <w:spacing w:line="240" w:lineRule="auto"/>
              <w:rPr>
                <w:rFonts w:cs="Times New Roman"/>
                <w:sz w:val="21"/>
                <w:szCs w:val="21"/>
              </w:rPr>
            </w:pPr>
            <w:r>
              <w:rPr>
                <w:rFonts w:cs="Times New Roman"/>
                <w:sz w:val="21"/>
                <w:szCs w:val="21"/>
              </w:rPr>
              <w:t>云平台通过密评，已被完全评估</w:t>
            </w:r>
          </w:p>
        </w:tc>
      </w:tr>
      <w:tr w14:paraId="3930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pct"/>
            <w:vMerge w:val="restart"/>
            <w:vAlign w:val="center"/>
          </w:tcPr>
          <w:p w14:paraId="465EA4D8">
            <w:pPr>
              <w:pStyle w:val="35"/>
              <w:spacing w:line="240" w:lineRule="auto"/>
              <w:rPr>
                <w:rFonts w:cs="Times New Roman"/>
                <w:sz w:val="21"/>
                <w:szCs w:val="21"/>
              </w:rPr>
            </w:pPr>
            <w:r>
              <w:rPr>
                <w:rFonts w:cs="Times New Roman"/>
                <w:sz w:val="21"/>
                <w:szCs w:val="21"/>
              </w:rPr>
              <w:t>设备和计算安全</w:t>
            </w:r>
          </w:p>
        </w:tc>
        <w:tc>
          <w:tcPr>
            <w:tcW w:w="1074" w:type="pct"/>
            <w:vAlign w:val="center"/>
          </w:tcPr>
          <w:p w14:paraId="37E6DD18">
            <w:pPr>
              <w:pStyle w:val="35"/>
              <w:spacing w:line="240" w:lineRule="auto"/>
              <w:rPr>
                <w:rFonts w:cs="Times New Roman"/>
                <w:sz w:val="21"/>
                <w:szCs w:val="21"/>
              </w:rPr>
            </w:pPr>
            <w:r>
              <w:rPr>
                <w:rFonts w:cs="Times New Roman"/>
                <w:sz w:val="21"/>
                <w:szCs w:val="21"/>
              </w:rPr>
              <w:t>身份鉴别</w:t>
            </w:r>
          </w:p>
        </w:tc>
        <w:tc>
          <w:tcPr>
            <w:tcW w:w="2728" w:type="pct"/>
            <w:vAlign w:val="center"/>
          </w:tcPr>
          <w:p w14:paraId="2EBCA767">
            <w:pPr>
              <w:pStyle w:val="35"/>
              <w:spacing w:line="240" w:lineRule="auto"/>
              <w:rPr>
                <w:rFonts w:cs="Times New Roman"/>
                <w:sz w:val="21"/>
                <w:szCs w:val="21"/>
              </w:rPr>
            </w:pPr>
            <w:r>
              <w:rPr>
                <w:rFonts w:cs="Times New Roman"/>
                <w:sz w:val="21"/>
                <w:szCs w:val="21"/>
              </w:rPr>
              <w:t>对服务器虚拟机等设备的远程运维管理员身份真实性进行识别和确认，防止假冒人员登录。</w:t>
            </w:r>
          </w:p>
        </w:tc>
        <w:tc>
          <w:tcPr>
            <w:tcW w:w="777" w:type="pct"/>
            <w:vAlign w:val="center"/>
          </w:tcPr>
          <w:p w14:paraId="166EF16A">
            <w:pPr>
              <w:pStyle w:val="35"/>
              <w:spacing w:line="240" w:lineRule="auto"/>
              <w:rPr>
                <w:rFonts w:cs="Times New Roman"/>
                <w:sz w:val="21"/>
                <w:szCs w:val="21"/>
              </w:rPr>
            </w:pPr>
            <w:r>
              <w:rPr>
                <w:rFonts w:cs="Times New Roman"/>
                <w:sz w:val="21"/>
                <w:szCs w:val="21"/>
              </w:rPr>
              <w:t>无</w:t>
            </w:r>
          </w:p>
        </w:tc>
      </w:tr>
      <w:tr w14:paraId="3C53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pct"/>
            <w:vMerge w:val="continue"/>
            <w:vAlign w:val="center"/>
          </w:tcPr>
          <w:p w14:paraId="061156DA">
            <w:pPr>
              <w:pStyle w:val="35"/>
              <w:spacing w:line="240" w:lineRule="auto"/>
              <w:rPr>
                <w:rFonts w:cs="Times New Roman"/>
                <w:sz w:val="21"/>
                <w:szCs w:val="21"/>
              </w:rPr>
            </w:pPr>
          </w:p>
        </w:tc>
        <w:tc>
          <w:tcPr>
            <w:tcW w:w="1074" w:type="pct"/>
            <w:vAlign w:val="center"/>
          </w:tcPr>
          <w:p w14:paraId="623DA92F">
            <w:pPr>
              <w:pStyle w:val="35"/>
              <w:spacing w:line="240" w:lineRule="auto"/>
              <w:rPr>
                <w:rFonts w:cs="Times New Roman"/>
                <w:sz w:val="21"/>
                <w:szCs w:val="21"/>
              </w:rPr>
            </w:pPr>
            <w:r>
              <w:rPr>
                <w:rFonts w:cs="Times New Roman"/>
                <w:sz w:val="21"/>
                <w:szCs w:val="21"/>
              </w:rPr>
              <w:t>系统资源访问控制信息完整性</w:t>
            </w:r>
          </w:p>
        </w:tc>
        <w:tc>
          <w:tcPr>
            <w:tcW w:w="2728" w:type="pct"/>
            <w:vAlign w:val="center"/>
          </w:tcPr>
          <w:p w14:paraId="72904E8E">
            <w:pPr>
              <w:pStyle w:val="35"/>
              <w:spacing w:line="240" w:lineRule="auto"/>
              <w:rPr>
                <w:rFonts w:cs="Times New Roman"/>
                <w:sz w:val="21"/>
                <w:szCs w:val="21"/>
              </w:rPr>
            </w:pPr>
            <w:r>
              <w:rPr>
                <w:rFonts w:cs="Times New Roman"/>
                <w:sz w:val="21"/>
                <w:szCs w:val="21"/>
              </w:rPr>
              <w:t>保护服务器虚拟机、数据库等设备访问控制信息的完整性，防止被非授权篡改。</w:t>
            </w:r>
          </w:p>
        </w:tc>
        <w:tc>
          <w:tcPr>
            <w:tcW w:w="777" w:type="pct"/>
            <w:vAlign w:val="center"/>
          </w:tcPr>
          <w:p w14:paraId="25229FAA">
            <w:pPr>
              <w:pStyle w:val="35"/>
              <w:spacing w:line="240" w:lineRule="auto"/>
              <w:rPr>
                <w:rFonts w:cs="Times New Roman"/>
                <w:sz w:val="21"/>
                <w:szCs w:val="21"/>
              </w:rPr>
            </w:pPr>
            <w:r>
              <w:rPr>
                <w:rFonts w:cs="Times New Roman"/>
                <w:sz w:val="21"/>
                <w:szCs w:val="21"/>
              </w:rPr>
              <w:t>无</w:t>
            </w:r>
          </w:p>
        </w:tc>
      </w:tr>
      <w:tr w14:paraId="51AA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pct"/>
            <w:vMerge w:val="continue"/>
            <w:vAlign w:val="center"/>
          </w:tcPr>
          <w:p w14:paraId="7D16E9BD">
            <w:pPr>
              <w:pStyle w:val="35"/>
              <w:spacing w:line="240" w:lineRule="auto"/>
              <w:rPr>
                <w:rFonts w:cs="Times New Roman"/>
                <w:sz w:val="21"/>
                <w:szCs w:val="21"/>
              </w:rPr>
            </w:pPr>
          </w:p>
        </w:tc>
        <w:tc>
          <w:tcPr>
            <w:tcW w:w="1074" w:type="pct"/>
            <w:vAlign w:val="center"/>
          </w:tcPr>
          <w:p w14:paraId="7311F59D">
            <w:pPr>
              <w:pStyle w:val="35"/>
              <w:spacing w:line="240" w:lineRule="auto"/>
              <w:rPr>
                <w:rFonts w:cs="Times New Roman"/>
                <w:sz w:val="21"/>
                <w:szCs w:val="21"/>
              </w:rPr>
            </w:pPr>
            <w:r>
              <w:rPr>
                <w:rFonts w:cs="Times New Roman"/>
                <w:sz w:val="21"/>
                <w:szCs w:val="21"/>
              </w:rPr>
              <w:t>日志记录完整性</w:t>
            </w:r>
          </w:p>
        </w:tc>
        <w:tc>
          <w:tcPr>
            <w:tcW w:w="2728" w:type="pct"/>
            <w:vAlign w:val="center"/>
          </w:tcPr>
          <w:p w14:paraId="13086EEA">
            <w:pPr>
              <w:pStyle w:val="35"/>
              <w:spacing w:line="240" w:lineRule="auto"/>
              <w:rPr>
                <w:rFonts w:cs="Times New Roman"/>
                <w:sz w:val="21"/>
                <w:szCs w:val="21"/>
              </w:rPr>
            </w:pPr>
            <w:r>
              <w:rPr>
                <w:rFonts w:cs="Times New Roman"/>
                <w:sz w:val="21"/>
                <w:szCs w:val="21"/>
              </w:rPr>
              <w:t>保护服务器虚拟机、数据库等设备中日志记录的完整性，防止被非授权篡改。</w:t>
            </w:r>
          </w:p>
        </w:tc>
        <w:tc>
          <w:tcPr>
            <w:tcW w:w="777" w:type="pct"/>
            <w:vAlign w:val="center"/>
          </w:tcPr>
          <w:p w14:paraId="4593C99E">
            <w:pPr>
              <w:pStyle w:val="35"/>
              <w:spacing w:line="240" w:lineRule="auto"/>
              <w:rPr>
                <w:rFonts w:cs="Times New Roman"/>
                <w:sz w:val="21"/>
                <w:szCs w:val="21"/>
              </w:rPr>
            </w:pPr>
            <w:r>
              <w:rPr>
                <w:rFonts w:cs="Times New Roman"/>
                <w:sz w:val="21"/>
                <w:szCs w:val="21"/>
              </w:rPr>
              <w:t>无</w:t>
            </w:r>
          </w:p>
        </w:tc>
      </w:tr>
      <w:tr w14:paraId="4F90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pct"/>
            <w:vMerge w:val="continue"/>
            <w:vAlign w:val="center"/>
          </w:tcPr>
          <w:p w14:paraId="19931226">
            <w:pPr>
              <w:pStyle w:val="35"/>
              <w:spacing w:line="240" w:lineRule="auto"/>
              <w:rPr>
                <w:rFonts w:cs="Times New Roman"/>
                <w:sz w:val="21"/>
                <w:szCs w:val="21"/>
              </w:rPr>
            </w:pPr>
          </w:p>
        </w:tc>
        <w:tc>
          <w:tcPr>
            <w:tcW w:w="1074" w:type="pct"/>
            <w:vAlign w:val="center"/>
          </w:tcPr>
          <w:p w14:paraId="3A2C08FB">
            <w:pPr>
              <w:pStyle w:val="35"/>
              <w:spacing w:line="240" w:lineRule="auto"/>
              <w:rPr>
                <w:rFonts w:cs="Times New Roman"/>
                <w:sz w:val="21"/>
                <w:szCs w:val="21"/>
              </w:rPr>
            </w:pPr>
            <w:r>
              <w:rPr>
                <w:rFonts w:cs="Times New Roman"/>
                <w:sz w:val="21"/>
                <w:szCs w:val="21"/>
              </w:rPr>
              <w:t>密码服务</w:t>
            </w:r>
          </w:p>
        </w:tc>
        <w:tc>
          <w:tcPr>
            <w:tcW w:w="2728" w:type="pct"/>
            <w:vAlign w:val="center"/>
          </w:tcPr>
          <w:p w14:paraId="46616278">
            <w:pPr>
              <w:pStyle w:val="35"/>
              <w:spacing w:line="240" w:lineRule="auto"/>
              <w:rPr>
                <w:rFonts w:cs="Times New Roman"/>
                <w:sz w:val="21"/>
                <w:szCs w:val="21"/>
              </w:rPr>
            </w:pPr>
            <w:r>
              <w:rPr>
                <w:rFonts w:cs="Times New Roman"/>
                <w:sz w:val="21"/>
                <w:szCs w:val="21"/>
              </w:rPr>
              <w:t>采用的云密码服务由云平台提供，不适用。</w:t>
            </w:r>
          </w:p>
        </w:tc>
        <w:tc>
          <w:tcPr>
            <w:tcW w:w="777" w:type="pct"/>
            <w:vAlign w:val="center"/>
          </w:tcPr>
          <w:p w14:paraId="210B74E8">
            <w:pPr>
              <w:pStyle w:val="35"/>
              <w:spacing w:line="240" w:lineRule="auto"/>
              <w:rPr>
                <w:rFonts w:cs="Times New Roman"/>
                <w:sz w:val="21"/>
                <w:szCs w:val="21"/>
              </w:rPr>
            </w:pPr>
            <w:r>
              <w:rPr>
                <w:rFonts w:cs="Times New Roman"/>
                <w:sz w:val="21"/>
                <w:szCs w:val="21"/>
              </w:rPr>
              <w:t>云平台通过密评，已被完全评估</w:t>
            </w:r>
          </w:p>
        </w:tc>
      </w:tr>
      <w:tr w14:paraId="1057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pct"/>
            <w:vMerge w:val="continue"/>
            <w:vAlign w:val="center"/>
          </w:tcPr>
          <w:p w14:paraId="79F9300B">
            <w:pPr>
              <w:pStyle w:val="35"/>
              <w:spacing w:line="240" w:lineRule="auto"/>
              <w:rPr>
                <w:rFonts w:cs="Times New Roman"/>
                <w:sz w:val="21"/>
                <w:szCs w:val="21"/>
              </w:rPr>
            </w:pPr>
          </w:p>
        </w:tc>
        <w:tc>
          <w:tcPr>
            <w:tcW w:w="1074" w:type="pct"/>
            <w:vMerge w:val="restart"/>
            <w:vAlign w:val="center"/>
          </w:tcPr>
          <w:p w14:paraId="67B4FF91">
            <w:pPr>
              <w:pStyle w:val="35"/>
              <w:spacing w:line="240" w:lineRule="auto"/>
              <w:rPr>
                <w:rFonts w:cs="Times New Roman"/>
                <w:sz w:val="21"/>
                <w:szCs w:val="21"/>
              </w:rPr>
            </w:pPr>
            <w:r>
              <w:rPr>
                <w:rFonts w:cs="Times New Roman"/>
                <w:sz w:val="21"/>
                <w:szCs w:val="21"/>
              </w:rPr>
              <w:t>密码产品</w:t>
            </w:r>
          </w:p>
        </w:tc>
        <w:tc>
          <w:tcPr>
            <w:tcW w:w="2728" w:type="pct"/>
            <w:vAlign w:val="center"/>
          </w:tcPr>
          <w:p w14:paraId="25BD5B55">
            <w:pPr>
              <w:pStyle w:val="35"/>
              <w:spacing w:line="240" w:lineRule="auto"/>
              <w:rPr>
                <w:rFonts w:cs="Times New Roman"/>
                <w:sz w:val="21"/>
                <w:szCs w:val="21"/>
              </w:rPr>
            </w:pPr>
            <w:r>
              <w:rPr>
                <w:rFonts w:cs="Times New Roman"/>
                <w:sz w:val="21"/>
                <w:szCs w:val="21"/>
              </w:rPr>
              <w:t>移动终端采用的密码产品应达到GB/T37092二级及以上安全要求。</w:t>
            </w:r>
          </w:p>
        </w:tc>
        <w:tc>
          <w:tcPr>
            <w:tcW w:w="777" w:type="pct"/>
            <w:vAlign w:val="center"/>
          </w:tcPr>
          <w:p w14:paraId="6C6596CE">
            <w:pPr>
              <w:pStyle w:val="35"/>
              <w:spacing w:line="240" w:lineRule="auto"/>
              <w:rPr>
                <w:rFonts w:cs="Times New Roman"/>
                <w:sz w:val="21"/>
                <w:szCs w:val="21"/>
              </w:rPr>
            </w:pPr>
            <w:r>
              <w:rPr>
                <w:rFonts w:cs="Times New Roman"/>
                <w:sz w:val="21"/>
                <w:szCs w:val="21"/>
              </w:rPr>
              <w:t>无</w:t>
            </w:r>
          </w:p>
        </w:tc>
      </w:tr>
      <w:tr w14:paraId="6C36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pct"/>
            <w:vMerge w:val="continue"/>
            <w:vAlign w:val="center"/>
          </w:tcPr>
          <w:p w14:paraId="0088322E">
            <w:pPr>
              <w:pStyle w:val="35"/>
              <w:spacing w:line="240" w:lineRule="auto"/>
              <w:rPr>
                <w:rFonts w:cs="Times New Roman"/>
                <w:sz w:val="21"/>
                <w:szCs w:val="21"/>
              </w:rPr>
            </w:pPr>
          </w:p>
        </w:tc>
        <w:tc>
          <w:tcPr>
            <w:tcW w:w="1074" w:type="pct"/>
            <w:vMerge w:val="continue"/>
            <w:vAlign w:val="center"/>
          </w:tcPr>
          <w:p w14:paraId="03F9BFB8">
            <w:pPr>
              <w:pStyle w:val="35"/>
              <w:spacing w:line="240" w:lineRule="auto"/>
              <w:rPr>
                <w:rFonts w:cs="Times New Roman"/>
                <w:sz w:val="21"/>
                <w:szCs w:val="21"/>
              </w:rPr>
            </w:pPr>
          </w:p>
        </w:tc>
        <w:tc>
          <w:tcPr>
            <w:tcW w:w="2728" w:type="pct"/>
            <w:vAlign w:val="center"/>
          </w:tcPr>
          <w:p w14:paraId="1F3CA161">
            <w:pPr>
              <w:pStyle w:val="35"/>
              <w:spacing w:line="240" w:lineRule="auto"/>
              <w:rPr>
                <w:rFonts w:cs="Times New Roman"/>
                <w:sz w:val="21"/>
                <w:szCs w:val="21"/>
              </w:rPr>
            </w:pPr>
            <w:r>
              <w:rPr>
                <w:rFonts w:cs="Times New Roman"/>
                <w:sz w:val="21"/>
                <w:szCs w:val="21"/>
              </w:rPr>
              <w:t>服务端相关的密码产品由云平台提供安全保障，不适用。</w:t>
            </w:r>
          </w:p>
        </w:tc>
        <w:tc>
          <w:tcPr>
            <w:tcW w:w="777" w:type="pct"/>
            <w:vAlign w:val="center"/>
          </w:tcPr>
          <w:p w14:paraId="7407D9AA">
            <w:pPr>
              <w:pStyle w:val="35"/>
              <w:spacing w:line="240" w:lineRule="auto"/>
              <w:rPr>
                <w:rFonts w:cs="Times New Roman"/>
                <w:sz w:val="21"/>
                <w:szCs w:val="21"/>
              </w:rPr>
            </w:pPr>
            <w:r>
              <w:rPr>
                <w:rFonts w:cs="Times New Roman"/>
                <w:sz w:val="21"/>
                <w:szCs w:val="21"/>
              </w:rPr>
              <w:t>云平台通过密评，已被完全评估</w:t>
            </w:r>
          </w:p>
        </w:tc>
      </w:tr>
      <w:tr w14:paraId="7BDD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pct"/>
            <w:vMerge w:val="restart"/>
            <w:vAlign w:val="center"/>
          </w:tcPr>
          <w:p w14:paraId="77F4F271">
            <w:pPr>
              <w:pStyle w:val="35"/>
              <w:spacing w:line="240" w:lineRule="auto"/>
              <w:rPr>
                <w:rFonts w:cs="Times New Roman"/>
                <w:sz w:val="21"/>
                <w:szCs w:val="21"/>
              </w:rPr>
            </w:pPr>
            <w:r>
              <w:rPr>
                <w:rFonts w:cs="Times New Roman"/>
                <w:sz w:val="21"/>
                <w:szCs w:val="21"/>
              </w:rPr>
              <w:t>应用和数据安全</w:t>
            </w:r>
          </w:p>
        </w:tc>
        <w:tc>
          <w:tcPr>
            <w:tcW w:w="1074" w:type="pct"/>
            <w:vAlign w:val="center"/>
          </w:tcPr>
          <w:p w14:paraId="0B05C9AC">
            <w:pPr>
              <w:pStyle w:val="35"/>
              <w:spacing w:line="240" w:lineRule="auto"/>
              <w:rPr>
                <w:rFonts w:cs="Times New Roman"/>
                <w:sz w:val="21"/>
                <w:szCs w:val="21"/>
              </w:rPr>
            </w:pPr>
            <w:r>
              <w:rPr>
                <w:rFonts w:cs="Times New Roman"/>
                <w:sz w:val="21"/>
                <w:szCs w:val="21"/>
              </w:rPr>
              <w:t>身份鉴别</w:t>
            </w:r>
          </w:p>
        </w:tc>
        <w:tc>
          <w:tcPr>
            <w:tcW w:w="2728" w:type="pct"/>
            <w:vAlign w:val="center"/>
          </w:tcPr>
          <w:p w14:paraId="78167F42">
            <w:pPr>
              <w:pStyle w:val="35"/>
              <w:spacing w:line="240" w:lineRule="auto"/>
              <w:rPr>
                <w:rFonts w:cs="Times New Roman"/>
                <w:sz w:val="21"/>
                <w:szCs w:val="21"/>
              </w:rPr>
            </w:pPr>
            <w:r>
              <w:rPr>
                <w:rFonts w:cs="Times New Roman"/>
                <w:sz w:val="21"/>
                <w:szCs w:val="21"/>
              </w:rPr>
              <w:t>确认用户端登录用户的身份真实性，防止假冒人员登录。</w:t>
            </w:r>
          </w:p>
        </w:tc>
        <w:tc>
          <w:tcPr>
            <w:tcW w:w="777" w:type="pct"/>
            <w:vAlign w:val="center"/>
          </w:tcPr>
          <w:p w14:paraId="121CF486">
            <w:pPr>
              <w:pStyle w:val="35"/>
              <w:spacing w:line="240" w:lineRule="auto"/>
              <w:rPr>
                <w:rFonts w:cs="Times New Roman"/>
                <w:sz w:val="21"/>
                <w:szCs w:val="21"/>
              </w:rPr>
            </w:pPr>
            <w:r>
              <w:rPr>
                <w:rFonts w:cs="Times New Roman"/>
                <w:sz w:val="21"/>
                <w:szCs w:val="21"/>
              </w:rPr>
              <w:t>无</w:t>
            </w:r>
          </w:p>
        </w:tc>
      </w:tr>
      <w:tr w14:paraId="37E0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pct"/>
            <w:vMerge w:val="continue"/>
            <w:vAlign w:val="center"/>
          </w:tcPr>
          <w:p w14:paraId="7BC6E6F4">
            <w:pPr>
              <w:pStyle w:val="35"/>
              <w:spacing w:line="240" w:lineRule="auto"/>
              <w:rPr>
                <w:rFonts w:cs="Times New Roman"/>
                <w:sz w:val="21"/>
                <w:szCs w:val="21"/>
              </w:rPr>
            </w:pPr>
          </w:p>
        </w:tc>
        <w:tc>
          <w:tcPr>
            <w:tcW w:w="1074" w:type="pct"/>
            <w:vAlign w:val="center"/>
          </w:tcPr>
          <w:p w14:paraId="189720F2">
            <w:pPr>
              <w:pStyle w:val="35"/>
              <w:spacing w:line="240" w:lineRule="auto"/>
              <w:rPr>
                <w:rFonts w:cs="Times New Roman"/>
                <w:sz w:val="21"/>
                <w:szCs w:val="21"/>
              </w:rPr>
            </w:pPr>
            <w:r>
              <w:rPr>
                <w:rFonts w:cs="Times New Roman"/>
                <w:sz w:val="21"/>
                <w:szCs w:val="21"/>
              </w:rPr>
              <w:t>访问控制信息完整性</w:t>
            </w:r>
          </w:p>
        </w:tc>
        <w:tc>
          <w:tcPr>
            <w:tcW w:w="2728" w:type="pct"/>
            <w:vAlign w:val="center"/>
          </w:tcPr>
          <w:p w14:paraId="78D79297">
            <w:pPr>
              <w:pStyle w:val="35"/>
              <w:spacing w:line="240" w:lineRule="auto"/>
              <w:rPr>
                <w:rFonts w:cs="Times New Roman"/>
                <w:sz w:val="21"/>
                <w:szCs w:val="21"/>
              </w:rPr>
            </w:pPr>
            <w:r>
              <w:rPr>
                <w:rFonts w:cs="Times New Roman"/>
                <w:sz w:val="21"/>
                <w:szCs w:val="21"/>
              </w:rPr>
              <w:t>对应用系统的访问权限控制列表进行完整性保护，防止被非授权篡改。</w:t>
            </w:r>
          </w:p>
        </w:tc>
        <w:tc>
          <w:tcPr>
            <w:tcW w:w="777" w:type="pct"/>
            <w:vAlign w:val="center"/>
          </w:tcPr>
          <w:p w14:paraId="011FB148">
            <w:pPr>
              <w:pStyle w:val="35"/>
              <w:spacing w:line="240" w:lineRule="auto"/>
              <w:rPr>
                <w:rFonts w:cs="Times New Roman"/>
                <w:sz w:val="21"/>
                <w:szCs w:val="21"/>
              </w:rPr>
            </w:pPr>
            <w:r>
              <w:rPr>
                <w:rFonts w:cs="Times New Roman"/>
                <w:sz w:val="21"/>
                <w:szCs w:val="21"/>
              </w:rPr>
              <w:t>无</w:t>
            </w:r>
          </w:p>
        </w:tc>
      </w:tr>
      <w:tr w14:paraId="46D4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pct"/>
            <w:vMerge w:val="continue"/>
            <w:vAlign w:val="center"/>
          </w:tcPr>
          <w:p w14:paraId="45070352">
            <w:pPr>
              <w:pStyle w:val="35"/>
              <w:spacing w:line="240" w:lineRule="auto"/>
              <w:rPr>
                <w:rFonts w:cs="Times New Roman"/>
                <w:sz w:val="21"/>
                <w:szCs w:val="21"/>
              </w:rPr>
            </w:pPr>
          </w:p>
        </w:tc>
        <w:tc>
          <w:tcPr>
            <w:tcW w:w="1074" w:type="pct"/>
            <w:vAlign w:val="center"/>
          </w:tcPr>
          <w:p w14:paraId="39172AF8">
            <w:pPr>
              <w:pStyle w:val="35"/>
              <w:spacing w:line="240" w:lineRule="auto"/>
              <w:rPr>
                <w:rFonts w:cs="Times New Roman"/>
                <w:sz w:val="21"/>
                <w:szCs w:val="21"/>
              </w:rPr>
            </w:pPr>
            <w:r>
              <w:rPr>
                <w:rFonts w:cs="Times New Roman"/>
                <w:sz w:val="21"/>
                <w:szCs w:val="21"/>
              </w:rPr>
              <w:t>数据传输机密性</w:t>
            </w:r>
          </w:p>
        </w:tc>
        <w:tc>
          <w:tcPr>
            <w:tcW w:w="2728" w:type="pct"/>
            <w:vMerge w:val="restart"/>
            <w:vAlign w:val="center"/>
          </w:tcPr>
          <w:p w14:paraId="48D83F30">
            <w:pPr>
              <w:pStyle w:val="35"/>
              <w:spacing w:line="240" w:lineRule="auto"/>
              <w:rPr>
                <w:rFonts w:cs="Times New Roman"/>
                <w:sz w:val="21"/>
                <w:szCs w:val="21"/>
              </w:rPr>
            </w:pPr>
            <w:r>
              <w:rPr>
                <w:rFonts w:cs="Times New Roman"/>
                <w:sz w:val="21"/>
                <w:szCs w:val="21"/>
              </w:rPr>
              <w:t>保护用户端与服务端之间传输和存储的用户身份鉴别信息、电子公文数据等重要数据的机密性和完整性，防止数据泄露给非授权的个人、进程等。保护系统业务日志数据的完整性，防止该数据被非授权篡改。</w:t>
            </w:r>
          </w:p>
        </w:tc>
        <w:tc>
          <w:tcPr>
            <w:tcW w:w="777" w:type="pct"/>
            <w:vMerge w:val="restart"/>
            <w:vAlign w:val="center"/>
          </w:tcPr>
          <w:p w14:paraId="2AFCFF23">
            <w:pPr>
              <w:pStyle w:val="35"/>
              <w:spacing w:line="240" w:lineRule="auto"/>
              <w:rPr>
                <w:rFonts w:cs="Times New Roman"/>
                <w:sz w:val="21"/>
                <w:szCs w:val="21"/>
              </w:rPr>
            </w:pPr>
            <w:r>
              <w:rPr>
                <w:rFonts w:cs="Times New Roman"/>
                <w:sz w:val="21"/>
                <w:szCs w:val="21"/>
              </w:rPr>
              <w:t>无</w:t>
            </w:r>
          </w:p>
        </w:tc>
      </w:tr>
      <w:tr w14:paraId="6C3F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pct"/>
            <w:vMerge w:val="continue"/>
            <w:vAlign w:val="center"/>
          </w:tcPr>
          <w:p w14:paraId="68321F04">
            <w:pPr>
              <w:pStyle w:val="35"/>
              <w:spacing w:line="240" w:lineRule="auto"/>
              <w:rPr>
                <w:rFonts w:cs="Times New Roman"/>
                <w:sz w:val="21"/>
                <w:szCs w:val="21"/>
              </w:rPr>
            </w:pPr>
          </w:p>
        </w:tc>
        <w:tc>
          <w:tcPr>
            <w:tcW w:w="1074" w:type="pct"/>
            <w:vAlign w:val="center"/>
          </w:tcPr>
          <w:p w14:paraId="65DCD89B">
            <w:pPr>
              <w:pStyle w:val="35"/>
              <w:spacing w:line="240" w:lineRule="auto"/>
              <w:rPr>
                <w:rFonts w:cs="Times New Roman"/>
                <w:sz w:val="21"/>
                <w:szCs w:val="21"/>
              </w:rPr>
            </w:pPr>
            <w:r>
              <w:rPr>
                <w:rFonts w:cs="Times New Roman"/>
                <w:sz w:val="21"/>
                <w:szCs w:val="21"/>
              </w:rPr>
              <w:t>数据存储机密性</w:t>
            </w:r>
          </w:p>
        </w:tc>
        <w:tc>
          <w:tcPr>
            <w:tcW w:w="2728" w:type="pct"/>
            <w:vMerge w:val="continue"/>
            <w:vAlign w:val="center"/>
          </w:tcPr>
          <w:p w14:paraId="646EB1AF">
            <w:pPr>
              <w:pStyle w:val="35"/>
              <w:spacing w:line="240" w:lineRule="auto"/>
              <w:rPr>
                <w:rFonts w:cs="Times New Roman"/>
                <w:sz w:val="21"/>
                <w:szCs w:val="21"/>
              </w:rPr>
            </w:pPr>
          </w:p>
        </w:tc>
        <w:tc>
          <w:tcPr>
            <w:tcW w:w="777" w:type="pct"/>
            <w:vMerge w:val="continue"/>
            <w:vAlign w:val="center"/>
          </w:tcPr>
          <w:p w14:paraId="05A37EB0">
            <w:pPr>
              <w:pStyle w:val="35"/>
              <w:spacing w:line="240" w:lineRule="auto"/>
              <w:rPr>
                <w:rFonts w:cs="Times New Roman"/>
                <w:sz w:val="21"/>
                <w:szCs w:val="21"/>
              </w:rPr>
            </w:pPr>
          </w:p>
        </w:tc>
      </w:tr>
      <w:tr w14:paraId="463B2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pct"/>
            <w:vMerge w:val="continue"/>
            <w:vAlign w:val="center"/>
          </w:tcPr>
          <w:p w14:paraId="697E9DED">
            <w:pPr>
              <w:pStyle w:val="35"/>
              <w:spacing w:line="240" w:lineRule="auto"/>
              <w:rPr>
                <w:rFonts w:cs="Times New Roman"/>
                <w:sz w:val="21"/>
                <w:szCs w:val="21"/>
              </w:rPr>
            </w:pPr>
          </w:p>
        </w:tc>
        <w:tc>
          <w:tcPr>
            <w:tcW w:w="1074" w:type="pct"/>
            <w:vAlign w:val="center"/>
          </w:tcPr>
          <w:p w14:paraId="397D7FAA">
            <w:pPr>
              <w:pStyle w:val="35"/>
              <w:spacing w:line="240" w:lineRule="auto"/>
              <w:rPr>
                <w:rFonts w:cs="Times New Roman"/>
                <w:sz w:val="21"/>
                <w:szCs w:val="21"/>
              </w:rPr>
            </w:pPr>
            <w:r>
              <w:rPr>
                <w:rFonts w:cs="Times New Roman"/>
                <w:sz w:val="21"/>
                <w:szCs w:val="21"/>
              </w:rPr>
              <w:t>数据传输完整性</w:t>
            </w:r>
          </w:p>
        </w:tc>
        <w:tc>
          <w:tcPr>
            <w:tcW w:w="2728" w:type="pct"/>
            <w:vMerge w:val="continue"/>
            <w:vAlign w:val="center"/>
          </w:tcPr>
          <w:p w14:paraId="1E976C2F">
            <w:pPr>
              <w:pStyle w:val="35"/>
              <w:spacing w:line="240" w:lineRule="auto"/>
              <w:rPr>
                <w:rFonts w:cs="Times New Roman"/>
                <w:sz w:val="21"/>
                <w:szCs w:val="21"/>
              </w:rPr>
            </w:pPr>
          </w:p>
        </w:tc>
        <w:tc>
          <w:tcPr>
            <w:tcW w:w="777" w:type="pct"/>
            <w:vMerge w:val="continue"/>
            <w:vAlign w:val="center"/>
          </w:tcPr>
          <w:p w14:paraId="321E0F3B">
            <w:pPr>
              <w:pStyle w:val="35"/>
              <w:spacing w:line="240" w:lineRule="auto"/>
              <w:rPr>
                <w:rFonts w:cs="Times New Roman"/>
                <w:sz w:val="21"/>
                <w:szCs w:val="21"/>
              </w:rPr>
            </w:pPr>
          </w:p>
        </w:tc>
      </w:tr>
      <w:tr w14:paraId="25F3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pct"/>
            <w:vMerge w:val="continue"/>
            <w:vAlign w:val="center"/>
          </w:tcPr>
          <w:p w14:paraId="65758867">
            <w:pPr>
              <w:pStyle w:val="35"/>
              <w:spacing w:line="240" w:lineRule="auto"/>
              <w:rPr>
                <w:rFonts w:cs="Times New Roman"/>
                <w:sz w:val="21"/>
                <w:szCs w:val="21"/>
              </w:rPr>
            </w:pPr>
          </w:p>
        </w:tc>
        <w:tc>
          <w:tcPr>
            <w:tcW w:w="1074" w:type="pct"/>
            <w:vAlign w:val="center"/>
          </w:tcPr>
          <w:p w14:paraId="68FEC051">
            <w:pPr>
              <w:pStyle w:val="35"/>
              <w:spacing w:line="240" w:lineRule="auto"/>
              <w:rPr>
                <w:rFonts w:cs="Times New Roman"/>
                <w:sz w:val="21"/>
                <w:szCs w:val="21"/>
              </w:rPr>
            </w:pPr>
            <w:r>
              <w:rPr>
                <w:rFonts w:cs="Times New Roman"/>
                <w:sz w:val="21"/>
                <w:szCs w:val="21"/>
              </w:rPr>
              <w:t>数据存储完整性</w:t>
            </w:r>
          </w:p>
        </w:tc>
        <w:tc>
          <w:tcPr>
            <w:tcW w:w="2728" w:type="pct"/>
            <w:vMerge w:val="continue"/>
            <w:vAlign w:val="center"/>
          </w:tcPr>
          <w:p w14:paraId="1024C8A8">
            <w:pPr>
              <w:pStyle w:val="35"/>
              <w:spacing w:line="240" w:lineRule="auto"/>
              <w:rPr>
                <w:rFonts w:cs="Times New Roman"/>
                <w:sz w:val="21"/>
                <w:szCs w:val="21"/>
              </w:rPr>
            </w:pPr>
          </w:p>
        </w:tc>
        <w:tc>
          <w:tcPr>
            <w:tcW w:w="777" w:type="pct"/>
            <w:vMerge w:val="continue"/>
            <w:vAlign w:val="center"/>
          </w:tcPr>
          <w:p w14:paraId="6E3297B7">
            <w:pPr>
              <w:pStyle w:val="35"/>
              <w:spacing w:line="240" w:lineRule="auto"/>
              <w:rPr>
                <w:rFonts w:cs="Times New Roman"/>
                <w:sz w:val="21"/>
                <w:szCs w:val="21"/>
              </w:rPr>
            </w:pPr>
          </w:p>
        </w:tc>
      </w:tr>
      <w:tr w14:paraId="214B3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pct"/>
            <w:vMerge w:val="continue"/>
            <w:vAlign w:val="center"/>
          </w:tcPr>
          <w:p w14:paraId="7F1DACD2">
            <w:pPr>
              <w:pStyle w:val="35"/>
              <w:spacing w:line="240" w:lineRule="auto"/>
              <w:rPr>
                <w:rFonts w:cs="Times New Roman"/>
                <w:sz w:val="21"/>
                <w:szCs w:val="21"/>
              </w:rPr>
            </w:pPr>
          </w:p>
        </w:tc>
        <w:tc>
          <w:tcPr>
            <w:tcW w:w="1074" w:type="pct"/>
            <w:vMerge w:val="restart"/>
            <w:vAlign w:val="center"/>
          </w:tcPr>
          <w:p w14:paraId="307BEF2C">
            <w:pPr>
              <w:pStyle w:val="35"/>
              <w:spacing w:line="240" w:lineRule="auto"/>
              <w:rPr>
                <w:rFonts w:cs="Times New Roman"/>
                <w:sz w:val="21"/>
                <w:szCs w:val="21"/>
              </w:rPr>
            </w:pPr>
            <w:r>
              <w:rPr>
                <w:rFonts w:cs="Times New Roman"/>
                <w:sz w:val="21"/>
                <w:szCs w:val="21"/>
              </w:rPr>
              <w:t>密码服务</w:t>
            </w:r>
          </w:p>
        </w:tc>
        <w:tc>
          <w:tcPr>
            <w:tcW w:w="2728" w:type="pct"/>
            <w:vAlign w:val="center"/>
          </w:tcPr>
          <w:p w14:paraId="1D9340A1">
            <w:pPr>
              <w:pStyle w:val="35"/>
              <w:spacing w:line="240" w:lineRule="auto"/>
              <w:rPr>
                <w:rFonts w:cs="Times New Roman"/>
                <w:sz w:val="21"/>
                <w:szCs w:val="21"/>
              </w:rPr>
            </w:pPr>
            <w:r>
              <w:rPr>
                <w:rFonts w:cs="Times New Roman"/>
                <w:sz w:val="21"/>
                <w:szCs w:val="21"/>
              </w:rPr>
              <w:t>采用的数字证书由具备资质的电子认证服务机构签发。</w:t>
            </w:r>
          </w:p>
        </w:tc>
        <w:tc>
          <w:tcPr>
            <w:tcW w:w="777" w:type="pct"/>
            <w:vAlign w:val="center"/>
          </w:tcPr>
          <w:p w14:paraId="35232B91">
            <w:pPr>
              <w:pStyle w:val="35"/>
              <w:spacing w:line="240" w:lineRule="auto"/>
              <w:rPr>
                <w:rFonts w:cs="Times New Roman"/>
                <w:sz w:val="21"/>
                <w:szCs w:val="21"/>
              </w:rPr>
            </w:pPr>
            <w:r>
              <w:rPr>
                <w:rFonts w:cs="Times New Roman"/>
                <w:sz w:val="21"/>
                <w:szCs w:val="21"/>
              </w:rPr>
              <w:t>无</w:t>
            </w:r>
          </w:p>
        </w:tc>
      </w:tr>
      <w:tr w14:paraId="0254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pct"/>
            <w:vMerge w:val="continue"/>
            <w:vAlign w:val="center"/>
          </w:tcPr>
          <w:p w14:paraId="5D09E05D">
            <w:pPr>
              <w:pStyle w:val="35"/>
              <w:spacing w:line="240" w:lineRule="auto"/>
              <w:rPr>
                <w:rFonts w:cs="Times New Roman"/>
                <w:sz w:val="21"/>
                <w:szCs w:val="21"/>
              </w:rPr>
            </w:pPr>
          </w:p>
        </w:tc>
        <w:tc>
          <w:tcPr>
            <w:tcW w:w="1074" w:type="pct"/>
            <w:vMerge w:val="continue"/>
            <w:vAlign w:val="center"/>
          </w:tcPr>
          <w:p w14:paraId="5EF1474B">
            <w:pPr>
              <w:pStyle w:val="35"/>
              <w:spacing w:line="240" w:lineRule="auto"/>
              <w:rPr>
                <w:rFonts w:cs="Times New Roman"/>
                <w:sz w:val="21"/>
                <w:szCs w:val="21"/>
              </w:rPr>
            </w:pPr>
          </w:p>
        </w:tc>
        <w:tc>
          <w:tcPr>
            <w:tcW w:w="2728" w:type="pct"/>
            <w:vAlign w:val="center"/>
          </w:tcPr>
          <w:p w14:paraId="6948FD95">
            <w:pPr>
              <w:pStyle w:val="35"/>
              <w:spacing w:line="240" w:lineRule="auto"/>
              <w:rPr>
                <w:rFonts w:cs="Times New Roman"/>
                <w:sz w:val="21"/>
                <w:szCs w:val="21"/>
              </w:rPr>
            </w:pPr>
            <w:r>
              <w:rPr>
                <w:rFonts w:cs="Times New Roman"/>
                <w:sz w:val="21"/>
                <w:szCs w:val="21"/>
              </w:rPr>
              <w:t>采用的云密码服务由云平台提供，不适用。</w:t>
            </w:r>
          </w:p>
        </w:tc>
        <w:tc>
          <w:tcPr>
            <w:tcW w:w="777" w:type="pct"/>
            <w:vAlign w:val="center"/>
          </w:tcPr>
          <w:p w14:paraId="30352834">
            <w:pPr>
              <w:pStyle w:val="35"/>
              <w:spacing w:line="240" w:lineRule="auto"/>
              <w:rPr>
                <w:rFonts w:cs="Times New Roman"/>
                <w:sz w:val="21"/>
                <w:szCs w:val="21"/>
              </w:rPr>
            </w:pPr>
            <w:r>
              <w:rPr>
                <w:rFonts w:cs="Times New Roman"/>
                <w:sz w:val="21"/>
                <w:szCs w:val="21"/>
              </w:rPr>
              <w:t>云平台通过密评，已被完全评估。</w:t>
            </w:r>
          </w:p>
        </w:tc>
      </w:tr>
      <w:tr w14:paraId="53DF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pct"/>
            <w:vMerge w:val="continue"/>
            <w:vAlign w:val="center"/>
          </w:tcPr>
          <w:p w14:paraId="6FC3D071">
            <w:pPr>
              <w:pStyle w:val="35"/>
              <w:spacing w:line="240" w:lineRule="auto"/>
              <w:rPr>
                <w:rFonts w:cs="Times New Roman"/>
                <w:sz w:val="21"/>
                <w:szCs w:val="21"/>
              </w:rPr>
            </w:pPr>
          </w:p>
        </w:tc>
        <w:tc>
          <w:tcPr>
            <w:tcW w:w="1074" w:type="pct"/>
            <w:vMerge w:val="restart"/>
            <w:vAlign w:val="center"/>
          </w:tcPr>
          <w:p w14:paraId="46207D15">
            <w:pPr>
              <w:pStyle w:val="35"/>
              <w:spacing w:line="240" w:lineRule="auto"/>
              <w:rPr>
                <w:rFonts w:cs="Times New Roman"/>
                <w:sz w:val="21"/>
                <w:szCs w:val="21"/>
              </w:rPr>
            </w:pPr>
            <w:r>
              <w:rPr>
                <w:rFonts w:cs="Times New Roman"/>
                <w:sz w:val="21"/>
                <w:szCs w:val="21"/>
              </w:rPr>
              <w:t>密码产品</w:t>
            </w:r>
          </w:p>
        </w:tc>
        <w:tc>
          <w:tcPr>
            <w:tcW w:w="2728" w:type="pct"/>
            <w:vAlign w:val="center"/>
          </w:tcPr>
          <w:p w14:paraId="676B6D1D">
            <w:pPr>
              <w:pStyle w:val="35"/>
              <w:spacing w:line="240" w:lineRule="auto"/>
              <w:rPr>
                <w:rFonts w:cs="Times New Roman"/>
                <w:sz w:val="21"/>
                <w:szCs w:val="21"/>
              </w:rPr>
            </w:pPr>
            <w:r>
              <w:rPr>
                <w:rFonts w:cs="Times New Roman"/>
                <w:sz w:val="21"/>
                <w:szCs w:val="21"/>
              </w:rPr>
              <w:t>用户端采用的密码产品应达到GB/T37092二级及以上安全要求。</w:t>
            </w:r>
          </w:p>
        </w:tc>
        <w:tc>
          <w:tcPr>
            <w:tcW w:w="777" w:type="pct"/>
            <w:vAlign w:val="center"/>
          </w:tcPr>
          <w:p w14:paraId="1F45CD40">
            <w:pPr>
              <w:pStyle w:val="35"/>
              <w:spacing w:line="240" w:lineRule="auto"/>
              <w:rPr>
                <w:rFonts w:cs="Times New Roman"/>
                <w:sz w:val="21"/>
                <w:szCs w:val="21"/>
              </w:rPr>
            </w:pPr>
            <w:r>
              <w:rPr>
                <w:rFonts w:cs="Times New Roman"/>
                <w:sz w:val="21"/>
                <w:szCs w:val="21"/>
              </w:rPr>
              <w:t>无</w:t>
            </w:r>
          </w:p>
        </w:tc>
      </w:tr>
      <w:tr w14:paraId="1CC8A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pct"/>
            <w:vMerge w:val="continue"/>
            <w:vAlign w:val="center"/>
          </w:tcPr>
          <w:p w14:paraId="4C477284">
            <w:pPr>
              <w:pStyle w:val="35"/>
              <w:spacing w:line="240" w:lineRule="auto"/>
              <w:rPr>
                <w:rFonts w:cs="Times New Roman"/>
                <w:sz w:val="21"/>
                <w:szCs w:val="21"/>
              </w:rPr>
            </w:pPr>
          </w:p>
        </w:tc>
        <w:tc>
          <w:tcPr>
            <w:tcW w:w="1074" w:type="pct"/>
            <w:vMerge w:val="continue"/>
            <w:vAlign w:val="center"/>
          </w:tcPr>
          <w:p w14:paraId="6C01098B">
            <w:pPr>
              <w:pStyle w:val="35"/>
              <w:spacing w:line="240" w:lineRule="auto"/>
              <w:rPr>
                <w:rFonts w:cs="Times New Roman"/>
                <w:sz w:val="21"/>
                <w:szCs w:val="21"/>
              </w:rPr>
            </w:pPr>
          </w:p>
        </w:tc>
        <w:tc>
          <w:tcPr>
            <w:tcW w:w="2728" w:type="pct"/>
            <w:vAlign w:val="center"/>
          </w:tcPr>
          <w:p w14:paraId="7ED8004B">
            <w:pPr>
              <w:pStyle w:val="35"/>
              <w:spacing w:line="240" w:lineRule="auto"/>
              <w:rPr>
                <w:rFonts w:cs="Times New Roman"/>
                <w:sz w:val="21"/>
                <w:szCs w:val="21"/>
              </w:rPr>
            </w:pPr>
            <w:r>
              <w:rPr>
                <w:rFonts w:cs="Times New Roman"/>
                <w:sz w:val="21"/>
                <w:szCs w:val="21"/>
              </w:rPr>
              <w:t>服务端相关的密码产品由云平台提供安全保障，不适用。</w:t>
            </w:r>
          </w:p>
        </w:tc>
        <w:tc>
          <w:tcPr>
            <w:tcW w:w="777" w:type="pct"/>
            <w:vAlign w:val="center"/>
          </w:tcPr>
          <w:p w14:paraId="3F90458A">
            <w:pPr>
              <w:pStyle w:val="35"/>
              <w:spacing w:line="240" w:lineRule="auto"/>
              <w:rPr>
                <w:rFonts w:cs="Times New Roman"/>
                <w:sz w:val="21"/>
                <w:szCs w:val="21"/>
              </w:rPr>
            </w:pPr>
            <w:r>
              <w:rPr>
                <w:rFonts w:cs="Times New Roman"/>
                <w:sz w:val="21"/>
                <w:szCs w:val="21"/>
              </w:rPr>
              <w:t>云平台通过密评，已被完全评估。</w:t>
            </w:r>
          </w:p>
        </w:tc>
      </w:tr>
    </w:tbl>
    <w:p w14:paraId="788BE299">
      <w:pPr>
        <w:ind w:firstLine="0" w:firstLineChars="0"/>
        <w:rPr>
          <w:rFonts w:cs="Times New Roman"/>
        </w:rPr>
      </w:pPr>
    </w:p>
    <w:p w14:paraId="29810131">
      <w:pPr>
        <w:pStyle w:val="3"/>
        <w:rPr>
          <w:rFonts w:cs="Times New Roman"/>
        </w:rPr>
      </w:pPr>
      <w:r>
        <w:rPr>
          <w:rFonts w:cs="Times New Roman"/>
        </w:rPr>
        <w:t>技术文件要求</w:t>
      </w:r>
    </w:p>
    <w:p w14:paraId="55178725">
      <w:pPr>
        <w:ind w:firstLine="480"/>
        <w:rPr>
          <w:rFonts w:cs="Times New Roman"/>
        </w:rPr>
      </w:pPr>
      <w:r>
        <w:rPr>
          <w:rFonts w:hint="eastAsia" w:cs="Times New Roman"/>
          <w:lang w:val="en-US" w:eastAsia="zh-CN"/>
        </w:rPr>
        <w:t>供应商</w:t>
      </w:r>
      <w:r>
        <w:rPr>
          <w:rFonts w:cs="Times New Roman"/>
        </w:rPr>
        <w:t>需承诺若</w:t>
      </w:r>
      <w:r>
        <w:rPr>
          <w:rFonts w:hint="eastAsia" w:cs="Times New Roman"/>
          <w:lang w:val="en-US" w:eastAsia="zh-CN"/>
        </w:rPr>
        <w:t>成交</w:t>
      </w:r>
      <w:r>
        <w:rPr>
          <w:rFonts w:cs="Times New Roman"/>
        </w:rPr>
        <w:t>，应在承接项目初验时提供书面技术资料，包含确保系统正常运行所需的管理、运营及维护有关的全套文件。技术文件应该全面、完整、详细。</w:t>
      </w:r>
      <w:r>
        <w:rPr>
          <w:rFonts w:hint="eastAsia" w:cs="Times New Roman"/>
          <w:lang w:val="en-US" w:eastAsia="zh-CN"/>
        </w:rPr>
        <w:t>供应商</w:t>
      </w:r>
      <w:r>
        <w:rPr>
          <w:rFonts w:cs="Times New Roman"/>
        </w:rPr>
        <w:t>提供的技术文件至少应包括：</w:t>
      </w:r>
    </w:p>
    <w:p w14:paraId="02A88830">
      <w:pPr>
        <w:ind w:firstLine="480"/>
        <w:rPr>
          <w:rFonts w:cs="Times New Roman"/>
        </w:rPr>
      </w:pPr>
      <w:r>
        <w:rPr>
          <w:rFonts w:cs="Times New Roman"/>
        </w:rPr>
        <w:t>－系统说明文件；</w:t>
      </w:r>
    </w:p>
    <w:p w14:paraId="167D4293">
      <w:pPr>
        <w:ind w:firstLine="480"/>
        <w:rPr>
          <w:rFonts w:cs="Times New Roman"/>
        </w:rPr>
      </w:pPr>
      <w:r>
        <w:rPr>
          <w:rFonts w:cs="Times New Roman"/>
        </w:rPr>
        <w:t>－技术手册(安装、测试、操作、维护、故障排除等)；</w:t>
      </w:r>
    </w:p>
    <w:p w14:paraId="5E6FD087">
      <w:pPr>
        <w:ind w:firstLine="480"/>
        <w:rPr>
          <w:rFonts w:cs="Times New Roman"/>
        </w:rPr>
      </w:pPr>
      <w:r>
        <w:rPr>
          <w:rFonts w:cs="Times New Roman"/>
        </w:rPr>
        <w:t>－项目文档，应该包括：</w:t>
      </w:r>
    </w:p>
    <w:p w14:paraId="029FB4B2">
      <w:pPr>
        <w:ind w:firstLine="480"/>
        <w:rPr>
          <w:rFonts w:cs="Times New Roman"/>
        </w:rPr>
      </w:pPr>
      <w:r>
        <w:rPr>
          <w:rFonts w:cs="Times New Roman"/>
        </w:rPr>
        <w:t>1、软件需求说明书；</w:t>
      </w:r>
    </w:p>
    <w:p w14:paraId="43E3C87C">
      <w:pPr>
        <w:ind w:firstLine="480"/>
        <w:rPr>
          <w:rFonts w:cs="Times New Roman"/>
        </w:rPr>
      </w:pPr>
      <w:r>
        <w:rPr>
          <w:rFonts w:cs="Times New Roman"/>
        </w:rPr>
        <w:t>2、系统总体设计说明书；</w:t>
      </w:r>
    </w:p>
    <w:p w14:paraId="148F2341">
      <w:pPr>
        <w:ind w:firstLine="480"/>
        <w:rPr>
          <w:rFonts w:cs="Times New Roman"/>
        </w:rPr>
      </w:pPr>
      <w:r>
        <w:rPr>
          <w:rFonts w:cs="Times New Roman"/>
        </w:rPr>
        <w:t>3、应用软件功能清单。</w:t>
      </w:r>
    </w:p>
    <w:p w14:paraId="524835CD">
      <w:pPr>
        <w:ind w:firstLine="480"/>
        <w:rPr>
          <w:rFonts w:cs="Times New Roman"/>
        </w:rPr>
      </w:pPr>
      <w:r>
        <w:rPr>
          <w:rFonts w:cs="Times New Roman"/>
        </w:rPr>
        <w:t>提供全套技术文件纸介质3套以及电子文件1套。</w:t>
      </w:r>
    </w:p>
    <w:p w14:paraId="3744D45D">
      <w:pPr>
        <w:pStyle w:val="2"/>
      </w:pPr>
      <w:r>
        <w:t>供应商资质要求</w:t>
      </w:r>
    </w:p>
    <w:p w14:paraId="49069760">
      <w:r>
        <w:rPr>
          <w:rFonts w:hint="eastAsia"/>
        </w:rPr>
        <w:t>供应商应当具有类似项目建设经验，具有ISO20000信息技术服务管理体系证书，ISO27001信息安全管理体系认证，ISO9001质量认证证书、ITSS信息技术服务标准符合性证书的优先。</w:t>
      </w:r>
    </w:p>
    <w:p w14:paraId="40EF2D39">
      <w:pPr>
        <w:pStyle w:val="2"/>
      </w:pPr>
      <w:r>
        <w:t>关于转让和分包的规定</w:t>
      </w:r>
    </w:p>
    <w:p w14:paraId="32A6A7F8">
      <w:pPr>
        <w:ind w:firstLine="480"/>
        <w:rPr>
          <w:rFonts w:cs="Times New Roman"/>
        </w:rPr>
      </w:pPr>
      <w:r>
        <w:rPr>
          <w:rFonts w:hint="eastAsia" w:cs="Times New Roman"/>
        </w:rPr>
        <w:t>本项目</w:t>
      </w:r>
      <w:r>
        <w:rPr>
          <w:rFonts w:cs="Times New Roman"/>
        </w:rPr>
        <w:t>不得转让，不得分包。</w:t>
      </w:r>
    </w:p>
    <w:p w14:paraId="59BF5844">
      <w:pPr>
        <w:ind w:firstLine="0" w:firstLineChars="0"/>
        <w:rPr>
          <w:rFonts w:cs="Times New Roman"/>
        </w:rPr>
      </w:pPr>
      <w:bookmarkStart w:id="13" w:name="_GoBack"/>
      <w:bookmarkEnd w:id="13"/>
    </w:p>
    <w:sectPr>
      <w:footerReference r:id="rId11"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Times New Roman Bold">
    <w:altName w:val="DejaVu Sans"/>
    <w:panose1 w:val="02020803070505020304"/>
    <w:charset w:val="00"/>
    <w:family w:val="auto"/>
    <w:pitch w:val="default"/>
    <w:sig w:usb0="00000000" w:usb1="00000000" w:usb2="00000001" w:usb3="00000000" w:csb0="400001BF" w:csb1="DFF70000"/>
  </w:font>
  <w:font w:name="HEITI SC MEDIUM">
    <w:altName w:val="方正书宋_GBK"/>
    <w:panose1 w:val="00000000000000000000"/>
    <w:charset w:val="80"/>
    <w:family w:val="auto"/>
    <w:pitch w:val="default"/>
    <w:sig w:usb0="00000000" w:usb1="00000000" w:usb2="00000000" w:usb3="00000000" w:csb0="203E0000" w:csb1="0000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微软雅黑">
    <w:altName w:val="方正黑体_GBK"/>
    <w:panose1 w:val="020B0503020204020204"/>
    <w:charset w:val="86"/>
    <w:family w:val="swiss"/>
    <w:pitch w:val="default"/>
    <w:sig w:usb0="00000000" w:usb1="00000000" w:usb2="00000016" w:usb3="00000000" w:csb0="0004001F"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4933F">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B3E7F">
    <w:pPr>
      <w:pStyle w:val="12"/>
      <w:ind w:firstLine="360"/>
    </w:pPr>
  </w:p>
  <w:p w14:paraId="76694462">
    <w:pPr>
      <w:ind w:firstLine="480"/>
    </w:pPr>
  </w:p>
  <w:p w14:paraId="3F7150EC">
    <w:pPr>
      <w:ind w:firstLine="480"/>
    </w:pPr>
  </w:p>
  <w:p w14:paraId="793A482B">
    <w:pPr>
      <w:ind w:firstLine="480"/>
    </w:pPr>
  </w:p>
  <w:p w14:paraId="4BEFA30A">
    <w:pPr>
      <w:ind w:firstLine="480"/>
    </w:pPr>
  </w:p>
  <w:p w14:paraId="434E9591">
    <w:pPr>
      <w:ind w:firstLine="480"/>
    </w:pPr>
  </w:p>
  <w:p w14:paraId="38CCBAD6">
    <w:pPr>
      <w:ind w:firstLine="480"/>
    </w:pPr>
  </w:p>
  <w:p w14:paraId="21287172">
    <w:pPr>
      <w:ind w:firstLine="480"/>
    </w:pPr>
  </w:p>
  <w:p w14:paraId="2794E3C1">
    <w:pPr>
      <w:ind w:firstLine="480"/>
    </w:pPr>
  </w:p>
  <w:p w14:paraId="15F22594">
    <w:pPr>
      <w:ind w:firstLine="480"/>
    </w:pPr>
  </w:p>
  <w:p w14:paraId="059856AB">
    <w:pPr>
      <w:ind w:firstLine="480"/>
    </w:pPr>
  </w:p>
  <w:p w14:paraId="40417E91">
    <w:pPr>
      <w:ind w:firstLine="480"/>
    </w:pPr>
  </w:p>
  <w:p w14:paraId="2BA14D1B">
    <w:pPr>
      <w:ind w:firstLine="480"/>
    </w:pPr>
  </w:p>
  <w:p w14:paraId="6617C2C6">
    <w:pPr>
      <w:ind w:firstLine="480"/>
    </w:pPr>
  </w:p>
  <w:p w14:paraId="38980816">
    <w:pPr>
      <w:ind w:firstLine="480"/>
    </w:pPr>
  </w:p>
  <w:p w14:paraId="3B7B0BE2">
    <w:pPr>
      <w:ind w:firstLine="480"/>
    </w:pPr>
  </w:p>
  <w:p w14:paraId="7A83B969">
    <w:pPr>
      <w:ind w:firstLine="480"/>
    </w:pPr>
  </w:p>
  <w:p w14:paraId="2A6CE8F5">
    <w:pPr>
      <w:ind w:firstLine="480"/>
    </w:pPr>
  </w:p>
  <w:p w14:paraId="2F31C391">
    <w:pPr>
      <w:ind w:firstLine="480"/>
    </w:pPr>
  </w:p>
  <w:p w14:paraId="23284CDF">
    <w:pPr>
      <w:ind w:firstLine="480"/>
    </w:pPr>
  </w:p>
  <w:p w14:paraId="5C19CD85">
    <w:pPr>
      <w:ind w:firstLine="480"/>
    </w:pPr>
  </w:p>
  <w:p w14:paraId="64EE3E3B">
    <w:pPr>
      <w:ind w:firstLine="480"/>
    </w:pPr>
  </w:p>
  <w:p w14:paraId="22D65240">
    <w:pPr>
      <w:ind w:firstLine="480"/>
    </w:pPr>
  </w:p>
  <w:p w14:paraId="131E1B8C">
    <w:pPr>
      <w:ind w:firstLine="480"/>
    </w:pPr>
  </w:p>
  <w:p w14:paraId="0513897A">
    <w:pPr>
      <w:ind w:firstLine="480"/>
    </w:pPr>
  </w:p>
  <w:p w14:paraId="4BA4CB98">
    <w:pPr>
      <w:ind w:firstLine="480"/>
    </w:pPr>
  </w:p>
  <w:p w14:paraId="02EAE739">
    <w:pPr>
      <w:ind w:firstLine="480"/>
    </w:pPr>
  </w:p>
  <w:p w14:paraId="1F6D534F">
    <w:pPr>
      <w:ind w:firstLine="480"/>
    </w:pPr>
  </w:p>
  <w:p w14:paraId="6007CDE5">
    <w:pPr>
      <w:ind w:firstLine="4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FBEAB">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6580"/>
    </w:sdtPr>
    <w:sdtContent>
      <w:p w14:paraId="417E8DC0">
        <w:pPr>
          <w:pStyle w:val="12"/>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62D2C">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75957">
    <w:pPr>
      <w:pStyle w:val="13"/>
      <w:ind w:firstLine="360"/>
    </w:pPr>
  </w:p>
  <w:p w14:paraId="297B5944">
    <w:pPr>
      <w:ind w:firstLine="480"/>
    </w:pPr>
  </w:p>
  <w:p w14:paraId="7C1C4683">
    <w:pPr>
      <w:ind w:firstLine="480"/>
    </w:pPr>
  </w:p>
  <w:p w14:paraId="63CA145C">
    <w:pPr>
      <w:ind w:firstLine="480"/>
    </w:pPr>
  </w:p>
  <w:p w14:paraId="5A7C0887">
    <w:pPr>
      <w:ind w:firstLine="480"/>
    </w:pPr>
  </w:p>
  <w:p w14:paraId="63600D97">
    <w:pPr>
      <w:ind w:firstLine="480"/>
    </w:pPr>
  </w:p>
  <w:p w14:paraId="76F63EEE">
    <w:pPr>
      <w:ind w:firstLine="480"/>
    </w:pPr>
  </w:p>
  <w:p w14:paraId="5FD931EF">
    <w:pPr>
      <w:ind w:firstLine="480"/>
    </w:pPr>
  </w:p>
  <w:p w14:paraId="2A5D993C">
    <w:pPr>
      <w:ind w:firstLine="480"/>
    </w:pPr>
  </w:p>
  <w:p w14:paraId="63CC4C7D">
    <w:pPr>
      <w:ind w:firstLine="480"/>
    </w:pPr>
  </w:p>
  <w:p w14:paraId="2F9F525E">
    <w:pPr>
      <w:ind w:firstLine="480"/>
    </w:pPr>
  </w:p>
  <w:p w14:paraId="0E27BCC3">
    <w:pPr>
      <w:ind w:firstLine="480"/>
    </w:pPr>
  </w:p>
  <w:p w14:paraId="25814BCD">
    <w:pPr>
      <w:ind w:firstLine="480"/>
    </w:pPr>
  </w:p>
  <w:p w14:paraId="6C45AB78">
    <w:pPr>
      <w:ind w:firstLine="480"/>
    </w:pPr>
  </w:p>
  <w:p w14:paraId="47D01D0B">
    <w:pPr>
      <w:ind w:firstLine="480"/>
    </w:pPr>
  </w:p>
  <w:p w14:paraId="15F711FB">
    <w:pPr>
      <w:ind w:firstLine="480"/>
    </w:pPr>
  </w:p>
  <w:p w14:paraId="42797BA3">
    <w:pPr>
      <w:ind w:firstLine="480"/>
    </w:pPr>
  </w:p>
  <w:p w14:paraId="4988F18F">
    <w:pPr>
      <w:ind w:firstLine="480"/>
    </w:pPr>
  </w:p>
  <w:p w14:paraId="25A7D085">
    <w:pPr>
      <w:ind w:firstLine="480"/>
    </w:pPr>
  </w:p>
  <w:p w14:paraId="31F7426D">
    <w:pPr>
      <w:ind w:firstLine="480"/>
    </w:pPr>
  </w:p>
  <w:p w14:paraId="75BC2DB4">
    <w:pPr>
      <w:ind w:firstLine="480"/>
    </w:pPr>
  </w:p>
  <w:p w14:paraId="4F3257FD">
    <w:pPr>
      <w:ind w:firstLine="480"/>
    </w:pPr>
  </w:p>
  <w:p w14:paraId="596659A7">
    <w:pPr>
      <w:ind w:firstLine="480"/>
    </w:pPr>
  </w:p>
  <w:p w14:paraId="468A4637">
    <w:pPr>
      <w:ind w:firstLine="480"/>
    </w:pPr>
  </w:p>
  <w:p w14:paraId="41B4910F">
    <w:pPr>
      <w:ind w:firstLine="480"/>
    </w:pPr>
  </w:p>
  <w:p w14:paraId="072DCA7F">
    <w:pPr>
      <w:ind w:firstLine="480"/>
    </w:pPr>
  </w:p>
  <w:p w14:paraId="5EC0ADEB">
    <w:pPr>
      <w:ind w:firstLine="480"/>
    </w:pPr>
  </w:p>
  <w:p w14:paraId="3413FCC8">
    <w:pPr>
      <w:ind w:firstLine="480"/>
    </w:pPr>
  </w:p>
  <w:p w14:paraId="4B10D830">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385B0">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EEF523"/>
    <w:multiLevelType w:val="multilevel"/>
    <w:tmpl w:val="FBEEF523"/>
    <w:lvl w:ilvl="0" w:tentative="0">
      <w:start w:val="1"/>
      <w:numFmt w:val="chineseCounting"/>
      <w:suff w:val="nothing"/>
      <w:lvlText w:val="第%1章  "/>
      <w:lvlJc w:val="left"/>
      <w:pPr>
        <w:tabs>
          <w:tab w:val="left" w:pos="0"/>
        </w:tabs>
        <w:ind w:left="0" w:firstLine="0"/>
      </w:pPr>
      <w:rPr>
        <w:rFonts w:hint="eastAsia" w:ascii="Times New Roman" w:hAnsi="Times New Roman" w:eastAsia="黑体" w:cs="宋体"/>
        <w:b/>
        <w:sz w:val="34"/>
      </w:rPr>
    </w:lvl>
    <w:lvl w:ilvl="1" w:tentative="0">
      <w:start w:val="1"/>
      <w:numFmt w:val="decimal"/>
      <w:isLgl/>
      <w:suff w:val="nothing"/>
      <w:lvlText w:val="%1.%2  "/>
      <w:lvlJc w:val="left"/>
      <w:pPr>
        <w:tabs>
          <w:tab w:val="left" w:pos="0"/>
        </w:tabs>
        <w:ind w:left="0" w:firstLine="0"/>
      </w:pPr>
      <w:rPr>
        <w:rFonts w:hint="eastAsia" w:ascii="Times New Roman" w:hAnsi="Times New Roman" w:eastAsia="黑体" w:cs="宋体"/>
        <w:b/>
        <w:sz w:val="32"/>
      </w:rPr>
    </w:lvl>
    <w:lvl w:ilvl="2" w:tentative="0">
      <w:start w:val="1"/>
      <w:numFmt w:val="decimal"/>
      <w:isLgl/>
      <w:suff w:val="nothing"/>
      <w:lvlText w:val="%1.%2.%3  "/>
      <w:lvlJc w:val="left"/>
      <w:pPr>
        <w:tabs>
          <w:tab w:val="left" w:pos="420"/>
        </w:tabs>
        <w:ind w:left="0" w:firstLine="0"/>
      </w:pPr>
      <w:rPr>
        <w:rFonts w:hint="eastAsia" w:ascii="Times New Roman" w:hAnsi="Times New Roman" w:eastAsia="黑体" w:cs="宋体"/>
        <w:sz w:val="30"/>
      </w:rPr>
    </w:lvl>
    <w:lvl w:ilvl="3" w:tentative="0">
      <w:start w:val="1"/>
      <w:numFmt w:val="decimal"/>
      <w:isLgl/>
      <w:suff w:val="nothing"/>
      <w:lvlText w:val="%1.%2.%3.%4  "/>
      <w:lvlJc w:val="left"/>
      <w:pPr>
        <w:tabs>
          <w:tab w:val="left" w:pos="420"/>
        </w:tabs>
        <w:ind w:left="0" w:firstLine="0"/>
      </w:pPr>
      <w:rPr>
        <w:rFonts w:hint="eastAsia" w:ascii="Times New Roman" w:hAnsi="Times New Roman" w:eastAsia="黑体" w:cs="宋体"/>
        <w:b/>
        <w:sz w:val="28"/>
      </w:rPr>
    </w:lvl>
    <w:lvl w:ilvl="4" w:tentative="0">
      <w:start w:val="1"/>
      <w:numFmt w:val="decimal"/>
      <w:isLgl/>
      <w:suff w:val="nothing"/>
      <w:lvlText w:val="%1.%2.%3.%4.%5  "/>
      <w:lvlJc w:val="left"/>
      <w:pPr>
        <w:tabs>
          <w:tab w:val="left" w:pos="420"/>
        </w:tabs>
        <w:ind w:left="0" w:firstLine="0"/>
      </w:pPr>
      <w:rPr>
        <w:rFonts w:hint="eastAsia" w:ascii="Times New Roman" w:hAnsi="Times New Roman" w:eastAsia="宋体" w:cs="宋体"/>
        <w:b/>
        <w:sz w:val="26"/>
      </w:rPr>
    </w:lvl>
    <w:lvl w:ilvl="5" w:tentative="0">
      <w:start w:val="1"/>
      <w:numFmt w:val="decimal"/>
      <w:isLgl/>
      <w:suff w:val="nothing"/>
      <w:lvlText w:val="%1.%2.%3.%4.%5.%6  "/>
      <w:lvlJc w:val="left"/>
      <w:pPr>
        <w:tabs>
          <w:tab w:val="left" w:pos="420"/>
        </w:tabs>
        <w:ind w:left="0" w:firstLine="0"/>
      </w:pPr>
      <w:rPr>
        <w:rFonts w:hint="eastAsia" w:ascii="Times New Roman" w:hAnsi="Times New Roman" w:eastAsia="黑体" w:cs="宋体"/>
        <w:b/>
        <w:sz w:val="24"/>
      </w:rPr>
    </w:lvl>
    <w:lvl w:ilvl="6" w:tentative="0">
      <w:start w:val="1"/>
      <w:numFmt w:val="decimal"/>
      <w:isLgl/>
      <w:suff w:val="nothing"/>
      <w:lvlText w:val="%1.%2.%3.%4.%5.%6.%7  "/>
      <w:lvlJc w:val="left"/>
      <w:pPr>
        <w:tabs>
          <w:tab w:val="left" w:pos="420"/>
        </w:tabs>
        <w:ind w:left="0" w:firstLine="0"/>
      </w:pPr>
      <w:rPr>
        <w:rFonts w:hint="eastAsia" w:ascii="Times New Roman" w:hAnsi="Times New Roman" w:eastAsia="宋体" w:cs="宋体"/>
        <w:b/>
        <w:sz w:val="24"/>
      </w:rPr>
    </w:lvl>
    <w:lvl w:ilvl="7" w:tentative="0">
      <w:start w:val="1"/>
      <w:numFmt w:val="decimal"/>
      <w:lvlRestart w:val="1"/>
      <w:pStyle w:val="32"/>
      <w:isLgl/>
      <w:suff w:val="nothing"/>
      <w:lvlText w:val="图%1.%8  "/>
      <w:lvlJc w:val="left"/>
      <w:pPr>
        <w:tabs>
          <w:tab w:val="left" w:pos="420"/>
        </w:tabs>
        <w:ind w:left="0" w:firstLine="0"/>
      </w:pPr>
      <w:rPr>
        <w:rFonts w:hint="eastAsia" w:ascii="宋体" w:hAnsi="宋体" w:eastAsia="宋体" w:cs="宋体"/>
        <w:sz w:val="22"/>
      </w:rPr>
    </w:lvl>
    <w:lvl w:ilvl="8" w:tentative="0">
      <w:start w:val="1"/>
      <w:numFmt w:val="decimal"/>
      <w:lvlRestart w:val="1"/>
      <w:pStyle w:val="33"/>
      <w:isLgl/>
      <w:suff w:val="nothing"/>
      <w:lvlText w:val="表%1.%9  "/>
      <w:lvlJc w:val="left"/>
      <w:pPr>
        <w:tabs>
          <w:tab w:val="left" w:pos="0"/>
        </w:tabs>
        <w:ind w:left="0" w:firstLine="0"/>
      </w:pPr>
      <w:rPr>
        <w:rFonts w:hint="eastAsia" w:ascii="宋体" w:hAnsi="宋体" w:eastAsia="宋体" w:cs="宋体"/>
        <w:sz w:val="22"/>
      </w:rPr>
    </w:lvl>
  </w:abstractNum>
  <w:abstractNum w:abstractNumId="1">
    <w:nsid w:val="FDEFB2B0"/>
    <w:multiLevelType w:val="multilevel"/>
    <w:tmpl w:val="FDEFB2B0"/>
    <w:lvl w:ilvl="0" w:tentative="0">
      <w:start w:val="1"/>
      <w:numFmt w:val="chineseCounting"/>
      <w:pStyle w:val="2"/>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6DD7435B"/>
    <w:multiLevelType w:val="multilevel"/>
    <w:tmpl w:val="6DD7435B"/>
    <w:lvl w:ilvl="0" w:tentative="0">
      <w:start w:val="5"/>
      <w:numFmt w:val="chineseCountingThousand"/>
      <w:suff w:val="nothing"/>
      <w:lvlText w:val="%1、"/>
      <w:lvlJc w:val="left"/>
      <w:pPr>
        <w:ind w:left="0" w:firstLine="0"/>
      </w:pPr>
      <w:rPr>
        <w:rFonts w:hint="default"/>
        <w:sz w:val="32"/>
        <w:szCs w:val="32"/>
      </w:rPr>
    </w:lvl>
    <w:lvl w:ilvl="1" w:tentative="0">
      <w:start w:val="1"/>
      <w:numFmt w:val="decimal"/>
      <w:pStyle w:val="3"/>
      <w:isLgl/>
      <w:suff w:val="space"/>
      <w:lvlText w:val="%1.%2"/>
      <w:lvlJc w:val="left"/>
      <w:pPr>
        <w:ind w:left="0" w:firstLine="0"/>
      </w:pPr>
      <w:rPr>
        <w:rFonts w:hint="default" w:ascii="Times New Roman" w:hAnsi="Times New Roman" w:eastAsia="宋体" w:cs="Times New Roman"/>
      </w:rPr>
    </w:lvl>
    <w:lvl w:ilvl="2" w:tentative="0">
      <w:start w:val="1"/>
      <w:numFmt w:val="decimal"/>
      <w:pStyle w:val="4"/>
      <w:isLgl/>
      <w:suff w:val="space"/>
      <w:lvlText w:val="%1.%2.%3"/>
      <w:lvlJc w:val="left"/>
      <w:pPr>
        <w:ind w:left="0" w:firstLine="0"/>
      </w:pPr>
      <w:rPr>
        <w:rFonts w:hint="default" w:ascii="宋体" w:hAnsi="宋体" w:eastAsia="宋体" w:cs="等线"/>
      </w:rPr>
    </w:lvl>
    <w:lvl w:ilvl="3" w:tentative="0">
      <w:start w:val="1"/>
      <w:numFmt w:val="decimal"/>
      <w:isLgl/>
      <w:suff w:val="nothing"/>
      <w:lvlText w:val="%1.%2.%3.%4、"/>
      <w:lvlJc w:val="left"/>
      <w:pPr>
        <w:ind w:left="3403" w:hanging="851"/>
      </w:pPr>
      <w:rPr>
        <w:rFonts w:hint="eastAsia"/>
      </w:r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3">
    <w:nsid w:val="7FF65A8C"/>
    <w:multiLevelType w:val="multilevel"/>
    <w:tmpl w:val="7FF65A8C"/>
    <w:lvl w:ilvl="0" w:tentative="0">
      <w:start w:val="1"/>
      <w:numFmt w:val="decimal"/>
      <w:suff w:val="nothing"/>
      <w:lvlText w:val="%1、"/>
      <w:lvlJc w:val="left"/>
      <w:pPr>
        <w:ind w:left="840" w:firstLine="0"/>
      </w:pPr>
      <w:rPr>
        <w:rFonts w:hint="default" w:ascii="宋体" w:hAnsi="宋体" w:eastAsia="宋体" w:cs="宋体"/>
        <w:b/>
        <w:i w:val="0"/>
        <w:color w:val="auto"/>
        <w:sz w:val="32"/>
        <w:lang w:val="en-US"/>
      </w:rPr>
    </w:lvl>
    <w:lvl w:ilvl="1" w:tentative="0">
      <w:start w:val="5"/>
      <w:numFmt w:val="decimal"/>
      <w:isLgl/>
      <w:suff w:val="nothing"/>
      <w:lvlText w:val="%1.%2 "/>
      <w:lvlJc w:val="left"/>
      <w:pPr>
        <w:tabs>
          <w:tab w:val="left" w:pos="0"/>
        </w:tabs>
        <w:ind w:left="-12" w:firstLine="0"/>
      </w:pPr>
      <w:rPr>
        <w:rFonts w:hint="default" w:ascii="宋体" w:hAnsi="宋体" w:eastAsia="宋体" w:cs="宋体"/>
        <w:b/>
        <w:i w:val="0"/>
        <w:sz w:val="30"/>
      </w:rPr>
    </w:lvl>
    <w:lvl w:ilvl="2" w:tentative="0">
      <w:start w:val="1"/>
      <w:numFmt w:val="decimal"/>
      <w:isLgl/>
      <w:suff w:val="nothing"/>
      <w:lvlText w:val="%1.%2.%3 "/>
      <w:lvlJc w:val="left"/>
      <w:pPr>
        <w:ind w:left="568" w:firstLine="0"/>
      </w:pPr>
      <w:rPr>
        <w:rFonts w:hint="default" w:ascii="Times New Roman" w:hAnsi="Times New Roman" w:eastAsia="仿宋"/>
        <w:b/>
        <w:i w:val="0"/>
        <w:sz w:val="28"/>
      </w:rPr>
    </w:lvl>
    <w:lvl w:ilvl="3" w:tentative="0">
      <w:start w:val="1"/>
      <w:numFmt w:val="decimal"/>
      <w:pStyle w:val="5"/>
      <w:isLgl/>
      <w:suff w:val="nothing"/>
      <w:lvlText w:val="%1.%2.%3.%4、"/>
      <w:lvlJc w:val="left"/>
      <w:pPr>
        <w:ind w:left="-12" w:firstLine="0"/>
      </w:pPr>
      <w:rPr>
        <w:rFonts w:hint="default" w:ascii="Times New Roman" w:hAnsi="Times New Roman" w:eastAsia="宋体"/>
        <w:b/>
        <w:i w:val="0"/>
        <w:sz w:val="24"/>
      </w:rPr>
    </w:lvl>
    <w:lvl w:ilvl="4" w:tentative="0">
      <w:start w:val="1"/>
      <w:numFmt w:val="decimal"/>
      <w:pStyle w:val="6"/>
      <w:isLgl/>
      <w:suff w:val="nothing"/>
      <w:lvlText w:val="%1.%2.%3.%4.%5、"/>
      <w:lvlJc w:val="left"/>
      <w:pPr>
        <w:ind w:left="-12" w:firstLine="0"/>
      </w:pPr>
      <w:rPr>
        <w:rFonts w:hint="default" w:ascii="Times New Roman" w:hAnsi="Times New Roman" w:eastAsia="宋体"/>
        <w:b/>
        <w:i w:val="0"/>
        <w:sz w:val="21"/>
      </w:rPr>
    </w:lvl>
    <w:lvl w:ilvl="5" w:tentative="0">
      <w:start w:val="1"/>
      <w:numFmt w:val="decimal"/>
      <w:pStyle w:val="7"/>
      <w:isLgl/>
      <w:suff w:val="nothing"/>
      <w:lvlText w:val="%1.%2.%3.%4.%5.%6、"/>
      <w:lvlJc w:val="left"/>
      <w:pPr>
        <w:ind w:left="-12" w:firstLine="0"/>
      </w:pPr>
      <w:rPr>
        <w:rFonts w:hint="default" w:ascii="Times New Roman" w:hAnsi="Times New Roman" w:eastAsia="宋体"/>
        <w:b/>
        <w:i w:val="0"/>
        <w:sz w:val="21"/>
      </w:rPr>
    </w:lvl>
    <w:lvl w:ilvl="6" w:tentative="0">
      <w:start w:val="1"/>
      <w:numFmt w:val="decimal"/>
      <w:pStyle w:val="8"/>
      <w:isLgl/>
      <w:suff w:val="nothing"/>
      <w:lvlText w:val="%1.%2.%3.%4.%5.%6.%7、"/>
      <w:lvlJc w:val="left"/>
      <w:pPr>
        <w:ind w:left="-12" w:firstLine="0"/>
      </w:pPr>
      <w:rPr>
        <w:rFonts w:hint="default" w:ascii="Times New Roman" w:hAnsi="Times New Roman" w:eastAsia="宋体"/>
        <w:b/>
        <w:i w:val="0"/>
        <w:sz w:val="21"/>
      </w:rPr>
    </w:lvl>
    <w:lvl w:ilvl="7" w:tentative="0">
      <w:start w:val="1"/>
      <w:numFmt w:val="decimal"/>
      <w:pStyle w:val="9"/>
      <w:isLgl/>
      <w:suff w:val="nothing"/>
      <w:lvlText w:val="%1.%2.%3.%4.%5.%6.%7.%8、"/>
      <w:lvlJc w:val="left"/>
      <w:pPr>
        <w:ind w:left="-12" w:firstLine="0"/>
      </w:pPr>
      <w:rPr>
        <w:rFonts w:hint="default" w:ascii="Times New Roman" w:hAnsi="Times New Roman" w:eastAsia="宋体"/>
        <w:b/>
        <w:i w:val="0"/>
        <w:sz w:val="21"/>
      </w:rPr>
    </w:lvl>
    <w:lvl w:ilvl="8" w:tentative="0">
      <w:start w:val="1"/>
      <w:numFmt w:val="decimal"/>
      <w:pStyle w:val="10"/>
      <w:isLgl/>
      <w:suff w:val="nothing"/>
      <w:lvlText w:val="%1.%2.%3.%4.%5.%6.%7.%8.%9、"/>
      <w:lvlJc w:val="left"/>
      <w:pPr>
        <w:ind w:left="-12" w:firstLine="0"/>
      </w:pPr>
      <w:rPr>
        <w:rFonts w:hint="default" w:ascii="Times New Roman" w:hAnsi="Times New Roman" w:eastAsia="宋体"/>
        <w:b/>
        <w:i w:val="0"/>
        <w:sz w:val="21"/>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5YjQ3YjkyYTI4ZmJhM2NmNjZjYWI2ODVlNWM1MzUifQ=="/>
  </w:docVars>
  <w:rsids>
    <w:rsidRoot w:val="9CDD9B48"/>
    <w:rsid w:val="000054D6"/>
    <w:rsid w:val="0001512F"/>
    <w:rsid w:val="00017F10"/>
    <w:rsid w:val="0002190C"/>
    <w:rsid w:val="0002549E"/>
    <w:rsid w:val="00026F98"/>
    <w:rsid w:val="0004363C"/>
    <w:rsid w:val="00061304"/>
    <w:rsid w:val="00075889"/>
    <w:rsid w:val="00077C01"/>
    <w:rsid w:val="00084141"/>
    <w:rsid w:val="0008553D"/>
    <w:rsid w:val="000920E3"/>
    <w:rsid w:val="0009210B"/>
    <w:rsid w:val="000A25CD"/>
    <w:rsid w:val="000C20F8"/>
    <w:rsid w:val="000C4D66"/>
    <w:rsid w:val="000C5A22"/>
    <w:rsid w:val="000C66EE"/>
    <w:rsid w:val="000D040F"/>
    <w:rsid w:val="000D1B5F"/>
    <w:rsid w:val="000D4F14"/>
    <w:rsid w:val="000E0392"/>
    <w:rsid w:val="000E2078"/>
    <w:rsid w:val="000E6C25"/>
    <w:rsid w:val="000F71DF"/>
    <w:rsid w:val="00146A7A"/>
    <w:rsid w:val="001644AC"/>
    <w:rsid w:val="00173D67"/>
    <w:rsid w:val="00191140"/>
    <w:rsid w:val="00194514"/>
    <w:rsid w:val="001A7AF5"/>
    <w:rsid w:val="001C2EBA"/>
    <w:rsid w:val="001C5B9A"/>
    <w:rsid w:val="001C6178"/>
    <w:rsid w:val="001E0957"/>
    <w:rsid w:val="001F0597"/>
    <w:rsid w:val="0020326A"/>
    <w:rsid w:val="00227B99"/>
    <w:rsid w:val="00237F37"/>
    <w:rsid w:val="00255953"/>
    <w:rsid w:val="0027630D"/>
    <w:rsid w:val="002A5D37"/>
    <w:rsid w:val="002B2753"/>
    <w:rsid w:val="002B64A7"/>
    <w:rsid w:val="002B6FA3"/>
    <w:rsid w:val="002C0053"/>
    <w:rsid w:val="002C016D"/>
    <w:rsid w:val="002E30D7"/>
    <w:rsid w:val="002F6116"/>
    <w:rsid w:val="00314D8A"/>
    <w:rsid w:val="00315EEC"/>
    <w:rsid w:val="003230C6"/>
    <w:rsid w:val="003236A2"/>
    <w:rsid w:val="00324B57"/>
    <w:rsid w:val="003400C9"/>
    <w:rsid w:val="003415CA"/>
    <w:rsid w:val="00342438"/>
    <w:rsid w:val="00343E61"/>
    <w:rsid w:val="003462C5"/>
    <w:rsid w:val="003636DD"/>
    <w:rsid w:val="00366692"/>
    <w:rsid w:val="00367322"/>
    <w:rsid w:val="00370721"/>
    <w:rsid w:val="0037113E"/>
    <w:rsid w:val="00383168"/>
    <w:rsid w:val="00385C49"/>
    <w:rsid w:val="00397245"/>
    <w:rsid w:val="003B58A4"/>
    <w:rsid w:val="003C33EF"/>
    <w:rsid w:val="003D2907"/>
    <w:rsid w:val="003F0DE8"/>
    <w:rsid w:val="003F3A8E"/>
    <w:rsid w:val="003F6D80"/>
    <w:rsid w:val="004221E2"/>
    <w:rsid w:val="0043193D"/>
    <w:rsid w:val="004330A0"/>
    <w:rsid w:val="00443418"/>
    <w:rsid w:val="00452F60"/>
    <w:rsid w:val="00476949"/>
    <w:rsid w:val="0048496A"/>
    <w:rsid w:val="004921D5"/>
    <w:rsid w:val="004A3BB5"/>
    <w:rsid w:val="004D026E"/>
    <w:rsid w:val="004F1554"/>
    <w:rsid w:val="004F4740"/>
    <w:rsid w:val="00510AFD"/>
    <w:rsid w:val="0051284B"/>
    <w:rsid w:val="0054329F"/>
    <w:rsid w:val="005438E1"/>
    <w:rsid w:val="00566DCE"/>
    <w:rsid w:val="0058708E"/>
    <w:rsid w:val="005909F0"/>
    <w:rsid w:val="0059598C"/>
    <w:rsid w:val="005B5422"/>
    <w:rsid w:val="005D77F8"/>
    <w:rsid w:val="005F11B4"/>
    <w:rsid w:val="00602650"/>
    <w:rsid w:val="00627208"/>
    <w:rsid w:val="006344EA"/>
    <w:rsid w:val="00640299"/>
    <w:rsid w:val="00656AC2"/>
    <w:rsid w:val="00671306"/>
    <w:rsid w:val="00673CAD"/>
    <w:rsid w:val="00675418"/>
    <w:rsid w:val="00685DF9"/>
    <w:rsid w:val="00690B98"/>
    <w:rsid w:val="006A50FB"/>
    <w:rsid w:val="006B6F62"/>
    <w:rsid w:val="006D6D80"/>
    <w:rsid w:val="006E55C2"/>
    <w:rsid w:val="006F1710"/>
    <w:rsid w:val="00724F17"/>
    <w:rsid w:val="007469BA"/>
    <w:rsid w:val="00751473"/>
    <w:rsid w:val="00762D38"/>
    <w:rsid w:val="00764832"/>
    <w:rsid w:val="00772605"/>
    <w:rsid w:val="007819EF"/>
    <w:rsid w:val="007A424D"/>
    <w:rsid w:val="007B1CE5"/>
    <w:rsid w:val="007B51D1"/>
    <w:rsid w:val="007B7DB9"/>
    <w:rsid w:val="007E276D"/>
    <w:rsid w:val="007E5B81"/>
    <w:rsid w:val="007F7028"/>
    <w:rsid w:val="00804417"/>
    <w:rsid w:val="00821AFA"/>
    <w:rsid w:val="008229ED"/>
    <w:rsid w:val="008251A7"/>
    <w:rsid w:val="00832137"/>
    <w:rsid w:val="00844BE5"/>
    <w:rsid w:val="0085323D"/>
    <w:rsid w:val="00857676"/>
    <w:rsid w:val="00863B59"/>
    <w:rsid w:val="00865C3C"/>
    <w:rsid w:val="00866E1E"/>
    <w:rsid w:val="00890F09"/>
    <w:rsid w:val="008918E2"/>
    <w:rsid w:val="008A433C"/>
    <w:rsid w:val="008B0D5F"/>
    <w:rsid w:val="008B1875"/>
    <w:rsid w:val="008B7887"/>
    <w:rsid w:val="008C79F9"/>
    <w:rsid w:val="008F464B"/>
    <w:rsid w:val="009030F2"/>
    <w:rsid w:val="00953ED5"/>
    <w:rsid w:val="0097655D"/>
    <w:rsid w:val="00981AAB"/>
    <w:rsid w:val="00985AA0"/>
    <w:rsid w:val="009D448C"/>
    <w:rsid w:val="009F1FF9"/>
    <w:rsid w:val="009F2285"/>
    <w:rsid w:val="009F4E53"/>
    <w:rsid w:val="00A072F2"/>
    <w:rsid w:val="00A12422"/>
    <w:rsid w:val="00A12BCD"/>
    <w:rsid w:val="00A33668"/>
    <w:rsid w:val="00A36DAB"/>
    <w:rsid w:val="00A41C21"/>
    <w:rsid w:val="00A41D98"/>
    <w:rsid w:val="00A60012"/>
    <w:rsid w:val="00A65948"/>
    <w:rsid w:val="00A666A4"/>
    <w:rsid w:val="00AB3A1F"/>
    <w:rsid w:val="00AB5D7E"/>
    <w:rsid w:val="00AB653B"/>
    <w:rsid w:val="00AC1FCE"/>
    <w:rsid w:val="00AD42F0"/>
    <w:rsid w:val="00AE1C72"/>
    <w:rsid w:val="00AF3181"/>
    <w:rsid w:val="00B00272"/>
    <w:rsid w:val="00B033F9"/>
    <w:rsid w:val="00B5189E"/>
    <w:rsid w:val="00B61568"/>
    <w:rsid w:val="00B7453F"/>
    <w:rsid w:val="00BA57B1"/>
    <w:rsid w:val="00BE5B73"/>
    <w:rsid w:val="00BE6DA1"/>
    <w:rsid w:val="00BF26EF"/>
    <w:rsid w:val="00BF4678"/>
    <w:rsid w:val="00C04783"/>
    <w:rsid w:val="00C076B6"/>
    <w:rsid w:val="00C11023"/>
    <w:rsid w:val="00C34422"/>
    <w:rsid w:val="00C41656"/>
    <w:rsid w:val="00C43420"/>
    <w:rsid w:val="00C5190E"/>
    <w:rsid w:val="00C80E38"/>
    <w:rsid w:val="00C90EFC"/>
    <w:rsid w:val="00C92820"/>
    <w:rsid w:val="00CA3BF6"/>
    <w:rsid w:val="00CA5C87"/>
    <w:rsid w:val="00CD0110"/>
    <w:rsid w:val="00CF2977"/>
    <w:rsid w:val="00D10243"/>
    <w:rsid w:val="00D30A94"/>
    <w:rsid w:val="00D423AA"/>
    <w:rsid w:val="00D57BEE"/>
    <w:rsid w:val="00D63840"/>
    <w:rsid w:val="00D76CBC"/>
    <w:rsid w:val="00D83709"/>
    <w:rsid w:val="00D87A53"/>
    <w:rsid w:val="00DA2620"/>
    <w:rsid w:val="00DB7CCE"/>
    <w:rsid w:val="00DC6CAA"/>
    <w:rsid w:val="00DD6EB5"/>
    <w:rsid w:val="00DE6DEF"/>
    <w:rsid w:val="00DF53FD"/>
    <w:rsid w:val="00DF6E3E"/>
    <w:rsid w:val="00E011D8"/>
    <w:rsid w:val="00E045A2"/>
    <w:rsid w:val="00E529E9"/>
    <w:rsid w:val="00E6539E"/>
    <w:rsid w:val="00E65E5B"/>
    <w:rsid w:val="00E908BB"/>
    <w:rsid w:val="00EA0C17"/>
    <w:rsid w:val="00EA7DCD"/>
    <w:rsid w:val="00EC1976"/>
    <w:rsid w:val="00EC45DA"/>
    <w:rsid w:val="00EC597A"/>
    <w:rsid w:val="00EC5F69"/>
    <w:rsid w:val="00ED6081"/>
    <w:rsid w:val="00EF7DC5"/>
    <w:rsid w:val="00F017D9"/>
    <w:rsid w:val="00F214CB"/>
    <w:rsid w:val="00F21D77"/>
    <w:rsid w:val="00F22139"/>
    <w:rsid w:val="00F24F79"/>
    <w:rsid w:val="00F4249A"/>
    <w:rsid w:val="00F723E8"/>
    <w:rsid w:val="00F74C3C"/>
    <w:rsid w:val="00F76C49"/>
    <w:rsid w:val="00F85D1C"/>
    <w:rsid w:val="00F940DD"/>
    <w:rsid w:val="00FA1C53"/>
    <w:rsid w:val="00FA39AA"/>
    <w:rsid w:val="00FA70F3"/>
    <w:rsid w:val="00FD0BFB"/>
    <w:rsid w:val="01001BF6"/>
    <w:rsid w:val="016F4205"/>
    <w:rsid w:val="02162A87"/>
    <w:rsid w:val="041616A2"/>
    <w:rsid w:val="043D745C"/>
    <w:rsid w:val="047C599F"/>
    <w:rsid w:val="04994CA5"/>
    <w:rsid w:val="04C045B2"/>
    <w:rsid w:val="04D502E2"/>
    <w:rsid w:val="04ED41A7"/>
    <w:rsid w:val="061D0ABC"/>
    <w:rsid w:val="062260D2"/>
    <w:rsid w:val="06BD1E8C"/>
    <w:rsid w:val="06FC4B75"/>
    <w:rsid w:val="07375BAD"/>
    <w:rsid w:val="082F4AD6"/>
    <w:rsid w:val="08AC25CB"/>
    <w:rsid w:val="08D833C0"/>
    <w:rsid w:val="091E5277"/>
    <w:rsid w:val="0A31076B"/>
    <w:rsid w:val="0B272B23"/>
    <w:rsid w:val="0B3806D8"/>
    <w:rsid w:val="0BA63302"/>
    <w:rsid w:val="0BED7182"/>
    <w:rsid w:val="0D902623"/>
    <w:rsid w:val="0E342E47"/>
    <w:rsid w:val="0EA2517D"/>
    <w:rsid w:val="0F3D5F2B"/>
    <w:rsid w:val="12695089"/>
    <w:rsid w:val="13003D08"/>
    <w:rsid w:val="138C102F"/>
    <w:rsid w:val="13F77A39"/>
    <w:rsid w:val="16640041"/>
    <w:rsid w:val="167FE8B6"/>
    <w:rsid w:val="16924BAE"/>
    <w:rsid w:val="170A1875"/>
    <w:rsid w:val="173501FB"/>
    <w:rsid w:val="173F2014"/>
    <w:rsid w:val="17B60D70"/>
    <w:rsid w:val="17FA61E9"/>
    <w:rsid w:val="18AB1F57"/>
    <w:rsid w:val="1A4E34E2"/>
    <w:rsid w:val="1A7BBA49"/>
    <w:rsid w:val="1ABF7F3C"/>
    <w:rsid w:val="1B28772A"/>
    <w:rsid w:val="1BE6A0BE"/>
    <w:rsid w:val="1BFB4F25"/>
    <w:rsid w:val="1C2E35CB"/>
    <w:rsid w:val="1C4C1CA3"/>
    <w:rsid w:val="1C6C7C4F"/>
    <w:rsid w:val="1CC47A8B"/>
    <w:rsid w:val="1DFDF377"/>
    <w:rsid w:val="1E3B5B2B"/>
    <w:rsid w:val="1E9DC50E"/>
    <w:rsid w:val="1F4757F1"/>
    <w:rsid w:val="1FD77AD6"/>
    <w:rsid w:val="1FF00B97"/>
    <w:rsid w:val="1FFF40F7"/>
    <w:rsid w:val="210F504D"/>
    <w:rsid w:val="213D5088"/>
    <w:rsid w:val="21C83B7A"/>
    <w:rsid w:val="22266AF2"/>
    <w:rsid w:val="22FF96E3"/>
    <w:rsid w:val="23452FA8"/>
    <w:rsid w:val="23627691"/>
    <w:rsid w:val="23C56DAD"/>
    <w:rsid w:val="24997A50"/>
    <w:rsid w:val="24BC0CFB"/>
    <w:rsid w:val="24D63C77"/>
    <w:rsid w:val="26217CFD"/>
    <w:rsid w:val="268B161A"/>
    <w:rsid w:val="26FF1804"/>
    <w:rsid w:val="27A21755"/>
    <w:rsid w:val="28551EE0"/>
    <w:rsid w:val="28FB64D5"/>
    <w:rsid w:val="29F01EC0"/>
    <w:rsid w:val="2A2731CD"/>
    <w:rsid w:val="2A4F862D"/>
    <w:rsid w:val="2AC450FA"/>
    <w:rsid w:val="2B151034"/>
    <w:rsid w:val="2BDD0222"/>
    <w:rsid w:val="2BEA6919"/>
    <w:rsid w:val="2C1005F7"/>
    <w:rsid w:val="2C22032B"/>
    <w:rsid w:val="2CFA3055"/>
    <w:rsid w:val="2DB24D4A"/>
    <w:rsid w:val="2DD76184"/>
    <w:rsid w:val="2DE7182C"/>
    <w:rsid w:val="2EE23DA1"/>
    <w:rsid w:val="2F013CDD"/>
    <w:rsid w:val="2F542EF1"/>
    <w:rsid w:val="2F7F157A"/>
    <w:rsid w:val="2F9B467C"/>
    <w:rsid w:val="2FF16992"/>
    <w:rsid w:val="30BC36AB"/>
    <w:rsid w:val="30FE1366"/>
    <w:rsid w:val="3121180C"/>
    <w:rsid w:val="3162252D"/>
    <w:rsid w:val="31E06CBE"/>
    <w:rsid w:val="321D581C"/>
    <w:rsid w:val="32A0313F"/>
    <w:rsid w:val="32A41A99"/>
    <w:rsid w:val="335A65FC"/>
    <w:rsid w:val="33790079"/>
    <w:rsid w:val="340E3FFD"/>
    <w:rsid w:val="34321327"/>
    <w:rsid w:val="34362BC5"/>
    <w:rsid w:val="34F07218"/>
    <w:rsid w:val="35262C3A"/>
    <w:rsid w:val="35335357"/>
    <w:rsid w:val="35944047"/>
    <w:rsid w:val="362D624A"/>
    <w:rsid w:val="365A36A9"/>
    <w:rsid w:val="3669CF9C"/>
    <w:rsid w:val="36A71B58"/>
    <w:rsid w:val="36D3294D"/>
    <w:rsid w:val="36DF012D"/>
    <w:rsid w:val="36FC356B"/>
    <w:rsid w:val="377E6BBC"/>
    <w:rsid w:val="37DF9431"/>
    <w:rsid w:val="384C6E5B"/>
    <w:rsid w:val="38561A88"/>
    <w:rsid w:val="388838B0"/>
    <w:rsid w:val="38BC3F52"/>
    <w:rsid w:val="39113C01"/>
    <w:rsid w:val="393D49F6"/>
    <w:rsid w:val="39FF921E"/>
    <w:rsid w:val="3A26548A"/>
    <w:rsid w:val="3A5C534F"/>
    <w:rsid w:val="3B4A51A8"/>
    <w:rsid w:val="3B71C904"/>
    <w:rsid w:val="3BBFBC53"/>
    <w:rsid w:val="3BDF7FE6"/>
    <w:rsid w:val="3BEFD40A"/>
    <w:rsid w:val="3C73669A"/>
    <w:rsid w:val="3C7A1ABD"/>
    <w:rsid w:val="3C7E77FF"/>
    <w:rsid w:val="3DECBD45"/>
    <w:rsid w:val="3DEF0375"/>
    <w:rsid w:val="3DF704ED"/>
    <w:rsid w:val="3E1D6BA4"/>
    <w:rsid w:val="3E9AECB0"/>
    <w:rsid w:val="3EFDE3F2"/>
    <w:rsid w:val="3F644CF1"/>
    <w:rsid w:val="3F74CBBE"/>
    <w:rsid w:val="3FDC01A7"/>
    <w:rsid w:val="3FF91509"/>
    <w:rsid w:val="3FFF75BA"/>
    <w:rsid w:val="40AB7CC1"/>
    <w:rsid w:val="419B050B"/>
    <w:rsid w:val="4255690C"/>
    <w:rsid w:val="4319065E"/>
    <w:rsid w:val="43E91A02"/>
    <w:rsid w:val="44873F3D"/>
    <w:rsid w:val="44F7014F"/>
    <w:rsid w:val="45237196"/>
    <w:rsid w:val="454B2248"/>
    <w:rsid w:val="45AA51C1"/>
    <w:rsid w:val="465F6C1E"/>
    <w:rsid w:val="46E2098A"/>
    <w:rsid w:val="472D7E58"/>
    <w:rsid w:val="486F624E"/>
    <w:rsid w:val="48B515FF"/>
    <w:rsid w:val="4A174DEF"/>
    <w:rsid w:val="4A8F0E29"/>
    <w:rsid w:val="4AD8457E"/>
    <w:rsid w:val="4B0707A2"/>
    <w:rsid w:val="4B0B6702"/>
    <w:rsid w:val="4B4E2A92"/>
    <w:rsid w:val="4BE16BF9"/>
    <w:rsid w:val="4C0D2006"/>
    <w:rsid w:val="4CC11985"/>
    <w:rsid w:val="4D6C5B33"/>
    <w:rsid w:val="4DFF03D7"/>
    <w:rsid w:val="4DFFBF58"/>
    <w:rsid w:val="4E7C3473"/>
    <w:rsid w:val="4EA37672"/>
    <w:rsid w:val="4EA7603D"/>
    <w:rsid w:val="4F3BF2D4"/>
    <w:rsid w:val="4FEC0F7D"/>
    <w:rsid w:val="4FFC7642"/>
    <w:rsid w:val="51581F75"/>
    <w:rsid w:val="51F55A16"/>
    <w:rsid w:val="53514ECE"/>
    <w:rsid w:val="5371731E"/>
    <w:rsid w:val="53CF3191"/>
    <w:rsid w:val="53E915AA"/>
    <w:rsid w:val="54A31759"/>
    <w:rsid w:val="55CC1183"/>
    <w:rsid w:val="55F52488"/>
    <w:rsid w:val="56701B0F"/>
    <w:rsid w:val="56C1236A"/>
    <w:rsid w:val="575E98DE"/>
    <w:rsid w:val="577DA1D6"/>
    <w:rsid w:val="57960CF3"/>
    <w:rsid w:val="57D61E46"/>
    <w:rsid w:val="57DB0BC2"/>
    <w:rsid w:val="57E7AEB1"/>
    <w:rsid w:val="58BF28C3"/>
    <w:rsid w:val="58D04AE7"/>
    <w:rsid w:val="597B5899"/>
    <w:rsid w:val="59BD1B87"/>
    <w:rsid w:val="5A207CF4"/>
    <w:rsid w:val="5A276F81"/>
    <w:rsid w:val="5A2E5F69"/>
    <w:rsid w:val="5A3966BC"/>
    <w:rsid w:val="5B523ED9"/>
    <w:rsid w:val="5BA6D3B8"/>
    <w:rsid w:val="5BC36B85"/>
    <w:rsid w:val="5BD01EF1"/>
    <w:rsid w:val="5BFD1CE2"/>
    <w:rsid w:val="5C823883"/>
    <w:rsid w:val="5D6FD871"/>
    <w:rsid w:val="5D973E25"/>
    <w:rsid w:val="5E280F21"/>
    <w:rsid w:val="5ECCDEB5"/>
    <w:rsid w:val="5EF9F2BF"/>
    <w:rsid w:val="5EFFF360"/>
    <w:rsid w:val="5F681F1D"/>
    <w:rsid w:val="5F7FBB91"/>
    <w:rsid w:val="5FDD0024"/>
    <w:rsid w:val="5FFB3E44"/>
    <w:rsid w:val="6008100A"/>
    <w:rsid w:val="60B34A15"/>
    <w:rsid w:val="61C827FF"/>
    <w:rsid w:val="61DB4E99"/>
    <w:rsid w:val="62D13935"/>
    <w:rsid w:val="65905D2A"/>
    <w:rsid w:val="66817994"/>
    <w:rsid w:val="66974E96"/>
    <w:rsid w:val="66FE0DC9"/>
    <w:rsid w:val="678BF17C"/>
    <w:rsid w:val="67A96C2F"/>
    <w:rsid w:val="67CC6C3F"/>
    <w:rsid w:val="685F19E3"/>
    <w:rsid w:val="68B00491"/>
    <w:rsid w:val="68BB130F"/>
    <w:rsid w:val="69140E8F"/>
    <w:rsid w:val="695839C0"/>
    <w:rsid w:val="69DF2DDC"/>
    <w:rsid w:val="6AEF9357"/>
    <w:rsid w:val="6AFC7C57"/>
    <w:rsid w:val="6BDB5825"/>
    <w:rsid w:val="6BE25CE1"/>
    <w:rsid w:val="6BEB99D8"/>
    <w:rsid w:val="6BEFAF14"/>
    <w:rsid w:val="6C0C1E82"/>
    <w:rsid w:val="6C9F1F22"/>
    <w:rsid w:val="6DDA635C"/>
    <w:rsid w:val="6DF51E4B"/>
    <w:rsid w:val="6DFBB70E"/>
    <w:rsid w:val="6DFF39DA"/>
    <w:rsid w:val="6E2A4841"/>
    <w:rsid w:val="6E5BD86B"/>
    <w:rsid w:val="6F4BFB57"/>
    <w:rsid w:val="6FE6F100"/>
    <w:rsid w:val="6FEE20EF"/>
    <w:rsid w:val="6FF79677"/>
    <w:rsid w:val="6FFE9E53"/>
    <w:rsid w:val="6FFFE9B7"/>
    <w:rsid w:val="71A36A66"/>
    <w:rsid w:val="71BDDFEC"/>
    <w:rsid w:val="729B8B7F"/>
    <w:rsid w:val="73C117A4"/>
    <w:rsid w:val="746C671F"/>
    <w:rsid w:val="757FDB18"/>
    <w:rsid w:val="75AA6C9F"/>
    <w:rsid w:val="763830CE"/>
    <w:rsid w:val="76AA29C3"/>
    <w:rsid w:val="77242776"/>
    <w:rsid w:val="774C5829"/>
    <w:rsid w:val="777E2B05"/>
    <w:rsid w:val="77DBD28C"/>
    <w:rsid w:val="77F3B820"/>
    <w:rsid w:val="77FF3117"/>
    <w:rsid w:val="77FFB57D"/>
    <w:rsid w:val="77FFDE39"/>
    <w:rsid w:val="783E2324"/>
    <w:rsid w:val="784F55D0"/>
    <w:rsid w:val="78A0407E"/>
    <w:rsid w:val="78D43D28"/>
    <w:rsid w:val="78E57CE3"/>
    <w:rsid w:val="793FDE9A"/>
    <w:rsid w:val="79492B06"/>
    <w:rsid w:val="79A4655A"/>
    <w:rsid w:val="79E05927"/>
    <w:rsid w:val="7A066E53"/>
    <w:rsid w:val="7A3F0F58"/>
    <w:rsid w:val="7AB501D9"/>
    <w:rsid w:val="7ABE741E"/>
    <w:rsid w:val="7AF34939"/>
    <w:rsid w:val="7AF9B504"/>
    <w:rsid w:val="7B62561B"/>
    <w:rsid w:val="7BDEAB1E"/>
    <w:rsid w:val="7C664A7C"/>
    <w:rsid w:val="7C7F3F0C"/>
    <w:rsid w:val="7CFBD976"/>
    <w:rsid w:val="7CFD78EE"/>
    <w:rsid w:val="7D1D6327"/>
    <w:rsid w:val="7D2D4646"/>
    <w:rsid w:val="7D9B30CD"/>
    <w:rsid w:val="7D9E6781"/>
    <w:rsid w:val="7DAE0FEB"/>
    <w:rsid w:val="7DAF9CF4"/>
    <w:rsid w:val="7DB7C49A"/>
    <w:rsid w:val="7DBFE930"/>
    <w:rsid w:val="7DEDA8AD"/>
    <w:rsid w:val="7DFBA980"/>
    <w:rsid w:val="7E7D4BA5"/>
    <w:rsid w:val="7EAF687B"/>
    <w:rsid w:val="7ECB8E16"/>
    <w:rsid w:val="7EF7CCB7"/>
    <w:rsid w:val="7EFAD9ED"/>
    <w:rsid w:val="7EFDC5BB"/>
    <w:rsid w:val="7EFDD790"/>
    <w:rsid w:val="7EFF74C9"/>
    <w:rsid w:val="7F2FDF2E"/>
    <w:rsid w:val="7F4C0ABC"/>
    <w:rsid w:val="7F5AC140"/>
    <w:rsid w:val="7F7E5FA9"/>
    <w:rsid w:val="7FACE2E0"/>
    <w:rsid w:val="7FAE34D7"/>
    <w:rsid w:val="7FBAD612"/>
    <w:rsid w:val="7FBB3BC9"/>
    <w:rsid w:val="7FBE6708"/>
    <w:rsid w:val="7FDC12D5"/>
    <w:rsid w:val="7FE22A90"/>
    <w:rsid w:val="7FE62AE6"/>
    <w:rsid w:val="7FE669CE"/>
    <w:rsid w:val="7FEF43A1"/>
    <w:rsid w:val="7FF4504D"/>
    <w:rsid w:val="7FF48524"/>
    <w:rsid w:val="7FF91292"/>
    <w:rsid w:val="7FFBBE53"/>
    <w:rsid w:val="7FFC7CA2"/>
    <w:rsid w:val="7FFFCB80"/>
    <w:rsid w:val="892D762D"/>
    <w:rsid w:val="95FE1DAE"/>
    <w:rsid w:val="96BB742E"/>
    <w:rsid w:val="979F3C40"/>
    <w:rsid w:val="9B35103B"/>
    <w:rsid w:val="9BBE3D2E"/>
    <w:rsid w:val="9BFE2D62"/>
    <w:rsid w:val="9CDD9B48"/>
    <w:rsid w:val="9E3B5DF5"/>
    <w:rsid w:val="9E5324A8"/>
    <w:rsid w:val="9F3F0377"/>
    <w:rsid w:val="9F5F16DF"/>
    <w:rsid w:val="9FE762B6"/>
    <w:rsid w:val="A7FF55BF"/>
    <w:rsid w:val="ABE53778"/>
    <w:rsid w:val="ABFA590E"/>
    <w:rsid w:val="ABFD22E4"/>
    <w:rsid w:val="ABFFA44C"/>
    <w:rsid w:val="AC7BEB4F"/>
    <w:rsid w:val="ADFFD9AF"/>
    <w:rsid w:val="AEF75DFD"/>
    <w:rsid w:val="AEFB9B58"/>
    <w:rsid w:val="AF9E0D75"/>
    <w:rsid w:val="AFFF480E"/>
    <w:rsid w:val="B4D2119E"/>
    <w:rsid w:val="B5AFB4BC"/>
    <w:rsid w:val="B5F509E5"/>
    <w:rsid w:val="B67EF627"/>
    <w:rsid w:val="B9B84457"/>
    <w:rsid w:val="BB0F8C8D"/>
    <w:rsid w:val="BB4D7CE5"/>
    <w:rsid w:val="BB753885"/>
    <w:rsid w:val="BEFD6DEC"/>
    <w:rsid w:val="BFA52573"/>
    <w:rsid w:val="BFBD7CB2"/>
    <w:rsid w:val="BFEFF81B"/>
    <w:rsid w:val="C779CA75"/>
    <w:rsid w:val="C7F91482"/>
    <w:rsid w:val="C7FEECDC"/>
    <w:rsid w:val="CBE9FCD1"/>
    <w:rsid w:val="CF5BDB51"/>
    <w:rsid w:val="CFBCBD89"/>
    <w:rsid w:val="CFF9C232"/>
    <w:rsid w:val="D3FAB76B"/>
    <w:rsid w:val="D477CA1A"/>
    <w:rsid w:val="D4CF4AA8"/>
    <w:rsid w:val="D506D173"/>
    <w:rsid w:val="D5FE6177"/>
    <w:rsid w:val="D7FF0315"/>
    <w:rsid w:val="D91B9BF3"/>
    <w:rsid w:val="D981D1BF"/>
    <w:rsid w:val="DA2DC4DE"/>
    <w:rsid w:val="DBF73C53"/>
    <w:rsid w:val="DCF4B0C3"/>
    <w:rsid w:val="DDF7035F"/>
    <w:rsid w:val="DF1ABF0C"/>
    <w:rsid w:val="DF976574"/>
    <w:rsid w:val="DFA56F3F"/>
    <w:rsid w:val="DFBDBD77"/>
    <w:rsid w:val="DFBFD20B"/>
    <w:rsid w:val="DFD8B662"/>
    <w:rsid w:val="E3FBAF70"/>
    <w:rsid w:val="E4DBCB82"/>
    <w:rsid w:val="E4FFD4FF"/>
    <w:rsid w:val="E5FA2DCF"/>
    <w:rsid w:val="E6F2BD20"/>
    <w:rsid w:val="E734FED7"/>
    <w:rsid w:val="E7FF2606"/>
    <w:rsid w:val="E7FFE19C"/>
    <w:rsid w:val="EABED1C3"/>
    <w:rsid w:val="EAEE5360"/>
    <w:rsid w:val="EB6F79CA"/>
    <w:rsid w:val="EBDFC331"/>
    <w:rsid w:val="EBE5465E"/>
    <w:rsid w:val="EBEF50D9"/>
    <w:rsid w:val="EBEFE93E"/>
    <w:rsid w:val="EC7FF03B"/>
    <w:rsid w:val="EDFC3DE2"/>
    <w:rsid w:val="EDFFBF65"/>
    <w:rsid w:val="EEBA86EF"/>
    <w:rsid w:val="EEFD89F7"/>
    <w:rsid w:val="EF3FA2EB"/>
    <w:rsid w:val="EF6D2DC9"/>
    <w:rsid w:val="EF9D4FA0"/>
    <w:rsid w:val="EFBD9A28"/>
    <w:rsid w:val="EFEFB6DF"/>
    <w:rsid w:val="EFFF2342"/>
    <w:rsid w:val="F2FF27AD"/>
    <w:rsid w:val="F36F0A63"/>
    <w:rsid w:val="F3E8F1A6"/>
    <w:rsid w:val="F3F73A50"/>
    <w:rsid w:val="F5178663"/>
    <w:rsid w:val="F5CF9FFE"/>
    <w:rsid w:val="F5DFAF02"/>
    <w:rsid w:val="F5FF5217"/>
    <w:rsid w:val="F5FFCD14"/>
    <w:rsid w:val="F79E2AEB"/>
    <w:rsid w:val="F7FF8551"/>
    <w:rsid w:val="F8FCD6E9"/>
    <w:rsid w:val="F8FE7DC4"/>
    <w:rsid w:val="FA7D07E6"/>
    <w:rsid w:val="FAA5B2C5"/>
    <w:rsid w:val="FAB51B95"/>
    <w:rsid w:val="FB729EA6"/>
    <w:rsid w:val="FB756434"/>
    <w:rsid w:val="FBBE0E2E"/>
    <w:rsid w:val="FBDA0A9D"/>
    <w:rsid w:val="FBEE1C3B"/>
    <w:rsid w:val="FBFBF5EA"/>
    <w:rsid w:val="FBFD351C"/>
    <w:rsid w:val="FBFF3D1E"/>
    <w:rsid w:val="FD2EC1E5"/>
    <w:rsid w:val="FD4D2970"/>
    <w:rsid w:val="FD69BD35"/>
    <w:rsid w:val="FDB6E669"/>
    <w:rsid w:val="FDBED130"/>
    <w:rsid w:val="FDD7D82A"/>
    <w:rsid w:val="FDEF714E"/>
    <w:rsid w:val="FDFEE6A6"/>
    <w:rsid w:val="FE29F5E1"/>
    <w:rsid w:val="FE7E0F51"/>
    <w:rsid w:val="FE7F1CC4"/>
    <w:rsid w:val="FEAFC348"/>
    <w:rsid w:val="FEBF0479"/>
    <w:rsid w:val="FEFB02B5"/>
    <w:rsid w:val="FEFD86D7"/>
    <w:rsid w:val="FEFF509D"/>
    <w:rsid w:val="FEFF600C"/>
    <w:rsid w:val="FF1DF517"/>
    <w:rsid w:val="FF5B9710"/>
    <w:rsid w:val="FF7419E0"/>
    <w:rsid w:val="FF754D8F"/>
    <w:rsid w:val="FF7F3993"/>
    <w:rsid w:val="FFB97730"/>
    <w:rsid w:val="FFBB1A06"/>
    <w:rsid w:val="FFDC0E5B"/>
    <w:rsid w:val="FFEF58E3"/>
    <w:rsid w:val="FFEFA954"/>
    <w:rsid w:val="FFFB0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firstLineChars="200"/>
      <w:jc w:val="both"/>
    </w:pPr>
    <w:rPr>
      <w:rFonts w:ascii="Times New Roman" w:hAnsi="Times New Roman" w:eastAsia="宋体" w:cstheme="minorBidi"/>
      <w:kern w:val="2"/>
      <w:sz w:val="24"/>
      <w:szCs w:val="24"/>
      <w:lang w:val="en-US" w:eastAsia="zh-CN" w:bidi="ar-SA"/>
    </w:rPr>
  </w:style>
  <w:style w:type="paragraph" w:styleId="2">
    <w:name w:val="heading 1"/>
    <w:basedOn w:val="1"/>
    <w:next w:val="1"/>
    <w:link w:val="39"/>
    <w:autoRedefine/>
    <w:qFormat/>
    <w:uiPriority w:val="9"/>
    <w:pPr>
      <w:keepNext/>
      <w:keepLines/>
      <w:numPr>
        <w:ilvl w:val="0"/>
        <w:numId w:val="1"/>
      </w:numPr>
      <w:tabs>
        <w:tab w:val="left" w:pos="0"/>
      </w:tabs>
      <w:spacing w:before="340" w:after="330" w:line="578" w:lineRule="auto"/>
      <w:ind w:firstLine="0" w:firstLineChars="0"/>
      <w:outlineLvl w:val="0"/>
    </w:pPr>
    <w:rPr>
      <w:rFonts w:eastAsia="方正小标宋_GBK"/>
      <w:b/>
      <w:bCs/>
      <w:kern w:val="44"/>
      <w:sz w:val="32"/>
      <w:szCs w:val="44"/>
    </w:rPr>
  </w:style>
  <w:style w:type="paragraph" w:styleId="3">
    <w:name w:val="heading 2"/>
    <w:basedOn w:val="1"/>
    <w:next w:val="1"/>
    <w:link w:val="40"/>
    <w:qFormat/>
    <w:uiPriority w:val="9"/>
    <w:pPr>
      <w:keepNext/>
      <w:keepLines/>
      <w:numPr>
        <w:ilvl w:val="1"/>
        <w:numId w:val="2"/>
      </w:numPr>
      <w:tabs>
        <w:tab w:val="left" w:pos="0"/>
      </w:tabs>
      <w:spacing w:before="120" w:after="120"/>
      <w:ind w:firstLineChars="0"/>
      <w:outlineLvl w:val="1"/>
    </w:pPr>
    <w:rPr>
      <w:b/>
      <w:bCs/>
      <w:sz w:val="30"/>
      <w:szCs w:val="32"/>
    </w:rPr>
  </w:style>
  <w:style w:type="paragraph" w:styleId="4">
    <w:name w:val="heading 3"/>
    <w:basedOn w:val="1"/>
    <w:next w:val="1"/>
    <w:link w:val="41"/>
    <w:autoRedefine/>
    <w:unhideWhenUsed/>
    <w:qFormat/>
    <w:uiPriority w:val="9"/>
    <w:pPr>
      <w:keepNext/>
      <w:keepLines/>
      <w:numPr>
        <w:ilvl w:val="2"/>
        <w:numId w:val="2"/>
      </w:numPr>
      <w:spacing w:before="260" w:after="260" w:line="413" w:lineRule="auto"/>
      <w:ind w:firstLineChars="0"/>
      <w:outlineLvl w:val="2"/>
    </w:pPr>
    <w:rPr>
      <w:b/>
      <w:sz w:val="32"/>
    </w:rPr>
  </w:style>
  <w:style w:type="paragraph" w:styleId="5">
    <w:name w:val="heading 4"/>
    <w:basedOn w:val="1"/>
    <w:next w:val="1"/>
    <w:link w:val="42"/>
    <w:unhideWhenUsed/>
    <w:qFormat/>
    <w:uiPriority w:val="9"/>
    <w:pPr>
      <w:keepNext/>
      <w:keepLines/>
      <w:numPr>
        <w:ilvl w:val="3"/>
        <w:numId w:val="3"/>
      </w:numPr>
      <w:spacing w:before="280" w:after="290" w:line="372" w:lineRule="auto"/>
      <w:ind w:firstLineChars="0"/>
      <w:outlineLvl w:val="3"/>
    </w:pPr>
    <w:rPr>
      <w:rFonts w:ascii="Arial" w:hAnsi="Arial" w:eastAsia="黑体"/>
      <w:b/>
      <w:sz w:val="28"/>
    </w:rPr>
  </w:style>
  <w:style w:type="paragraph" w:styleId="6">
    <w:name w:val="heading 5"/>
    <w:basedOn w:val="1"/>
    <w:next w:val="1"/>
    <w:autoRedefine/>
    <w:semiHidden/>
    <w:unhideWhenUsed/>
    <w:qFormat/>
    <w:uiPriority w:val="0"/>
    <w:pPr>
      <w:keepNext/>
      <w:keepLines/>
      <w:numPr>
        <w:ilvl w:val="4"/>
        <w:numId w:val="3"/>
      </w:numPr>
      <w:spacing w:before="280" w:after="290" w:line="372" w:lineRule="auto"/>
      <w:ind w:firstLineChars="0"/>
      <w:outlineLvl w:val="4"/>
    </w:pPr>
    <w:rPr>
      <w:b/>
      <w:sz w:val="28"/>
    </w:rPr>
  </w:style>
  <w:style w:type="paragraph" w:styleId="7">
    <w:name w:val="heading 6"/>
    <w:basedOn w:val="1"/>
    <w:next w:val="1"/>
    <w:autoRedefine/>
    <w:semiHidden/>
    <w:unhideWhenUsed/>
    <w:qFormat/>
    <w:uiPriority w:val="0"/>
    <w:pPr>
      <w:keepNext/>
      <w:keepLines/>
      <w:numPr>
        <w:ilvl w:val="5"/>
        <w:numId w:val="3"/>
      </w:numPr>
      <w:spacing w:before="240" w:after="64" w:line="317" w:lineRule="auto"/>
      <w:ind w:firstLineChars="0"/>
      <w:outlineLvl w:val="5"/>
    </w:pPr>
    <w:rPr>
      <w:rFonts w:ascii="Arial" w:hAnsi="Arial" w:eastAsia="黑体"/>
      <w:b/>
    </w:rPr>
  </w:style>
  <w:style w:type="paragraph" w:styleId="8">
    <w:name w:val="heading 7"/>
    <w:basedOn w:val="1"/>
    <w:next w:val="1"/>
    <w:autoRedefine/>
    <w:semiHidden/>
    <w:unhideWhenUsed/>
    <w:qFormat/>
    <w:uiPriority w:val="0"/>
    <w:pPr>
      <w:keepNext/>
      <w:keepLines/>
      <w:numPr>
        <w:ilvl w:val="6"/>
        <w:numId w:val="3"/>
      </w:numPr>
      <w:spacing w:before="240" w:after="64" w:line="317" w:lineRule="auto"/>
      <w:ind w:firstLineChars="0"/>
      <w:outlineLvl w:val="6"/>
    </w:pPr>
    <w:rPr>
      <w:b/>
    </w:rPr>
  </w:style>
  <w:style w:type="paragraph" w:styleId="9">
    <w:name w:val="heading 8"/>
    <w:basedOn w:val="1"/>
    <w:next w:val="1"/>
    <w:autoRedefine/>
    <w:semiHidden/>
    <w:unhideWhenUsed/>
    <w:qFormat/>
    <w:uiPriority w:val="0"/>
    <w:pPr>
      <w:keepNext/>
      <w:keepLines/>
      <w:numPr>
        <w:ilvl w:val="7"/>
        <w:numId w:val="3"/>
      </w:numPr>
      <w:spacing w:before="240" w:after="64" w:line="317" w:lineRule="auto"/>
      <w:ind w:firstLineChars="0"/>
      <w:outlineLvl w:val="7"/>
    </w:pPr>
    <w:rPr>
      <w:rFonts w:ascii="Arial" w:hAnsi="Arial" w:eastAsia="黑体"/>
    </w:rPr>
  </w:style>
  <w:style w:type="paragraph" w:styleId="10">
    <w:name w:val="heading 9"/>
    <w:basedOn w:val="1"/>
    <w:next w:val="1"/>
    <w:autoRedefine/>
    <w:semiHidden/>
    <w:unhideWhenUsed/>
    <w:qFormat/>
    <w:uiPriority w:val="0"/>
    <w:pPr>
      <w:keepNext/>
      <w:keepLines/>
      <w:numPr>
        <w:ilvl w:val="8"/>
        <w:numId w:val="3"/>
      </w:numPr>
      <w:spacing w:before="240" w:after="64" w:line="317" w:lineRule="auto"/>
      <w:ind w:firstLineChars="0"/>
      <w:outlineLvl w:val="8"/>
    </w:pPr>
    <w:rPr>
      <w:rFonts w:ascii="Arial" w:hAnsi="Arial" w:eastAsia="黑体"/>
      <w:sz w:val="21"/>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3"/>
    <w:autoRedefine/>
    <w:qFormat/>
    <w:uiPriority w:val="0"/>
    <w:pPr>
      <w:jc w:val="left"/>
    </w:pPr>
  </w:style>
  <w:style w:type="paragraph" w:styleId="12">
    <w:name w:val="footer"/>
    <w:basedOn w:val="1"/>
    <w:link w:val="37"/>
    <w:qFormat/>
    <w:uiPriority w:val="99"/>
    <w:pPr>
      <w:tabs>
        <w:tab w:val="center" w:pos="4153"/>
        <w:tab w:val="right" w:pos="8306"/>
      </w:tabs>
      <w:snapToGrid w:val="0"/>
      <w:spacing w:line="240" w:lineRule="auto"/>
      <w:jc w:val="left"/>
    </w:pPr>
    <w:rPr>
      <w:sz w:val="18"/>
      <w:szCs w:val="18"/>
    </w:rPr>
  </w:style>
  <w:style w:type="paragraph" w:styleId="13">
    <w:name w:val="header"/>
    <w:basedOn w:val="1"/>
    <w:autoRedefine/>
    <w:qFormat/>
    <w:uiPriority w:val="99"/>
    <w:pPr>
      <w:pBdr>
        <w:bottom w:val="single" w:color="auto" w:sz="4" w:space="0"/>
      </w:pBdr>
      <w:tabs>
        <w:tab w:val="center" w:pos="4153"/>
        <w:tab w:val="right" w:pos="8306"/>
      </w:tabs>
      <w:snapToGrid w:val="0"/>
      <w:jc w:val="center"/>
    </w:pPr>
    <w:rPr>
      <w:sz w:val="18"/>
      <w:szCs w:val="18"/>
    </w:rPr>
  </w:style>
  <w:style w:type="paragraph" w:styleId="14">
    <w:name w:val="List"/>
    <w:basedOn w:val="1"/>
    <w:next w:val="1"/>
    <w:autoRedefine/>
    <w:qFormat/>
    <w:uiPriority w:val="0"/>
    <w:pPr>
      <w:spacing w:line="240" w:lineRule="auto"/>
      <w:ind w:firstLine="0" w:firstLineChars="0"/>
      <w:jc w:val="center"/>
    </w:pPr>
    <w:rPr>
      <w:sz w:val="22"/>
    </w:rPr>
  </w:style>
  <w:style w:type="paragraph" w:styleId="15">
    <w:name w:val="Normal (Web)"/>
    <w:basedOn w:val="1"/>
    <w:qFormat/>
    <w:uiPriority w:val="0"/>
  </w:style>
  <w:style w:type="paragraph" w:styleId="16">
    <w:name w:val="Title"/>
    <w:basedOn w:val="1"/>
    <w:next w:val="1"/>
    <w:autoRedefine/>
    <w:qFormat/>
    <w:uiPriority w:val="0"/>
    <w:pPr>
      <w:spacing w:before="300" w:after="300"/>
      <w:ind w:firstLine="0" w:firstLineChars="0"/>
      <w:jc w:val="center"/>
    </w:pPr>
    <w:rPr>
      <w:rFonts w:eastAsia="方正小标宋简体"/>
      <w:b/>
      <w:sz w:val="36"/>
    </w:rPr>
  </w:style>
  <w:style w:type="paragraph" w:styleId="17">
    <w:name w:val="annotation subject"/>
    <w:basedOn w:val="11"/>
    <w:next w:val="11"/>
    <w:link w:val="44"/>
    <w:qFormat/>
    <w:uiPriority w:val="0"/>
    <w:rPr>
      <w:b/>
      <w:bCs/>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autoRedefine/>
    <w:qFormat/>
    <w:uiPriority w:val="99"/>
    <w:rPr>
      <w:sz w:val="21"/>
      <w:szCs w:val="21"/>
    </w:rPr>
  </w:style>
  <w:style w:type="paragraph" w:customStyle="1" w:styleId="22">
    <w:name w:val="论文一节目录"/>
    <w:basedOn w:val="1"/>
    <w:next w:val="1"/>
    <w:autoRedefine/>
    <w:qFormat/>
    <w:uiPriority w:val="0"/>
    <w:pPr>
      <w:keepNext/>
      <w:keepLines/>
      <w:spacing w:before="480" w:after="360"/>
      <w:jc w:val="center"/>
      <w:outlineLvl w:val="0"/>
    </w:pPr>
    <w:rPr>
      <w:rFonts w:hint="eastAsia" w:ascii="Times New Roman Bold" w:hAnsi="Times New Roman Bold" w:eastAsia="HEITI SC MEDIUM" w:cs="Times New Roman"/>
      <w:b/>
      <w:bCs/>
      <w:kern w:val="44"/>
      <w:sz w:val="32"/>
      <w:szCs w:val="44"/>
    </w:rPr>
  </w:style>
  <w:style w:type="paragraph" w:customStyle="1" w:styleId="23">
    <w:name w:val="论文章节标题"/>
    <w:basedOn w:val="1"/>
    <w:autoRedefine/>
    <w:qFormat/>
    <w:uiPriority w:val="0"/>
    <w:pPr>
      <w:keepNext/>
      <w:keepLines/>
      <w:spacing w:before="480" w:after="360" w:line="240" w:lineRule="auto"/>
      <w:jc w:val="center"/>
      <w:outlineLvl w:val="0"/>
    </w:pPr>
    <w:rPr>
      <w:rFonts w:hint="eastAsia" w:ascii="黑体" w:hAnsi="黑体" w:eastAsia="黑体" w:cs="黑体"/>
      <w:b/>
      <w:bCs/>
      <w:kern w:val="44"/>
      <w:sz w:val="32"/>
      <w:szCs w:val="44"/>
    </w:rPr>
  </w:style>
  <w:style w:type="paragraph" w:customStyle="1" w:styleId="24">
    <w:name w:val="论文一级章节标题"/>
    <w:basedOn w:val="1"/>
    <w:autoRedefine/>
    <w:qFormat/>
    <w:uiPriority w:val="0"/>
    <w:pPr>
      <w:keepNext/>
      <w:keepLines/>
      <w:spacing w:before="480" w:after="360" w:line="240" w:lineRule="auto"/>
      <w:jc w:val="center"/>
      <w:outlineLvl w:val="0"/>
    </w:pPr>
    <w:rPr>
      <w:rFonts w:hint="eastAsia" w:ascii="黑体" w:hAnsi="黑体" w:eastAsia="黑体" w:cs="黑体"/>
      <w:b/>
      <w:bCs/>
      <w:kern w:val="44"/>
      <w:sz w:val="32"/>
      <w:szCs w:val="44"/>
    </w:rPr>
  </w:style>
  <w:style w:type="paragraph" w:customStyle="1" w:styleId="25">
    <w:name w:val="论文英文摘要"/>
    <w:basedOn w:val="1"/>
    <w:autoRedefine/>
    <w:qFormat/>
    <w:uiPriority w:val="0"/>
    <w:pPr>
      <w:spacing w:before="480" w:after="360"/>
      <w:jc w:val="center"/>
      <w:outlineLvl w:val="0"/>
    </w:pPr>
    <w:rPr>
      <w:rFonts w:ascii="Arial" w:hAnsi="Arial" w:cs="Arial"/>
      <w:b/>
      <w:bCs/>
      <w:color w:val="000000" w:themeColor="text1"/>
      <w:sz w:val="32"/>
      <w:szCs w:val="32"/>
      <w14:textFill>
        <w14:solidFill>
          <w14:schemeClr w14:val="tx1"/>
        </w14:solidFill>
      </w14:textFill>
    </w:rPr>
  </w:style>
  <w:style w:type="paragraph" w:customStyle="1" w:styleId="26">
    <w:name w:val="论文二级目录标题"/>
    <w:basedOn w:val="1"/>
    <w:autoRedefine/>
    <w:qFormat/>
    <w:uiPriority w:val="0"/>
    <w:pPr>
      <w:spacing w:before="480" w:after="120"/>
      <w:jc w:val="left"/>
      <w:outlineLvl w:val="1"/>
    </w:pPr>
    <w:rPr>
      <w:rFonts w:hint="eastAsia" w:ascii="黑体" w:hAnsi="黑体" w:eastAsia="黑体" w:cs="Times New Roman"/>
      <w:bCs/>
      <w:color w:val="000000" w:themeColor="text1"/>
      <w:sz w:val="30"/>
      <w:szCs w:val="30"/>
      <w14:textFill>
        <w14:solidFill>
          <w14:schemeClr w14:val="tx1"/>
        </w14:solidFill>
      </w14:textFill>
    </w:rPr>
  </w:style>
  <w:style w:type="paragraph" w:customStyle="1" w:styleId="27">
    <w:name w:val="英文摘要"/>
    <w:basedOn w:val="1"/>
    <w:autoRedefine/>
    <w:qFormat/>
    <w:uiPriority w:val="0"/>
    <w:pPr>
      <w:spacing w:before="480" w:after="360"/>
      <w:jc w:val="center"/>
      <w:outlineLvl w:val="0"/>
    </w:pPr>
    <w:rPr>
      <w:rFonts w:ascii="Arial" w:hAnsi="Arial" w:cs="Arial"/>
      <w:b/>
      <w:bCs/>
      <w:color w:val="000000" w:themeColor="text1"/>
      <w:sz w:val="32"/>
      <w:szCs w:val="32"/>
      <w14:textFill>
        <w14:solidFill>
          <w14:schemeClr w14:val="tx1"/>
        </w14:solidFill>
      </w14:textFill>
    </w:rPr>
  </w:style>
  <w:style w:type="paragraph" w:customStyle="1" w:styleId="28">
    <w:name w:val="一级章节标题"/>
    <w:basedOn w:val="1"/>
    <w:autoRedefine/>
    <w:qFormat/>
    <w:uiPriority w:val="0"/>
    <w:pPr>
      <w:keepNext/>
      <w:keepLines/>
      <w:spacing w:before="480" w:after="360" w:line="240" w:lineRule="auto"/>
      <w:jc w:val="center"/>
      <w:outlineLvl w:val="0"/>
    </w:pPr>
    <w:rPr>
      <w:rFonts w:hint="eastAsia" w:ascii="黑体" w:hAnsi="黑体" w:eastAsia="黑体" w:cs="黑体"/>
      <w:b/>
      <w:bCs/>
      <w:kern w:val="44"/>
      <w:sz w:val="32"/>
      <w:szCs w:val="44"/>
    </w:rPr>
  </w:style>
  <w:style w:type="paragraph" w:customStyle="1" w:styleId="29">
    <w:name w:val="二级目录标题"/>
    <w:basedOn w:val="1"/>
    <w:autoRedefine/>
    <w:qFormat/>
    <w:uiPriority w:val="0"/>
    <w:pPr>
      <w:spacing w:before="480" w:after="120"/>
      <w:jc w:val="left"/>
      <w:outlineLvl w:val="1"/>
    </w:pPr>
    <w:rPr>
      <w:rFonts w:hint="eastAsia" w:ascii="黑体" w:hAnsi="黑体" w:eastAsia="黑体" w:cs="Times New Roman"/>
      <w:bCs/>
      <w:color w:val="000000" w:themeColor="text1"/>
      <w:sz w:val="30"/>
      <w:szCs w:val="30"/>
      <w14:textFill>
        <w14:solidFill>
          <w14:schemeClr w14:val="tx1"/>
        </w14:solidFill>
      </w14:textFill>
    </w:rPr>
  </w:style>
  <w:style w:type="paragraph" w:customStyle="1" w:styleId="30">
    <w:name w:val="三级论文目录"/>
    <w:basedOn w:val="1"/>
    <w:autoRedefine/>
    <w:qFormat/>
    <w:uiPriority w:val="0"/>
    <w:pPr>
      <w:spacing w:before="240" w:after="120"/>
      <w:jc w:val="left"/>
      <w:outlineLvl w:val="2"/>
    </w:pPr>
    <w:rPr>
      <w:rFonts w:hint="eastAsia" w:ascii="黑体" w:hAnsi="黑体" w:eastAsia="黑体" w:cs="Times New Roman"/>
      <w:bCs/>
      <w:color w:val="000000" w:themeColor="text1"/>
      <w:sz w:val="28"/>
      <w:szCs w:val="28"/>
      <w14:textFill>
        <w14:solidFill>
          <w14:schemeClr w14:val="tx1"/>
        </w14:solidFill>
      </w14:textFill>
    </w:rPr>
  </w:style>
  <w:style w:type="paragraph" w:customStyle="1" w:styleId="31">
    <w:name w:val="正文缩进1"/>
    <w:basedOn w:val="1"/>
    <w:autoRedefine/>
    <w:qFormat/>
    <w:uiPriority w:val="0"/>
    <w:pPr>
      <w:spacing w:line="240" w:lineRule="auto"/>
    </w:pPr>
    <w:rPr>
      <w:sz w:val="21"/>
      <w:szCs w:val="20"/>
    </w:rPr>
  </w:style>
  <w:style w:type="paragraph" w:customStyle="1" w:styleId="32">
    <w:name w:val="图名"/>
    <w:basedOn w:val="1"/>
    <w:autoRedefine/>
    <w:qFormat/>
    <w:uiPriority w:val="0"/>
    <w:pPr>
      <w:numPr>
        <w:ilvl w:val="7"/>
        <w:numId w:val="4"/>
      </w:numPr>
      <w:ind w:firstLineChars="0"/>
    </w:pPr>
  </w:style>
  <w:style w:type="paragraph" w:customStyle="1" w:styleId="33">
    <w:name w:val="表名"/>
    <w:basedOn w:val="1"/>
    <w:autoRedefine/>
    <w:qFormat/>
    <w:uiPriority w:val="0"/>
    <w:pPr>
      <w:numPr>
        <w:ilvl w:val="8"/>
        <w:numId w:val="4"/>
      </w:numPr>
      <w:ind w:firstLineChars="0"/>
    </w:pPr>
  </w:style>
  <w:style w:type="paragraph" w:customStyle="1" w:styleId="34">
    <w:name w:val="*正文"/>
    <w:basedOn w:val="1"/>
    <w:autoRedefine/>
    <w:qFormat/>
    <w:uiPriority w:val="0"/>
    <w:pPr>
      <w:widowControl/>
      <w:ind w:firstLine="200"/>
      <w:contextualSpacing/>
    </w:pPr>
    <w:rPr>
      <w:rFonts w:ascii="time" w:hAnsi="time"/>
      <w:kern w:val="0"/>
      <w:lang w:bidi="en-US"/>
    </w:rPr>
  </w:style>
  <w:style w:type="paragraph" w:customStyle="1" w:styleId="35">
    <w:name w:val="图表内容"/>
    <w:basedOn w:val="1"/>
    <w:qFormat/>
    <w:uiPriority w:val="0"/>
    <w:pPr>
      <w:adjustRightInd w:val="0"/>
      <w:snapToGrid w:val="0"/>
      <w:ind w:firstLine="0" w:firstLineChars="0"/>
      <w:jc w:val="center"/>
    </w:pPr>
    <w:rPr>
      <w:snapToGrid w:val="0"/>
    </w:rPr>
  </w:style>
  <w:style w:type="character" w:customStyle="1" w:styleId="36">
    <w:name w:val="图表内容 字符"/>
    <w:basedOn w:val="20"/>
    <w:qFormat/>
    <w:uiPriority w:val="0"/>
    <w:rPr>
      <w:rFonts w:hint="default" w:ascii="Times New Roman" w:hAnsi="Times New Roman" w:cs="Times New Roman"/>
      <w:snapToGrid/>
      <w:kern w:val="2"/>
      <w:sz w:val="24"/>
      <w:szCs w:val="21"/>
    </w:rPr>
  </w:style>
  <w:style w:type="character" w:customStyle="1" w:styleId="37">
    <w:name w:val="页脚 字符"/>
    <w:basedOn w:val="20"/>
    <w:link w:val="12"/>
    <w:qFormat/>
    <w:uiPriority w:val="99"/>
    <w:rPr>
      <w:rFonts w:cstheme="minorBidi"/>
      <w:kern w:val="2"/>
      <w:sz w:val="18"/>
      <w:szCs w:val="18"/>
    </w:rPr>
  </w:style>
  <w:style w:type="paragraph" w:styleId="38">
    <w:name w:val="List Paragraph"/>
    <w:basedOn w:val="1"/>
    <w:unhideWhenUsed/>
    <w:qFormat/>
    <w:uiPriority w:val="34"/>
  </w:style>
  <w:style w:type="character" w:customStyle="1" w:styleId="39">
    <w:name w:val="标题 1 字符"/>
    <w:basedOn w:val="20"/>
    <w:link w:val="2"/>
    <w:qFormat/>
    <w:uiPriority w:val="9"/>
    <w:rPr>
      <w:rFonts w:eastAsia="方正小标宋_GBK" w:cstheme="minorBidi"/>
      <w:b/>
      <w:bCs/>
      <w:kern w:val="44"/>
      <w:sz w:val="32"/>
      <w:szCs w:val="44"/>
    </w:rPr>
  </w:style>
  <w:style w:type="character" w:customStyle="1" w:styleId="40">
    <w:name w:val="标题 2 字符"/>
    <w:basedOn w:val="20"/>
    <w:link w:val="3"/>
    <w:qFormat/>
    <w:uiPriority w:val="9"/>
    <w:rPr>
      <w:rFonts w:cstheme="minorBidi"/>
      <w:b/>
      <w:bCs/>
      <w:kern w:val="2"/>
      <w:sz w:val="30"/>
      <w:szCs w:val="32"/>
    </w:rPr>
  </w:style>
  <w:style w:type="character" w:customStyle="1" w:styleId="41">
    <w:name w:val="标题 3 字符"/>
    <w:basedOn w:val="20"/>
    <w:link w:val="4"/>
    <w:qFormat/>
    <w:uiPriority w:val="9"/>
    <w:rPr>
      <w:rFonts w:cstheme="minorBidi"/>
      <w:b/>
      <w:kern w:val="2"/>
      <w:sz w:val="32"/>
      <w:szCs w:val="24"/>
    </w:rPr>
  </w:style>
  <w:style w:type="character" w:customStyle="1" w:styleId="42">
    <w:name w:val="标题 4 字符"/>
    <w:basedOn w:val="20"/>
    <w:link w:val="5"/>
    <w:qFormat/>
    <w:uiPriority w:val="9"/>
    <w:rPr>
      <w:rFonts w:ascii="Arial" w:hAnsi="Arial" w:eastAsia="黑体" w:cstheme="minorBidi"/>
      <w:b/>
      <w:kern w:val="2"/>
      <w:sz w:val="28"/>
      <w:szCs w:val="24"/>
    </w:rPr>
  </w:style>
  <w:style w:type="character" w:customStyle="1" w:styleId="43">
    <w:name w:val="批注文字 字符"/>
    <w:basedOn w:val="20"/>
    <w:link w:val="11"/>
    <w:qFormat/>
    <w:uiPriority w:val="0"/>
    <w:rPr>
      <w:rFonts w:cstheme="minorBidi"/>
      <w:kern w:val="2"/>
      <w:sz w:val="24"/>
      <w:szCs w:val="24"/>
    </w:rPr>
  </w:style>
  <w:style w:type="character" w:customStyle="1" w:styleId="44">
    <w:name w:val="批注主题 字符"/>
    <w:basedOn w:val="43"/>
    <w:link w:val="17"/>
    <w:qFormat/>
    <w:uiPriority w:val="0"/>
    <w:rPr>
      <w:rFonts w:cstheme="minorBidi"/>
      <w:b/>
      <w:bCs/>
      <w:kern w:val="2"/>
      <w:sz w:val="24"/>
      <w:szCs w:val="24"/>
    </w:rPr>
  </w:style>
  <w:style w:type="paragraph" w:customStyle="1" w:styleId="45">
    <w:name w:val="msonormal"/>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46">
    <w:name w:val="font0"/>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sz w:val="22"/>
      <w:szCs w:val="22"/>
    </w:rPr>
  </w:style>
  <w:style w:type="paragraph" w:customStyle="1" w:styleId="47">
    <w:name w:val="font1"/>
    <w:basedOn w:val="1"/>
    <w:qFormat/>
    <w:uiPriority w:val="0"/>
    <w:pPr>
      <w:widowControl/>
      <w:spacing w:before="100" w:beforeAutospacing="1" w:after="100" w:afterAutospacing="1" w:line="240" w:lineRule="auto"/>
      <w:ind w:firstLine="0" w:firstLineChars="0"/>
      <w:jc w:val="left"/>
    </w:pPr>
    <w:rPr>
      <w:rFonts w:ascii="等线" w:hAnsi="等线" w:eastAsia="等线" w:cs="宋体"/>
      <w:b/>
      <w:bCs/>
      <w:color w:val="000000"/>
      <w:kern w:val="0"/>
      <w:sz w:val="22"/>
      <w:szCs w:val="22"/>
    </w:rPr>
  </w:style>
  <w:style w:type="paragraph" w:customStyle="1" w:styleId="48">
    <w:name w:val="font2"/>
    <w:basedOn w:val="1"/>
    <w:qFormat/>
    <w:uiPriority w:val="0"/>
    <w:pPr>
      <w:widowControl/>
      <w:spacing w:before="100" w:beforeAutospacing="1" w:after="100" w:afterAutospacing="1" w:line="240" w:lineRule="auto"/>
      <w:ind w:firstLine="0" w:firstLineChars="0"/>
      <w:jc w:val="left"/>
    </w:pPr>
    <w:rPr>
      <w:rFonts w:ascii="微软雅黑" w:hAnsi="微软雅黑" w:eastAsia="微软雅黑" w:cs="宋体"/>
      <w:color w:val="000000"/>
      <w:kern w:val="0"/>
      <w:sz w:val="18"/>
      <w:szCs w:val="18"/>
    </w:rPr>
  </w:style>
  <w:style w:type="paragraph" w:customStyle="1" w:styleId="49">
    <w:name w:val="et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等线" w:hAnsi="等线" w:eastAsia="等线" w:cs="宋体"/>
      <w:b/>
      <w:bCs/>
      <w:color w:val="000000"/>
      <w:kern w:val="0"/>
    </w:rPr>
  </w:style>
  <w:style w:type="paragraph" w:customStyle="1" w:styleId="50">
    <w:name w:val="et3"/>
    <w:basedOn w:val="1"/>
    <w:qFormat/>
    <w:uiPriority w:val="0"/>
    <w:pPr>
      <w:widowControl/>
      <w:pBdr>
        <w:top w:val="single" w:color="000000" w:sz="4" w:space="0"/>
        <w:bottom w:val="single" w:color="000000" w:sz="4" w:space="0"/>
      </w:pBdr>
      <w:spacing w:before="100" w:beforeAutospacing="1" w:after="100" w:afterAutospacing="1" w:line="240" w:lineRule="auto"/>
      <w:ind w:firstLine="0" w:firstLineChars="0"/>
      <w:jc w:val="left"/>
    </w:pPr>
    <w:rPr>
      <w:rFonts w:ascii="微软雅黑" w:hAnsi="微软雅黑" w:eastAsia="微软雅黑" w:cs="宋体"/>
      <w:color w:val="000000"/>
      <w:kern w:val="0"/>
      <w:sz w:val="18"/>
      <w:szCs w:val="18"/>
    </w:rPr>
  </w:style>
  <w:style w:type="paragraph" w:customStyle="1" w:styleId="51">
    <w:name w:val="et5"/>
    <w:basedOn w:val="1"/>
    <w:qFormat/>
    <w:uiPriority w:val="0"/>
    <w:pPr>
      <w:widowControl/>
      <w:pBdr>
        <w:top w:val="single" w:color="000000" w:sz="4" w:space="0"/>
        <w:bottom w:val="single" w:color="000000" w:sz="4" w:space="0"/>
        <w:right w:val="single" w:color="000000" w:sz="4" w:space="0"/>
      </w:pBdr>
      <w:spacing w:before="100" w:beforeAutospacing="1" w:after="100" w:afterAutospacing="1" w:line="240" w:lineRule="auto"/>
      <w:ind w:firstLine="0" w:firstLineChars="0"/>
      <w:jc w:val="left"/>
    </w:pPr>
    <w:rPr>
      <w:rFonts w:ascii="微软雅黑" w:hAnsi="微软雅黑" w:eastAsia="微软雅黑" w:cs="宋体"/>
      <w:color w:val="000000"/>
      <w:kern w:val="0"/>
      <w:sz w:val="18"/>
      <w:szCs w:val="18"/>
    </w:rPr>
  </w:style>
  <w:style w:type="paragraph" w:customStyle="1" w:styleId="52">
    <w:name w:val="修订1"/>
    <w:hidden/>
    <w:unhideWhenUsed/>
    <w:qFormat/>
    <w:uiPriority w:val="99"/>
    <w:rPr>
      <w:rFonts w:ascii="Times New Roman" w:hAnsi="Times New Roman" w:eastAsia="宋体" w:cstheme="minorBidi"/>
      <w:kern w:val="2"/>
      <w:sz w:val="24"/>
      <w:szCs w:val="24"/>
      <w:lang w:val="en-US" w:eastAsia="zh-CN" w:bidi="ar-SA"/>
    </w:rPr>
  </w:style>
  <w:style w:type="paragraph" w:customStyle="1" w:styleId="53">
    <w:name w:val="修订2"/>
    <w:hidden/>
    <w:unhideWhenUsed/>
    <w:qFormat/>
    <w:uiPriority w:val="99"/>
    <w:rPr>
      <w:rFonts w:ascii="Times New Roman" w:hAnsi="Times New Roman" w:eastAsia="宋体" w:cstheme="minorBidi"/>
      <w:kern w:val="2"/>
      <w:sz w:val="24"/>
      <w:szCs w:val="24"/>
      <w:lang w:val="en-US" w:eastAsia="zh-CN" w:bidi="ar-SA"/>
    </w:rPr>
  </w:style>
  <w:style w:type="paragraph" w:customStyle="1" w:styleId="54">
    <w:name w:val="修订3"/>
    <w:hidden/>
    <w:unhideWhenUsed/>
    <w:qFormat/>
    <w:uiPriority w:val="99"/>
    <w:rPr>
      <w:rFonts w:ascii="Times New Roman" w:hAnsi="Times New Roman" w:eastAsia="宋体" w:cstheme="minorBidi"/>
      <w:kern w:val="2"/>
      <w:sz w:val="24"/>
      <w:szCs w:val="24"/>
      <w:lang w:val="en-US" w:eastAsia="zh-CN" w:bidi="ar-SA"/>
    </w:rPr>
  </w:style>
  <w:style w:type="paragraph" w:customStyle="1" w:styleId="55">
    <w:name w:val="Revision"/>
    <w:hidden/>
    <w:unhideWhenUsed/>
    <w:qFormat/>
    <w:uiPriority w:val="99"/>
    <w:rPr>
      <w:rFonts w:ascii="Times New Roman" w:hAnsi="Times New Roman" w:eastAsia="宋体"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b2abbfe4-738e-4dff-9f73-b56677858eb6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371329B2</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3005bbe5-9ecc-4185-a1b8-e64043b86800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 2AC5B1C</paraID>
      <start xmlns="http://schemas.wps.cn/vas-ai-hub/contract-review">49</start>
      <end xmlns="http://schemas.wps.cn/vas-ai-hub/contract-review">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e5ac27da-a71a-44a0-b5db-14148b3a38cd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589A570A</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e9f52a68-7ade-4445-91f2-c0085a578345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6D766D45</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7104cc25-3ec9-4dfc-a1dd-f2f030dd9503</errorID>
      <errorWord xmlns="http://schemas.wps.cn/vas-ai-hub/contract-review">一网通办</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“一网通办”</item>
      </candidateList>
      <explain xmlns="http://schemas.wps.cn/vas-ai-hub/contract-review">注意检查当前固定表述标点是否使用规范。</explain>
      <paraID xmlns="http://schemas.wps.cn/vas-ai-hub/contract-review">696D7CAD</paraID>
      <start xmlns="http://schemas.wps.cn/vas-ai-hub/contract-review">13</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f6c813e0-2b60-4e9a-8c9c-c399407fb5dc</errorID>
      <errorWord xmlns="http://schemas.wps.cn/vas-ai-hub/contract-review">、多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70ABF192</paraID>
      <start xmlns="http://schemas.wps.cn/vas-ai-hub/contract-review">105</start>
      <end xmlns="http://schemas.wps.cn/vas-ai-hub/contract-review">107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bf5ff135-530b-4a83-baae-a5056f16ca37</errorID>
      <errorWord xmlns="http://schemas.wps.cn/vas-ai-hub/contract-review">、多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69CF0E25</paraID>
      <start xmlns="http://schemas.wps.cn/vas-ai-hub/contract-review">105</start>
      <end xmlns="http://schemas.wps.cn/vas-ai-hub/contract-review">107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562c2c57-670f-4577-8a85-20cd4dd16d25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40466C97</paraID>
      <start xmlns="http://schemas.wps.cn/vas-ai-hub/contract-review">51</start>
      <end xmlns="http://schemas.wps.cn/vas-ai-hub/contract-review">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567144a5-d295-45dd-a013-576e2d1ce690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40466C97</paraID>
      <start xmlns="http://schemas.wps.cn/vas-ai-hub/contract-review">53</start>
      <end xmlns="http://schemas.wps.cn/vas-ai-hub/contract-review">54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fce5a2fd-4032-425a-b264-cda02d8cae31</errorID>
      <errorWord xmlns="http://schemas.wps.cn/vas-ai-hub/contract-review">实施</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实时</item>
      </candidateList>
      <explain xmlns="http://schemas.wps.cn/vas-ai-hub/contract-review">〈副〉与某事发生、发展过程同时（做某事）：进行～报道｜～传递股市行情。</explain>
      <paraID xmlns="http://schemas.wps.cn/vas-ai-hub/contract-review">2D303E11</paraID>
      <start xmlns="http://schemas.wps.cn/vas-ai-hub/contract-review">62</start>
      <end xmlns="http://schemas.wps.cn/vas-ai-hub/contract-review">64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38478729-d35f-4a63-b9e5-4caf53e3a214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2C2A7623</paraID>
      <start xmlns="http://schemas.wps.cn/vas-ai-hub/contract-review">21</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61998a17-2c7c-45a2-b733-bd4260445998</errorID>
      <errorWord xmlns="http://schemas.wps.cn/vas-ai-hub/contract-review">一网通办</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“一网通办”</item>
      </candidateList>
      <explain xmlns="http://schemas.wps.cn/vas-ai-hub/contract-review">注意检查当前固定表述标点是否使用规范。</explain>
      <paraID xmlns="http://schemas.wps.cn/vas-ai-hub/contract-review">7402F919</paraID>
      <start xmlns="http://schemas.wps.cn/vas-ai-hub/contract-review">26</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be38335f-0579-42f1-a2d8-6310553f523d</errorID>
      <errorWord xmlns="http://schemas.wps.cn/vas-ai-hub/contract-review">一网通办</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“一网通办”</item>
      </candidateList>
      <explain xmlns="http://schemas.wps.cn/vas-ai-hub/contract-review">注意检查当前固定表述标点是否使用规范。</explain>
      <paraID xmlns="http://schemas.wps.cn/vas-ai-hub/contract-review">7402F919</paraID>
      <start xmlns="http://schemas.wps.cn/vas-ai-hub/contract-review">31</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31476005-f4fc-465a-b442-1407afed0df9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704D5595</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2107320b-137f-4095-aaf5-e66371b4dc8c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704D5595</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17aba1e1-1027-4a8a-9a7d-bf19742235ff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7075A1F3</paraID>
      <start xmlns="http://schemas.wps.cn/vas-ai-hub/contract-review">25</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4b1ef48e-6883-41f4-a892-670dcf94a77a</errorID>
      <errorWord xmlns="http://schemas.wps.cn/vas-ai-hub/contract-review">至对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至</item>
      </candidateList>
      <explain xmlns="http://schemas.wps.cn/vas-ai-hub/contract-review">❶〈动〉到：～今｜自始～终｜～死不屈。❷至于：甚～。❸〈副〉极；最：为感谢～｜你要早来，～迟下星期内一定赶到。</explain>
      <paraID xmlns="http://schemas.wps.cn/vas-ai-hub/contract-review">6EFA11A2</paraID>
      <start xmlns="http://schemas.wps.cn/vas-ai-hub/contract-review">344</start>
      <end xmlns="http://schemas.wps.cn/vas-ai-hub/contract-review">346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7369ab5c-522f-42ca-95dc-7f92e490bf60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505C43A3</paraID>
      <start xmlns="http://schemas.wps.cn/vas-ai-hub/contract-review">270</start>
      <end xmlns="http://schemas.wps.cn/vas-ai-hub/contract-review">271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9ec38d24-9e65-40d2-a542-aafedd091b24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505C43A3</paraID>
      <start xmlns="http://schemas.wps.cn/vas-ai-hub/contract-review">292</start>
      <end xmlns="http://schemas.wps.cn/vas-ai-hub/contract-review">293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a3a9b440-0d39-47b9-82a1-df682bd3d588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505C43A3</paraID>
      <start xmlns="http://schemas.wps.cn/vas-ai-hub/contract-review">310</start>
      <end xmlns="http://schemas.wps.cn/vas-ai-hub/contract-review">311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e3735152-fe49-48d8-9251-950823433bbd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505C43A3</paraID>
      <start xmlns="http://schemas.wps.cn/vas-ai-hub/contract-review">329</start>
      <end xmlns="http://schemas.wps.cn/vas-ai-hub/contract-review">330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e45a2b68-146e-4668-b46c-414ea8399c51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16E8D730</paraID>
      <start xmlns="http://schemas.wps.cn/vas-ai-hub/contract-review">535</start>
      <end xmlns="http://schemas.wps.cn/vas-ai-hub/contract-review">536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12b3dc85-473c-417a-a2e3-61ff0ef792d1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16E8D730</paraID>
      <start xmlns="http://schemas.wps.cn/vas-ai-hub/contract-review">674</start>
      <end xmlns="http://schemas.wps.cn/vas-ai-hub/contract-review">677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7b0634b3-df1f-46c8-86e0-e085afc4275c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15C69715</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5a87e90a-dd28-4dde-b31b-b99efa2db9df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15C69715</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71b1d39c-d3a9-4fcb-8485-eb6ae52252f6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15C69715</paraID>
      <start xmlns="http://schemas.wps.cn/vas-ai-hub/contract-review">35</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44674197-b64d-4a48-b46c-70e549d80f3e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7E9EB0A8</paraID>
      <start xmlns="http://schemas.wps.cn/vas-ai-hub/contract-review">193</start>
      <end xmlns="http://schemas.wps.cn/vas-ai-hub/contract-review">194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b23b3bee-da2f-49bd-be2d-4118ac51d925</errorID>
      <errorWord xmlns="http://schemas.wps.cn/vas-ai-hub/contract-review">：把</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7E9EB0A8</paraID>
      <start xmlns="http://schemas.wps.cn/vas-ai-hub/contract-review">610</start>
      <end xmlns="http://schemas.wps.cn/vas-ai-hub/contract-review">612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39192a45-b77d-4dfb-ab76-9b7885dc55a5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425582C5</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6f7e6cde-ddbe-4a79-be1e-1342364ba231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425582C5</paraID>
      <start xmlns="http://schemas.wps.cn/vas-ai-hub/contract-review">35</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506ea481-d1cf-4067-bdd3-2b5d8088ccaf</errorID>
      <errorWord xmlns="http://schemas.wps.cn/vas-ai-hub/contract-review">一网通办</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“一网通办”</item>
      </candidateList>
      <explain xmlns="http://schemas.wps.cn/vas-ai-hub/contract-review">注意检查当前固定表述标点是否使用规范。</explain>
      <paraID xmlns="http://schemas.wps.cn/vas-ai-hub/contract-review">125BB625</paraID>
      <start xmlns="http://schemas.wps.cn/vas-ai-hub/contract-review">21</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dd9d5bd5-38a9-4eb3-a565-7a83a647c5bb</errorID>
      <errorWord xmlns="http://schemas.wps.cn/vas-ai-hub/contract-review">一网通办</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“一网通办”</item>
      </candidateList>
      <explain xmlns="http://schemas.wps.cn/vas-ai-hub/contract-review">注意检查当前固定表述标点是否使用规范。</explain>
      <paraID xmlns="http://schemas.wps.cn/vas-ai-hub/contract-review">125BB625</paraID>
      <start xmlns="http://schemas.wps.cn/vas-ai-hub/contract-review">26</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dd509669-d7a3-46f8-9cb9-5657cb70279f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125BB625</paraID>
      <start xmlns="http://schemas.wps.cn/vas-ai-hub/contract-review">36</start>
      <end xmlns="http://schemas.wps.cn/vas-ai-hub/contract-review">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538b8a36-d628-4556-a1c6-8a52674d1496</errorID>
      <errorWord xmlns="http://schemas.wps.cn/vas-ai-hub/contract-review">一网通办</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“一网通办”</item>
      </candidateList>
      <explain xmlns="http://schemas.wps.cn/vas-ai-hub/contract-review">注意检查当前固定表述标点是否使用规范。</explain>
      <paraID xmlns="http://schemas.wps.cn/vas-ai-hub/contract-review"> 86F5F4E</paraID>
      <start xmlns="http://schemas.wps.cn/vas-ai-hub/contract-review">21</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61cc103b-13f1-4621-8eb8-ebca699e4851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86F5F4E</paraID>
      <start xmlns="http://schemas.wps.cn/vas-ai-hub/contract-review">34</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f0a8f20c-b4cc-48af-8698-650b51d6dda8</errorID>
      <errorWord xmlns="http://schemas.wps.cn/vas-ai-hub/contract-review">一网通办</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“一网通办”</item>
      </candidateList>
      <explain xmlns="http://schemas.wps.cn/vas-ai-hub/contract-review">注意检查当前固定表述标点是否使用规范。</explain>
      <paraID xmlns="http://schemas.wps.cn/vas-ai-hub/contract-review">33A7DF3F</paraID>
      <start xmlns="http://schemas.wps.cn/vas-ai-hub/contract-review">12</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945da4b0-4cbb-4435-8280-338d344b3a85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514E7FCE</paraID>
      <start xmlns="http://schemas.wps.cn/vas-ai-hub/contract-review">21</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cadf9ce0-bc7e-4875-a95a-85df11592fe2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46E960BE</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242683e6-8309-4994-a3f8-c4a13cece264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23136B0</paraID>
      <start xmlns="http://schemas.wps.cn/vas-ai-hub/contract-review">12</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56d3c4e5-11c4-4a83-b936-a9f03694c85b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6048A843</paraID>
      <start xmlns="http://schemas.wps.cn/vas-ai-hub/contract-review">483</start>
      <end xmlns="http://schemas.wps.cn/vas-ai-hub/contract-review">484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a4316456-d159-44b2-8ecb-23232cf4013d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6048A843</paraID>
      <start xmlns="http://schemas.wps.cn/vas-ai-hub/contract-review">488</start>
      <end xmlns="http://schemas.wps.cn/vas-ai-hub/contract-review">489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0ee400ad-4c3c-4db9-abda-11800b3f2ac7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3F428E53</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86d55026-99b2-4860-9415-29a2d74783d5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3F428E53</paraID>
      <start xmlns="http://schemas.wps.cn/vas-ai-hub/contract-review">19</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0be83abd-cf03-4a4b-b283-28c338da81ab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3F428E53</paraID>
      <start xmlns="http://schemas.wps.cn/vas-ai-hub/contract-review">24</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ed97463b-fa92-4135-9c1b-a0003786782a</errorID>
      <errorWord xmlns="http://schemas.wps.cn/vas-ai-hub/contract-review">管理数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管理</item>
      </candidateList>
      <explain xmlns="http://schemas.wps.cn/vas-ai-hub/contract-review">〈动〉❶负责某项工作使顺利进行：～财务｜～国家大事。❷保管和料理：～图书｜公园～处。❸照管并约束（人或动物）：～罪犯｜～牲口。</explain>
      <paraID xmlns="http://schemas.wps.cn/vas-ai-hub/contract-review">775AE921</paraID>
      <start xmlns="http://schemas.wps.cn/vas-ai-hub/contract-review">22</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048d07c2-ea29-4380-b071-97bcf9be75d9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190DE1F5</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500e30a7-979a-49f6-8765-954e921d9218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190DE1F5</paraID>
      <start xmlns="http://schemas.wps.cn/vas-ai-hub/contract-review">19</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64b8f3ae-98db-4023-a704-df2a10d68adf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328C2DDF</paraID>
      <start xmlns="http://schemas.wps.cn/vas-ai-hub/contract-review">76</start>
      <end xmlns="http://schemas.wps.cn/vas-ai-hub/contract-review">77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4426172c-c7be-4cfa-aa42-c2524e8857e1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328C2DDF</paraID>
      <start xmlns="http://schemas.wps.cn/vas-ai-hub/contract-review">112</start>
      <end xmlns="http://schemas.wps.cn/vas-ai-hub/contract-review">113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0b4061e9-ce53-4728-b665-1c8683c220e2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328C2DDF</paraID>
      <start xmlns="http://schemas.wps.cn/vas-ai-hub/contract-review">117</start>
      <end xmlns="http://schemas.wps.cn/vas-ai-hub/contract-review">118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c1a5d803-7266-4774-a3e3-e6ca5e56c656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328C2DDF</paraID>
      <start xmlns="http://schemas.wps.cn/vas-ai-hub/contract-review">201</start>
      <end xmlns="http://schemas.wps.cn/vas-ai-hub/contract-review">202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1d53d18c-48ea-4734-8047-5155530e0989</errorID>
      <errorWord xmlns="http://schemas.wps.cn/vas-ai-hub/contract-review">系统故障应</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系统故障</item>
      </candidateList>
      <explain xmlns="http://schemas.wps.cn/vas-ai-hub/contract-review"/>
      <paraID xmlns="http://schemas.wps.cn/vas-ai-hub/contract-review">75C938F2</paraID>
      <start xmlns="http://schemas.wps.cn/vas-ai-hub/contract-review">4</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1526488f-a9b6-4689-95ad-f03d4cff6b3a</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141DAC20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0f4b6961-fb09-4726-974d-81848614fc9d</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51610810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fafbc68c-b8de-4860-bb0e-6941255a0b47</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127F2FBF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983a3ce0-666c-4dcd-84cc-4a7421ba7a84</errorID>
      <errorWord xmlns="http://schemas.wps.cn/vas-ai-hub/contract-review">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理人</item>
      </candidateList>
      <explain xmlns="http://schemas.wps.cn/vas-ai-hub/contract-review"/>
      <paraID xmlns="http://schemas.wps.cn/vas-ai-hub/contract-review">127F2FBF</paraID>
      <start xmlns="http://schemas.wps.cn/vas-ai-hub/contract-review">25</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eb022a4b-c08b-4c2e-a38d-df7242317751</errorID>
      <errorWord xmlns="http://schemas.wps.cn/vas-ai-hub/contract-review">需具备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须具备</item>
      </candidateList>
      <explain xmlns="http://schemas.wps.cn/vas-ai-hub/contract-review"/>
      <paraID xmlns="http://schemas.wps.cn/vas-ai-hub/contract-review">593AE6F9</paraID>
      <start xmlns="http://schemas.wps.cn/vas-ai-hub/contract-review">54</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866a0605-d185-4d2b-803b-0bb9701e0051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167D4293</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946f0936-69e9-48d4-9f59-a3a839c215ee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167D4293</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8da744e0-e748-44b6-919e-129b12d6fa7f</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29FB4B2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48b45ac0-6cd7-4e2d-849c-d45e478655f0</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43E3C87C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66752751-1d6a-4e70-843d-db7914adbaa6</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148F2341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12d945a5-14b1-4308-b270-7ad872b87b62</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5EEEEBF9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5cc3c6bb-27c8-4461-b71d-bd683767708e}">
  <ds:schemaRefs/>
</ds:datastoreItem>
</file>

<file path=customXml/itemProps2.xml><?xml version="1.0" encoding="utf-8"?>
<ds:datastoreItem xmlns:ds="http://schemas.openxmlformats.org/officeDocument/2006/customXml" ds:itemID="{820329C3-A500-4339-AC91-CB05E73D5A1E}">
  <ds:schemaRefs/>
</ds:datastoreItem>
</file>

<file path=docProps/app.xml><?xml version="1.0" encoding="utf-8"?>
<Properties xmlns="http://schemas.openxmlformats.org/officeDocument/2006/extended-properties" xmlns:vt="http://schemas.openxmlformats.org/officeDocument/2006/docPropsVTypes">
  <Template>Normal</Template>
  <Pages>21</Pages>
  <Words>4338</Words>
  <Characters>4423</Characters>
  <Lines>159</Lines>
  <Paragraphs>44</Paragraphs>
  <TotalTime>62</TotalTime>
  <ScaleCrop>false</ScaleCrop>
  <LinksUpToDate>false</LinksUpToDate>
  <CharactersWithSpaces>4437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2024-02-08T10:19:00Z</dcterms:created>
  <dc:creator>小竹1400411202</dc:creator>
  <cp:lastModifiedBy>郭田恬</cp:lastModifiedBy>
  <dcterms:modified xsi:type="dcterms:W3CDTF">2026-01-08T09:32:09Z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82BA02B70D0044B2BA4FA645B23C8751_13</vt:lpwstr>
  </property>
  <property fmtid="{D5CDD505-2E9C-101B-9397-08002B2CF9AE}" pid="4" name="KSOTemplateDocerSaveRecord">
    <vt:lpwstr>eyJoZGlkIjoiMGYzN2YwY2VlMDJjNTg3MDM2NjI2OTk2NTE0MjdiMDEiLCJ1c2VySWQiOiI1NDY4NzcwMjEifQ==</vt:lpwstr>
  </property>
</Properties>
</file>