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74DEF">
      <w:pPr>
        <w:spacing w:after="156"/>
      </w:pPr>
      <w:bookmarkStart w:id="0" w:name="_Toc8333337"/>
      <w:bookmarkStart w:id="1" w:name="_Toc15606"/>
      <w:bookmarkStart w:id="2" w:name="_Toc1651"/>
      <w:bookmarkStart w:id="3" w:name="_Toc73831468"/>
      <w:bookmarkStart w:id="4" w:name="_Toc31854"/>
      <w:bookmarkStart w:id="5" w:name="_Toc73830915"/>
      <w:bookmarkStart w:id="6" w:name="_Toc73952565"/>
      <w:bookmarkStart w:id="7" w:name="_Toc8796"/>
      <w:bookmarkStart w:id="8" w:name="_Toc26369"/>
      <w:bookmarkStart w:id="9" w:name="_Toc6404"/>
      <w:bookmarkStart w:id="10" w:name="_Toc520571505_WPSOffice_Level1"/>
      <w:bookmarkStart w:id="11" w:name="_Toc104443977"/>
    </w:p>
    <w:p w14:paraId="19458F36">
      <w:pPr>
        <w:spacing w:after="156" w:line="600" w:lineRule="exact"/>
        <w:jc w:val="center"/>
        <w:rPr>
          <w:rFonts w:hint="eastAsia" w:ascii="微软雅黑" w:hAnsi="微软雅黑" w:cs="微软雅黑"/>
          <w:b/>
          <w:sz w:val="44"/>
          <w:szCs w:val="44"/>
        </w:rPr>
      </w:pPr>
    </w:p>
    <w:p w14:paraId="1C93C5BD">
      <w:pPr>
        <w:spacing w:after="156" w:line="600" w:lineRule="exact"/>
        <w:jc w:val="center"/>
        <w:rPr>
          <w:rFonts w:hint="eastAsia" w:ascii="微软雅黑" w:hAnsi="微软雅黑" w:cs="微软雅黑"/>
          <w:b/>
          <w:sz w:val="44"/>
          <w:szCs w:val="44"/>
        </w:rPr>
      </w:pPr>
    </w:p>
    <w:p w14:paraId="6C15A332">
      <w:pPr>
        <w:pStyle w:val="60"/>
        <w:spacing w:after="240"/>
        <w:outlineLvl w:val="9"/>
        <w:rPr>
          <w:rFonts w:hint="eastAsia"/>
        </w:rPr>
      </w:pPr>
      <w:r>
        <w:rPr>
          <w:rFonts w:hint="eastAsia"/>
        </w:rPr>
        <w:t>互联网医院子系统建设项目</w:t>
      </w:r>
    </w:p>
    <w:p w14:paraId="1522B691">
      <w:pPr>
        <w:pStyle w:val="60"/>
        <w:spacing w:after="240"/>
        <w:outlineLvl w:val="9"/>
        <w:rPr>
          <w:rFonts w:hint="eastAsia"/>
        </w:rPr>
      </w:pPr>
      <w:r>
        <w:rPr>
          <w:rFonts w:hint="eastAsia"/>
        </w:rPr>
        <w:t>（2026年升级改造）</w:t>
      </w:r>
    </w:p>
    <w:p w14:paraId="6FC2A6D3">
      <w:pPr>
        <w:pStyle w:val="60"/>
        <w:spacing w:after="240"/>
        <w:outlineLvl w:val="9"/>
        <w:rPr>
          <w:rFonts w:hint="eastAsia"/>
        </w:rPr>
      </w:pPr>
      <w:r>
        <w:rPr>
          <w:rFonts w:hint="eastAsia"/>
        </w:rPr>
        <w:t>技术需求</w:t>
      </w:r>
    </w:p>
    <w:p w14:paraId="1986D7CD">
      <w:pPr>
        <w:snapToGrid/>
        <w:spacing w:after="156"/>
      </w:pPr>
    </w:p>
    <w:p w14:paraId="6511A3B8">
      <w:pPr>
        <w:snapToGrid/>
        <w:spacing w:after="156"/>
      </w:pPr>
    </w:p>
    <w:p w14:paraId="70C2B849">
      <w:pPr>
        <w:snapToGrid/>
        <w:spacing w:after="156"/>
      </w:pPr>
    </w:p>
    <w:p w14:paraId="7924BEAE">
      <w:pPr>
        <w:snapToGrid/>
        <w:spacing w:after="156"/>
      </w:pPr>
    </w:p>
    <w:p w14:paraId="11B40449">
      <w:pPr>
        <w:snapToGrid/>
        <w:spacing w:after="156"/>
        <w:rPr>
          <w:rFonts w:eastAsia="宋体"/>
        </w:rPr>
      </w:pPr>
    </w:p>
    <w:p w14:paraId="42152DBA">
      <w:pPr>
        <w:snapToGrid/>
        <w:spacing w:after="156"/>
      </w:pPr>
    </w:p>
    <w:p w14:paraId="4187FDCE">
      <w:pPr>
        <w:snapToGrid/>
        <w:spacing w:after="156"/>
      </w:pPr>
    </w:p>
    <w:p w14:paraId="19209B62">
      <w:pPr>
        <w:snapToGrid/>
        <w:spacing w:after="156"/>
      </w:pPr>
    </w:p>
    <w:p w14:paraId="12F5C663">
      <w:pPr>
        <w:pStyle w:val="60"/>
        <w:spacing w:before="0" w:after="156" w:line="240" w:lineRule="auto"/>
        <w:ind w:left="1680" w:leftChars="800"/>
        <w:jc w:val="left"/>
        <w:outlineLvl w:val="9"/>
        <w:rPr>
          <w:rFonts w:hint="eastAsia"/>
          <w:sz w:val="30"/>
          <w:szCs w:val="30"/>
        </w:rPr>
      </w:pPr>
    </w:p>
    <w:p w14:paraId="79C877E3">
      <w:pPr>
        <w:pStyle w:val="60"/>
        <w:spacing w:before="0" w:after="156" w:line="240" w:lineRule="auto"/>
        <w:ind w:left="1680" w:leftChars="800"/>
        <w:jc w:val="left"/>
        <w:outlineLvl w:val="9"/>
        <w:rPr>
          <w:rFonts w:hint="eastAsia"/>
          <w:sz w:val="30"/>
          <w:szCs w:val="30"/>
        </w:rPr>
      </w:pPr>
      <w:r>
        <w:rPr>
          <w:rFonts w:hint="eastAsia"/>
          <w:sz w:val="30"/>
          <w:szCs w:val="30"/>
        </w:rPr>
        <w:t>建设单位：上海市保健医疗中心</w:t>
      </w:r>
    </w:p>
    <w:p w14:paraId="1AAC3AF3">
      <w:pPr>
        <w:pStyle w:val="41"/>
        <w:spacing w:after="156"/>
        <w:ind w:firstLine="600"/>
        <w:outlineLvl w:val="9"/>
        <w:rPr>
          <w:rFonts w:hint="eastAsia"/>
          <w:sz w:val="30"/>
          <w:szCs w:val="30"/>
        </w:rPr>
      </w:pPr>
    </w:p>
    <w:p w14:paraId="5C5E3CF0">
      <w:pPr>
        <w:spacing w:after="156"/>
      </w:pPr>
    </w:p>
    <w:bookmarkEnd w:id="0"/>
    <w:bookmarkEnd w:id="1"/>
    <w:bookmarkEnd w:id="2"/>
    <w:bookmarkEnd w:id="3"/>
    <w:bookmarkEnd w:id="4"/>
    <w:bookmarkEnd w:id="5"/>
    <w:bookmarkEnd w:id="6"/>
    <w:bookmarkEnd w:id="7"/>
    <w:bookmarkEnd w:id="8"/>
    <w:bookmarkEnd w:id="9"/>
    <w:bookmarkEnd w:id="10"/>
    <w:bookmarkEnd w:id="11"/>
    <w:p w14:paraId="2654BA07">
      <w:pPr>
        <w:spacing w:after="156"/>
        <w:rPr>
          <w:rFonts w:asci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ascii="黑体" w:eastAsia="黑体"/>
          <w:sz w:val="28"/>
          <w:szCs w:val="28"/>
        </w:rPr>
        <w:br w:type="page"/>
      </w:r>
    </w:p>
    <w:sdt>
      <w:sdtPr>
        <w:rPr>
          <w:rFonts w:ascii="宋体" w:hAnsi="宋体" w:eastAsia="宋体"/>
        </w:rPr>
        <w:id w:val="147458378"/>
        <w:docPartObj>
          <w:docPartGallery w:val="Table of Contents"/>
          <w:docPartUnique/>
        </w:docPartObj>
      </w:sdtPr>
      <w:sdtEndPr>
        <w:rPr>
          <w:rFonts w:ascii="宋体" w:hAnsi="宋体" w:eastAsia="宋体"/>
        </w:rPr>
      </w:sdtEndPr>
      <w:sdtContent>
        <w:p w14:paraId="1B71552B">
          <w:pPr>
            <w:spacing w:after="0" w:afterLines="0" w:line="240" w:lineRule="auto"/>
            <w:jc w:val="center"/>
          </w:pPr>
          <w:r>
            <w:rPr>
              <w:rFonts w:ascii="宋体" w:hAnsi="宋体" w:eastAsia="宋体"/>
            </w:rPr>
            <w:t>目录</w:t>
          </w:r>
        </w:p>
        <w:p w14:paraId="20815D4E">
          <w:pPr>
            <w:pStyle w:val="24"/>
            <w:tabs>
              <w:tab w:val="right" w:leader="dot" w:pos="8306"/>
            </w:tabs>
          </w:pPr>
          <w:r>
            <w:fldChar w:fldCharType="begin"/>
          </w:r>
          <w:r>
            <w:instrText xml:space="preserve">TOC \o "1-2" \h \u </w:instrText>
          </w:r>
          <w:r>
            <w:fldChar w:fldCharType="separate"/>
          </w:r>
          <w:r>
            <w:fldChar w:fldCharType="begin"/>
          </w:r>
          <w:r>
            <w:instrText xml:space="preserve"> HYPERLINK \l _Toc5907 </w:instrText>
          </w:r>
          <w:r>
            <w:fldChar w:fldCharType="separate"/>
          </w:r>
          <w:r>
            <w:rPr>
              <w:rFonts w:hint="eastAsia" w:ascii="宋体" w:hAnsi="宋体" w:eastAsia="宋体"/>
              <w:szCs w:val="24"/>
            </w:rPr>
            <w:t>第一章. 项目概述</w:t>
          </w:r>
          <w:r>
            <w:tab/>
          </w:r>
          <w:r>
            <w:fldChar w:fldCharType="begin"/>
          </w:r>
          <w:r>
            <w:instrText xml:space="preserve"> PAGEREF _Toc5907 \h </w:instrText>
          </w:r>
          <w:r>
            <w:fldChar w:fldCharType="separate"/>
          </w:r>
          <w:r>
            <w:t>3</w:t>
          </w:r>
          <w:r>
            <w:fldChar w:fldCharType="end"/>
          </w:r>
          <w:r>
            <w:fldChar w:fldCharType="end"/>
          </w:r>
        </w:p>
        <w:p w14:paraId="568976E1">
          <w:pPr>
            <w:pStyle w:val="28"/>
            <w:tabs>
              <w:tab w:val="right" w:leader="dot" w:pos="8306"/>
            </w:tabs>
          </w:pPr>
          <w:r>
            <w:fldChar w:fldCharType="begin"/>
          </w:r>
          <w:r>
            <w:instrText xml:space="preserve"> HYPERLINK \l _Toc24428 </w:instrText>
          </w:r>
          <w:r>
            <w:fldChar w:fldCharType="separate"/>
          </w:r>
          <w:r>
            <w:rPr>
              <w:rFonts w:hint="eastAsia" w:asciiTheme="minorEastAsia" w:hAnsiTheme="minorEastAsia" w:eastAsiaTheme="minorEastAsia" w:cstheme="minorEastAsia"/>
              <w:bCs/>
              <w:lang w:val="en-US" w:eastAsia="zh-CN"/>
            </w:rPr>
            <w:t>1.1.</w:t>
          </w:r>
          <w:r>
            <w:rPr>
              <w:rFonts w:hint="eastAsia" w:asciiTheme="minorEastAsia" w:hAnsiTheme="minorEastAsia" w:eastAsiaTheme="minorEastAsia" w:cstheme="minorEastAsia"/>
              <w:bCs/>
            </w:rPr>
            <w:t>项目建设背景</w:t>
          </w:r>
          <w:r>
            <w:tab/>
          </w:r>
          <w:r>
            <w:fldChar w:fldCharType="begin"/>
          </w:r>
          <w:r>
            <w:instrText xml:space="preserve"> PAGEREF _Toc24428 \h </w:instrText>
          </w:r>
          <w:r>
            <w:fldChar w:fldCharType="separate"/>
          </w:r>
          <w:r>
            <w:t>3</w:t>
          </w:r>
          <w:r>
            <w:fldChar w:fldCharType="end"/>
          </w:r>
          <w:r>
            <w:fldChar w:fldCharType="end"/>
          </w:r>
        </w:p>
        <w:p w14:paraId="2FD409F7">
          <w:pPr>
            <w:pStyle w:val="28"/>
            <w:tabs>
              <w:tab w:val="right" w:leader="dot" w:pos="8306"/>
            </w:tabs>
          </w:pPr>
          <w:r>
            <w:fldChar w:fldCharType="begin"/>
          </w:r>
          <w:r>
            <w:instrText xml:space="preserve"> HYPERLINK \l _Toc8852 </w:instrText>
          </w:r>
          <w:r>
            <w:fldChar w:fldCharType="separate"/>
          </w:r>
          <w:r>
            <w:rPr>
              <w:rFonts w:hint="eastAsia" w:asciiTheme="minorEastAsia" w:hAnsiTheme="minorEastAsia" w:eastAsiaTheme="minorEastAsia" w:cstheme="minorEastAsia"/>
              <w:bCs/>
              <w:lang w:val="en-US" w:eastAsia="zh-CN"/>
            </w:rPr>
            <w:t>1.2.</w:t>
          </w:r>
          <w:r>
            <w:rPr>
              <w:rFonts w:hint="eastAsia" w:asciiTheme="minorEastAsia" w:hAnsiTheme="minorEastAsia" w:eastAsiaTheme="minorEastAsia" w:cstheme="minorEastAsia"/>
              <w:bCs/>
            </w:rPr>
            <w:t>建设目标</w:t>
          </w:r>
          <w:r>
            <w:tab/>
          </w:r>
          <w:r>
            <w:fldChar w:fldCharType="begin"/>
          </w:r>
          <w:r>
            <w:instrText xml:space="preserve"> PAGEREF _Toc8852 \h </w:instrText>
          </w:r>
          <w:r>
            <w:fldChar w:fldCharType="separate"/>
          </w:r>
          <w:r>
            <w:t>3</w:t>
          </w:r>
          <w:r>
            <w:fldChar w:fldCharType="end"/>
          </w:r>
          <w:r>
            <w:fldChar w:fldCharType="end"/>
          </w:r>
        </w:p>
        <w:p w14:paraId="16387F5A">
          <w:pPr>
            <w:pStyle w:val="28"/>
            <w:tabs>
              <w:tab w:val="right" w:leader="dot" w:pos="8306"/>
            </w:tabs>
          </w:pPr>
          <w:r>
            <w:fldChar w:fldCharType="begin"/>
          </w:r>
          <w:r>
            <w:instrText xml:space="preserve"> HYPERLINK \l _Toc12217 </w:instrText>
          </w:r>
          <w:r>
            <w:fldChar w:fldCharType="separate"/>
          </w:r>
          <w:r>
            <w:rPr>
              <w:rFonts w:hint="eastAsia" w:asciiTheme="minorEastAsia" w:hAnsiTheme="minorEastAsia" w:eastAsiaTheme="minorEastAsia" w:cstheme="minorEastAsia"/>
              <w:bCs/>
              <w:lang w:val="en-US" w:eastAsia="zh-CN"/>
            </w:rPr>
            <w:t>1.3.</w:t>
          </w:r>
          <w:r>
            <w:rPr>
              <w:rFonts w:hint="eastAsia" w:asciiTheme="minorEastAsia" w:hAnsiTheme="minorEastAsia" w:eastAsiaTheme="minorEastAsia" w:cstheme="minorEastAsia"/>
              <w:bCs/>
            </w:rPr>
            <w:t>建设内容</w:t>
          </w:r>
          <w:r>
            <w:tab/>
          </w:r>
          <w:r>
            <w:fldChar w:fldCharType="begin"/>
          </w:r>
          <w:r>
            <w:instrText xml:space="preserve"> PAGEREF _Toc12217 \h </w:instrText>
          </w:r>
          <w:r>
            <w:fldChar w:fldCharType="separate"/>
          </w:r>
          <w:r>
            <w:t>3</w:t>
          </w:r>
          <w:r>
            <w:fldChar w:fldCharType="end"/>
          </w:r>
          <w:r>
            <w:fldChar w:fldCharType="end"/>
          </w:r>
        </w:p>
        <w:p w14:paraId="20326576">
          <w:pPr>
            <w:pStyle w:val="24"/>
            <w:tabs>
              <w:tab w:val="right" w:leader="dot" w:pos="8306"/>
            </w:tabs>
          </w:pPr>
          <w:r>
            <w:fldChar w:fldCharType="begin"/>
          </w:r>
          <w:r>
            <w:instrText xml:space="preserve"> HYPERLINK \l _Toc17123 </w:instrText>
          </w:r>
          <w:r>
            <w:fldChar w:fldCharType="separate"/>
          </w:r>
          <w:r>
            <w:rPr>
              <w:rFonts w:hint="eastAsia" w:ascii="宋体" w:hAnsi="宋体" w:eastAsia="宋体" w:cs="宋体"/>
              <w:szCs w:val="24"/>
            </w:rPr>
            <w:t>第二章. 采购内容</w:t>
          </w:r>
          <w:r>
            <w:tab/>
          </w:r>
          <w:r>
            <w:fldChar w:fldCharType="begin"/>
          </w:r>
          <w:r>
            <w:instrText xml:space="preserve"> PAGEREF _Toc17123 \h </w:instrText>
          </w:r>
          <w:r>
            <w:fldChar w:fldCharType="separate"/>
          </w:r>
          <w:r>
            <w:t>4</w:t>
          </w:r>
          <w:r>
            <w:fldChar w:fldCharType="end"/>
          </w:r>
          <w:r>
            <w:fldChar w:fldCharType="end"/>
          </w:r>
        </w:p>
        <w:p w14:paraId="100A9296">
          <w:pPr>
            <w:pStyle w:val="28"/>
            <w:tabs>
              <w:tab w:val="right" w:leader="dot" w:pos="8306"/>
            </w:tabs>
          </w:pPr>
          <w:r>
            <w:fldChar w:fldCharType="begin"/>
          </w:r>
          <w:r>
            <w:instrText xml:space="preserve"> HYPERLINK \l _Toc24136 </w:instrText>
          </w:r>
          <w:r>
            <w:fldChar w:fldCharType="separate"/>
          </w:r>
          <w:r>
            <w:rPr>
              <w:rFonts w:hint="eastAsia" w:asciiTheme="minorEastAsia" w:hAnsiTheme="minorEastAsia" w:eastAsiaTheme="minorEastAsia" w:cstheme="minorEastAsia"/>
              <w:bCs/>
              <w:lang w:val="en-US" w:eastAsia="zh-CN"/>
            </w:rPr>
            <w:t>2.1.互联网医院系统升级建设</w:t>
          </w:r>
          <w:r>
            <w:tab/>
          </w:r>
          <w:r>
            <w:fldChar w:fldCharType="begin"/>
          </w:r>
          <w:r>
            <w:instrText xml:space="preserve"> PAGEREF _Toc24136 \h </w:instrText>
          </w:r>
          <w:r>
            <w:fldChar w:fldCharType="separate"/>
          </w:r>
          <w:r>
            <w:t>4</w:t>
          </w:r>
          <w:r>
            <w:fldChar w:fldCharType="end"/>
          </w:r>
          <w:r>
            <w:fldChar w:fldCharType="end"/>
          </w:r>
        </w:p>
        <w:p w14:paraId="06EF938F">
          <w:pPr>
            <w:pStyle w:val="28"/>
            <w:tabs>
              <w:tab w:val="right" w:leader="dot" w:pos="8306"/>
            </w:tabs>
          </w:pPr>
          <w:r>
            <w:fldChar w:fldCharType="begin"/>
          </w:r>
          <w:r>
            <w:instrText xml:space="preserve"> HYPERLINK \l _Toc16220 </w:instrText>
          </w:r>
          <w:r>
            <w:fldChar w:fldCharType="separate"/>
          </w:r>
          <w:r>
            <w:rPr>
              <w:rFonts w:hint="eastAsia" w:asciiTheme="minorEastAsia" w:hAnsiTheme="minorEastAsia" w:eastAsiaTheme="minorEastAsia" w:cstheme="minorEastAsia"/>
              <w:bCs/>
              <w:lang w:val="en-US" w:eastAsia="zh-CN"/>
            </w:rPr>
            <w:t>2.2.应用系统XC及密评配套改造</w:t>
          </w:r>
          <w:r>
            <w:tab/>
          </w:r>
          <w:r>
            <w:fldChar w:fldCharType="begin"/>
          </w:r>
          <w:r>
            <w:instrText xml:space="preserve"> PAGEREF _Toc16220 \h </w:instrText>
          </w:r>
          <w:r>
            <w:fldChar w:fldCharType="separate"/>
          </w:r>
          <w:r>
            <w:t>7</w:t>
          </w:r>
          <w:r>
            <w:fldChar w:fldCharType="end"/>
          </w:r>
          <w:r>
            <w:fldChar w:fldCharType="end"/>
          </w:r>
        </w:p>
        <w:p w14:paraId="34613CEF">
          <w:pPr>
            <w:pStyle w:val="24"/>
            <w:tabs>
              <w:tab w:val="right" w:leader="dot" w:pos="8306"/>
            </w:tabs>
          </w:pPr>
          <w:r>
            <w:fldChar w:fldCharType="begin"/>
          </w:r>
          <w:r>
            <w:instrText xml:space="preserve"> HYPERLINK \l _Toc11394 </w:instrText>
          </w:r>
          <w:r>
            <w:fldChar w:fldCharType="separate"/>
          </w:r>
          <w:r>
            <w:rPr>
              <w:rFonts w:hint="eastAsia" w:ascii="宋体" w:hAnsi="宋体" w:eastAsia="宋体" w:cs="宋体"/>
              <w:szCs w:val="24"/>
            </w:rPr>
            <w:t>第三章. 设计要求</w:t>
          </w:r>
          <w:r>
            <w:tab/>
          </w:r>
          <w:r>
            <w:fldChar w:fldCharType="begin"/>
          </w:r>
          <w:r>
            <w:instrText xml:space="preserve"> PAGEREF _Toc11394 \h </w:instrText>
          </w:r>
          <w:r>
            <w:fldChar w:fldCharType="separate"/>
          </w:r>
          <w:r>
            <w:t>16</w:t>
          </w:r>
          <w:r>
            <w:fldChar w:fldCharType="end"/>
          </w:r>
          <w:r>
            <w:fldChar w:fldCharType="end"/>
          </w:r>
        </w:p>
        <w:p w14:paraId="23F52937">
          <w:pPr>
            <w:pStyle w:val="28"/>
            <w:tabs>
              <w:tab w:val="right" w:leader="dot" w:pos="8306"/>
            </w:tabs>
          </w:pPr>
          <w:r>
            <w:fldChar w:fldCharType="begin"/>
          </w:r>
          <w:r>
            <w:instrText xml:space="preserve"> HYPERLINK \l _Toc30045 </w:instrText>
          </w:r>
          <w:r>
            <w:fldChar w:fldCharType="separate"/>
          </w:r>
          <w:r>
            <w:rPr>
              <w:rFonts w:hint="eastAsia" w:ascii="宋体" w:hAnsi="宋体" w:eastAsia="宋体" w:cs="宋体"/>
              <w:bCs/>
              <w:lang w:val="en-US" w:eastAsia="zh-CN"/>
            </w:rPr>
            <w:t>3</w:t>
          </w:r>
          <w:r>
            <w:rPr>
              <w:rFonts w:hint="eastAsia" w:ascii="宋体" w:hAnsi="宋体" w:eastAsia="宋体" w:cs="宋体"/>
              <w:bCs/>
            </w:rPr>
            <w:t>.1.标准规范设计</w:t>
          </w:r>
          <w:r>
            <w:tab/>
          </w:r>
          <w:r>
            <w:fldChar w:fldCharType="begin"/>
          </w:r>
          <w:r>
            <w:instrText xml:space="preserve"> PAGEREF _Toc30045 \h </w:instrText>
          </w:r>
          <w:r>
            <w:fldChar w:fldCharType="separate"/>
          </w:r>
          <w:r>
            <w:t>16</w:t>
          </w:r>
          <w:r>
            <w:fldChar w:fldCharType="end"/>
          </w:r>
          <w:r>
            <w:fldChar w:fldCharType="end"/>
          </w:r>
        </w:p>
        <w:p w14:paraId="502A7871">
          <w:pPr>
            <w:pStyle w:val="28"/>
            <w:tabs>
              <w:tab w:val="right" w:leader="dot" w:pos="8306"/>
            </w:tabs>
          </w:pPr>
          <w:r>
            <w:fldChar w:fldCharType="begin"/>
          </w:r>
          <w:r>
            <w:instrText xml:space="preserve"> HYPERLINK \l _Toc26010 </w:instrText>
          </w:r>
          <w:r>
            <w:fldChar w:fldCharType="separate"/>
          </w:r>
          <w:r>
            <w:rPr>
              <w:rFonts w:hint="eastAsia" w:ascii="宋体" w:hAnsi="宋体" w:eastAsia="宋体" w:cs="宋体"/>
              <w:bCs/>
              <w:lang w:val="en-US" w:eastAsia="zh-CN"/>
            </w:rPr>
            <w:t>3</w:t>
          </w:r>
          <w:r>
            <w:rPr>
              <w:rFonts w:hint="eastAsia" w:ascii="宋体" w:hAnsi="宋体" w:eastAsia="宋体" w:cs="宋体"/>
              <w:bCs/>
            </w:rPr>
            <w:t>.2.总体架构要求</w:t>
          </w:r>
          <w:r>
            <w:tab/>
          </w:r>
          <w:r>
            <w:fldChar w:fldCharType="begin"/>
          </w:r>
          <w:r>
            <w:instrText xml:space="preserve"> PAGEREF _Toc26010 \h </w:instrText>
          </w:r>
          <w:r>
            <w:fldChar w:fldCharType="separate"/>
          </w:r>
          <w:r>
            <w:t>18</w:t>
          </w:r>
          <w:r>
            <w:fldChar w:fldCharType="end"/>
          </w:r>
          <w:r>
            <w:fldChar w:fldCharType="end"/>
          </w:r>
        </w:p>
        <w:p w14:paraId="3D03AEFC">
          <w:pPr>
            <w:pStyle w:val="24"/>
            <w:tabs>
              <w:tab w:val="right" w:leader="dot" w:pos="8306"/>
            </w:tabs>
          </w:pPr>
          <w:r>
            <w:fldChar w:fldCharType="begin"/>
          </w:r>
          <w:r>
            <w:instrText xml:space="preserve"> HYPERLINK \l _Toc359 </w:instrText>
          </w:r>
          <w:r>
            <w:fldChar w:fldCharType="separate"/>
          </w:r>
          <w:r>
            <w:rPr>
              <w:rFonts w:hint="eastAsia" w:ascii="宋体" w:hAnsi="宋体" w:eastAsia="宋体" w:cs="宋体"/>
              <w:szCs w:val="24"/>
            </w:rPr>
            <w:t>第四章. 其他采购要求</w:t>
          </w:r>
          <w:r>
            <w:tab/>
          </w:r>
          <w:r>
            <w:fldChar w:fldCharType="begin"/>
          </w:r>
          <w:r>
            <w:instrText xml:space="preserve"> PAGEREF _Toc359 \h </w:instrText>
          </w:r>
          <w:r>
            <w:fldChar w:fldCharType="separate"/>
          </w:r>
          <w:r>
            <w:t>18</w:t>
          </w:r>
          <w:r>
            <w:fldChar w:fldCharType="end"/>
          </w:r>
          <w:r>
            <w:fldChar w:fldCharType="end"/>
          </w:r>
        </w:p>
        <w:p w14:paraId="02E6E91F">
          <w:pPr>
            <w:pStyle w:val="28"/>
            <w:tabs>
              <w:tab w:val="right" w:leader="dot" w:pos="8306"/>
            </w:tabs>
          </w:pPr>
          <w:r>
            <w:fldChar w:fldCharType="begin"/>
          </w:r>
          <w:r>
            <w:instrText xml:space="preserve"> HYPERLINK \l _Toc16804 </w:instrText>
          </w:r>
          <w:r>
            <w:fldChar w:fldCharType="separate"/>
          </w:r>
          <w:r>
            <w:rPr>
              <w:rFonts w:hint="eastAsia" w:ascii="宋体" w:hAnsi="宋体" w:eastAsia="宋体" w:cs="宋体"/>
            </w:rPr>
            <w:t>4.1售后服务要求</w:t>
          </w:r>
          <w:r>
            <w:tab/>
          </w:r>
          <w:r>
            <w:fldChar w:fldCharType="begin"/>
          </w:r>
          <w:r>
            <w:instrText xml:space="preserve"> PAGEREF _Toc16804 \h </w:instrText>
          </w:r>
          <w:r>
            <w:fldChar w:fldCharType="separate"/>
          </w:r>
          <w:r>
            <w:t>18</w:t>
          </w:r>
          <w:r>
            <w:fldChar w:fldCharType="end"/>
          </w:r>
          <w:r>
            <w:fldChar w:fldCharType="end"/>
          </w:r>
        </w:p>
        <w:p w14:paraId="41CE2A65">
          <w:pPr>
            <w:pStyle w:val="28"/>
            <w:tabs>
              <w:tab w:val="right" w:leader="dot" w:pos="8306"/>
            </w:tabs>
          </w:pPr>
          <w:r>
            <w:fldChar w:fldCharType="begin"/>
          </w:r>
          <w:r>
            <w:instrText xml:space="preserve"> HYPERLINK \l _Toc31349 </w:instrText>
          </w:r>
          <w:r>
            <w:fldChar w:fldCharType="separate"/>
          </w:r>
          <w:r>
            <w:rPr>
              <w:rFonts w:hint="eastAsia" w:ascii="宋体" w:hAnsi="宋体" w:eastAsia="宋体" w:cs="宋体"/>
            </w:rPr>
            <w:t>4.2应急响应要求</w:t>
          </w:r>
          <w:r>
            <w:tab/>
          </w:r>
          <w:r>
            <w:fldChar w:fldCharType="begin"/>
          </w:r>
          <w:r>
            <w:instrText xml:space="preserve"> PAGEREF _Toc31349 \h </w:instrText>
          </w:r>
          <w:r>
            <w:fldChar w:fldCharType="separate"/>
          </w:r>
          <w:r>
            <w:t>19</w:t>
          </w:r>
          <w:r>
            <w:fldChar w:fldCharType="end"/>
          </w:r>
          <w:r>
            <w:fldChar w:fldCharType="end"/>
          </w:r>
        </w:p>
        <w:p w14:paraId="17C66BC1">
          <w:pPr>
            <w:pStyle w:val="28"/>
            <w:tabs>
              <w:tab w:val="right" w:leader="dot" w:pos="8306"/>
            </w:tabs>
          </w:pPr>
          <w:r>
            <w:fldChar w:fldCharType="begin"/>
          </w:r>
          <w:r>
            <w:instrText xml:space="preserve"> HYPERLINK \l _Toc1558 </w:instrText>
          </w:r>
          <w:r>
            <w:fldChar w:fldCharType="separate"/>
          </w:r>
          <w:r>
            <w:rPr>
              <w:rFonts w:hint="eastAsia" w:ascii="宋体" w:hAnsi="宋体" w:eastAsia="宋体" w:cs="宋体"/>
            </w:rPr>
            <w:t>4.3培训要求</w:t>
          </w:r>
          <w:r>
            <w:tab/>
          </w:r>
          <w:r>
            <w:fldChar w:fldCharType="begin"/>
          </w:r>
          <w:r>
            <w:instrText xml:space="preserve"> PAGEREF _Toc1558 \h </w:instrText>
          </w:r>
          <w:r>
            <w:fldChar w:fldCharType="separate"/>
          </w:r>
          <w:r>
            <w:t>19</w:t>
          </w:r>
          <w:r>
            <w:fldChar w:fldCharType="end"/>
          </w:r>
          <w:r>
            <w:fldChar w:fldCharType="end"/>
          </w:r>
        </w:p>
        <w:p w14:paraId="7052EB8D">
          <w:pPr>
            <w:pStyle w:val="28"/>
            <w:tabs>
              <w:tab w:val="right" w:leader="dot" w:pos="8306"/>
            </w:tabs>
          </w:pPr>
          <w:r>
            <w:fldChar w:fldCharType="begin"/>
          </w:r>
          <w:r>
            <w:instrText xml:space="preserve"> HYPERLINK \l _Toc6373 </w:instrText>
          </w:r>
          <w:r>
            <w:fldChar w:fldCharType="separate"/>
          </w:r>
          <w:r>
            <w:rPr>
              <w:rFonts w:hint="eastAsia" w:ascii="宋体" w:hAnsi="宋体" w:eastAsia="宋体" w:cs="宋体"/>
            </w:rPr>
            <w:t>4.4验收要求</w:t>
          </w:r>
          <w:r>
            <w:tab/>
          </w:r>
          <w:r>
            <w:fldChar w:fldCharType="begin"/>
          </w:r>
          <w:r>
            <w:instrText xml:space="preserve"> PAGEREF _Toc6373 \h </w:instrText>
          </w:r>
          <w:r>
            <w:fldChar w:fldCharType="separate"/>
          </w:r>
          <w:r>
            <w:t>19</w:t>
          </w:r>
          <w:r>
            <w:fldChar w:fldCharType="end"/>
          </w:r>
          <w:r>
            <w:fldChar w:fldCharType="end"/>
          </w:r>
        </w:p>
        <w:p w14:paraId="3431245A">
          <w:pPr>
            <w:pStyle w:val="28"/>
            <w:tabs>
              <w:tab w:val="right" w:leader="dot" w:pos="8306"/>
            </w:tabs>
          </w:pPr>
          <w:r>
            <w:fldChar w:fldCharType="begin"/>
          </w:r>
          <w:r>
            <w:instrText xml:space="preserve"> HYPERLINK \l _Toc30613 </w:instrText>
          </w:r>
          <w:r>
            <w:fldChar w:fldCharType="separate"/>
          </w:r>
          <w:r>
            <w:rPr>
              <w:rFonts w:hint="eastAsia" w:ascii="宋体" w:hAnsi="宋体" w:eastAsia="宋体" w:cs="宋体"/>
            </w:rPr>
            <w:t>4.5进度要求</w:t>
          </w:r>
          <w:r>
            <w:tab/>
          </w:r>
          <w:r>
            <w:fldChar w:fldCharType="begin"/>
          </w:r>
          <w:r>
            <w:instrText xml:space="preserve"> PAGEREF _Toc30613 \h </w:instrText>
          </w:r>
          <w:r>
            <w:fldChar w:fldCharType="separate"/>
          </w:r>
          <w:r>
            <w:t>20</w:t>
          </w:r>
          <w:r>
            <w:fldChar w:fldCharType="end"/>
          </w:r>
          <w:r>
            <w:fldChar w:fldCharType="end"/>
          </w:r>
        </w:p>
        <w:p w14:paraId="72816716">
          <w:pPr>
            <w:pStyle w:val="28"/>
            <w:tabs>
              <w:tab w:val="right" w:leader="dot" w:pos="8306"/>
            </w:tabs>
          </w:pPr>
          <w:r>
            <w:fldChar w:fldCharType="begin"/>
          </w:r>
          <w:r>
            <w:instrText xml:space="preserve"> HYPERLINK \l _Toc11672 </w:instrText>
          </w:r>
          <w:r>
            <w:fldChar w:fldCharType="separate"/>
          </w:r>
          <w:r>
            <w:rPr>
              <w:rFonts w:hint="eastAsia" w:ascii="宋体" w:hAnsi="宋体" w:eastAsia="宋体" w:cs="宋体"/>
            </w:rPr>
            <w:t>4.6项目团队人员要求</w:t>
          </w:r>
          <w:r>
            <w:tab/>
          </w:r>
          <w:r>
            <w:fldChar w:fldCharType="begin"/>
          </w:r>
          <w:r>
            <w:instrText xml:space="preserve"> PAGEREF _Toc11672 \h </w:instrText>
          </w:r>
          <w:r>
            <w:fldChar w:fldCharType="separate"/>
          </w:r>
          <w:r>
            <w:t>20</w:t>
          </w:r>
          <w:r>
            <w:fldChar w:fldCharType="end"/>
          </w:r>
          <w:r>
            <w:fldChar w:fldCharType="end"/>
          </w:r>
        </w:p>
        <w:p w14:paraId="18A9DC04">
          <w:pPr>
            <w:pStyle w:val="28"/>
            <w:tabs>
              <w:tab w:val="right" w:leader="dot" w:pos="8306"/>
            </w:tabs>
          </w:pPr>
          <w:r>
            <w:fldChar w:fldCharType="begin"/>
          </w:r>
          <w:r>
            <w:instrText xml:space="preserve"> HYPERLINK \l _Toc3849 </w:instrText>
          </w:r>
          <w:r>
            <w:fldChar w:fldCharType="separate"/>
          </w:r>
          <w:r>
            <w:rPr>
              <w:rFonts w:hint="eastAsia" w:ascii="宋体" w:hAnsi="宋体" w:eastAsia="宋体" w:cs="宋体"/>
            </w:rPr>
            <w:t>4.7等级保护要求</w:t>
          </w:r>
          <w:r>
            <w:tab/>
          </w:r>
          <w:r>
            <w:fldChar w:fldCharType="begin"/>
          </w:r>
          <w:r>
            <w:instrText xml:space="preserve"> PAGEREF _Toc3849 \h </w:instrText>
          </w:r>
          <w:r>
            <w:fldChar w:fldCharType="separate"/>
          </w:r>
          <w:r>
            <w:t>21</w:t>
          </w:r>
          <w:r>
            <w:fldChar w:fldCharType="end"/>
          </w:r>
          <w:r>
            <w:fldChar w:fldCharType="end"/>
          </w:r>
        </w:p>
        <w:p w14:paraId="0ECF802F">
          <w:pPr>
            <w:pStyle w:val="28"/>
            <w:tabs>
              <w:tab w:val="right" w:leader="dot" w:pos="8306"/>
            </w:tabs>
          </w:pPr>
          <w:r>
            <w:fldChar w:fldCharType="begin"/>
          </w:r>
          <w:r>
            <w:instrText xml:space="preserve"> HYPERLINK \l _Toc13117 </w:instrText>
          </w:r>
          <w:r>
            <w:fldChar w:fldCharType="separate"/>
          </w:r>
          <w:r>
            <w:rPr>
              <w:rFonts w:hint="eastAsia" w:ascii="宋体" w:hAnsi="宋体" w:eastAsia="宋体" w:cs="宋体"/>
            </w:rPr>
            <w:t>4.8软件测评要求</w:t>
          </w:r>
          <w:r>
            <w:tab/>
          </w:r>
          <w:r>
            <w:fldChar w:fldCharType="begin"/>
          </w:r>
          <w:r>
            <w:instrText xml:space="preserve"> PAGEREF _Toc13117 \h </w:instrText>
          </w:r>
          <w:r>
            <w:fldChar w:fldCharType="separate"/>
          </w:r>
          <w:r>
            <w:t>21</w:t>
          </w:r>
          <w:r>
            <w:fldChar w:fldCharType="end"/>
          </w:r>
          <w:r>
            <w:fldChar w:fldCharType="end"/>
          </w:r>
        </w:p>
        <w:p w14:paraId="587F890B">
          <w:pPr>
            <w:pStyle w:val="28"/>
            <w:tabs>
              <w:tab w:val="right" w:leader="dot" w:pos="8306"/>
            </w:tabs>
          </w:pPr>
          <w:r>
            <w:fldChar w:fldCharType="begin"/>
          </w:r>
          <w:r>
            <w:instrText xml:space="preserve"> HYPERLINK \l _Toc13370 </w:instrText>
          </w:r>
          <w:r>
            <w:fldChar w:fldCharType="separate"/>
          </w:r>
          <w:r>
            <w:rPr>
              <w:rFonts w:hint="eastAsia" w:ascii="宋体" w:hAnsi="宋体" w:eastAsia="宋体" w:cs="宋体"/>
            </w:rPr>
            <w:t>4.9安全测评要求</w:t>
          </w:r>
          <w:r>
            <w:tab/>
          </w:r>
          <w:r>
            <w:fldChar w:fldCharType="begin"/>
          </w:r>
          <w:r>
            <w:instrText xml:space="preserve"> PAGEREF _Toc13370 \h </w:instrText>
          </w:r>
          <w:r>
            <w:fldChar w:fldCharType="separate"/>
          </w:r>
          <w:r>
            <w:t>21</w:t>
          </w:r>
          <w:r>
            <w:fldChar w:fldCharType="end"/>
          </w:r>
          <w:r>
            <w:fldChar w:fldCharType="end"/>
          </w:r>
        </w:p>
        <w:p w14:paraId="4E73ACE9">
          <w:pPr>
            <w:pStyle w:val="28"/>
            <w:tabs>
              <w:tab w:val="right" w:leader="dot" w:pos="8306"/>
            </w:tabs>
          </w:pPr>
          <w:r>
            <w:fldChar w:fldCharType="begin"/>
          </w:r>
          <w:r>
            <w:instrText xml:space="preserve"> HYPERLINK \l _Toc21226 </w:instrText>
          </w:r>
          <w:r>
            <w:fldChar w:fldCharType="separate"/>
          </w:r>
          <w:r>
            <w:rPr>
              <w:rFonts w:hint="eastAsia" w:ascii="宋体" w:hAnsi="宋体" w:eastAsia="宋体" w:cs="宋体"/>
            </w:rPr>
            <w:t>4.10商业密码应用需求</w:t>
          </w:r>
          <w:r>
            <w:tab/>
          </w:r>
          <w:r>
            <w:fldChar w:fldCharType="begin"/>
          </w:r>
          <w:r>
            <w:instrText xml:space="preserve"> PAGEREF _Toc21226 \h </w:instrText>
          </w:r>
          <w:r>
            <w:fldChar w:fldCharType="separate"/>
          </w:r>
          <w:r>
            <w:t>21</w:t>
          </w:r>
          <w:r>
            <w:fldChar w:fldCharType="end"/>
          </w:r>
          <w:r>
            <w:fldChar w:fldCharType="end"/>
          </w:r>
        </w:p>
        <w:p w14:paraId="4BEA2EA8">
          <w:pPr>
            <w:pStyle w:val="28"/>
            <w:tabs>
              <w:tab w:val="right" w:leader="dot" w:pos="8306"/>
            </w:tabs>
          </w:pPr>
          <w:r>
            <w:fldChar w:fldCharType="begin"/>
          </w:r>
          <w:r>
            <w:instrText xml:space="preserve"> HYPERLINK \l _Toc4754 </w:instrText>
          </w:r>
          <w:r>
            <w:fldChar w:fldCharType="separate"/>
          </w:r>
          <w:r>
            <w:rPr>
              <w:rFonts w:hint="eastAsia" w:ascii="宋体" w:hAnsi="宋体" w:eastAsia="宋体" w:cs="宋体"/>
            </w:rPr>
            <w:t>4.11技术文件要求</w:t>
          </w:r>
          <w:r>
            <w:tab/>
          </w:r>
          <w:r>
            <w:fldChar w:fldCharType="begin"/>
          </w:r>
          <w:r>
            <w:instrText xml:space="preserve"> PAGEREF _Toc4754 \h </w:instrText>
          </w:r>
          <w:r>
            <w:fldChar w:fldCharType="separate"/>
          </w:r>
          <w:r>
            <w:t>21</w:t>
          </w:r>
          <w:r>
            <w:fldChar w:fldCharType="end"/>
          </w:r>
          <w:r>
            <w:fldChar w:fldCharType="end"/>
          </w:r>
        </w:p>
        <w:p w14:paraId="19BB83B7">
          <w:pPr>
            <w:pStyle w:val="28"/>
            <w:tabs>
              <w:tab w:val="right" w:leader="dot" w:pos="8306"/>
            </w:tabs>
          </w:pPr>
          <w:r>
            <w:fldChar w:fldCharType="begin"/>
          </w:r>
          <w:r>
            <w:instrText xml:space="preserve"> HYPERLINK \l _Toc15974 </w:instrText>
          </w:r>
          <w:r>
            <w:fldChar w:fldCharType="separate"/>
          </w:r>
          <w:r>
            <w:rPr>
              <w:rFonts w:hint="eastAsia" w:ascii="宋体" w:hAnsi="宋体" w:eastAsia="宋体" w:cs="宋体"/>
            </w:rPr>
            <w:t>4.12团队人员与供应商综合能力要求</w:t>
          </w:r>
          <w:r>
            <w:tab/>
          </w:r>
          <w:r>
            <w:fldChar w:fldCharType="begin"/>
          </w:r>
          <w:r>
            <w:instrText xml:space="preserve"> PAGEREF _Toc15974 \h </w:instrText>
          </w:r>
          <w:r>
            <w:fldChar w:fldCharType="separate"/>
          </w:r>
          <w:r>
            <w:t>22</w:t>
          </w:r>
          <w:r>
            <w:fldChar w:fldCharType="end"/>
          </w:r>
          <w:r>
            <w:fldChar w:fldCharType="end"/>
          </w:r>
        </w:p>
        <w:p w14:paraId="3EB1984E">
          <w:pPr>
            <w:pStyle w:val="28"/>
            <w:tabs>
              <w:tab w:val="right" w:leader="dot" w:pos="8306"/>
            </w:tabs>
          </w:pPr>
          <w:r>
            <w:fldChar w:fldCharType="begin"/>
          </w:r>
          <w:r>
            <w:instrText xml:space="preserve"> HYPERLINK \l _Toc181 </w:instrText>
          </w:r>
          <w:r>
            <w:fldChar w:fldCharType="separate"/>
          </w:r>
          <w:r>
            <w:rPr>
              <w:rFonts w:hint="eastAsia" w:ascii="宋体" w:hAnsi="宋体" w:eastAsia="宋体" w:cs="宋体"/>
            </w:rPr>
            <w:t>4.13供应商管理要求</w:t>
          </w:r>
          <w:r>
            <w:tab/>
          </w:r>
          <w:r>
            <w:fldChar w:fldCharType="begin"/>
          </w:r>
          <w:r>
            <w:instrText xml:space="preserve"> PAGEREF _Toc181 \h </w:instrText>
          </w:r>
          <w:r>
            <w:fldChar w:fldCharType="separate"/>
          </w:r>
          <w:r>
            <w:t>22</w:t>
          </w:r>
          <w:r>
            <w:fldChar w:fldCharType="end"/>
          </w:r>
          <w:r>
            <w:fldChar w:fldCharType="end"/>
          </w:r>
        </w:p>
        <w:p w14:paraId="57928E8E">
          <w:pPr>
            <w:pStyle w:val="28"/>
            <w:tabs>
              <w:tab w:val="right" w:leader="dot" w:pos="8306"/>
            </w:tabs>
          </w:pPr>
          <w:r>
            <w:fldChar w:fldCharType="begin"/>
          </w:r>
          <w:r>
            <w:instrText xml:space="preserve"> HYPERLINK \l _Toc5586 </w:instrText>
          </w:r>
          <w:r>
            <w:fldChar w:fldCharType="separate"/>
          </w:r>
          <w:r>
            <w:rPr>
              <w:rFonts w:hint="eastAsia" w:ascii="宋体" w:hAnsi="宋体" w:eastAsia="宋体" w:cs="宋体"/>
            </w:rPr>
            <w:t>4.14知识产权及保密要求</w:t>
          </w:r>
          <w:r>
            <w:tab/>
          </w:r>
          <w:r>
            <w:fldChar w:fldCharType="begin"/>
          </w:r>
          <w:r>
            <w:instrText xml:space="preserve"> PAGEREF _Toc5586 \h </w:instrText>
          </w:r>
          <w:r>
            <w:fldChar w:fldCharType="separate"/>
          </w:r>
          <w:r>
            <w:t>23</w:t>
          </w:r>
          <w:r>
            <w:fldChar w:fldCharType="end"/>
          </w:r>
          <w:r>
            <w:fldChar w:fldCharType="end"/>
          </w:r>
        </w:p>
        <w:p w14:paraId="4FA11254">
          <w:pPr>
            <w:pStyle w:val="28"/>
            <w:tabs>
              <w:tab w:val="right" w:leader="dot" w:pos="8306"/>
            </w:tabs>
          </w:pPr>
          <w:r>
            <w:fldChar w:fldCharType="begin"/>
          </w:r>
          <w:r>
            <w:instrText xml:space="preserve"> HYPERLINK \l _Toc31246 </w:instrText>
          </w:r>
          <w:r>
            <w:fldChar w:fldCharType="separate"/>
          </w:r>
          <w:r>
            <w:rPr>
              <w:rFonts w:hint="eastAsia" w:ascii="宋体" w:hAnsi="宋体" w:eastAsia="宋体" w:cs="宋体"/>
            </w:rPr>
            <w:t>4.15项目保密要求</w:t>
          </w:r>
          <w:r>
            <w:tab/>
          </w:r>
          <w:r>
            <w:fldChar w:fldCharType="begin"/>
          </w:r>
          <w:r>
            <w:instrText xml:space="preserve"> PAGEREF _Toc31246 \h </w:instrText>
          </w:r>
          <w:r>
            <w:fldChar w:fldCharType="separate"/>
          </w:r>
          <w:r>
            <w:t>23</w:t>
          </w:r>
          <w:r>
            <w:fldChar w:fldCharType="end"/>
          </w:r>
          <w:r>
            <w:fldChar w:fldCharType="end"/>
          </w:r>
        </w:p>
        <w:p w14:paraId="40E8F2B6">
          <w:pPr>
            <w:pStyle w:val="28"/>
            <w:tabs>
              <w:tab w:val="right" w:leader="dot" w:pos="8306"/>
            </w:tabs>
          </w:pPr>
          <w:r>
            <w:fldChar w:fldCharType="begin"/>
          </w:r>
          <w:r>
            <w:instrText xml:space="preserve"> HYPERLINK \l _Toc31636 </w:instrText>
          </w:r>
          <w:r>
            <w:fldChar w:fldCharType="separate"/>
          </w:r>
          <w:r>
            <w:rPr>
              <w:rFonts w:hint="eastAsia" w:ascii="宋体" w:hAnsi="宋体" w:eastAsia="宋体" w:cs="宋体"/>
            </w:rPr>
            <w:t>4.16临时账号等使用要求</w:t>
          </w:r>
          <w:r>
            <w:tab/>
          </w:r>
          <w:r>
            <w:fldChar w:fldCharType="begin"/>
          </w:r>
          <w:r>
            <w:instrText xml:space="preserve"> PAGEREF _Toc31636 \h </w:instrText>
          </w:r>
          <w:r>
            <w:fldChar w:fldCharType="separate"/>
          </w:r>
          <w:r>
            <w:t>24</w:t>
          </w:r>
          <w:r>
            <w:fldChar w:fldCharType="end"/>
          </w:r>
          <w:r>
            <w:fldChar w:fldCharType="end"/>
          </w:r>
        </w:p>
        <w:p w14:paraId="10A87D41">
          <w:pPr>
            <w:pStyle w:val="28"/>
            <w:tabs>
              <w:tab w:val="right" w:leader="dot" w:pos="8306"/>
            </w:tabs>
          </w:pPr>
          <w:r>
            <w:fldChar w:fldCharType="begin"/>
          </w:r>
          <w:r>
            <w:instrText xml:space="preserve"> HYPERLINK \l _Toc24959 </w:instrText>
          </w:r>
          <w:r>
            <w:fldChar w:fldCharType="separate"/>
          </w:r>
          <w:r>
            <w:rPr>
              <w:rFonts w:hint="eastAsia" w:ascii="宋体" w:hAnsi="宋体" w:eastAsia="宋体" w:cs="宋体"/>
            </w:rPr>
            <w:t>4.17</w:t>
          </w:r>
          <w:r>
            <w:rPr>
              <w:rFonts w:ascii="宋体" w:hAnsi="宋体" w:eastAsia="宋体" w:cs="宋体"/>
            </w:rPr>
            <w:t>项目的变更、解除和终止</w:t>
          </w:r>
          <w:r>
            <w:tab/>
          </w:r>
          <w:r>
            <w:fldChar w:fldCharType="begin"/>
          </w:r>
          <w:r>
            <w:instrText xml:space="preserve"> PAGEREF _Toc24959 \h </w:instrText>
          </w:r>
          <w:r>
            <w:fldChar w:fldCharType="separate"/>
          </w:r>
          <w:r>
            <w:t>24</w:t>
          </w:r>
          <w:r>
            <w:fldChar w:fldCharType="end"/>
          </w:r>
          <w:r>
            <w:fldChar w:fldCharType="end"/>
          </w:r>
        </w:p>
        <w:p w14:paraId="161C4918">
          <w:pPr>
            <w:pStyle w:val="28"/>
            <w:tabs>
              <w:tab w:val="right" w:leader="dot" w:pos="8306"/>
            </w:tabs>
          </w:pPr>
          <w:r>
            <w:fldChar w:fldCharType="begin"/>
          </w:r>
          <w:r>
            <w:instrText xml:space="preserve"> HYPERLINK \l _Toc20664 </w:instrText>
          </w:r>
          <w:r>
            <w:fldChar w:fldCharType="separate"/>
          </w:r>
          <w:r>
            <w:rPr>
              <w:rFonts w:hint="eastAsia" w:ascii="宋体" w:hAnsi="宋体" w:eastAsia="宋体" w:cs="宋体"/>
            </w:rPr>
            <w:t>4.18.第三方协调及接口要求</w:t>
          </w:r>
          <w:r>
            <w:tab/>
          </w:r>
          <w:r>
            <w:fldChar w:fldCharType="begin"/>
          </w:r>
          <w:r>
            <w:instrText xml:space="preserve"> PAGEREF _Toc20664 \h </w:instrText>
          </w:r>
          <w:r>
            <w:fldChar w:fldCharType="separate"/>
          </w:r>
          <w:r>
            <w:t>24</w:t>
          </w:r>
          <w:r>
            <w:fldChar w:fldCharType="end"/>
          </w:r>
          <w:r>
            <w:fldChar w:fldCharType="end"/>
          </w:r>
        </w:p>
        <w:p w14:paraId="65E6F7B6">
          <w:pPr>
            <w:spacing w:after="156"/>
          </w:pPr>
          <w:r>
            <w:fldChar w:fldCharType="end"/>
          </w:r>
        </w:p>
      </w:sdtContent>
    </w:sdt>
    <w:p w14:paraId="68B9FC72">
      <w:pPr>
        <w:pStyle w:val="41"/>
        <w:spacing w:after="156"/>
        <w:ind w:firstLine="0" w:firstLineChars="0"/>
        <w:rPr>
          <w:rFonts w:hint="eastAsia"/>
        </w:rPr>
        <w:sectPr>
          <w:footerReference r:id="rId12" w:type="first"/>
          <w:footerReference r:id="rId11" w:type="default"/>
          <w:pgSz w:w="11906" w:h="16838"/>
          <w:pgMar w:top="1440" w:right="1800" w:bottom="1440" w:left="1800" w:header="851" w:footer="992" w:gutter="0"/>
          <w:pgNumType w:start="1"/>
          <w:cols w:space="425" w:num="1"/>
          <w:titlePg/>
          <w:docGrid w:type="lines" w:linePitch="312" w:charSpace="0"/>
        </w:sectPr>
      </w:pPr>
    </w:p>
    <w:p w14:paraId="4216A0DE">
      <w:pPr>
        <w:pStyle w:val="2"/>
        <w:numPr>
          <w:ilvl w:val="0"/>
          <w:numId w:val="3"/>
        </w:numPr>
        <w:spacing w:before="156" w:after="156" w:line="480" w:lineRule="exact"/>
        <w:ind w:left="426" w:hanging="425" w:hangingChars="177"/>
        <w:rPr>
          <w:rFonts w:hint="eastAsia" w:ascii="宋体" w:hAnsi="宋体" w:eastAsia="宋体"/>
          <w:sz w:val="24"/>
          <w:szCs w:val="24"/>
        </w:rPr>
      </w:pPr>
      <w:bookmarkStart w:id="12" w:name="_Toc19750"/>
      <w:bookmarkStart w:id="13" w:name="_Toc1118522578_WPSOffice_Level2"/>
      <w:bookmarkStart w:id="14" w:name="_Toc1308163045_WPSOffice_Level1"/>
      <w:bookmarkStart w:id="15" w:name="_Toc5907"/>
      <w:r>
        <w:rPr>
          <w:rFonts w:hint="eastAsia" w:ascii="宋体" w:hAnsi="宋体" w:eastAsia="宋体"/>
          <w:sz w:val="24"/>
          <w:szCs w:val="24"/>
        </w:rPr>
        <w:t>项目概述</w:t>
      </w:r>
      <w:bookmarkEnd w:id="12"/>
      <w:bookmarkEnd w:id="13"/>
      <w:bookmarkEnd w:id="14"/>
      <w:bookmarkEnd w:id="15"/>
    </w:p>
    <w:p w14:paraId="79263D5C">
      <w:pPr>
        <w:pStyle w:val="3"/>
        <w:numPr>
          <w:ilvl w:val="1"/>
          <w:numId w:val="0"/>
        </w:numPr>
        <w:spacing w:after="156" w:line="480" w:lineRule="exact"/>
        <w:ind w:leftChars="0"/>
        <w:rPr>
          <w:rFonts w:hint="eastAsia" w:asciiTheme="minorEastAsia" w:hAnsiTheme="minorEastAsia" w:eastAsiaTheme="minorEastAsia" w:cstheme="minorEastAsia"/>
          <w:b/>
          <w:bCs/>
          <w:sz w:val="24"/>
        </w:rPr>
      </w:pPr>
      <w:bookmarkStart w:id="16" w:name="_Toc24428"/>
      <w:bookmarkStart w:id="17" w:name="_Toc24355"/>
      <w:r>
        <w:rPr>
          <w:rFonts w:hint="eastAsia" w:asciiTheme="minorEastAsia" w:hAnsiTheme="minorEastAsia" w:eastAsiaTheme="minorEastAsia" w:cstheme="minorEastAsia"/>
          <w:b/>
          <w:bCs/>
          <w:sz w:val="24"/>
          <w:lang w:val="en-US" w:eastAsia="zh-CN"/>
        </w:rPr>
        <w:t>1.1.</w:t>
      </w:r>
      <w:r>
        <w:rPr>
          <w:rFonts w:hint="eastAsia" w:asciiTheme="minorEastAsia" w:hAnsiTheme="minorEastAsia" w:eastAsiaTheme="minorEastAsia" w:cstheme="minorEastAsia"/>
          <w:b/>
          <w:bCs/>
          <w:sz w:val="24"/>
        </w:rPr>
        <w:t>项目建设背景</w:t>
      </w:r>
      <w:bookmarkEnd w:id="16"/>
      <w:bookmarkEnd w:id="17"/>
    </w:p>
    <w:p w14:paraId="4B0CF506">
      <w:pPr>
        <w:pStyle w:val="40"/>
        <w:rPr>
          <w:rFonts w:hint="eastAsia"/>
        </w:rPr>
      </w:pPr>
      <w:r>
        <w:rPr>
          <w:rFonts w:hint="eastAsia"/>
        </w:rPr>
        <w:t>上海市保健医疗中心地处无锡，隶属于上海市卫生健康委、上海市保健局领导，集医疗保健、康复治疗、健康体检等服务于一体。近年来，医院积极推进数字化转型，利用移动互联网、人工智能、物联网等新技术，远程为服务对象提供优质医疗服务；围绕健康管理学科发展需要，整合数据资源，建设一站式健康管理服务平台，为服务对象提供全流程、全周期、个性化的精准健康管理服务。</w:t>
      </w:r>
    </w:p>
    <w:p w14:paraId="4B20B1BC">
      <w:pPr>
        <w:pStyle w:val="40"/>
        <w:rPr>
          <w:rFonts w:hint="eastAsia"/>
        </w:rPr>
      </w:pPr>
      <w:r>
        <w:rPr>
          <w:rFonts w:hint="eastAsia"/>
        </w:rPr>
        <w:t>上海市保健医疗中心互联网医院于2022年11月完成建设，并投入运营。医院依托互联网医院门户，以长三角（上海）智慧互联网医院平台联动，实现上海优质医疗资源、医疗数据互联互通，作为上海优质医疗资源面向长三角地区的服务窗口之一，开展远程医疗协同业务、互联网医疗业务功能。依托多级医疗服务体系，以新型智慧分级诊疗服务体系，最大限度发挥医疗效能，实现“数据多跑路、群众少跑腿”，降低就医成本，避免重复检验检查。</w:t>
      </w:r>
    </w:p>
    <w:p w14:paraId="404F48DF">
      <w:pPr>
        <w:pStyle w:val="40"/>
        <w:rPr>
          <w:rFonts w:hint="eastAsia"/>
        </w:rPr>
      </w:pPr>
      <w:r>
        <w:rPr>
          <w:rFonts w:hint="eastAsia"/>
        </w:rPr>
        <w:t>本项目将贯彻落实国家有关要求，在完善医院互联网医院功能布局，提升医院互联网医院服务智慧化、便捷度水平的同时，实现互联网医院XC改造适配。</w:t>
      </w:r>
    </w:p>
    <w:p w14:paraId="3CAB691B">
      <w:pPr>
        <w:pStyle w:val="3"/>
        <w:numPr>
          <w:ilvl w:val="1"/>
          <w:numId w:val="0"/>
        </w:numPr>
        <w:spacing w:after="156" w:line="480" w:lineRule="exact"/>
        <w:ind w:leftChars="0"/>
        <w:rPr>
          <w:rFonts w:hint="eastAsia" w:asciiTheme="minorEastAsia" w:hAnsiTheme="minorEastAsia" w:eastAsiaTheme="minorEastAsia" w:cstheme="minorEastAsia"/>
          <w:b/>
          <w:bCs/>
          <w:sz w:val="24"/>
        </w:rPr>
      </w:pPr>
      <w:bookmarkStart w:id="18" w:name="_Toc8852"/>
      <w:bookmarkStart w:id="19" w:name="_Toc22810"/>
      <w:r>
        <w:rPr>
          <w:rFonts w:hint="eastAsia" w:asciiTheme="minorEastAsia" w:hAnsiTheme="minorEastAsia" w:eastAsiaTheme="minorEastAsia" w:cstheme="minorEastAsia"/>
          <w:b/>
          <w:bCs/>
          <w:sz w:val="24"/>
          <w:lang w:val="en-US" w:eastAsia="zh-CN"/>
        </w:rPr>
        <w:t>1.2.</w:t>
      </w:r>
      <w:r>
        <w:rPr>
          <w:rFonts w:hint="eastAsia" w:asciiTheme="minorEastAsia" w:hAnsiTheme="minorEastAsia" w:eastAsiaTheme="minorEastAsia" w:cstheme="minorEastAsia"/>
          <w:b/>
          <w:bCs/>
          <w:sz w:val="24"/>
        </w:rPr>
        <w:t>建设目标</w:t>
      </w:r>
      <w:bookmarkEnd w:id="18"/>
      <w:bookmarkEnd w:id="19"/>
    </w:p>
    <w:p w14:paraId="16EBFF56">
      <w:pPr>
        <w:pStyle w:val="40"/>
        <w:rPr>
          <w:rFonts w:hint="eastAsia"/>
        </w:rPr>
      </w:pPr>
      <w:r>
        <w:rPr>
          <w:rFonts w:hint="eastAsia"/>
        </w:rPr>
        <w:t>本项目遵循国家和上海市的统一规划和统一部署要求，以构建自主可控、安全合规、服务智能的互联网医疗平台为目标，立足于互联网医院现有信息化环境，按照“能替尽替、真替真用”的原则，使医院信息化基础设施符合国产化标准，积极促进互联网医院应用需求与国内信息技术产业技术发展协同共进，加强互联网医院业务开展中的数据安全和隐私保护，同时以互联网医院智慧引导、基于患者分组的队列计划等特色服务建设，提高本院互联网医院服务水平，输出安全可信、高效智能的互联网诊疗服务。</w:t>
      </w:r>
    </w:p>
    <w:p w14:paraId="76AF4780">
      <w:pPr>
        <w:pStyle w:val="3"/>
        <w:numPr>
          <w:ilvl w:val="1"/>
          <w:numId w:val="0"/>
        </w:numPr>
        <w:spacing w:after="156" w:line="480" w:lineRule="exact"/>
        <w:ind w:leftChars="0"/>
        <w:rPr>
          <w:rFonts w:hint="eastAsia" w:asciiTheme="minorEastAsia" w:hAnsiTheme="minorEastAsia" w:eastAsiaTheme="minorEastAsia" w:cstheme="minorEastAsia"/>
          <w:b/>
          <w:bCs/>
          <w:sz w:val="24"/>
        </w:rPr>
      </w:pPr>
      <w:bookmarkStart w:id="20" w:name="_Toc12217"/>
      <w:r>
        <w:rPr>
          <w:rFonts w:hint="eastAsia" w:asciiTheme="minorEastAsia" w:hAnsiTheme="minorEastAsia" w:eastAsiaTheme="minorEastAsia" w:cstheme="minorEastAsia"/>
          <w:b/>
          <w:bCs/>
          <w:sz w:val="24"/>
          <w:lang w:val="en-US" w:eastAsia="zh-CN"/>
        </w:rPr>
        <w:t>1.3.</w:t>
      </w:r>
      <w:r>
        <w:rPr>
          <w:rFonts w:hint="eastAsia" w:asciiTheme="minorEastAsia" w:hAnsiTheme="minorEastAsia" w:eastAsiaTheme="minorEastAsia" w:cstheme="minorEastAsia"/>
          <w:b/>
          <w:bCs/>
          <w:sz w:val="24"/>
        </w:rPr>
        <w:t>建设内容</w:t>
      </w:r>
      <w:bookmarkEnd w:id="20"/>
    </w:p>
    <w:p w14:paraId="3D5701B8">
      <w:pPr>
        <w:pStyle w:val="40"/>
        <w:rPr>
          <w:rFonts w:hint="eastAsia"/>
        </w:rPr>
      </w:pPr>
      <w:r>
        <w:rPr>
          <w:rFonts w:hint="eastAsia"/>
        </w:rPr>
        <w:t>1.</w:t>
      </w:r>
      <w:r>
        <w:rPr>
          <w:rFonts w:hint="eastAsia"/>
        </w:rPr>
        <w:tab/>
      </w:r>
      <w:r>
        <w:rPr>
          <w:rFonts w:hint="eastAsia"/>
        </w:rPr>
        <w:t>互联网医院系统升级建设</w:t>
      </w:r>
    </w:p>
    <w:p w14:paraId="4DE9D260">
      <w:pPr>
        <w:pStyle w:val="40"/>
        <w:rPr>
          <w:rFonts w:hint="eastAsia"/>
        </w:rPr>
      </w:pPr>
      <w:r>
        <w:rPr>
          <w:rFonts w:hint="eastAsia"/>
        </w:rPr>
        <w:t>面向患者端建设互联网医院，实现就诊全流程操作指引；为医生端开发患者分组管理、队列计划（复诊/随访/科普）等智能工具；管理端完成监管数据接口开发，实现与上海市互联网医院监管平台实时对接。</w:t>
      </w:r>
    </w:p>
    <w:p w14:paraId="1E38813F">
      <w:pPr>
        <w:pStyle w:val="40"/>
        <w:rPr>
          <w:rFonts w:hint="eastAsia"/>
        </w:rPr>
      </w:pPr>
      <w:r>
        <w:rPr>
          <w:rFonts w:hint="eastAsia"/>
        </w:rPr>
        <w:t>2.</w:t>
      </w:r>
      <w:r>
        <w:rPr>
          <w:rFonts w:hint="eastAsia"/>
        </w:rPr>
        <w:tab/>
      </w:r>
      <w:r>
        <w:rPr>
          <w:rFonts w:hint="eastAsia"/>
        </w:rPr>
        <w:t>应用系统XC及密评配套改造</w:t>
      </w:r>
    </w:p>
    <w:p w14:paraId="7FC2AF6C">
      <w:pPr>
        <w:pStyle w:val="40"/>
        <w:rPr>
          <w:rFonts w:hint="eastAsia"/>
        </w:rPr>
      </w:pPr>
      <w:r>
        <w:rPr>
          <w:rFonts w:hint="eastAsia"/>
        </w:rPr>
        <w:t>完成互联网医院平台、远程医疗协同平台子系统的XC适配，覆盖患者移动端、医生PC端、远程会诊系统等；开发密码应用模块（如SM2 用户认证、SM4 数据加密），适配服务器密码机、安全认证网关等密评产品，实现关键数据加密覆盖，通过等保三级认证与密码应用安全性评估（密评）。</w:t>
      </w:r>
    </w:p>
    <w:p w14:paraId="39486CDF">
      <w:pPr>
        <w:pStyle w:val="4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rPr>
      </w:pPr>
      <w:r>
        <w:drawing>
          <wp:inline distT="0" distB="0" distL="114300" distR="114300">
            <wp:extent cx="5408930" cy="3531870"/>
            <wp:effectExtent l="0" t="0" r="127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pic:cNvPicPr>
                  </pic:nvPicPr>
                  <pic:blipFill>
                    <a:blip r:embed="rId16"/>
                    <a:stretch>
                      <a:fillRect/>
                    </a:stretch>
                  </pic:blipFill>
                  <pic:spPr>
                    <a:xfrm>
                      <a:off x="0" y="0"/>
                      <a:ext cx="5408930" cy="3531870"/>
                    </a:xfrm>
                    <a:prstGeom prst="rect">
                      <a:avLst/>
                    </a:prstGeom>
                    <a:noFill/>
                    <a:ln w="9525">
                      <a:noFill/>
                    </a:ln>
                  </pic:spPr>
                </pic:pic>
              </a:graphicData>
            </a:graphic>
          </wp:inline>
        </w:drawing>
      </w:r>
    </w:p>
    <w:p w14:paraId="06ACD994">
      <w:pPr>
        <w:pStyle w:val="40"/>
        <w:jc w:val="center"/>
        <w:rPr>
          <w:rFonts w:hint="eastAsia"/>
          <w:lang w:val="en-US" w:eastAsia="zh-CN"/>
        </w:rPr>
      </w:pPr>
      <w:r>
        <w:rPr>
          <w:rFonts w:hint="eastAsia"/>
          <w:lang w:val="en-US" w:eastAsia="zh-CN"/>
        </w:rPr>
        <w:t>网络拓扑图</w:t>
      </w:r>
    </w:p>
    <w:p w14:paraId="1D0E876C">
      <w:pPr>
        <w:pStyle w:val="4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lang w:val="en-US" w:eastAsia="zh-CN"/>
        </w:rPr>
      </w:pPr>
      <w:r>
        <w:drawing>
          <wp:inline distT="0" distB="0" distL="114300" distR="114300">
            <wp:extent cx="5575935" cy="4261485"/>
            <wp:effectExtent l="0" t="0" r="1905" b="5715"/>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pic:cNvPicPr>
                  </pic:nvPicPr>
                  <pic:blipFill>
                    <a:blip r:embed="rId17"/>
                    <a:stretch>
                      <a:fillRect/>
                    </a:stretch>
                  </pic:blipFill>
                  <pic:spPr>
                    <a:xfrm>
                      <a:off x="0" y="0"/>
                      <a:ext cx="5575935" cy="4261485"/>
                    </a:xfrm>
                    <a:prstGeom prst="rect">
                      <a:avLst/>
                    </a:prstGeom>
                    <a:noFill/>
                    <a:ln w="9525">
                      <a:noFill/>
                    </a:ln>
                  </pic:spPr>
                </pic:pic>
              </a:graphicData>
            </a:graphic>
          </wp:inline>
        </w:drawing>
      </w:r>
    </w:p>
    <w:p w14:paraId="68599279">
      <w:pPr>
        <w:pStyle w:val="40"/>
        <w:jc w:val="center"/>
        <w:rPr>
          <w:rFonts w:hint="eastAsia"/>
          <w:lang w:val="en-US" w:eastAsia="zh-CN"/>
        </w:rPr>
      </w:pPr>
      <w:r>
        <w:rPr>
          <w:rFonts w:hint="eastAsia"/>
          <w:lang w:val="en-US" w:eastAsia="zh-CN"/>
        </w:rPr>
        <w:t>系统架构图（具体功能模块以本项目采购需求为准）</w:t>
      </w:r>
    </w:p>
    <w:p w14:paraId="4616DA1C">
      <w:pPr>
        <w:pStyle w:val="2"/>
        <w:numPr>
          <w:ilvl w:val="0"/>
          <w:numId w:val="3"/>
        </w:numPr>
        <w:spacing w:before="156" w:after="156" w:line="480" w:lineRule="exact"/>
        <w:ind w:left="426" w:hanging="425" w:hangingChars="177"/>
        <w:rPr>
          <w:rFonts w:hint="eastAsia" w:ascii="宋体" w:hAnsi="宋体" w:eastAsia="宋体" w:cs="宋体"/>
          <w:sz w:val="24"/>
          <w:szCs w:val="24"/>
        </w:rPr>
      </w:pPr>
      <w:r>
        <w:rPr>
          <w:rFonts w:hint="eastAsia" w:ascii="宋体" w:hAnsi="宋体" w:eastAsia="宋体" w:cs="宋体"/>
          <w:sz w:val="24"/>
          <w:szCs w:val="24"/>
          <w:lang w:val="en-US" w:eastAsia="zh-CN"/>
        </w:rPr>
        <w:t>项目需求及目标要求</w:t>
      </w:r>
    </w:p>
    <w:p w14:paraId="069BD73D">
      <w:pPr>
        <w:pStyle w:val="3"/>
        <w:numPr>
          <w:ilvl w:val="1"/>
          <w:numId w:val="0"/>
        </w:numPr>
        <w:spacing w:after="156" w:line="480" w:lineRule="exact"/>
        <w:ind w:leftChars="0"/>
        <w:rPr>
          <w:rFonts w:hint="eastAsia" w:asciiTheme="minorEastAsia" w:hAnsiTheme="minorEastAsia" w:eastAsiaTheme="minorEastAsia" w:cstheme="minorEastAsia"/>
          <w:b/>
          <w:bCs/>
          <w:sz w:val="24"/>
          <w:lang w:val="en-US" w:eastAsia="zh-CN"/>
        </w:rPr>
      </w:pPr>
      <w:bookmarkStart w:id="21" w:name="_Toc24136"/>
      <w:bookmarkStart w:id="22" w:name="_Toc11300"/>
      <w:r>
        <w:rPr>
          <w:rFonts w:hint="eastAsia" w:asciiTheme="minorEastAsia" w:hAnsiTheme="minorEastAsia" w:eastAsiaTheme="minorEastAsia" w:cstheme="minorEastAsia"/>
          <w:b/>
          <w:bCs/>
          <w:sz w:val="24"/>
          <w:lang w:val="en-US" w:eastAsia="zh-CN"/>
        </w:rPr>
        <w:t>2.1.互联网医院系统升级建设</w:t>
      </w:r>
      <w:bookmarkEnd w:id="21"/>
      <w:bookmarkEnd w:id="22"/>
    </w:p>
    <w:p w14:paraId="239CE9CC">
      <w:pPr>
        <w:pStyle w:val="40"/>
        <w:rPr>
          <w:rFonts w:hint="eastAsia"/>
        </w:rPr>
      </w:pPr>
      <w:r>
        <w:rPr>
          <w:rFonts w:hint="eastAsia"/>
        </w:rPr>
        <w:t>根据《医院智慧服务分级评估标准体系（试行）》、《“智慧华疗”建设“十四五”规划》相关建设要求，以医院智慧服务分级评估标准体系为基础，推进智慧华疗建设，探索整合已有场景建设成果，为患者提供诊前、诊中、诊后各就医环节的全流程、“管家式”指引提示，提高服务对象就医体验。项目面向医生端提供个性化、智能化患者管理工具，强化医生与患者间服务黏性，使患者享受更贴心周到的互联网医疗服务。根据上海市互联网医院监管平台要求，开发对应数据上传接口。</w:t>
      </w:r>
    </w:p>
    <w:p w14:paraId="55C1F825">
      <w:pPr>
        <w:pStyle w:val="40"/>
        <w:rPr>
          <w:rFonts w:hint="eastAsia"/>
        </w:rPr>
      </w:pPr>
    </w:p>
    <w:tbl>
      <w:tblPr>
        <w:tblStyle w:val="33"/>
        <w:tblW w:w="8640" w:type="dxa"/>
        <w:tblInd w:w="93" w:type="dxa"/>
        <w:tblLayout w:type="autofit"/>
        <w:tblCellMar>
          <w:top w:w="0" w:type="dxa"/>
          <w:left w:w="108" w:type="dxa"/>
          <w:bottom w:w="0" w:type="dxa"/>
          <w:right w:w="108" w:type="dxa"/>
        </w:tblCellMar>
      </w:tblPr>
      <w:tblGrid>
        <w:gridCol w:w="781"/>
        <w:gridCol w:w="2338"/>
        <w:gridCol w:w="5521"/>
      </w:tblGrid>
      <w:tr w14:paraId="067F72F3">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96C2">
            <w:pPr>
              <w:widowControl/>
              <w:spacing w:after="156"/>
              <w:jc w:val="center"/>
              <w:textAlignment w:val="center"/>
              <w:rPr>
                <w:rFonts w:hint="eastAsia" w:cs="等线" w:asciiTheme="minorEastAsia" w:hAnsiTheme="minorEastAsia" w:eastAsiaTheme="minorEastAsia"/>
                <w:b/>
                <w:bCs/>
                <w:color w:val="000000"/>
                <w:sz w:val="22"/>
                <w:szCs w:val="22"/>
              </w:rPr>
            </w:pPr>
            <w:r>
              <w:rPr>
                <w:rFonts w:hint="eastAsia" w:cs="等线" w:asciiTheme="minorEastAsia" w:hAnsiTheme="minorEastAsia" w:eastAsiaTheme="minorEastAsia"/>
                <w:b/>
                <w:bCs/>
                <w:color w:val="000000"/>
                <w:kern w:val="0"/>
                <w:sz w:val="22"/>
                <w:szCs w:val="22"/>
                <w:lang w:bidi="ar"/>
              </w:rPr>
              <w:t>序号</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8DC">
            <w:pPr>
              <w:widowControl/>
              <w:spacing w:after="156"/>
              <w:jc w:val="center"/>
              <w:textAlignment w:val="center"/>
              <w:rPr>
                <w:rFonts w:hint="eastAsia" w:cs="等线" w:asciiTheme="minorEastAsia" w:hAnsiTheme="minorEastAsia" w:eastAsiaTheme="minorEastAsia"/>
                <w:b/>
                <w:bCs/>
                <w:color w:val="000000"/>
                <w:sz w:val="22"/>
                <w:szCs w:val="22"/>
              </w:rPr>
            </w:pPr>
            <w:r>
              <w:rPr>
                <w:rFonts w:hint="eastAsia" w:cs="等线" w:asciiTheme="minorEastAsia" w:hAnsiTheme="minorEastAsia" w:eastAsiaTheme="minorEastAsia"/>
                <w:b/>
                <w:bCs/>
                <w:color w:val="000000"/>
                <w:kern w:val="0"/>
                <w:sz w:val="22"/>
                <w:szCs w:val="22"/>
                <w:lang w:bidi="ar"/>
              </w:rPr>
              <w:t>功能名称</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53B">
            <w:pPr>
              <w:widowControl/>
              <w:spacing w:after="156"/>
              <w:jc w:val="center"/>
              <w:textAlignment w:val="center"/>
              <w:rPr>
                <w:rFonts w:hint="eastAsia" w:cs="等线" w:asciiTheme="minorEastAsia" w:hAnsiTheme="minorEastAsia" w:eastAsiaTheme="minorEastAsia"/>
                <w:b/>
                <w:bCs/>
                <w:color w:val="000000"/>
                <w:sz w:val="22"/>
                <w:szCs w:val="22"/>
              </w:rPr>
            </w:pPr>
            <w:r>
              <w:rPr>
                <w:rFonts w:hint="eastAsia" w:cs="等线" w:asciiTheme="minorEastAsia" w:hAnsiTheme="minorEastAsia" w:eastAsiaTheme="minorEastAsia"/>
                <w:b/>
                <w:bCs/>
                <w:color w:val="000000"/>
                <w:kern w:val="0"/>
                <w:sz w:val="22"/>
                <w:szCs w:val="22"/>
                <w:lang w:bidi="ar"/>
              </w:rPr>
              <w:t>功能描述</w:t>
            </w:r>
          </w:p>
        </w:tc>
      </w:tr>
      <w:tr w14:paraId="26D44F9D">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5EDC">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1</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CC27">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互联网医院系统升级建设_医生模板_病历处方模板</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0C8">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病历模板：系统支持医生自定义新增、编辑、删除病历模板，设置病历模板主诉等信息。医生在书写病历时可导入病历模板。</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处方模板：系统支持医生自定义新增、编辑、删除处方模板，设置处方模板中的药品等信息。医生在开处方时可导入处方模板。</w:t>
            </w:r>
          </w:p>
        </w:tc>
      </w:tr>
      <w:tr w14:paraId="3865D065">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1466">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2</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6925">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互联网医院系统升级建设_医生模板_检验检查套餐模板</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6CFB">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检验套餐模板：系统支持医生自定义新增、编辑、删除的检验套餐模板，设置检验套餐模板中的检验项目等信息。</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检查套餐模板：系统支持医生自定义新增、编辑、删除的检查套餐模板，设置检查套餐模板中的检查项目等信息。</w:t>
            </w:r>
          </w:p>
        </w:tc>
      </w:tr>
      <w:tr w14:paraId="306CA93E">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C28">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3</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AFBA">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互联网医院系统升级建设_随访问卷管理_随访问卷维护管理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A3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医生可以新增随访问卷，设置随访问卷名称和问卷内容；编辑随访问卷名称和问卷内容，进行随访问卷删除操作，删除前需要进行删除确认。</w:t>
            </w:r>
          </w:p>
        </w:tc>
      </w:tr>
      <w:tr w14:paraId="7A634BF1">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8CE2">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4</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A062">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互联网医院系统升级建设_随访问卷管理_随访问卷库查询</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80C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医生可以在线查看医生自定义的随访问卷列表和详情。</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医生可以通过随访问卷名称等条件进行随访问卷查询。</w:t>
            </w:r>
          </w:p>
        </w:tc>
      </w:tr>
      <w:tr w14:paraId="03D5B835">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68F7">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5</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B4DB">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互联网医院系统升级建设_随访问卷管理_随访问卷问题设置</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95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填空问题设置：系统支持医生在随访问卷中，新增、编辑、删除填空题，设置问题描述。</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单选问题设置：系统支持医生在随访问卷中，新增、编辑、删除单选题，设置问题描述、问题选项。</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多选问题设置：系统支持医生在随访问卷中，新增、编辑、删除多选题，设置问题描述、问题选项。</w:t>
            </w:r>
          </w:p>
        </w:tc>
      </w:tr>
      <w:tr w14:paraId="1A84F304">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70D1">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6</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D82C">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互联网医院系统升级建设_科普管理_科普分类管理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C616">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医生可以自定义设置个人科普分类，支持科普分类的新增、编辑、删除等操作。</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系统支持医生对私有的科普文章、科普视频进行管理。支持科普内容的查看、编辑、删除等操作。</w:t>
            </w:r>
          </w:p>
        </w:tc>
      </w:tr>
      <w:tr w14:paraId="57E696D7">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9CB1">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7</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401">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互联网医院系统升级建设_科普管理_文章科普管理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CE0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系统支持医生对文章科普进行新增/编辑操作。其中文章科普可编辑文章标题、文章内容、添加图片、添加视频、推送设置。</w:t>
            </w:r>
          </w:p>
        </w:tc>
      </w:tr>
      <w:tr w14:paraId="6C6B0945">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E11">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8</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B99">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互联网医院系统升级建设_科普管理_视频科普管理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FC3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系统支持医生对视频科普进行新增/编辑操作。视频科普可编辑视频标题、上传视频、推送设置。</w:t>
            </w:r>
          </w:p>
        </w:tc>
      </w:tr>
      <w:tr w14:paraId="2D40A4C4">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91DA">
            <w:pPr>
              <w:widowControl/>
              <w:spacing w:after="156"/>
              <w:jc w:val="center"/>
              <w:textAlignment w:val="center"/>
              <w:rPr>
                <w:rFonts w:hint="eastAsia" w:cs="等线" w:asciiTheme="minorEastAsia" w:hAnsiTheme="minorEastAsia" w:eastAsiaTheme="minorEastAsia"/>
                <w:b w:val="0"/>
                <w:bCs w:val="0"/>
                <w:color w:val="000000"/>
                <w:sz w:val="22"/>
                <w:szCs w:val="22"/>
                <w:lang w:eastAsia="zh-CN"/>
              </w:rPr>
            </w:pPr>
            <w:r>
              <w:rPr>
                <w:rFonts w:hint="eastAsia" w:cs="等线" w:asciiTheme="minorEastAsia" w:hAnsiTheme="minorEastAsia" w:eastAsiaTheme="minorEastAsia"/>
                <w:b w:val="0"/>
                <w:bCs w:val="0"/>
                <w:color w:val="000000"/>
                <w:kern w:val="0"/>
                <w:sz w:val="22"/>
                <w:szCs w:val="22"/>
                <w:lang w:val="en-US" w:eastAsia="zh-CN" w:bidi="ar"/>
              </w:rPr>
              <w:t>9</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46B7">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互联网医院系统升级建设_患者分组_患者分组管理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B140">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患者分组：医生可对患者进行分组管理，包括新增患者分组，设置队列分组名称，按需删除患者分组、编辑患者分组名称和设置分组队列计划。在医生删除分组前，系统将进行删除确认提醒。</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邀请患者：系统支持医生在问诊过程中邀请患者，并对患者进行队列分组设置。</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我的患者：系统支持医生在线查看已队列分组的患者列表。</w:t>
            </w:r>
          </w:p>
        </w:tc>
      </w:tr>
      <w:tr w14:paraId="54AE65C1">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B5BE">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10</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F8E3">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互联网医院系统升级建设_患者分组_患者队列计划</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058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系统可自动按患者分组设置队列计划，创建患者服务计划。</w:t>
            </w:r>
          </w:p>
        </w:tc>
      </w:tr>
      <w:tr w14:paraId="387D5139">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7DEC">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11</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9449">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互联网医院系统升级建设_队列计划设置_复诊提醒计划</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E49">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临床队列计划支持设置复诊计划，系统可根据临床队列的复诊计划节点，自动提醒患者复诊。支持为复诊计划节点预生成预问诊模板、病历模板、处方模板、检查模板、检验模板。</w:t>
            </w:r>
          </w:p>
        </w:tc>
      </w:tr>
      <w:tr w14:paraId="4F0B0D6B">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538">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12</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9331">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互联网医院系统升级建设_队列计划设置_随访推送计划</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B47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临床队列计划支持设置随访计划，关联医生的随访问卷量表，系统可根据临床队列的随访计划节点，自动推送随访问卷给到患者。</w:t>
            </w:r>
          </w:p>
        </w:tc>
      </w:tr>
      <w:tr w14:paraId="362539BB">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AED0">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13</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65D0">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互联网医院系统升级建设_队列计划设置_科普推送计划</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A6F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临床队列计划支持设置科普计划，关联医生的科普问卷和科普视频，系统可根据临床队列的科普计划节点，自动推送科普问卷和科普视频给到患者。</w:t>
            </w:r>
          </w:p>
        </w:tc>
      </w:tr>
      <w:tr w14:paraId="19339FA3">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945">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14</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9D8">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互联网医院系统升级建设_队列计划设置_随访计划模板</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BC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医生可以将队列的随访计划节点设置内容存为个人模板，在新增队列随访计划时进行快速引用。</w:t>
            </w:r>
          </w:p>
        </w:tc>
      </w:tr>
      <w:tr w14:paraId="288BC2C8">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87C">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15</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C6B3">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互联网医院系统升级建设_队列管理_队列计划管理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78FF">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后台管理端可以查看医院全部队列计划。</w:t>
            </w:r>
          </w:p>
        </w:tc>
      </w:tr>
      <w:tr w14:paraId="326D6911">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2B9B">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16</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8E96">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互联网医院系统升级建设_队列管理_队列患者管理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C99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后台管理端可以查看随访队列下的全部入组患者；支持查看患者计划详情。</w:t>
            </w:r>
          </w:p>
        </w:tc>
      </w:tr>
      <w:tr w14:paraId="079C1BBC">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8865">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17</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EA6">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互联网医院系统升级建设_随访科普后台管理_随访科普后台管理</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2CD8">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 xml:space="preserve">（一）随访问卷配置管理 </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后台管理端可以针对医院新增随访问卷，设置随访问卷名称和问卷内容；编辑随访问卷名称和问卷内容，进行随访问卷删除操作，删除前需要进行删除确认。支持管理人员通过随访问卷名称等条件进行随访问卷查询；查看患者随访问卷的填写记录和数据详情。</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 xml:space="preserve">（二）医生科普后台管理 </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医生科普管理 后台管理：支持在管理后台新建医生科普文章和科普视频，设置科普文章和科普视频内容，编辑科普文章和科普视频内容，可进行医生科普删除操作，删除前需要进行删除确认。</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医生科普查询 后台：在管理后台提供医生科普列表，可以通过科普名称等条件进行医生科普查询。</w:t>
            </w:r>
          </w:p>
        </w:tc>
      </w:tr>
      <w:tr w14:paraId="4B32DB2A">
        <w:tblPrEx>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6CB">
            <w:pPr>
              <w:widowControl/>
              <w:spacing w:after="156"/>
              <w:jc w:val="center"/>
              <w:textAlignment w:val="center"/>
              <w:rPr>
                <w:rFonts w:hint="default" w:cs="等线" w:asciiTheme="minorEastAsia" w:hAnsiTheme="minorEastAsia" w:eastAsiaTheme="minorEastAsia"/>
                <w:b w:val="0"/>
                <w:bCs w:val="0"/>
                <w:color w:val="000000"/>
                <w:sz w:val="22"/>
                <w:szCs w:val="22"/>
                <w:lang w:val="en-US" w:eastAsia="zh-CN"/>
              </w:rPr>
            </w:pPr>
            <w:r>
              <w:rPr>
                <w:rFonts w:hint="eastAsia" w:cs="等线" w:asciiTheme="minorEastAsia" w:hAnsiTheme="minorEastAsia" w:eastAsiaTheme="minorEastAsia"/>
                <w:b w:val="0"/>
                <w:bCs w:val="0"/>
                <w:color w:val="000000"/>
                <w:kern w:val="0"/>
                <w:sz w:val="22"/>
                <w:szCs w:val="22"/>
                <w:lang w:val="en-US" w:eastAsia="zh-CN" w:bidi="ar"/>
              </w:rPr>
              <w:t>18</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45C3">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互联网医院系统升级建设_上海市互联网医院监管平台接口对接（15个接口）</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36A3">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根据上海市互联网医院监管平台文件上传及验证接口要求开发以下接口：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(1) 机构信息上报接口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(2) 年检信息上报接口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(3) 第三方机构上报接口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(4) 一级科室信息上报接口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(5) 二级科室信息上报接口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(6) 诊疗科室信息上报接口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(7) 医生信息上报接口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(8) 药师信息上报接口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(9) 护理人员信息上报接口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(10) 医务人员资质上报接口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(11) 预约单信息上报接口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(12) 在线复诊上报接口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(13) 处方信息上报接口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(14) 问题信息上报接口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(15) 不良事件上报接口</w:t>
            </w:r>
          </w:p>
        </w:tc>
      </w:tr>
    </w:tbl>
    <w:p w14:paraId="790EACD3">
      <w:pPr>
        <w:pStyle w:val="40"/>
        <w:rPr>
          <w:rFonts w:hint="eastAsia"/>
        </w:rPr>
      </w:pPr>
    </w:p>
    <w:p w14:paraId="4309214C">
      <w:pPr>
        <w:pStyle w:val="3"/>
        <w:numPr>
          <w:ilvl w:val="1"/>
          <w:numId w:val="0"/>
        </w:numPr>
        <w:spacing w:after="156" w:line="480" w:lineRule="exact"/>
        <w:ind w:leftChars="0"/>
        <w:rPr>
          <w:rFonts w:hint="eastAsia" w:asciiTheme="minorEastAsia" w:hAnsiTheme="minorEastAsia" w:eastAsiaTheme="minorEastAsia" w:cstheme="minorEastAsia"/>
          <w:b/>
          <w:bCs/>
          <w:sz w:val="24"/>
          <w:lang w:val="en-US" w:eastAsia="zh-CN"/>
        </w:rPr>
      </w:pPr>
      <w:bookmarkStart w:id="23" w:name="_Toc16220"/>
      <w:r>
        <w:rPr>
          <w:rFonts w:hint="eastAsia" w:asciiTheme="minorEastAsia" w:hAnsiTheme="minorEastAsia" w:eastAsiaTheme="minorEastAsia" w:cstheme="minorEastAsia"/>
          <w:b/>
          <w:bCs/>
          <w:sz w:val="24"/>
          <w:lang w:val="en-US" w:eastAsia="zh-CN"/>
        </w:rPr>
        <w:t>2.2.应用系统XC及密评配套改造</w:t>
      </w:r>
      <w:bookmarkEnd w:id="23"/>
    </w:p>
    <w:p w14:paraId="504F4A2F">
      <w:pPr>
        <w:pStyle w:val="40"/>
        <w:rPr>
          <w:rFonts w:hint="eastAsia"/>
        </w:rPr>
      </w:pPr>
      <w:r>
        <w:rPr>
          <w:rFonts w:hint="eastAsia"/>
        </w:rPr>
        <w:t>本项目将围绕上海市保健医疗中心互联网医院平台、远程医疗协同平台完成XC适配，针对上海市保健医疗中心互联网医院进行密码应用功能模块对接开发。</w:t>
      </w:r>
    </w:p>
    <w:p w14:paraId="0CDDC44B">
      <w:pPr>
        <w:pStyle w:val="40"/>
        <w:rPr>
          <w:rFonts w:hint="eastAsia"/>
        </w:rPr>
      </w:pPr>
    </w:p>
    <w:tbl>
      <w:tblPr>
        <w:tblStyle w:val="33"/>
        <w:tblW w:w="8640" w:type="dxa"/>
        <w:tblInd w:w="93" w:type="dxa"/>
        <w:tblLayout w:type="autofit"/>
        <w:tblCellMar>
          <w:top w:w="0" w:type="dxa"/>
          <w:left w:w="108" w:type="dxa"/>
          <w:bottom w:w="0" w:type="dxa"/>
          <w:right w:w="108" w:type="dxa"/>
        </w:tblCellMar>
      </w:tblPr>
      <w:tblGrid>
        <w:gridCol w:w="794"/>
        <w:gridCol w:w="2392"/>
        <w:gridCol w:w="5454"/>
      </w:tblGrid>
      <w:tr w14:paraId="36AE67D3">
        <w:tblPrEx>
          <w:tblCellMar>
            <w:top w:w="0" w:type="dxa"/>
            <w:left w:w="108" w:type="dxa"/>
            <w:bottom w:w="0" w:type="dxa"/>
            <w:right w:w="108" w:type="dxa"/>
          </w:tblCellMar>
        </w:tblPrEx>
        <w:trPr>
          <w:trHeight w:val="47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3535">
            <w:pPr>
              <w:widowControl/>
              <w:spacing w:after="156"/>
              <w:jc w:val="center"/>
              <w:textAlignment w:val="center"/>
              <w:rPr>
                <w:rFonts w:hint="eastAsia" w:cs="等线" w:asciiTheme="minorEastAsia" w:hAnsiTheme="minorEastAsia" w:eastAsiaTheme="minorEastAsia"/>
                <w:b/>
                <w:bCs/>
                <w:color w:val="000000"/>
                <w:sz w:val="22"/>
                <w:szCs w:val="22"/>
              </w:rPr>
            </w:pPr>
            <w:r>
              <w:rPr>
                <w:rFonts w:hint="eastAsia" w:cs="等线" w:asciiTheme="minorEastAsia" w:hAnsiTheme="minorEastAsia" w:eastAsiaTheme="minorEastAsia"/>
                <w:b/>
                <w:bCs/>
                <w:color w:val="000000"/>
                <w:kern w:val="0"/>
                <w:sz w:val="22"/>
                <w:szCs w:val="22"/>
                <w:lang w:bidi="ar"/>
              </w:rPr>
              <w:t>序号</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026E">
            <w:pPr>
              <w:widowControl/>
              <w:spacing w:after="156"/>
              <w:jc w:val="center"/>
              <w:textAlignment w:val="center"/>
              <w:rPr>
                <w:rFonts w:hint="eastAsia" w:cs="等线" w:asciiTheme="minorEastAsia" w:hAnsiTheme="minorEastAsia" w:eastAsiaTheme="minorEastAsia"/>
                <w:b/>
                <w:bCs/>
                <w:color w:val="000000"/>
                <w:sz w:val="22"/>
                <w:szCs w:val="22"/>
              </w:rPr>
            </w:pPr>
            <w:r>
              <w:rPr>
                <w:rFonts w:hint="eastAsia" w:cs="等线" w:asciiTheme="minorEastAsia" w:hAnsiTheme="minorEastAsia" w:eastAsiaTheme="minorEastAsia"/>
                <w:b/>
                <w:bCs/>
                <w:color w:val="000000"/>
                <w:kern w:val="0"/>
                <w:sz w:val="22"/>
                <w:szCs w:val="22"/>
                <w:lang w:bidi="ar"/>
              </w:rPr>
              <w:t>功能名称</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F713">
            <w:pPr>
              <w:widowControl/>
              <w:spacing w:after="156"/>
              <w:jc w:val="center"/>
              <w:textAlignment w:val="center"/>
              <w:rPr>
                <w:rFonts w:hint="eastAsia" w:cs="等线" w:asciiTheme="minorEastAsia" w:hAnsiTheme="minorEastAsia" w:eastAsiaTheme="minorEastAsia"/>
                <w:b/>
                <w:bCs/>
                <w:color w:val="000000"/>
                <w:sz w:val="22"/>
                <w:szCs w:val="22"/>
              </w:rPr>
            </w:pPr>
            <w:r>
              <w:rPr>
                <w:rFonts w:hint="eastAsia" w:cs="等线" w:asciiTheme="minorEastAsia" w:hAnsiTheme="minorEastAsia" w:eastAsiaTheme="minorEastAsia"/>
                <w:b/>
                <w:bCs/>
                <w:color w:val="000000"/>
                <w:kern w:val="0"/>
                <w:sz w:val="22"/>
                <w:szCs w:val="22"/>
                <w:lang w:bidi="ar"/>
              </w:rPr>
              <w:t>功能描述</w:t>
            </w:r>
          </w:p>
        </w:tc>
      </w:tr>
      <w:tr w14:paraId="4E00E2AA">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DE9">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FB2">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应用系统XC及密评配套改造_互联网医院移动端XC适配改造_在线复诊</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104C">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（一）用户管理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用户注册 支持患者在线信息注册，用户登录 支持患者通过手机号验加验证码或密码方式登录；用户实名认证 支持患者个人身份实名认证。</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（二）预约挂号</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系统可基于用户本院就诊记录以及和长三角（上海）智慧互联网医院对接，获取用户在本院或上海市历史就诊记录，并根据用户历史就诊记录进行复诊判断。符合复诊条件的患者，可进行在线复诊预约挂号服务。</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（三）在线复诊</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为保障在线复诊业务规范化，保障双方权益，系统提供服务协议，患者需在签订《知情同意书》后再享受在线复诊服务。系统为患者提供复诊号源查询功能，支持患者选定医疗资源并完成病例填写后完成预约挂号服务；在完成费用支付后，在预约时间段，享受由医生提供的在线复诊服务。</w:t>
            </w:r>
          </w:p>
        </w:tc>
      </w:tr>
      <w:tr w14:paraId="22B92EE4">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704C">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D39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应用系统XC及密评配套改造_互联网医院移动端XC适配改造_互联网医技</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31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为患者提供互联网医技服务，支持患者在线支付检验/检查订单，预约检验/检查时间，查看检验/检查报告，使患者享受更加便捷、智能的就医服务。</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互联网医技服务患者端功能包括：</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 xml:space="preserve">（一）医技注意事项提醒 </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患者可查看检查检验注意事项提醒。</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（二）医技在线支付</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患者可通过微信、支付宝在线支付检查检验费；在医院开通上海医保（门诊医保）后，支持患者通过医保在线结算检查检验费。</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（三）医技在线预约</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在医院医技系统支持下，开通医技在线预约，支持实现 患者在线预约检查检验时间；如医院医技系统不可支持，则预留互联网医院医技在线预约接口。</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（四）医技预约记录</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在互联网医院开通医技在线预约后，同步提供医技预约记录，支持患者查看历史医技预约记录。</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（五）报告查询</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患者可查看基本档案信息、未预约的检查检验单信息、历史检查检验单及预约信息、以及相应的检查报告信息。</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（六）历史报告查询</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患者可查看历史检查检验报告。</w:t>
            </w:r>
          </w:p>
        </w:tc>
      </w:tr>
      <w:tr w14:paraId="22D3B331">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0E5">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3</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3048">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应用系统XC及密评配套改造_互联网医院移动端XC适配改造_药师审方</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11BF">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系统可通过系统消息等方式提醒药师审方。系统包括自动审方和人工审方功能。</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系统备具完备的审方规则库，支持药师根据本院/科室要求自定义规则并进行维护。系统支持医生开具处方后，AI自动批量审。</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系统可筛检出存在疑问的处方，发送警示信息给审方药师实时审核，由药师进行人工审方，由药师判断处方合理性。</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对于未通过审核的处方，药师可给予拒绝，并注明原因；通过审核的处方，药师在完成药师签章后，经患者支付，由药店进行配送。</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系统支持药师对处方进行CA电子签证。</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药师可在线回答患者用药信息咨询，促进患者合理用药。</w:t>
            </w:r>
          </w:p>
        </w:tc>
      </w:tr>
      <w:tr w14:paraId="05F1E4E4">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1A5F">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4</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7180">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应用系统XC及密评配套改造_互联网医院移动端XC适配改造_药品配送</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FDD0">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系统支持药品配送流程管理；支持患者在线查询电子处方订单物流信息。系统为患者提供药品查询窗口，支持患者在线查询药品，查看药品说明书。</w:t>
            </w:r>
          </w:p>
        </w:tc>
      </w:tr>
      <w:tr w14:paraId="305889ED">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A784">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5</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3EA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应用系统XC及密评配套改造_互联网医院移动端XC适配改造_健康自我管理</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1DD">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系统为患者提供健康自我管理工具，支持患者在线记录体征测量数据，进行自我健康评估。</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（一）体征测量</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系统支持患者对健康体征指标的录入与跟踪监测，如体温、血糖、血压、血氧等健康体征指标。</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（二）体质辨识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系统提供中医体质辨识量表，供用户进行健康评估，并根据用户评估结果提供健康处方。</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（三）健康自评</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系统提供全人群、全生命周期的自我健康评估量表，供用户进行健康评估，并根据用户自我评估结果提供相应健康管理建议。</w:t>
            </w:r>
          </w:p>
        </w:tc>
      </w:tr>
      <w:tr w14:paraId="11119AE1">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1D3E">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6</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CB0">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应用系统XC及密评配套改造_互联网医院移动端XC适配改造_电子票据</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BB9E">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互联网医院可实现与院内线下电子票据对接，可针对患者的互联网医院诊疗提供电子票据服务。</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互联网医院电子票据功能包括挂号电子票据、处方电子票据、医技电子票据、挂号电子票据、处方电子票据、医技电子票据、用户历史电子票据。</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为用户提供票据咨询服务，支持用户查看电子票据相关政策文件。</w:t>
            </w:r>
          </w:p>
        </w:tc>
      </w:tr>
      <w:tr w14:paraId="5D8984AD">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7497">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7</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B04E">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应用系统XC及密评配套改造_互联网医院移动端XC适配改造_慢病管理</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661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系统能够通过互联网，患者可以录入血糖、血压等数据，并展示结果，支持查看历史数据。医生可对患者的健康情况进行管理。</w:t>
            </w:r>
          </w:p>
        </w:tc>
      </w:tr>
      <w:tr w14:paraId="04DC71E4">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D8A8">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8</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8FE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应用系统XC及密评配套改造_互联网医院移动端XC适配改造_信息查询</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857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信息窗口：为患者提供医院信息窗口，供患者查询医院、科室、医生详细情况，了解本互联网医院诊疗科目、复诊条件、就诊流程、药品信息等就诊信息。</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药品查询：用户可在平台在线搜索药品。用户可查看本平台的药品目录。</w:t>
            </w:r>
          </w:p>
        </w:tc>
      </w:tr>
      <w:tr w14:paraId="2B9584E6">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DFC5">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9</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4EC">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应用系统XC及密评配套改造_互联网医院移动端XC适配改造_个人中心</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2FF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（一）我的医生</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系统支持患者收藏医生，方便下次复诊。</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（二）满意度调查</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系统支持患者在线填写医院满意度问卷信息。</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（三）智能提醒</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在患者就诊过程中，系统将在必要环节通过短信/微信方式给患者发送相关提醒消息，避免患者错过就诊时间。提醒内容包括复诊挂号缴费提醒、复诊挂号成功提醒、过号提醒、医生未接诊提醒、医生停诊/退诊提醒、处方缴费提醒。</w:t>
            </w:r>
          </w:p>
        </w:tc>
      </w:tr>
      <w:tr w14:paraId="5FEF86A5">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3C8E">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10</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D4A0">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应用系统XC及密评配套改造_互联网处方流转XC适配改造_互联网处方流转XC适配改造</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CB13">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处方流转系统支持药品说明书查询、处方权限管理及电子处方分类、存储、同步与智能派发（含西药/中药处方验收、监控及代煎状态跟踪），实现处方跨机构流转、全流程监控与药品配送到家，覆盖订单获取/上传、云药房目录对接及处方审核闭环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系统服务功能包括：药品说明书查询、处方权限管理 、电子处方分类、电子处方库查询、电子处方看药品查询、电子处方同步、西药处方派发、中药处方派发、西药处方验收、中药处方验收、药品配送到家、中药代煎处方流转状态跟踪、西药电子处方流转状态跟踪、中药代煎监控、西药处方监控、处方药品监控、获取中药处方订单、上传中药处方订单、获取西药处方订单、配送单信息上传、获取云药房目录信息。</w:t>
            </w:r>
          </w:p>
        </w:tc>
      </w:tr>
      <w:tr w14:paraId="70370C2C">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53C4">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11</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484B">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应用系统XC及密评配套改造_合理用药系统XC适配改造_合理用药系统XC适配改造</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20A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合理用药系统基于医药知识库（含药品说明书库及临床用药知识库），集成分级警示、多处方联合审核、诊断与用药相符性校验、重复用药检测、药物相互作用分析、禁忌症/慎用评估、用法用量校验、配伍禁忌评估等30余项智能审核规则，结合处方（医嘱）智能点评、全处方/医嘱人工复核及门诊申诉功能，实现用药风险实时拦截、用药方案科学评估与闭环管理，保障患者用药安全性与规范性。</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服务功能包括医药知识库（药品说明书库、医药知识库）；合理用药审核项（分级警示/拦截、多处方联合审核、诊断与用药不符、重复用药、相互作用、禁忌症/慎用、用法用量、配伍禁忌、特殊人群、药物过敏、用药权限管理、用药监测提示、医院相关管理）；配伍禁忌评估、处方（医嘱）点评、全处方/医嘱智能点评、人工点评功能、门诊申诉。</w:t>
            </w:r>
          </w:p>
        </w:tc>
      </w:tr>
      <w:tr w14:paraId="4B74826B">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BD7">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12</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14B">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应用系统XC及密评配套改造_互联网医院PC端应用XC适配改造_在线接诊</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07D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互联网医院 PC 端在线接诊功能支持医生通过桌面终端实时接收患者就诊请求，可查看患者基本信息、历史就诊记录及当前症状描述，支持图文、语音等多形式医患沟通，实现门诊号源智能分配与就诊队列管理，确保医生在多场景下灵活响应患者需求，提升接诊效率与连续性。</w:t>
            </w:r>
          </w:p>
        </w:tc>
      </w:tr>
      <w:tr w14:paraId="4283FDA5">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F5E">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13</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039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应用系统XC及密评配套改造_互联网医院PC端应用XC适配改造_写病历开处方</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48D">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该功能提供结构化病历书写模板，支持医生快速录入主诉、现病史等信息，自动关联历史病历数据，支持模板调用与自定义编辑；处方开具模块集成药品知识库，可自动校验药品剂量、过敏禁忌等信息，支持西药、中药处方在线生成，电子处方经药师审核后实时流转至云药房，确保诊疗文书规范、用药安全。</w:t>
            </w:r>
          </w:p>
        </w:tc>
      </w:tr>
      <w:tr w14:paraId="7798C670">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7FAA">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14</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814F">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应用系统XC及密评配套改造_互联网医院PC端应用XC适配改造_复诊记录</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AAC3">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复诊记录功能自动汇总患者历次就诊信息，包括诊断结果、处方记录、检验报告等，以时间轴形式可视化展示，支持医生快速查阅。</w:t>
            </w:r>
          </w:p>
        </w:tc>
      </w:tr>
      <w:tr w14:paraId="130C1AA5">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C175">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15</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684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应用系统XC及密评配套改造_互联网医院PC端应用XC适配改造_在线续方</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C7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针对慢性病患者，在线续方功能支持医生基于历史处方快速开具延续性用药，系统自动校验用药间隔与累计剂量，规避重复用药风险；续方申请经药师审核通过后，直接推送至药品配送体系，实现 “病情稳定患者零跑腿续药”，提升慢性病管理效率与患者便利性。</w:t>
            </w:r>
          </w:p>
        </w:tc>
      </w:tr>
      <w:tr w14:paraId="0626C845">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F9DE">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16</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8FE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应用系统XC及密评配套改造_互联网医院管理端XC适配改造_互联网医院资源管理</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FA4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系统服务功能包括基础配置管理：用户管理、角色管理、功能菜单管理、权限管理、机构管理、科室管理、医生管理、排班管理、患者管理、药品管理。</w:t>
            </w:r>
          </w:p>
        </w:tc>
      </w:tr>
      <w:tr w14:paraId="346FF80A">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BB50">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17</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A10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应用系统XC及密评配套改造_互联网医院管理端XC适配改造_业务服务配置管理</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03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系统服务功能包括业务服务配置管理：基础字段信息配置、统一消息管理、单点登录、业务配置管理。</w:t>
            </w:r>
          </w:p>
        </w:tc>
      </w:tr>
      <w:tr w14:paraId="24E2BFF7">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D5A">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18</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E7BD">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应用系统XC及密评配套改造_互联网医院管理端XC适配改造_医技服务后台管理</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39E5">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支持医院医技资源查看、标准医技科室维护、标准医技资源维护、标准医技检查项目维护、标准医技检验项目维护、新增字典申请查看、检查单管理、检验单管理功能。</w:t>
            </w:r>
          </w:p>
        </w:tc>
      </w:tr>
      <w:tr w14:paraId="5500D97A">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1BEF">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19</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D7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应用系统XC及密评配套改造_互联网医院管理端XC适配改造_订单管理</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011F">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系统服务功能包括订单管理：复诊订单管理、处方订单管理、退款记录查询。</w:t>
            </w:r>
          </w:p>
        </w:tc>
      </w:tr>
      <w:tr w14:paraId="76D90402">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7A5">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20</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151D">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应用系统XC及密评配套改造_互联网医院管理端XC适配改造_互联网医院财务报表</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103">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提供多维度运营数据统计分析，包括自动汇总挂号、处方、医技等业务收入，可生成报表。</w:t>
            </w:r>
          </w:p>
        </w:tc>
      </w:tr>
      <w:tr w14:paraId="61EAFF9D">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AB59">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21</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617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应用系统XC及密评配套改造_远程医疗业务系统XC适配改造_远程会诊业务系统</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D2E">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远程会诊系统支持上下端医院间开展交互式和离线式会诊，并支持基于视频互动的病例讨论模式，实现会诊专家与申请医生、患者的交流，达到良好的互动效果。</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远程会诊系统服务功能包括会诊申请、临床会诊、影像会诊、病理会诊、B超会诊、质控管理、分诊管理、会诊管理、会诊综合管理。</w:t>
            </w:r>
          </w:p>
        </w:tc>
      </w:tr>
      <w:tr w14:paraId="5178EC36">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02D4">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22</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BDB">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应用系统XC及密评配套改造_远程医疗业务系统XC适配改造_远程会诊管理系统</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2D47">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系统支持远程会诊业务配置管理，以便于远程医疗业务的组织与开展，包括医院信息管理、医院服务范围配置、科室管理、子科室管理、诊室管理；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用户管理：医院机构用户、医生用户；账户管理：账户余额、交易明细；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统计查询：支持本机构业务量统计查询、支持按区域、会诊专家、申请医院、会诊医院、会诊科室、会诊类型、时间段等多条件组合进行统计分析、所有统计结果均支持导出及打印</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系统管理：系统支持医院管理员、会诊中心管理员、科室管理员、子科室管理员、医生的内置角色的角色管理，支持用户登录、个人信息维护、修改密码。</w:t>
            </w:r>
          </w:p>
        </w:tc>
      </w:tr>
      <w:tr w14:paraId="0C89013B">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B148">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23</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CC94">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应用系统XC及密评配套改造_远程医疗业务系统XC适配改造_远程查房</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372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远程查房系统能够使得患者在床旁就可与专家进行“面对面”交流，拉近患者与专家的距离，提升住院患者医疗服务质量。</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远程查房系统服务功能包括远程查房申请、查房管理、查看任务。</w:t>
            </w:r>
          </w:p>
        </w:tc>
      </w:tr>
      <w:tr w14:paraId="44F9D5F4">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E608">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24</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CA8C">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应用系统XC及密评配套改造_远程医疗业务系统XC适配改造_远程门诊</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50A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远程门诊系统对接上海市优质医疗资源，本地医生可根据远程门诊专家出诊表为患者预约远程门诊服务，使本地患者足不出市享受到专家提供的实时诊断服务。</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远程门诊系统服务功能包括医生预约、费用支付、补充资料、就诊签到、门诊接诊、健康档案调阅、音视频通话、远程门诊病历、在线处方、在线审方、远程门诊医技申请、电子签名。</w:t>
            </w:r>
          </w:p>
        </w:tc>
      </w:tr>
      <w:tr w14:paraId="45F27A59">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C496">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25</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8B4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应用系统XC及密评配套改造_远程医疗业务系统XC适配改造_多方病例讨论与在线讲座</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181">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（一）多方病例讨论系统</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多方病例讨论系统支持上下端医院间开展远程病历讨论。</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系统支持以下功能：</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添加会议：支持由讨论发起方添加一个会议，包括选择参会方、主持人、病人病例、病情介绍等等。</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会议管理：支持管理多方病例讨论会议。</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我的会议：支持用户查看可以参与的会议，并进入会议进行参会讨论。</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（二）在线讲座系统</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在线讲座系统支持以下功能：</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创建讲座：创建在线讲座课程，包括邀请参会方加入会议、讲座主题、主讲人、讲座时间等。</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查询会议：查询参与的讲座课程详情，进入讲座。</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我的主讲会议：主讲人查看自己的讲座课程，并进入讲座。</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支持后台录制及视频上传。</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支持自动计费或计费手动修改。</w:t>
            </w:r>
          </w:p>
        </w:tc>
      </w:tr>
      <w:tr w14:paraId="058EC594">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852C">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26</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9E7C">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应用系统XC及密评配套改造_远程医疗业务系统XC适配改造_机构管理后台系统配套改造</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C90C">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机构管理后台包括远程医疗协同业务对应的机构管理、用户管理、账户中心、统计查询、系统管理。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系统支持对应医院及科室信息管理、医院服务范围配置；系统支持对应医疗机构用户、医院用户管理；支持居民查看本机构的账户余额；可以查看本机构的交易明细；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系统支持对应业务统计管理，包括会诊完成量、医院申请工作量、会诊专家工作量、医院会诊工作量、业务运营方统计、会诊申请统计、在线讲座统计查询等。</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系统支持按区域、会诊专家、申请医院、会诊医院、会诊科室、会诊类型、时间段等多条件组合进行统计分析；</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系统支持所有统计结果均支持导出及打印；</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系统支持医院管理员、会诊中心管理员、科室管理员、子科室管理员、医生等内置角色设置；</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系统支持用户登录，支持用户名口令登录和退出；</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系统支持个人信息，可查看用户个人信息；</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系统支持修改密码，可支持用户修改密码；</w:t>
            </w:r>
          </w:p>
        </w:tc>
      </w:tr>
      <w:tr w14:paraId="75B7BA38">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67AD">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27</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386E">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应用系统XC及密评配套改造_运营管理系统XC适配改造_运营管理系统XC适配改造</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B2F8">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（一）业务监管系统</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远程医疗管理系统包括数据管理、医疗机构管理、人员管理、权限及安全管理、费用管理、统计查询、会诊业务服务端管理、系统维护管理多模块，保障远程医疗业务的顺利开展，为业务开展提供基础支持，并提供多维度统计分析，实现业务监管、服务质量监管、工作量统计等。</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（二）审核管理系统</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审核管理系统包括机构管理、用户管理。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机构管理：支持添加医疗机构，修改、查看、删除医疗机构；支持医院信息维护（包含医院名称、医院等级、行政区域、医院编码，医院远程负责人、医院简介等）；支持管理角色设置，对该机构的各种角色配置功能权限；支持不同的机构具有不同的功能配置；可 配置可见范围。</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用户管理：包括机构用户管理、 医生用户审核、个人用户管理及 患者管理。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（三）系统配置管理系统</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系统配置管理系统包括基础信息管理、模板管理、安全审计日志、系统管理。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基础信息管理包括数据字典、区域管理（支持行政区域的多级管理），及会诊来源管理，支持配置多个会诊来源，支持外部系统会诊申请接入。</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模板管理包括会诊报告模板管理，管理会诊过程中涉及的短信通知模板管理及会诊审核模板管理。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安全审计日志提供用户登录日志、用户操作日志、用户发布日志。</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系统管理包括角色管理、权限管理、系统用户管理。</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（四）基础支撑系统</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在云平台开设医疗机构（医院），提供独立的医院登录入口。医院具有一定的独立自主管理权，可在云平台配置医院字典及人员角色权限等，实现远程会诊申请、质控、分诊、会诊等业务流程操作，实现远程会诊、远程教育等功能；</w:t>
            </w:r>
          </w:p>
        </w:tc>
      </w:tr>
      <w:tr w14:paraId="70412A93">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65D">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28</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68A">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应用系统XC及密评配套改造_远程门诊移动端XC适配改造_远程门诊移动端XC适配改造</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449">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为向患者提供便捷化远程医疗服务，本项目将部署远程门诊移动端系统，支持医生灵活远程门诊服务，提高远程医疗服务效能。</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远程门诊移动端满足以下功能要求：</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患者预约：系统支持患者在患者移动端填写个人病历信息，预约远程门诊的专家排班号源；</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费用支付：系统支持患者在患者移动端支付远程门诊费用。</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订单及报告查看：系统支持患者在患者移动端查看远程门诊订单及门诊报告。</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医生预约：系统支持医生在移动端选择患者预约远程门诊的专家排班号源。</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门诊接诊：系统支持门诊医生在移动端接诊已签到的患者。</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音视频通话：系统支持门诊医生、患者及陪诊医生通过音视频通话完成门诊、查房交流。</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远程门诊病历：系统支持门诊医生在线填写患者主诉、现病史、既往史、过敏史、诊断。</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电子签名：系统对接电子签名平台，支持医生在门诊病历、处方笺电子签名。</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健康档案共享：在患者授权后，医生查看患者完整健康档案。</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门诊报告：系统可自动生成远程门诊报告，供申请医生和患者查看。</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药品配送：门诊处方流转到供应商处进行配送，支持患者查看配送进度。</w:t>
            </w:r>
            <w:r>
              <w:rPr>
                <w:rFonts w:hint="eastAsia" w:cs="等线" w:asciiTheme="minorEastAsia" w:hAnsiTheme="minorEastAsia" w:eastAsiaTheme="minorEastAsia"/>
                <w:b w:val="0"/>
                <w:bCs w:val="0"/>
                <w:color w:val="000000"/>
                <w:kern w:val="0"/>
                <w:sz w:val="22"/>
                <w:szCs w:val="22"/>
                <w:lang w:bidi="ar"/>
              </w:rPr>
              <w:br w:type="textWrapping"/>
            </w:r>
            <w:r>
              <w:rPr>
                <w:rFonts w:hint="eastAsia" w:cs="等线" w:asciiTheme="minorEastAsia" w:hAnsiTheme="minorEastAsia" w:eastAsiaTheme="minorEastAsia"/>
                <w:b w:val="0"/>
                <w:bCs w:val="0"/>
                <w:color w:val="000000"/>
                <w:kern w:val="0"/>
                <w:sz w:val="22"/>
                <w:szCs w:val="22"/>
                <w:lang w:bidi="ar"/>
              </w:rPr>
              <w:t>药品订单：系统支持患者查看药品订单详情。</w:t>
            </w:r>
          </w:p>
        </w:tc>
      </w:tr>
      <w:tr w14:paraId="25DDF62D">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33D">
            <w:pPr>
              <w:widowControl/>
              <w:spacing w:after="156"/>
              <w:jc w:val="center"/>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29</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3C20">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应用系统XC及密评配套改造_业务系统密码评测配套功能改造（8个模块）</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5D9B">
            <w:pPr>
              <w:widowControl/>
              <w:spacing w:after="156"/>
              <w:jc w:val="left"/>
              <w:textAlignment w:val="center"/>
              <w:rPr>
                <w:rFonts w:hint="eastAsia" w:cs="等线" w:asciiTheme="minorEastAsia" w:hAnsiTheme="minorEastAsia" w:eastAsiaTheme="minorEastAsia"/>
                <w:b w:val="0"/>
                <w:bCs w:val="0"/>
                <w:color w:val="000000"/>
                <w:sz w:val="22"/>
                <w:szCs w:val="22"/>
              </w:rPr>
            </w:pPr>
            <w:r>
              <w:rPr>
                <w:rFonts w:hint="eastAsia" w:cs="等线" w:asciiTheme="minorEastAsia" w:hAnsiTheme="minorEastAsia" w:eastAsiaTheme="minorEastAsia"/>
                <w:b w:val="0"/>
                <w:bCs w:val="0"/>
                <w:color w:val="000000"/>
                <w:kern w:val="0"/>
                <w:sz w:val="22"/>
                <w:szCs w:val="22"/>
                <w:lang w:bidi="ar"/>
              </w:rPr>
              <w:t>针对上海市保健医疗中心互联网医院进行密码应用功能模块对接开发，包含用户身份认证模块、业务重要数据安全传输模块、服务器设备日志/访问控制信息完整性模块、重要可执行程序签名验签模块、用户访问控制信息签名验签模块、应用系统重要数据加解密模块、应用系统重要数据签名验签模块、应用系统电子签章模块等。</w:t>
            </w:r>
          </w:p>
        </w:tc>
      </w:tr>
    </w:tbl>
    <w:p w14:paraId="4F39E148">
      <w:pPr>
        <w:spacing w:after="156" w:line="480" w:lineRule="exact"/>
        <w:rPr>
          <w:rFonts w:hint="eastAsia" w:ascii="宋体" w:hAnsi="宋体" w:eastAsia="宋体" w:cs="宋体"/>
          <w:sz w:val="24"/>
        </w:rPr>
      </w:pPr>
    </w:p>
    <w:p w14:paraId="5C954385">
      <w:pPr>
        <w:pStyle w:val="2"/>
        <w:numPr>
          <w:ilvl w:val="0"/>
          <w:numId w:val="3"/>
        </w:numPr>
        <w:spacing w:before="156" w:after="156" w:line="480" w:lineRule="exact"/>
        <w:ind w:left="426" w:hanging="425" w:hangingChars="177"/>
        <w:rPr>
          <w:rFonts w:hint="eastAsia" w:ascii="宋体" w:hAnsi="宋体" w:eastAsia="宋体" w:cs="宋体"/>
          <w:sz w:val="24"/>
          <w:szCs w:val="24"/>
        </w:rPr>
      </w:pPr>
      <w:bookmarkStart w:id="24" w:name="_Toc11394"/>
      <w:r>
        <w:rPr>
          <w:rFonts w:hint="eastAsia" w:ascii="宋体" w:hAnsi="宋体" w:eastAsia="宋体" w:cs="宋体"/>
          <w:sz w:val="24"/>
          <w:szCs w:val="24"/>
        </w:rPr>
        <w:t>设计要求</w:t>
      </w:r>
      <w:bookmarkEnd w:id="24"/>
    </w:p>
    <w:p w14:paraId="0F56C1A1">
      <w:pPr>
        <w:pStyle w:val="3"/>
        <w:keepNext/>
        <w:keepLines/>
        <w:numPr>
          <w:ilvl w:val="0"/>
          <w:numId w:val="0"/>
        </w:numPr>
        <w:spacing w:after="156" w:line="480" w:lineRule="exact"/>
        <w:ind w:left="567" w:hanging="567"/>
        <w:rPr>
          <w:rFonts w:hint="eastAsia" w:ascii="宋体" w:hAnsi="宋体" w:eastAsia="宋体" w:cs="宋体"/>
          <w:b/>
          <w:bCs/>
          <w:sz w:val="24"/>
        </w:rPr>
      </w:pPr>
      <w:bookmarkStart w:id="25" w:name="_Toc30045"/>
      <w:r>
        <w:rPr>
          <w:rFonts w:hint="eastAsia" w:ascii="宋体" w:hAnsi="宋体" w:eastAsia="宋体" w:cs="宋体"/>
          <w:b/>
          <w:bCs/>
          <w:sz w:val="24"/>
          <w:lang w:val="en-US" w:eastAsia="zh-CN"/>
        </w:rPr>
        <w:t>3</w:t>
      </w:r>
      <w:r>
        <w:rPr>
          <w:rFonts w:hint="eastAsia" w:ascii="宋体" w:hAnsi="宋体" w:eastAsia="宋体" w:cs="宋体"/>
          <w:b/>
          <w:bCs/>
          <w:sz w:val="24"/>
        </w:rPr>
        <w:t>.1.标准规范设计</w:t>
      </w:r>
      <w:bookmarkEnd w:id="25"/>
    </w:p>
    <w:p w14:paraId="0CF81CBB">
      <w:pPr>
        <w:pStyle w:val="4"/>
        <w:numPr>
          <w:ilvl w:val="0"/>
          <w:numId w:val="0"/>
        </w:numPr>
        <w:spacing w:after="156" w:line="480" w:lineRule="exact"/>
        <w:ind w:left="709" w:hanging="709"/>
        <w:rPr>
          <w:rFonts w:hint="eastAsia" w:ascii="宋体" w:hAnsi="宋体" w:eastAsia="宋体" w:cs="宋体"/>
          <w:b w:val="0"/>
          <w:sz w:val="24"/>
          <w:szCs w:val="24"/>
        </w:rPr>
      </w:pP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.1.1.</w:t>
      </w:r>
      <w:r>
        <w:rPr>
          <w:rFonts w:hint="eastAsia" w:ascii="宋体" w:hAnsi="宋体" w:eastAsia="宋体" w:cs="宋体"/>
          <w:b w:val="0"/>
          <w:sz w:val="24"/>
          <w:szCs w:val="24"/>
        </w:rPr>
        <w:tab/>
      </w:r>
      <w:r>
        <w:rPr>
          <w:rFonts w:hint="eastAsia" w:ascii="宋体" w:hAnsi="宋体" w:eastAsia="宋体" w:cs="宋体"/>
          <w:b w:val="0"/>
          <w:sz w:val="24"/>
          <w:szCs w:val="24"/>
        </w:rPr>
        <w:t>政策与管理类标准</w:t>
      </w:r>
    </w:p>
    <w:p w14:paraId="0DDDCFBD">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1. 国家政策文件</w:t>
      </w:r>
    </w:p>
    <w:p w14:paraId="23A6BF69">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《医院智慧管理分级评估标准体系（试行）》（国家卫健委）：明确互联网医院智慧服务、智慧管理的分级评估要求，为本项目患者端引导、医生端效率提升等功能提供设计依据。</w:t>
      </w:r>
    </w:p>
    <w:p w14:paraId="13F3DE56">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《公立医院高质量发展评价指标（试行）》（国家卫健委）：将 “医务人员满意度”“患者满意度” 等纳入考核，指导项目优化医生工作流程与患者全周期管理功能。</w:t>
      </w:r>
    </w:p>
    <w:p w14:paraId="1DD6B031">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《关于实施党政机关电子公文系统安全可靠应用全面替代的意见》（中央办公厅、国务院办公厅）：要求医疗行业推进信息技术国产化</w:t>
      </w:r>
      <w:r>
        <w:rPr>
          <w:rFonts w:hint="eastAsia" w:ascii="宋体" w:eastAsia="宋体" w:cs="宋体"/>
          <w:kern w:val="2"/>
          <w:sz w:val="24"/>
          <w:szCs w:val="24"/>
          <w:lang w:val="en-US" w:eastAsia="zh-CN"/>
        </w:rPr>
        <w:t>改造</w:t>
      </w:r>
      <w:r>
        <w:rPr>
          <w:rFonts w:hint="eastAsia" w:ascii="宋体" w:eastAsia="宋体" w:cs="宋体"/>
          <w:kern w:val="2"/>
          <w:sz w:val="24"/>
          <w:szCs w:val="24"/>
        </w:rPr>
        <w:t>，明确本项目XC改造的必要性与路径。</w:t>
      </w:r>
    </w:p>
    <w:p w14:paraId="30B4BD86">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《密码应用安全性评估管理办法》（国家密码管理局）：强制要求非涉密信息系统采用国密算法，规范本项目密码模块开发、密评流程及安全审计机制。</w:t>
      </w:r>
    </w:p>
    <w:p w14:paraId="56746CF4">
      <w:pPr>
        <w:pStyle w:val="41"/>
        <w:spacing w:after="156" w:line="480" w:lineRule="exact"/>
        <w:ind w:firstLineChars="0"/>
        <w:outlineLvl w:val="9"/>
        <w:rPr>
          <w:rFonts w:hint="eastAsia" w:ascii="宋体" w:eastAsia="宋体" w:cs="宋体"/>
          <w:kern w:val="2"/>
          <w:sz w:val="24"/>
          <w:szCs w:val="24"/>
        </w:rPr>
      </w:pPr>
      <w:r>
        <w:rPr>
          <w:rFonts w:hint="eastAsia" w:ascii="宋体" w:eastAsia="宋体" w:cs="宋体"/>
          <w:kern w:val="2"/>
          <w:sz w:val="24"/>
          <w:szCs w:val="24"/>
        </w:rPr>
        <w:t>2. 地方政策文件</w:t>
      </w:r>
    </w:p>
    <w:p w14:paraId="27D7C394">
      <w:pPr>
        <w:widowControl/>
        <w:spacing w:after="156" w:line="480" w:lineRule="exact"/>
        <w:ind w:firstLine="480" w:firstLineChars="200"/>
        <w:jc w:val="left"/>
        <w:rPr>
          <w:rFonts w:hint="eastAsia" w:ascii="宋体" w:hAnsi="宋体" w:eastAsia="宋体" w:cs="宋体"/>
          <w:sz w:val="24"/>
        </w:rPr>
      </w:pPr>
      <w:r>
        <w:rPr>
          <w:rFonts w:hint="eastAsia" w:ascii="宋体" w:hAnsi="宋体" w:eastAsia="宋体" w:cs="宋体"/>
          <w:sz w:val="24"/>
        </w:rPr>
        <w:t>《上海市卫生健康委员会关于进一步加强互联网医院建设和管理的通知》：各医疗机构应在常见病复诊配药的基础上，积极拓展互联网医院服务范围，推动线上导诊、自动分诊、处方流转、饮片药事、康复随访、妇幼保健、慢病管理等全生命周期健康管理服务。加强新型信息技术（人工智能、区块链、元宇宙等）赋能医疗服务工作，探索更多智慧应用场景。鼓励医疗机构依托互联网医院为患者制定复诊方案，对于诊断明确且因相同疾病就诊的复诊患者，通过互联网医院开具复诊前所需检查检验，根据检查检验出具时间自动匹配线下号源，提升复诊效率。</w:t>
      </w:r>
    </w:p>
    <w:p w14:paraId="378D55E8">
      <w:pPr>
        <w:widowControl/>
        <w:spacing w:after="156" w:line="480" w:lineRule="exact"/>
        <w:ind w:firstLine="480" w:firstLineChars="200"/>
        <w:jc w:val="left"/>
        <w:rPr>
          <w:rFonts w:hint="eastAsia" w:ascii="宋体" w:hAnsi="宋体" w:eastAsia="宋体" w:cs="宋体"/>
          <w:sz w:val="24"/>
        </w:rPr>
      </w:pPr>
      <w:r>
        <w:rPr>
          <w:rFonts w:hint="eastAsia" w:ascii="宋体" w:hAnsi="宋体" w:eastAsia="宋体" w:cs="宋体"/>
          <w:sz w:val="24"/>
        </w:rPr>
        <w:t>《上海市互联网医院功能规范与建设指南》：构建以患者为中心的“互联网医院”服务体系，树立医疗机构面向居民的医 疗服务品牌，打造居民的“就医小助手”，实现问病情、找医生、送药品、治慢病 的“触手可及、智慧便捷”，使居民获得资源的方式更加便利、公平，提升患者 满意度与获得感，促进医疗机构线上、线下有序医疗格局的形成。</w:t>
      </w:r>
    </w:p>
    <w:p w14:paraId="518D902E">
      <w:pPr>
        <w:widowControl/>
        <w:spacing w:after="156" w:line="480" w:lineRule="exact"/>
        <w:ind w:firstLine="480" w:firstLineChars="200"/>
        <w:jc w:val="left"/>
        <w:rPr>
          <w:rFonts w:hint="eastAsia" w:ascii="宋体" w:hAnsi="宋体" w:eastAsia="宋体" w:cs="宋体"/>
          <w:sz w:val="24"/>
        </w:rPr>
      </w:pPr>
      <w:r>
        <w:rPr>
          <w:rFonts w:hint="eastAsia" w:ascii="宋体" w:hAnsi="宋体" w:eastAsia="宋体" w:cs="宋体"/>
          <w:sz w:val="24"/>
        </w:rPr>
        <w:t>《上海市互联网医院监管平台接口规范》:构建以患者为中心的“互联网医院”服务体系，树立医疗机构面向居民的医疗服务品牌，打造居民的“就医小助手”，实现问病情、找医生、送药品、治慢病 的“触手可及、智慧便捷”，使居民获得资源的方式更加便利、公平，提升患者满意度与获得感，促进医疗机构线上、线下有序医疗格局的形成。</w:t>
      </w:r>
    </w:p>
    <w:p w14:paraId="69B497FE">
      <w:pPr>
        <w:pStyle w:val="4"/>
        <w:numPr>
          <w:ilvl w:val="0"/>
          <w:numId w:val="0"/>
        </w:numPr>
        <w:spacing w:after="156" w:line="480" w:lineRule="exact"/>
        <w:ind w:left="709" w:hanging="709"/>
        <w:rPr>
          <w:rFonts w:hint="eastAsia" w:ascii="宋体" w:hAnsi="宋体" w:eastAsia="宋体" w:cs="宋体"/>
          <w:b w:val="0"/>
          <w:sz w:val="24"/>
          <w:szCs w:val="24"/>
        </w:rPr>
      </w:pP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.1.2.</w:t>
      </w:r>
      <w:r>
        <w:rPr>
          <w:rFonts w:hint="eastAsia" w:ascii="宋体" w:hAnsi="宋体" w:eastAsia="宋体" w:cs="宋体"/>
          <w:b w:val="0"/>
          <w:sz w:val="24"/>
          <w:szCs w:val="24"/>
        </w:rPr>
        <w:tab/>
      </w:r>
      <w:r>
        <w:rPr>
          <w:rFonts w:hint="eastAsia" w:ascii="宋体" w:hAnsi="宋体" w:eastAsia="宋体" w:cs="宋体"/>
          <w:b w:val="0"/>
          <w:sz w:val="24"/>
          <w:szCs w:val="24"/>
        </w:rPr>
        <w:t>技术与数据类标准</w:t>
      </w:r>
    </w:p>
    <w:p w14:paraId="17CD7E25">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基础硬件标准：《信息安全技术网络安全等级保护基本要求》（GB/T 22239）中关于计算设备国产化的要求。</w:t>
      </w:r>
    </w:p>
    <w:p w14:paraId="33E4DB0A">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操作系统：《信息安全技术操作系统安全技术要求》（GB/T 20272）；</w:t>
      </w:r>
    </w:p>
    <w:p w14:paraId="22091206">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数据库：</w:t>
      </w:r>
      <w:r>
        <w:rPr>
          <w:rFonts w:hint="eastAsia" w:ascii="宋体" w:eastAsia="宋体" w:cs="宋体"/>
          <w:kern w:val="2"/>
          <w:sz w:val="24"/>
          <w:szCs w:val="24"/>
          <w:lang w:eastAsia="zh-CN"/>
        </w:rPr>
        <w:t>《</w:t>
      </w:r>
      <w:r>
        <w:rPr>
          <w:rFonts w:hint="eastAsia" w:ascii="宋体" w:eastAsia="宋体" w:cs="宋体"/>
          <w:kern w:val="2"/>
          <w:sz w:val="24"/>
          <w:szCs w:val="24"/>
        </w:rPr>
        <w:t>信息安全技术 数据库管理系统安全技术要求</w:t>
      </w:r>
      <w:r>
        <w:rPr>
          <w:rFonts w:hint="eastAsia" w:ascii="宋体" w:eastAsia="宋体" w:cs="宋体"/>
          <w:kern w:val="2"/>
          <w:sz w:val="24"/>
          <w:szCs w:val="24"/>
          <w:lang w:eastAsia="zh-CN"/>
        </w:rPr>
        <w:t>》</w:t>
      </w:r>
      <w:r>
        <w:rPr>
          <w:rFonts w:hint="eastAsia" w:ascii="宋体" w:eastAsia="宋体" w:cs="宋体"/>
          <w:kern w:val="2"/>
          <w:sz w:val="24"/>
          <w:szCs w:val="24"/>
        </w:rPr>
        <w:t>（GB/T 20273）；</w:t>
      </w:r>
    </w:p>
    <w:p w14:paraId="473EC41D">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中间件：《中间件安全技术要求》（GB/T 26807）。</w:t>
      </w:r>
    </w:p>
    <w:p w14:paraId="68DC9478">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应用开发标准：遵循《信息技术软件工程术语》（GB/T 11457）及XC应用迁移规范。</w:t>
      </w:r>
    </w:p>
    <w:p w14:paraId="28BD08F8">
      <w:pPr>
        <w:pStyle w:val="4"/>
        <w:numPr>
          <w:ilvl w:val="0"/>
          <w:numId w:val="0"/>
        </w:numPr>
        <w:spacing w:after="156" w:line="480" w:lineRule="exact"/>
        <w:ind w:left="709" w:hanging="709"/>
        <w:rPr>
          <w:rFonts w:hint="eastAsia" w:ascii="宋体" w:hAnsi="宋体" w:eastAsia="宋体" w:cs="宋体"/>
          <w:b w:val="0"/>
          <w:sz w:val="24"/>
          <w:szCs w:val="24"/>
        </w:rPr>
      </w:pP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.1.3.</w:t>
      </w:r>
      <w:r>
        <w:rPr>
          <w:rFonts w:hint="eastAsia" w:ascii="宋体" w:hAnsi="宋体" w:eastAsia="宋体" w:cs="宋体"/>
          <w:b w:val="0"/>
          <w:sz w:val="24"/>
          <w:szCs w:val="24"/>
        </w:rPr>
        <w:tab/>
      </w:r>
      <w:r>
        <w:rPr>
          <w:rFonts w:hint="eastAsia" w:ascii="宋体" w:hAnsi="宋体" w:eastAsia="宋体" w:cs="宋体"/>
          <w:b w:val="0"/>
          <w:sz w:val="24"/>
          <w:szCs w:val="24"/>
        </w:rPr>
        <w:t>医疗行业数据标准</w:t>
      </w:r>
    </w:p>
    <w:p w14:paraId="20DD85C9">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患者健康档案、电子处方等数据遵循《电子病历基本规范（试行）》（卫医政发〔2010〕24 号）及《医疗质量管理办法》（国家卫健委令第 10 号）；跨机构数据共享采用 HL7 FHIR（快速医疗互操作性资源）标准，实现长三角区域医疗数据互通。</w:t>
      </w:r>
    </w:p>
    <w:p w14:paraId="6F7D27C6">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敏感数据加密遵循《信息安全技术 健康医疗数据安全指南》（GB/T 39725-2020），采用 SM4 算法对患者隐私信息（如身份证号、诊疗记录）进行存储加密；</w:t>
      </w:r>
    </w:p>
    <w:p w14:paraId="62306B60">
      <w:pPr>
        <w:pStyle w:val="41"/>
        <w:spacing w:after="156" w:line="480" w:lineRule="exact"/>
        <w:ind w:firstLine="480"/>
        <w:outlineLvl w:val="9"/>
        <w:rPr>
          <w:rFonts w:hint="eastAsia" w:ascii="宋体" w:eastAsia="宋体" w:cs="宋体"/>
          <w:kern w:val="2"/>
          <w:sz w:val="24"/>
          <w:szCs w:val="24"/>
        </w:rPr>
      </w:pPr>
      <w:r>
        <w:rPr>
          <w:rFonts w:hint="eastAsia" w:ascii="宋体" w:eastAsia="宋体" w:cs="宋体"/>
          <w:kern w:val="2"/>
          <w:sz w:val="24"/>
          <w:szCs w:val="24"/>
        </w:rPr>
        <w:t>数据传输采用 GM/T 0024-2014《安全认证网关技术规范》，通过安全认证网关建立 GMSSL 加密信道，确保传输数据完整性与机密性。</w:t>
      </w:r>
    </w:p>
    <w:p w14:paraId="5286F526">
      <w:pPr>
        <w:pStyle w:val="3"/>
        <w:keepNext/>
        <w:keepLines/>
        <w:numPr>
          <w:ilvl w:val="0"/>
          <w:numId w:val="0"/>
        </w:numPr>
        <w:spacing w:after="156" w:line="480" w:lineRule="exact"/>
        <w:ind w:left="567" w:hanging="567"/>
        <w:rPr>
          <w:rFonts w:hint="eastAsia" w:ascii="宋体" w:hAnsi="宋体" w:eastAsia="宋体" w:cs="宋体"/>
          <w:b/>
          <w:bCs/>
          <w:sz w:val="24"/>
        </w:rPr>
      </w:pPr>
      <w:bookmarkStart w:id="26" w:name="_Toc26010"/>
      <w:r>
        <w:rPr>
          <w:rFonts w:hint="eastAsia" w:ascii="宋体" w:hAnsi="宋体" w:eastAsia="宋体" w:cs="宋体"/>
          <w:b/>
          <w:bCs/>
          <w:sz w:val="24"/>
          <w:lang w:val="en-US" w:eastAsia="zh-CN"/>
        </w:rPr>
        <w:t>3</w:t>
      </w:r>
      <w:r>
        <w:rPr>
          <w:rFonts w:hint="eastAsia" w:ascii="宋体" w:hAnsi="宋体" w:eastAsia="宋体" w:cs="宋体"/>
          <w:b/>
          <w:bCs/>
          <w:sz w:val="24"/>
        </w:rPr>
        <w:t>.2.总体架构要求</w:t>
      </w:r>
      <w:bookmarkEnd w:id="26"/>
    </w:p>
    <w:p w14:paraId="37E65DB4">
      <w:pPr>
        <w:pStyle w:val="40"/>
        <w:rPr>
          <w:rFonts w:hint="eastAsia"/>
        </w:rPr>
      </w:pPr>
      <w:r>
        <w:rPr>
          <w:rFonts w:hint="eastAsia"/>
        </w:rPr>
        <w:t>本项目基于医院现有资源基础建设，在基础设施层，以国产化的CPU、操作系统为底座，统筹利用计算、存储、网络、安全、应用支撑、信息资源等软硬件资源，发挥云计算虚拟化、高可靠性、高通用性、高可扩展性及快速、弹性、按需自助服务等特征，提供可信的计算、网络和存储能力。</w:t>
      </w:r>
    </w:p>
    <w:p w14:paraId="3A7E82C4">
      <w:pPr>
        <w:pStyle w:val="40"/>
        <w:rPr>
          <w:rFonts w:hint="eastAsia"/>
        </w:rPr>
      </w:pPr>
      <w:r>
        <w:rPr>
          <w:rFonts w:hint="eastAsia"/>
        </w:rPr>
        <w:t>供应商提供总体架构设计及描述。</w:t>
      </w:r>
    </w:p>
    <w:p w14:paraId="442AE111">
      <w:pPr>
        <w:pStyle w:val="2"/>
        <w:numPr>
          <w:ilvl w:val="0"/>
          <w:numId w:val="3"/>
        </w:numPr>
        <w:spacing w:before="156" w:after="156" w:line="480" w:lineRule="exact"/>
        <w:ind w:left="426" w:hanging="425" w:hangingChars="177"/>
        <w:rPr>
          <w:rFonts w:hint="eastAsia" w:ascii="宋体" w:hAnsi="宋体" w:eastAsia="宋体" w:cs="宋体"/>
          <w:sz w:val="24"/>
          <w:szCs w:val="24"/>
        </w:rPr>
      </w:pPr>
      <w:bookmarkStart w:id="27" w:name="_Toc359"/>
      <w:r>
        <w:rPr>
          <w:rFonts w:hint="eastAsia" w:ascii="宋体" w:hAnsi="宋体" w:eastAsia="宋体" w:cs="宋体"/>
          <w:sz w:val="24"/>
          <w:szCs w:val="24"/>
        </w:rPr>
        <w:t>其他采购要求</w:t>
      </w:r>
      <w:bookmarkEnd w:id="27"/>
    </w:p>
    <w:p w14:paraId="6F695B8F">
      <w:pPr>
        <w:pStyle w:val="3"/>
        <w:numPr>
          <w:ilvl w:val="0"/>
          <w:numId w:val="0"/>
        </w:numPr>
        <w:spacing w:after="156" w:line="480" w:lineRule="exact"/>
        <w:ind w:left="709" w:hanging="709"/>
        <w:rPr>
          <w:rFonts w:hint="eastAsia" w:ascii="宋体" w:hAnsi="宋体" w:eastAsia="宋体" w:cs="宋体"/>
          <w:b/>
          <w:sz w:val="24"/>
        </w:rPr>
      </w:pPr>
      <w:bookmarkStart w:id="28" w:name="_Toc16804"/>
      <w:bookmarkStart w:id="29" w:name="_Toc63785505"/>
      <w:bookmarkStart w:id="30" w:name="_Toc21242"/>
      <w:bookmarkStart w:id="31" w:name="_Toc224662158"/>
      <w:bookmarkStart w:id="32" w:name="_Toc193098800"/>
      <w:r>
        <w:rPr>
          <w:rFonts w:hint="eastAsia" w:ascii="宋体" w:hAnsi="宋体" w:eastAsia="宋体" w:cs="宋体"/>
          <w:b/>
          <w:sz w:val="24"/>
        </w:rPr>
        <w:t>4.1售后服务要求</w:t>
      </w:r>
      <w:bookmarkEnd w:id="28"/>
      <w:bookmarkEnd w:id="29"/>
      <w:bookmarkEnd w:id="30"/>
      <w:bookmarkEnd w:id="31"/>
      <w:bookmarkEnd w:id="32"/>
    </w:p>
    <w:p w14:paraId="4D27FF0D">
      <w:pPr>
        <w:pStyle w:val="40"/>
        <w:rPr>
          <w:rFonts w:hint="eastAsia" w:ascii="宋体" w:hAnsi="宋体" w:eastAsia="宋体" w:cs="宋体"/>
        </w:rPr>
      </w:pPr>
      <w:r>
        <w:rPr>
          <w:rFonts w:hint="eastAsia" w:ascii="宋体" w:hAnsi="宋体" w:eastAsia="宋体" w:cs="宋体"/>
        </w:rPr>
        <w:t>本项目从系统验收通过之日起</w:t>
      </w:r>
      <w:r>
        <w:rPr>
          <w:rFonts w:hint="eastAsia" w:ascii="宋体" w:hAnsi="宋体" w:eastAsia="宋体" w:cs="宋体"/>
          <w:lang w:eastAsia="zh-CN"/>
        </w:rPr>
        <w:t>提供不少于</w:t>
      </w:r>
      <w:r>
        <w:rPr>
          <w:rFonts w:hint="eastAsia" w:ascii="宋体" w:hAnsi="宋体" w:eastAsia="宋体" w:cs="宋体"/>
        </w:rPr>
        <w:t>1年</w:t>
      </w:r>
      <w:r>
        <w:rPr>
          <w:rFonts w:hint="eastAsia" w:ascii="宋体" w:hAnsi="宋体" w:eastAsia="宋体" w:cs="宋体"/>
          <w:lang w:eastAsia="zh-CN"/>
        </w:rPr>
        <w:t>的</w:t>
      </w:r>
      <w:r>
        <w:rPr>
          <w:rFonts w:hint="eastAsia" w:cs="宋体"/>
          <w:lang w:eastAsia="zh-CN"/>
        </w:rPr>
        <w:t>质保期，质保期内提供</w:t>
      </w:r>
      <w:r>
        <w:rPr>
          <w:rFonts w:hint="eastAsia" w:ascii="宋体" w:hAnsi="宋体" w:eastAsia="宋体" w:cs="宋体"/>
        </w:rPr>
        <w:t>7*24小时免费技术支持。</w:t>
      </w:r>
    </w:p>
    <w:p w14:paraId="3546C72A">
      <w:pPr>
        <w:pStyle w:val="40"/>
        <w:rPr>
          <w:rFonts w:hint="eastAsia" w:ascii="宋体" w:hAnsi="宋体" w:eastAsia="宋体" w:cs="宋体"/>
          <w:sz w:val="24"/>
          <w:szCs w:val="24"/>
        </w:rPr>
      </w:pPr>
      <w:r>
        <w:rPr>
          <w:rFonts w:hint="eastAsia" w:ascii="宋体" w:hAnsi="宋体" w:eastAsia="宋体" w:cs="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77535F89">
      <w:pPr>
        <w:pStyle w:val="40"/>
        <w:rPr>
          <w:rFonts w:hint="eastAsia" w:ascii="宋体" w:hAnsi="宋体" w:eastAsia="宋体" w:cs="宋体"/>
          <w:sz w:val="24"/>
          <w:szCs w:val="24"/>
        </w:rPr>
      </w:pPr>
      <w:r>
        <w:rPr>
          <w:rFonts w:hint="eastAsia" w:ascii="宋体" w:hAnsi="宋体" w:eastAsia="宋体" w:cs="宋体"/>
          <w:sz w:val="24"/>
          <w:szCs w:val="24"/>
        </w:rPr>
        <w:t>在质量保证期内，供应商负责信息系统的运行维护工作，确保信息系统安全、稳定、可靠地运行。</w:t>
      </w:r>
    </w:p>
    <w:p w14:paraId="5484FD55">
      <w:pPr>
        <w:pStyle w:val="40"/>
        <w:rPr>
          <w:rFonts w:hint="eastAsia" w:ascii="宋体" w:hAnsi="宋体" w:eastAsia="宋体" w:cs="宋体"/>
          <w:sz w:val="24"/>
          <w:szCs w:val="24"/>
        </w:rPr>
      </w:pPr>
      <w:r>
        <w:rPr>
          <w:rFonts w:hint="eastAsia" w:ascii="宋体" w:hAnsi="宋体" w:eastAsia="宋体" w:cs="宋体"/>
          <w:sz w:val="24"/>
          <w:szCs w:val="24"/>
        </w:rPr>
        <w:t>维护小组下设中心系统维护小组、软件维护小组、技术支持小组和培训小组，负责处理维护过程的相关问题，定期为系统硬件设备、系统软件、应用系统提供运行维护。</w:t>
      </w:r>
    </w:p>
    <w:p w14:paraId="0CF79BBF">
      <w:pPr>
        <w:pStyle w:val="3"/>
        <w:numPr>
          <w:ilvl w:val="0"/>
          <w:numId w:val="0"/>
        </w:numPr>
        <w:spacing w:after="156" w:line="480" w:lineRule="exact"/>
        <w:ind w:left="709" w:hanging="709"/>
        <w:rPr>
          <w:rFonts w:hint="eastAsia" w:ascii="宋体" w:hAnsi="宋体" w:eastAsia="宋体" w:cs="宋体"/>
          <w:b/>
          <w:sz w:val="24"/>
        </w:rPr>
      </w:pPr>
      <w:bookmarkStart w:id="33" w:name="_Toc224662159"/>
      <w:bookmarkStart w:id="34" w:name="_Toc193098801"/>
      <w:bookmarkStart w:id="35" w:name="_Toc31349"/>
      <w:r>
        <w:rPr>
          <w:rFonts w:hint="eastAsia" w:ascii="宋体" w:hAnsi="宋体" w:eastAsia="宋体" w:cs="宋体"/>
          <w:b/>
          <w:sz w:val="24"/>
        </w:rPr>
        <w:t>4.2应急响应要求</w:t>
      </w:r>
      <w:bookmarkEnd w:id="33"/>
      <w:bookmarkEnd w:id="34"/>
      <w:bookmarkEnd w:id="35"/>
    </w:p>
    <w:p w14:paraId="121E9727">
      <w:pPr>
        <w:pStyle w:val="62"/>
        <w:spacing w:after="156"/>
        <w:ind w:firstLine="480"/>
        <w:rPr>
          <w:rFonts w:hint="eastAsia" w:ascii="宋体" w:hAnsi="宋体" w:eastAsia="宋体"/>
          <w:sz w:val="24"/>
          <w:szCs w:val="24"/>
        </w:rPr>
      </w:pPr>
      <w:r>
        <w:rPr>
          <w:rFonts w:hint="eastAsia" w:ascii="宋体" w:hAnsi="宋体" w:eastAsia="宋体"/>
          <w:sz w:val="24"/>
          <w:szCs w:val="24"/>
        </w:rPr>
        <w:t>供应商对系统故障应能够实时响应，若系统发生故障，接到通知后30分钟之内响应，专业工程师2小时内到达现场。特殊故障与客户沟通协商后，按照协商的方式制定解决方案并进行处理。</w:t>
      </w:r>
    </w:p>
    <w:p w14:paraId="3A995F74">
      <w:pPr>
        <w:pStyle w:val="62"/>
        <w:spacing w:after="156"/>
        <w:ind w:firstLine="480"/>
        <w:rPr>
          <w:rFonts w:hint="eastAsia" w:ascii="宋体" w:hAnsi="宋体" w:eastAsia="宋体"/>
          <w:sz w:val="24"/>
          <w:szCs w:val="24"/>
        </w:rPr>
      </w:pPr>
      <w:r>
        <w:rPr>
          <w:rFonts w:hint="eastAsia" w:ascii="宋体" w:hAnsi="宋体" w:eastAsia="宋体"/>
          <w:sz w:val="24"/>
          <w:szCs w:val="24"/>
        </w:rPr>
        <w:t>具体故障级别及对应的应急响应要求如下：</w:t>
      </w:r>
    </w:p>
    <w:p w14:paraId="28EFA608">
      <w:pPr>
        <w:pStyle w:val="62"/>
        <w:spacing w:after="156"/>
        <w:ind w:firstLine="480"/>
        <w:rPr>
          <w:rFonts w:hint="eastAsia" w:ascii="宋体" w:hAnsi="宋体" w:eastAsia="宋体"/>
          <w:sz w:val="24"/>
          <w:szCs w:val="24"/>
        </w:rPr>
      </w:pPr>
      <w:r>
        <w:rPr>
          <w:rFonts w:hint="eastAsia" w:ascii="宋体" w:hAnsi="宋体" w:eastAsia="宋体"/>
          <w:sz w:val="24"/>
          <w:szCs w:val="24"/>
        </w:rPr>
        <w:t>一级故障：在1小时内确诊，总故障解决时间不超过4小时。</w:t>
      </w:r>
    </w:p>
    <w:p w14:paraId="0CC13FED">
      <w:pPr>
        <w:pStyle w:val="62"/>
        <w:spacing w:after="156"/>
        <w:ind w:firstLine="480"/>
        <w:rPr>
          <w:rFonts w:hint="eastAsia" w:ascii="宋体" w:hAnsi="宋体" w:eastAsia="宋体"/>
          <w:sz w:val="24"/>
          <w:szCs w:val="24"/>
        </w:rPr>
      </w:pPr>
      <w:r>
        <w:rPr>
          <w:rFonts w:hint="eastAsia" w:ascii="宋体" w:hAnsi="宋体" w:eastAsia="宋体"/>
          <w:sz w:val="24"/>
          <w:szCs w:val="24"/>
        </w:rPr>
        <w:t>二级故障：在2小时内确诊，并在4小时内由专家到达现场确诊并解决，总故障解决时间不超过8小时；</w:t>
      </w:r>
    </w:p>
    <w:p w14:paraId="6CBE115B">
      <w:pPr>
        <w:pStyle w:val="62"/>
        <w:spacing w:after="156"/>
        <w:ind w:firstLine="480"/>
        <w:rPr>
          <w:rFonts w:hint="eastAsia" w:ascii="宋体" w:hAnsi="宋体" w:eastAsia="宋体"/>
          <w:sz w:val="24"/>
          <w:szCs w:val="24"/>
        </w:rPr>
      </w:pPr>
      <w:r>
        <w:rPr>
          <w:rFonts w:hint="eastAsia" w:ascii="宋体" w:hAnsi="宋体" w:eastAsia="宋体"/>
          <w:sz w:val="24"/>
          <w:szCs w:val="24"/>
        </w:rPr>
        <w:t>四级故障：在4小时内确诊故障，总故障解决时间不超过16小时。</w:t>
      </w:r>
    </w:p>
    <w:p w14:paraId="52ACBAFB">
      <w:pPr>
        <w:pStyle w:val="3"/>
        <w:numPr>
          <w:ilvl w:val="0"/>
          <w:numId w:val="0"/>
        </w:numPr>
        <w:spacing w:after="156" w:line="480" w:lineRule="exact"/>
        <w:ind w:left="709" w:hanging="709"/>
        <w:rPr>
          <w:rFonts w:hint="eastAsia" w:ascii="宋体" w:hAnsi="宋体" w:eastAsia="宋体" w:cs="宋体"/>
          <w:b/>
          <w:sz w:val="24"/>
        </w:rPr>
      </w:pPr>
      <w:bookmarkStart w:id="36" w:name="_Toc63785507"/>
      <w:bookmarkStart w:id="37" w:name="_Toc1558"/>
      <w:bookmarkStart w:id="38" w:name="_Toc193098802"/>
      <w:bookmarkStart w:id="39" w:name="_Toc25399"/>
      <w:bookmarkStart w:id="40" w:name="_Toc224662160"/>
      <w:r>
        <w:rPr>
          <w:rFonts w:hint="eastAsia" w:ascii="宋体" w:hAnsi="宋体" w:eastAsia="宋体" w:cs="宋体"/>
          <w:b/>
          <w:sz w:val="24"/>
        </w:rPr>
        <w:t>4.3培训要求</w:t>
      </w:r>
      <w:bookmarkEnd w:id="36"/>
      <w:bookmarkEnd w:id="37"/>
      <w:bookmarkEnd w:id="38"/>
      <w:bookmarkEnd w:id="39"/>
      <w:bookmarkEnd w:id="40"/>
    </w:p>
    <w:p w14:paraId="478E10D1">
      <w:pPr>
        <w:pStyle w:val="62"/>
        <w:spacing w:after="156"/>
        <w:ind w:firstLine="480"/>
        <w:rPr>
          <w:rFonts w:hint="eastAsia" w:ascii="宋体" w:hAnsi="宋体" w:eastAsia="宋体"/>
          <w:sz w:val="24"/>
          <w:szCs w:val="24"/>
        </w:rPr>
      </w:pPr>
      <w:r>
        <w:rPr>
          <w:rFonts w:hint="eastAsia" w:ascii="宋体" w:hAnsi="宋体" w:eastAsia="宋体"/>
          <w:sz w:val="24"/>
          <w:szCs w:val="24"/>
        </w:rPr>
        <w:t>对系统使用单位提供业务操作培训，应提供详细培训方案。</w:t>
      </w:r>
    </w:p>
    <w:p w14:paraId="3027EF67">
      <w:pPr>
        <w:pStyle w:val="62"/>
        <w:spacing w:after="156"/>
        <w:ind w:firstLine="480"/>
        <w:rPr>
          <w:rFonts w:hint="eastAsia" w:ascii="宋体" w:hAnsi="宋体" w:eastAsia="宋体"/>
          <w:sz w:val="24"/>
          <w:szCs w:val="24"/>
        </w:rPr>
      </w:pPr>
      <w:r>
        <w:rPr>
          <w:rFonts w:hint="eastAsia" w:ascii="宋体" w:hAnsi="宋体" w:eastAsia="宋体"/>
          <w:sz w:val="24"/>
          <w:szCs w:val="24"/>
        </w:rPr>
        <w:t>(1)在质量保证期内，提供</w:t>
      </w:r>
      <w:r>
        <w:rPr>
          <w:rFonts w:hint="eastAsia" w:ascii="宋体" w:hAnsi="宋体" w:eastAsia="宋体"/>
          <w:sz w:val="24"/>
          <w:szCs w:val="24"/>
          <w:lang w:eastAsia="zh-CN"/>
        </w:rPr>
        <w:t>不少于</w:t>
      </w:r>
      <w:r>
        <w:rPr>
          <w:rFonts w:hint="eastAsia" w:ascii="宋体" w:hAnsi="宋体" w:eastAsia="宋体"/>
          <w:sz w:val="24"/>
          <w:szCs w:val="24"/>
        </w:rPr>
        <w:t>2次与项目相关的必要培训。</w:t>
      </w:r>
    </w:p>
    <w:p w14:paraId="07181538">
      <w:pPr>
        <w:pStyle w:val="62"/>
        <w:spacing w:after="156"/>
        <w:ind w:firstLine="480"/>
        <w:rPr>
          <w:rFonts w:hint="eastAsia" w:ascii="宋体" w:hAnsi="宋体" w:eastAsia="宋体"/>
          <w:sz w:val="24"/>
          <w:szCs w:val="24"/>
        </w:rPr>
      </w:pPr>
      <w:r>
        <w:rPr>
          <w:rFonts w:hint="eastAsia" w:ascii="宋体" w:hAnsi="宋体" w:eastAsia="宋体"/>
          <w:sz w:val="24"/>
          <w:szCs w:val="24"/>
        </w:rPr>
        <w:t>(2)供应商需要开展分层次的人员培训工作，每次培训后应对参加培训人员进行测试，评估培训成果。培训应具有培训教材、培训环境和高水平的培训讲师。</w:t>
      </w:r>
    </w:p>
    <w:p w14:paraId="41F2ADCE">
      <w:pPr>
        <w:pStyle w:val="62"/>
        <w:spacing w:after="156"/>
        <w:ind w:firstLine="480"/>
        <w:rPr>
          <w:rFonts w:hint="eastAsia" w:ascii="宋体" w:hAnsi="宋体" w:eastAsia="宋体"/>
          <w:sz w:val="24"/>
          <w:szCs w:val="24"/>
        </w:rPr>
      </w:pPr>
      <w:r>
        <w:rPr>
          <w:rFonts w:hint="eastAsia" w:ascii="宋体" w:hAnsi="宋体" w:eastAsia="宋体"/>
          <w:sz w:val="24"/>
          <w:szCs w:val="24"/>
        </w:rPr>
        <w:t>(3)供应商应提供一般用户的基础操作培训和部门信息管理员的日常应用维护的培训，确保用户对象能够掌握对应的操作技能。</w:t>
      </w:r>
    </w:p>
    <w:p w14:paraId="160294FA">
      <w:pPr>
        <w:pStyle w:val="3"/>
        <w:numPr>
          <w:ilvl w:val="0"/>
          <w:numId w:val="0"/>
        </w:numPr>
        <w:spacing w:after="156" w:line="480" w:lineRule="exact"/>
        <w:ind w:left="709" w:hanging="709"/>
        <w:rPr>
          <w:rFonts w:hint="eastAsia" w:ascii="宋体" w:hAnsi="宋体" w:eastAsia="宋体" w:cs="宋体"/>
          <w:b/>
          <w:sz w:val="24"/>
        </w:rPr>
      </w:pPr>
      <w:bookmarkStart w:id="41" w:name="_Toc16951"/>
      <w:bookmarkStart w:id="42" w:name="_Toc63785508"/>
      <w:bookmarkStart w:id="43" w:name="_Toc193098803"/>
      <w:bookmarkStart w:id="44" w:name="_Toc6373"/>
      <w:bookmarkStart w:id="45" w:name="_Toc224662161"/>
      <w:r>
        <w:rPr>
          <w:rFonts w:hint="eastAsia" w:ascii="宋体" w:hAnsi="宋体" w:eastAsia="宋体" w:cs="宋体"/>
          <w:b/>
          <w:sz w:val="24"/>
        </w:rPr>
        <w:t>4.4验收要求</w:t>
      </w:r>
      <w:bookmarkEnd w:id="41"/>
      <w:bookmarkEnd w:id="42"/>
      <w:bookmarkEnd w:id="43"/>
      <w:bookmarkEnd w:id="44"/>
      <w:bookmarkEnd w:id="45"/>
    </w:p>
    <w:p w14:paraId="7C19E5D3">
      <w:pPr>
        <w:pStyle w:val="62"/>
        <w:spacing w:after="156"/>
        <w:ind w:firstLine="480"/>
        <w:rPr>
          <w:rFonts w:hint="eastAsia" w:ascii="宋体" w:hAnsi="宋体" w:eastAsia="宋体"/>
          <w:sz w:val="24"/>
          <w:szCs w:val="24"/>
        </w:rPr>
      </w:pPr>
      <w:r>
        <w:rPr>
          <w:rFonts w:hint="eastAsia" w:ascii="宋体" w:hAnsi="宋体" w:eastAsia="宋体"/>
          <w:sz w:val="24"/>
          <w:szCs w:val="24"/>
        </w:rPr>
        <w:t>本项目按下述方式开展验收。</w:t>
      </w:r>
    </w:p>
    <w:p w14:paraId="0892D9E6">
      <w:pPr>
        <w:pStyle w:val="62"/>
        <w:spacing w:after="156"/>
        <w:ind w:firstLine="480"/>
        <w:rPr>
          <w:rFonts w:hint="eastAsia" w:ascii="宋体" w:hAnsi="宋体" w:eastAsia="宋体"/>
          <w:sz w:val="24"/>
          <w:szCs w:val="24"/>
        </w:rPr>
      </w:pPr>
      <w:r>
        <w:rPr>
          <w:rFonts w:hint="eastAsia" w:ascii="宋体" w:hAnsi="宋体" w:eastAsia="宋体"/>
          <w:sz w:val="24"/>
          <w:szCs w:val="24"/>
        </w:rPr>
        <w:t>（1）验收分初验和终验。</w:t>
      </w:r>
    </w:p>
    <w:p w14:paraId="04BE04FB">
      <w:pPr>
        <w:pStyle w:val="62"/>
        <w:spacing w:after="156"/>
        <w:ind w:firstLine="480"/>
        <w:rPr>
          <w:rFonts w:hint="eastAsia" w:ascii="宋体" w:hAnsi="宋体" w:eastAsia="宋体"/>
          <w:sz w:val="24"/>
          <w:szCs w:val="24"/>
        </w:rPr>
      </w:pPr>
      <w:r>
        <w:rPr>
          <w:rFonts w:hint="eastAsia" w:ascii="宋体" w:hAnsi="宋体" w:eastAsia="宋体"/>
          <w:sz w:val="24"/>
          <w:szCs w:val="24"/>
        </w:rPr>
        <w:t>（2）初验前，供应商须完成软件开发、安装和信息系统的调试等，并对本项目进行功能和运行检测，确保所有信息系统功能模块能够正常运行且已达到本项目约定的各类标准要求。供应商应以书面形式向采购人递交初验通知书。采购人应当在接到通知后的5个工作日内确定初验的具体日期，由双方按照本项目的约定完成本项目的初验。采购人有权委托第三方检测机构进行验收，对此供应商应当配合。</w:t>
      </w:r>
    </w:p>
    <w:p w14:paraId="08D1BC0C">
      <w:pPr>
        <w:pStyle w:val="62"/>
        <w:spacing w:after="156"/>
        <w:ind w:firstLine="480"/>
        <w:rPr>
          <w:rFonts w:hint="eastAsia" w:ascii="宋体" w:hAnsi="宋体" w:eastAsia="宋体"/>
          <w:sz w:val="24"/>
          <w:szCs w:val="24"/>
        </w:rPr>
      </w:pPr>
      <w:r>
        <w:rPr>
          <w:rFonts w:hint="eastAsia" w:ascii="宋体" w:hAnsi="宋体" w:eastAsia="宋体"/>
          <w:sz w:val="24"/>
          <w:szCs w:val="24"/>
        </w:rPr>
        <w:t>（3）初验时，供应商须提供软件文档包括《需求分析说明书》、《系统设计说明书》、《数据库设计》、《用户操作手册》、《安装维护手册》、《系统测试报告》等及可安装的程序运行文件。所交付的文档与文件应当是可供自然人阅读的书面和电子文档。软件文档及可安装的程序运行文件验收通过后，视为初验通过。如有缺陷，采购人应向供应商出具书面报告，陈述需要改进的缺陷。供应商应立即严格依照采购人的书面报告中的要求改进缺陷，并再次进行初验。</w:t>
      </w:r>
    </w:p>
    <w:p w14:paraId="7127C7F0">
      <w:pPr>
        <w:pStyle w:val="62"/>
        <w:spacing w:after="156"/>
        <w:ind w:firstLine="480"/>
        <w:rPr>
          <w:rFonts w:hint="eastAsia" w:ascii="宋体" w:hAnsi="宋体" w:eastAsia="宋体"/>
          <w:sz w:val="24"/>
          <w:szCs w:val="24"/>
        </w:rPr>
      </w:pPr>
      <w:r>
        <w:rPr>
          <w:rFonts w:hint="eastAsia" w:ascii="宋体" w:hAnsi="宋体" w:eastAsia="宋体"/>
          <w:sz w:val="24"/>
          <w:szCs w:val="24"/>
        </w:rPr>
        <w:t>（4）自初验通过之日起，采购人享有供应商免费提供的一个月以上的信息系统试运行服务期。该期间内，供应商应当按照采购人的要求提供技术支持服务，解决信息系统试运行期间可能出现的各类问题，或进一步提高与完善信息系统运行水平。</w:t>
      </w:r>
    </w:p>
    <w:p w14:paraId="1E2E2924">
      <w:pPr>
        <w:pStyle w:val="62"/>
        <w:spacing w:after="156"/>
        <w:ind w:firstLine="480"/>
        <w:rPr>
          <w:rFonts w:hint="eastAsia" w:ascii="宋体" w:hAnsi="宋体" w:eastAsia="宋体"/>
          <w:sz w:val="24"/>
          <w:szCs w:val="24"/>
        </w:rPr>
      </w:pPr>
      <w:r>
        <w:rPr>
          <w:rFonts w:hint="eastAsia" w:ascii="宋体" w:hAnsi="宋体" w:eastAsia="宋体"/>
          <w:sz w:val="24"/>
          <w:szCs w:val="24"/>
        </w:rPr>
        <w:t>（5）初验通过且信息系统试运行期已经达到本项目约定的时间，经供应商确认信息系统具备正常运行条件，且信息系统通过运行测试，供应商应以书面形式通知采购人信息系统已准备就绪等待终验。采购人在收到终验通知后的10个工作日内向上级主管部门发起组织专家验收申请。</w:t>
      </w:r>
    </w:p>
    <w:p w14:paraId="6BED13BB">
      <w:pPr>
        <w:pStyle w:val="62"/>
        <w:spacing w:after="156"/>
        <w:ind w:firstLine="480"/>
        <w:rPr>
          <w:rFonts w:hint="eastAsia" w:ascii="宋体" w:hAnsi="宋体" w:eastAsia="宋体"/>
          <w:sz w:val="24"/>
          <w:szCs w:val="24"/>
        </w:rPr>
      </w:pPr>
      <w:r>
        <w:rPr>
          <w:rFonts w:hint="eastAsia" w:ascii="宋体" w:hAnsi="宋体" w:eastAsia="宋体"/>
          <w:sz w:val="24"/>
          <w:szCs w:val="24"/>
        </w:rPr>
        <w:t>（6）如果属于供应商原因致使本项目未能通过终验，供应商应当排除缺陷，直至本项目完全符合验收标准，由上述情形而产生的相关费用应由供应商自行承担。</w:t>
      </w:r>
    </w:p>
    <w:p w14:paraId="011ADBFB">
      <w:pPr>
        <w:pStyle w:val="62"/>
        <w:spacing w:after="156"/>
        <w:ind w:firstLine="480"/>
        <w:rPr>
          <w:rFonts w:hint="eastAsia" w:ascii="宋体" w:hAnsi="宋体" w:eastAsia="宋体"/>
          <w:sz w:val="24"/>
          <w:szCs w:val="24"/>
        </w:rPr>
      </w:pPr>
      <w:r>
        <w:rPr>
          <w:rFonts w:hint="eastAsia" w:ascii="宋体" w:hAnsi="宋体" w:eastAsia="宋体"/>
          <w:sz w:val="24"/>
          <w:szCs w:val="24"/>
        </w:rPr>
        <w:t>（7）如果由于采购人原因导致本项目在终验通过前出现故障或问题，供应商应及时配合排除该方面的故障或问题。</w:t>
      </w:r>
    </w:p>
    <w:p w14:paraId="7E75E726">
      <w:pPr>
        <w:pStyle w:val="62"/>
        <w:spacing w:after="156"/>
        <w:ind w:firstLine="480"/>
        <w:rPr>
          <w:rFonts w:hint="eastAsia" w:ascii="宋体" w:hAnsi="宋体" w:eastAsia="宋体"/>
          <w:sz w:val="24"/>
          <w:szCs w:val="24"/>
        </w:rPr>
      </w:pPr>
      <w:r>
        <w:rPr>
          <w:rFonts w:hint="eastAsia" w:ascii="宋体" w:hAnsi="宋体" w:eastAsia="宋体"/>
          <w:sz w:val="24"/>
          <w:szCs w:val="24"/>
        </w:rPr>
        <w:t>（8）如本项目连续3次验收未通过（含初验未通过或终验未通过），采购人有权解除项目，并有权依照本项目约定的违约条款追究供应商的违约责任。</w:t>
      </w:r>
    </w:p>
    <w:p w14:paraId="0C319B23">
      <w:pPr>
        <w:pStyle w:val="3"/>
        <w:numPr>
          <w:ilvl w:val="0"/>
          <w:numId w:val="0"/>
        </w:numPr>
        <w:spacing w:after="156" w:line="480" w:lineRule="exact"/>
        <w:ind w:left="709" w:hanging="709"/>
        <w:rPr>
          <w:rFonts w:hint="eastAsia" w:ascii="宋体" w:hAnsi="宋体" w:eastAsia="宋体" w:cs="宋体"/>
          <w:b/>
          <w:sz w:val="24"/>
        </w:rPr>
      </w:pPr>
      <w:bookmarkStart w:id="46" w:name="_Toc224662162"/>
      <w:bookmarkStart w:id="47" w:name="_Toc29899"/>
      <w:bookmarkStart w:id="48" w:name="_Toc63785509"/>
      <w:bookmarkStart w:id="49" w:name="_Toc30613"/>
      <w:bookmarkStart w:id="50" w:name="_Toc193098804"/>
      <w:r>
        <w:rPr>
          <w:rFonts w:hint="eastAsia" w:ascii="宋体" w:hAnsi="宋体" w:eastAsia="宋体" w:cs="宋体"/>
          <w:b/>
          <w:sz w:val="24"/>
        </w:rPr>
        <w:t>4.5进度要求</w:t>
      </w:r>
      <w:bookmarkEnd w:id="46"/>
      <w:bookmarkEnd w:id="47"/>
      <w:bookmarkEnd w:id="48"/>
      <w:bookmarkEnd w:id="49"/>
      <w:bookmarkEnd w:id="50"/>
    </w:p>
    <w:p w14:paraId="6619562B">
      <w:pPr>
        <w:pStyle w:val="62"/>
        <w:spacing w:after="156"/>
        <w:ind w:firstLine="480"/>
        <w:rPr>
          <w:rFonts w:hint="eastAsia" w:ascii="宋体" w:hAnsi="宋体" w:eastAsia="宋体"/>
          <w:sz w:val="24"/>
          <w:szCs w:val="24"/>
        </w:rPr>
      </w:pPr>
      <w:r>
        <w:rPr>
          <w:rFonts w:hint="eastAsia" w:ascii="宋体" w:hAnsi="宋体" w:eastAsia="宋体"/>
          <w:sz w:val="24"/>
          <w:szCs w:val="24"/>
        </w:rPr>
        <w:t>供应商应根据建设内容，分阶段制定合理的时间进度，并且应根据采购人要求进行调整和细化。</w:t>
      </w:r>
    </w:p>
    <w:p w14:paraId="3A41D8A1">
      <w:pPr>
        <w:pStyle w:val="62"/>
        <w:spacing w:after="156"/>
        <w:ind w:firstLine="480"/>
        <w:rPr>
          <w:rFonts w:hint="eastAsia" w:ascii="宋体" w:hAnsi="宋体" w:eastAsia="宋体"/>
          <w:sz w:val="24"/>
          <w:szCs w:val="24"/>
          <w:lang w:eastAsia="zh-CN"/>
        </w:rPr>
      </w:pPr>
      <w:bookmarkStart w:id="51" w:name="_Toc193098805"/>
      <w:bookmarkStart w:id="52" w:name="_Toc22658"/>
      <w:bookmarkStart w:id="53" w:name="_Toc11672"/>
      <w:bookmarkStart w:id="54" w:name="_Toc63785510"/>
      <w:bookmarkStart w:id="55" w:name="_Toc224662163"/>
      <w:bookmarkStart w:id="87" w:name="_GoBack"/>
      <w:r>
        <w:rPr>
          <w:rFonts w:hint="eastAsia" w:ascii="宋体" w:hAnsi="宋体" w:eastAsia="宋体"/>
          <w:sz w:val="24"/>
          <w:szCs w:val="24"/>
          <w:lang w:eastAsia="zh-CN"/>
        </w:rPr>
        <w:t>自合同签订之日起至2026年11月30日</w:t>
      </w:r>
    </w:p>
    <w:p w14:paraId="13E8A67D">
      <w:pPr>
        <w:pStyle w:val="62"/>
        <w:spacing w:after="156"/>
        <w:ind w:firstLine="480"/>
        <w:rPr>
          <w:rFonts w:hint="eastAsia" w:ascii="宋体" w:hAnsi="宋体" w:eastAsia="宋体"/>
          <w:sz w:val="24"/>
          <w:szCs w:val="24"/>
        </w:rPr>
      </w:pPr>
      <w:r>
        <w:rPr>
          <w:rFonts w:hint="eastAsia" w:ascii="宋体" w:hAnsi="宋体" w:eastAsia="宋体"/>
          <w:sz w:val="24"/>
          <w:szCs w:val="24"/>
        </w:rPr>
        <w:t>项目启动及系统设计（</w:t>
      </w:r>
      <w:r>
        <w:rPr>
          <w:rFonts w:hint="eastAsia" w:ascii="宋体" w:hAnsi="宋体" w:eastAsia="宋体"/>
          <w:sz w:val="24"/>
          <w:szCs w:val="24"/>
          <w:lang w:eastAsia="zh-CN"/>
        </w:rPr>
        <w:t>自合同签订之日起</w:t>
      </w:r>
      <w:r>
        <w:rPr>
          <w:rFonts w:hint="eastAsia" w:ascii="宋体" w:hAnsi="宋体" w:eastAsia="宋体"/>
          <w:sz w:val="24"/>
          <w:szCs w:val="24"/>
        </w:rPr>
        <w:t>0.5个月</w:t>
      </w:r>
      <w:r>
        <w:rPr>
          <w:rFonts w:hint="eastAsia" w:ascii="宋体" w:hAnsi="宋体" w:eastAsia="宋体"/>
          <w:sz w:val="24"/>
          <w:szCs w:val="24"/>
          <w:lang w:eastAsia="zh-CN"/>
        </w:rPr>
        <w:t>内完成</w:t>
      </w:r>
      <w:r>
        <w:rPr>
          <w:rFonts w:hint="eastAsia" w:ascii="宋体" w:hAnsi="宋体" w:eastAsia="宋体"/>
          <w:sz w:val="24"/>
          <w:szCs w:val="24"/>
        </w:rPr>
        <w:t>）；</w:t>
      </w:r>
    </w:p>
    <w:p w14:paraId="5F47D22A">
      <w:pPr>
        <w:pStyle w:val="62"/>
        <w:spacing w:after="156"/>
        <w:ind w:firstLine="480"/>
        <w:rPr>
          <w:rFonts w:hint="eastAsia" w:ascii="宋体" w:hAnsi="宋体" w:eastAsia="宋体"/>
          <w:sz w:val="24"/>
          <w:szCs w:val="24"/>
        </w:rPr>
      </w:pPr>
      <w:r>
        <w:rPr>
          <w:rFonts w:hint="eastAsia" w:ascii="宋体" w:hAnsi="宋体" w:eastAsia="宋体"/>
          <w:sz w:val="24"/>
          <w:szCs w:val="24"/>
        </w:rPr>
        <w:t>系统开发与实施（</w:t>
      </w:r>
      <w:r>
        <w:rPr>
          <w:rFonts w:hint="eastAsia" w:ascii="宋体" w:hAnsi="宋体" w:eastAsia="宋体"/>
          <w:sz w:val="24"/>
          <w:szCs w:val="24"/>
          <w:lang w:eastAsia="zh-CN"/>
        </w:rPr>
        <w:t>自合同签订之日起</w:t>
      </w:r>
      <w:r>
        <w:rPr>
          <w:rFonts w:hint="eastAsia" w:ascii="宋体" w:hAnsi="宋体" w:eastAsia="宋体"/>
          <w:sz w:val="24"/>
          <w:szCs w:val="24"/>
          <w:lang w:val="en-US" w:eastAsia="zh-CN"/>
        </w:rPr>
        <w:t>3</w:t>
      </w:r>
      <w:r>
        <w:rPr>
          <w:rFonts w:hint="eastAsia" w:ascii="宋体" w:hAnsi="宋体" w:eastAsia="宋体"/>
          <w:sz w:val="24"/>
          <w:szCs w:val="24"/>
        </w:rPr>
        <w:t>个月</w:t>
      </w:r>
      <w:r>
        <w:rPr>
          <w:rFonts w:hint="eastAsia" w:ascii="宋体" w:hAnsi="宋体" w:eastAsia="宋体"/>
          <w:sz w:val="24"/>
          <w:szCs w:val="24"/>
          <w:lang w:eastAsia="zh-CN"/>
        </w:rPr>
        <w:t>内完成</w:t>
      </w:r>
      <w:r>
        <w:rPr>
          <w:rFonts w:hint="eastAsia" w:ascii="宋体" w:hAnsi="宋体" w:eastAsia="宋体"/>
          <w:sz w:val="24"/>
          <w:szCs w:val="24"/>
        </w:rPr>
        <w:t>）；</w:t>
      </w:r>
    </w:p>
    <w:p w14:paraId="61567D68">
      <w:pPr>
        <w:pStyle w:val="62"/>
        <w:spacing w:after="156"/>
        <w:ind w:firstLine="480"/>
        <w:rPr>
          <w:rFonts w:hint="eastAsia" w:ascii="宋体" w:hAnsi="宋体" w:eastAsia="宋体"/>
          <w:sz w:val="24"/>
          <w:szCs w:val="24"/>
        </w:rPr>
      </w:pPr>
      <w:r>
        <w:rPr>
          <w:rFonts w:hint="eastAsia" w:ascii="宋体" w:hAnsi="宋体" w:eastAsia="宋体"/>
          <w:sz w:val="24"/>
          <w:szCs w:val="24"/>
        </w:rPr>
        <w:t>试运行、调试、验收阶段（</w:t>
      </w:r>
      <w:r>
        <w:rPr>
          <w:rFonts w:hint="eastAsia" w:ascii="宋体" w:hAnsi="宋体" w:eastAsia="宋体"/>
          <w:sz w:val="24"/>
          <w:szCs w:val="24"/>
          <w:lang w:eastAsia="zh-CN"/>
        </w:rPr>
        <w:t>2026年11月30日前完成</w:t>
      </w:r>
      <w:r>
        <w:rPr>
          <w:rFonts w:hint="eastAsia" w:ascii="宋体" w:hAnsi="宋体" w:eastAsia="宋体"/>
          <w:sz w:val="24"/>
          <w:szCs w:val="24"/>
        </w:rPr>
        <w:t>）。</w:t>
      </w:r>
    </w:p>
    <w:bookmarkEnd w:id="87"/>
    <w:p w14:paraId="35B5B17C">
      <w:pPr>
        <w:pStyle w:val="3"/>
        <w:numPr>
          <w:ilvl w:val="0"/>
          <w:numId w:val="0"/>
        </w:numPr>
        <w:spacing w:after="156" w:line="480" w:lineRule="exact"/>
        <w:ind w:left="709" w:hanging="709"/>
        <w:rPr>
          <w:rFonts w:hint="eastAsia" w:ascii="宋体" w:hAnsi="宋体" w:eastAsia="宋体" w:cs="宋体"/>
          <w:b/>
          <w:sz w:val="24"/>
        </w:rPr>
      </w:pPr>
      <w:r>
        <w:rPr>
          <w:rFonts w:hint="eastAsia" w:ascii="宋体" w:hAnsi="宋体" w:eastAsia="宋体" w:cs="宋体"/>
          <w:b/>
          <w:sz w:val="24"/>
        </w:rPr>
        <w:t>4.6项目团队人员</w:t>
      </w:r>
      <w:r>
        <w:rPr>
          <w:rFonts w:hint="eastAsia" w:ascii="宋体" w:hAnsi="宋体" w:eastAsia="宋体" w:cs="宋体"/>
          <w:b/>
          <w:sz w:val="24"/>
          <w:lang w:eastAsia="zh-CN"/>
        </w:rPr>
        <w:t>及企业综合实力</w:t>
      </w:r>
      <w:r>
        <w:rPr>
          <w:rFonts w:hint="eastAsia" w:ascii="宋体" w:hAnsi="宋体" w:eastAsia="宋体" w:cs="宋体"/>
          <w:b/>
          <w:sz w:val="24"/>
        </w:rPr>
        <w:t>要求</w:t>
      </w:r>
      <w:bookmarkEnd w:id="51"/>
      <w:bookmarkEnd w:id="52"/>
      <w:bookmarkEnd w:id="53"/>
      <w:bookmarkEnd w:id="54"/>
      <w:bookmarkEnd w:id="55"/>
    </w:p>
    <w:p w14:paraId="16669F44">
      <w:pPr>
        <w:pStyle w:val="62"/>
        <w:spacing w:after="156"/>
        <w:ind w:firstLine="480"/>
        <w:rPr>
          <w:rFonts w:hint="eastAsia" w:ascii="宋体" w:hAnsi="宋体" w:eastAsia="宋体"/>
          <w:sz w:val="24"/>
          <w:szCs w:val="24"/>
        </w:rPr>
      </w:pPr>
      <w:r>
        <w:rPr>
          <w:rFonts w:hint="eastAsia" w:ascii="宋体" w:hAnsi="宋体" w:eastAsia="宋体"/>
          <w:sz w:val="24"/>
          <w:szCs w:val="24"/>
        </w:rPr>
        <w:t>（1）供应商须具有稳定的在职技术保障力量，能够提供及时的技术支援或服务，应针对本项目提供不少于8人的项目服务团队（包括项目负责人、产品经理、技术等），供应商的相关服务人员需具备相应的服务能力，需提供相关证明。</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3576"/>
        <w:gridCol w:w="1060"/>
      </w:tblGrid>
      <w:tr w14:paraId="4FE0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9F8B689">
            <w:pPr>
              <w:widowControl/>
              <w:spacing w:after="156" w:line="240" w:lineRule="auto"/>
              <w:jc w:val="center"/>
              <w:rPr>
                <w:rFonts w:hint="eastAsia" w:ascii="宋体" w:hAnsi="宋体" w:eastAsia="宋体"/>
                <w:b/>
                <w:szCs w:val="21"/>
              </w:rPr>
            </w:pPr>
            <w:r>
              <w:rPr>
                <w:rFonts w:hint="eastAsia" w:ascii="宋体" w:hAnsi="宋体" w:eastAsia="宋体"/>
                <w:b/>
                <w:szCs w:val="21"/>
              </w:rPr>
              <w:t>角色</w:t>
            </w:r>
          </w:p>
        </w:tc>
        <w:tc>
          <w:tcPr>
            <w:tcW w:w="0" w:type="auto"/>
            <w:shd w:val="clear" w:color="auto" w:fill="auto"/>
            <w:noWrap/>
            <w:vAlign w:val="center"/>
          </w:tcPr>
          <w:p w14:paraId="557FA6DF">
            <w:pPr>
              <w:widowControl/>
              <w:spacing w:after="156" w:line="240" w:lineRule="auto"/>
              <w:jc w:val="center"/>
              <w:rPr>
                <w:rFonts w:hint="eastAsia" w:ascii="宋体" w:hAnsi="宋体" w:eastAsia="宋体"/>
                <w:b/>
                <w:szCs w:val="21"/>
              </w:rPr>
            </w:pPr>
            <w:r>
              <w:rPr>
                <w:rFonts w:hint="eastAsia" w:ascii="宋体" w:hAnsi="宋体" w:eastAsia="宋体"/>
                <w:b/>
                <w:szCs w:val="21"/>
              </w:rPr>
              <w:t>主要职责</w:t>
            </w:r>
          </w:p>
        </w:tc>
        <w:tc>
          <w:tcPr>
            <w:tcW w:w="0" w:type="auto"/>
            <w:shd w:val="clear" w:color="auto" w:fill="auto"/>
            <w:noWrap/>
            <w:vAlign w:val="center"/>
          </w:tcPr>
          <w:p w14:paraId="1D3191A8">
            <w:pPr>
              <w:widowControl/>
              <w:spacing w:after="156" w:line="240" w:lineRule="auto"/>
              <w:jc w:val="center"/>
              <w:rPr>
                <w:rFonts w:hint="eastAsia" w:ascii="宋体" w:hAnsi="宋体" w:eastAsia="宋体"/>
                <w:b/>
                <w:szCs w:val="21"/>
              </w:rPr>
            </w:pPr>
            <w:r>
              <w:rPr>
                <w:rFonts w:hint="eastAsia" w:ascii="宋体" w:hAnsi="宋体" w:eastAsia="宋体"/>
                <w:b/>
                <w:szCs w:val="21"/>
              </w:rPr>
              <w:t>人员数量</w:t>
            </w:r>
          </w:p>
        </w:tc>
      </w:tr>
      <w:tr w14:paraId="09A0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96B2DC9">
            <w:pPr>
              <w:widowControl/>
              <w:spacing w:after="156" w:line="240" w:lineRule="auto"/>
              <w:jc w:val="center"/>
              <w:rPr>
                <w:rFonts w:hint="eastAsia" w:ascii="宋体" w:hAnsi="宋体" w:eastAsia="宋体"/>
                <w:szCs w:val="21"/>
              </w:rPr>
            </w:pPr>
            <w:r>
              <w:rPr>
                <w:rFonts w:hint="eastAsia" w:ascii="宋体" w:hAnsi="宋体" w:eastAsia="宋体"/>
                <w:szCs w:val="21"/>
              </w:rPr>
              <w:t>项目负责人</w:t>
            </w:r>
          </w:p>
        </w:tc>
        <w:tc>
          <w:tcPr>
            <w:tcW w:w="0" w:type="auto"/>
            <w:shd w:val="clear" w:color="auto" w:fill="auto"/>
            <w:vAlign w:val="center"/>
          </w:tcPr>
          <w:p w14:paraId="2FC8669D">
            <w:pPr>
              <w:widowControl/>
              <w:spacing w:after="156" w:line="240" w:lineRule="auto"/>
              <w:jc w:val="center"/>
              <w:rPr>
                <w:rFonts w:hint="eastAsia" w:ascii="宋体" w:hAnsi="宋体" w:eastAsia="宋体"/>
                <w:szCs w:val="21"/>
              </w:rPr>
            </w:pPr>
            <w:r>
              <w:rPr>
                <w:rFonts w:hint="eastAsia" w:ascii="宋体" w:hAnsi="宋体" w:eastAsia="宋体"/>
                <w:szCs w:val="21"/>
              </w:rPr>
              <w:t>负责项目质量和进度控制</w:t>
            </w:r>
          </w:p>
        </w:tc>
        <w:tc>
          <w:tcPr>
            <w:tcW w:w="0" w:type="auto"/>
            <w:shd w:val="clear" w:color="auto" w:fill="auto"/>
            <w:noWrap/>
            <w:vAlign w:val="center"/>
          </w:tcPr>
          <w:p w14:paraId="361572C5">
            <w:pPr>
              <w:widowControl/>
              <w:spacing w:after="156" w:line="240" w:lineRule="auto"/>
              <w:jc w:val="center"/>
              <w:rPr>
                <w:rFonts w:hint="eastAsia" w:ascii="宋体" w:hAnsi="宋体" w:eastAsia="宋体"/>
                <w:szCs w:val="21"/>
              </w:rPr>
            </w:pPr>
            <w:r>
              <w:rPr>
                <w:rFonts w:hint="eastAsia" w:ascii="宋体" w:hAnsi="宋体" w:eastAsia="宋体"/>
                <w:szCs w:val="21"/>
              </w:rPr>
              <w:t>1人</w:t>
            </w:r>
          </w:p>
        </w:tc>
      </w:tr>
      <w:tr w14:paraId="05A4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1EF17D11">
            <w:pPr>
              <w:widowControl/>
              <w:spacing w:after="156" w:line="240" w:lineRule="auto"/>
              <w:jc w:val="center"/>
              <w:rPr>
                <w:rFonts w:hint="eastAsia" w:ascii="宋体" w:hAnsi="宋体" w:eastAsia="宋体"/>
                <w:szCs w:val="21"/>
              </w:rPr>
            </w:pPr>
            <w:r>
              <w:rPr>
                <w:rFonts w:hint="eastAsia" w:ascii="宋体" w:hAnsi="宋体" w:eastAsia="宋体"/>
                <w:szCs w:val="21"/>
              </w:rPr>
              <w:t>产品经理</w:t>
            </w:r>
          </w:p>
        </w:tc>
        <w:tc>
          <w:tcPr>
            <w:tcW w:w="0" w:type="auto"/>
            <w:shd w:val="clear" w:color="auto" w:fill="auto"/>
            <w:vAlign w:val="center"/>
          </w:tcPr>
          <w:p w14:paraId="3157B098">
            <w:pPr>
              <w:widowControl/>
              <w:spacing w:after="156" w:line="240" w:lineRule="auto"/>
              <w:jc w:val="center"/>
              <w:rPr>
                <w:rFonts w:hint="eastAsia" w:ascii="宋体" w:hAnsi="宋体" w:eastAsia="宋体"/>
                <w:szCs w:val="21"/>
              </w:rPr>
            </w:pPr>
            <w:r>
              <w:rPr>
                <w:rFonts w:hint="eastAsia" w:ascii="宋体" w:hAnsi="宋体" w:eastAsia="宋体"/>
                <w:szCs w:val="21"/>
              </w:rPr>
              <w:t>负责项目需求评估与产品设计</w:t>
            </w:r>
          </w:p>
        </w:tc>
        <w:tc>
          <w:tcPr>
            <w:tcW w:w="0" w:type="auto"/>
            <w:shd w:val="clear" w:color="auto" w:fill="auto"/>
            <w:noWrap/>
            <w:vAlign w:val="center"/>
          </w:tcPr>
          <w:p w14:paraId="0C1E92A2">
            <w:pPr>
              <w:widowControl/>
              <w:spacing w:after="156" w:line="240" w:lineRule="auto"/>
              <w:jc w:val="center"/>
              <w:rPr>
                <w:rFonts w:hint="eastAsia" w:ascii="宋体" w:hAnsi="宋体" w:eastAsia="宋体"/>
                <w:szCs w:val="21"/>
              </w:rPr>
            </w:pPr>
            <w:r>
              <w:rPr>
                <w:rFonts w:hint="eastAsia" w:ascii="宋体" w:hAnsi="宋体" w:eastAsia="宋体"/>
                <w:szCs w:val="21"/>
              </w:rPr>
              <w:t>1人</w:t>
            </w:r>
          </w:p>
        </w:tc>
      </w:tr>
      <w:tr w14:paraId="7D3A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BE4345A">
            <w:pPr>
              <w:widowControl/>
              <w:spacing w:after="156" w:line="240" w:lineRule="auto"/>
              <w:jc w:val="center"/>
              <w:rPr>
                <w:rFonts w:hint="eastAsia" w:ascii="宋体" w:hAnsi="宋体" w:eastAsia="宋体"/>
                <w:szCs w:val="21"/>
              </w:rPr>
            </w:pPr>
            <w:r>
              <w:rPr>
                <w:rFonts w:hint="eastAsia" w:ascii="宋体" w:hAnsi="宋体" w:eastAsia="宋体"/>
                <w:szCs w:val="21"/>
              </w:rPr>
              <w:t>技术人员</w:t>
            </w:r>
          </w:p>
        </w:tc>
        <w:tc>
          <w:tcPr>
            <w:tcW w:w="0" w:type="auto"/>
            <w:shd w:val="clear" w:color="auto" w:fill="auto"/>
            <w:noWrap/>
            <w:vAlign w:val="center"/>
          </w:tcPr>
          <w:p w14:paraId="7CB95D26">
            <w:pPr>
              <w:widowControl/>
              <w:spacing w:after="156" w:line="240" w:lineRule="auto"/>
              <w:jc w:val="center"/>
              <w:rPr>
                <w:rFonts w:hint="eastAsia" w:ascii="宋体" w:hAnsi="宋体" w:eastAsia="宋体"/>
                <w:szCs w:val="21"/>
              </w:rPr>
            </w:pPr>
            <w:r>
              <w:rPr>
                <w:rFonts w:hint="eastAsia" w:ascii="宋体" w:hAnsi="宋体" w:eastAsia="宋体"/>
                <w:szCs w:val="21"/>
              </w:rPr>
              <w:t>负责项目具体开发、安装与实施支持</w:t>
            </w:r>
          </w:p>
        </w:tc>
        <w:tc>
          <w:tcPr>
            <w:tcW w:w="0" w:type="auto"/>
            <w:shd w:val="clear" w:color="auto" w:fill="auto"/>
            <w:noWrap/>
            <w:vAlign w:val="center"/>
          </w:tcPr>
          <w:p w14:paraId="6E376FC4">
            <w:pPr>
              <w:widowControl/>
              <w:spacing w:after="156" w:line="240" w:lineRule="auto"/>
              <w:jc w:val="center"/>
              <w:rPr>
                <w:rFonts w:hint="eastAsia" w:ascii="宋体" w:hAnsi="宋体" w:eastAsia="宋体"/>
                <w:szCs w:val="21"/>
              </w:rPr>
            </w:pPr>
            <w:r>
              <w:rPr>
                <w:rFonts w:hint="eastAsia" w:ascii="宋体" w:hAnsi="宋体" w:eastAsia="宋体"/>
                <w:szCs w:val="21"/>
              </w:rPr>
              <w:t>6人</w:t>
            </w:r>
          </w:p>
        </w:tc>
      </w:tr>
    </w:tbl>
    <w:p w14:paraId="08736FCB">
      <w:pPr>
        <w:pStyle w:val="62"/>
        <w:spacing w:after="156"/>
        <w:ind w:firstLine="480"/>
        <w:rPr>
          <w:rFonts w:hint="eastAsia" w:ascii="宋体" w:hAnsi="宋体" w:eastAsia="宋体"/>
          <w:sz w:val="24"/>
          <w:szCs w:val="24"/>
        </w:rPr>
      </w:pPr>
      <w:r>
        <w:rPr>
          <w:rFonts w:hint="eastAsia" w:ascii="宋体" w:hAnsi="宋体" w:eastAsia="宋体"/>
          <w:sz w:val="24"/>
          <w:szCs w:val="24"/>
        </w:rPr>
        <w:t>（2）供应商应针对本项目提供不少于3人的质保期间支撑团队（其中技术经理1人，产品经理1人，技术工程师不少于1人）；供应商的相关服务人员需具备相应的服务能力，需提供证书、社保等相关证明。</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946"/>
        <w:gridCol w:w="1060"/>
      </w:tblGrid>
      <w:tr w14:paraId="3418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F947DFC">
            <w:pPr>
              <w:widowControl/>
              <w:spacing w:after="156" w:line="240" w:lineRule="auto"/>
              <w:jc w:val="center"/>
              <w:rPr>
                <w:rFonts w:hint="eastAsia" w:ascii="宋体" w:hAnsi="宋体" w:eastAsia="宋体"/>
                <w:b/>
                <w:szCs w:val="21"/>
              </w:rPr>
            </w:pPr>
            <w:r>
              <w:rPr>
                <w:rFonts w:hint="eastAsia" w:ascii="宋体" w:hAnsi="宋体" w:eastAsia="宋体"/>
                <w:b/>
                <w:szCs w:val="21"/>
              </w:rPr>
              <w:t>角色</w:t>
            </w:r>
          </w:p>
        </w:tc>
        <w:tc>
          <w:tcPr>
            <w:tcW w:w="0" w:type="auto"/>
            <w:shd w:val="clear" w:color="auto" w:fill="auto"/>
            <w:noWrap/>
            <w:vAlign w:val="center"/>
          </w:tcPr>
          <w:p w14:paraId="0EB21214">
            <w:pPr>
              <w:widowControl/>
              <w:spacing w:after="156" w:line="240" w:lineRule="auto"/>
              <w:jc w:val="center"/>
              <w:rPr>
                <w:rFonts w:hint="eastAsia" w:ascii="宋体" w:hAnsi="宋体" w:eastAsia="宋体"/>
                <w:b/>
                <w:szCs w:val="21"/>
              </w:rPr>
            </w:pPr>
            <w:r>
              <w:rPr>
                <w:rFonts w:hint="eastAsia" w:ascii="宋体" w:hAnsi="宋体" w:eastAsia="宋体"/>
                <w:b/>
                <w:szCs w:val="21"/>
              </w:rPr>
              <w:t>主要职责</w:t>
            </w:r>
          </w:p>
        </w:tc>
        <w:tc>
          <w:tcPr>
            <w:tcW w:w="0" w:type="auto"/>
            <w:shd w:val="clear" w:color="auto" w:fill="auto"/>
            <w:noWrap/>
            <w:vAlign w:val="center"/>
          </w:tcPr>
          <w:p w14:paraId="606C4176">
            <w:pPr>
              <w:widowControl/>
              <w:spacing w:after="156" w:line="240" w:lineRule="auto"/>
              <w:jc w:val="center"/>
              <w:rPr>
                <w:rFonts w:hint="eastAsia" w:ascii="宋体" w:hAnsi="宋体" w:eastAsia="宋体"/>
                <w:b/>
                <w:szCs w:val="21"/>
              </w:rPr>
            </w:pPr>
            <w:r>
              <w:rPr>
                <w:rFonts w:hint="eastAsia" w:ascii="宋体" w:hAnsi="宋体" w:eastAsia="宋体"/>
                <w:b/>
                <w:szCs w:val="21"/>
              </w:rPr>
              <w:t>人员数量</w:t>
            </w:r>
          </w:p>
        </w:tc>
      </w:tr>
      <w:tr w14:paraId="767A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1EBE932B">
            <w:pPr>
              <w:widowControl/>
              <w:spacing w:after="156" w:line="240" w:lineRule="auto"/>
              <w:jc w:val="center"/>
              <w:rPr>
                <w:rFonts w:hint="eastAsia" w:ascii="宋体" w:hAnsi="宋体" w:eastAsia="宋体"/>
                <w:szCs w:val="21"/>
              </w:rPr>
            </w:pPr>
            <w:r>
              <w:rPr>
                <w:rFonts w:hint="eastAsia" w:ascii="宋体" w:hAnsi="宋体" w:eastAsia="宋体"/>
                <w:szCs w:val="21"/>
                <w:lang w:eastAsia="zh-CN"/>
              </w:rPr>
              <w:t>技术</w:t>
            </w:r>
            <w:r>
              <w:rPr>
                <w:rFonts w:hint="eastAsia" w:ascii="宋体" w:hAnsi="宋体" w:eastAsia="宋体"/>
                <w:szCs w:val="21"/>
              </w:rPr>
              <w:t>经理</w:t>
            </w:r>
          </w:p>
        </w:tc>
        <w:tc>
          <w:tcPr>
            <w:tcW w:w="0" w:type="auto"/>
            <w:shd w:val="clear" w:color="auto" w:fill="auto"/>
            <w:vAlign w:val="center"/>
          </w:tcPr>
          <w:p w14:paraId="10209817">
            <w:pPr>
              <w:widowControl/>
              <w:spacing w:after="156" w:line="240" w:lineRule="auto"/>
              <w:jc w:val="center"/>
              <w:rPr>
                <w:rFonts w:hint="eastAsia" w:ascii="宋体" w:hAnsi="宋体" w:eastAsia="宋体"/>
                <w:szCs w:val="21"/>
              </w:rPr>
            </w:pPr>
            <w:r>
              <w:rPr>
                <w:rFonts w:hint="eastAsia" w:ascii="宋体" w:hAnsi="宋体" w:eastAsia="宋体"/>
                <w:szCs w:val="21"/>
              </w:rPr>
              <w:t>负责项目质量和进度控制</w:t>
            </w:r>
          </w:p>
        </w:tc>
        <w:tc>
          <w:tcPr>
            <w:tcW w:w="0" w:type="auto"/>
            <w:shd w:val="clear" w:color="auto" w:fill="auto"/>
            <w:noWrap/>
            <w:vAlign w:val="center"/>
          </w:tcPr>
          <w:p w14:paraId="4D775810">
            <w:pPr>
              <w:widowControl/>
              <w:spacing w:after="156" w:line="240" w:lineRule="auto"/>
              <w:jc w:val="center"/>
              <w:rPr>
                <w:rFonts w:hint="eastAsia" w:ascii="宋体" w:hAnsi="宋体" w:eastAsia="宋体"/>
                <w:szCs w:val="21"/>
              </w:rPr>
            </w:pPr>
            <w:r>
              <w:rPr>
                <w:rFonts w:hint="eastAsia" w:ascii="宋体" w:hAnsi="宋体" w:eastAsia="宋体"/>
                <w:szCs w:val="21"/>
              </w:rPr>
              <w:t>1人</w:t>
            </w:r>
          </w:p>
        </w:tc>
      </w:tr>
      <w:tr w14:paraId="52CA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890A088">
            <w:pPr>
              <w:widowControl/>
              <w:spacing w:after="156" w:line="240" w:lineRule="auto"/>
              <w:jc w:val="center"/>
              <w:rPr>
                <w:rFonts w:hint="eastAsia" w:ascii="宋体" w:hAnsi="宋体" w:eastAsia="宋体"/>
                <w:szCs w:val="21"/>
              </w:rPr>
            </w:pPr>
            <w:r>
              <w:rPr>
                <w:rFonts w:hint="eastAsia" w:ascii="宋体" w:hAnsi="宋体" w:eastAsia="宋体"/>
                <w:szCs w:val="21"/>
              </w:rPr>
              <w:t>产品经理</w:t>
            </w:r>
          </w:p>
        </w:tc>
        <w:tc>
          <w:tcPr>
            <w:tcW w:w="0" w:type="auto"/>
            <w:shd w:val="clear" w:color="auto" w:fill="auto"/>
            <w:vAlign w:val="center"/>
          </w:tcPr>
          <w:p w14:paraId="6F6B5925">
            <w:pPr>
              <w:widowControl/>
              <w:spacing w:after="156" w:line="240" w:lineRule="auto"/>
              <w:jc w:val="center"/>
              <w:rPr>
                <w:rFonts w:hint="eastAsia" w:ascii="宋体" w:hAnsi="宋体" w:eastAsia="宋体"/>
                <w:szCs w:val="21"/>
              </w:rPr>
            </w:pPr>
            <w:r>
              <w:rPr>
                <w:rFonts w:hint="eastAsia" w:ascii="宋体" w:hAnsi="宋体" w:eastAsia="宋体"/>
                <w:szCs w:val="21"/>
              </w:rPr>
              <w:t>负责项目需求评估与产品设计</w:t>
            </w:r>
          </w:p>
        </w:tc>
        <w:tc>
          <w:tcPr>
            <w:tcW w:w="0" w:type="auto"/>
            <w:shd w:val="clear" w:color="auto" w:fill="auto"/>
            <w:noWrap/>
            <w:vAlign w:val="center"/>
          </w:tcPr>
          <w:p w14:paraId="0447D52F">
            <w:pPr>
              <w:widowControl/>
              <w:spacing w:after="156" w:line="240" w:lineRule="auto"/>
              <w:jc w:val="center"/>
              <w:rPr>
                <w:rFonts w:hint="eastAsia" w:ascii="宋体" w:hAnsi="宋体" w:eastAsia="宋体"/>
                <w:szCs w:val="21"/>
              </w:rPr>
            </w:pPr>
            <w:r>
              <w:rPr>
                <w:rFonts w:hint="eastAsia" w:ascii="宋体" w:hAnsi="宋体" w:eastAsia="宋体"/>
                <w:szCs w:val="21"/>
              </w:rPr>
              <w:t>1人</w:t>
            </w:r>
          </w:p>
        </w:tc>
      </w:tr>
      <w:tr w14:paraId="7A29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F2935E5">
            <w:pPr>
              <w:widowControl/>
              <w:spacing w:after="156" w:line="240" w:lineRule="auto"/>
              <w:jc w:val="center"/>
              <w:rPr>
                <w:rFonts w:hint="eastAsia" w:ascii="宋体" w:hAnsi="宋体" w:eastAsia="宋体"/>
                <w:szCs w:val="21"/>
              </w:rPr>
            </w:pPr>
            <w:r>
              <w:rPr>
                <w:rFonts w:hint="eastAsia" w:ascii="宋体" w:hAnsi="宋体" w:eastAsia="宋体"/>
                <w:szCs w:val="21"/>
              </w:rPr>
              <w:t>技术工程师</w:t>
            </w:r>
          </w:p>
        </w:tc>
        <w:tc>
          <w:tcPr>
            <w:tcW w:w="0" w:type="auto"/>
            <w:shd w:val="clear" w:color="auto" w:fill="auto"/>
            <w:noWrap/>
            <w:vAlign w:val="center"/>
          </w:tcPr>
          <w:p w14:paraId="5B056B94">
            <w:pPr>
              <w:widowControl/>
              <w:spacing w:after="156" w:line="240" w:lineRule="auto"/>
              <w:jc w:val="center"/>
              <w:rPr>
                <w:rFonts w:hint="eastAsia" w:ascii="宋体" w:hAnsi="宋体" w:eastAsia="宋体"/>
                <w:szCs w:val="21"/>
              </w:rPr>
            </w:pPr>
            <w:r>
              <w:rPr>
                <w:rFonts w:hint="eastAsia" w:ascii="宋体" w:hAnsi="宋体" w:eastAsia="宋体"/>
                <w:szCs w:val="21"/>
              </w:rPr>
              <w:t>负责项目运行维护</w:t>
            </w:r>
          </w:p>
        </w:tc>
        <w:tc>
          <w:tcPr>
            <w:tcW w:w="0" w:type="auto"/>
            <w:shd w:val="clear" w:color="auto" w:fill="auto"/>
            <w:noWrap/>
            <w:vAlign w:val="center"/>
          </w:tcPr>
          <w:p w14:paraId="79FD015A">
            <w:pPr>
              <w:widowControl/>
              <w:spacing w:after="156" w:line="240" w:lineRule="auto"/>
              <w:jc w:val="center"/>
              <w:rPr>
                <w:rFonts w:hint="eastAsia" w:ascii="宋体" w:hAnsi="宋体" w:eastAsia="宋体"/>
                <w:szCs w:val="21"/>
              </w:rPr>
            </w:pPr>
            <w:r>
              <w:rPr>
                <w:rFonts w:hint="eastAsia" w:ascii="宋体" w:hAnsi="宋体" w:eastAsia="宋体"/>
                <w:szCs w:val="21"/>
              </w:rPr>
              <w:t>1人</w:t>
            </w:r>
          </w:p>
        </w:tc>
      </w:tr>
    </w:tbl>
    <w:p w14:paraId="307CB69E">
      <w:pPr>
        <w:pStyle w:val="3"/>
        <w:numPr>
          <w:ilvl w:val="0"/>
          <w:numId w:val="0"/>
        </w:numPr>
        <w:spacing w:after="156" w:line="480" w:lineRule="exact"/>
        <w:ind w:left="709" w:hanging="709"/>
        <w:rPr>
          <w:rFonts w:hint="eastAsia" w:ascii="宋体" w:hAnsi="宋体" w:eastAsia="宋体" w:cs="宋体"/>
          <w:b/>
          <w:sz w:val="24"/>
        </w:rPr>
      </w:pPr>
      <w:bookmarkStart w:id="56" w:name="_Toc193098806"/>
      <w:bookmarkStart w:id="57" w:name="_Toc3849"/>
      <w:bookmarkStart w:id="58" w:name="_Toc63785511"/>
      <w:bookmarkStart w:id="59" w:name="_Toc15481"/>
      <w:bookmarkStart w:id="60" w:name="_Toc224662164"/>
      <w:r>
        <w:rPr>
          <w:rFonts w:hint="eastAsia" w:ascii="宋体" w:hAnsi="宋体" w:eastAsia="宋体" w:cs="宋体"/>
          <w:b/>
          <w:sz w:val="24"/>
        </w:rPr>
        <w:t>4.7等级保护要求</w:t>
      </w:r>
      <w:bookmarkEnd w:id="56"/>
      <w:bookmarkEnd w:id="57"/>
      <w:bookmarkEnd w:id="58"/>
      <w:bookmarkEnd w:id="59"/>
      <w:bookmarkEnd w:id="60"/>
    </w:p>
    <w:p w14:paraId="3B768CF6">
      <w:pPr>
        <w:pStyle w:val="62"/>
        <w:spacing w:after="156"/>
        <w:ind w:firstLine="480"/>
        <w:rPr>
          <w:rFonts w:hint="eastAsia" w:ascii="宋体" w:hAnsi="宋体" w:eastAsia="宋体"/>
          <w:sz w:val="24"/>
          <w:szCs w:val="24"/>
        </w:rPr>
      </w:pPr>
      <w:r>
        <w:rPr>
          <w:rFonts w:ascii="宋体" w:hAnsi="宋体" w:eastAsia="宋体"/>
          <w:sz w:val="24"/>
          <w:szCs w:val="24"/>
        </w:rPr>
        <w:t>本项目等级保护要求：</w:t>
      </w:r>
      <w:r>
        <w:rPr>
          <w:rFonts w:hint="eastAsia" w:ascii="宋体" w:hAnsi="宋体" w:eastAsia="宋体"/>
          <w:sz w:val="24"/>
          <w:szCs w:val="24"/>
        </w:rPr>
        <w:t>三级等保。供应商提供的软件、硬件产品能通过三级等保要求。</w:t>
      </w:r>
    </w:p>
    <w:p w14:paraId="4E0A90BC">
      <w:pPr>
        <w:pStyle w:val="3"/>
        <w:numPr>
          <w:ilvl w:val="0"/>
          <w:numId w:val="0"/>
        </w:numPr>
        <w:spacing w:after="156" w:line="480" w:lineRule="exact"/>
        <w:ind w:left="709" w:hanging="709"/>
        <w:rPr>
          <w:rFonts w:hint="eastAsia" w:ascii="宋体" w:hAnsi="宋体" w:eastAsia="宋体" w:cs="宋体"/>
          <w:b/>
          <w:sz w:val="24"/>
        </w:rPr>
      </w:pPr>
      <w:bookmarkStart w:id="61" w:name="_Toc13117"/>
      <w:bookmarkStart w:id="62" w:name="_Toc224662165"/>
      <w:bookmarkStart w:id="63" w:name="_Toc193098807"/>
      <w:bookmarkStart w:id="64" w:name="_Toc7923"/>
      <w:r>
        <w:rPr>
          <w:rFonts w:hint="eastAsia" w:ascii="宋体" w:hAnsi="宋体" w:eastAsia="宋体" w:cs="宋体"/>
          <w:b/>
          <w:sz w:val="24"/>
        </w:rPr>
        <w:t>4.8软件测评要求</w:t>
      </w:r>
      <w:bookmarkEnd w:id="61"/>
      <w:bookmarkEnd w:id="62"/>
      <w:bookmarkEnd w:id="63"/>
      <w:bookmarkEnd w:id="64"/>
    </w:p>
    <w:p w14:paraId="07518E8E">
      <w:pPr>
        <w:pStyle w:val="62"/>
        <w:spacing w:after="156"/>
        <w:ind w:firstLine="480"/>
        <w:rPr>
          <w:rFonts w:hint="eastAsia" w:ascii="宋体" w:hAnsi="宋体" w:eastAsia="宋体"/>
          <w:sz w:val="24"/>
          <w:szCs w:val="24"/>
        </w:rPr>
      </w:pPr>
      <w:bookmarkStart w:id="65" w:name="_Toc224662166"/>
      <w:bookmarkStart w:id="66" w:name="_Toc13370"/>
      <w:bookmarkStart w:id="67" w:name="_Toc193098808"/>
      <w:r>
        <w:rPr>
          <w:rFonts w:hint="eastAsia" w:ascii="宋体" w:hAnsi="宋体" w:eastAsia="宋体"/>
          <w:sz w:val="24"/>
          <w:szCs w:val="24"/>
        </w:rPr>
        <w:t>项目验收时需配合采购人做好由第三方测评机构进行的软件测评工作,直至最终通过测评，取得测评报告。</w:t>
      </w:r>
    </w:p>
    <w:p w14:paraId="11479C19">
      <w:pPr>
        <w:pStyle w:val="3"/>
        <w:numPr>
          <w:ilvl w:val="0"/>
          <w:numId w:val="0"/>
        </w:numPr>
        <w:spacing w:after="156" w:line="480" w:lineRule="exact"/>
        <w:ind w:left="709" w:hanging="709"/>
        <w:rPr>
          <w:rFonts w:hint="eastAsia" w:ascii="宋体" w:hAnsi="宋体" w:eastAsia="宋体" w:cs="宋体"/>
          <w:b/>
          <w:sz w:val="24"/>
        </w:rPr>
      </w:pPr>
      <w:r>
        <w:rPr>
          <w:rFonts w:hint="eastAsia" w:ascii="宋体" w:hAnsi="宋体" w:eastAsia="宋体" w:cs="宋体"/>
          <w:b/>
          <w:sz w:val="24"/>
        </w:rPr>
        <w:t>4.9安全测评要求</w:t>
      </w:r>
      <w:bookmarkEnd w:id="65"/>
      <w:bookmarkEnd w:id="66"/>
      <w:bookmarkEnd w:id="67"/>
    </w:p>
    <w:p w14:paraId="75340558">
      <w:pPr>
        <w:pStyle w:val="62"/>
        <w:spacing w:after="156"/>
        <w:ind w:firstLine="480"/>
        <w:rPr>
          <w:rFonts w:hint="eastAsia" w:ascii="宋体" w:hAnsi="宋体" w:eastAsia="宋体"/>
          <w:sz w:val="24"/>
          <w:szCs w:val="24"/>
        </w:rPr>
      </w:pPr>
      <w:bookmarkStart w:id="68" w:name="_Toc224662167"/>
      <w:bookmarkStart w:id="69" w:name="_Toc193098809"/>
      <w:bookmarkStart w:id="70" w:name="_Toc21226"/>
      <w:bookmarkStart w:id="71" w:name="_Toc22872"/>
      <w:r>
        <w:rPr>
          <w:rFonts w:hint="eastAsia" w:ascii="宋体" w:hAnsi="宋体" w:eastAsia="宋体"/>
          <w:sz w:val="24"/>
          <w:szCs w:val="24"/>
        </w:rPr>
        <w:t>项目验收时需配合采购人做好由第三方测评机构进行的</w:t>
      </w:r>
      <w:r>
        <w:rPr>
          <w:rFonts w:hint="eastAsia" w:ascii="宋体" w:hAnsi="宋体" w:eastAsia="宋体"/>
          <w:sz w:val="24"/>
          <w:szCs w:val="24"/>
          <w:lang w:eastAsia="zh-CN"/>
        </w:rPr>
        <w:t>安全</w:t>
      </w:r>
      <w:r>
        <w:rPr>
          <w:rFonts w:hint="eastAsia" w:ascii="宋体" w:hAnsi="宋体" w:eastAsia="宋体"/>
          <w:sz w:val="24"/>
          <w:szCs w:val="24"/>
        </w:rPr>
        <w:t>测评工作,直至最终通过测评，取得测评报告。</w:t>
      </w:r>
    </w:p>
    <w:p w14:paraId="36950CCB">
      <w:pPr>
        <w:pStyle w:val="3"/>
        <w:numPr>
          <w:ilvl w:val="0"/>
          <w:numId w:val="0"/>
        </w:numPr>
        <w:spacing w:after="156" w:line="480" w:lineRule="exact"/>
        <w:ind w:left="709" w:hanging="709"/>
        <w:rPr>
          <w:rFonts w:hint="eastAsia" w:ascii="宋体" w:hAnsi="宋体" w:eastAsia="宋体" w:cs="宋体"/>
          <w:b/>
          <w:sz w:val="24"/>
        </w:rPr>
      </w:pPr>
      <w:r>
        <w:rPr>
          <w:rFonts w:hint="eastAsia" w:ascii="宋体" w:hAnsi="宋体" w:eastAsia="宋体" w:cs="宋体"/>
          <w:b/>
          <w:sz w:val="24"/>
        </w:rPr>
        <w:t>4.10商业密码应用需求</w:t>
      </w:r>
      <w:bookmarkEnd w:id="68"/>
      <w:bookmarkEnd w:id="69"/>
      <w:bookmarkEnd w:id="70"/>
      <w:bookmarkEnd w:id="71"/>
    </w:p>
    <w:p w14:paraId="5764F06C">
      <w:pPr>
        <w:pStyle w:val="62"/>
        <w:spacing w:after="156"/>
        <w:ind w:firstLine="480"/>
        <w:rPr>
          <w:rFonts w:hint="eastAsia" w:ascii="宋体" w:hAnsi="宋体" w:eastAsia="宋体"/>
          <w:sz w:val="24"/>
          <w:szCs w:val="24"/>
        </w:rPr>
      </w:pPr>
      <w:bookmarkStart w:id="72" w:name="_Toc7643"/>
      <w:bookmarkStart w:id="73" w:name="_Toc193098810"/>
      <w:bookmarkStart w:id="74" w:name="_Toc224662168"/>
      <w:bookmarkStart w:id="75" w:name="_Toc4754"/>
      <w:r>
        <w:rPr>
          <w:rFonts w:hint="eastAsia" w:ascii="宋体" w:hAnsi="宋体" w:eastAsia="宋体"/>
          <w:sz w:val="24"/>
          <w:szCs w:val="24"/>
        </w:rPr>
        <w:t>项目验收时需配合采购人做好由第三方测评机构进行的</w:t>
      </w:r>
      <w:r>
        <w:rPr>
          <w:rFonts w:hint="eastAsia" w:ascii="宋体" w:hAnsi="宋体" w:eastAsia="宋体"/>
          <w:sz w:val="24"/>
          <w:szCs w:val="24"/>
          <w:lang w:eastAsia="zh-CN"/>
        </w:rPr>
        <w:t>商用密码</w:t>
      </w:r>
      <w:r>
        <w:rPr>
          <w:rFonts w:hint="eastAsia" w:ascii="宋体" w:hAnsi="宋体" w:eastAsia="宋体"/>
          <w:sz w:val="24"/>
          <w:szCs w:val="24"/>
        </w:rPr>
        <w:t>测评工作,直至最终通过测评，取得测评报告。</w:t>
      </w:r>
    </w:p>
    <w:p w14:paraId="3B52CA54">
      <w:pPr>
        <w:pStyle w:val="3"/>
        <w:numPr>
          <w:ilvl w:val="0"/>
          <w:numId w:val="0"/>
        </w:numPr>
        <w:spacing w:after="156" w:line="480" w:lineRule="exact"/>
        <w:ind w:left="709" w:hanging="709"/>
        <w:rPr>
          <w:rFonts w:hint="eastAsia" w:ascii="宋体" w:hAnsi="宋体" w:eastAsia="宋体" w:cs="宋体"/>
          <w:b/>
          <w:sz w:val="24"/>
        </w:rPr>
      </w:pPr>
      <w:r>
        <w:rPr>
          <w:rFonts w:hint="eastAsia" w:ascii="宋体" w:hAnsi="宋体" w:eastAsia="宋体" w:cs="宋体"/>
          <w:b/>
          <w:sz w:val="24"/>
        </w:rPr>
        <w:t>4.11技术文件要求</w:t>
      </w:r>
      <w:bookmarkEnd w:id="72"/>
      <w:bookmarkEnd w:id="73"/>
      <w:bookmarkEnd w:id="74"/>
      <w:bookmarkEnd w:id="75"/>
    </w:p>
    <w:p w14:paraId="7228C996">
      <w:pPr>
        <w:pStyle w:val="62"/>
        <w:spacing w:after="156"/>
        <w:ind w:firstLine="480"/>
        <w:rPr>
          <w:rFonts w:hint="eastAsia" w:ascii="宋体" w:hAnsi="宋体" w:eastAsia="宋体"/>
          <w:sz w:val="24"/>
          <w:szCs w:val="24"/>
        </w:rPr>
      </w:pPr>
      <w:r>
        <w:rPr>
          <w:rFonts w:hint="eastAsia" w:ascii="宋体" w:hAnsi="宋体" w:eastAsia="宋体"/>
          <w:sz w:val="24"/>
          <w:szCs w:val="24"/>
        </w:rPr>
        <w:t>供应商提供的书面技术资料应能确保系统正常运行所需的管理、运营及维护有关的全套文件。技术文件应该全面、完整、详细。供应商提供的技术文件至少应包括：</w:t>
      </w:r>
    </w:p>
    <w:p w14:paraId="21CA6DDD">
      <w:pPr>
        <w:pStyle w:val="62"/>
        <w:spacing w:after="156"/>
        <w:ind w:firstLine="48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 技术手册(安装、测试、操作、维护、故障排除等)</w:t>
      </w:r>
      <w:r>
        <w:rPr>
          <w:rFonts w:hint="eastAsia" w:ascii="宋体" w:hAnsi="宋体" w:eastAsia="宋体"/>
          <w:sz w:val="24"/>
          <w:szCs w:val="24"/>
        </w:rPr>
        <w:t>，包括《需求分析说明书》、《系统设计说明书》、《数据库设计》、《用户操作手册》、《安装维护手册》、《系统测试报告》；</w:t>
      </w:r>
    </w:p>
    <w:p w14:paraId="45D4ACC4">
      <w:pPr>
        <w:pStyle w:val="62"/>
        <w:spacing w:after="156"/>
        <w:ind w:firstLine="48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 项目文档，应该包括：</w:t>
      </w:r>
      <w:r>
        <w:rPr>
          <w:rFonts w:hint="eastAsia" w:ascii="宋体" w:hAnsi="宋体" w:eastAsia="宋体"/>
          <w:sz w:val="24"/>
          <w:szCs w:val="24"/>
        </w:rPr>
        <w:t>《项目实施过程文档》、《项目实施总结报告》</w:t>
      </w:r>
    </w:p>
    <w:p w14:paraId="090B4367">
      <w:pPr>
        <w:pStyle w:val="62"/>
        <w:spacing w:after="156"/>
        <w:ind w:firstLine="480"/>
        <w:rPr>
          <w:rFonts w:hint="eastAsia" w:ascii="宋体" w:hAnsi="宋体" w:eastAsia="宋体"/>
          <w:sz w:val="24"/>
          <w:szCs w:val="24"/>
        </w:rPr>
      </w:pPr>
      <w:r>
        <w:rPr>
          <w:rFonts w:hint="eastAsia" w:ascii="宋体" w:hAnsi="宋体" w:eastAsia="宋体"/>
          <w:sz w:val="24"/>
          <w:szCs w:val="24"/>
        </w:rPr>
        <w:t>三、提供全套技术文件纸介质</w:t>
      </w:r>
      <w:r>
        <w:rPr>
          <w:rFonts w:ascii="宋体" w:hAnsi="宋体" w:eastAsia="宋体"/>
          <w:sz w:val="24"/>
          <w:szCs w:val="24"/>
        </w:rPr>
        <w:t>以及电子文件。</w:t>
      </w:r>
    </w:p>
    <w:p w14:paraId="1025886F">
      <w:pPr>
        <w:pStyle w:val="3"/>
        <w:numPr>
          <w:ilvl w:val="0"/>
          <w:numId w:val="0"/>
        </w:numPr>
        <w:spacing w:after="156" w:line="480" w:lineRule="exact"/>
        <w:ind w:left="709" w:hanging="709"/>
        <w:rPr>
          <w:rFonts w:hint="eastAsia" w:ascii="宋体" w:hAnsi="宋体" w:eastAsia="宋体" w:cs="宋体"/>
          <w:b/>
          <w:sz w:val="24"/>
        </w:rPr>
      </w:pPr>
      <w:bookmarkStart w:id="76" w:name="_Toc27052"/>
      <w:bookmarkStart w:id="77" w:name="_Toc15974"/>
      <w:bookmarkStart w:id="78" w:name="_Toc193098811"/>
      <w:bookmarkStart w:id="79" w:name="_Toc224662169"/>
      <w:r>
        <w:rPr>
          <w:rFonts w:hint="eastAsia" w:ascii="宋体" w:hAnsi="宋体" w:eastAsia="宋体" w:cs="宋体"/>
          <w:b/>
          <w:sz w:val="24"/>
        </w:rPr>
        <w:t>4.12团队人员与供应商综合能力要求</w:t>
      </w:r>
      <w:bookmarkEnd w:id="76"/>
      <w:bookmarkEnd w:id="77"/>
      <w:bookmarkEnd w:id="78"/>
      <w:bookmarkEnd w:id="79"/>
    </w:p>
    <w:p w14:paraId="0AEFBEC7">
      <w:pPr>
        <w:pStyle w:val="62"/>
        <w:spacing w:after="156"/>
        <w:ind w:firstLine="480"/>
        <w:rPr>
          <w:rFonts w:hint="eastAsia" w:ascii="宋体" w:hAnsi="宋体" w:eastAsia="宋体"/>
          <w:sz w:val="24"/>
          <w:szCs w:val="24"/>
        </w:rPr>
      </w:pPr>
      <w:r>
        <w:rPr>
          <w:rFonts w:hint="eastAsia" w:ascii="宋体" w:hAnsi="宋体" w:eastAsia="宋体"/>
          <w:sz w:val="24"/>
          <w:szCs w:val="24"/>
        </w:rPr>
        <w:t>（1）项目负责人具备信息系统项目管理师资质证书或</w:t>
      </w:r>
      <w:r>
        <w:rPr>
          <w:rFonts w:hint="eastAsia" w:ascii="宋体" w:hAnsi="宋体" w:eastAsia="宋体"/>
          <w:sz w:val="24"/>
          <w:szCs w:val="24"/>
          <w:lang w:eastAsia="zh-CN"/>
        </w:rPr>
        <w:t>计算机类</w:t>
      </w:r>
      <w:r>
        <w:rPr>
          <w:rFonts w:hint="eastAsia" w:ascii="宋体" w:hAnsi="宋体" w:eastAsia="宋体"/>
          <w:sz w:val="24"/>
          <w:szCs w:val="24"/>
        </w:rPr>
        <w:t>相关</w:t>
      </w:r>
      <w:r>
        <w:rPr>
          <w:rFonts w:hint="eastAsia" w:ascii="宋体" w:hAnsi="宋体" w:eastAsia="宋体"/>
          <w:sz w:val="24"/>
          <w:szCs w:val="24"/>
          <w:lang w:eastAsia="zh-CN"/>
        </w:rPr>
        <w:t>专业</w:t>
      </w:r>
      <w:r>
        <w:rPr>
          <w:rFonts w:hint="eastAsia" w:ascii="宋体" w:hAnsi="宋体" w:eastAsia="宋体"/>
          <w:sz w:val="24"/>
          <w:szCs w:val="24"/>
        </w:rPr>
        <w:t>高级工程师职称证书、项目团队除项目负责人外有成员具备信息系统项目管理师或软件开发相关</w:t>
      </w:r>
      <w:r>
        <w:rPr>
          <w:rFonts w:hint="eastAsia" w:ascii="宋体" w:hAnsi="宋体" w:eastAsia="宋体"/>
          <w:sz w:val="24"/>
          <w:szCs w:val="24"/>
          <w:lang w:eastAsia="zh-CN"/>
        </w:rPr>
        <w:t>专业</w:t>
      </w:r>
      <w:r>
        <w:rPr>
          <w:rFonts w:hint="eastAsia" w:ascii="宋体" w:hAnsi="宋体" w:eastAsia="宋体"/>
          <w:sz w:val="24"/>
          <w:szCs w:val="24"/>
        </w:rPr>
        <w:t>中级工程师职称证书或系统架构设计师或系统分析师资质证书的优先考虑；</w:t>
      </w:r>
    </w:p>
    <w:p w14:paraId="2A769177">
      <w:pPr>
        <w:pStyle w:val="62"/>
        <w:spacing w:after="156"/>
        <w:ind w:firstLine="480"/>
        <w:rPr>
          <w:rFonts w:hint="eastAsia" w:ascii="宋体" w:hAnsi="宋体" w:eastAsia="宋体"/>
          <w:sz w:val="24"/>
          <w:szCs w:val="24"/>
        </w:rPr>
      </w:pPr>
      <w:r>
        <w:rPr>
          <w:rFonts w:hint="eastAsia" w:ascii="宋体" w:hAnsi="宋体" w:eastAsia="宋体"/>
          <w:sz w:val="24"/>
          <w:szCs w:val="24"/>
        </w:rPr>
        <w:t>（2）供应商具有</w:t>
      </w:r>
      <w:r>
        <w:rPr>
          <w:rFonts w:hint="eastAsia" w:ascii="宋体" w:hAnsi="宋体" w:eastAsia="宋体"/>
          <w:sz w:val="24"/>
          <w:szCs w:val="24"/>
          <w:lang w:val="en-US" w:eastAsia="zh-CN"/>
        </w:rPr>
        <w:t>C</w:t>
      </w:r>
      <w:r>
        <w:rPr>
          <w:rFonts w:hint="eastAsia" w:ascii="宋体" w:hAnsi="宋体" w:eastAsia="宋体"/>
          <w:sz w:val="24"/>
          <w:szCs w:val="24"/>
        </w:rPr>
        <w:t>CRC信息安全服务资质认证证书的优先考虑。</w:t>
      </w:r>
    </w:p>
    <w:p w14:paraId="21B74C69">
      <w:pPr>
        <w:pStyle w:val="3"/>
        <w:numPr>
          <w:ilvl w:val="0"/>
          <w:numId w:val="0"/>
        </w:numPr>
        <w:spacing w:after="156" w:line="480" w:lineRule="exact"/>
        <w:ind w:left="709" w:hanging="709"/>
        <w:rPr>
          <w:rFonts w:hint="eastAsia" w:ascii="宋体" w:hAnsi="宋体" w:eastAsia="宋体" w:cs="宋体"/>
          <w:b/>
          <w:sz w:val="24"/>
        </w:rPr>
      </w:pPr>
      <w:bookmarkStart w:id="80" w:name="_Toc193098812"/>
      <w:bookmarkStart w:id="81" w:name="_Toc224662170"/>
      <w:bookmarkStart w:id="82" w:name="_Toc7391"/>
      <w:bookmarkStart w:id="83" w:name="_Toc181"/>
      <w:r>
        <w:rPr>
          <w:rFonts w:hint="eastAsia" w:ascii="宋体" w:hAnsi="宋体" w:eastAsia="宋体" w:cs="宋体"/>
          <w:b/>
          <w:sz w:val="24"/>
        </w:rPr>
        <w:t>4.13供应商管理要求</w:t>
      </w:r>
      <w:bookmarkEnd w:id="80"/>
      <w:bookmarkEnd w:id="81"/>
      <w:bookmarkEnd w:id="82"/>
      <w:bookmarkEnd w:id="83"/>
    </w:p>
    <w:p w14:paraId="0FFB2B3E">
      <w:pPr>
        <w:pStyle w:val="62"/>
        <w:spacing w:after="156"/>
        <w:ind w:firstLine="480"/>
        <w:rPr>
          <w:rFonts w:hint="eastAsia" w:ascii="宋体" w:hAnsi="宋体" w:eastAsia="宋体"/>
          <w:sz w:val="24"/>
          <w:szCs w:val="24"/>
        </w:rPr>
      </w:pPr>
      <w:bookmarkStart w:id="84" w:name="OLE_LINK4"/>
      <w:bookmarkStart w:id="85" w:name="OLE_LINK3"/>
      <w:r>
        <w:rPr>
          <w:rFonts w:hint="eastAsia" w:ascii="宋体" w:hAnsi="宋体" w:eastAsia="宋体"/>
          <w:sz w:val="24"/>
          <w:szCs w:val="24"/>
        </w:rPr>
        <w:t>（1）在项目实施期间，</w:t>
      </w:r>
      <w:r>
        <w:rPr>
          <w:rFonts w:hint="eastAsia" w:ascii="宋体" w:hAnsi="宋体" w:eastAsia="宋体"/>
          <w:sz w:val="24"/>
          <w:szCs w:val="24"/>
          <w:lang w:eastAsia="zh-CN"/>
        </w:rPr>
        <w:t>中标供应商</w:t>
      </w:r>
      <w:r>
        <w:rPr>
          <w:rFonts w:hint="eastAsia" w:ascii="宋体" w:hAnsi="宋体" w:eastAsia="宋体"/>
          <w:sz w:val="24"/>
          <w:szCs w:val="24"/>
        </w:rPr>
        <w:t>应严格执行国家、地方、行业有关本项目业务管理和安全作业的法律、法规和制度并按规定承担相应的费用。</w:t>
      </w:r>
      <w:r>
        <w:rPr>
          <w:rFonts w:hint="eastAsia" w:ascii="宋体" w:hAnsi="宋体" w:eastAsia="宋体"/>
          <w:sz w:val="24"/>
          <w:szCs w:val="24"/>
          <w:lang w:eastAsia="zh-CN"/>
        </w:rPr>
        <w:t>中标供应商</w:t>
      </w:r>
      <w:r>
        <w:rPr>
          <w:rFonts w:hint="eastAsia" w:ascii="宋体" w:hAnsi="宋体" w:eastAsia="宋体"/>
          <w:sz w:val="24"/>
          <w:szCs w:val="24"/>
        </w:rPr>
        <w:t>因违反规定等原因造成的一切损失和责任由</w:t>
      </w:r>
      <w:r>
        <w:rPr>
          <w:rFonts w:hint="eastAsia" w:ascii="宋体" w:hAnsi="宋体" w:eastAsia="宋体"/>
          <w:sz w:val="24"/>
          <w:szCs w:val="24"/>
          <w:lang w:eastAsia="zh-CN"/>
        </w:rPr>
        <w:t>中标供应商</w:t>
      </w:r>
      <w:r>
        <w:rPr>
          <w:rFonts w:hint="eastAsia" w:ascii="宋体" w:hAnsi="宋体" w:eastAsia="宋体"/>
          <w:sz w:val="24"/>
          <w:szCs w:val="24"/>
        </w:rPr>
        <w:t>自行承担。</w:t>
      </w:r>
    </w:p>
    <w:p w14:paraId="31B6ADDC">
      <w:pPr>
        <w:pStyle w:val="62"/>
        <w:spacing w:after="156"/>
        <w:ind w:firstLine="48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中标供应商</w:t>
      </w:r>
      <w:r>
        <w:rPr>
          <w:rFonts w:hint="eastAsia" w:ascii="宋体" w:hAnsi="宋体" w:eastAsia="宋体"/>
          <w:sz w:val="24"/>
          <w:szCs w:val="24"/>
        </w:rPr>
        <w:t>在响应文件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ascii="宋体" w:hAnsi="宋体" w:eastAsia="宋体"/>
          <w:sz w:val="24"/>
          <w:szCs w:val="24"/>
          <w:lang w:eastAsia="zh-CN"/>
        </w:rPr>
        <w:t>中标供应商</w:t>
      </w:r>
      <w:r>
        <w:rPr>
          <w:rFonts w:hint="eastAsia" w:ascii="宋体" w:hAnsi="宋体" w:eastAsia="宋体"/>
          <w:sz w:val="24"/>
          <w:szCs w:val="24"/>
        </w:rPr>
        <w:t>不得调换或撤离上述人员。如采购人认为有必要，可要求</w:t>
      </w:r>
      <w:r>
        <w:rPr>
          <w:rFonts w:hint="eastAsia" w:ascii="宋体" w:hAnsi="宋体" w:eastAsia="宋体"/>
          <w:sz w:val="24"/>
          <w:szCs w:val="24"/>
          <w:lang w:eastAsia="zh-CN"/>
        </w:rPr>
        <w:t>中标供应商</w:t>
      </w:r>
      <w:r>
        <w:rPr>
          <w:rFonts w:hint="eastAsia" w:ascii="宋体" w:hAnsi="宋体" w:eastAsia="宋体"/>
          <w:sz w:val="24"/>
          <w:szCs w:val="24"/>
        </w:rPr>
        <w:t>对上述人员中的部分人员作出更好的调整。</w:t>
      </w:r>
    </w:p>
    <w:p w14:paraId="48389D93">
      <w:pPr>
        <w:pStyle w:val="62"/>
        <w:spacing w:after="156"/>
        <w:ind w:firstLine="480"/>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eastAsia="zh-CN"/>
        </w:rPr>
        <w:t>中标供应商</w:t>
      </w:r>
      <w:r>
        <w:rPr>
          <w:rFonts w:hint="eastAsia" w:ascii="宋体" w:hAnsi="宋体" w:eastAsia="宋体"/>
          <w:sz w:val="24"/>
          <w:szCs w:val="24"/>
        </w:rPr>
        <w:t>在项目实施期间，应按项目实际进度与环节落实所对应项目整体及各环节管理工作，按照规范做好项目实施期间相关管理与实施记录。</w:t>
      </w:r>
    </w:p>
    <w:p w14:paraId="3F01E346">
      <w:pPr>
        <w:pStyle w:val="62"/>
        <w:spacing w:after="156"/>
        <w:ind w:firstLine="480"/>
        <w:rPr>
          <w:rFonts w:hint="eastAsia" w:ascii="宋体" w:hAnsi="宋体" w:eastAsia="宋体"/>
          <w:sz w:val="24"/>
          <w:szCs w:val="24"/>
        </w:rPr>
      </w:pPr>
      <w:r>
        <w:rPr>
          <w:rFonts w:hint="eastAsia" w:ascii="宋体" w:hAnsi="宋体" w:eastAsia="宋体"/>
          <w:sz w:val="24"/>
          <w:szCs w:val="24"/>
        </w:rPr>
        <w:t>（4）参与本项目的工作人员应严格遵循采购人的安全制度，保障采购人资料和设备的安全。供应商如需进入采购人机房工作，只能在采购人规定的工作区域内对项目涉及的设备进行操作，严禁触动与项目无关的任何设备（包括任何操作行为），如需跨区操作必须得到采购人项目联系人确认。</w:t>
      </w:r>
    </w:p>
    <w:p w14:paraId="4678CA39">
      <w:pPr>
        <w:pStyle w:val="62"/>
        <w:spacing w:after="156"/>
        <w:ind w:firstLine="480"/>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eastAsia="zh-CN"/>
        </w:rPr>
        <w:t>中标供应商</w:t>
      </w:r>
      <w:r>
        <w:rPr>
          <w:rFonts w:hint="eastAsia" w:ascii="宋体" w:hAnsi="宋体" w:eastAsia="宋体"/>
          <w:sz w:val="24"/>
          <w:szCs w:val="24"/>
        </w:rPr>
        <w:t>在项目实施期间必须遵守采购人的规章制度并提供实施人员名单。</w:t>
      </w:r>
    </w:p>
    <w:p w14:paraId="22F2C5B9">
      <w:pPr>
        <w:pStyle w:val="62"/>
        <w:spacing w:after="156"/>
        <w:ind w:firstLine="480"/>
        <w:rPr>
          <w:rFonts w:hint="eastAsia" w:ascii="宋体" w:hAnsi="宋体" w:eastAsia="宋体"/>
          <w:sz w:val="24"/>
          <w:szCs w:val="24"/>
        </w:rPr>
      </w:pPr>
      <w:r>
        <w:rPr>
          <w:rFonts w:hint="eastAsia" w:ascii="宋体" w:hAnsi="宋体" w:eastAsia="宋体"/>
          <w:sz w:val="24"/>
          <w:szCs w:val="24"/>
        </w:rPr>
        <w:t>（6）各供应商在响应文件中要结合本项目的特点和采购人上述的具体要求制定相应的管理措施，并在报价中列支相应的费用清单，供应商报价中未列支上述费用清单的，上述费用视为已包含在供应商的总报价中。</w:t>
      </w:r>
    </w:p>
    <w:p w14:paraId="56981BF4">
      <w:pPr>
        <w:pStyle w:val="62"/>
        <w:spacing w:after="156"/>
        <w:ind w:firstLine="480"/>
        <w:rPr>
          <w:rFonts w:hint="eastAsia" w:ascii="宋体" w:hAnsi="宋体" w:eastAsia="宋体"/>
          <w:sz w:val="24"/>
          <w:szCs w:val="24"/>
        </w:rPr>
      </w:pPr>
      <w:r>
        <w:rPr>
          <w:rFonts w:hint="eastAsia" w:ascii="宋体" w:hAnsi="宋体" w:eastAsia="宋体"/>
          <w:sz w:val="24"/>
          <w:szCs w:val="24"/>
        </w:rPr>
        <w:t>（7）本项目部署及调试将纳入采购人的管理范围，</w:t>
      </w:r>
      <w:r>
        <w:rPr>
          <w:rFonts w:hint="eastAsia" w:ascii="宋体" w:hAnsi="宋体" w:eastAsia="宋体"/>
          <w:sz w:val="24"/>
          <w:szCs w:val="24"/>
          <w:lang w:eastAsia="zh-CN"/>
        </w:rPr>
        <w:t>中标供应商</w:t>
      </w:r>
      <w:r>
        <w:rPr>
          <w:rFonts w:hint="eastAsia" w:ascii="宋体" w:hAnsi="宋体" w:eastAsia="宋体"/>
          <w:sz w:val="24"/>
          <w:szCs w:val="24"/>
        </w:rPr>
        <w:t>在此过程中须服从上述单位的管理协调。</w:t>
      </w:r>
    </w:p>
    <w:bookmarkEnd w:id="84"/>
    <w:bookmarkEnd w:id="85"/>
    <w:p w14:paraId="108A3F6E">
      <w:pPr>
        <w:pStyle w:val="3"/>
        <w:numPr>
          <w:ilvl w:val="0"/>
          <w:numId w:val="0"/>
        </w:numPr>
        <w:spacing w:after="156" w:line="480" w:lineRule="exact"/>
        <w:ind w:left="709" w:hanging="709"/>
        <w:rPr>
          <w:rFonts w:hint="eastAsia" w:ascii="宋体" w:hAnsi="宋体" w:eastAsia="宋体" w:cs="宋体"/>
          <w:b/>
          <w:sz w:val="24"/>
        </w:rPr>
      </w:pPr>
      <w:bookmarkStart w:id="86" w:name="_Toc20664"/>
      <w:r>
        <w:rPr>
          <w:rFonts w:hint="eastAsia" w:ascii="宋体" w:hAnsi="宋体" w:eastAsia="宋体" w:cs="宋体"/>
          <w:b/>
          <w:sz w:val="24"/>
        </w:rPr>
        <w:t>4.1</w:t>
      </w:r>
      <w:r>
        <w:rPr>
          <w:rFonts w:hint="eastAsia" w:ascii="宋体" w:hAnsi="宋体" w:eastAsia="宋体" w:cs="宋体"/>
          <w:b/>
          <w:sz w:val="24"/>
          <w:lang w:val="en-US" w:eastAsia="zh-CN"/>
        </w:rPr>
        <w:t>3</w:t>
      </w:r>
      <w:r>
        <w:rPr>
          <w:rFonts w:hint="eastAsia" w:ascii="宋体" w:hAnsi="宋体" w:eastAsia="宋体" w:cs="宋体"/>
          <w:b/>
          <w:sz w:val="24"/>
        </w:rPr>
        <w:t>.</w:t>
      </w:r>
      <w:r>
        <w:rPr>
          <w:rFonts w:hint="eastAsia" w:ascii="宋体" w:hAnsi="宋体" w:eastAsia="宋体" w:cs="宋体"/>
          <w:b/>
          <w:sz w:val="24"/>
          <w:lang w:eastAsia="zh-CN"/>
        </w:rPr>
        <w:t>其他</w:t>
      </w:r>
      <w:r>
        <w:rPr>
          <w:rFonts w:hint="eastAsia" w:ascii="宋体" w:hAnsi="宋体" w:eastAsia="宋体" w:cs="宋体"/>
          <w:b/>
          <w:sz w:val="24"/>
        </w:rPr>
        <w:t>要求</w:t>
      </w:r>
      <w:bookmarkEnd w:id="86"/>
    </w:p>
    <w:p w14:paraId="22B01EE0">
      <w:pPr>
        <w:pStyle w:val="40"/>
        <w:rPr>
          <w:rFonts w:hint="eastAsia"/>
        </w:rPr>
      </w:pPr>
      <w:r>
        <w:rPr>
          <w:rFonts w:hint="eastAsia"/>
        </w:rPr>
        <w:t>涉及到本项目的建设内容，如需与</w:t>
      </w:r>
      <w:r>
        <w:rPr>
          <w:rFonts w:hint="eastAsia"/>
          <w:lang w:eastAsia="zh-CN"/>
        </w:rPr>
        <w:t>采购人</w:t>
      </w:r>
      <w:r>
        <w:rPr>
          <w:rFonts w:hint="eastAsia"/>
        </w:rPr>
        <w:t>现有信息系统进行对接，涉及系统协调、接口开发及接口费用等，由</w:t>
      </w:r>
      <w:r>
        <w:rPr>
          <w:rFonts w:hint="eastAsia"/>
          <w:lang w:eastAsia="zh-CN"/>
        </w:rPr>
        <w:t>中标供应商</w:t>
      </w:r>
      <w:r>
        <w:rPr>
          <w:rFonts w:hint="eastAsia"/>
        </w:rPr>
        <w:t>承担。</w:t>
      </w:r>
    </w:p>
    <w:p w14:paraId="3447BD44">
      <w:pPr>
        <w:pStyle w:val="62"/>
        <w:spacing w:after="156"/>
        <w:ind w:firstLine="480"/>
        <w:rPr>
          <w:rFonts w:hint="eastAsia" w:ascii="宋体" w:hAnsi="宋体" w:eastAsia="宋体"/>
          <w:b/>
          <w:bCs/>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微软雅黑">
    <w:altName w:val="国标宋体"/>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4B58">
    <w:pPr>
      <w:pStyle w:val="22"/>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B98D">
    <w:pPr>
      <w:pStyle w:val="22"/>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7567">
    <w:pPr>
      <w:pStyle w:val="22"/>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423C">
    <w:pPr>
      <w:pStyle w:val="22"/>
      <w:spacing w:after="1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5654A">
                          <w:pPr>
                            <w:pStyle w:val="22"/>
                            <w:spacing w:after="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15654A">
                    <w:pPr>
                      <w:pStyle w:val="22"/>
                      <w:spacing w:after="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058226"/>
    </w:sdtPr>
    <w:sdtContent>
      <w:p w14:paraId="1B8422C9">
        <w:pPr>
          <w:pStyle w:val="22"/>
          <w:spacing w:after="120"/>
          <w:jc w:val="center"/>
        </w:pPr>
        <w:r>
          <w:fldChar w:fldCharType="begin"/>
        </w:r>
        <w:r>
          <w:instrText xml:space="preserve">PAGE   \* MERGEFORMAT</w:instrText>
        </w:r>
        <w:r>
          <w:fldChar w:fldCharType="separate"/>
        </w:r>
        <w:r>
          <w:rPr>
            <w:lang w:val="zh-CN"/>
          </w:rPr>
          <w:t>2</w:t>
        </w:r>
        <w:r>
          <w:fldChar w:fldCharType="end"/>
        </w:r>
      </w:p>
    </w:sdtContent>
  </w:sdt>
  <w:p w14:paraId="37372FB8">
    <w:pPr>
      <w:pStyle w:val="22"/>
      <w:spacing w:after="1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9550952"/>
    </w:sdtPr>
    <w:sdtContent>
      <w:p w14:paraId="3BAAE840">
        <w:pPr>
          <w:pStyle w:val="22"/>
          <w:spacing w:after="120"/>
          <w:jc w:val="center"/>
        </w:pPr>
        <w:r>
          <w:fldChar w:fldCharType="begin"/>
        </w:r>
        <w:r>
          <w:instrText xml:space="preserve">PAGE   \* MERGEFORMAT</w:instrText>
        </w:r>
        <w:r>
          <w:fldChar w:fldCharType="separate"/>
        </w:r>
        <w:r>
          <w:rPr>
            <w:lang w:val="zh-CN"/>
          </w:rPr>
          <w:t>2</w:t>
        </w:r>
        <w:r>
          <w:fldChar w:fldCharType="end"/>
        </w:r>
      </w:p>
    </w:sdtContent>
  </w:sdt>
  <w:p w14:paraId="269CA78F">
    <w:pPr>
      <w:spacing w:after="120" w:line="176" w:lineRule="auto"/>
      <w:ind w:left="4058"/>
      <w:rPr>
        <w:rFonts w:ascii="Calibri" w:hAnsi="Calibri" w:eastAsia="Calibri" w:cs="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341F">
    <w:pPr>
      <w:pStyle w:val="2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A3CD">
    <w:pPr>
      <w:pStyle w:val="23"/>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3A25">
    <w:pPr>
      <w:pStyle w:val="23"/>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08E4">
    <w:pPr>
      <w:spacing w:before="15" w:after="120" w:line="230" w:lineRule="auto"/>
      <w:ind w:left="2198"/>
      <w:rPr>
        <w:rFonts w:hint="eastAsia" w:ascii="宋体" w:hAnsi="宋体" w:eastAsia="宋体" w:cs="宋体"/>
        <w:sz w:val="16"/>
        <w:szCs w:val="16"/>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701040</wp:posOffset>
              </wp:positionV>
              <wp:extent cx="527494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274945" cy="6350"/>
                      </a:xfrm>
                      <a:custGeom>
                        <a:avLst/>
                        <a:gdLst/>
                        <a:ahLst/>
                        <a:cxnLst/>
                        <a:rect l="0" t="0" r="0" b="0"/>
                        <a:pathLst>
                          <a:path w="8307" h="10">
                            <a:moveTo>
                              <a:pt x="0" y="0"/>
                            </a:moveTo>
                            <a:lnTo>
                              <a:pt x="8306" y="0"/>
                            </a:lnTo>
                            <a:lnTo>
                              <a:pt x="8306"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5pt;width:415.35pt;mso-position-horizontal-relative:page;mso-position-vertical-relative:page;z-index:251659264;mso-width-relative:page;mso-height-relative:page;" fillcolor="#000000" filled="t" stroked="f" coordsize="8307,10" o:allowincell="f" o:gfxdata="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3OK72AAAAAwBAAAP&#10;AAAAAAAAAAEAIAAAACIAAABkcnMvZG93bnJldi54bWxQSwECFAAUAAAACACHTuJAX6g/NBgCAACc&#10;BAAADgAAAAAAAAABACAAAAAnAQAAZHJzL2Uyb0RvYy54bWxQSwUGAAAAAAYABgBZAQAAsQUAAAAA&#10;" path="m0,0l8306,0,8306,9,0,9,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A3480"/>
    <w:multiLevelType w:val="multilevel"/>
    <w:tmpl w:val="968A3480"/>
    <w:lvl w:ilvl="0" w:tentative="0">
      <w:start w:val="1"/>
      <w:numFmt w:val="decimal"/>
      <w:pStyle w:val="49"/>
      <w:suff w:val="nothing"/>
      <w:lvlText w:val="表%1："/>
      <w:lvlJc w:val="center"/>
      <w:pPr>
        <w:ind w:left="3964" w:hanging="420"/>
      </w:pPr>
      <w:rPr>
        <w:rFonts w:hint="default"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003" w:hanging="420"/>
      </w:pPr>
      <w:rPr>
        <w:rFonts w:hint="eastAsia"/>
      </w:rPr>
    </w:lvl>
    <w:lvl w:ilvl="2" w:tentative="0">
      <w:start w:val="1"/>
      <w:numFmt w:val="lowerRoman"/>
      <w:lvlText w:val="%3."/>
      <w:lvlJc w:val="right"/>
      <w:pPr>
        <w:ind w:left="-583" w:hanging="420"/>
      </w:pPr>
      <w:rPr>
        <w:rFonts w:hint="eastAsia"/>
      </w:rPr>
    </w:lvl>
    <w:lvl w:ilvl="3" w:tentative="0">
      <w:start w:val="1"/>
      <w:numFmt w:val="decimal"/>
      <w:lvlText w:val="%4."/>
      <w:lvlJc w:val="left"/>
      <w:pPr>
        <w:ind w:left="-163" w:hanging="420"/>
      </w:pPr>
      <w:rPr>
        <w:rFonts w:hint="eastAsia"/>
      </w:rPr>
    </w:lvl>
    <w:lvl w:ilvl="4" w:tentative="0">
      <w:start w:val="1"/>
      <w:numFmt w:val="lowerLetter"/>
      <w:lvlText w:val="%5)"/>
      <w:lvlJc w:val="left"/>
      <w:pPr>
        <w:ind w:left="257" w:hanging="420"/>
      </w:pPr>
      <w:rPr>
        <w:rFonts w:hint="eastAsia"/>
      </w:rPr>
    </w:lvl>
    <w:lvl w:ilvl="5" w:tentative="0">
      <w:start w:val="1"/>
      <w:numFmt w:val="lowerRoman"/>
      <w:lvlText w:val="%6."/>
      <w:lvlJc w:val="right"/>
      <w:pPr>
        <w:ind w:left="677" w:hanging="420"/>
      </w:pPr>
      <w:rPr>
        <w:rFonts w:hint="eastAsia"/>
      </w:rPr>
    </w:lvl>
    <w:lvl w:ilvl="6" w:tentative="0">
      <w:start w:val="1"/>
      <w:numFmt w:val="decimal"/>
      <w:lvlText w:val="%7."/>
      <w:lvlJc w:val="left"/>
      <w:pPr>
        <w:ind w:left="1097" w:hanging="420"/>
      </w:pPr>
      <w:rPr>
        <w:rFonts w:hint="eastAsia"/>
      </w:rPr>
    </w:lvl>
    <w:lvl w:ilvl="7" w:tentative="0">
      <w:start w:val="1"/>
      <w:numFmt w:val="lowerLetter"/>
      <w:lvlText w:val="%8)"/>
      <w:lvlJc w:val="left"/>
      <w:pPr>
        <w:ind w:left="1517" w:hanging="420"/>
      </w:pPr>
      <w:rPr>
        <w:rFonts w:hint="eastAsia"/>
      </w:rPr>
    </w:lvl>
    <w:lvl w:ilvl="8" w:tentative="0">
      <w:start w:val="1"/>
      <w:numFmt w:val="lowerRoman"/>
      <w:lvlText w:val="%9."/>
      <w:lvlJc w:val="right"/>
      <w:pPr>
        <w:ind w:left="1937" w:hanging="420"/>
      </w:pPr>
      <w:rPr>
        <w:rFonts w:hint="eastAsia"/>
      </w:rPr>
    </w:lvl>
  </w:abstractNum>
  <w:abstractNum w:abstractNumId="1">
    <w:nsid w:val="9D512742"/>
    <w:multiLevelType w:val="multilevel"/>
    <w:tmpl w:val="9D512742"/>
    <w:lvl w:ilvl="0" w:tentative="0">
      <w:start w:val="1"/>
      <w:numFmt w:val="decimal"/>
      <w:pStyle w:val="2"/>
      <w:lvlText w:val="%1."/>
      <w:lvlJc w:val="left"/>
      <w:pPr>
        <w:ind w:left="425" w:hanging="425"/>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3"/>
      <w:lvlText w:val="%1.%2."/>
      <w:lvlJc w:val="left"/>
      <w:pPr>
        <w:ind w:left="567" w:hanging="567"/>
      </w:pPr>
      <w:rPr>
        <w:rFonts w:hint="default" w:ascii="黑体" w:hAnsi="黑体" w:eastAsia="宋体" w:cs="黑体"/>
        <w:sz w:val="24"/>
        <w:szCs w:val="30"/>
      </w:rPr>
    </w:lvl>
    <w:lvl w:ilvl="2" w:tentative="0">
      <w:start w:val="1"/>
      <w:numFmt w:val="decimal"/>
      <w:pStyle w:val="4"/>
      <w:lvlText w:val="%1.%2.%3."/>
      <w:lvlJc w:val="left"/>
      <w:pPr>
        <w:ind w:left="709" w:hanging="709"/>
      </w:pPr>
      <w:rPr>
        <w:rFonts w:hint="default" w:ascii="黑体" w:hAnsi="黑体" w:eastAsia="黑体" w:cs="黑体"/>
        <w:sz w:val="28"/>
        <w:szCs w:val="28"/>
      </w:rPr>
    </w:lvl>
    <w:lvl w:ilvl="3" w:tentative="0">
      <w:start w:val="1"/>
      <w:numFmt w:val="decimal"/>
      <w:pStyle w:val="5"/>
      <w:lvlText w:val="%1.%2.%3.%4."/>
      <w:lvlJc w:val="left"/>
      <w:pPr>
        <w:ind w:left="850" w:hanging="850"/>
      </w:pPr>
      <w:rPr>
        <w:rFonts w:hint="default" w:ascii="宋体" w:hAnsi="宋体" w:eastAsia="宋体" w:cs="宋体"/>
        <w:sz w:val="28"/>
        <w:szCs w:val="28"/>
      </w:rPr>
    </w:lvl>
    <w:lvl w:ilvl="4" w:tentative="0">
      <w:start w:val="1"/>
      <w:numFmt w:val="decimal"/>
      <w:pStyle w:val="6"/>
      <w:lvlText w:val="%1.%2.%3.%4.%5."/>
      <w:lvlJc w:val="left"/>
      <w:pPr>
        <w:ind w:left="991" w:hanging="991"/>
      </w:pPr>
      <w:rPr>
        <w:rFonts w:hint="default" w:ascii="宋体" w:hAnsi="宋体" w:eastAsia="宋体" w:cs="宋体"/>
        <w:sz w:val="28"/>
        <w:szCs w:val="28"/>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4BA032FF"/>
    <w:multiLevelType w:val="singleLevel"/>
    <w:tmpl w:val="4BA032FF"/>
    <w:lvl w:ilvl="0" w:tentative="0">
      <w:start w:val="1"/>
      <w:numFmt w:val="chineseCounting"/>
      <w:suff w:val="nothing"/>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hideSpellingErrors/>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77"/>
    <w:rsid w:val="0001291F"/>
    <w:rsid w:val="000253B2"/>
    <w:rsid w:val="00033556"/>
    <w:rsid w:val="00042D33"/>
    <w:rsid w:val="000438DE"/>
    <w:rsid w:val="00045091"/>
    <w:rsid w:val="00053705"/>
    <w:rsid w:val="000717DD"/>
    <w:rsid w:val="000776D6"/>
    <w:rsid w:val="000802D5"/>
    <w:rsid w:val="00087FBF"/>
    <w:rsid w:val="00092ED6"/>
    <w:rsid w:val="000C11ED"/>
    <w:rsid w:val="000C259B"/>
    <w:rsid w:val="000D7570"/>
    <w:rsid w:val="000F5DAE"/>
    <w:rsid w:val="00113E5B"/>
    <w:rsid w:val="001268C4"/>
    <w:rsid w:val="00136CA2"/>
    <w:rsid w:val="0016175C"/>
    <w:rsid w:val="001647EE"/>
    <w:rsid w:val="0016635B"/>
    <w:rsid w:val="001719E0"/>
    <w:rsid w:val="00172A27"/>
    <w:rsid w:val="00174A71"/>
    <w:rsid w:val="001953C5"/>
    <w:rsid w:val="001A0E0E"/>
    <w:rsid w:val="001A4D10"/>
    <w:rsid w:val="001A6BB4"/>
    <w:rsid w:val="001C444A"/>
    <w:rsid w:val="001D053C"/>
    <w:rsid w:val="001D12E6"/>
    <w:rsid w:val="001D44E6"/>
    <w:rsid w:val="001E2711"/>
    <w:rsid w:val="001F546C"/>
    <w:rsid w:val="00200568"/>
    <w:rsid w:val="002104EC"/>
    <w:rsid w:val="00212AF1"/>
    <w:rsid w:val="00217C36"/>
    <w:rsid w:val="0023172B"/>
    <w:rsid w:val="002341D4"/>
    <w:rsid w:val="002546C5"/>
    <w:rsid w:val="002636FF"/>
    <w:rsid w:val="00273DC3"/>
    <w:rsid w:val="0027611B"/>
    <w:rsid w:val="002868FA"/>
    <w:rsid w:val="002A6AEA"/>
    <w:rsid w:val="002B1CE6"/>
    <w:rsid w:val="002B3449"/>
    <w:rsid w:val="002B5161"/>
    <w:rsid w:val="002C27FE"/>
    <w:rsid w:val="002C5412"/>
    <w:rsid w:val="002D3509"/>
    <w:rsid w:val="002D77D5"/>
    <w:rsid w:val="002D7819"/>
    <w:rsid w:val="002E7C67"/>
    <w:rsid w:val="002F32F6"/>
    <w:rsid w:val="002F758F"/>
    <w:rsid w:val="002F7BF6"/>
    <w:rsid w:val="00302BA3"/>
    <w:rsid w:val="0031357F"/>
    <w:rsid w:val="003145AA"/>
    <w:rsid w:val="0031566E"/>
    <w:rsid w:val="00317BFE"/>
    <w:rsid w:val="00324341"/>
    <w:rsid w:val="0032747D"/>
    <w:rsid w:val="00334997"/>
    <w:rsid w:val="0034695F"/>
    <w:rsid w:val="00350875"/>
    <w:rsid w:val="00357936"/>
    <w:rsid w:val="003831F5"/>
    <w:rsid w:val="00393149"/>
    <w:rsid w:val="003B6008"/>
    <w:rsid w:val="003C50D0"/>
    <w:rsid w:val="00400DEC"/>
    <w:rsid w:val="004038F4"/>
    <w:rsid w:val="00403C5C"/>
    <w:rsid w:val="00410952"/>
    <w:rsid w:val="00413C38"/>
    <w:rsid w:val="004211E5"/>
    <w:rsid w:val="00422BD0"/>
    <w:rsid w:val="00425B1E"/>
    <w:rsid w:val="0043217F"/>
    <w:rsid w:val="00437BD8"/>
    <w:rsid w:val="00450A47"/>
    <w:rsid w:val="00452D08"/>
    <w:rsid w:val="004558CF"/>
    <w:rsid w:val="00467608"/>
    <w:rsid w:val="004743D1"/>
    <w:rsid w:val="00494FD3"/>
    <w:rsid w:val="004A42AD"/>
    <w:rsid w:val="004A5581"/>
    <w:rsid w:val="004B42A4"/>
    <w:rsid w:val="004C021C"/>
    <w:rsid w:val="004C098B"/>
    <w:rsid w:val="004C78F3"/>
    <w:rsid w:val="004D2311"/>
    <w:rsid w:val="004E2E97"/>
    <w:rsid w:val="004E6B11"/>
    <w:rsid w:val="004E77E0"/>
    <w:rsid w:val="004E7E03"/>
    <w:rsid w:val="004F06C4"/>
    <w:rsid w:val="004F0D61"/>
    <w:rsid w:val="004F1FE3"/>
    <w:rsid w:val="004F293B"/>
    <w:rsid w:val="005006C4"/>
    <w:rsid w:val="00510987"/>
    <w:rsid w:val="00513B3B"/>
    <w:rsid w:val="005159E3"/>
    <w:rsid w:val="00521B20"/>
    <w:rsid w:val="005263BA"/>
    <w:rsid w:val="00532C9E"/>
    <w:rsid w:val="00540237"/>
    <w:rsid w:val="005443D1"/>
    <w:rsid w:val="00555821"/>
    <w:rsid w:val="00565EFC"/>
    <w:rsid w:val="0056683D"/>
    <w:rsid w:val="0057096F"/>
    <w:rsid w:val="00573856"/>
    <w:rsid w:val="00575722"/>
    <w:rsid w:val="00593AE8"/>
    <w:rsid w:val="005961E0"/>
    <w:rsid w:val="00596A68"/>
    <w:rsid w:val="005A4A45"/>
    <w:rsid w:val="005B222C"/>
    <w:rsid w:val="005C4F6E"/>
    <w:rsid w:val="005E7F1B"/>
    <w:rsid w:val="005F7D69"/>
    <w:rsid w:val="00603807"/>
    <w:rsid w:val="00616513"/>
    <w:rsid w:val="00621117"/>
    <w:rsid w:val="00636C29"/>
    <w:rsid w:val="00642B5A"/>
    <w:rsid w:val="0064336C"/>
    <w:rsid w:val="0064594A"/>
    <w:rsid w:val="00645F39"/>
    <w:rsid w:val="0065430B"/>
    <w:rsid w:val="006600D7"/>
    <w:rsid w:val="0066395F"/>
    <w:rsid w:val="00664CF2"/>
    <w:rsid w:val="00681046"/>
    <w:rsid w:val="006938DD"/>
    <w:rsid w:val="00695514"/>
    <w:rsid w:val="00695E24"/>
    <w:rsid w:val="006B025A"/>
    <w:rsid w:val="006B0E01"/>
    <w:rsid w:val="006B2C54"/>
    <w:rsid w:val="006B6548"/>
    <w:rsid w:val="006D1778"/>
    <w:rsid w:val="006F2B7F"/>
    <w:rsid w:val="00700920"/>
    <w:rsid w:val="007176BB"/>
    <w:rsid w:val="00724A0B"/>
    <w:rsid w:val="0072514D"/>
    <w:rsid w:val="00750721"/>
    <w:rsid w:val="007538ED"/>
    <w:rsid w:val="00766594"/>
    <w:rsid w:val="00781B7A"/>
    <w:rsid w:val="007828F2"/>
    <w:rsid w:val="00785B86"/>
    <w:rsid w:val="00790CF1"/>
    <w:rsid w:val="00791B71"/>
    <w:rsid w:val="00796470"/>
    <w:rsid w:val="007B191E"/>
    <w:rsid w:val="007B493D"/>
    <w:rsid w:val="007C21CC"/>
    <w:rsid w:val="007C4941"/>
    <w:rsid w:val="007E7C62"/>
    <w:rsid w:val="007F794A"/>
    <w:rsid w:val="00803073"/>
    <w:rsid w:val="0080500E"/>
    <w:rsid w:val="00812253"/>
    <w:rsid w:val="00835FFC"/>
    <w:rsid w:val="00847802"/>
    <w:rsid w:val="00854C9B"/>
    <w:rsid w:val="0086668E"/>
    <w:rsid w:val="008957F6"/>
    <w:rsid w:val="008A5C90"/>
    <w:rsid w:val="008B688C"/>
    <w:rsid w:val="008C242F"/>
    <w:rsid w:val="008D707D"/>
    <w:rsid w:val="008D7D90"/>
    <w:rsid w:val="008E0A44"/>
    <w:rsid w:val="008E74A4"/>
    <w:rsid w:val="00905B75"/>
    <w:rsid w:val="00912A0A"/>
    <w:rsid w:val="00921130"/>
    <w:rsid w:val="0093256E"/>
    <w:rsid w:val="00933FEA"/>
    <w:rsid w:val="00941082"/>
    <w:rsid w:val="00951FB9"/>
    <w:rsid w:val="009571B1"/>
    <w:rsid w:val="009740C0"/>
    <w:rsid w:val="0098708B"/>
    <w:rsid w:val="009A1E68"/>
    <w:rsid w:val="009A35A9"/>
    <w:rsid w:val="009B2BA1"/>
    <w:rsid w:val="009B40FF"/>
    <w:rsid w:val="009E1C07"/>
    <w:rsid w:val="009E4A32"/>
    <w:rsid w:val="009F7C33"/>
    <w:rsid w:val="00A06F8A"/>
    <w:rsid w:val="00A10357"/>
    <w:rsid w:val="00A214D9"/>
    <w:rsid w:val="00A96370"/>
    <w:rsid w:val="00AA295B"/>
    <w:rsid w:val="00AC1FF6"/>
    <w:rsid w:val="00AC2618"/>
    <w:rsid w:val="00AC5BF5"/>
    <w:rsid w:val="00AE0146"/>
    <w:rsid w:val="00B03CE6"/>
    <w:rsid w:val="00B049A6"/>
    <w:rsid w:val="00B40BA5"/>
    <w:rsid w:val="00B4377E"/>
    <w:rsid w:val="00B523E5"/>
    <w:rsid w:val="00B72709"/>
    <w:rsid w:val="00B84562"/>
    <w:rsid w:val="00B90A90"/>
    <w:rsid w:val="00BA632F"/>
    <w:rsid w:val="00BB1D5E"/>
    <w:rsid w:val="00BC3734"/>
    <w:rsid w:val="00BC48B1"/>
    <w:rsid w:val="00BE3F73"/>
    <w:rsid w:val="00BE4B3E"/>
    <w:rsid w:val="00BE6FB0"/>
    <w:rsid w:val="00BF5B9E"/>
    <w:rsid w:val="00C0396B"/>
    <w:rsid w:val="00C10B4B"/>
    <w:rsid w:val="00C1428F"/>
    <w:rsid w:val="00C14332"/>
    <w:rsid w:val="00C173F5"/>
    <w:rsid w:val="00C26BEA"/>
    <w:rsid w:val="00C32A47"/>
    <w:rsid w:val="00C516F7"/>
    <w:rsid w:val="00C57ADE"/>
    <w:rsid w:val="00C7017A"/>
    <w:rsid w:val="00C72679"/>
    <w:rsid w:val="00C73407"/>
    <w:rsid w:val="00C7485E"/>
    <w:rsid w:val="00C75508"/>
    <w:rsid w:val="00C93042"/>
    <w:rsid w:val="00C97324"/>
    <w:rsid w:val="00CA48D2"/>
    <w:rsid w:val="00CA6981"/>
    <w:rsid w:val="00CB49F9"/>
    <w:rsid w:val="00CC060E"/>
    <w:rsid w:val="00CC2DF1"/>
    <w:rsid w:val="00CC77B3"/>
    <w:rsid w:val="00CD69EE"/>
    <w:rsid w:val="00CF00D0"/>
    <w:rsid w:val="00D01A74"/>
    <w:rsid w:val="00D047AE"/>
    <w:rsid w:val="00D07FBC"/>
    <w:rsid w:val="00D14413"/>
    <w:rsid w:val="00D25E0C"/>
    <w:rsid w:val="00D321D8"/>
    <w:rsid w:val="00D3768D"/>
    <w:rsid w:val="00D512E3"/>
    <w:rsid w:val="00D572E7"/>
    <w:rsid w:val="00D63612"/>
    <w:rsid w:val="00D6563F"/>
    <w:rsid w:val="00D818C2"/>
    <w:rsid w:val="00D84B3D"/>
    <w:rsid w:val="00D932B8"/>
    <w:rsid w:val="00D9733C"/>
    <w:rsid w:val="00DA2C2A"/>
    <w:rsid w:val="00DA52B7"/>
    <w:rsid w:val="00DA5CE8"/>
    <w:rsid w:val="00DA7440"/>
    <w:rsid w:val="00DA7F03"/>
    <w:rsid w:val="00DB4027"/>
    <w:rsid w:val="00DC3A80"/>
    <w:rsid w:val="00DC783E"/>
    <w:rsid w:val="00DD64CB"/>
    <w:rsid w:val="00DE0B80"/>
    <w:rsid w:val="00DE3162"/>
    <w:rsid w:val="00DF3477"/>
    <w:rsid w:val="00DF4820"/>
    <w:rsid w:val="00E163E9"/>
    <w:rsid w:val="00E42FFE"/>
    <w:rsid w:val="00E46632"/>
    <w:rsid w:val="00E47210"/>
    <w:rsid w:val="00E47B76"/>
    <w:rsid w:val="00E50F28"/>
    <w:rsid w:val="00E53D18"/>
    <w:rsid w:val="00E74016"/>
    <w:rsid w:val="00E97454"/>
    <w:rsid w:val="00EC5C3C"/>
    <w:rsid w:val="00ED1DAA"/>
    <w:rsid w:val="00ED4C9B"/>
    <w:rsid w:val="00EE2F4E"/>
    <w:rsid w:val="00F01397"/>
    <w:rsid w:val="00F0355A"/>
    <w:rsid w:val="00F05DC9"/>
    <w:rsid w:val="00F112F5"/>
    <w:rsid w:val="00F16262"/>
    <w:rsid w:val="00F17EC2"/>
    <w:rsid w:val="00F20C12"/>
    <w:rsid w:val="00F31B4B"/>
    <w:rsid w:val="00F4691B"/>
    <w:rsid w:val="00F64097"/>
    <w:rsid w:val="00F76A40"/>
    <w:rsid w:val="00F84E72"/>
    <w:rsid w:val="00F85EED"/>
    <w:rsid w:val="00F86068"/>
    <w:rsid w:val="00F94A94"/>
    <w:rsid w:val="00FA15D8"/>
    <w:rsid w:val="00FB37DC"/>
    <w:rsid w:val="00FB3850"/>
    <w:rsid w:val="00FC335F"/>
    <w:rsid w:val="00FC3D23"/>
    <w:rsid w:val="00FC63F1"/>
    <w:rsid w:val="00FD4A4E"/>
    <w:rsid w:val="00FD71B1"/>
    <w:rsid w:val="00FE2F18"/>
    <w:rsid w:val="00FE3C27"/>
    <w:rsid w:val="00FE4FDA"/>
    <w:rsid w:val="00FE66F9"/>
    <w:rsid w:val="00FF5EC5"/>
    <w:rsid w:val="00FF5F41"/>
    <w:rsid w:val="018E0263"/>
    <w:rsid w:val="01992E19"/>
    <w:rsid w:val="01C13DEF"/>
    <w:rsid w:val="01EC3E90"/>
    <w:rsid w:val="01EE1304"/>
    <w:rsid w:val="030E6A10"/>
    <w:rsid w:val="031F1572"/>
    <w:rsid w:val="034224A5"/>
    <w:rsid w:val="05235E1B"/>
    <w:rsid w:val="0524626C"/>
    <w:rsid w:val="06020126"/>
    <w:rsid w:val="06293905"/>
    <w:rsid w:val="06FD269B"/>
    <w:rsid w:val="070B125C"/>
    <w:rsid w:val="07852A84"/>
    <w:rsid w:val="07B6496C"/>
    <w:rsid w:val="08335A87"/>
    <w:rsid w:val="08E01F18"/>
    <w:rsid w:val="095161D6"/>
    <w:rsid w:val="095F1D84"/>
    <w:rsid w:val="098E1791"/>
    <w:rsid w:val="0A51069B"/>
    <w:rsid w:val="0A9817DB"/>
    <w:rsid w:val="0AEC3153"/>
    <w:rsid w:val="0AED3BC8"/>
    <w:rsid w:val="0AF02C43"/>
    <w:rsid w:val="0AFD62FB"/>
    <w:rsid w:val="0C1069CD"/>
    <w:rsid w:val="0C1E45D0"/>
    <w:rsid w:val="0C41127C"/>
    <w:rsid w:val="0CE916F8"/>
    <w:rsid w:val="0D3A296F"/>
    <w:rsid w:val="0DC51042"/>
    <w:rsid w:val="0E170211"/>
    <w:rsid w:val="0EE47F23"/>
    <w:rsid w:val="0F0C791F"/>
    <w:rsid w:val="0F130CAE"/>
    <w:rsid w:val="0F4C41C0"/>
    <w:rsid w:val="0FAB40EC"/>
    <w:rsid w:val="0FDE380C"/>
    <w:rsid w:val="0FFB0CB3"/>
    <w:rsid w:val="100E1475"/>
    <w:rsid w:val="10997F60"/>
    <w:rsid w:val="111274C7"/>
    <w:rsid w:val="1167079C"/>
    <w:rsid w:val="11902A8A"/>
    <w:rsid w:val="11D24E50"/>
    <w:rsid w:val="12011292"/>
    <w:rsid w:val="128B4FFF"/>
    <w:rsid w:val="13250FB0"/>
    <w:rsid w:val="13E034AC"/>
    <w:rsid w:val="156E23A2"/>
    <w:rsid w:val="157601E9"/>
    <w:rsid w:val="15C03969"/>
    <w:rsid w:val="16710696"/>
    <w:rsid w:val="16F20517"/>
    <w:rsid w:val="177F410B"/>
    <w:rsid w:val="18174757"/>
    <w:rsid w:val="18295A78"/>
    <w:rsid w:val="185F31B6"/>
    <w:rsid w:val="18D94D16"/>
    <w:rsid w:val="19EC2C3B"/>
    <w:rsid w:val="1AA57B3F"/>
    <w:rsid w:val="1AC322AF"/>
    <w:rsid w:val="1BE7599C"/>
    <w:rsid w:val="1BFC5AAE"/>
    <w:rsid w:val="1C5172BA"/>
    <w:rsid w:val="1C8F10A8"/>
    <w:rsid w:val="1CDB756F"/>
    <w:rsid w:val="1F0A43EB"/>
    <w:rsid w:val="1F242A63"/>
    <w:rsid w:val="1F301408"/>
    <w:rsid w:val="1F9C4CF0"/>
    <w:rsid w:val="1FDF3AB8"/>
    <w:rsid w:val="1FF2190C"/>
    <w:rsid w:val="20847C5E"/>
    <w:rsid w:val="21676C37"/>
    <w:rsid w:val="21E07116"/>
    <w:rsid w:val="24CB446D"/>
    <w:rsid w:val="24D80578"/>
    <w:rsid w:val="24FA11F2"/>
    <w:rsid w:val="250F2D71"/>
    <w:rsid w:val="25877C9F"/>
    <w:rsid w:val="25E47EE6"/>
    <w:rsid w:val="2611134B"/>
    <w:rsid w:val="2691732D"/>
    <w:rsid w:val="27361586"/>
    <w:rsid w:val="27BC5F2F"/>
    <w:rsid w:val="28194D1C"/>
    <w:rsid w:val="28771E56"/>
    <w:rsid w:val="2A361FCD"/>
    <w:rsid w:val="2A511A7B"/>
    <w:rsid w:val="2BBD92FB"/>
    <w:rsid w:val="2BE75544"/>
    <w:rsid w:val="2BFBD505"/>
    <w:rsid w:val="2C3E3247"/>
    <w:rsid w:val="2CC34063"/>
    <w:rsid w:val="2CFC6DCE"/>
    <w:rsid w:val="2D3F6697"/>
    <w:rsid w:val="2D616C31"/>
    <w:rsid w:val="2DEB11CA"/>
    <w:rsid w:val="2E681C88"/>
    <w:rsid w:val="2E9D5B74"/>
    <w:rsid w:val="2EE82879"/>
    <w:rsid w:val="2F4371E0"/>
    <w:rsid w:val="2FC43270"/>
    <w:rsid w:val="30062D94"/>
    <w:rsid w:val="30467493"/>
    <w:rsid w:val="30FD4EC2"/>
    <w:rsid w:val="31224929"/>
    <w:rsid w:val="313A1C72"/>
    <w:rsid w:val="31CF43B0"/>
    <w:rsid w:val="32003B20"/>
    <w:rsid w:val="32286779"/>
    <w:rsid w:val="3273368E"/>
    <w:rsid w:val="32A05D00"/>
    <w:rsid w:val="32A35675"/>
    <w:rsid w:val="33395E19"/>
    <w:rsid w:val="34C91D65"/>
    <w:rsid w:val="34FD572F"/>
    <w:rsid w:val="3554508D"/>
    <w:rsid w:val="35AD7796"/>
    <w:rsid w:val="35C83CF1"/>
    <w:rsid w:val="35DB7EC8"/>
    <w:rsid w:val="35FEE821"/>
    <w:rsid w:val="36D3098A"/>
    <w:rsid w:val="36F86858"/>
    <w:rsid w:val="37957AAC"/>
    <w:rsid w:val="37DC1CD5"/>
    <w:rsid w:val="37FFE011"/>
    <w:rsid w:val="38D53B58"/>
    <w:rsid w:val="390E5EBF"/>
    <w:rsid w:val="391272FC"/>
    <w:rsid w:val="39183C55"/>
    <w:rsid w:val="393771F9"/>
    <w:rsid w:val="3A184B1B"/>
    <w:rsid w:val="3A3D7F6A"/>
    <w:rsid w:val="3A6A35C8"/>
    <w:rsid w:val="3A6F6E31"/>
    <w:rsid w:val="3B3B2CBA"/>
    <w:rsid w:val="3B4648A6"/>
    <w:rsid w:val="3BE03BE3"/>
    <w:rsid w:val="3BF82A76"/>
    <w:rsid w:val="3CF03B2D"/>
    <w:rsid w:val="3DAE1A1E"/>
    <w:rsid w:val="3DDD2BED"/>
    <w:rsid w:val="3DF62B1A"/>
    <w:rsid w:val="3E610140"/>
    <w:rsid w:val="3E94330A"/>
    <w:rsid w:val="3EEF1798"/>
    <w:rsid w:val="3EFEE15F"/>
    <w:rsid w:val="3F221B50"/>
    <w:rsid w:val="3F96A326"/>
    <w:rsid w:val="3FD13F51"/>
    <w:rsid w:val="40633EE8"/>
    <w:rsid w:val="407F3756"/>
    <w:rsid w:val="408F343C"/>
    <w:rsid w:val="427028DA"/>
    <w:rsid w:val="436C3B5B"/>
    <w:rsid w:val="43713C1A"/>
    <w:rsid w:val="44704C09"/>
    <w:rsid w:val="45346045"/>
    <w:rsid w:val="45356EC9"/>
    <w:rsid w:val="45496995"/>
    <w:rsid w:val="45535A90"/>
    <w:rsid w:val="45943BEF"/>
    <w:rsid w:val="46174902"/>
    <w:rsid w:val="46A2233C"/>
    <w:rsid w:val="46B53E1D"/>
    <w:rsid w:val="47613D46"/>
    <w:rsid w:val="47A82807"/>
    <w:rsid w:val="47D54E41"/>
    <w:rsid w:val="486D6367"/>
    <w:rsid w:val="4893018E"/>
    <w:rsid w:val="48BE2F4F"/>
    <w:rsid w:val="48FD2A6B"/>
    <w:rsid w:val="49C7746C"/>
    <w:rsid w:val="49ED38CE"/>
    <w:rsid w:val="4A945454"/>
    <w:rsid w:val="4AC408E4"/>
    <w:rsid w:val="4AE06835"/>
    <w:rsid w:val="4BE9166E"/>
    <w:rsid w:val="4C3366EE"/>
    <w:rsid w:val="4C8F5111"/>
    <w:rsid w:val="4D3C170A"/>
    <w:rsid w:val="4D612FE5"/>
    <w:rsid w:val="4EAE1523"/>
    <w:rsid w:val="4F02503B"/>
    <w:rsid w:val="4F1B4ED9"/>
    <w:rsid w:val="4F5F70E2"/>
    <w:rsid w:val="4FCD6AB5"/>
    <w:rsid w:val="50561806"/>
    <w:rsid w:val="50B769E4"/>
    <w:rsid w:val="516D3DFE"/>
    <w:rsid w:val="5198204E"/>
    <w:rsid w:val="519FA121"/>
    <w:rsid w:val="521045FE"/>
    <w:rsid w:val="53336AF2"/>
    <w:rsid w:val="542A0A19"/>
    <w:rsid w:val="546676E4"/>
    <w:rsid w:val="549A4653"/>
    <w:rsid w:val="54AA73DF"/>
    <w:rsid w:val="569F41A2"/>
    <w:rsid w:val="56FB6419"/>
    <w:rsid w:val="56FD9A39"/>
    <w:rsid w:val="57EAFD42"/>
    <w:rsid w:val="58987637"/>
    <w:rsid w:val="5915408F"/>
    <w:rsid w:val="5A1A32D8"/>
    <w:rsid w:val="5A2D1AFD"/>
    <w:rsid w:val="5A447DAB"/>
    <w:rsid w:val="5B150753"/>
    <w:rsid w:val="5BBF578D"/>
    <w:rsid w:val="5BDA207A"/>
    <w:rsid w:val="5BF3F9AC"/>
    <w:rsid w:val="5BF6EF28"/>
    <w:rsid w:val="5BFB9284"/>
    <w:rsid w:val="5D3970FE"/>
    <w:rsid w:val="5DD13320"/>
    <w:rsid w:val="5DE3C45A"/>
    <w:rsid w:val="5DEC80A9"/>
    <w:rsid w:val="5E2C0469"/>
    <w:rsid w:val="5E3E6D83"/>
    <w:rsid w:val="5E4D650B"/>
    <w:rsid w:val="5E6136F2"/>
    <w:rsid w:val="5EB61A6F"/>
    <w:rsid w:val="5F265461"/>
    <w:rsid w:val="5F5FA463"/>
    <w:rsid w:val="5FAF41CF"/>
    <w:rsid w:val="5FB3FCC2"/>
    <w:rsid w:val="60C5514D"/>
    <w:rsid w:val="60F53CD0"/>
    <w:rsid w:val="610A2B60"/>
    <w:rsid w:val="613C2163"/>
    <w:rsid w:val="61A96D3E"/>
    <w:rsid w:val="62A274F4"/>
    <w:rsid w:val="62FF6CBB"/>
    <w:rsid w:val="63514167"/>
    <w:rsid w:val="63620A31"/>
    <w:rsid w:val="637C5F97"/>
    <w:rsid w:val="63DC6A36"/>
    <w:rsid w:val="64A15589"/>
    <w:rsid w:val="64FE00EE"/>
    <w:rsid w:val="65AA65CB"/>
    <w:rsid w:val="66416DD5"/>
    <w:rsid w:val="6648501B"/>
    <w:rsid w:val="669F8E52"/>
    <w:rsid w:val="66BC73DF"/>
    <w:rsid w:val="67655A3A"/>
    <w:rsid w:val="67AED1BE"/>
    <w:rsid w:val="6833299C"/>
    <w:rsid w:val="68C1269E"/>
    <w:rsid w:val="69A43B52"/>
    <w:rsid w:val="69A5CB9C"/>
    <w:rsid w:val="6A4610AD"/>
    <w:rsid w:val="6ADDDFAA"/>
    <w:rsid w:val="6AE2734C"/>
    <w:rsid w:val="6B412B62"/>
    <w:rsid w:val="6BFD161F"/>
    <w:rsid w:val="6C7D068A"/>
    <w:rsid w:val="6D6171C2"/>
    <w:rsid w:val="6D8D0DA1"/>
    <w:rsid w:val="6DEF8099"/>
    <w:rsid w:val="6DF01AF1"/>
    <w:rsid w:val="6E2E7FD1"/>
    <w:rsid w:val="6EC26166"/>
    <w:rsid w:val="6EEB5DB6"/>
    <w:rsid w:val="6F0D3F47"/>
    <w:rsid w:val="6F6DA629"/>
    <w:rsid w:val="6F7F50D2"/>
    <w:rsid w:val="6FA608E0"/>
    <w:rsid w:val="6FAF45FD"/>
    <w:rsid w:val="6FB72E5F"/>
    <w:rsid w:val="6FFF1A52"/>
    <w:rsid w:val="6FFF9A26"/>
    <w:rsid w:val="70A955AC"/>
    <w:rsid w:val="70D0347E"/>
    <w:rsid w:val="71AD37BF"/>
    <w:rsid w:val="72D66104"/>
    <w:rsid w:val="734FD3E3"/>
    <w:rsid w:val="73A62D5A"/>
    <w:rsid w:val="744C72C0"/>
    <w:rsid w:val="748C590E"/>
    <w:rsid w:val="75935864"/>
    <w:rsid w:val="75D7705D"/>
    <w:rsid w:val="76EEB7CE"/>
    <w:rsid w:val="76FF46CB"/>
    <w:rsid w:val="77E8EF51"/>
    <w:rsid w:val="77FBCC78"/>
    <w:rsid w:val="78194570"/>
    <w:rsid w:val="78822A7D"/>
    <w:rsid w:val="78913BB2"/>
    <w:rsid w:val="78FF84D6"/>
    <w:rsid w:val="7A677C01"/>
    <w:rsid w:val="7B072192"/>
    <w:rsid w:val="7B671683"/>
    <w:rsid w:val="7BE159DF"/>
    <w:rsid w:val="7BFEBDF3"/>
    <w:rsid w:val="7CA74EDD"/>
    <w:rsid w:val="7CB7699B"/>
    <w:rsid w:val="7D603DDC"/>
    <w:rsid w:val="7D8D7404"/>
    <w:rsid w:val="7DAF2C90"/>
    <w:rsid w:val="7DB6D65E"/>
    <w:rsid w:val="7DE6B98D"/>
    <w:rsid w:val="7DFB4216"/>
    <w:rsid w:val="7DFE86D9"/>
    <w:rsid w:val="7E5D031B"/>
    <w:rsid w:val="7ED7130A"/>
    <w:rsid w:val="7EE17BA3"/>
    <w:rsid w:val="7EFB7DC6"/>
    <w:rsid w:val="7EFE4DF5"/>
    <w:rsid w:val="7F5F0BE6"/>
    <w:rsid w:val="7F5FD102"/>
    <w:rsid w:val="7F7D611B"/>
    <w:rsid w:val="7F7E5D88"/>
    <w:rsid w:val="7F7F0D91"/>
    <w:rsid w:val="7F7FE88B"/>
    <w:rsid w:val="7FBD9945"/>
    <w:rsid w:val="7FDD0502"/>
    <w:rsid w:val="7FDE66B1"/>
    <w:rsid w:val="7FEE0B8B"/>
    <w:rsid w:val="7FEF4C07"/>
    <w:rsid w:val="7FF41D2C"/>
    <w:rsid w:val="7FF7C578"/>
    <w:rsid w:val="7FFD53DD"/>
    <w:rsid w:val="7FFF0CAE"/>
    <w:rsid w:val="7FFF128E"/>
    <w:rsid w:val="8F5EBFAB"/>
    <w:rsid w:val="8FBEB389"/>
    <w:rsid w:val="9B3780BC"/>
    <w:rsid w:val="9B9F12F4"/>
    <w:rsid w:val="9DDC473C"/>
    <w:rsid w:val="A5E4D54A"/>
    <w:rsid w:val="AD3CFAFC"/>
    <w:rsid w:val="ADDF363C"/>
    <w:rsid w:val="B3FC7647"/>
    <w:rsid w:val="B6F3E6EC"/>
    <w:rsid w:val="B8FFE138"/>
    <w:rsid w:val="B95F5E1D"/>
    <w:rsid w:val="BA9F4F6E"/>
    <w:rsid w:val="BBCD7FCF"/>
    <w:rsid w:val="BBF91AC1"/>
    <w:rsid w:val="BCDE0DBF"/>
    <w:rsid w:val="BDFBD417"/>
    <w:rsid w:val="BEEFEC34"/>
    <w:rsid w:val="BFC7EE69"/>
    <w:rsid w:val="BFDDD9C9"/>
    <w:rsid w:val="BFF59B1D"/>
    <w:rsid w:val="BFFFE432"/>
    <w:rsid w:val="CBBEEA9F"/>
    <w:rsid w:val="CDEBDC04"/>
    <w:rsid w:val="CF2B1E16"/>
    <w:rsid w:val="CF61E861"/>
    <w:rsid w:val="D1FF4BBF"/>
    <w:rsid w:val="D32DC809"/>
    <w:rsid w:val="D3FF82A6"/>
    <w:rsid w:val="D5F735B0"/>
    <w:rsid w:val="D75DB1C9"/>
    <w:rsid w:val="D7B62272"/>
    <w:rsid w:val="D9AD4F53"/>
    <w:rsid w:val="DBBBE2D6"/>
    <w:rsid w:val="DBBF9F06"/>
    <w:rsid w:val="DCEB3D4D"/>
    <w:rsid w:val="DFEF07ED"/>
    <w:rsid w:val="DFEFB700"/>
    <w:rsid w:val="E3174498"/>
    <w:rsid w:val="E57E5CB1"/>
    <w:rsid w:val="E770F9D1"/>
    <w:rsid w:val="E77313EC"/>
    <w:rsid w:val="E7FF2AC6"/>
    <w:rsid w:val="E9D8A4EB"/>
    <w:rsid w:val="EBFB1963"/>
    <w:rsid w:val="ECBC60D6"/>
    <w:rsid w:val="ED666642"/>
    <w:rsid w:val="EE4AACD2"/>
    <w:rsid w:val="EEBBB8BC"/>
    <w:rsid w:val="EEF5DEBD"/>
    <w:rsid w:val="EF77119B"/>
    <w:rsid w:val="EFF9077F"/>
    <w:rsid w:val="EFFBD032"/>
    <w:rsid w:val="F0AE8EDB"/>
    <w:rsid w:val="F3AB813E"/>
    <w:rsid w:val="F3C74FBE"/>
    <w:rsid w:val="F3FFEBC0"/>
    <w:rsid w:val="F76F0A91"/>
    <w:rsid w:val="F7F5DE4D"/>
    <w:rsid w:val="F7FE96FD"/>
    <w:rsid w:val="F98FF872"/>
    <w:rsid w:val="FA59ADC6"/>
    <w:rsid w:val="FA5FC597"/>
    <w:rsid w:val="FA6B36D4"/>
    <w:rsid w:val="FB7C1481"/>
    <w:rsid w:val="FB9FDA72"/>
    <w:rsid w:val="FBBF157F"/>
    <w:rsid w:val="FBBF466E"/>
    <w:rsid w:val="FBFB9A43"/>
    <w:rsid w:val="FC37E152"/>
    <w:rsid w:val="FC3E5EA5"/>
    <w:rsid w:val="FCBAC077"/>
    <w:rsid w:val="FDEEF1FC"/>
    <w:rsid w:val="FE9FB1B3"/>
    <w:rsid w:val="FEABD994"/>
    <w:rsid w:val="FED92409"/>
    <w:rsid w:val="FEF6A6BA"/>
    <w:rsid w:val="FF67B933"/>
    <w:rsid w:val="FF6F5247"/>
    <w:rsid w:val="FFBFC334"/>
    <w:rsid w:val="FFCD2C8F"/>
    <w:rsid w:val="FFD46A53"/>
    <w:rsid w:val="FFD75248"/>
    <w:rsid w:val="FFDB6E26"/>
    <w:rsid w:val="FFF752E8"/>
    <w:rsid w:val="FFF88365"/>
    <w:rsid w:val="FFFB7869"/>
    <w:rsid w:val="FFFD1D0D"/>
    <w:rsid w:val="FFFD8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qFormat/>
    <w:uiPriority w:val="9"/>
    <w:pPr>
      <w:keepNext/>
      <w:keepLines/>
      <w:widowControl/>
      <w:numPr>
        <w:ilvl w:val="0"/>
        <w:numId w:val="1"/>
      </w:numPr>
      <w:tabs>
        <w:tab w:val="left" w:pos="0"/>
      </w:tabs>
      <w:snapToGrid/>
      <w:spacing w:before="120" w:beforeLines="50" w:after="120" w:line="360" w:lineRule="auto"/>
      <w:ind w:firstLine="0"/>
      <w:outlineLvl w:val="0"/>
    </w:pPr>
    <w:rPr>
      <w:rFonts w:ascii="黑体" w:hAnsi="黑体" w:eastAsia="黑体" w:cs="黑体"/>
      <w:b/>
      <w:bCs/>
      <w:kern w:val="44"/>
      <w:sz w:val="28"/>
      <w:szCs w:val="28"/>
    </w:rPr>
  </w:style>
  <w:style w:type="paragraph" w:styleId="3">
    <w:name w:val="heading 2"/>
    <w:basedOn w:val="1"/>
    <w:next w:val="1"/>
    <w:unhideWhenUsed/>
    <w:qFormat/>
    <w:uiPriority w:val="9"/>
    <w:pPr>
      <w:numPr>
        <w:ilvl w:val="1"/>
        <w:numId w:val="1"/>
      </w:numPr>
      <w:tabs>
        <w:tab w:val="left" w:pos="0"/>
      </w:tabs>
      <w:adjustRightInd w:val="0"/>
      <w:spacing w:before="50"/>
      <w:outlineLvl w:val="1"/>
    </w:pPr>
    <w:rPr>
      <w:rFonts w:ascii="Arial" w:hAnsi="Arial"/>
      <w:sz w:val="32"/>
    </w:rPr>
  </w:style>
  <w:style w:type="paragraph" w:styleId="4">
    <w:name w:val="heading 3"/>
    <w:basedOn w:val="1"/>
    <w:next w:val="1"/>
    <w:unhideWhenUsed/>
    <w:qFormat/>
    <w:uiPriority w:val="9"/>
    <w:pPr>
      <w:numPr>
        <w:ilvl w:val="2"/>
        <w:numId w:val="1"/>
      </w:numPr>
      <w:tabs>
        <w:tab w:val="left" w:pos="312"/>
      </w:tabs>
      <w:outlineLvl w:val="2"/>
    </w:pPr>
    <w:rPr>
      <w:rFonts w:ascii="Arial" w:hAnsi="Arial"/>
      <w:b/>
      <w:sz w:val="30"/>
      <w:szCs w:val="30"/>
    </w:rPr>
  </w:style>
  <w:style w:type="paragraph" w:styleId="5">
    <w:name w:val="heading 4"/>
    <w:next w:val="1"/>
    <w:unhideWhenUsed/>
    <w:qFormat/>
    <w:uiPriority w:val="9"/>
    <w:pPr>
      <w:numPr>
        <w:ilvl w:val="3"/>
        <w:numId w:val="1"/>
      </w:numPr>
      <w:outlineLvl w:val="3"/>
    </w:pPr>
    <w:rPr>
      <w:rFonts w:ascii="Arial" w:hAnsi="Arial" w:eastAsia="微软雅黑" w:cstheme="minorBidi"/>
      <w:b/>
      <w:sz w:val="28"/>
      <w:lang w:val="en-US" w:eastAsia="zh-CN" w:bidi="ar-SA"/>
    </w:rPr>
  </w:style>
  <w:style w:type="paragraph" w:styleId="6">
    <w:name w:val="heading 5"/>
    <w:basedOn w:val="1"/>
    <w:next w:val="1"/>
    <w:unhideWhenUsed/>
    <w:qFormat/>
    <w:uiPriority w:val="9"/>
    <w:pPr>
      <w:numPr>
        <w:ilvl w:val="4"/>
        <w:numId w:val="1"/>
      </w:numPr>
      <w:tabs>
        <w:tab w:val="left" w:pos="312"/>
      </w:tabs>
      <w:spacing w:before="30" w:beforeLines="30" w:after="30" w:afterLines="30"/>
      <w:outlineLvl w:val="4"/>
    </w:pPr>
    <w:rPr>
      <w:rFonts w:ascii="Arial" w:hAnsi="Arial"/>
      <w:b/>
      <w:sz w:val="24"/>
      <w:szCs w:val="22"/>
    </w:rPr>
  </w:style>
  <w:style w:type="paragraph" w:styleId="7">
    <w:name w:val="heading 6"/>
    <w:basedOn w:val="1"/>
    <w:next w:val="1"/>
    <w:unhideWhenUsed/>
    <w:qFormat/>
    <w:uiPriority w:val="0"/>
    <w:pPr>
      <w:numPr>
        <w:ilvl w:val="5"/>
        <w:numId w:val="1"/>
      </w:numPr>
      <w:spacing w:before="30" w:beforeLines="30" w:after="30" w:afterLines="30"/>
      <w:outlineLvl w:val="5"/>
    </w:pPr>
    <w:rPr>
      <w:rFonts w:ascii="Arial" w:hAnsi="Arial"/>
      <w:b/>
      <w:sz w:val="24"/>
    </w:rPr>
  </w:style>
  <w:style w:type="paragraph" w:styleId="8">
    <w:name w:val="heading 7"/>
    <w:next w:val="1"/>
    <w:unhideWhenUsed/>
    <w:qFormat/>
    <w:uiPriority w:val="0"/>
    <w:pPr>
      <w:numPr>
        <w:ilvl w:val="6"/>
        <w:numId w:val="1"/>
      </w:numPr>
      <w:spacing w:before="30" w:beforeLines="30" w:after="30" w:afterLines="30" w:line="312" w:lineRule="auto"/>
      <w:outlineLvl w:val="6"/>
    </w:pPr>
    <w:rPr>
      <w:rFonts w:ascii="Arial" w:hAnsi="Arial" w:eastAsia="微软雅黑" w:cstheme="minorBidi"/>
      <w:b/>
      <w:sz w:val="24"/>
      <w:lang w:val="en-US" w:eastAsia="zh-CN" w:bidi="ar-SA"/>
    </w:rPr>
  </w:style>
  <w:style w:type="paragraph" w:styleId="9">
    <w:name w:val="heading 8"/>
    <w:next w:val="1"/>
    <w:unhideWhenUsed/>
    <w:qFormat/>
    <w:uiPriority w:val="0"/>
    <w:pPr>
      <w:numPr>
        <w:ilvl w:val="7"/>
        <w:numId w:val="1"/>
      </w:numPr>
      <w:spacing w:before="30" w:beforeLines="30" w:after="30" w:afterLines="30" w:line="312" w:lineRule="auto"/>
      <w:outlineLvl w:val="7"/>
    </w:pPr>
    <w:rPr>
      <w:rFonts w:eastAsia="微软雅黑" w:asciiTheme="majorHAnsi" w:hAnsiTheme="majorHAnsi" w:cstheme="majorBidi"/>
      <w:b/>
      <w:sz w:val="24"/>
      <w:lang w:val="en-US" w:eastAsia="zh-CN" w:bidi="ar-SA"/>
    </w:rPr>
  </w:style>
  <w:style w:type="paragraph" w:styleId="10">
    <w:name w:val="heading 9"/>
    <w:next w:val="1"/>
    <w:unhideWhenUsed/>
    <w:qFormat/>
    <w:uiPriority w:val="0"/>
    <w:pPr>
      <w:numPr>
        <w:ilvl w:val="8"/>
        <w:numId w:val="1"/>
      </w:numPr>
      <w:spacing w:before="30" w:beforeLines="30" w:after="30" w:afterLines="30" w:line="312" w:lineRule="auto"/>
      <w:outlineLvl w:val="8"/>
    </w:pPr>
    <w:rPr>
      <w:rFonts w:eastAsia="微软雅黑" w:asciiTheme="majorHAnsi" w:hAnsiTheme="majorHAnsi" w:cstheme="majorBidi"/>
      <w:b/>
      <w:sz w:val="24"/>
      <w:szCs w:val="21"/>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napToGrid/>
      <w:spacing w:after="0" w:afterLines="0" w:line="240" w:lineRule="auto"/>
      <w:ind w:left="2520" w:leftChars="1200"/>
    </w:pPr>
    <w:rPr>
      <w:rFonts w:eastAsiaTheme="minorEastAsia"/>
      <w:szCs w:val="22"/>
    </w:rPr>
  </w:style>
  <w:style w:type="paragraph" w:styleId="12">
    <w:name w:val="Normal Indent"/>
    <w:basedOn w:val="1"/>
    <w:qFormat/>
    <w:uiPriority w:val="0"/>
    <w:pPr>
      <w:ind w:firstLine="420" w:firstLineChars="200"/>
    </w:pPr>
  </w:style>
  <w:style w:type="paragraph" w:styleId="13">
    <w:name w:val="Document Map"/>
    <w:basedOn w:val="1"/>
    <w:link w:val="51"/>
    <w:qFormat/>
    <w:uiPriority w:val="0"/>
    <w:pPr>
      <w:shd w:val="clear" w:color="auto" w:fill="000080"/>
    </w:pPr>
  </w:style>
  <w:style w:type="paragraph" w:styleId="14">
    <w:name w:val="annotation text"/>
    <w:basedOn w:val="1"/>
    <w:qFormat/>
    <w:uiPriority w:val="0"/>
    <w:pPr>
      <w:jc w:val="left"/>
    </w:pPr>
  </w:style>
  <w:style w:type="paragraph" w:styleId="15">
    <w:name w:val="Body Text"/>
    <w:basedOn w:val="1"/>
    <w:qFormat/>
    <w:uiPriority w:val="0"/>
    <w:pPr>
      <w:spacing w:before="100" w:after="100" w:afterLines="0"/>
      <w:ind w:firstLine="1041" w:firstLineChars="200"/>
    </w:pPr>
  </w:style>
  <w:style w:type="paragraph" w:styleId="16">
    <w:name w:val="Body Text Indent"/>
    <w:basedOn w:val="1"/>
    <w:semiHidden/>
    <w:unhideWhenUsed/>
    <w:qFormat/>
    <w:uiPriority w:val="99"/>
    <w:pPr>
      <w:spacing w:after="120"/>
      <w:ind w:left="420" w:leftChars="200"/>
    </w:pPr>
  </w:style>
  <w:style w:type="paragraph" w:styleId="17">
    <w:name w:val="Block Text"/>
    <w:basedOn w:val="1"/>
    <w:next w:val="15"/>
    <w:unhideWhenUsed/>
    <w:qFormat/>
    <w:uiPriority w:val="0"/>
    <w:pPr>
      <w:spacing w:after="120"/>
      <w:ind w:left="1440" w:leftChars="700" w:right="700" w:rightChars="700"/>
    </w:pPr>
  </w:style>
  <w:style w:type="paragraph" w:styleId="18">
    <w:name w:val="toc 5"/>
    <w:basedOn w:val="1"/>
    <w:next w:val="1"/>
    <w:autoRedefine/>
    <w:unhideWhenUsed/>
    <w:qFormat/>
    <w:uiPriority w:val="39"/>
    <w:pPr>
      <w:snapToGrid/>
      <w:spacing w:after="0" w:afterLines="0" w:line="240" w:lineRule="auto"/>
      <w:ind w:left="1680" w:leftChars="800"/>
    </w:pPr>
    <w:rPr>
      <w:rFonts w:eastAsiaTheme="minorEastAsia"/>
      <w:szCs w:val="22"/>
    </w:rPr>
  </w:style>
  <w:style w:type="paragraph" w:styleId="19">
    <w:name w:val="toc 3"/>
    <w:basedOn w:val="1"/>
    <w:next w:val="1"/>
    <w:qFormat/>
    <w:uiPriority w:val="39"/>
    <w:pPr>
      <w:ind w:left="840" w:leftChars="400"/>
    </w:pPr>
  </w:style>
  <w:style w:type="paragraph" w:styleId="20">
    <w:name w:val="toc 8"/>
    <w:basedOn w:val="1"/>
    <w:next w:val="1"/>
    <w:autoRedefine/>
    <w:unhideWhenUsed/>
    <w:qFormat/>
    <w:uiPriority w:val="39"/>
    <w:pPr>
      <w:snapToGrid/>
      <w:spacing w:after="0" w:afterLines="0" w:line="240" w:lineRule="auto"/>
      <w:ind w:left="2940" w:leftChars="1400"/>
    </w:pPr>
    <w:rPr>
      <w:rFonts w:eastAsiaTheme="minorEastAsia"/>
      <w:szCs w:val="22"/>
    </w:rPr>
  </w:style>
  <w:style w:type="paragraph" w:styleId="21">
    <w:name w:val="Balloon Text"/>
    <w:basedOn w:val="1"/>
    <w:link w:val="45"/>
    <w:qFormat/>
    <w:uiPriority w:val="0"/>
    <w:rPr>
      <w:sz w:val="18"/>
    </w:rPr>
  </w:style>
  <w:style w:type="paragraph" w:styleId="22">
    <w:name w:val="footer"/>
    <w:basedOn w:val="1"/>
    <w:link w:val="43"/>
    <w:qFormat/>
    <w:uiPriority w:val="99"/>
    <w:pPr>
      <w:tabs>
        <w:tab w:val="center" w:pos="4153"/>
        <w:tab w:val="right" w:pos="8306"/>
      </w:tabs>
      <w:jc w:val="left"/>
    </w:pPr>
    <w:rPr>
      <w:sz w:val="18"/>
    </w:rPr>
  </w:style>
  <w:style w:type="paragraph" w:styleId="23">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24">
    <w:name w:val="toc 1"/>
    <w:basedOn w:val="1"/>
    <w:next w:val="1"/>
    <w:qFormat/>
    <w:uiPriority w:val="39"/>
  </w:style>
  <w:style w:type="paragraph" w:styleId="25">
    <w:name w:val="toc 4"/>
    <w:basedOn w:val="1"/>
    <w:next w:val="1"/>
    <w:autoRedefine/>
    <w:unhideWhenUsed/>
    <w:qFormat/>
    <w:uiPriority w:val="39"/>
    <w:pPr>
      <w:snapToGrid/>
      <w:spacing w:after="0" w:afterLines="0" w:line="240" w:lineRule="auto"/>
      <w:ind w:left="1260" w:leftChars="600"/>
    </w:pPr>
    <w:rPr>
      <w:rFonts w:eastAsiaTheme="minorEastAsia"/>
      <w:szCs w:val="22"/>
    </w:rPr>
  </w:style>
  <w:style w:type="paragraph" w:styleId="26">
    <w:name w:val="Subtitle"/>
    <w:basedOn w:val="1"/>
    <w:qFormat/>
    <w:uiPriority w:val="0"/>
    <w:pPr>
      <w:spacing w:afterLines="0" w:line="240" w:lineRule="auto"/>
      <w:jc w:val="center"/>
    </w:pPr>
    <w:rPr>
      <w:rFonts w:ascii="Arial" w:hAnsi="Arial"/>
      <w:b/>
      <w:kern w:val="28"/>
      <w:sz w:val="44"/>
    </w:rPr>
  </w:style>
  <w:style w:type="paragraph" w:styleId="27">
    <w:name w:val="toc 6"/>
    <w:basedOn w:val="1"/>
    <w:next w:val="1"/>
    <w:autoRedefine/>
    <w:unhideWhenUsed/>
    <w:qFormat/>
    <w:uiPriority w:val="39"/>
    <w:pPr>
      <w:snapToGrid/>
      <w:spacing w:after="0" w:afterLines="0" w:line="240" w:lineRule="auto"/>
      <w:ind w:left="2100" w:leftChars="1000"/>
    </w:pPr>
    <w:rPr>
      <w:rFonts w:eastAsiaTheme="minorEastAsia"/>
      <w:szCs w:val="22"/>
    </w:rPr>
  </w:style>
  <w:style w:type="paragraph" w:styleId="28">
    <w:name w:val="toc 2"/>
    <w:basedOn w:val="1"/>
    <w:next w:val="1"/>
    <w:qFormat/>
    <w:uiPriority w:val="39"/>
    <w:pPr>
      <w:ind w:left="420" w:leftChars="200"/>
    </w:pPr>
  </w:style>
  <w:style w:type="paragraph" w:styleId="29">
    <w:name w:val="toc 9"/>
    <w:basedOn w:val="1"/>
    <w:next w:val="1"/>
    <w:autoRedefine/>
    <w:unhideWhenUsed/>
    <w:qFormat/>
    <w:uiPriority w:val="39"/>
    <w:pPr>
      <w:snapToGrid/>
      <w:spacing w:after="0" w:afterLines="0" w:line="240" w:lineRule="auto"/>
      <w:ind w:left="3360" w:leftChars="1600"/>
    </w:pPr>
    <w:rPr>
      <w:rFonts w:eastAsiaTheme="minorEastAsia"/>
      <w:szCs w:val="22"/>
    </w:rPr>
  </w:style>
  <w:style w:type="paragraph" w:styleId="30">
    <w:name w:val="Normal (Web)"/>
    <w:basedOn w:val="1"/>
    <w:qFormat/>
    <w:uiPriority w:val="0"/>
    <w:rPr>
      <w:sz w:val="24"/>
    </w:rPr>
  </w:style>
  <w:style w:type="paragraph" w:styleId="31">
    <w:name w:val="Title"/>
    <w:basedOn w:val="1"/>
    <w:qFormat/>
    <w:uiPriority w:val="10"/>
    <w:pPr>
      <w:spacing w:line="240" w:lineRule="auto"/>
      <w:jc w:val="center"/>
    </w:pPr>
    <w:rPr>
      <w:rFonts w:ascii="Arial" w:hAnsi="Arial"/>
      <w:b/>
      <w:sz w:val="48"/>
      <w:szCs w:val="40"/>
    </w:rPr>
  </w:style>
  <w:style w:type="paragraph" w:styleId="32">
    <w:name w:val="Body Text First Indent 2"/>
    <w:basedOn w:val="16"/>
    <w:semiHidden/>
    <w:unhideWhenUsed/>
    <w:qFormat/>
    <w:uiPriority w:val="99"/>
    <w:pPr>
      <w:ind w:firstLine="420" w:firstLineChars="200"/>
    </w:pPr>
  </w:style>
  <w:style w:type="table" w:styleId="34">
    <w:name w:val="Table Grid"/>
    <w:basedOn w:val="3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6">
    <w:name w:val="Strong"/>
    <w:basedOn w:val="35"/>
    <w:qFormat/>
    <w:uiPriority w:val="22"/>
    <w:rPr>
      <w:rFonts w:ascii="Arial" w:hAnsi="Arial" w:eastAsia="微软雅黑"/>
      <w:b/>
      <w:color w:val="auto"/>
      <w:u w:val="single"/>
    </w:rPr>
  </w:style>
  <w:style w:type="character" w:styleId="37">
    <w:name w:val="Emphasis"/>
    <w:basedOn w:val="35"/>
    <w:qFormat/>
    <w:uiPriority w:val="20"/>
    <w:rPr>
      <w:rFonts w:ascii="Arial" w:hAnsi="Arial" w:eastAsia="微软雅黑"/>
      <w:b/>
      <w:bCs/>
      <w:i/>
      <w:color w:val="auto"/>
      <w:sz w:val="24"/>
      <w:szCs w:val="22"/>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paragraph" w:styleId="39">
    <w:name w:val="List Paragraph"/>
    <w:basedOn w:val="1"/>
    <w:autoRedefine/>
    <w:qFormat/>
    <w:uiPriority w:val="34"/>
    <w:pPr>
      <w:ind w:firstLine="420" w:firstLineChars="200"/>
    </w:pPr>
  </w:style>
  <w:style w:type="paragraph" w:customStyle="1" w:styleId="40">
    <w:name w:val="可研正文"/>
    <w:basedOn w:val="1"/>
    <w:autoRedefine/>
    <w:qFormat/>
    <w:uiPriority w:val="0"/>
    <w:pPr>
      <w:spacing w:after="0" w:afterLines="0" w:line="480" w:lineRule="exact"/>
      <w:ind w:firstLine="480" w:firstLineChars="200"/>
    </w:pPr>
    <w:rPr>
      <w:rFonts w:ascii="宋体" w:hAnsi="宋体" w:eastAsia="宋体" w:cs="宋体"/>
      <w:sz w:val="24"/>
    </w:rPr>
  </w:style>
  <w:style w:type="paragraph" w:customStyle="1" w:styleId="41">
    <w:name w:val="样式2"/>
    <w:basedOn w:val="1"/>
    <w:qFormat/>
    <w:uiPriority w:val="0"/>
    <w:pPr>
      <w:widowControl/>
      <w:adjustRightInd w:val="0"/>
      <w:spacing w:line="500" w:lineRule="exact"/>
      <w:ind w:firstLine="560" w:firstLineChars="200"/>
      <w:outlineLvl w:val="0"/>
    </w:pPr>
    <w:rPr>
      <w:rFonts w:ascii="黑体" w:hAnsi="宋体" w:eastAsia="黑体"/>
      <w:kern w:val="0"/>
      <w:sz w:val="28"/>
      <w:szCs w:val="28"/>
    </w:rPr>
  </w:style>
  <w:style w:type="character" w:customStyle="1" w:styleId="42">
    <w:name w:val="页眉 字符"/>
    <w:link w:val="23"/>
    <w:qFormat/>
    <w:uiPriority w:val="0"/>
    <w:rPr>
      <w:sz w:val="18"/>
    </w:rPr>
  </w:style>
  <w:style w:type="character" w:customStyle="1" w:styleId="43">
    <w:name w:val="页脚 字符"/>
    <w:link w:val="22"/>
    <w:qFormat/>
    <w:uiPriority w:val="99"/>
    <w:rPr>
      <w:sz w:val="18"/>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character" w:customStyle="1" w:styleId="45">
    <w:name w:val="批注框文本 字符"/>
    <w:link w:val="21"/>
    <w:qFormat/>
    <w:uiPriority w:val="0"/>
    <w:rPr>
      <w:sz w:val="18"/>
    </w:rPr>
  </w:style>
  <w:style w:type="character" w:customStyle="1" w:styleId="46">
    <w:name w:val="font01"/>
    <w:basedOn w:val="35"/>
    <w:qFormat/>
    <w:uiPriority w:val="0"/>
    <w:rPr>
      <w:rFonts w:hint="default" w:ascii="Times New Roman" w:hAnsi="Times New Roman" w:cs="Times New Roman"/>
      <w:color w:val="000000"/>
      <w:sz w:val="24"/>
      <w:szCs w:val="24"/>
      <w:u w:val="none"/>
    </w:rPr>
  </w:style>
  <w:style w:type="character" w:customStyle="1" w:styleId="47">
    <w:name w:val="font61"/>
    <w:basedOn w:val="35"/>
    <w:qFormat/>
    <w:uiPriority w:val="0"/>
    <w:rPr>
      <w:rFonts w:hint="eastAsia" w:ascii="仿宋_GB2312" w:eastAsia="仿宋_GB2312" w:cs="仿宋_GB2312"/>
      <w:color w:val="000000"/>
      <w:sz w:val="24"/>
      <w:szCs w:val="24"/>
      <w:u w:val="none"/>
    </w:rPr>
  </w:style>
  <w:style w:type="paragraph" w:customStyle="1" w:styleId="48">
    <w:name w:val="B-表正文"/>
    <w:qFormat/>
    <w:uiPriority w:val="0"/>
    <w:rPr>
      <w:rFonts w:ascii="Times New Roman" w:hAnsi="Times New Roman" w:eastAsia="仿宋" w:cstheme="minorBidi"/>
      <w:kern w:val="2"/>
      <w:sz w:val="21"/>
      <w:szCs w:val="24"/>
      <w:lang w:val="en-US" w:eastAsia="zh-CN" w:bidi="ar-SA"/>
    </w:rPr>
  </w:style>
  <w:style w:type="paragraph" w:customStyle="1" w:styleId="49">
    <w:name w:val="B-表题注"/>
    <w:next w:val="1"/>
    <w:link w:val="50"/>
    <w:qFormat/>
    <w:uiPriority w:val="0"/>
    <w:pPr>
      <w:numPr>
        <w:ilvl w:val="0"/>
        <w:numId w:val="2"/>
      </w:numPr>
      <w:spacing w:line="240" w:lineRule="atLeast"/>
      <w:jc w:val="center"/>
    </w:pPr>
    <w:rPr>
      <w:rFonts w:ascii="Times New Roman" w:hAnsi="Times New Roman" w:eastAsia="仿宋" w:cs="Times New Roman"/>
      <w:b/>
      <w:kern w:val="2"/>
      <w:sz w:val="21"/>
      <w:szCs w:val="44"/>
      <w:lang w:val="en-US" w:eastAsia="zh-CN" w:bidi="ar-SA"/>
    </w:rPr>
  </w:style>
  <w:style w:type="character" w:customStyle="1" w:styleId="50">
    <w:name w:val="B-表题注 字符"/>
    <w:basedOn w:val="35"/>
    <w:link w:val="49"/>
    <w:qFormat/>
    <w:uiPriority w:val="0"/>
    <w:rPr>
      <w:rFonts w:eastAsia="仿宋"/>
      <w:b/>
      <w:kern w:val="2"/>
      <w:sz w:val="21"/>
      <w:szCs w:val="44"/>
    </w:rPr>
  </w:style>
  <w:style w:type="character" w:customStyle="1" w:styleId="51">
    <w:name w:val="文档结构图 字符"/>
    <w:link w:val="13"/>
    <w:qFormat/>
    <w:uiPriority w:val="0"/>
  </w:style>
  <w:style w:type="character" w:customStyle="1" w:styleId="52">
    <w:name w:val="font41"/>
    <w:basedOn w:val="35"/>
    <w:qFormat/>
    <w:uiPriority w:val="0"/>
    <w:rPr>
      <w:rFonts w:ascii="Wingdings 2" w:hAnsi="Wingdings 2" w:eastAsia="Wingdings 2" w:cs="Wingdings 2"/>
      <w:color w:val="000000"/>
      <w:sz w:val="20"/>
      <w:szCs w:val="20"/>
      <w:u w:val="none"/>
    </w:rPr>
  </w:style>
  <w:style w:type="character" w:customStyle="1" w:styleId="53">
    <w:name w:val="font21"/>
    <w:basedOn w:val="35"/>
    <w:qFormat/>
    <w:uiPriority w:val="0"/>
    <w:rPr>
      <w:rFonts w:hint="eastAsia" w:ascii="微软雅黑" w:hAnsi="微软雅黑" w:eastAsia="微软雅黑" w:cs="微软雅黑"/>
      <w:color w:val="000000"/>
      <w:sz w:val="20"/>
      <w:szCs w:val="20"/>
      <w:u w:val="none"/>
    </w:rPr>
  </w:style>
  <w:style w:type="character" w:customStyle="1" w:styleId="54">
    <w:name w:val="font51"/>
    <w:basedOn w:val="35"/>
    <w:qFormat/>
    <w:uiPriority w:val="0"/>
    <w:rPr>
      <w:rFonts w:hint="eastAsia" w:ascii="微软雅黑" w:hAnsi="微软雅黑" w:eastAsia="微软雅黑" w:cs="微软雅黑"/>
      <w:color w:val="000000"/>
      <w:sz w:val="20"/>
      <w:szCs w:val="20"/>
      <w:u w:val="none"/>
    </w:rPr>
  </w:style>
  <w:style w:type="paragraph" w:customStyle="1" w:styleId="55">
    <w:name w:val="*正文"/>
    <w:basedOn w:val="1"/>
    <w:qFormat/>
    <w:uiPriority w:val="0"/>
    <w:pPr>
      <w:widowControl/>
      <w:spacing w:line="300" w:lineRule="auto"/>
      <w:ind w:firstLine="480" w:firstLineChars="200"/>
      <w:jc w:val="left"/>
    </w:pPr>
    <w:rPr>
      <w:rFonts w:ascii="宋体" w:hAnsi="宋体" w:cs="仿宋_GB2312"/>
      <w:sz w:val="24"/>
    </w:rPr>
  </w:style>
  <w:style w:type="paragraph" w:customStyle="1" w:styleId="56">
    <w:name w:val="样式 正文缩进 + 首行缩进:  2 字符"/>
    <w:basedOn w:val="32"/>
    <w:qFormat/>
    <w:uiPriority w:val="0"/>
    <w:pPr>
      <w:spacing w:after="0" w:line="360" w:lineRule="auto"/>
      <w:ind w:left="0" w:leftChars="0" w:firstLine="200"/>
    </w:pPr>
    <w:rPr>
      <w:rFonts w:ascii="Times New Roman" w:hAnsi="Times New Roman" w:eastAsia="宋体" w:cs="宋体"/>
      <w:sz w:val="24"/>
      <w:szCs w:val="20"/>
      <w:lang w:val="zh-CN"/>
    </w:rPr>
  </w:style>
  <w:style w:type="paragraph" w:customStyle="1" w:styleId="57">
    <w:name w:val="my正文"/>
    <w:basedOn w:val="1"/>
    <w:qFormat/>
    <w:uiPriority w:val="0"/>
    <w:pPr>
      <w:spacing w:line="360" w:lineRule="auto"/>
      <w:ind w:firstLine="200" w:firstLineChars="200"/>
    </w:pPr>
    <w:rPr>
      <w:rFonts w:eastAsiaTheme="minorEastAsia"/>
      <w:kern w:val="0"/>
      <w:sz w:val="24"/>
      <w:szCs w:val="22"/>
    </w:rPr>
  </w:style>
  <w:style w:type="table" w:customStyle="1" w:styleId="5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59">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lang w:val="en-US" w:eastAsia="en-US" w:bidi="ar-SA"/>
    </w:rPr>
  </w:style>
  <w:style w:type="paragraph" w:customStyle="1" w:styleId="60">
    <w:name w:val="可研标题"/>
    <w:qFormat/>
    <w:uiPriority w:val="0"/>
    <w:pPr>
      <w:widowControl w:val="0"/>
      <w:spacing w:before="240" w:after="60" w:line="360" w:lineRule="auto"/>
      <w:jc w:val="center"/>
      <w:outlineLvl w:val="0"/>
    </w:pPr>
    <w:rPr>
      <w:rFonts w:ascii="微软雅黑" w:hAnsi="微软雅黑" w:eastAsia="微软雅黑" w:cstheme="majorBidi"/>
      <w:bCs/>
      <w:kern w:val="2"/>
      <w:sz w:val="52"/>
      <w:szCs w:val="52"/>
      <w:lang w:val="en-US" w:eastAsia="zh-CN" w:bidi="ar-SA"/>
    </w:rPr>
  </w:style>
  <w:style w:type="paragraph" w:customStyle="1" w:styleId="61">
    <w:name w:val="修订2"/>
    <w:hidden/>
    <w:unhideWhenUsed/>
    <w:qFormat/>
    <w:uiPriority w:val="99"/>
    <w:rPr>
      <w:rFonts w:eastAsia="微软雅黑" w:asciiTheme="minorHAnsi" w:hAnsiTheme="minorHAnsi" w:cstheme="minorBidi"/>
      <w:kern w:val="2"/>
      <w:sz w:val="21"/>
      <w:szCs w:val="24"/>
      <w:lang w:val="en-US" w:eastAsia="zh-CN" w:bidi="ar-SA"/>
    </w:rPr>
  </w:style>
  <w:style w:type="paragraph" w:customStyle="1" w:styleId="62">
    <w:name w:val="正文正文2"/>
    <w:basedOn w:val="1"/>
    <w:qFormat/>
    <w:uiPriority w:val="0"/>
    <w:pPr>
      <w:ind w:firstLine="460"/>
    </w:pPr>
    <w:rPr>
      <w:szCs w:val="21"/>
    </w:rPr>
  </w:style>
  <w:style w:type="paragraph" w:customStyle="1" w:styleId="63">
    <w:name w:val="+正文"/>
    <w:basedOn w:val="1"/>
    <w:qFormat/>
    <w:uiPriority w:val="0"/>
    <w:pPr>
      <w:ind w:firstLine="200"/>
    </w:pPr>
    <w:rPr>
      <w:rFonts w:ascii="宋体" w:hAnsi="宋体" w:eastAsiaTheme="minorEastAsia" w:cstheme="minorBidi"/>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55718-2789-416E-B886-2600FA5CBEBF}">
  <ds:schemaRefs/>
</ds:datastoreItem>
</file>

<file path=docProps/app.xml><?xml version="1.0" encoding="utf-8"?>
<Properties xmlns="http://schemas.openxmlformats.org/officeDocument/2006/extended-properties" xmlns:vt="http://schemas.openxmlformats.org/officeDocument/2006/docPropsVTypes">
  <Template>Normal.dotm</Template>
  <Company>上海市数据局</Company>
  <Pages>25</Pages>
  <Words>1629</Words>
  <Characters>1748</Characters>
  <Lines>137</Lines>
  <Paragraphs>38</Paragraphs>
  <TotalTime>0</TotalTime>
  <ScaleCrop>false</ScaleCrop>
  <LinksUpToDate>false</LinksUpToDate>
  <CharactersWithSpaces>1843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2023-06-08T10:46:00Z</dcterms:created>
  <dc:creator>徐璡晶</dc:creator>
  <cp:lastModifiedBy>魏允晗</cp:lastModifiedBy>
  <dcterms:modified xsi:type="dcterms:W3CDTF">2026-06-12T12:46:28Z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eyJoZGlkIjoiOGVlOTMxYTVkZGNkM2I2M2JiOWU2ZWQyZmZjODIyYTEiLCJ1c2VySWQiOiIzNjQ2NzAyNTUifQ==</vt:lpwstr>
  </property>
  <property fmtid="{D5CDD505-2E9C-101B-9397-08002B2CF9AE}" pid="4" name="ICV">
    <vt:lpwstr>0AD157DE358A471A93C090934D267AAC_13</vt:lpwstr>
  </property>
</Properties>
</file>