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312" w:beforeLines="100" w:after="312" w:afterLines="100" w:line="360" w:lineRule="auto"/>
        <w:jc w:val="center"/>
        <w:rPr>
          <w:rFonts w:hint="eastAsia" w:ascii="黑体" w:hAnsi="黑体" w:eastAsia="黑体"/>
          <w:b/>
          <w:color w:val="000000"/>
          <w:sz w:val="36"/>
          <w:szCs w:val="36"/>
        </w:rPr>
      </w:pPr>
      <w:r>
        <w:rPr>
          <w:rFonts w:hint="eastAsia" w:ascii="黑体" w:hAnsi="黑体" w:eastAsia="黑体"/>
          <w:b/>
          <w:color w:val="000000"/>
          <w:sz w:val="36"/>
          <w:szCs w:val="36"/>
        </w:rPr>
        <w:t>2026年中国国际消费品博览会上海展区展览服务</w:t>
      </w:r>
    </w:p>
    <w:p>
      <w:pPr>
        <w:snapToGrid w:val="0"/>
        <w:spacing w:before="312" w:beforeLines="100" w:after="312" w:afterLines="100" w:line="360" w:lineRule="auto"/>
        <w:jc w:val="center"/>
        <w:rPr>
          <w:rFonts w:ascii="黑体" w:hAnsi="黑体" w:eastAsia="黑体"/>
          <w:b/>
          <w:color w:val="000000"/>
          <w:sz w:val="36"/>
          <w:szCs w:val="36"/>
        </w:rPr>
      </w:pPr>
      <w:r>
        <w:rPr>
          <w:rFonts w:hint="eastAsia" w:ascii="黑体" w:hAnsi="黑体" w:eastAsia="黑体"/>
          <w:b/>
          <w:color w:val="000000"/>
          <w:sz w:val="36"/>
          <w:szCs w:val="36"/>
        </w:rPr>
        <w:t>采购需求</w:t>
      </w:r>
    </w:p>
    <w:p>
      <w:pPr>
        <w:pStyle w:val="4"/>
        <w:ind w:firstLine="562" w:firstLineChars="200"/>
        <w:rPr>
          <w:color w:val="000000"/>
          <w:sz w:val="28"/>
          <w:szCs w:val="28"/>
        </w:rPr>
      </w:pPr>
      <w:r>
        <w:rPr>
          <w:rFonts w:hint="eastAsia"/>
          <w:color w:val="000000"/>
          <w:sz w:val="28"/>
          <w:szCs w:val="28"/>
        </w:rPr>
        <w:t>一、项目概述</w:t>
      </w:r>
    </w:p>
    <w:p>
      <w:pPr>
        <w:autoSpaceDE w:val="0"/>
        <w:autoSpaceDN w:val="0"/>
        <w:adjustRightInd w:val="0"/>
        <w:spacing w:line="360" w:lineRule="auto"/>
        <w:ind w:firstLine="560" w:firstLineChars="200"/>
        <w:rPr>
          <w:rFonts w:ascii="宋体" w:hAnsi="宋体" w:cs="Arial"/>
          <w:color w:val="000000"/>
          <w:sz w:val="28"/>
          <w:szCs w:val="28"/>
        </w:rPr>
      </w:pPr>
      <w:r>
        <w:rPr>
          <w:rFonts w:hint="eastAsia" w:ascii="宋体" w:hAnsi="宋体" w:cs="Arial"/>
          <w:color w:val="000000"/>
          <w:sz w:val="28"/>
          <w:szCs w:val="28"/>
        </w:rPr>
        <w:t>1.1 项目名称：2026年中国国际消费品博览会上海展区展览服务务</w:t>
      </w:r>
    </w:p>
    <w:p>
      <w:pPr>
        <w:autoSpaceDE w:val="0"/>
        <w:autoSpaceDN w:val="0"/>
        <w:adjustRightInd w:val="0"/>
        <w:spacing w:line="360" w:lineRule="auto"/>
        <w:ind w:firstLine="560" w:firstLineChars="200"/>
        <w:rPr>
          <w:rFonts w:ascii="宋体" w:hAnsi="宋体" w:cs="Arial"/>
          <w:color w:val="000000"/>
          <w:sz w:val="28"/>
          <w:szCs w:val="28"/>
        </w:rPr>
      </w:pPr>
      <w:r>
        <w:rPr>
          <w:rFonts w:hint="eastAsia" w:ascii="宋体" w:hAnsi="宋体" w:cs="Arial"/>
          <w:color w:val="000000"/>
          <w:sz w:val="28"/>
          <w:szCs w:val="28"/>
        </w:rPr>
        <w:t>1.2 服务地点：</w:t>
      </w:r>
      <w:bookmarkStart w:id="0" w:name="OLE_LINK1"/>
      <w:bookmarkStart w:id="1" w:name="OLE_LINK2"/>
      <w:r>
        <w:rPr>
          <w:rFonts w:hint="eastAsia" w:ascii="宋体" w:hAnsi="宋体" w:cs="Arial"/>
          <w:color w:val="000000"/>
          <w:sz w:val="28"/>
          <w:szCs w:val="28"/>
        </w:rPr>
        <w:t>海南国际会展中心</w:t>
      </w:r>
    </w:p>
    <w:bookmarkEnd w:id="0"/>
    <w:bookmarkEnd w:id="1"/>
    <w:p>
      <w:pPr>
        <w:autoSpaceDE w:val="0"/>
        <w:autoSpaceDN w:val="0"/>
        <w:adjustRightInd w:val="0"/>
        <w:spacing w:line="360" w:lineRule="auto"/>
        <w:ind w:firstLine="560" w:firstLineChars="200"/>
        <w:rPr>
          <w:rFonts w:ascii="宋体" w:hAnsi="宋体" w:cs="Arial"/>
          <w:color w:val="000000"/>
          <w:sz w:val="28"/>
          <w:szCs w:val="28"/>
        </w:rPr>
      </w:pPr>
      <w:r>
        <w:rPr>
          <w:rFonts w:hint="eastAsia" w:ascii="宋体" w:hAnsi="宋体" w:cs="Arial"/>
          <w:color w:val="000000"/>
          <w:sz w:val="28"/>
          <w:szCs w:val="28"/>
        </w:rPr>
        <w:t>1.3 展览面积：500平方米</w:t>
      </w:r>
    </w:p>
    <w:p>
      <w:pPr>
        <w:autoSpaceDE w:val="0"/>
        <w:autoSpaceDN w:val="0"/>
        <w:adjustRightInd w:val="0"/>
        <w:spacing w:line="360" w:lineRule="auto"/>
        <w:ind w:firstLine="560" w:firstLineChars="200"/>
        <w:rPr>
          <w:rFonts w:ascii="宋体" w:hAnsi="宋体" w:cs="Arial"/>
          <w:color w:val="000000"/>
          <w:sz w:val="28"/>
          <w:szCs w:val="28"/>
        </w:rPr>
      </w:pPr>
      <w:r>
        <w:rPr>
          <w:rFonts w:hint="eastAsia" w:ascii="宋体" w:hAnsi="宋体" w:cs="Arial"/>
          <w:color w:val="000000"/>
          <w:sz w:val="28"/>
          <w:szCs w:val="28"/>
        </w:rPr>
        <w:t>1.4 项目简介及特点（含项目目标要求）：</w:t>
      </w:r>
    </w:p>
    <w:p>
      <w:pPr>
        <w:autoSpaceDE w:val="0"/>
        <w:autoSpaceDN w:val="0"/>
        <w:adjustRightInd w:val="0"/>
        <w:spacing w:line="360" w:lineRule="auto"/>
        <w:ind w:firstLine="560" w:firstLineChars="200"/>
        <w:rPr>
          <w:rFonts w:ascii="宋体" w:hAnsi="宋体" w:cs="Arial"/>
          <w:color w:val="000000"/>
          <w:sz w:val="28"/>
          <w:szCs w:val="28"/>
          <w:highlight w:val="none"/>
        </w:rPr>
      </w:pPr>
      <w:r>
        <w:rPr>
          <w:rFonts w:hint="eastAsia" w:ascii="宋体" w:hAnsi="宋体" w:cs="Arial"/>
          <w:color w:val="000000"/>
          <w:sz w:val="28"/>
          <w:szCs w:val="28"/>
        </w:rPr>
        <w:t>中国国际消费品博览会（以下简称“消博会”）由商务部和海南省人民政府共同主办，是中国首个以消费精品为主题的国家级展会，也是亚太地区规模最大的消费精品展。第六届消博会将于202</w:t>
      </w:r>
      <w:r>
        <w:rPr>
          <w:rFonts w:ascii="宋体" w:hAnsi="宋体" w:cs="Arial"/>
          <w:color w:val="000000"/>
          <w:sz w:val="28"/>
          <w:szCs w:val="28"/>
        </w:rPr>
        <w:t>6</w:t>
      </w:r>
      <w:r>
        <w:rPr>
          <w:rFonts w:hint="eastAsia" w:ascii="宋体" w:hAnsi="宋体" w:cs="Arial"/>
          <w:color w:val="000000"/>
          <w:sz w:val="28"/>
          <w:szCs w:val="28"/>
        </w:rPr>
        <w:t>年4月13日-18日在海南举行，以“共享开放机遇，共创美好生活”为主题，共襄全球消费品盛会，共享合作共赢新机遇。消博会落实中央关于提振消费的有关工作要求，继续坚持“精品路线”定位，汇聚国内外优质消费品资源和全球买家卖家，把消博会打造成为优化消费供给、畅通消费渠道、提振消费信心和促进国内国际双循环的全球消费精品展示交易平台，为全球企业共享中国市场和中国企业走向世界创造机遇。上海展区将围绕国际消费、国潮新锐、本土秀场、老字号创新、原创IP、外贸优品等热点关键词，展现上海国际消费中心城市的活力与创新，展现上海打造高水平对外开放高地的成果及溢出效应，增强上海市在消费领域的影响力和</w:t>
      </w:r>
      <w:r>
        <w:rPr>
          <w:rFonts w:hint="eastAsia" w:ascii="宋体" w:hAnsi="宋体" w:cs="Arial"/>
          <w:color w:val="000000"/>
          <w:sz w:val="28"/>
          <w:szCs w:val="28"/>
          <w:highlight w:val="none"/>
        </w:rPr>
        <w:t>知名度。</w:t>
      </w:r>
    </w:p>
    <w:p>
      <w:pPr>
        <w:autoSpaceDE w:val="0"/>
        <w:autoSpaceDN w:val="0"/>
        <w:adjustRightInd w:val="0"/>
        <w:spacing w:line="360" w:lineRule="auto"/>
        <w:ind w:firstLine="560" w:firstLineChars="200"/>
        <w:rPr>
          <w:rFonts w:ascii="宋体" w:hAnsi="宋体" w:cs="Arial"/>
          <w:color w:val="000000"/>
          <w:sz w:val="28"/>
          <w:szCs w:val="28"/>
        </w:rPr>
      </w:pPr>
      <w:r>
        <w:rPr>
          <w:rFonts w:hint="eastAsia" w:ascii="宋体" w:hAnsi="宋体" w:cs="Arial"/>
          <w:color w:val="000000"/>
          <w:sz w:val="28"/>
          <w:szCs w:val="28"/>
          <w:highlight w:val="none"/>
        </w:rPr>
        <w:t>根据参展方案，对接不少于4</w:t>
      </w:r>
      <w:r>
        <w:rPr>
          <w:rFonts w:ascii="宋体" w:hAnsi="宋体" w:cs="Arial"/>
          <w:color w:val="000000"/>
          <w:sz w:val="28"/>
          <w:szCs w:val="28"/>
          <w:highlight w:val="none"/>
        </w:rPr>
        <w:t>5</w:t>
      </w:r>
      <w:r>
        <w:rPr>
          <w:rFonts w:hint="eastAsia" w:ascii="宋体" w:hAnsi="宋体" w:cs="Arial"/>
          <w:color w:val="000000"/>
          <w:sz w:val="28"/>
          <w:szCs w:val="28"/>
          <w:highlight w:val="none"/>
        </w:rPr>
        <w:t>家具有高科技含量、创新设计理念、老字号品牌等企业参加上海城市形象展区。要求提供拟邀请符合资质企业名单，展区设计、策划展示内容和形式具有上海代表性。组织不少于5</w:t>
      </w:r>
      <w:r>
        <w:rPr>
          <w:rFonts w:ascii="宋体" w:hAnsi="宋体" w:cs="Arial"/>
          <w:color w:val="000000"/>
          <w:sz w:val="28"/>
          <w:szCs w:val="28"/>
          <w:highlight w:val="none"/>
        </w:rPr>
        <w:t>0</w:t>
      </w:r>
      <w:r>
        <w:rPr>
          <w:rFonts w:hint="eastAsia" w:ascii="宋体" w:hAnsi="宋体" w:cs="Arial"/>
          <w:color w:val="000000"/>
          <w:sz w:val="28"/>
          <w:szCs w:val="28"/>
          <w:highlight w:val="none"/>
        </w:rPr>
        <w:t>家上海消费品进口企业以及零</w:t>
      </w:r>
      <w:r>
        <w:rPr>
          <w:rFonts w:hint="eastAsia" w:ascii="宋体" w:hAnsi="宋体" w:cs="Arial"/>
          <w:color w:val="000000"/>
          <w:sz w:val="28"/>
          <w:szCs w:val="28"/>
        </w:rPr>
        <w:t>售商贸、跨境电商、商超等企业参会洽谈。</w:t>
      </w:r>
    </w:p>
    <w:p>
      <w:pPr>
        <w:pStyle w:val="4"/>
        <w:ind w:firstLine="562" w:firstLineChars="200"/>
        <w:rPr>
          <w:color w:val="000000"/>
          <w:sz w:val="28"/>
          <w:szCs w:val="28"/>
        </w:rPr>
      </w:pPr>
      <w:r>
        <w:rPr>
          <w:rFonts w:hint="eastAsia"/>
          <w:color w:val="000000"/>
          <w:sz w:val="28"/>
          <w:szCs w:val="28"/>
        </w:rPr>
        <w:t>二、设计及布展要求</w:t>
      </w:r>
    </w:p>
    <w:p>
      <w:pPr>
        <w:spacing w:before="156" w:beforeLines="50" w:after="156" w:afterLines="50" w:line="360" w:lineRule="auto"/>
        <w:ind w:firstLine="560" w:firstLineChars="200"/>
        <w:rPr>
          <w:rFonts w:ascii="宋体" w:hAnsi="宋体" w:cs="Arial"/>
          <w:color w:val="000000"/>
          <w:sz w:val="28"/>
          <w:szCs w:val="28"/>
        </w:rPr>
      </w:pPr>
      <w:r>
        <w:rPr>
          <w:rFonts w:hint="eastAsia" w:ascii="宋体" w:hAnsi="宋体" w:cs="Arial"/>
          <w:color w:val="000000"/>
          <w:sz w:val="28"/>
          <w:szCs w:val="28"/>
        </w:rPr>
        <w:t>2.1总体要求。上海作为国内最大的进口消费品集散地，聚焦国际消费与进口商品，展现上海对外开放成果及消费环境魅力，同时着力促进对外贸易高质量发展，打造国内国际双循环的战略链接，展示上海“推进更高水平对外开放，提升上海国际贸易中心能级”的显著成果。工作内容包括但不限于：展板内容设计、展台造型结构、电气布置设计、装饰面、展具设计、灯光设计等。</w:t>
      </w:r>
    </w:p>
    <w:p>
      <w:pPr>
        <w:spacing w:before="156" w:beforeLines="50" w:after="156" w:afterLines="50" w:line="360" w:lineRule="auto"/>
        <w:ind w:firstLine="560" w:firstLineChars="200"/>
        <w:rPr>
          <w:rFonts w:ascii="宋体" w:hAnsi="宋体" w:cs="Arial"/>
          <w:color w:val="000000"/>
          <w:sz w:val="28"/>
          <w:szCs w:val="28"/>
        </w:rPr>
      </w:pPr>
      <w:r>
        <w:rPr>
          <w:rFonts w:hint="eastAsia" w:ascii="宋体" w:hAnsi="宋体" w:cs="Arial"/>
          <w:color w:val="000000"/>
          <w:sz w:val="28"/>
          <w:szCs w:val="28"/>
        </w:rPr>
        <w:t>2.2 设计主题鲜明。设计采用现实、艺术与科技融合设计，结合多媒体、VR/AR等展陈手段，融入橱窗秀、沉浸式体验及元宇宙概念。分为“国际消费”、“国潮新锐”、“本土秀场”、“老字号创新”、“原创IP”、“外贸优品”六大板块，同时、需呈现上海建设国际消费中心城市的阶段性成果，通过数字说消费、地标商圈、人气活动等，全方位、多样化展示上海消费的魅力和活力。</w:t>
      </w:r>
    </w:p>
    <w:p>
      <w:pPr>
        <w:spacing w:before="156" w:beforeLines="50" w:after="156" w:afterLines="50" w:line="360" w:lineRule="auto"/>
        <w:ind w:firstLine="560" w:firstLineChars="200"/>
        <w:rPr>
          <w:rFonts w:ascii="宋体" w:hAnsi="宋体" w:cs="Arial"/>
          <w:color w:val="000000"/>
          <w:sz w:val="28"/>
          <w:szCs w:val="28"/>
        </w:rPr>
      </w:pPr>
      <w:r>
        <w:rPr>
          <w:rFonts w:hint="eastAsia" w:ascii="宋体" w:hAnsi="宋体" w:cs="Arial"/>
          <w:color w:val="000000"/>
          <w:sz w:val="28"/>
          <w:szCs w:val="28"/>
        </w:rPr>
        <w:t>2.3 整体设计创意及风格要求大气简洁、时代与文化特色鲜明、并结合现代元素，构思新颖、亮点突出，具有前瞻性、持续性，满足主题鲜明性、布局协调性、内容完整性、形式艺术性、管理合理性的要求。</w:t>
      </w:r>
    </w:p>
    <w:p>
      <w:pPr>
        <w:spacing w:before="156" w:beforeLines="50" w:after="156" w:afterLines="50" w:line="360" w:lineRule="auto"/>
        <w:ind w:firstLine="560" w:firstLineChars="200"/>
        <w:rPr>
          <w:rFonts w:ascii="宋体" w:hAnsi="宋体" w:cs="Arial"/>
          <w:color w:val="000000"/>
          <w:sz w:val="28"/>
          <w:szCs w:val="28"/>
        </w:rPr>
      </w:pPr>
      <w:r>
        <w:rPr>
          <w:rFonts w:hint="eastAsia" w:ascii="宋体" w:hAnsi="宋体" w:cs="Arial"/>
          <w:color w:val="000000"/>
          <w:sz w:val="28"/>
          <w:szCs w:val="28"/>
        </w:rPr>
        <w:t>2.4</w:t>
      </w:r>
      <w:r>
        <w:rPr>
          <w:rFonts w:ascii="宋体" w:hAnsi="宋体" w:cs="Arial"/>
          <w:color w:val="000000"/>
          <w:sz w:val="28"/>
          <w:szCs w:val="28"/>
        </w:rPr>
        <w:t xml:space="preserve"> </w:t>
      </w:r>
      <w:r>
        <w:rPr>
          <w:rFonts w:hint="eastAsia" w:ascii="宋体" w:hAnsi="宋体" w:cs="Arial"/>
          <w:color w:val="000000"/>
          <w:sz w:val="28"/>
          <w:szCs w:val="28"/>
        </w:rPr>
        <w:t>搭建材料采购、制作：展台造型结构龙骨(国标角铁)、防火板基墙18mm阻燃板、1mm防火贴面、地台结构材料及阻燃型展览地毯的采购；安装结构件（包括地面结构、主体结构、立体字加工等）及展示道具（展架、展柜、多媒体设备承载结构）的预制。</w:t>
      </w:r>
    </w:p>
    <w:p>
      <w:pPr>
        <w:spacing w:before="156" w:beforeLines="50" w:after="156" w:afterLines="50" w:line="360" w:lineRule="auto"/>
        <w:ind w:firstLine="560" w:firstLineChars="200"/>
        <w:rPr>
          <w:rFonts w:ascii="宋体" w:hAnsi="宋体" w:cs="Arial"/>
          <w:color w:val="000000"/>
          <w:sz w:val="28"/>
          <w:szCs w:val="28"/>
        </w:rPr>
      </w:pPr>
      <w:r>
        <w:rPr>
          <w:rFonts w:hint="eastAsia" w:ascii="宋体" w:hAnsi="宋体" w:cs="Arial"/>
          <w:color w:val="000000"/>
          <w:sz w:val="28"/>
          <w:szCs w:val="28"/>
        </w:rPr>
        <w:t>2.5现场布展、安装：展位结构安装、电气铺设、美工（树脂发光字、有机玻璃立体字、写真纸、喷绘布等）及灯光装饰（节能型LED光源）、设备调试及维护；相关布展技术人员（设计师、美术师、电工等）须持证上岗。</w:t>
      </w:r>
    </w:p>
    <w:p>
      <w:pPr>
        <w:spacing w:before="156" w:beforeLines="50" w:after="156" w:afterLines="50" w:line="360" w:lineRule="auto"/>
        <w:ind w:firstLine="560" w:firstLineChars="200"/>
        <w:rPr>
          <w:rFonts w:ascii="宋体" w:hAnsi="宋体" w:cs="Arial"/>
          <w:color w:val="000000"/>
          <w:sz w:val="28"/>
          <w:szCs w:val="28"/>
        </w:rPr>
      </w:pPr>
      <w:r>
        <w:rPr>
          <w:rFonts w:hint="eastAsia" w:ascii="宋体" w:hAnsi="宋体" w:cs="Arial"/>
          <w:color w:val="000000"/>
          <w:sz w:val="28"/>
          <w:szCs w:val="28"/>
        </w:rPr>
        <w:t>2.6多媒体设备租赁：根据布展方案，租赁多媒体播放设备（包括但不限于P2.5LED屏幕、液晶显示器、音响、触控屏），并进行安装、调试、维护。</w:t>
      </w:r>
    </w:p>
    <w:p>
      <w:pPr>
        <w:spacing w:before="156" w:beforeLines="50" w:after="156" w:afterLines="50" w:line="360" w:lineRule="auto"/>
        <w:ind w:firstLine="560" w:firstLineChars="200"/>
        <w:rPr>
          <w:rFonts w:ascii="宋体" w:hAnsi="宋体" w:cs="Arial"/>
          <w:color w:val="000000"/>
          <w:sz w:val="28"/>
          <w:szCs w:val="28"/>
        </w:rPr>
      </w:pPr>
      <w:r>
        <w:rPr>
          <w:rFonts w:hint="eastAsia" w:ascii="宋体" w:hAnsi="宋体" w:cs="Arial"/>
          <w:color w:val="000000"/>
          <w:sz w:val="28"/>
          <w:szCs w:val="28"/>
        </w:rPr>
        <w:t>2.7展馆设施租赁：根据布展方案及展位搭建需求，向大会运营部门申请布展设施（包括但不限于电源、网络、安装机力）；承担大会规定的施工管理费、保险费等。</w:t>
      </w:r>
    </w:p>
    <w:p>
      <w:pPr>
        <w:spacing w:before="156" w:beforeLines="50" w:after="156" w:afterLines="50" w:line="360" w:lineRule="auto"/>
        <w:ind w:firstLine="560" w:firstLineChars="200"/>
        <w:rPr>
          <w:rFonts w:ascii="宋体" w:hAnsi="宋体" w:cs="Arial"/>
          <w:color w:val="000000"/>
          <w:sz w:val="28"/>
          <w:szCs w:val="28"/>
        </w:rPr>
      </w:pPr>
      <w:r>
        <w:rPr>
          <w:rFonts w:hint="eastAsia" w:ascii="宋体" w:hAnsi="宋体" w:cs="Arial"/>
          <w:color w:val="000000"/>
          <w:sz w:val="28"/>
          <w:szCs w:val="28"/>
        </w:rPr>
        <w:t>2.8展品及布撤展物料运输：负责提供展品的市内集货点及上海至海南的往返运输；负责布撤展物料的市内、异地运输；承担相关运输费、空箱存储费。</w:t>
      </w:r>
    </w:p>
    <w:p>
      <w:pPr>
        <w:pStyle w:val="4"/>
        <w:ind w:firstLine="562" w:firstLineChars="200"/>
        <w:rPr>
          <w:color w:val="000000"/>
          <w:sz w:val="28"/>
          <w:szCs w:val="28"/>
        </w:rPr>
      </w:pPr>
      <w:r>
        <w:rPr>
          <w:rFonts w:hint="eastAsia"/>
          <w:color w:val="000000"/>
          <w:sz w:val="28"/>
          <w:szCs w:val="28"/>
        </w:rPr>
        <w:t>三、主题日</w:t>
      </w:r>
      <w:r>
        <w:rPr>
          <w:rFonts w:hint="eastAsia"/>
          <w:color w:val="000000"/>
          <w:sz w:val="28"/>
          <w:szCs w:val="28"/>
          <w:lang w:eastAsia="zh-CN"/>
        </w:rPr>
        <w:t>推介</w:t>
      </w:r>
      <w:r>
        <w:rPr>
          <w:rFonts w:hint="eastAsia"/>
          <w:color w:val="000000"/>
          <w:sz w:val="28"/>
          <w:szCs w:val="28"/>
        </w:rPr>
        <w:t>大会</w:t>
      </w:r>
    </w:p>
    <w:p>
      <w:pPr>
        <w:spacing w:before="156" w:beforeLines="50" w:after="156" w:afterLines="50" w:line="360" w:lineRule="auto"/>
        <w:ind w:firstLine="560" w:firstLineChars="200"/>
        <w:rPr>
          <w:rFonts w:ascii="宋体" w:hAnsi="宋体" w:cs="Arial"/>
          <w:color w:val="000000"/>
          <w:sz w:val="28"/>
          <w:szCs w:val="28"/>
        </w:rPr>
      </w:pPr>
      <w:r>
        <w:rPr>
          <w:rFonts w:hint="eastAsia" w:ascii="宋体" w:hAnsi="宋体" w:cs="Arial"/>
          <w:color w:val="000000"/>
          <w:sz w:val="28"/>
          <w:szCs w:val="28"/>
        </w:rPr>
        <w:t>3.1供应商需提供主题日</w:t>
      </w:r>
      <w:r>
        <w:rPr>
          <w:rFonts w:hint="eastAsia" w:ascii="宋体" w:hAnsi="宋体" w:cs="Arial"/>
          <w:color w:val="000000"/>
          <w:sz w:val="28"/>
          <w:szCs w:val="28"/>
          <w:lang w:eastAsia="zh-CN"/>
        </w:rPr>
        <w:t>推介</w:t>
      </w:r>
      <w:r>
        <w:rPr>
          <w:rFonts w:hint="eastAsia" w:ascii="宋体" w:hAnsi="宋体" w:cs="Arial"/>
          <w:color w:val="000000"/>
          <w:sz w:val="28"/>
          <w:szCs w:val="28"/>
        </w:rPr>
        <w:t>大会全流程策划、组织、执行服务，包括但不限于：活动方案编制、议程设计、现场布置、设备租赁、会务统筹等全部内容，确保大会规范、顺利圆满完成。</w:t>
      </w:r>
    </w:p>
    <w:p>
      <w:pPr>
        <w:spacing w:before="156" w:beforeLines="50" w:after="156" w:afterLines="50" w:line="360" w:lineRule="auto"/>
        <w:ind w:firstLine="560" w:firstLineChars="200"/>
        <w:rPr>
          <w:rFonts w:ascii="宋体" w:hAnsi="宋体" w:cs="Arial"/>
          <w:color w:val="000000"/>
          <w:sz w:val="28"/>
          <w:szCs w:val="28"/>
        </w:rPr>
      </w:pPr>
      <w:r>
        <w:rPr>
          <w:rFonts w:hint="eastAsia" w:ascii="宋体" w:hAnsi="宋体" w:cs="Arial"/>
          <w:color w:val="000000"/>
          <w:sz w:val="28"/>
          <w:szCs w:val="28"/>
        </w:rPr>
        <w:t>3.2活动整体要求：活动主题鲜明，紧扣政策导向和行业特点。</w:t>
      </w:r>
    </w:p>
    <w:p>
      <w:pPr>
        <w:spacing w:before="156" w:beforeLines="50" w:after="156" w:afterLines="50" w:line="360" w:lineRule="auto"/>
        <w:ind w:firstLine="560" w:firstLineChars="200"/>
        <w:rPr>
          <w:rFonts w:ascii="宋体" w:hAnsi="宋体" w:cs="Arial"/>
          <w:color w:val="000000"/>
          <w:sz w:val="28"/>
          <w:szCs w:val="28"/>
        </w:rPr>
      </w:pPr>
      <w:r>
        <w:rPr>
          <w:rFonts w:hint="eastAsia" w:ascii="宋体" w:hAnsi="宋体" w:cs="Arial"/>
          <w:color w:val="000000"/>
          <w:sz w:val="28"/>
          <w:szCs w:val="28"/>
        </w:rPr>
        <w:t>3.3活动方案设计：提供整体活动方案，包含：时间、地点、规模、参会对象。</w:t>
      </w:r>
    </w:p>
    <w:p>
      <w:pPr>
        <w:spacing w:before="156" w:beforeLines="50" w:after="156" w:afterLines="50" w:line="360" w:lineRule="auto"/>
        <w:ind w:firstLine="560" w:firstLineChars="200"/>
        <w:rPr>
          <w:rFonts w:ascii="宋体" w:hAnsi="宋体" w:cs="Arial"/>
          <w:color w:val="000000"/>
          <w:sz w:val="28"/>
          <w:szCs w:val="28"/>
        </w:rPr>
      </w:pPr>
      <w:r>
        <w:rPr>
          <w:rFonts w:ascii="宋体" w:hAnsi="宋体" w:cs="Arial"/>
          <w:color w:val="000000"/>
          <w:sz w:val="28"/>
          <w:szCs w:val="28"/>
        </w:rPr>
        <w:t>3.4</w:t>
      </w:r>
      <w:r>
        <w:rPr>
          <w:rFonts w:hint="eastAsia" w:ascii="宋体" w:hAnsi="宋体" w:cs="Arial"/>
          <w:color w:val="000000"/>
          <w:sz w:val="28"/>
          <w:szCs w:val="28"/>
        </w:rPr>
        <w:t>现场布置：合规、简洁、贴合主题。</w:t>
      </w:r>
    </w:p>
    <w:p>
      <w:pPr>
        <w:spacing w:before="156" w:beforeLines="50" w:after="156" w:afterLines="50" w:line="360" w:lineRule="auto"/>
        <w:ind w:firstLine="560" w:firstLineChars="200"/>
        <w:rPr>
          <w:rFonts w:ascii="宋体" w:hAnsi="宋体" w:cs="Arial"/>
          <w:color w:val="000000"/>
          <w:sz w:val="28"/>
          <w:szCs w:val="28"/>
        </w:rPr>
      </w:pPr>
      <w:r>
        <w:rPr>
          <w:rFonts w:ascii="宋体" w:hAnsi="宋体" w:cs="Arial"/>
          <w:color w:val="000000"/>
          <w:sz w:val="28"/>
          <w:szCs w:val="28"/>
        </w:rPr>
        <w:t>3.5</w:t>
      </w:r>
      <w:r>
        <w:rPr>
          <w:rFonts w:hint="eastAsia" w:ascii="宋体" w:hAnsi="宋体" w:cs="Arial"/>
          <w:color w:val="000000"/>
          <w:sz w:val="28"/>
          <w:szCs w:val="28"/>
        </w:rPr>
        <w:t>会务统筹：服务好全体参会对象，确保大会顺利圆满完成。</w:t>
      </w:r>
    </w:p>
    <w:p>
      <w:pPr>
        <w:pStyle w:val="4"/>
        <w:ind w:firstLine="562" w:firstLineChars="200"/>
        <w:rPr>
          <w:color w:val="000000"/>
          <w:sz w:val="28"/>
          <w:szCs w:val="28"/>
        </w:rPr>
      </w:pPr>
      <w:r>
        <w:rPr>
          <w:color w:val="000000"/>
          <w:sz w:val="28"/>
          <w:szCs w:val="28"/>
        </w:rPr>
        <w:t>四、</w:t>
      </w:r>
      <w:r>
        <w:rPr>
          <w:rFonts w:hint="eastAsia"/>
          <w:color w:val="000000"/>
          <w:sz w:val="28"/>
          <w:szCs w:val="28"/>
        </w:rPr>
        <w:t>宣</w:t>
      </w:r>
      <w:r>
        <w:rPr>
          <w:rFonts w:hint="eastAsia"/>
          <w:color w:val="000000"/>
          <w:sz w:val="28"/>
          <w:szCs w:val="28"/>
          <w:highlight w:val="none"/>
        </w:rPr>
        <w:t>传资料</w:t>
      </w:r>
      <w:r>
        <w:rPr>
          <w:rFonts w:hint="eastAsia"/>
          <w:color w:val="000000"/>
          <w:sz w:val="28"/>
          <w:szCs w:val="28"/>
        </w:rPr>
        <w:t>要求</w:t>
      </w:r>
    </w:p>
    <w:p>
      <w:pPr>
        <w:spacing w:before="156" w:beforeLines="50" w:after="156" w:afterLines="50" w:line="360" w:lineRule="auto"/>
        <w:ind w:firstLine="560" w:firstLineChars="200"/>
        <w:rPr>
          <w:rFonts w:ascii="宋体" w:hAnsi="宋体" w:cs="Arial"/>
          <w:color w:val="000000"/>
          <w:sz w:val="28"/>
          <w:szCs w:val="28"/>
        </w:rPr>
      </w:pPr>
      <w:r>
        <w:rPr>
          <w:rFonts w:hint="eastAsia" w:ascii="宋体" w:hAnsi="宋体" w:cs="Arial"/>
          <w:color w:val="000000"/>
          <w:sz w:val="28"/>
          <w:szCs w:val="28"/>
        </w:rPr>
        <w:t>3.1编排、印刷上海交易团《宣传手册》不少于300份。</w:t>
      </w:r>
    </w:p>
    <w:p>
      <w:pPr>
        <w:spacing w:before="156" w:beforeLines="50" w:after="156" w:afterLines="50" w:line="360" w:lineRule="auto"/>
        <w:ind w:firstLine="560" w:firstLineChars="200"/>
        <w:rPr>
          <w:rFonts w:ascii="宋体" w:hAnsi="宋体" w:cs="Arial"/>
          <w:color w:val="000000"/>
          <w:sz w:val="28"/>
          <w:szCs w:val="28"/>
        </w:rPr>
      </w:pPr>
      <w:r>
        <w:rPr>
          <w:rFonts w:hint="eastAsia" w:ascii="宋体" w:hAnsi="宋体" w:cs="Arial"/>
          <w:color w:val="000000"/>
          <w:sz w:val="28"/>
          <w:szCs w:val="28"/>
        </w:rPr>
        <w:t>3.2编印项目相关通知、宣传单页等纸质文件。</w:t>
      </w:r>
    </w:p>
    <w:p>
      <w:pPr>
        <w:spacing w:before="156" w:beforeLines="50" w:after="156" w:afterLines="50" w:line="360" w:lineRule="auto"/>
        <w:ind w:firstLine="560" w:firstLineChars="200"/>
        <w:rPr>
          <w:rFonts w:ascii="宋体" w:hAnsi="宋体" w:cs="Arial"/>
          <w:color w:val="000000"/>
          <w:sz w:val="28"/>
          <w:szCs w:val="28"/>
        </w:rPr>
      </w:pPr>
      <w:r>
        <w:rPr>
          <w:rFonts w:hint="eastAsia" w:ascii="宋体" w:hAnsi="宋体" w:cs="Arial"/>
          <w:color w:val="000000"/>
          <w:sz w:val="28"/>
          <w:szCs w:val="28"/>
        </w:rPr>
        <w:t>3.3展期内安排专业摄影、摄像人员各1名，主要拍摄记录现场重要活动，并负责整理归档影像资料。</w:t>
      </w:r>
    </w:p>
    <w:p>
      <w:pPr>
        <w:keepNext/>
        <w:keepLines/>
        <w:spacing w:before="260" w:after="260" w:line="416" w:lineRule="auto"/>
        <w:ind w:firstLine="562" w:firstLineChars="200"/>
        <w:outlineLvl w:val="2"/>
        <w:rPr>
          <w:b/>
          <w:bCs/>
          <w:color w:val="000000"/>
          <w:sz w:val="28"/>
          <w:szCs w:val="28"/>
        </w:rPr>
      </w:pPr>
      <w:r>
        <w:rPr>
          <w:b/>
          <w:bCs/>
          <w:color w:val="000000"/>
          <w:sz w:val="28"/>
          <w:szCs w:val="28"/>
        </w:rPr>
        <w:t>五</w:t>
      </w:r>
      <w:r>
        <w:rPr>
          <w:rFonts w:hint="eastAsia"/>
          <w:b/>
          <w:bCs/>
          <w:color w:val="000000"/>
          <w:sz w:val="28"/>
          <w:szCs w:val="28"/>
        </w:rPr>
        <w:t>、展位申请要求</w:t>
      </w:r>
    </w:p>
    <w:p>
      <w:pPr>
        <w:spacing w:before="156" w:beforeLines="50" w:after="156" w:afterLines="50" w:line="360" w:lineRule="auto"/>
        <w:ind w:firstLine="560" w:firstLineChars="200"/>
        <w:rPr>
          <w:rFonts w:ascii="宋体" w:hAnsi="宋体" w:cs="Arial"/>
          <w:color w:val="000000"/>
          <w:sz w:val="28"/>
          <w:szCs w:val="28"/>
        </w:rPr>
      </w:pPr>
      <w:r>
        <w:rPr>
          <w:rFonts w:hint="eastAsia" w:ascii="宋体" w:hAnsi="宋体" w:cs="Arial"/>
          <w:color w:val="000000"/>
          <w:sz w:val="28"/>
          <w:szCs w:val="28"/>
        </w:rPr>
        <w:t>根据组委会要求</w:t>
      </w:r>
      <w:r>
        <w:rPr>
          <w:rFonts w:hint="eastAsia" w:ascii="宋体" w:hAnsi="宋体" w:cs="Arial"/>
          <w:color w:val="000000"/>
          <w:sz w:val="28"/>
          <w:szCs w:val="28"/>
          <w:lang w:eastAsia="zh-CN"/>
        </w:rPr>
        <w:t>，</w:t>
      </w:r>
      <w:r>
        <w:rPr>
          <w:rFonts w:hint="eastAsia" w:ascii="宋体" w:hAnsi="宋体" w:cs="Arial"/>
          <w:color w:val="000000"/>
          <w:sz w:val="28"/>
          <w:szCs w:val="28"/>
        </w:rPr>
        <w:t>采购人要向大会主办单位支付上海形象展区展位费用，共500平米*1800元/平米*</w:t>
      </w:r>
      <w:r>
        <w:rPr>
          <w:rFonts w:ascii="宋体" w:hAnsi="宋体" w:cs="Arial"/>
          <w:color w:val="000000"/>
          <w:sz w:val="28"/>
          <w:szCs w:val="28"/>
        </w:rPr>
        <w:t>8折</w:t>
      </w:r>
      <w:r>
        <w:rPr>
          <w:rFonts w:hint="eastAsia" w:ascii="宋体" w:hAnsi="宋体" w:cs="Arial"/>
          <w:color w:val="000000"/>
          <w:sz w:val="28"/>
          <w:szCs w:val="28"/>
        </w:rPr>
        <w:t>=</w:t>
      </w:r>
      <w:r>
        <w:rPr>
          <w:rFonts w:ascii="宋体" w:hAnsi="宋体" w:cs="Arial"/>
          <w:color w:val="000000"/>
          <w:sz w:val="28"/>
          <w:szCs w:val="28"/>
        </w:rPr>
        <w:t>72</w:t>
      </w:r>
      <w:r>
        <w:rPr>
          <w:rFonts w:hint="eastAsia" w:ascii="宋体" w:hAnsi="宋体" w:cs="Arial"/>
          <w:color w:val="000000"/>
          <w:sz w:val="28"/>
          <w:szCs w:val="28"/>
        </w:rPr>
        <w:t>0000元，该费用包含在标的总价里。</w:t>
      </w:r>
    </w:p>
    <w:p>
      <w:pPr>
        <w:keepNext/>
        <w:keepLines/>
        <w:spacing w:before="260" w:after="260" w:line="416" w:lineRule="auto"/>
        <w:ind w:firstLine="562" w:firstLineChars="200"/>
        <w:outlineLvl w:val="2"/>
        <w:rPr>
          <w:b/>
          <w:bCs/>
          <w:color w:val="000000"/>
          <w:sz w:val="28"/>
          <w:szCs w:val="28"/>
        </w:rPr>
      </w:pPr>
      <w:r>
        <w:rPr>
          <w:rFonts w:hint="eastAsia"/>
          <w:b/>
          <w:bCs/>
          <w:color w:val="000000"/>
          <w:sz w:val="28"/>
          <w:szCs w:val="28"/>
        </w:rPr>
        <w:t>六、服务时间及质保要求</w:t>
      </w:r>
    </w:p>
    <w:p>
      <w:pPr>
        <w:pStyle w:val="8"/>
        <w:snapToGrid w:val="0"/>
        <w:spacing w:before="156" w:beforeLines="50" w:after="156" w:afterLines="50" w:line="360" w:lineRule="auto"/>
        <w:ind w:firstLine="560" w:firstLineChars="200"/>
        <w:outlineLvl w:val="0"/>
        <w:rPr>
          <w:rFonts w:hAnsi="宋体"/>
          <w:color w:val="000000"/>
          <w:sz w:val="28"/>
          <w:szCs w:val="28"/>
        </w:rPr>
      </w:pPr>
      <w:r>
        <w:rPr>
          <w:rFonts w:hAnsi="宋体"/>
          <w:color w:val="000000"/>
          <w:sz w:val="28"/>
          <w:szCs w:val="28"/>
        </w:rPr>
        <w:t>6</w:t>
      </w:r>
      <w:r>
        <w:rPr>
          <w:rFonts w:hint="eastAsia" w:hAnsi="宋体"/>
          <w:color w:val="000000"/>
          <w:sz w:val="28"/>
          <w:szCs w:val="28"/>
        </w:rPr>
        <w:t>.1 服务时间：</w:t>
      </w:r>
    </w:p>
    <w:p>
      <w:pPr>
        <w:pStyle w:val="8"/>
        <w:snapToGrid w:val="0"/>
        <w:spacing w:before="156" w:beforeLines="50" w:after="156" w:afterLines="50" w:line="360" w:lineRule="auto"/>
        <w:ind w:firstLine="560" w:firstLineChars="200"/>
        <w:outlineLvl w:val="0"/>
        <w:rPr>
          <w:rFonts w:hAnsi="宋体"/>
          <w:color w:val="000000"/>
          <w:sz w:val="28"/>
          <w:szCs w:val="28"/>
        </w:rPr>
      </w:pPr>
      <w:r>
        <w:rPr>
          <w:rFonts w:hint="eastAsia" w:hAnsi="宋体"/>
          <w:color w:val="000000"/>
          <w:sz w:val="28"/>
          <w:szCs w:val="28"/>
        </w:rPr>
        <w:t>布展期：</w:t>
      </w:r>
      <w:r>
        <w:rPr>
          <w:rFonts w:hint="eastAsia" w:hAnsi="宋体"/>
          <w:color w:val="000000"/>
          <w:sz w:val="28"/>
          <w:szCs w:val="28"/>
          <w:lang w:eastAsia="zh-CN"/>
        </w:rPr>
        <w:t>合同签订之日起</w:t>
      </w:r>
      <w:r>
        <w:rPr>
          <w:rFonts w:hint="eastAsia" w:hAnsi="宋体"/>
          <w:color w:val="000000"/>
          <w:sz w:val="28"/>
          <w:szCs w:val="28"/>
        </w:rPr>
        <w:t>至4月11日</w:t>
      </w:r>
    </w:p>
    <w:p>
      <w:pPr>
        <w:pStyle w:val="8"/>
        <w:snapToGrid w:val="0"/>
        <w:spacing w:before="156" w:beforeLines="50" w:after="156" w:afterLines="50" w:line="360" w:lineRule="auto"/>
        <w:ind w:firstLine="560" w:firstLineChars="200"/>
        <w:outlineLvl w:val="0"/>
        <w:rPr>
          <w:rFonts w:hAnsi="宋体"/>
          <w:color w:val="000000"/>
          <w:sz w:val="28"/>
          <w:szCs w:val="28"/>
        </w:rPr>
      </w:pPr>
      <w:r>
        <w:rPr>
          <w:rFonts w:hint="eastAsia" w:hAnsi="宋体"/>
          <w:color w:val="000000"/>
          <w:sz w:val="28"/>
          <w:szCs w:val="28"/>
        </w:rPr>
        <w:t>开展期：202</w:t>
      </w:r>
      <w:r>
        <w:rPr>
          <w:rFonts w:hAnsi="宋体"/>
          <w:color w:val="000000"/>
          <w:sz w:val="28"/>
          <w:szCs w:val="28"/>
        </w:rPr>
        <w:t>6</w:t>
      </w:r>
      <w:r>
        <w:rPr>
          <w:rFonts w:hint="eastAsia" w:hAnsi="宋体"/>
          <w:color w:val="000000"/>
          <w:sz w:val="28"/>
          <w:szCs w:val="28"/>
        </w:rPr>
        <w:t>年4月13日至4月18日</w:t>
      </w:r>
    </w:p>
    <w:p>
      <w:pPr>
        <w:pStyle w:val="8"/>
        <w:snapToGrid w:val="0"/>
        <w:spacing w:before="156" w:beforeLines="50" w:after="156" w:afterLines="50" w:line="360" w:lineRule="auto"/>
        <w:ind w:firstLine="560" w:firstLineChars="200"/>
        <w:outlineLvl w:val="0"/>
        <w:rPr>
          <w:rFonts w:hAnsi="宋体"/>
          <w:color w:val="000000"/>
          <w:sz w:val="28"/>
          <w:szCs w:val="28"/>
        </w:rPr>
      </w:pPr>
      <w:r>
        <w:rPr>
          <w:rFonts w:hint="eastAsia" w:hAnsi="宋体"/>
          <w:color w:val="000000"/>
          <w:sz w:val="28"/>
          <w:szCs w:val="28"/>
        </w:rPr>
        <w:t>撤展期：202</w:t>
      </w:r>
      <w:r>
        <w:rPr>
          <w:rFonts w:hAnsi="宋体"/>
          <w:color w:val="000000"/>
          <w:sz w:val="28"/>
          <w:szCs w:val="28"/>
        </w:rPr>
        <w:t>6</w:t>
      </w:r>
      <w:r>
        <w:rPr>
          <w:rFonts w:hint="eastAsia" w:hAnsi="宋体"/>
          <w:color w:val="000000"/>
          <w:sz w:val="28"/>
          <w:szCs w:val="28"/>
        </w:rPr>
        <w:t>年4月19日</w:t>
      </w:r>
    </w:p>
    <w:p>
      <w:pPr>
        <w:pStyle w:val="8"/>
        <w:snapToGrid w:val="0"/>
        <w:spacing w:before="156" w:beforeLines="50" w:after="156" w:afterLines="50" w:line="360" w:lineRule="auto"/>
        <w:ind w:firstLine="560" w:firstLineChars="200"/>
        <w:outlineLvl w:val="0"/>
        <w:rPr>
          <w:rFonts w:hAnsi="宋体"/>
          <w:color w:val="000000"/>
          <w:sz w:val="28"/>
          <w:szCs w:val="28"/>
        </w:rPr>
      </w:pPr>
      <w:r>
        <w:rPr>
          <w:rFonts w:hAnsi="宋体"/>
          <w:color w:val="000000"/>
          <w:sz w:val="28"/>
          <w:szCs w:val="28"/>
        </w:rPr>
        <w:t>6</w:t>
      </w:r>
      <w:r>
        <w:rPr>
          <w:rFonts w:hint="eastAsia" w:hAnsi="宋体"/>
          <w:color w:val="000000"/>
          <w:sz w:val="28"/>
          <w:szCs w:val="28"/>
        </w:rPr>
        <w:t>.2 质保要求</w:t>
      </w:r>
    </w:p>
    <w:p>
      <w:pPr>
        <w:pStyle w:val="8"/>
        <w:snapToGrid w:val="0"/>
        <w:spacing w:before="156" w:beforeLines="50" w:after="156" w:afterLines="50" w:line="360" w:lineRule="auto"/>
        <w:ind w:firstLine="560" w:firstLineChars="200"/>
        <w:outlineLvl w:val="0"/>
        <w:rPr>
          <w:rFonts w:hAnsi="宋体"/>
          <w:color w:val="000000"/>
          <w:sz w:val="28"/>
          <w:szCs w:val="28"/>
        </w:rPr>
      </w:pPr>
      <w:r>
        <w:rPr>
          <w:rFonts w:hint="eastAsia" w:hAnsi="宋体"/>
          <w:color w:val="000000"/>
          <w:sz w:val="28"/>
          <w:szCs w:val="28"/>
        </w:rPr>
        <w:t>本项目质量保证期为自布展期开始到撤展全部结束为止</w:t>
      </w:r>
      <w:r>
        <w:rPr>
          <w:rFonts w:hAnsi="宋体"/>
          <w:color w:val="000000"/>
          <w:sz w:val="28"/>
          <w:szCs w:val="28"/>
        </w:rPr>
        <w:t>。</w:t>
      </w:r>
    </w:p>
    <w:p>
      <w:pPr>
        <w:pStyle w:val="8"/>
        <w:snapToGrid w:val="0"/>
        <w:spacing w:before="156" w:beforeLines="50" w:after="156" w:afterLines="50" w:line="360" w:lineRule="auto"/>
        <w:ind w:firstLine="560" w:firstLineChars="200"/>
        <w:outlineLvl w:val="0"/>
        <w:rPr>
          <w:rFonts w:hAnsi="宋体"/>
          <w:color w:val="000000"/>
          <w:sz w:val="28"/>
          <w:szCs w:val="28"/>
        </w:rPr>
      </w:pPr>
      <w:r>
        <w:rPr>
          <w:rFonts w:hint="eastAsia" w:hAnsi="宋体"/>
          <w:color w:val="000000"/>
          <w:sz w:val="28"/>
          <w:szCs w:val="28"/>
        </w:rPr>
        <w:t>在展览期间，成交供应商应对其提供的所有视频硬件设备及软件系统提供质保服务，如遇软件产品升级改版，成交供应商应免费提供更新升级服务。</w:t>
      </w:r>
    </w:p>
    <w:p>
      <w:pPr>
        <w:pStyle w:val="8"/>
        <w:snapToGrid w:val="0"/>
        <w:spacing w:before="156" w:beforeLines="50" w:after="156" w:afterLines="50" w:line="360" w:lineRule="auto"/>
        <w:ind w:firstLine="560" w:firstLineChars="200"/>
        <w:outlineLvl w:val="0"/>
        <w:rPr>
          <w:rFonts w:hint="eastAsia" w:hAnsi="宋体"/>
          <w:color w:val="000000"/>
          <w:sz w:val="28"/>
          <w:szCs w:val="28"/>
        </w:rPr>
      </w:pPr>
      <w:r>
        <w:rPr>
          <w:rFonts w:hint="eastAsia" w:hAnsi="宋体"/>
          <w:color w:val="000000"/>
          <w:sz w:val="28"/>
          <w:szCs w:val="28"/>
        </w:rPr>
        <w:t>展览期内除设备耗材外成交供应商应提供在接到报修的2小时内到达现场进行免费维修的服务，不能当场修复的，必须采取提供备品备件或备机等措施，以确保系统正常使用。</w:t>
      </w:r>
    </w:p>
    <w:p>
      <w:pPr>
        <w:pStyle w:val="8"/>
        <w:snapToGrid w:val="0"/>
        <w:spacing w:before="156" w:beforeLines="50" w:after="156" w:afterLines="50" w:line="360" w:lineRule="auto"/>
        <w:ind w:firstLine="560" w:firstLineChars="200"/>
        <w:outlineLvl w:val="0"/>
        <w:rPr>
          <w:rFonts w:hint="default" w:hAnsi="宋体" w:eastAsia="宋体"/>
          <w:color w:val="000000"/>
          <w:sz w:val="28"/>
          <w:szCs w:val="28"/>
          <w:lang w:val="en-US" w:eastAsia="zh-CN"/>
        </w:rPr>
      </w:pPr>
      <w:r>
        <w:rPr>
          <w:rFonts w:hint="eastAsia" w:hAnsi="宋体"/>
          <w:color w:val="000000"/>
          <w:sz w:val="28"/>
          <w:szCs w:val="28"/>
          <w:lang w:val="en-US" w:eastAsia="zh-CN"/>
        </w:rPr>
        <w:t xml:space="preserve">6.3 </w:t>
      </w:r>
      <w:bookmarkStart w:id="2" w:name="_GoBack"/>
      <w:bookmarkEnd w:id="2"/>
      <w:r>
        <w:rPr>
          <w:rFonts w:hint="eastAsia" w:hAnsi="宋体"/>
          <w:color w:val="000000"/>
          <w:sz w:val="28"/>
          <w:szCs w:val="28"/>
          <w:lang w:val="en-US" w:eastAsia="zh-CN"/>
        </w:rPr>
        <w:t>供应商应熟悉会展当地相关行业、管理部门的政策及规范，具备布展建设所需的资质和手续。应做好展品的市内、异地往返运输方案，各种手续齐全。熟悉上海进口消费市场，具备上海进口消费品企业招展招商资源。</w:t>
      </w:r>
    </w:p>
    <w:p>
      <w:pPr>
        <w:spacing w:line="360" w:lineRule="auto"/>
        <w:ind w:firstLine="562" w:firstLineChars="200"/>
        <w:rPr>
          <w:b/>
          <w:sz w:val="28"/>
          <w:szCs w:val="28"/>
        </w:rPr>
      </w:pPr>
    </w:p>
    <w:p>
      <w:pPr>
        <w:spacing w:line="360" w:lineRule="auto"/>
        <w:rPr>
          <w:b/>
          <w:color w:val="FF0000"/>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NGQ4MDY4NjMxYWVlMzc3ODM2NDE0MmU1ODUxYzYifQ=="/>
  </w:docVars>
  <w:rsids>
    <w:rsidRoot w:val="00352862"/>
    <w:rsid w:val="0000587F"/>
    <w:rsid w:val="00014689"/>
    <w:rsid w:val="0001614A"/>
    <w:rsid w:val="00020D28"/>
    <w:rsid w:val="00023672"/>
    <w:rsid w:val="000261D0"/>
    <w:rsid w:val="0003055D"/>
    <w:rsid w:val="0003058D"/>
    <w:rsid w:val="00033CD5"/>
    <w:rsid w:val="000358EE"/>
    <w:rsid w:val="00036447"/>
    <w:rsid w:val="00041238"/>
    <w:rsid w:val="0005440D"/>
    <w:rsid w:val="00063FBC"/>
    <w:rsid w:val="00070C4F"/>
    <w:rsid w:val="00072D8C"/>
    <w:rsid w:val="00072DA2"/>
    <w:rsid w:val="00077082"/>
    <w:rsid w:val="00084F1A"/>
    <w:rsid w:val="00087009"/>
    <w:rsid w:val="000874F8"/>
    <w:rsid w:val="000A3AA6"/>
    <w:rsid w:val="000A4C23"/>
    <w:rsid w:val="000B79EC"/>
    <w:rsid w:val="000C2E73"/>
    <w:rsid w:val="000D4D85"/>
    <w:rsid w:val="000E021C"/>
    <w:rsid w:val="000E1985"/>
    <w:rsid w:val="000E257A"/>
    <w:rsid w:val="00105403"/>
    <w:rsid w:val="00106E9F"/>
    <w:rsid w:val="001110ED"/>
    <w:rsid w:val="00114ADC"/>
    <w:rsid w:val="00120F33"/>
    <w:rsid w:val="001236AA"/>
    <w:rsid w:val="00134D6D"/>
    <w:rsid w:val="00136806"/>
    <w:rsid w:val="00144339"/>
    <w:rsid w:val="00167FF9"/>
    <w:rsid w:val="001921A8"/>
    <w:rsid w:val="001A149F"/>
    <w:rsid w:val="001A4025"/>
    <w:rsid w:val="001A4949"/>
    <w:rsid w:val="001A7E89"/>
    <w:rsid w:val="001B6F46"/>
    <w:rsid w:val="001B73FB"/>
    <w:rsid w:val="001B7BD4"/>
    <w:rsid w:val="001D6E8E"/>
    <w:rsid w:val="001E794C"/>
    <w:rsid w:val="0020270C"/>
    <w:rsid w:val="002120DC"/>
    <w:rsid w:val="00233D96"/>
    <w:rsid w:val="002406C2"/>
    <w:rsid w:val="0024592E"/>
    <w:rsid w:val="00251268"/>
    <w:rsid w:val="00253D67"/>
    <w:rsid w:val="00253FDA"/>
    <w:rsid w:val="00255835"/>
    <w:rsid w:val="00257D06"/>
    <w:rsid w:val="00267710"/>
    <w:rsid w:val="0028715E"/>
    <w:rsid w:val="0028720A"/>
    <w:rsid w:val="002944BE"/>
    <w:rsid w:val="002A6D25"/>
    <w:rsid w:val="002B3B0E"/>
    <w:rsid w:val="002C1738"/>
    <w:rsid w:val="002C211B"/>
    <w:rsid w:val="002C458A"/>
    <w:rsid w:val="002C4AB3"/>
    <w:rsid w:val="002C6810"/>
    <w:rsid w:val="002C6F56"/>
    <w:rsid w:val="002D114C"/>
    <w:rsid w:val="002D2C54"/>
    <w:rsid w:val="002D6481"/>
    <w:rsid w:val="002D7970"/>
    <w:rsid w:val="00306B1A"/>
    <w:rsid w:val="00311B3C"/>
    <w:rsid w:val="00317512"/>
    <w:rsid w:val="00325317"/>
    <w:rsid w:val="003371AE"/>
    <w:rsid w:val="0034609A"/>
    <w:rsid w:val="00346165"/>
    <w:rsid w:val="00352862"/>
    <w:rsid w:val="00371982"/>
    <w:rsid w:val="003878BE"/>
    <w:rsid w:val="00393AC0"/>
    <w:rsid w:val="00396604"/>
    <w:rsid w:val="003A6845"/>
    <w:rsid w:val="003B1525"/>
    <w:rsid w:val="003B2115"/>
    <w:rsid w:val="003C56BA"/>
    <w:rsid w:val="003D0DDA"/>
    <w:rsid w:val="003E4F7E"/>
    <w:rsid w:val="003F4A03"/>
    <w:rsid w:val="004014EB"/>
    <w:rsid w:val="00404F9B"/>
    <w:rsid w:val="0042777B"/>
    <w:rsid w:val="00442661"/>
    <w:rsid w:val="00445E9E"/>
    <w:rsid w:val="00450BA5"/>
    <w:rsid w:val="004624AE"/>
    <w:rsid w:val="00466008"/>
    <w:rsid w:val="004718A2"/>
    <w:rsid w:val="00484856"/>
    <w:rsid w:val="00491FDE"/>
    <w:rsid w:val="004A33FD"/>
    <w:rsid w:val="004A6F30"/>
    <w:rsid w:val="004B520C"/>
    <w:rsid w:val="004C2558"/>
    <w:rsid w:val="004C552F"/>
    <w:rsid w:val="004E0A64"/>
    <w:rsid w:val="004F21B0"/>
    <w:rsid w:val="00517695"/>
    <w:rsid w:val="00524563"/>
    <w:rsid w:val="005409FC"/>
    <w:rsid w:val="0054104F"/>
    <w:rsid w:val="0054641C"/>
    <w:rsid w:val="005614DE"/>
    <w:rsid w:val="00561791"/>
    <w:rsid w:val="00561948"/>
    <w:rsid w:val="00570878"/>
    <w:rsid w:val="0058260F"/>
    <w:rsid w:val="005857C1"/>
    <w:rsid w:val="005A3969"/>
    <w:rsid w:val="005A7594"/>
    <w:rsid w:val="005B611F"/>
    <w:rsid w:val="005C1D5E"/>
    <w:rsid w:val="005C7FFE"/>
    <w:rsid w:val="005D4A23"/>
    <w:rsid w:val="005F07A1"/>
    <w:rsid w:val="005F0BF2"/>
    <w:rsid w:val="005F2E85"/>
    <w:rsid w:val="005F7C57"/>
    <w:rsid w:val="00602015"/>
    <w:rsid w:val="006023E0"/>
    <w:rsid w:val="006113C7"/>
    <w:rsid w:val="0063317C"/>
    <w:rsid w:val="006534B2"/>
    <w:rsid w:val="006614B0"/>
    <w:rsid w:val="00665224"/>
    <w:rsid w:val="00670F46"/>
    <w:rsid w:val="00675262"/>
    <w:rsid w:val="00677A9F"/>
    <w:rsid w:val="00681440"/>
    <w:rsid w:val="0068234B"/>
    <w:rsid w:val="006903F9"/>
    <w:rsid w:val="006918B1"/>
    <w:rsid w:val="006B260A"/>
    <w:rsid w:val="006C2241"/>
    <w:rsid w:val="006D2C5A"/>
    <w:rsid w:val="006D6DB9"/>
    <w:rsid w:val="006D7756"/>
    <w:rsid w:val="006F4763"/>
    <w:rsid w:val="007200F1"/>
    <w:rsid w:val="00741D94"/>
    <w:rsid w:val="00742D2A"/>
    <w:rsid w:val="0074391B"/>
    <w:rsid w:val="00747CCF"/>
    <w:rsid w:val="0075282E"/>
    <w:rsid w:val="0075522C"/>
    <w:rsid w:val="0076662F"/>
    <w:rsid w:val="007673C8"/>
    <w:rsid w:val="00773349"/>
    <w:rsid w:val="007759DC"/>
    <w:rsid w:val="00790874"/>
    <w:rsid w:val="00793558"/>
    <w:rsid w:val="007956C3"/>
    <w:rsid w:val="007B4BA0"/>
    <w:rsid w:val="007B5C8F"/>
    <w:rsid w:val="007C0A9F"/>
    <w:rsid w:val="007C1094"/>
    <w:rsid w:val="007C30A0"/>
    <w:rsid w:val="007E224B"/>
    <w:rsid w:val="007E2FE2"/>
    <w:rsid w:val="007F31A8"/>
    <w:rsid w:val="0080351F"/>
    <w:rsid w:val="00803F5D"/>
    <w:rsid w:val="00806FAE"/>
    <w:rsid w:val="00822895"/>
    <w:rsid w:val="00843F36"/>
    <w:rsid w:val="00847F0D"/>
    <w:rsid w:val="008602E5"/>
    <w:rsid w:val="00860E36"/>
    <w:rsid w:val="00870D99"/>
    <w:rsid w:val="00875822"/>
    <w:rsid w:val="00882F66"/>
    <w:rsid w:val="008A3433"/>
    <w:rsid w:val="008B1755"/>
    <w:rsid w:val="008B2A0D"/>
    <w:rsid w:val="008B50C1"/>
    <w:rsid w:val="008C2075"/>
    <w:rsid w:val="008C6090"/>
    <w:rsid w:val="008E354E"/>
    <w:rsid w:val="008E378E"/>
    <w:rsid w:val="008E457C"/>
    <w:rsid w:val="008E5D3C"/>
    <w:rsid w:val="008E6127"/>
    <w:rsid w:val="008E668D"/>
    <w:rsid w:val="00921BCB"/>
    <w:rsid w:val="00922262"/>
    <w:rsid w:val="00930CA4"/>
    <w:rsid w:val="009337E1"/>
    <w:rsid w:val="0094564A"/>
    <w:rsid w:val="00957068"/>
    <w:rsid w:val="009640FB"/>
    <w:rsid w:val="00970E86"/>
    <w:rsid w:val="009814F4"/>
    <w:rsid w:val="0098413D"/>
    <w:rsid w:val="009879F7"/>
    <w:rsid w:val="009A1D3C"/>
    <w:rsid w:val="009A37EF"/>
    <w:rsid w:val="009A42AD"/>
    <w:rsid w:val="009A5187"/>
    <w:rsid w:val="009C63B0"/>
    <w:rsid w:val="009E0146"/>
    <w:rsid w:val="009E5B29"/>
    <w:rsid w:val="009E633E"/>
    <w:rsid w:val="009F0644"/>
    <w:rsid w:val="009F13F5"/>
    <w:rsid w:val="00A00B41"/>
    <w:rsid w:val="00A05555"/>
    <w:rsid w:val="00A0637E"/>
    <w:rsid w:val="00A15471"/>
    <w:rsid w:val="00A27BAB"/>
    <w:rsid w:val="00A547F8"/>
    <w:rsid w:val="00A665BD"/>
    <w:rsid w:val="00A82B21"/>
    <w:rsid w:val="00AA1FF8"/>
    <w:rsid w:val="00AA21DA"/>
    <w:rsid w:val="00AB0A7A"/>
    <w:rsid w:val="00AB0E2A"/>
    <w:rsid w:val="00AB447B"/>
    <w:rsid w:val="00AB6661"/>
    <w:rsid w:val="00AC0CD6"/>
    <w:rsid w:val="00AC404A"/>
    <w:rsid w:val="00AD252A"/>
    <w:rsid w:val="00AE0C38"/>
    <w:rsid w:val="00AE49BF"/>
    <w:rsid w:val="00AE53F4"/>
    <w:rsid w:val="00AF088E"/>
    <w:rsid w:val="00AF21F7"/>
    <w:rsid w:val="00AF4073"/>
    <w:rsid w:val="00AF4E60"/>
    <w:rsid w:val="00B078F1"/>
    <w:rsid w:val="00B1117C"/>
    <w:rsid w:val="00B2215D"/>
    <w:rsid w:val="00B238C3"/>
    <w:rsid w:val="00B27953"/>
    <w:rsid w:val="00B56022"/>
    <w:rsid w:val="00B62A62"/>
    <w:rsid w:val="00B660BB"/>
    <w:rsid w:val="00B74B45"/>
    <w:rsid w:val="00B75D6A"/>
    <w:rsid w:val="00B7652F"/>
    <w:rsid w:val="00B86A93"/>
    <w:rsid w:val="00B87CA5"/>
    <w:rsid w:val="00B97D16"/>
    <w:rsid w:val="00BA33F9"/>
    <w:rsid w:val="00BA6045"/>
    <w:rsid w:val="00BB4E95"/>
    <w:rsid w:val="00BD31D3"/>
    <w:rsid w:val="00BD41EE"/>
    <w:rsid w:val="00BE220A"/>
    <w:rsid w:val="00BE647E"/>
    <w:rsid w:val="00BF3F14"/>
    <w:rsid w:val="00C04E8D"/>
    <w:rsid w:val="00C138BE"/>
    <w:rsid w:val="00C173F5"/>
    <w:rsid w:val="00C226C5"/>
    <w:rsid w:val="00C25D41"/>
    <w:rsid w:val="00C364F6"/>
    <w:rsid w:val="00C50F7F"/>
    <w:rsid w:val="00C54AF3"/>
    <w:rsid w:val="00C607F5"/>
    <w:rsid w:val="00C666B1"/>
    <w:rsid w:val="00C7190C"/>
    <w:rsid w:val="00C80BF1"/>
    <w:rsid w:val="00C81146"/>
    <w:rsid w:val="00C85427"/>
    <w:rsid w:val="00C93326"/>
    <w:rsid w:val="00CA1ECB"/>
    <w:rsid w:val="00CC32B3"/>
    <w:rsid w:val="00CC51E3"/>
    <w:rsid w:val="00CE2B33"/>
    <w:rsid w:val="00CE6491"/>
    <w:rsid w:val="00CF09E8"/>
    <w:rsid w:val="00D00129"/>
    <w:rsid w:val="00D01B42"/>
    <w:rsid w:val="00D07A55"/>
    <w:rsid w:val="00D1058C"/>
    <w:rsid w:val="00D15B56"/>
    <w:rsid w:val="00D32896"/>
    <w:rsid w:val="00D40D11"/>
    <w:rsid w:val="00D453D4"/>
    <w:rsid w:val="00D47656"/>
    <w:rsid w:val="00D5701A"/>
    <w:rsid w:val="00D64C48"/>
    <w:rsid w:val="00D64F7C"/>
    <w:rsid w:val="00D77FA0"/>
    <w:rsid w:val="00D94267"/>
    <w:rsid w:val="00D948FE"/>
    <w:rsid w:val="00D968D5"/>
    <w:rsid w:val="00DA05E8"/>
    <w:rsid w:val="00DA25AC"/>
    <w:rsid w:val="00DA2964"/>
    <w:rsid w:val="00DA3F7B"/>
    <w:rsid w:val="00DA6AD8"/>
    <w:rsid w:val="00DB29FB"/>
    <w:rsid w:val="00DB577D"/>
    <w:rsid w:val="00DC0AA1"/>
    <w:rsid w:val="00DC21DB"/>
    <w:rsid w:val="00DC3664"/>
    <w:rsid w:val="00DD31D2"/>
    <w:rsid w:val="00DE2E88"/>
    <w:rsid w:val="00DE4CF5"/>
    <w:rsid w:val="00DF2A8F"/>
    <w:rsid w:val="00E01DB6"/>
    <w:rsid w:val="00E12162"/>
    <w:rsid w:val="00E15193"/>
    <w:rsid w:val="00E21154"/>
    <w:rsid w:val="00E367F3"/>
    <w:rsid w:val="00E409E7"/>
    <w:rsid w:val="00E42238"/>
    <w:rsid w:val="00E55D2E"/>
    <w:rsid w:val="00E573F0"/>
    <w:rsid w:val="00E71120"/>
    <w:rsid w:val="00E718C9"/>
    <w:rsid w:val="00E763F3"/>
    <w:rsid w:val="00E861E4"/>
    <w:rsid w:val="00E92DC3"/>
    <w:rsid w:val="00E95762"/>
    <w:rsid w:val="00EA2CF6"/>
    <w:rsid w:val="00EB07B1"/>
    <w:rsid w:val="00EC570C"/>
    <w:rsid w:val="00ED3D1E"/>
    <w:rsid w:val="00ED4DA8"/>
    <w:rsid w:val="00EE05C7"/>
    <w:rsid w:val="00EE096F"/>
    <w:rsid w:val="00EF24D2"/>
    <w:rsid w:val="00EF5BAF"/>
    <w:rsid w:val="00F11ED8"/>
    <w:rsid w:val="00F20B88"/>
    <w:rsid w:val="00F20C3E"/>
    <w:rsid w:val="00F42B71"/>
    <w:rsid w:val="00F466BF"/>
    <w:rsid w:val="00F5761D"/>
    <w:rsid w:val="00F87058"/>
    <w:rsid w:val="00F97E6F"/>
    <w:rsid w:val="00FB6FCF"/>
    <w:rsid w:val="00FC542D"/>
    <w:rsid w:val="00FD6AF7"/>
    <w:rsid w:val="00FE552D"/>
    <w:rsid w:val="00FF30C1"/>
    <w:rsid w:val="07E52F98"/>
    <w:rsid w:val="0B7F61AB"/>
    <w:rsid w:val="0D0B5B12"/>
    <w:rsid w:val="2144119B"/>
    <w:rsid w:val="24A274D3"/>
    <w:rsid w:val="2FFF196A"/>
    <w:rsid w:val="37FD1885"/>
    <w:rsid w:val="6B566AE1"/>
    <w:rsid w:val="73379899"/>
    <w:rsid w:val="77DEA7A1"/>
    <w:rsid w:val="797FBD85"/>
    <w:rsid w:val="7CE72187"/>
    <w:rsid w:val="7DF5DE28"/>
    <w:rsid w:val="7E7F5F5D"/>
    <w:rsid w:val="7F8E0B35"/>
    <w:rsid w:val="9F5F991D"/>
    <w:rsid w:val="BDF73714"/>
    <w:rsid w:val="BFF93781"/>
    <w:rsid w:val="BFFE31CB"/>
    <w:rsid w:val="CFEEBE7B"/>
    <w:rsid w:val="D94F4033"/>
    <w:rsid w:val="E5DFCB33"/>
    <w:rsid w:val="E9AF037F"/>
    <w:rsid w:val="F7D83BA6"/>
    <w:rsid w:val="F7FFAE54"/>
    <w:rsid w:val="FCEF27FF"/>
    <w:rsid w:val="FFD3E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1"/>
    <w:link w:val="23"/>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4"/>
    <w:unhideWhenUsed/>
    <w:qFormat/>
    <w:uiPriority w:val="99"/>
    <w:pPr>
      <w:jc w:val="left"/>
    </w:pPr>
  </w:style>
  <w:style w:type="paragraph" w:styleId="6">
    <w:name w:val="Body Text"/>
    <w:basedOn w:val="1"/>
    <w:link w:val="25"/>
    <w:unhideWhenUsed/>
    <w:qFormat/>
    <w:uiPriority w:val="99"/>
    <w:pPr>
      <w:spacing w:after="120"/>
    </w:pPr>
    <w:rPr>
      <w:rFonts w:ascii="Times New Roman" w:hAnsi="Times New Roman"/>
      <w:szCs w:val="24"/>
    </w:rPr>
  </w:style>
  <w:style w:type="paragraph" w:styleId="7">
    <w:name w:val="toc 3"/>
    <w:basedOn w:val="1"/>
    <w:next w:val="1"/>
    <w:unhideWhenUsed/>
    <w:qFormat/>
    <w:uiPriority w:val="39"/>
    <w:pPr>
      <w:ind w:left="840" w:leftChars="400"/>
    </w:pPr>
  </w:style>
  <w:style w:type="paragraph" w:styleId="8">
    <w:name w:val="Plain Text"/>
    <w:basedOn w:val="1"/>
    <w:link w:val="26"/>
    <w:qFormat/>
    <w:uiPriority w:val="0"/>
    <w:rPr>
      <w:rFonts w:ascii="宋体" w:hAnsi="Courier New"/>
    </w:rPr>
  </w:style>
  <w:style w:type="paragraph" w:styleId="9">
    <w:name w:val="Balloon Text"/>
    <w:basedOn w:val="1"/>
    <w:link w:val="27"/>
    <w:unhideWhenUsed/>
    <w:qFormat/>
    <w:uiPriority w:val="99"/>
    <w:rPr>
      <w:sz w:val="18"/>
      <w:szCs w:val="18"/>
    </w:rPr>
  </w:style>
  <w:style w:type="paragraph" w:styleId="10">
    <w:name w:val="footer"/>
    <w:basedOn w:val="1"/>
    <w:link w:val="28"/>
    <w:unhideWhenUsed/>
    <w:qFormat/>
    <w:uiPriority w:val="99"/>
    <w:pPr>
      <w:tabs>
        <w:tab w:val="center" w:pos="4153"/>
        <w:tab w:val="right" w:pos="8306"/>
      </w:tabs>
      <w:snapToGrid w:val="0"/>
      <w:jc w:val="left"/>
    </w:pPr>
    <w:rPr>
      <w:sz w:val="18"/>
      <w:szCs w:val="18"/>
    </w:rPr>
  </w:style>
  <w:style w:type="paragraph" w:styleId="11">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Title"/>
    <w:basedOn w:val="1"/>
    <w:next w:val="1"/>
    <w:link w:val="30"/>
    <w:qFormat/>
    <w:uiPriority w:val="10"/>
    <w:pPr>
      <w:spacing w:before="240" w:after="60"/>
      <w:jc w:val="center"/>
      <w:outlineLvl w:val="0"/>
    </w:pPr>
    <w:rPr>
      <w:rFonts w:ascii="Cambria" w:hAnsi="Cambria"/>
      <w:b/>
      <w:bCs/>
      <w:sz w:val="32"/>
      <w:szCs w:val="32"/>
    </w:rPr>
  </w:style>
  <w:style w:type="paragraph" w:styleId="14">
    <w:name w:val="annotation subject"/>
    <w:basedOn w:val="5"/>
    <w:next w:val="5"/>
    <w:link w:val="31"/>
    <w:unhideWhenUsed/>
    <w:qFormat/>
    <w:uiPriority w:val="99"/>
    <w:rPr>
      <w:b/>
      <w:bCs/>
    </w:rPr>
  </w:style>
  <w:style w:type="table" w:styleId="16">
    <w:name w:val="Table Grid"/>
    <w:basedOn w:val="15"/>
    <w:qFormat/>
    <w:uiPriority w:val="59"/>
    <w:rPr>
      <w:rFonts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8">
    <w:name w:val="Emphasis"/>
    <w:qFormat/>
    <w:uiPriority w:val="20"/>
    <w:rPr>
      <w:i/>
      <w:iCs/>
    </w:rPr>
  </w:style>
  <w:style w:type="character" w:styleId="19">
    <w:name w:val="Hyperlink"/>
    <w:unhideWhenUsed/>
    <w:qFormat/>
    <w:uiPriority w:val="99"/>
    <w:rPr>
      <w:color w:val="0000FF"/>
      <w:u w:val="single"/>
    </w:rPr>
  </w:style>
  <w:style w:type="character" w:styleId="20">
    <w:name w:val="annotation reference"/>
    <w:unhideWhenUsed/>
    <w:qFormat/>
    <w:uiPriority w:val="99"/>
    <w:rPr>
      <w:sz w:val="21"/>
      <w:szCs w:val="21"/>
    </w:rPr>
  </w:style>
  <w:style w:type="character" w:customStyle="1" w:styleId="21">
    <w:name w:val="标题 1 Char"/>
    <w:link w:val="2"/>
    <w:qFormat/>
    <w:uiPriority w:val="9"/>
    <w:rPr>
      <w:b/>
      <w:bCs/>
      <w:kern w:val="44"/>
      <w:sz w:val="44"/>
      <w:szCs w:val="44"/>
    </w:rPr>
  </w:style>
  <w:style w:type="character" w:customStyle="1" w:styleId="22">
    <w:name w:val="标题 2 Char"/>
    <w:link w:val="3"/>
    <w:qFormat/>
    <w:uiPriority w:val="9"/>
    <w:rPr>
      <w:rFonts w:ascii="Cambria" w:hAnsi="Cambria" w:eastAsia="宋体" w:cs="Times New Roman"/>
      <w:b/>
      <w:bCs/>
      <w:sz w:val="32"/>
      <w:szCs w:val="32"/>
    </w:rPr>
  </w:style>
  <w:style w:type="character" w:customStyle="1" w:styleId="23">
    <w:name w:val="标题 3 Char"/>
    <w:link w:val="4"/>
    <w:qFormat/>
    <w:uiPriority w:val="9"/>
    <w:rPr>
      <w:b/>
      <w:bCs/>
      <w:sz w:val="32"/>
      <w:szCs w:val="32"/>
    </w:rPr>
  </w:style>
  <w:style w:type="character" w:customStyle="1" w:styleId="24">
    <w:name w:val="批注文字 Char"/>
    <w:link w:val="5"/>
    <w:semiHidden/>
    <w:qFormat/>
    <w:uiPriority w:val="99"/>
  </w:style>
  <w:style w:type="character" w:customStyle="1" w:styleId="25">
    <w:name w:val="正文文本 Char"/>
    <w:link w:val="6"/>
    <w:semiHidden/>
    <w:qFormat/>
    <w:uiPriority w:val="99"/>
    <w:rPr>
      <w:rFonts w:ascii="Times New Roman" w:hAnsi="Times New Roman" w:eastAsia="宋体" w:cs="Times New Roman"/>
      <w:szCs w:val="24"/>
    </w:rPr>
  </w:style>
  <w:style w:type="character" w:customStyle="1" w:styleId="26">
    <w:name w:val="纯文本 Char"/>
    <w:link w:val="8"/>
    <w:qFormat/>
    <w:locked/>
    <w:uiPriority w:val="0"/>
    <w:rPr>
      <w:rFonts w:ascii="宋体" w:hAnsi="Courier New"/>
    </w:rPr>
  </w:style>
  <w:style w:type="character" w:customStyle="1" w:styleId="27">
    <w:name w:val="批注框文本 Char"/>
    <w:link w:val="9"/>
    <w:semiHidden/>
    <w:qFormat/>
    <w:uiPriority w:val="99"/>
    <w:rPr>
      <w:sz w:val="18"/>
      <w:szCs w:val="18"/>
    </w:rPr>
  </w:style>
  <w:style w:type="character" w:customStyle="1" w:styleId="28">
    <w:name w:val="页脚 Char"/>
    <w:link w:val="10"/>
    <w:qFormat/>
    <w:uiPriority w:val="99"/>
    <w:rPr>
      <w:sz w:val="18"/>
      <w:szCs w:val="18"/>
    </w:rPr>
  </w:style>
  <w:style w:type="character" w:customStyle="1" w:styleId="29">
    <w:name w:val="页眉 Char"/>
    <w:link w:val="11"/>
    <w:qFormat/>
    <w:uiPriority w:val="99"/>
    <w:rPr>
      <w:sz w:val="18"/>
      <w:szCs w:val="18"/>
    </w:rPr>
  </w:style>
  <w:style w:type="character" w:customStyle="1" w:styleId="30">
    <w:name w:val="标题 Char"/>
    <w:link w:val="13"/>
    <w:qFormat/>
    <w:uiPriority w:val="10"/>
    <w:rPr>
      <w:rFonts w:ascii="Cambria" w:hAnsi="Cambria" w:eastAsia="宋体" w:cs="Times New Roman"/>
      <w:b/>
      <w:bCs/>
      <w:sz w:val="32"/>
      <w:szCs w:val="32"/>
    </w:rPr>
  </w:style>
  <w:style w:type="character" w:customStyle="1" w:styleId="31">
    <w:name w:val="批注主题 Char"/>
    <w:link w:val="14"/>
    <w:semiHidden/>
    <w:qFormat/>
    <w:uiPriority w:val="99"/>
    <w:rPr>
      <w:b/>
      <w:bCs/>
    </w:rPr>
  </w:style>
  <w:style w:type="character" w:customStyle="1" w:styleId="32">
    <w:name w:val="纯文本 Char1"/>
    <w:semiHidden/>
    <w:qFormat/>
    <w:uiPriority w:val="99"/>
    <w:rPr>
      <w:rFonts w:ascii="宋体" w:hAnsi="Courier New" w:eastAsia="宋体" w:cs="Courier New"/>
      <w:szCs w:val="21"/>
    </w:rPr>
  </w:style>
  <w:style w:type="paragraph" w:customStyle="1" w:styleId="33">
    <w:name w:val="列表段落"/>
    <w:basedOn w:val="1"/>
    <w:qFormat/>
    <w:uiPriority w:val="34"/>
    <w:pPr>
      <w:ind w:firstLine="420" w:firstLineChars="200"/>
    </w:pPr>
    <w:rPr>
      <w:rFonts w:ascii="Times New Roman" w:hAnsi="Times New Roman"/>
      <w:szCs w:val="24"/>
    </w:rPr>
  </w:style>
  <w:style w:type="paragraph" w:customStyle="1" w:styleId="34">
    <w:name w:val="TOC 标题1"/>
    <w:basedOn w:val="2"/>
    <w:next w:val="1"/>
    <w:unhideWhenUsed/>
    <w:qFormat/>
    <w:uiPriority w:val="39"/>
    <w:pPr>
      <w:widowControl/>
      <w:spacing w:before="240" w:after="0" w:line="259" w:lineRule="auto"/>
      <w:jc w:val="left"/>
      <w:outlineLvl w:val="9"/>
    </w:pPr>
    <w:rPr>
      <w:rFonts w:ascii="Cambria" w:hAnsi="Cambria"/>
      <w:b w:val="0"/>
      <w:bCs w:val="0"/>
      <w:color w:val="365F91"/>
      <w:kern w:val="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308</Words>
  <Characters>1761</Characters>
  <Lines>14</Lines>
  <Paragraphs>4</Paragraphs>
  <TotalTime>8</TotalTime>
  <ScaleCrop>false</ScaleCrop>
  <LinksUpToDate>false</LinksUpToDate>
  <CharactersWithSpaces>2065</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2026-02-04T13:35:00Z</dcterms:created>
  <dc:creator>qianqy</dc:creator>
  <cp:lastModifiedBy>user</cp:lastModifiedBy>
  <cp:lastPrinted>2025-02-27T14:12:00Z</cp:lastPrinted>
  <dcterms:modified xsi:type="dcterms:W3CDTF">2026-03-12T09:05:36Z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A72BB2BCE5A7F44AED65AF6910631104_43</vt:lpwstr>
  </property>
</Properties>
</file>