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175284">
      <w:pPr>
        <w:spacing w:line="360" w:lineRule="auto"/>
        <w:jc w:val="center"/>
        <w:rPr>
          <w:rFonts w:ascii="黑体" w:hAnsi="黑体" w:eastAsia="黑体" w:cs="黑体"/>
          <w:sz w:val="36"/>
          <w:szCs w:val="36"/>
        </w:rPr>
      </w:pPr>
      <w:r>
        <w:rPr>
          <w:rFonts w:hint="eastAsia" w:ascii="黑体" w:hAnsi="黑体" w:eastAsia="黑体" w:cs="黑体"/>
          <w:sz w:val="36"/>
          <w:szCs w:val="36"/>
        </w:rPr>
        <w:t>上海市青少年科创体验中心</w:t>
      </w:r>
    </w:p>
    <w:p w14:paraId="282DB5A3">
      <w:pPr>
        <w:spacing w:line="360" w:lineRule="auto"/>
        <w:jc w:val="center"/>
        <w:rPr>
          <w:rFonts w:ascii="黑体" w:hAnsi="黑体" w:eastAsia="黑体" w:cs="黑体"/>
          <w:sz w:val="36"/>
          <w:szCs w:val="36"/>
        </w:rPr>
      </w:pPr>
      <w:r>
        <w:rPr>
          <w:rFonts w:hint="eastAsia" w:ascii="黑体" w:hAnsi="黑体" w:eastAsia="黑体" w:cs="黑体"/>
          <w:sz w:val="36"/>
          <w:szCs w:val="36"/>
        </w:rPr>
        <w:t>物业试运行管理方案</w:t>
      </w:r>
    </w:p>
    <w:p w14:paraId="3C655D61">
      <w:pPr>
        <w:spacing w:line="360" w:lineRule="auto"/>
        <w:jc w:val="center"/>
        <w:rPr>
          <w:rFonts w:ascii="宋体" w:hAnsi="宋体"/>
          <w:sz w:val="24"/>
        </w:rPr>
      </w:pPr>
      <w:r>
        <w:rPr>
          <w:rFonts w:hint="eastAsia" w:ascii="宋体" w:hAnsi="宋体"/>
          <w:sz w:val="28"/>
          <w:szCs w:val="28"/>
        </w:rPr>
        <w:t>第一章 总则</w:t>
      </w:r>
    </w:p>
    <w:p w14:paraId="6F9C1C51">
      <w:pPr>
        <w:spacing w:line="360" w:lineRule="auto"/>
        <w:rPr>
          <w:rFonts w:ascii="宋体" w:hAnsi="宋体"/>
          <w:b/>
          <w:bCs/>
          <w:sz w:val="24"/>
        </w:rPr>
      </w:pPr>
      <w:r>
        <w:rPr>
          <w:rFonts w:hint="eastAsia" w:ascii="宋体" w:hAnsi="宋体"/>
          <w:b/>
          <w:bCs/>
          <w:sz w:val="24"/>
        </w:rPr>
        <w:t>1.1项目概况</w:t>
      </w:r>
    </w:p>
    <w:p w14:paraId="1F87E747">
      <w:pPr>
        <w:spacing w:line="360" w:lineRule="auto"/>
        <w:ind w:firstLine="480" w:firstLineChars="200"/>
        <w:rPr>
          <w:rFonts w:ascii="宋体" w:hAnsi="宋体"/>
          <w:sz w:val="24"/>
        </w:rPr>
      </w:pPr>
      <w:r>
        <w:rPr>
          <w:rFonts w:hint="eastAsia" w:ascii="宋体" w:hAnsi="宋体"/>
          <w:sz w:val="24"/>
        </w:rPr>
        <w:t>上海市青少年科创体验中心，总建筑面积23117㎡，地上5层、地下2层；地上建筑面积14376㎡，地下建筑面积8741㎡；馆外配套面积4232.55㎡。场馆包含开放体验空间、智慧学习空间、创智空间、7个交叉学科联合实验室、江景讲堂、地下一层科技赛场、B1临展区、配套办公、餐厅等功能区域。</w:t>
      </w:r>
    </w:p>
    <w:p w14:paraId="1BF1F705">
      <w:pPr>
        <w:spacing w:line="360" w:lineRule="auto"/>
        <w:ind w:firstLine="480" w:firstLineChars="200"/>
        <w:rPr>
          <w:rFonts w:ascii="宋体" w:hAnsi="宋体"/>
          <w:sz w:val="24"/>
        </w:rPr>
      </w:pPr>
      <w:r>
        <w:rPr>
          <w:rFonts w:hint="eastAsia" w:ascii="宋体" w:hAnsi="宋体"/>
          <w:sz w:val="24"/>
        </w:rPr>
        <w:t>本项目定位为青少年科创人才贯通式培育平台，年接待人次50万以上，服务兴趣启蒙、个性探索、创新创造阶段青少年及教师群体，常态化开展课程、科技原创赛事、国际交流活动、江景讲堂、限时特展（临展）等各类大型活动。</w:t>
      </w:r>
    </w:p>
    <w:p w14:paraId="7362B259">
      <w:pPr>
        <w:spacing w:line="360" w:lineRule="auto"/>
        <w:ind w:firstLine="480" w:firstLineChars="200"/>
        <w:rPr>
          <w:rFonts w:ascii="宋体" w:hAnsi="宋体"/>
          <w:sz w:val="24"/>
        </w:rPr>
      </w:pPr>
      <w:r>
        <w:rPr>
          <w:rFonts w:hint="eastAsia" w:ascii="宋体" w:hAnsi="宋体"/>
          <w:sz w:val="24"/>
        </w:rPr>
        <w:t>本物业运行管理严格执行“市科艺中心直线管理+第三方专业物业管理团队实施”模式。市科艺中心负责教育内容建设及实施、综合管理、宣传推广，统筹场馆整体业务；物业外包单位承担参观服务、就餐管理与服务、赛场管理、建筑设施设备维护、秩序维护、场馆保洁易耗品及垃圾清运、绿化养护和租赁、玻璃幕墙及外墙清洗等场馆日常运行保障工作。</w:t>
      </w:r>
    </w:p>
    <w:p w14:paraId="040D27C8">
      <w:pPr>
        <w:spacing w:line="360" w:lineRule="auto"/>
        <w:rPr>
          <w:rFonts w:ascii="宋体" w:hAnsi="宋体"/>
          <w:sz w:val="24"/>
        </w:rPr>
      </w:pPr>
      <w:r>
        <w:rPr>
          <w:rFonts w:hint="eastAsia" w:ascii="宋体" w:hAnsi="宋体"/>
          <w:sz w:val="24"/>
        </w:rPr>
        <w:t xml:space="preserve">    交叉学科联合实验室内部专业科研教学设备、实践及展示体验设备、信息系统运维，不属于物业服务范围，由专项驻场工程师、信息化服务商负责；物业仅负责实验室公共区域安保、保洁、建筑机电巡检保障；交叉学科联合实验室运行工作由市科艺中心与合作单位联合管理。</w:t>
      </w:r>
    </w:p>
    <w:p w14:paraId="56D33A08">
      <w:pPr>
        <w:spacing w:line="360" w:lineRule="auto"/>
        <w:rPr>
          <w:rFonts w:ascii="宋体" w:hAnsi="宋体"/>
          <w:b/>
          <w:bCs/>
          <w:sz w:val="24"/>
        </w:rPr>
      </w:pPr>
      <w:r>
        <w:rPr>
          <w:rFonts w:hint="eastAsia" w:ascii="宋体" w:hAnsi="宋体"/>
          <w:b/>
          <w:bCs/>
          <w:sz w:val="24"/>
        </w:rPr>
        <w:t>1.2管理目标</w:t>
      </w:r>
    </w:p>
    <w:p w14:paraId="0C4F462C">
      <w:pPr>
        <w:spacing w:line="360" w:lineRule="auto"/>
        <w:ind w:left="720" w:hanging="720" w:hangingChars="300"/>
        <w:rPr>
          <w:rFonts w:ascii="宋体" w:hAnsi="宋体"/>
          <w:sz w:val="24"/>
        </w:rPr>
      </w:pPr>
      <w:r>
        <w:rPr>
          <w:rFonts w:hint="eastAsia" w:ascii="宋体" w:hAnsi="宋体"/>
          <w:sz w:val="24"/>
        </w:rPr>
        <w:t>1.2.1安全目标：落实安全生产管理责任，杜绝治安、消防、交通重大责任事故；突发事件100%响应处置，保障学生、教师、访客人员人身安全以及场馆建筑、展品、设施财产安全，适配青少年大客流场景，重点防范拥挤踩踏、意外伤害风险。</w:t>
      </w:r>
    </w:p>
    <w:p w14:paraId="4062E5A3">
      <w:pPr>
        <w:spacing w:line="360" w:lineRule="auto"/>
        <w:ind w:left="720" w:hanging="720" w:hangingChars="300"/>
        <w:rPr>
          <w:rFonts w:ascii="宋体" w:hAnsi="宋体"/>
          <w:sz w:val="24"/>
        </w:rPr>
      </w:pPr>
      <w:r>
        <w:rPr>
          <w:rFonts w:hint="eastAsia" w:ascii="宋体" w:hAnsi="宋体"/>
          <w:sz w:val="24"/>
        </w:rPr>
        <w:t>1.2.2服务目标：适配科创场馆多重业务场景（日常开放、课程教学、科创赛事、国际交流、贵宾接待、临展活动），保障教学、赛事、接待有序开展，提升青少年、教师、访客参观体验。</w:t>
      </w:r>
    </w:p>
    <w:p w14:paraId="54ED0AC9">
      <w:pPr>
        <w:spacing w:line="360" w:lineRule="auto"/>
        <w:ind w:left="720" w:hanging="720" w:hangingChars="300"/>
        <w:rPr>
          <w:rFonts w:ascii="宋体" w:hAnsi="宋体"/>
          <w:sz w:val="24"/>
        </w:rPr>
      </w:pPr>
      <w:r>
        <w:rPr>
          <w:rFonts w:hint="eastAsia" w:ascii="宋体" w:hAnsi="宋体"/>
          <w:sz w:val="24"/>
        </w:rPr>
        <w:t>1.2.3环境目标：馆内馆外环境整洁规范，垃圾分类落实到位；室内绿植租摆完好；按期完成玻璃幕墙及外墙清洗，满足市级科普教育场馆对外窗口形象标准。</w:t>
      </w:r>
    </w:p>
    <w:p w14:paraId="26C2476D">
      <w:pPr>
        <w:spacing w:line="360" w:lineRule="auto"/>
        <w:ind w:left="720" w:hanging="720" w:hangingChars="300"/>
        <w:rPr>
          <w:rFonts w:ascii="宋体" w:hAnsi="宋体"/>
          <w:sz w:val="24"/>
        </w:rPr>
      </w:pPr>
      <w:r>
        <w:rPr>
          <w:rFonts w:hint="eastAsia" w:ascii="宋体" w:hAnsi="宋体"/>
          <w:sz w:val="24"/>
        </w:rPr>
        <w:t>1.2.4运维目标：建筑本体、公共机电、消防安防等建筑设施常态化巡检，故障闭环处置；区分物业日常运维与第三方专业检测维保边界，做好对接协调、台账记录。</w:t>
      </w:r>
    </w:p>
    <w:p w14:paraId="0E25910E">
      <w:pPr>
        <w:spacing w:line="360" w:lineRule="auto"/>
        <w:ind w:left="720" w:hanging="720" w:hangingChars="300"/>
        <w:rPr>
          <w:rFonts w:ascii="宋体" w:hAnsi="宋体"/>
          <w:sz w:val="24"/>
        </w:rPr>
      </w:pPr>
      <w:r>
        <w:rPr>
          <w:rFonts w:hint="eastAsia" w:ascii="宋体" w:hAnsi="宋体"/>
          <w:sz w:val="24"/>
        </w:rPr>
        <w:t>1.2.5协同目标：建立与市科艺中心各业务部门、校外导师、合作单位、公安、消防、卫健等外部单位联动机制；完善台账记录、定期报送、考核整改闭环管理机制。</w:t>
      </w:r>
    </w:p>
    <w:p w14:paraId="08932F8D">
      <w:pPr>
        <w:spacing w:line="360" w:lineRule="auto"/>
        <w:rPr>
          <w:rFonts w:ascii="宋体" w:hAnsi="宋体"/>
          <w:b/>
          <w:bCs/>
          <w:sz w:val="24"/>
        </w:rPr>
      </w:pPr>
      <w:r>
        <w:rPr>
          <w:rFonts w:hint="eastAsia" w:ascii="宋体" w:hAnsi="宋体"/>
          <w:b/>
          <w:bCs/>
          <w:sz w:val="24"/>
        </w:rPr>
        <w:t>1.3服务周期</w:t>
      </w:r>
    </w:p>
    <w:p w14:paraId="02230309">
      <w:pPr>
        <w:spacing w:line="360" w:lineRule="auto"/>
        <w:ind w:firstLine="480" w:firstLineChars="200"/>
        <w:rPr>
          <w:rFonts w:ascii="宋体" w:hAnsi="宋体"/>
          <w:sz w:val="24"/>
        </w:rPr>
      </w:pPr>
      <w:r>
        <w:rPr>
          <w:rFonts w:hint="eastAsia" w:ascii="宋体" w:hAnsi="宋体"/>
          <w:sz w:val="24"/>
        </w:rPr>
        <w:t>自本项目场馆开馆准备之日起至开馆试运行阶段结束止，为场馆提供物业保障服务，服务周期</w:t>
      </w:r>
      <w:r>
        <w:rPr>
          <w:rFonts w:hint="eastAsia" w:ascii="宋体" w:hAnsi="宋体"/>
          <w:sz w:val="24"/>
          <w:lang w:eastAsia="zh-CN"/>
        </w:rPr>
        <w:t>为</w:t>
      </w:r>
      <w:r>
        <w:rPr>
          <w:rFonts w:hint="eastAsia" w:ascii="宋体" w:hAnsi="宋体"/>
          <w:sz w:val="24"/>
          <w:lang w:val="en-US" w:eastAsia="zh-CN"/>
        </w:rPr>
        <w:t>8个月（</w:t>
      </w:r>
      <w:r>
        <w:rPr>
          <w:rFonts w:hint="eastAsia" w:ascii="宋体" w:hAnsi="宋体"/>
          <w:sz w:val="24"/>
        </w:rPr>
        <w:t>覆盖开馆试运行周期</w:t>
      </w:r>
      <w:r>
        <w:rPr>
          <w:rFonts w:hint="eastAsia" w:ascii="宋体" w:hAnsi="宋体"/>
          <w:sz w:val="24"/>
          <w:lang w:val="en-US" w:eastAsia="zh-CN"/>
        </w:rPr>
        <w:t>）</w:t>
      </w:r>
      <w:r>
        <w:rPr>
          <w:rFonts w:hint="eastAsia" w:ascii="宋体" w:hAnsi="宋体"/>
          <w:sz w:val="24"/>
        </w:rPr>
        <w:t>。开馆试运行的起始时间以业主方发出的书面指令为准。</w:t>
      </w:r>
    </w:p>
    <w:p w14:paraId="359A496C">
      <w:pPr>
        <w:spacing w:line="360" w:lineRule="auto"/>
        <w:rPr>
          <w:rFonts w:ascii="宋体" w:hAnsi="宋体"/>
          <w:b/>
          <w:bCs/>
          <w:sz w:val="24"/>
        </w:rPr>
      </w:pPr>
      <w:r>
        <w:rPr>
          <w:rFonts w:hint="eastAsia" w:ascii="宋体" w:hAnsi="宋体"/>
          <w:b/>
          <w:bCs/>
          <w:sz w:val="24"/>
        </w:rPr>
        <w:t>1.4适用范围</w:t>
      </w:r>
    </w:p>
    <w:p w14:paraId="72DE4F81">
      <w:pPr>
        <w:spacing w:line="360" w:lineRule="auto"/>
        <w:ind w:firstLine="480" w:firstLineChars="200"/>
        <w:rPr>
          <w:rFonts w:ascii="宋体" w:hAnsi="宋体"/>
          <w:sz w:val="24"/>
        </w:rPr>
      </w:pPr>
      <w:r>
        <w:rPr>
          <w:rFonts w:hint="eastAsia" w:ascii="宋体" w:hAnsi="宋体"/>
          <w:sz w:val="24"/>
        </w:rPr>
        <w:t>本方案适用红线范围内全部区域：馆内地上、地下全部公共区域、功能用房、科技赛场、江景讲堂、临展区、实验室公共配套区域；红线范围内广场、室外场地、停车场。</w:t>
      </w:r>
    </w:p>
    <w:p w14:paraId="737C5889">
      <w:pPr>
        <w:spacing w:line="360" w:lineRule="auto"/>
        <w:rPr>
          <w:rFonts w:ascii="宋体" w:hAnsi="宋体"/>
          <w:sz w:val="24"/>
        </w:rPr>
      </w:pPr>
      <w:r>
        <w:rPr>
          <w:rFonts w:hint="eastAsia" w:ascii="宋体" w:hAnsi="宋体"/>
          <w:b/>
          <w:bCs/>
          <w:sz w:val="24"/>
        </w:rPr>
        <w:t>特别提示：</w:t>
      </w:r>
      <w:r>
        <w:rPr>
          <w:rFonts w:hint="eastAsia" w:ascii="宋体" w:hAnsi="宋体"/>
          <w:sz w:val="24"/>
        </w:rPr>
        <w:t>1.遵循“谁所有谁管理、谁使用谁负责”的原则，同时以“合同划分”为最终依据。双方需在《物业服务合同》或《物业管理界面划分协议》中明确权责边界，对交叉区域（如共用通道、共用管线接口）的维护责任进行明确约定。2.交叉学科联合实验室内部实验仪器、科创展示体验设备、化学试剂、教学教具，由市科艺中心及合作单位管理，物业不负责设备操作、调试、维修、试剂处置，仅承担实验室公共通道、公共卫生间等公共区域安保、保洁、建筑设施巡检。</w:t>
      </w:r>
    </w:p>
    <w:p w14:paraId="3D2F79C3">
      <w:pPr>
        <w:spacing w:line="360" w:lineRule="auto"/>
        <w:rPr>
          <w:rFonts w:ascii="宋体" w:hAnsi="宋体"/>
          <w:b/>
          <w:bCs/>
          <w:sz w:val="24"/>
        </w:rPr>
      </w:pPr>
      <w:r>
        <w:rPr>
          <w:rFonts w:hint="eastAsia" w:ascii="宋体" w:hAnsi="宋体"/>
          <w:b/>
          <w:bCs/>
          <w:sz w:val="24"/>
        </w:rPr>
        <w:t>1.5人员总体配置</w:t>
      </w:r>
    </w:p>
    <w:p w14:paraId="7CC2529D">
      <w:pPr>
        <w:spacing w:line="360" w:lineRule="auto"/>
        <w:ind w:firstLine="480" w:firstLineChars="200"/>
        <w:rPr>
          <w:rFonts w:hint="eastAsia" w:ascii="宋体" w:hAnsi="宋体"/>
          <w:sz w:val="24"/>
        </w:rPr>
      </w:pPr>
      <w:r>
        <w:rPr>
          <w:rFonts w:hint="eastAsia" w:ascii="宋体" w:hAnsi="宋体"/>
          <w:sz w:val="24"/>
        </w:rPr>
        <w:t>物业总配置85人，包含场馆运行管理、参观服务、就餐管理服务、赛场管理、建筑设施设备维护、秩序维护、场馆保洁、绿化养护、应急救护岗位，实行常白班、两班倒、四班三运转等轮班机制，适配场馆周二至周日开放、周末/寒暑假客流高峰、大型赛事活动保障需求。</w:t>
      </w:r>
    </w:p>
    <w:p w14:paraId="28C43995">
      <w:pPr>
        <w:spacing w:line="360" w:lineRule="auto"/>
        <w:ind w:firstLine="480" w:firstLineChars="200"/>
        <w:rPr>
          <w:rFonts w:hint="default" w:ascii="宋体" w:hAnsi="宋体" w:eastAsia="宋体"/>
          <w:sz w:val="24"/>
          <w:lang w:val="en-US" w:eastAsia="zh-CN"/>
        </w:rPr>
      </w:pPr>
      <w:r>
        <w:rPr>
          <w:rFonts w:hint="eastAsia" w:ascii="宋体" w:hAnsi="宋体"/>
          <w:sz w:val="24"/>
          <w:lang w:val="en-US" w:eastAsia="zh-CN"/>
        </w:rPr>
        <w:t>在</w:t>
      </w:r>
      <w:r>
        <w:rPr>
          <w:rFonts w:hint="eastAsia" w:ascii="宋体" w:hAnsi="宋体"/>
          <w:sz w:val="24"/>
        </w:rPr>
        <w:t>本项目场馆开馆准备之日起</w:t>
      </w:r>
      <w:r>
        <w:rPr>
          <w:rFonts w:hint="eastAsia" w:ascii="宋体" w:hAnsi="宋体"/>
          <w:sz w:val="24"/>
          <w:lang w:eastAsia="zh-CN"/>
        </w:rPr>
        <w:t>，</w:t>
      </w:r>
      <w:r>
        <w:rPr>
          <w:rFonts w:hint="eastAsia" w:ascii="宋体" w:hAnsi="宋体"/>
          <w:sz w:val="24"/>
          <w:lang w:val="en-US" w:eastAsia="zh-CN"/>
        </w:rPr>
        <w:t>物业人员将根据现场实际需求分批入场，正式开馆试运行后，物业人员人数配置85人。</w:t>
      </w:r>
    </w:p>
    <w:p w14:paraId="388290FD">
      <w:pPr>
        <w:spacing w:line="360" w:lineRule="auto"/>
        <w:rPr>
          <w:rFonts w:ascii="宋体" w:hAnsi="宋体"/>
          <w:sz w:val="24"/>
        </w:rPr>
      </w:pPr>
      <w:r>
        <w:rPr>
          <w:rFonts w:hint="eastAsia" w:ascii="宋体" w:hAnsi="宋体"/>
          <w:sz w:val="24"/>
        </w:rPr>
        <w:t>附表：</w:t>
      </w:r>
    </w:p>
    <w:tbl>
      <w:tblPr>
        <w:tblStyle w:val="9"/>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084"/>
        <w:gridCol w:w="5452"/>
        <w:gridCol w:w="860"/>
      </w:tblGrid>
      <w:tr w14:paraId="0051C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blCellSpacing w:w="15" w:type="dxa"/>
        </w:trPr>
        <w:tc>
          <w:tcPr>
            <w:tcW w:w="2039" w:type="dxa"/>
            <w:tcBorders>
              <w:tl2br w:val="nil"/>
              <w:tr2bl w:val="nil"/>
            </w:tcBorders>
            <w:shd w:val="clear" w:color="auto" w:fill="auto"/>
            <w:vAlign w:val="center"/>
          </w:tcPr>
          <w:p w14:paraId="4752CA11">
            <w:pPr>
              <w:spacing w:line="360" w:lineRule="auto"/>
              <w:jc w:val="center"/>
              <w:rPr>
                <w:rFonts w:ascii="宋体" w:hAnsi="宋体"/>
                <w:b/>
                <w:bCs/>
                <w:sz w:val="24"/>
              </w:rPr>
            </w:pPr>
            <w:r>
              <w:rPr>
                <w:rFonts w:hint="eastAsia" w:ascii="宋体" w:hAnsi="宋体"/>
                <w:b/>
                <w:bCs/>
                <w:sz w:val="24"/>
              </w:rPr>
              <w:t>模块</w:t>
            </w:r>
          </w:p>
        </w:tc>
        <w:tc>
          <w:tcPr>
            <w:tcW w:w="5422" w:type="dxa"/>
            <w:tcBorders>
              <w:tl2br w:val="nil"/>
              <w:tr2bl w:val="nil"/>
            </w:tcBorders>
            <w:shd w:val="clear" w:color="auto" w:fill="auto"/>
            <w:vAlign w:val="center"/>
          </w:tcPr>
          <w:p w14:paraId="220BB878">
            <w:pPr>
              <w:spacing w:line="360" w:lineRule="auto"/>
              <w:jc w:val="center"/>
              <w:rPr>
                <w:rFonts w:ascii="宋体" w:hAnsi="宋体"/>
                <w:b/>
                <w:bCs/>
                <w:sz w:val="24"/>
              </w:rPr>
            </w:pPr>
            <w:r>
              <w:rPr>
                <w:rFonts w:hint="eastAsia" w:ascii="宋体" w:hAnsi="宋体"/>
                <w:b/>
                <w:bCs/>
                <w:sz w:val="24"/>
              </w:rPr>
              <w:t>岗位内容</w:t>
            </w:r>
          </w:p>
        </w:tc>
        <w:tc>
          <w:tcPr>
            <w:tcW w:w="815" w:type="dxa"/>
            <w:tcBorders>
              <w:tl2br w:val="nil"/>
              <w:tr2bl w:val="nil"/>
            </w:tcBorders>
            <w:shd w:val="clear" w:color="auto" w:fill="auto"/>
            <w:vAlign w:val="center"/>
          </w:tcPr>
          <w:p w14:paraId="4BFC688A">
            <w:pPr>
              <w:spacing w:line="360" w:lineRule="auto"/>
              <w:jc w:val="center"/>
              <w:rPr>
                <w:rFonts w:ascii="宋体" w:hAnsi="宋体"/>
                <w:b/>
                <w:bCs/>
                <w:sz w:val="24"/>
              </w:rPr>
            </w:pPr>
            <w:r>
              <w:rPr>
                <w:rFonts w:hint="eastAsia" w:ascii="宋体" w:hAnsi="宋体"/>
                <w:b/>
                <w:bCs/>
                <w:sz w:val="24"/>
              </w:rPr>
              <w:t>人数</w:t>
            </w:r>
          </w:p>
        </w:tc>
      </w:tr>
      <w:tr w14:paraId="63CC3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039" w:type="dxa"/>
            <w:tcBorders>
              <w:tl2br w:val="nil"/>
              <w:tr2bl w:val="nil"/>
            </w:tcBorders>
            <w:shd w:val="clear" w:color="auto" w:fill="auto"/>
            <w:vAlign w:val="center"/>
          </w:tcPr>
          <w:p w14:paraId="6F0A3650">
            <w:pPr>
              <w:spacing w:line="360" w:lineRule="auto"/>
              <w:jc w:val="center"/>
              <w:rPr>
                <w:rFonts w:ascii="宋体" w:hAnsi="宋体"/>
                <w:sz w:val="24"/>
              </w:rPr>
            </w:pPr>
            <w:r>
              <w:rPr>
                <w:rFonts w:hint="eastAsia" w:ascii="宋体" w:hAnsi="宋体"/>
                <w:sz w:val="24"/>
              </w:rPr>
              <w:t>场馆运行综合管理</w:t>
            </w:r>
          </w:p>
        </w:tc>
        <w:tc>
          <w:tcPr>
            <w:tcW w:w="5422" w:type="dxa"/>
            <w:tcBorders>
              <w:tl2br w:val="nil"/>
              <w:tr2bl w:val="nil"/>
            </w:tcBorders>
            <w:shd w:val="clear" w:color="auto" w:fill="auto"/>
            <w:vAlign w:val="center"/>
          </w:tcPr>
          <w:p w14:paraId="622C44A1">
            <w:pPr>
              <w:spacing w:line="360" w:lineRule="auto"/>
              <w:jc w:val="center"/>
              <w:rPr>
                <w:rFonts w:ascii="宋体" w:hAnsi="宋体"/>
                <w:sz w:val="24"/>
              </w:rPr>
            </w:pPr>
            <w:r>
              <w:rPr>
                <w:rFonts w:hint="eastAsia" w:ascii="宋体" w:hAnsi="宋体"/>
                <w:sz w:val="24"/>
                <w:lang w:eastAsia="zh-CN"/>
              </w:rPr>
              <w:t>项目负责人（</w:t>
            </w:r>
            <w:r>
              <w:rPr>
                <w:rFonts w:hint="eastAsia" w:ascii="宋体" w:hAnsi="宋体"/>
                <w:sz w:val="24"/>
              </w:rPr>
              <w:t>物业经理</w:t>
            </w:r>
            <w:r>
              <w:rPr>
                <w:rFonts w:hint="eastAsia" w:ascii="宋体" w:hAnsi="宋体"/>
                <w:sz w:val="24"/>
                <w:lang w:eastAsia="zh-CN"/>
              </w:rPr>
              <w:t>）</w:t>
            </w:r>
            <w:r>
              <w:rPr>
                <w:rFonts w:hint="eastAsia" w:ascii="宋体" w:hAnsi="宋体"/>
                <w:sz w:val="24"/>
              </w:rPr>
              <w:t>、综合主管、行政文员</w:t>
            </w:r>
          </w:p>
        </w:tc>
        <w:tc>
          <w:tcPr>
            <w:tcW w:w="815" w:type="dxa"/>
            <w:tcBorders>
              <w:tl2br w:val="nil"/>
              <w:tr2bl w:val="nil"/>
            </w:tcBorders>
            <w:shd w:val="clear" w:color="auto" w:fill="auto"/>
            <w:vAlign w:val="center"/>
          </w:tcPr>
          <w:p w14:paraId="0E8ED83D">
            <w:pPr>
              <w:spacing w:line="360" w:lineRule="auto"/>
              <w:jc w:val="center"/>
              <w:rPr>
                <w:rFonts w:ascii="宋体" w:hAnsi="宋体"/>
                <w:sz w:val="24"/>
              </w:rPr>
            </w:pPr>
            <w:r>
              <w:rPr>
                <w:rFonts w:hint="eastAsia" w:ascii="宋体" w:hAnsi="宋体"/>
                <w:sz w:val="24"/>
              </w:rPr>
              <w:t>3</w:t>
            </w:r>
          </w:p>
        </w:tc>
      </w:tr>
      <w:tr w14:paraId="705C1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039" w:type="dxa"/>
            <w:tcBorders>
              <w:tl2br w:val="nil"/>
              <w:tr2bl w:val="nil"/>
            </w:tcBorders>
            <w:shd w:val="clear" w:color="auto" w:fill="auto"/>
            <w:vAlign w:val="center"/>
          </w:tcPr>
          <w:p w14:paraId="4180E52E">
            <w:pPr>
              <w:spacing w:line="360" w:lineRule="auto"/>
              <w:jc w:val="center"/>
              <w:rPr>
                <w:rFonts w:ascii="宋体" w:hAnsi="宋体"/>
                <w:sz w:val="24"/>
              </w:rPr>
            </w:pPr>
            <w:r>
              <w:rPr>
                <w:rFonts w:hint="eastAsia" w:ascii="宋体" w:hAnsi="宋体"/>
                <w:sz w:val="24"/>
              </w:rPr>
              <w:t>参观服务</w:t>
            </w:r>
          </w:p>
        </w:tc>
        <w:tc>
          <w:tcPr>
            <w:tcW w:w="5422" w:type="dxa"/>
            <w:tcBorders>
              <w:tl2br w:val="nil"/>
              <w:tr2bl w:val="nil"/>
            </w:tcBorders>
            <w:shd w:val="clear" w:color="auto" w:fill="auto"/>
            <w:vAlign w:val="center"/>
          </w:tcPr>
          <w:p w14:paraId="756A5143">
            <w:pPr>
              <w:spacing w:line="360" w:lineRule="auto"/>
              <w:jc w:val="center"/>
              <w:rPr>
                <w:rFonts w:ascii="宋体" w:hAnsi="宋体"/>
                <w:sz w:val="24"/>
              </w:rPr>
            </w:pPr>
            <w:r>
              <w:rPr>
                <w:rFonts w:hint="eastAsia" w:ascii="宋体" w:hAnsi="宋体"/>
                <w:sz w:val="24"/>
              </w:rPr>
              <w:t>前台、体验引导员</w:t>
            </w:r>
          </w:p>
        </w:tc>
        <w:tc>
          <w:tcPr>
            <w:tcW w:w="815" w:type="dxa"/>
            <w:tcBorders>
              <w:tl2br w:val="nil"/>
              <w:tr2bl w:val="nil"/>
            </w:tcBorders>
            <w:shd w:val="clear" w:color="auto" w:fill="auto"/>
            <w:vAlign w:val="center"/>
          </w:tcPr>
          <w:p w14:paraId="09336B72">
            <w:pPr>
              <w:spacing w:line="360" w:lineRule="auto"/>
              <w:jc w:val="center"/>
              <w:rPr>
                <w:rFonts w:ascii="宋体" w:hAnsi="宋体"/>
                <w:sz w:val="24"/>
              </w:rPr>
            </w:pPr>
            <w:r>
              <w:rPr>
                <w:rFonts w:hint="eastAsia" w:ascii="宋体" w:hAnsi="宋体"/>
                <w:sz w:val="24"/>
              </w:rPr>
              <w:t>12</w:t>
            </w:r>
          </w:p>
        </w:tc>
      </w:tr>
      <w:tr w14:paraId="1CC26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039" w:type="dxa"/>
            <w:tcBorders>
              <w:tl2br w:val="nil"/>
              <w:tr2bl w:val="nil"/>
            </w:tcBorders>
            <w:shd w:val="clear" w:color="auto" w:fill="auto"/>
            <w:vAlign w:val="center"/>
          </w:tcPr>
          <w:p w14:paraId="5B4199A2">
            <w:pPr>
              <w:spacing w:line="360" w:lineRule="auto"/>
              <w:jc w:val="center"/>
              <w:rPr>
                <w:rFonts w:ascii="宋体" w:hAnsi="宋体"/>
                <w:sz w:val="24"/>
              </w:rPr>
            </w:pPr>
            <w:r>
              <w:rPr>
                <w:rFonts w:hint="eastAsia" w:ascii="宋体" w:hAnsi="宋体"/>
                <w:sz w:val="24"/>
              </w:rPr>
              <w:t>就餐管理与服务</w:t>
            </w:r>
          </w:p>
        </w:tc>
        <w:tc>
          <w:tcPr>
            <w:tcW w:w="5422" w:type="dxa"/>
            <w:tcBorders>
              <w:tl2br w:val="nil"/>
              <w:tr2bl w:val="nil"/>
            </w:tcBorders>
            <w:shd w:val="clear" w:color="auto" w:fill="auto"/>
            <w:vAlign w:val="center"/>
          </w:tcPr>
          <w:p w14:paraId="0F114332">
            <w:pPr>
              <w:spacing w:line="360" w:lineRule="auto"/>
              <w:jc w:val="center"/>
              <w:rPr>
                <w:rFonts w:ascii="宋体" w:hAnsi="宋体"/>
                <w:sz w:val="24"/>
              </w:rPr>
            </w:pPr>
            <w:r>
              <w:rPr>
                <w:rFonts w:hint="eastAsia" w:ascii="宋体" w:hAnsi="宋体"/>
                <w:sz w:val="24"/>
              </w:rPr>
              <w:t>就餐管理员、就餐服务员</w:t>
            </w:r>
          </w:p>
        </w:tc>
        <w:tc>
          <w:tcPr>
            <w:tcW w:w="815" w:type="dxa"/>
            <w:tcBorders>
              <w:tl2br w:val="nil"/>
              <w:tr2bl w:val="nil"/>
            </w:tcBorders>
            <w:shd w:val="clear" w:color="auto" w:fill="auto"/>
            <w:vAlign w:val="center"/>
          </w:tcPr>
          <w:p w14:paraId="2593E18E">
            <w:pPr>
              <w:spacing w:line="360" w:lineRule="auto"/>
              <w:jc w:val="center"/>
              <w:rPr>
                <w:rFonts w:ascii="宋体" w:hAnsi="宋体"/>
                <w:sz w:val="24"/>
              </w:rPr>
            </w:pPr>
            <w:r>
              <w:rPr>
                <w:rFonts w:hint="eastAsia" w:ascii="宋体" w:hAnsi="宋体"/>
                <w:sz w:val="24"/>
              </w:rPr>
              <w:t>3</w:t>
            </w:r>
          </w:p>
        </w:tc>
      </w:tr>
      <w:tr w14:paraId="7CC3A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039" w:type="dxa"/>
            <w:tcBorders>
              <w:tl2br w:val="nil"/>
              <w:tr2bl w:val="nil"/>
            </w:tcBorders>
            <w:shd w:val="clear" w:color="auto" w:fill="auto"/>
            <w:vAlign w:val="center"/>
          </w:tcPr>
          <w:p w14:paraId="05C6AF6F">
            <w:pPr>
              <w:spacing w:line="360" w:lineRule="auto"/>
              <w:jc w:val="center"/>
              <w:rPr>
                <w:rFonts w:ascii="宋体" w:hAnsi="宋体"/>
                <w:sz w:val="24"/>
              </w:rPr>
            </w:pPr>
            <w:r>
              <w:rPr>
                <w:rFonts w:hint="eastAsia" w:ascii="宋体" w:hAnsi="宋体"/>
                <w:sz w:val="24"/>
              </w:rPr>
              <w:t>赛场管理</w:t>
            </w:r>
          </w:p>
        </w:tc>
        <w:tc>
          <w:tcPr>
            <w:tcW w:w="5422" w:type="dxa"/>
            <w:tcBorders>
              <w:tl2br w:val="nil"/>
              <w:tr2bl w:val="nil"/>
            </w:tcBorders>
            <w:shd w:val="clear" w:color="auto" w:fill="auto"/>
            <w:vAlign w:val="center"/>
          </w:tcPr>
          <w:p w14:paraId="3E029F6F">
            <w:pPr>
              <w:spacing w:line="360" w:lineRule="auto"/>
              <w:jc w:val="center"/>
              <w:rPr>
                <w:rFonts w:ascii="宋体" w:hAnsi="宋体"/>
                <w:sz w:val="24"/>
              </w:rPr>
            </w:pPr>
            <w:r>
              <w:rPr>
                <w:rFonts w:hint="eastAsia" w:ascii="宋体" w:hAnsi="宋体"/>
                <w:sz w:val="24"/>
              </w:rPr>
              <w:t>赛事活动主管、设备专员、场务专员</w:t>
            </w:r>
          </w:p>
        </w:tc>
        <w:tc>
          <w:tcPr>
            <w:tcW w:w="815" w:type="dxa"/>
            <w:tcBorders>
              <w:tl2br w:val="nil"/>
              <w:tr2bl w:val="nil"/>
            </w:tcBorders>
            <w:shd w:val="clear" w:color="auto" w:fill="auto"/>
            <w:vAlign w:val="center"/>
          </w:tcPr>
          <w:p w14:paraId="32E0FCC6">
            <w:pPr>
              <w:spacing w:line="360" w:lineRule="auto"/>
              <w:jc w:val="center"/>
              <w:rPr>
                <w:rFonts w:ascii="宋体" w:hAnsi="宋体"/>
                <w:sz w:val="24"/>
              </w:rPr>
            </w:pPr>
            <w:r>
              <w:rPr>
                <w:rFonts w:hint="eastAsia" w:ascii="宋体" w:hAnsi="宋体"/>
                <w:sz w:val="24"/>
              </w:rPr>
              <w:t>5</w:t>
            </w:r>
          </w:p>
        </w:tc>
      </w:tr>
      <w:tr w14:paraId="1F262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039" w:type="dxa"/>
            <w:tcBorders>
              <w:tl2br w:val="nil"/>
              <w:tr2bl w:val="nil"/>
            </w:tcBorders>
            <w:shd w:val="clear" w:color="auto" w:fill="auto"/>
            <w:vAlign w:val="center"/>
          </w:tcPr>
          <w:p w14:paraId="07D2FAF4">
            <w:pPr>
              <w:spacing w:line="360" w:lineRule="auto"/>
              <w:jc w:val="center"/>
              <w:rPr>
                <w:rFonts w:ascii="宋体" w:hAnsi="宋体"/>
                <w:sz w:val="24"/>
              </w:rPr>
            </w:pPr>
            <w:r>
              <w:rPr>
                <w:rFonts w:hint="eastAsia" w:ascii="宋体" w:hAnsi="宋体"/>
                <w:sz w:val="24"/>
              </w:rPr>
              <w:t>建筑设施设备维护</w:t>
            </w:r>
          </w:p>
        </w:tc>
        <w:tc>
          <w:tcPr>
            <w:tcW w:w="5422" w:type="dxa"/>
            <w:tcBorders>
              <w:tl2br w:val="nil"/>
              <w:tr2bl w:val="nil"/>
            </w:tcBorders>
            <w:shd w:val="clear" w:color="auto" w:fill="auto"/>
            <w:vAlign w:val="center"/>
          </w:tcPr>
          <w:p w14:paraId="3C1CAA0E">
            <w:pPr>
              <w:spacing w:line="360" w:lineRule="auto"/>
              <w:jc w:val="center"/>
              <w:rPr>
                <w:rFonts w:ascii="宋体" w:hAnsi="宋体"/>
                <w:sz w:val="24"/>
              </w:rPr>
            </w:pPr>
            <w:r>
              <w:rPr>
                <w:rFonts w:hint="eastAsia" w:ascii="宋体" w:hAnsi="宋体"/>
                <w:sz w:val="24"/>
              </w:rPr>
              <w:t>技术主管、强电工、弱电工、机组操作工、给排水工、维修技工</w:t>
            </w:r>
          </w:p>
        </w:tc>
        <w:tc>
          <w:tcPr>
            <w:tcW w:w="815" w:type="dxa"/>
            <w:tcBorders>
              <w:tl2br w:val="nil"/>
              <w:tr2bl w:val="nil"/>
            </w:tcBorders>
            <w:shd w:val="clear" w:color="auto" w:fill="auto"/>
            <w:vAlign w:val="center"/>
          </w:tcPr>
          <w:p w14:paraId="00916B88">
            <w:pPr>
              <w:spacing w:line="360" w:lineRule="auto"/>
              <w:jc w:val="center"/>
              <w:rPr>
                <w:rFonts w:ascii="宋体" w:hAnsi="宋体"/>
                <w:sz w:val="24"/>
              </w:rPr>
            </w:pPr>
            <w:r>
              <w:rPr>
                <w:rFonts w:hint="eastAsia" w:ascii="宋体" w:hAnsi="宋体"/>
                <w:sz w:val="24"/>
              </w:rPr>
              <w:t>10</w:t>
            </w:r>
          </w:p>
        </w:tc>
      </w:tr>
      <w:tr w14:paraId="02A74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039" w:type="dxa"/>
            <w:tcBorders>
              <w:tl2br w:val="nil"/>
              <w:tr2bl w:val="nil"/>
            </w:tcBorders>
            <w:shd w:val="clear" w:color="auto" w:fill="auto"/>
            <w:vAlign w:val="center"/>
          </w:tcPr>
          <w:p w14:paraId="1FADD2CE">
            <w:pPr>
              <w:spacing w:line="360" w:lineRule="auto"/>
              <w:jc w:val="center"/>
              <w:rPr>
                <w:rFonts w:ascii="宋体" w:hAnsi="宋体"/>
                <w:sz w:val="24"/>
              </w:rPr>
            </w:pPr>
            <w:r>
              <w:rPr>
                <w:rFonts w:hint="eastAsia" w:ascii="宋体" w:hAnsi="宋体"/>
                <w:sz w:val="24"/>
              </w:rPr>
              <w:t>秩序维护</w:t>
            </w:r>
          </w:p>
        </w:tc>
        <w:tc>
          <w:tcPr>
            <w:tcW w:w="5422" w:type="dxa"/>
            <w:tcBorders>
              <w:tl2br w:val="nil"/>
              <w:tr2bl w:val="nil"/>
            </w:tcBorders>
            <w:shd w:val="clear" w:color="auto" w:fill="auto"/>
            <w:vAlign w:val="center"/>
          </w:tcPr>
          <w:p w14:paraId="6E805419">
            <w:pPr>
              <w:spacing w:line="360" w:lineRule="auto"/>
              <w:jc w:val="center"/>
              <w:rPr>
                <w:rFonts w:ascii="宋体" w:hAnsi="宋体"/>
                <w:sz w:val="24"/>
              </w:rPr>
            </w:pPr>
            <w:r>
              <w:rPr>
                <w:rFonts w:hint="eastAsia" w:ascii="宋体" w:hAnsi="宋体"/>
                <w:sz w:val="24"/>
              </w:rPr>
              <w:t>秩序主管、秩序领班、秩序专员（消控监控、入馆引导/巡逻/机动）</w:t>
            </w:r>
          </w:p>
        </w:tc>
        <w:tc>
          <w:tcPr>
            <w:tcW w:w="815" w:type="dxa"/>
            <w:tcBorders>
              <w:tl2br w:val="nil"/>
              <w:tr2bl w:val="nil"/>
            </w:tcBorders>
            <w:shd w:val="clear" w:color="auto" w:fill="auto"/>
            <w:vAlign w:val="center"/>
          </w:tcPr>
          <w:p w14:paraId="158DB8C6">
            <w:pPr>
              <w:spacing w:line="360" w:lineRule="auto"/>
              <w:jc w:val="center"/>
              <w:rPr>
                <w:rFonts w:ascii="宋体" w:hAnsi="宋体"/>
                <w:sz w:val="24"/>
              </w:rPr>
            </w:pPr>
            <w:r>
              <w:rPr>
                <w:rFonts w:hint="eastAsia" w:ascii="宋体" w:hAnsi="宋体"/>
                <w:sz w:val="24"/>
              </w:rPr>
              <w:t>34</w:t>
            </w:r>
          </w:p>
        </w:tc>
      </w:tr>
      <w:tr w14:paraId="61D3A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039" w:type="dxa"/>
            <w:tcBorders>
              <w:tl2br w:val="nil"/>
              <w:tr2bl w:val="nil"/>
            </w:tcBorders>
            <w:shd w:val="clear" w:color="auto" w:fill="auto"/>
            <w:vAlign w:val="center"/>
          </w:tcPr>
          <w:p w14:paraId="45666FB6">
            <w:pPr>
              <w:spacing w:line="360" w:lineRule="auto"/>
              <w:jc w:val="center"/>
              <w:rPr>
                <w:rFonts w:ascii="宋体" w:hAnsi="宋体"/>
                <w:sz w:val="24"/>
              </w:rPr>
            </w:pPr>
            <w:r>
              <w:rPr>
                <w:rFonts w:hint="eastAsia" w:ascii="宋体" w:hAnsi="宋体"/>
                <w:sz w:val="24"/>
              </w:rPr>
              <w:t>场馆保洁</w:t>
            </w:r>
          </w:p>
        </w:tc>
        <w:tc>
          <w:tcPr>
            <w:tcW w:w="5422" w:type="dxa"/>
            <w:tcBorders>
              <w:tl2br w:val="nil"/>
              <w:tr2bl w:val="nil"/>
            </w:tcBorders>
            <w:shd w:val="clear" w:color="auto" w:fill="auto"/>
            <w:vAlign w:val="center"/>
          </w:tcPr>
          <w:p w14:paraId="54CEEAAF">
            <w:pPr>
              <w:spacing w:line="360" w:lineRule="auto"/>
              <w:jc w:val="center"/>
              <w:rPr>
                <w:rFonts w:ascii="宋体" w:hAnsi="宋体"/>
                <w:sz w:val="24"/>
              </w:rPr>
            </w:pPr>
            <w:r>
              <w:rPr>
                <w:rFonts w:hint="eastAsia" w:ascii="宋体" w:hAnsi="宋体"/>
                <w:sz w:val="24"/>
              </w:rPr>
              <w:t>保洁主管、保洁领班、保洁专员（常规清洁、展品专项清洁）</w:t>
            </w:r>
          </w:p>
        </w:tc>
        <w:tc>
          <w:tcPr>
            <w:tcW w:w="815" w:type="dxa"/>
            <w:tcBorders>
              <w:tl2br w:val="nil"/>
              <w:tr2bl w:val="nil"/>
            </w:tcBorders>
            <w:shd w:val="clear" w:color="auto" w:fill="auto"/>
            <w:vAlign w:val="center"/>
          </w:tcPr>
          <w:p w14:paraId="76AF9D74">
            <w:pPr>
              <w:spacing w:line="360" w:lineRule="auto"/>
              <w:jc w:val="center"/>
              <w:rPr>
                <w:rFonts w:ascii="宋体" w:hAnsi="宋体"/>
                <w:sz w:val="24"/>
              </w:rPr>
            </w:pPr>
            <w:r>
              <w:rPr>
                <w:rFonts w:hint="eastAsia" w:ascii="宋体" w:hAnsi="宋体"/>
                <w:sz w:val="24"/>
              </w:rPr>
              <w:t>16</w:t>
            </w:r>
          </w:p>
        </w:tc>
      </w:tr>
      <w:tr w14:paraId="46527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039" w:type="dxa"/>
            <w:tcBorders>
              <w:tl2br w:val="nil"/>
              <w:tr2bl w:val="nil"/>
            </w:tcBorders>
            <w:shd w:val="clear" w:color="auto" w:fill="auto"/>
            <w:vAlign w:val="center"/>
          </w:tcPr>
          <w:p w14:paraId="204A9D67">
            <w:pPr>
              <w:spacing w:line="360" w:lineRule="auto"/>
              <w:jc w:val="center"/>
              <w:rPr>
                <w:rFonts w:ascii="宋体" w:hAnsi="宋体"/>
                <w:sz w:val="24"/>
              </w:rPr>
            </w:pPr>
            <w:r>
              <w:rPr>
                <w:rFonts w:hint="eastAsia" w:ascii="宋体" w:hAnsi="宋体"/>
                <w:sz w:val="24"/>
              </w:rPr>
              <w:t>绿化养护</w:t>
            </w:r>
          </w:p>
        </w:tc>
        <w:tc>
          <w:tcPr>
            <w:tcW w:w="5422" w:type="dxa"/>
            <w:tcBorders>
              <w:tl2br w:val="nil"/>
              <w:tr2bl w:val="nil"/>
            </w:tcBorders>
            <w:shd w:val="clear" w:color="auto" w:fill="auto"/>
            <w:vAlign w:val="center"/>
          </w:tcPr>
          <w:p w14:paraId="07E70DB1">
            <w:pPr>
              <w:spacing w:line="360" w:lineRule="auto"/>
              <w:jc w:val="center"/>
              <w:rPr>
                <w:rFonts w:ascii="宋体" w:hAnsi="宋体"/>
                <w:sz w:val="24"/>
              </w:rPr>
            </w:pPr>
            <w:r>
              <w:rPr>
                <w:rFonts w:hint="eastAsia" w:ascii="宋体" w:hAnsi="宋体"/>
                <w:sz w:val="24"/>
              </w:rPr>
              <w:t>绿化专员</w:t>
            </w:r>
          </w:p>
        </w:tc>
        <w:tc>
          <w:tcPr>
            <w:tcW w:w="815" w:type="dxa"/>
            <w:tcBorders>
              <w:tl2br w:val="nil"/>
              <w:tr2bl w:val="nil"/>
            </w:tcBorders>
            <w:shd w:val="clear" w:color="auto" w:fill="auto"/>
            <w:vAlign w:val="center"/>
          </w:tcPr>
          <w:p w14:paraId="008F43B6">
            <w:pPr>
              <w:spacing w:line="360" w:lineRule="auto"/>
              <w:jc w:val="center"/>
              <w:rPr>
                <w:rFonts w:ascii="宋体" w:hAnsi="宋体"/>
                <w:sz w:val="24"/>
              </w:rPr>
            </w:pPr>
            <w:r>
              <w:rPr>
                <w:rFonts w:hint="eastAsia" w:ascii="宋体" w:hAnsi="宋体"/>
                <w:sz w:val="24"/>
              </w:rPr>
              <w:t>1</w:t>
            </w:r>
          </w:p>
        </w:tc>
      </w:tr>
      <w:tr w14:paraId="63E46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039" w:type="dxa"/>
            <w:tcBorders>
              <w:tl2br w:val="nil"/>
              <w:tr2bl w:val="nil"/>
            </w:tcBorders>
            <w:shd w:val="clear" w:color="auto" w:fill="auto"/>
            <w:vAlign w:val="center"/>
          </w:tcPr>
          <w:p w14:paraId="36210D72">
            <w:pPr>
              <w:spacing w:line="360" w:lineRule="auto"/>
              <w:jc w:val="center"/>
              <w:rPr>
                <w:rFonts w:ascii="宋体" w:hAnsi="宋体"/>
                <w:sz w:val="24"/>
                <w:highlight w:val="none"/>
              </w:rPr>
            </w:pPr>
            <w:r>
              <w:rPr>
                <w:rFonts w:hint="eastAsia" w:ascii="宋体" w:hAnsi="宋体"/>
                <w:sz w:val="24"/>
                <w:highlight w:val="none"/>
              </w:rPr>
              <w:t>应急救护服务</w:t>
            </w:r>
          </w:p>
        </w:tc>
        <w:tc>
          <w:tcPr>
            <w:tcW w:w="5422" w:type="dxa"/>
            <w:tcBorders>
              <w:tl2br w:val="nil"/>
              <w:tr2bl w:val="nil"/>
            </w:tcBorders>
            <w:shd w:val="clear" w:color="auto" w:fill="auto"/>
            <w:vAlign w:val="center"/>
          </w:tcPr>
          <w:p w14:paraId="7025BCE4">
            <w:pPr>
              <w:spacing w:line="360" w:lineRule="auto"/>
              <w:jc w:val="center"/>
              <w:rPr>
                <w:rFonts w:ascii="宋体" w:hAnsi="宋体"/>
                <w:sz w:val="24"/>
                <w:highlight w:val="none"/>
              </w:rPr>
            </w:pPr>
            <w:r>
              <w:rPr>
                <w:rFonts w:hint="eastAsia" w:ascii="宋体" w:hAnsi="宋体"/>
                <w:sz w:val="24"/>
                <w:highlight w:val="none"/>
              </w:rPr>
              <w:t>应急救护人员</w:t>
            </w:r>
          </w:p>
        </w:tc>
        <w:tc>
          <w:tcPr>
            <w:tcW w:w="815" w:type="dxa"/>
            <w:tcBorders>
              <w:tl2br w:val="nil"/>
              <w:tr2bl w:val="nil"/>
            </w:tcBorders>
            <w:shd w:val="clear" w:color="auto" w:fill="auto"/>
            <w:vAlign w:val="center"/>
          </w:tcPr>
          <w:p w14:paraId="47F788C2">
            <w:pPr>
              <w:spacing w:line="360" w:lineRule="auto"/>
              <w:jc w:val="center"/>
              <w:rPr>
                <w:rFonts w:ascii="宋体" w:hAnsi="宋体"/>
                <w:sz w:val="24"/>
                <w:highlight w:val="none"/>
              </w:rPr>
            </w:pPr>
            <w:r>
              <w:rPr>
                <w:rFonts w:hint="eastAsia" w:ascii="宋体" w:hAnsi="宋体"/>
                <w:sz w:val="24"/>
                <w:highlight w:val="none"/>
              </w:rPr>
              <w:t>1</w:t>
            </w:r>
          </w:p>
        </w:tc>
      </w:tr>
      <w:tr w14:paraId="1DF51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039" w:type="dxa"/>
            <w:tcBorders>
              <w:tl2br w:val="nil"/>
              <w:tr2bl w:val="nil"/>
            </w:tcBorders>
            <w:shd w:val="clear" w:color="auto" w:fill="auto"/>
            <w:vAlign w:val="center"/>
          </w:tcPr>
          <w:p w14:paraId="6B8010DA">
            <w:pPr>
              <w:spacing w:line="360" w:lineRule="auto"/>
              <w:jc w:val="center"/>
              <w:rPr>
                <w:rFonts w:ascii="宋体" w:hAnsi="宋体"/>
                <w:sz w:val="24"/>
              </w:rPr>
            </w:pPr>
            <w:r>
              <w:rPr>
                <w:rFonts w:hint="eastAsia" w:ascii="宋体" w:hAnsi="宋体"/>
                <w:sz w:val="24"/>
              </w:rPr>
              <w:t>合计</w:t>
            </w:r>
          </w:p>
        </w:tc>
        <w:tc>
          <w:tcPr>
            <w:tcW w:w="5422" w:type="dxa"/>
            <w:tcBorders>
              <w:tl2br w:val="nil"/>
              <w:tr2bl w:val="nil"/>
            </w:tcBorders>
            <w:shd w:val="clear" w:color="auto" w:fill="auto"/>
            <w:vAlign w:val="center"/>
          </w:tcPr>
          <w:p w14:paraId="18E63F2B">
            <w:pPr>
              <w:spacing w:line="360" w:lineRule="auto"/>
              <w:jc w:val="center"/>
              <w:rPr>
                <w:rFonts w:ascii="宋体" w:hAnsi="宋体"/>
                <w:sz w:val="24"/>
              </w:rPr>
            </w:pPr>
            <w:r>
              <w:rPr>
                <w:rFonts w:hint="eastAsia" w:ascii="宋体" w:hAnsi="宋体"/>
                <w:sz w:val="24"/>
              </w:rPr>
              <w:t>—</w:t>
            </w:r>
          </w:p>
        </w:tc>
        <w:tc>
          <w:tcPr>
            <w:tcW w:w="815" w:type="dxa"/>
            <w:tcBorders>
              <w:tl2br w:val="nil"/>
              <w:tr2bl w:val="nil"/>
            </w:tcBorders>
            <w:shd w:val="clear" w:color="auto" w:fill="auto"/>
            <w:vAlign w:val="center"/>
          </w:tcPr>
          <w:p w14:paraId="276E86FA">
            <w:pPr>
              <w:spacing w:line="360" w:lineRule="auto"/>
              <w:jc w:val="center"/>
              <w:rPr>
                <w:rFonts w:ascii="宋体" w:hAnsi="宋体"/>
                <w:sz w:val="24"/>
              </w:rPr>
            </w:pPr>
            <w:r>
              <w:rPr>
                <w:rFonts w:hint="eastAsia" w:ascii="宋体" w:hAnsi="宋体"/>
                <w:sz w:val="24"/>
              </w:rPr>
              <w:t>85</w:t>
            </w:r>
          </w:p>
        </w:tc>
      </w:tr>
    </w:tbl>
    <w:p w14:paraId="5E35A7D9">
      <w:pPr>
        <w:spacing w:line="360" w:lineRule="auto"/>
        <w:rPr>
          <w:rFonts w:ascii="宋体" w:hAnsi="宋体"/>
          <w:sz w:val="24"/>
        </w:rPr>
      </w:pPr>
    </w:p>
    <w:p w14:paraId="46680128">
      <w:pPr>
        <w:spacing w:line="360" w:lineRule="auto"/>
        <w:jc w:val="center"/>
        <w:rPr>
          <w:rFonts w:ascii="宋体" w:hAnsi="宋体"/>
          <w:sz w:val="28"/>
          <w:szCs w:val="28"/>
        </w:rPr>
      </w:pPr>
      <w:r>
        <w:rPr>
          <w:rFonts w:hint="eastAsia" w:ascii="宋体" w:hAnsi="宋体"/>
          <w:sz w:val="28"/>
          <w:szCs w:val="28"/>
        </w:rPr>
        <w:t>第二章 场馆运行综合管理</w:t>
      </w:r>
    </w:p>
    <w:p w14:paraId="4D7B7172">
      <w:pPr>
        <w:spacing w:line="360" w:lineRule="auto"/>
        <w:rPr>
          <w:rFonts w:ascii="宋体" w:hAnsi="宋体"/>
          <w:b/>
          <w:bCs/>
          <w:sz w:val="24"/>
        </w:rPr>
      </w:pPr>
      <w:r>
        <w:rPr>
          <w:rFonts w:hint="eastAsia" w:ascii="宋体" w:hAnsi="宋体"/>
          <w:b/>
          <w:bCs/>
          <w:sz w:val="24"/>
        </w:rPr>
        <w:t>2.1服务内容</w:t>
      </w:r>
    </w:p>
    <w:p w14:paraId="119428AD">
      <w:pPr>
        <w:spacing w:line="360" w:lineRule="auto"/>
        <w:ind w:firstLine="480" w:firstLineChars="200"/>
        <w:rPr>
          <w:rFonts w:ascii="宋体" w:hAnsi="宋体"/>
          <w:sz w:val="24"/>
        </w:rPr>
      </w:pPr>
      <w:r>
        <w:rPr>
          <w:rFonts w:hint="eastAsia" w:ascii="宋体" w:hAnsi="宋体"/>
          <w:sz w:val="24"/>
        </w:rPr>
        <w:t>本岗位负责场馆日常运行的综合管理工作，包括行政人事管理、文字档案管理等事务性、支撑性工作，为场馆高效运行提供综合行政与后勤保障，并承接甲方交办的相关日常事务。</w:t>
      </w:r>
    </w:p>
    <w:p w14:paraId="44F4DDD9">
      <w:pPr>
        <w:spacing w:line="360" w:lineRule="auto"/>
        <w:rPr>
          <w:rFonts w:ascii="宋体" w:hAnsi="宋体"/>
          <w:sz w:val="24"/>
        </w:rPr>
      </w:pPr>
      <w:r>
        <w:rPr>
          <w:rFonts w:hint="eastAsia" w:ascii="宋体" w:hAnsi="宋体"/>
          <w:sz w:val="24"/>
        </w:rPr>
        <w:t>2.1.1岗位配置：</w:t>
      </w:r>
      <w:r>
        <w:rPr>
          <w:rFonts w:hint="eastAsia" w:ascii="宋体" w:hAnsi="宋体"/>
          <w:sz w:val="24"/>
          <w:lang w:eastAsia="zh-CN"/>
        </w:rPr>
        <w:t>项目负责人（</w:t>
      </w:r>
      <w:r>
        <w:rPr>
          <w:rFonts w:hint="eastAsia" w:ascii="宋体" w:hAnsi="宋体"/>
          <w:sz w:val="24"/>
        </w:rPr>
        <w:t>物业经理</w:t>
      </w:r>
      <w:r>
        <w:rPr>
          <w:rFonts w:hint="eastAsia" w:ascii="宋体" w:hAnsi="宋体"/>
          <w:sz w:val="24"/>
          <w:lang w:eastAsia="zh-CN"/>
        </w:rPr>
        <w:t>）</w:t>
      </w:r>
      <w:r>
        <w:rPr>
          <w:rFonts w:hint="eastAsia" w:ascii="宋体" w:hAnsi="宋体"/>
          <w:sz w:val="24"/>
        </w:rPr>
        <w:t>1人、综合主管1人、行政文员1人。</w:t>
      </w:r>
    </w:p>
    <w:p w14:paraId="68DA9E92">
      <w:pPr>
        <w:spacing w:line="360" w:lineRule="auto"/>
        <w:rPr>
          <w:rFonts w:ascii="宋体" w:hAnsi="宋体"/>
          <w:sz w:val="24"/>
        </w:rPr>
      </w:pPr>
      <w:r>
        <w:rPr>
          <w:rFonts w:hint="eastAsia" w:ascii="宋体" w:hAnsi="宋体"/>
          <w:b/>
          <w:bCs/>
          <w:sz w:val="24"/>
        </w:rPr>
        <w:t>2.2工作内容</w:t>
      </w:r>
    </w:p>
    <w:p w14:paraId="78DDF99D">
      <w:pPr>
        <w:spacing w:line="360" w:lineRule="auto"/>
        <w:ind w:left="720" w:hanging="720" w:hangingChars="300"/>
        <w:rPr>
          <w:rFonts w:hint="eastAsia" w:ascii="宋体" w:hAnsi="宋体" w:eastAsia="宋体"/>
          <w:sz w:val="24"/>
          <w:lang w:eastAsia="zh-CN"/>
        </w:rPr>
      </w:pPr>
      <w:r>
        <w:rPr>
          <w:rFonts w:hint="eastAsia" w:ascii="宋体" w:hAnsi="宋体"/>
          <w:sz w:val="24"/>
        </w:rPr>
        <w:t>2.2.1</w:t>
      </w:r>
      <w:r>
        <w:rPr>
          <w:rFonts w:hint="eastAsia" w:ascii="宋体" w:hAnsi="宋体"/>
          <w:sz w:val="24"/>
          <w:lang w:eastAsia="zh-CN"/>
        </w:rPr>
        <w:t>项目负责人（</w:t>
      </w:r>
      <w:r>
        <w:rPr>
          <w:rFonts w:hint="eastAsia" w:ascii="宋体" w:hAnsi="宋体"/>
          <w:sz w:val="24"/>
        </w:rPr>
        <w:t>物业经理</w:t>
      </w:r>
      <w:r>
        <w:rPr>
          <w:rFonts w:hint="eastAsia" w:ascii="宋体" w:hAnsi="宋体"/>
          <w:sz w:val="24"/>
          <w:lang w:eastAsia="zh-CN"/>
        </w:rPr>
        <w:t>）</w:t>
      </w:r>
      <w:r>
        <w:rPr>
          <w:rFonts w:hint="eastAsia" w:ascii="宋体" w:hAnsi="宋体"/>
          <w:sz w:val="24"/>
        </w:rPr>
        <w:t>（1人）：统筹场馆综合运行管理，对接甲方各部门，协调各服务模块</w:t>
      </w:r>
      <w:r>
        <w:rPr>
          <w:rFonts w:hint="eastAsia" w:ascii="宋体" w:hAnsi="宋体"/>
          <w:sz w:val="24"/>
          <w:lang w:eastAsia="zh-CN"/>
        </w:rPr>
        <w:t>。具有大专及以上学历，从事类似物业项目3年以上，具有高级物业经理证书或一级/高级物业管理师证书的优先考虑。需提供开标前三个月中任意一个月由投标人为项目负责人缴纳社保的证明。</w:t>
      </w:r>
    </w:p>
    <w:p w14:paraId="3362AC70">
      <w:pPr>
        <w:spacing w:line="360" w:lineRule="auto"/>
        <w:ind w:left="720" w:hanging="720" w:hangingChars="300"/>
        <w:rPr>
          <w:rFonts w:hint="eastAsia" w:ascii="宋体" w:hAnsi="宋体" w:eastAsia="宋体"/>
          <w:sz w:val="24"/>
          <w:lang w:eastAsia="zh-CN"/>
        </w:rPr>
      </w:pPr>
      <w:r>
        <w:rPr>
          <w:rFonts w:hint="eastAsia" w:ascii="宋体" w:hAnsi="宋体"/>
          <w:sz w:val="24"/>
        </w:rPr>
        <w:t>2.2.2综合主管（1人）：物业团队内部行政管理（考勤、排班、薪酬核算、 社保申报、入职离职办理等）；员工档案、劳动合同管理；人员培训记录归档；岗位考核资料归集；配合甲方开展物业人员管理，确保在岗人数、持证情况符合招标需求及财政绩效要求</w:t>
      </w:r>
      <w:r>
        <w:rPr>
          <w:rFonts w:hint="eastAsia" w:ascii="宋体" w:hAnsi="宋体"/>
          <w:sz w:val="24"/>
          <w:lang w:eastAsia="zh-CN"/>
        </w:rPr>
        <w:t>。</w:t>
      </w:r>
    </w:p>
    <w:p w14:paraId="44953C10">
      <w:pPr>
        <w:spacing w:line="360" w:lineRule="auto"/>
        <w:ind w:left="720" w:hanging="720" w:hangingChars="300"/>
        <w:rPr>
          <w:rFonts w:hint="eastAsia" w:ascii="宋体" w:hAnsi="宋体" w:eastAsia="宋体"/>
          <w:sz w:val="24"/>
          <w:lang w:eastAsia="zh-CN"/>
        </w:rPr>
      </w:pPr>
      <w:r>
        <w:rPr>
          <w:rFonts w:hint="eastAsia" w:ascii="宋体" w:hAnsi="宋体"/>
          <w:sz w:val="24"/>
        </w:rPr>
        <w:t>2.2.3行政文员（1人）：场馆运行各类台账、文件、报表的起草、收发、归档、保密管理；会议记录、月度报告、专项报告等文字材料撰写与报送；往来文件、合同、检测报告等档案的电子化归集与保管</w:t>
      </w:r>
      <w:r>
        <w:rPr>
          <w:rFonts w:hint="eastAsia" w:ascii="宋体" w:hAnsi="宋体"/>
          <w:sz w:val="24"/>
          <w:lang w:eastAsia="zh-CN"/>
        </w:rPr>
        <w:t>。</w:t>
      </w:r>
    </w:p>
    <w:p w14:paraId="4C071340">
      <w:pPr>
        <w:pStyle w:val="5"/>
      </w:pPr>
    </w:p>
    <w:p w14:paraId="4165E378">
      <w:pPr>
        <w:spacing w:line="360" w:lineRule="auto"/>
        <w:rPr>
          <w:rFonts w:ascii="宋体" w:hAnsi="宋体"/>
          <w:sz w:val="24"/>
        </w:rPr>
      </w:pPr>
    </w:p>
    <w:p w14:paraId="3F51D9C1">
      <w:pPr>
        <w:spacing w:line="360" w:lineRule="auto"/>
        <w:jc w:val="center"/>
        <w:rPr>
          <w:rFonts w:ascii="宋体" w:hAnsi="宋体"/>
          <w:sz w:val="28"/>
          <w:szCs w:val="28"/>
        </w:rPr>
      </w:pPr>
      <w:r>
        <w:rPr>
          <w:rFonts w:hint="eastAsia" w:ascii="宋体" w:hAnsi="宋体"/>
          <w:sz w:val="28"/>
          <w:szCs w:val="28"/>
        </w:rPr>
        <w:t>第三章 参观服务管理</w:t>
      </w:r>
    </w:p>
    <w:p w14:paraId="03DC77A5">
      <w:pPr>
        <w:spacing w:line="360" w:lineRule="auto"/>
        <w:rPr>
          <w:rFonts w:ascii="宋体" w:hAnsi="宋体"/>
          <w:b/>
          <w:bCs/>
          <w:sz w:val="24"/>
        </w:rPr>
      </w:pPr>
      <w:r>
        <w:rPr>
          <w:rFonts w:hint="eastAsia" w:ascii="宋体" w:hAnsi="宋体"/>
          <w:b/>
          <w:bCs/>
          <w:sz w:val="24"/>
        </w:rPr>
        <w:t>3.1服务内容</w:t>
      </w:r>
    </w:p>
    <w:p w14:paraId="6472A336">
      <w:pPr>
        <w:spacing w:line="360" w:lineRule="auto"/>
        <w:ind w:firstLine="480" w:firstLineChars="200"/>
        <w:rPr>
          <w:rFonts w:ascii="宋体" w:hAnsi="宋体"/>
          <w:sz w:val="24"/>
        </w:rPr>
      </w:pPr>
      <w:r>
        <w:rPr>
          <w:rFonts w:hint="eastAsia" w:ascii="宋体" w:hAnsi="宋体"/>
          <w:sz w:val="24"/>
        </w:rPr>
        <w:t>面向全体访客，提供问询接待、残障援助、物品寄存、失物招领、投诉受理、</w:t>
      </w:r>
      <w:r>
        <w:rPr>
          <w:rFonts w:hint="eastAsia" w:ascii="宋体" w:hAnsi="宋体"/>
          <w:sz w:val="24"/>
          <w:lang w:val="en-US" w:eastAsia="zh-CN"/>
        </w:rPr>
        <w:t>接待会务、</w:t>
      </w:r>
      <w:r>
        <w:rPr>
          <w:rFonts w:hint="eastAsia" w:ascii="宋体" w:hAnsi="宋体"/>
          <w:sz w:val="24"/>
        </w:rPr>
        <w:t>参观引导服务；服务对象包含团体预约学生、散客青少年、教师、专家访客，覆盖日常开放、课程教学、科创赛事、限时临展全场景。</w:t>
      </w:r>
    </w:p>
    <w:p w14:paraId="1F363044">
      <w:pPr>
        <w:spacing w:line="360" w:lineRule="auto"/>
        <w:ind w:left="720" w:hanging="720" w:hangingChars="300"/>
        <w:rPr>
          <w:rFonts w:ascii="宋体" w:hAnsi="宋体"/>
          <w:sz w:val="24"/>
        </w:rPr>
      </w:pPr>
      <w:r>
        <w:rPr>
          <w:rFonts w:hint="eastAsia" w:ascii="宋体" w:hAnsi="宋体"/>
          <w:sz w:val="24"/>
        </w:rPr>
        <w:t>3.1.1前台岗位（2人）：访客问询、团体预约核验、物品寄存、失物招领登记保管、来访投诉登记、资料物品收发。</w:t>
      </w:r>
    </w:p>
    <w:p w14:paraId="340ACD07">
      <w:pPr>
        <w:spacing w:line="360" w:lineRule="auto"/>
        <w:rPr>
          <w:rFonts w:ascii="宋体" w:hAnsi="宋体"/>
          <w:sz w:val="24"/>
        </w:rPr>
      </w:pPr>
      <w:r>
        <w:rPr>
          <w:rFonts w:hint="eastAsia" w:ascii="宋体" w:hAnsi="宋体"/>
          <w:sz w:val="24"/>
        </w:rPr>
        <w:t>3.1.2体验引导员（10人）：B1</w:t>
      </w:r>
      <w:r>
        <w:rPr>
          <w:rFonts w:hint="eastAsia" w:ascii="宋体" w:hAnsi="宋体"/>
          <w:sz w:val="24"/>
        </w:rPr>
        <w:noBreakHyphen/>
      </w:r>
      <w:r>
        <w:rPr>
          <w:rFonts w:hint="eastAsia" w:ascii="宋体" w:hAnsi="宋体"/>
          <w:sz w:val="24"/>
        </w:rPr>
        <w:t>5F 每楼层配置1-2人，楼层巡回引导，参观</w:t>
      </w:r>
    </w:p>
    <w:p w14:paraId="72BCC31A">
      <w:pPr>
        <w:spacing w:line="360" w:lineRule="auto"/>
        <w:ind w:left="718" w:leftChars="342"/>
        <w:rPr>
          <w:rFonts w:ascii="宋体" w:hAnsi="宋体"/>
          <w:sz w:val="24"/>
        </w:rPr>
      </w:pPr>
      <w:r>
        <w:rPr>
          <w:rFonts w:hint="eastAsia" w:ascii="宋体" w:hAnsi="宋体"/>
          <w:sz w:val="24"/>
        </w:rPr>
        <w:t>路线指引，大厅检票，人流疏导，劝导不文明参观行为，发现安全隐患及时上报，配合业主方完成贵宾接待保障工作。</w:t>
      </w:r>
    </w:p>
    <w:p w14:paraId="49113346">
      <w:pPr>
        <w:spacing w:line="360" w:lineRule="auto"/>
        <w:rPr>
          <w:rFonts w:ascii="宋体" w:hAnsi="宋体"/>
          <w:b/>
          <w:bCs/>
          <w:sz w:val="24"/>
        </w:rPr>
      </w:pPr>
      <w:r>
        <w:rPr>
          <w:rFonts w:hint="eastAsia" w:ascii="宋体" w:hAnsi="宋体"/>
          <w:b/>
          <w:bCs/>
          <w:sz w:val="24"/>
        </w:rPr>
        <w:t>3.2作业标准</w:t>
      </w:r>
    </w:p>
    <w:p w14:paraId="5AF3DD12">
      <w:pPr>
        <w:spacing w:line="360" w:lineRule="auto"/>
        <w:ind w:left="720" w:hanging="720" w:hangingChars="300"/>
        <w:rPr>
          <w:rFonts w:ascii="宋体" w:hAnsi="宋体"/>
          <w:sz w:val="24"/>
        </w:rPr>
      </w:pPr>
      <w:r>
        <w:rPr>
          <w:rFonts w:hint="eastAsia" w:ascii="宋体" w:hAnsi="宋体"/>
          <w:sz w:val="24"/>
        </w:rPr>
        <w:t>3.2.1场馆开放时段全员在岗，闭馆分时段逐层清场提醒；周末、寒暑假、大型活动增加楼层巡视频次。</w:t>
      </w:r>
    </w:p>
    <w:p w14:paraId="4B98FE3D">
      <w:pPr>
        <w:spacing w:line="360" w:lineRule="auto"/>
        <w:ind w:left="720" w:hanging="720" w:hangingChars="300"/>
        <w:rPr>
          <w:rFonts w:ascii="宋体" w:hAnsi="宋体"/>
          <w:sz w:val="24"/>
        </w:rPr>
      </w:pPr>
      <w:r>
        <w:rPr>
          <w:rFonts w:hint="eastAsia" w:ascii="宋体" w:hAnsi="宋体"/>
          <w:sz w:val="24"/>
        </w:rPr>
        <w:t>3.2.2投诉执行登记、处置、反馈、回访闭环管理，做好台账记录，及时报送市科艺中心相关业务管理部门。</w:t>
      </w:r>
    </w:p>
    <w:p w14:paraId="5EED5116">
      <w:pPr>
        <w:spacing w:line="360" w:lineRule="auto"/>
        <w:rPr>
          <w:rFonts w:ascii="宋体" w:hAnsi="宋体"/>
          <w:sz w:val="24"/>
        </w:rPr>
      </w:pPr>
      <w:r>
        <w:rPr>
          <w:rFonts w:hint="eastAsia" w:ascii="宋体" w:hAnsi="宋体"/>
          <w:sz w:val="24"/>
        </w:rPr>
        <w:t>3.2.3为残障、行动不便访客提供无障碍通行指引与协助服务。</w:t>
      </w:r>
    </w:p>
    <w:p w14:paraId="3C735B42">
      <w:pPr>
        <w:spacing w:line="360" w:lineRule="auto"/>
        <w:ind w:left="720" w:hanging="720" w:hangingChars="300"/>
        <w:rPr>
          <w:rFonts w:ascii="宋体" w:hAnsi="宋体"/>
          <w:sz w:val="24"/>
        </w:rPr>
      </w:pPr>
      <w:r>
        <w:rPr>
          <w:rFonts w:hint="eastAsia" w:ascii="宋体" w:hAnsi="宋体"/>
          <w:sz w:val="24"/>
        </w:rPr>
        <w:t>3.2.4全员统一工装佩戴工牌，开展场馆基础培训，熟知各楼层功能空间、课程点位、卫生间、</w:t>
      </w:r>
      <w:r>
        <w:rPr>
          <w:rFonts w:hint="eastAsia" w:ascii="宋体" w:hAnsi="宋体"/>
          <w:sz w:val="24"/>
          <w:highlight w:val="none"/>
        </w:rPr>
        <w:t>应急救护</w:t>
      </w:r>
      <w:r>
        <w:rPr>
          <w:rFonts w:hint="eastAsia" w:ascii="宋体" w:hAnsi="宋体"/>
          <w:sz w:val="24"/>
        </w:rPr>
        <w:t>点位位置等。</w:t>
      </w:r>
    </w:p>
    <w:p w14:paraId="6D13D69D">
      <w:pPr>
        <w:spacing w:line="360" w:lineRule="auto"/>
        <w:ind w:left="720" w:hanging="720" w:hangingChars="300"/>
        <w:rPr>
          <w:rFonts w:ascii="宋体" w:hAnsi="宋体"/>
          <w:sz w:val="24"/>
        </w:rPr>
      </w:pPr>
      <w:r>
        <w:rPr>
          <w:rFonts w:hint="eastAsia" w:ascii="宋体" w:hAnsi="宋体"/>
          <w:sz w:val="24"/>
        </w:rPr>
        <w:t>3.2.5全员礼仪培训，贵宾接待保障工作应提前开展现场踏勘，制定保障预案，与安保、保洁等岗位联动。</w:t>
      </w:r>
    </w:p>
    <w:p w14:paraId="065971D5">
      <w:pPr>
        <w:spacing w:line="360" w:lineRule="auto"/>
        <w:rPr>
          <w:rFonts w:ascii="宋体" w:hAnsi="宋体"/>
          <w:b/>
          <w:bCs/>
          <w:sz w:val="24"/>
        </w:rPr>
      </w:pPr>
      <w:r>
        <w:rPr>
          <w:rFonts w:hint="eastAsia" w:ascii="宋体" w:hAnsi="宋体"/>
          <w:b/>
          <w:bCs/>
          <w:sz w:val="24"/>
        </w:rPr>
        <w:t>3.3高峰保障</w:t>
      </w:r>
    </w:p>
    <w:p w14:paraId="0062BA6C">
      <w:pPr>
        <w:spacing w:line="360" w:lineRule="auto"/>
        <w:ind w:firstLine="480" w:firstLineChars="200"/>
        <w:rPr>
          <w:rFonts w:ascii="宋体" w:hAnsi="宋体"/>
          <w:sz w:val="24"/>
        </w:rPr>
      </w:pPr>
      <w:r>
        <w:rPr>
          <w:rFonts w:hint="eastAsia" w:ascii="宋体" w:hAnsi="宋体"/>
          <w:sz w:val="24"/>
        </w:rPr>
        <w:t>寒暑假、大型科创赛事、江景讲堂活动、国际交流活动期间，调度机动人力支援大厅、楼梯、开放体验空间，重点防范青少年拥挤、追逐打闹引发的安全风险。</w:t>
      </w:r>
    </w:p>
    <w:p w14:paraId="762C9942">
      <w:pPr>
        <w:spacing w:line="360" w:lineRule="auto"/>
        <w:rPr>
          <w:rFonts w:hint="eastAsia" w:ascii="宋体" w:hAnsi="宋体" w:eastAsia="宋体"/>
          <w:b/>
          <w:bCs/>
          <w:sz w:val="24"/>
          <w:lang w:val="en-US" w:eastAsia="zh-CN"/>
        </w:rPr>
      </w:pPr>
      <w:r>
        <w:rPr>
          <w:rFonts w:hint="default" w:ascii="宋体" w:hAnsi="宋体"/>
          <w:b/>
          <w:bCs/>
          <w:sz w:val="24"/>
          <w:lang w:val="en-US"/>
        </w:rPr>
        <w:t>3.4</w:t>
      </w:r>
      <w:r>
        <w:rPr>
          <w:rFonts w:hint="eastAsia" w:ascii="宋体" w:hAnsi="宋体"/>
          <w:b/>
          <w:bCs/>
          <w:sz w:val="24"/>
          <w:lang w:val="en-US" w:eastAsia="zh-CN"/>
        </w:rPr>
        <w:t>备注</w:t>
      </w:r>
    </w:p>
    <w:p w14:paraId="70F97244">
      <w:pPr>
        <w:spacing w:line="360" w:lineRule="auto"/>
        <w:ind w:left="720" w:hanging="720" w:hangingChars="300"/>
        <w:rPr>
          <w:rFonts w:ascii="宋体" w:hAnsi="宋体"/>
          <w:sz w:val="24"/>
        </w:rPr>
      </w:pPr>
      <w:r>
        <w:rPr>
          <w:rFonts w:hint="default" w:ascii="宋体" w:hAnsi="宋体"/>
          <w:sz w:val="24"/>
          <w:lang w:val="en-US"/>
        </w:rPr>
        <w:t>3.4.1</w:t>
      </w:r>
      <w:r>
        <w:rPr>
          <w:rFonts w:hint="eastAsia" w:ascii="宋体" w:hAnsi="宋体"/>
          <w:sz w:val="24"/>
          <w:lang w:val="en-US" w:eastAsia="zh-CN"/>
        </w:rPr>
        <w:t>根据本项目于实际需求，物业还需提供基本的贵宾接待、会务服务，其中包含</w:t>
      </w:r>
      <w:r>
        <w:rPr>
          <w:rFonts w:hint="eastAsia" w:ascii="宋体" w:hAnsi="宋体"/>
          <w:sz w:val="24"/>
        </w:rPr>
        <w:t>贵宾接待的前期准备、迎送、陪同等各项服务工作。</w:t>
      </w:r>
    </w:p>
    <w:p w14:paraId="7B3B324B">
      <w:pPr>
        <w:pStyle w:val="5"/>
        <w:rPr>
          <w:rFonts w:ascii="宋体" w:hAnsi="宋体"/>
          <w:sz w:val="24"/>
        </w:rPr>
      </w:pPr>
    </w:p>
    <w:p w14:paraId="04230C9A">
      <w:pPr>
        <w:spacing w:line="360" w:lineRule="auto"/>
        <w:ind w:firstLine="480" w:firstLineChars="200"/>
        <w:rPr>
          <w:rFonts w:ascii="宋体" w:hAnsi="宋体"/>
          <w:sz w:val="24"/>
        </w:rPr>
      </w:pPr>
    </w:p>
    <w:p w14:paraId="58563A2B">
      <w:pPr>
        <w:spacing w:line="360" w:lineRule="auto"/>
        <w:jc w:val="center"/>
        <w:rPr>
          <w:rFonts w:ascii="宋体" w:hAnsi="宋体"/>
          <w:sz w:val="24"/>
          <w:highlight w:val="none"/>
        </w:rPr>
      </w:pPr>
      <w:r>
        <w:rPr>
          <w:rFonts w:hint="eastAsia" w:ascii="宋体" w:hAnsi="宋体"/>
          <w:sz w:val="28"/>
          <w:szCs w:val="28"/>
          <w:highlight w:val="none"/>
        </w:rPr>
        <w:t>第四章 就餐管理与服务</w:t>
      </w:r>
    </w:p>
    <w:p w14:paraId="7974A15D">
      <w:pPr>
        <w:spacing w:line="360" w:lineRule="auto"/>
        <w:rPr>
          <w:rFonts w:ascii="宋体" w:hAnsi="宋体"/>
          <w:b/>
          <w:bCs/>
          <w:sz w:val="24"/>
        </w:rPr>
      </w:pPr>
      <w:r>
        <w:rPr>
          <w:rFonts w:hint="eastAsia" w:ascii="宋体" w:hAnsi="宋体"/>
          <w:b/>
          <w:bCs/>
          <w:sz w:val="24"/>
        </w:rPr>
        <w:t>4.1服务范围</w:t>
      </w:r>
    </w:p>
    <w:p w14:paraId="6C9FB740">
      <w:pPr>
        <w:spacing w:line="360" w:lineRule="auto"/>
        <w:ind w:firstLine="480" w:firstLineChars="200"/>
        <w:rPr>
          <w:rFonts w:ascii="宋体" w:hAnsi="宋体"/>
          <w:sz w:val="24"/>
        </w:rPr>
      </w:pPr>
      <w:r>
        <w:rPr>
          <w:rFonts w:hint="eastAsia" w:ascii="宋体" w:hAnsi="宋体"/>
          <w:sz w:val="24"/>
        </w:rPr>
        <w:t>地下一层食堂区域，服务对象包括学生、授课导师、工作人员、赛事参与人员等。</w:t>
      </w:r>
    </w:p>
    <w:p w14:paraId="3A7755E3">
      <w:pPr>
        <w:spacing w:line="360" w:lineRule="auto"/>
        <w:rPr>
          <w:rFonts w:ascii="宋体" w:hAnsi="宋体"/>
          <w:sz w:val="24"/>
        </w:rPr>
      </w:pPr>
      <w:r>
        <w:rPr>
          <w:rFonts w:hint="eastAsia" w:ascii="宋体" w:hAnsi="宋体"/>
          <w:sz w:val="24"/>
        </w:rPr>
        <w:t>4.1.1岗位配置：就餐管理员1人、就餐服务员2人，均须持有健康证。</w:t>
      </w:r>
    </w:p>
    <w:p w14:paraId="42D5466B">
      <w:pPr>
        <w:spacing w:line="360" w:lineRule="auto"/>
        <w:rPr>
          <w:rFonts w:ascii="宋体" w:hAnsi="宋体"/>
          <w:b/>
          <w:bCs/>
          <w:sz w:val="24"/>
        </w:rPr>
      </w:pPr>
      <w:r>
        <w:rPr>
          <w:rFonts w:hint="eastAsia" w:ascii="宋体" w:hAnsi="宋体"/>
          <w:b/>
          <w:bCs/>
          <w:sz w:val="24"/>
        </w:rPr>
        <w:t>4.2主要工作内容</w:t>
      </w:r>
    </w:p>
    <w:p w14:paraId="15F96AA1">
      <w:pPr>
        <w:spacing w:line="360" w:lineRule="auto"/>
        <w:ind w:left="720" w:hanging="720" w:hangingChars="300"/>
        <w:rPr>
          <w:rFonts w:ascii="宋体" w:hAnsi="宋体"/>
          <w:sz w:val="24"/>
        </w:rPr>
      </w:pPr>
      <w:r>
        <w:rPr>
          <w:rFonts w:hint="eastAsia" w:ascii="宋体" w:hAnsi="宋体"/>
          <w:sz w:val="24"/>
        </w:rPr>
        <w:t>4.2.1监督餐饮服务商生产、配送、出餐全流程；开展每日巡场，读到餐厅服务质量，协助处理就餐投诉。</w:t>
      </w:r>
    </w:p>
    <w:p w14:paraId="3F3DB0EC">
      <w:pPr>
        <w:spacing w:line="360" w:lineRule="auto"/>
        <w:rPr>
          <w:rFonts w:ascii="宋体" w:hAnsi="宋体"/>
          <w:sz w:val="24"/>
        </w:rPr>
      </w:pPr>
      <w:r>
        <w:rPr>
          <w:rFonts w:hint="eastAsia" w:ascii="宋体" w:hAnsi="宋体"/>
          <w:sz w:val="24"/>
        </w:rPr>
        <w:t>4.2.2统筹就餐需求，根据课程、赛事活动人数对接配餐。</w:t>
      </w:r>
    </w:p>
    <w:p w14:paraId="394F0A82">
      <w:pPr>
        <w:spacing w:line="360" w:lineRule="auto"/>
        <w:rPr>
          <w:rFonts w:ascii="宋体" w:hAnsi="宋体"/>
          <w:sz w:val="24"/>
        </w:rPr>
      </w:pPr>
      <w:r>
        <w:rPr>
          <w:rFonts w:hint="eastAsia" w:ascii="宋体" w:hAnsi="宋体"/>
          <w:sz w:val="24"/>
        </w:rPr>
        <w:t>4.2.3提供就餐分餐辅助服务，维护就餐现场秩序，餐后场地清理监督。</w:t>
      </w:r>
    </w:p>
    <w:p w14:paraId="50A63C5F">
      <w:pPr>
        <w:spacing w:line="360" w:lineRule="auto"/>
        <w:rPr>
          <w:rFonts w:ascii="宋体" w:hAnsi="宋体"/>
          <w:sz w:val="24"/>
        </w:rPr>
      </w:pPr>
      <w:r>
        <w:rPr>
          <w:rFonts w:hint="eastAsia" w:ascii="宋体" w:hAnsi="宋体"/>
          <w:sz w:val="24"/>
        </w:rPr>
        <w:t>4.2.4食堂公共区域设施巡检，发现设施损坏及时报修。</w:t>
      </w:r>
    </w:p>
    <w:p w14:paraId="652E1E45">
      <w:pPr>
        <w:spacing w:line="360" w:lineRule="auto"/>
        <w:rPr>
          <w:rFonts w:ascii="宋体" w:hAnsi="宋体"/>
          <w:b/>
          <w:bCs/>
          <w:sz w:val="24"/>
        </w:rPr>
      </w:pPr>
      <w:r>
        <w:rPr>
          <w:rFonts w:hint="eastAsia" w:ascii="宋体" w:hAnsi="宋体"/>
          <w:b/>
          <w:bCs/>
          <w:sz w:val="24"/>
        </w:rPr>
        <w:t>4.3管控要点</w:t>
      </w:r>
    </w:p>
    <w:p w14:paraId="70CB158C">
      <w:pPr>
        <w:spacing w:line="360" w:lineRule="auto"/>
        <w:rPr>
          <w:rFonts w:hint="eastAsia" w:ascii="宋体" w:hAnsi="宋体" w:eastAsia="宋体"/>
          <w:sz w:val="24"/>
          <w:lang w:eastAsia="zh-CN"/>
        </w:rPr>
      </w:pPr>
      <w:r>
        <w:rPr>
          <w:rFonts w:hint="eastAsia" w:ascii="宋体" w:hAnsi="宋体"/>
          <w:sz w:val="24"/>
        </w:rPr>
        <w:t>4.3.1做好就餐高峰人流疏导</w:t>
      </w:r>
      <w:r>
        <w:rPr>
          <w:rFonts w:hint="eastAsia" w:ascii="宋体" w:hAnsi="宋体"/>
          <w:sz w:val="24"/>
          <w:lang w:eastAsia="zh-CN"/>
        </w:rPr>
        <w:t>。</w:t>
      </w:r>
    </w:p>
    <w:p w14:paraId="4C7374DE">
      <w:pPr>
        <w:spacing w:line="360" w:lineRule="auto"/>
        <w:rPr>
          <w:rFonts w:ascii="宋体" w:hAnsi="宋体"/>
          <w:sz w:val="24"/>
        </w:rPr>
      </w:pPr>
      <w:r>
        <w:rPr>
          <w:rFonts w:hint="eastAsia" w:ascii="宋体" w:hAnsi="宋体"/>
          <w:sz w:val="24"/>
        </w:rPr>
        <w:t>4.4.2大型赛事、集中研学课程，提前制定就餐专项保障方案，做好就餐台账。</w:t>
      </w:r>
    </w:p>
    <w:p w14:paraId="338DB1C3">
      <w:pPr>
        <w:spacing w:line="360" w:lineRule="auto"/>
        <w:rPr>
          <w:rFonts w:ascii="宋体" w:hAnsi="宋体"/>
          <w:sz w:val="24"/>
        </w:rPr>
      </w:pPr>
    </w:p>
    <w:p w14:paraId="48CD4FA2">
      <w:pPr>
        <w:spacing w:line="360" w:lineRule="auto"/>
        <w:jc w:val="center"/>
        <w:rPr>
          <w:rFonts w:ascii="宋体" w:hAnsi="宋体"/>
          <w:sz w:val="28"/>
          <w:szCs w:val="28"/>
        </w:rPr>
      </w:pPr>
      <w:r>
        <w:rPr>
          <w:rFonts w:hint="eastAsia" w:ascii="宋体" w:hAnsi="宋体"/>
          <w:sz w:val="28"/>
          <w:szCs w:val="28"/>
        </w:rPr>
        <w:t>第五章 赛场管理</w:t>
      </w:r>
    </w:p>
    <w:p w14:paraId="2D13F5C8">
      <w:pPr>
        <w:spacing w:line="360" w:lineRule="auto"/>
        <w:rPr>
          <w:rFonts w:ascii="宋体" w:hAnsi="宋体"/>
          <w:b/>
          <w:bCs/>
          <w:sz w:val="24"/>
        </w:rPr>
      </w:pPr>
      <w:r>
        <w:rPr>
          <w:rFonts w:hint="eastAsia" w:ascii="宋体" w:hAnsi="宋体"/>
          <w:b/>
          <w:bCs/>
          <w:sz w:val="24"/>
        </w:rPr>
        <w:t>5.1服务范围</w:t>
      </w:r>
    </w:p>
    <w:p w14:paraId="11A7640F">
      <w:pPr>
        <w:spacing w:line="360" w:lineRule="auto"/>
        <w:ind w:firstLine="480" w:firstLineChars="200"/>
        <w:rPr>
          <w:rFonts w:ascii="宋体" w:hAnsi="宋体"/>
          <w:sz w:val="24"/>
        </w:rPr>
      </w:pPr>
      <w:r>
        <w:rPr>
          <w:rFonts w:hint="eastAsia" w:ascii="宋体" w:hAnsi="宋体"/>
          <w:sz w:val="24"/>
        </w:rPr>
        <w:t>地下一层科技赛场、江景讲堂、弯曲时空、螺旋楼梯，承担科技原创赛场赛事、江景讲堂开放交流活动、弯曲时空开放观影、螺旋楼梯校外导师研修学院、限时临展配套活动、国际交流论坛等活动保障。</w:t>
      </w:r>
    </w:p>
    <w:p w14:paraId="607B6492">
      <w:pPr>
        <w:spacing w:line="360" w:lineRule="auto"/>
        <w:ind w:left="720" w:hanging="720" w:hangingChars="300"/>
        <w:rPr>
          <w:rFonts w:ascii="宋体" w:hAnsi="宋体"/>
          <w:sz w:val="24"/>
        </w:rPr>
      </w:pPr>
      <w:r>
        <w:rPr>
          <w:rFonts w:hint="eastAsia" w:ascii="宋体" w:hAnsi="宋体"/>
          <w:sz w:val="24"/>
        </w:rPr>
        <w:t>5.1.1岗位配置：赛事活动主管1人、设备专员3人、场务专员1人，合计5人。</w:t>
      </w:r>
    </w:p>
    <w:p w14:paraId="682814E6">
      <w:pPr>
        <w:spacing w:line="360" w:lineRule="auto"/>
        <w:rPr>
          <w:rFonts w:ascii="宋体" w:hAnsi="宋体"/>
          <w:b/>
          <w:bCs/>
          <w:sz w:val="24"/>
        </w:rPr>
      </w:pPr>
      <w:r>
        <w:rPr>
          <w:rFonts w:hint="eastAsia" w:ascii="宋体" w:hAnsi="宋体"/>
          <w:b/>
          <w:bCs/>
          <w:sz w:val="24"/>
        </w:rPr>
        <w:t>5.2主要工作内容</w:t>
      </w:r>
    </w:p>
    <w:p w14:paraId="4276EF45">
      <w:pPr>
        <w:spacing w:line="360" w:lineRule="auto"/>
        <w:ind w:firstLine="480" w:firstLineChars="200"/>
        <w:rPr>
          <w:rFonts w:ascii="宋体" w:hAnsi="宋体"/>
          <w:sz w:val="24"/>
        </w:rPr>
      </w:pPr>
      <w:r>
        <w:rPr>
          <w:rFonts w:hint="eastAsia" w:ascii="宋体" w:hAnsi="宋体"/>
          <w:sz w:val="24"/>
        </w:rPr>
        <w:t>主要负责各类赛事及活动的灯光、音响、音视频、场务等保障服务。</w:t>
      </w:r>
    </w:p>
    <w:p w14:paraId="0879E49A">
      <w:pPr>
        <w:spacing w:line="360" w:lineRule="auto"/>
        <w:ind w:left="720" w:hanging="720" w:hangingChars="300"/>
        <w:rPr>
          <w:rFonts w:ascii="宋体" w:hAnsi="宋体"/>
          <w:sz w:val="24"/>
        </w:rPr>
      </w:pPr>
      <w:r>
        <w:rPr>
          <w:rFonts w:hint="eastAsia" w:ascii="宋体" w:hAnsi="宋体"/>
          <w:sz w:val="24"/>
        </w:rPr>
        <w:t>5.2.1前期筹备：接收活动工单，完成场地检查，灯光、音响、音视频设备调试，场务布置，物料进场管控。</w:t>
      </w:r>
    </w:p>
    <w:p w14:paraId="7CF8A8D9">
      <w:pPr>
        <w:spacing w:line="360" w:lineRule="auto"/>
        <w:ind w:left="720" w:hanging="720" w:hangingChars="300"/>
        <w:rPr>
          <w:rFonts w:ascii="宋体" w:hAnsi="宋体"/>
          <w:sz w:val="24"/>
        </w:rPr>
      </w:pPr>
      <w:r>
        <w:rPr>
          <w:rFonts w:hint="eastAsia" w:ascii="宋体" w:hAnsi="宋体"/>
          <w:sz w:val="24"/>
        </w:rPr>
        <w:t>5.2.2活动保障：赛事、讲堂、研修、论坛活动开展期间，岗位值守，现场场务保障，配合处置现场突发状况。</w:t>
      </w:r>
    </w:p>
    <w:p w14:paraId="449C7F03">
      <w:pPr>
        <w:spacing w:line="360" w:lineRule="auto"/>
        <w:ind w:left="720" w:hanging="720" w:hangingChars="300"/>
        <w:rPr>
          <w:rFonts w:ascii="宋体" w:hAnsi="宋体"/>
          <w:sz w:val="24"/>
        </w:rPr>
      </w:pPr>
      <w:r>
        <w:rPr>
          <w:rFonts w:hint="eastAsia" w:ascii="宋体" w:hAnsi="宋体"/>
          <w:sz w:val="24"/>
        </w:rPr>
        <w:t>5.2.3活动结束：监督撤场作业，完成场地复原，设备关机检查，物料清点，问题记录上报。</w:t>
      </w:r>
    </w:p>
    <w:p w14:paraId="405C870E">
      <w:pPr>
        <w:spacing w:line="360" w:lineRule="auto"/>
        <w:rPr>
          <w:rFonts w:ascii="宋体" w:hAnsi="宋体"/>
          <w:b/>
          <w:bCs/>
          <w:sz w:val="24"/>
        </w:rPr>
      </w:pPr>
      <w:r>
        <w:rPr>
          <w:rFonts w:hint="eastAsia" w:ascii="宋体" w:hAnsi="宋体"/>
          <w:b/>
          <w:bCs/>
          <w:sz w:val="24"/>
        </w:rPr>
        <w:t>5.3管控标准</w:t>
      </w:r>
    </w:p>
    <w:p w14:paraId="6BE3984B">
      <w:pPr>
        <w:spacing w:line="360" w:lineRule="auto"/>
        <w:rPr>
          <w:rFonts w:ascii="宋体" w:hAnsi="宋体"/>
          <w:sz w:val="24"/>
        </w:rPr>
      </w:pPr>
      <w:r>
        <w:rPr>
          <w:rFonts w:hint="eastAsia" w:ascii="宋体" w:hAnsi="宋体"/>
          <w:sz w:val="24"/>
        </w:rPr>
        <w:t>5.3.1赛场全部技术岗位人员持证</w:t>
      </w:r>
      <w:r>
        <w:rPr>
          <w:rFonts w:hint="eastAsia" w:ascii="宋体" w:hAnsi="宋体"/>
          <w:sz w:val="24"/>
          <w:lang w:eastAsia="zh-CN"/>
        </w:rPr>
        <w:t>（低压电工证）</w:t>
      </w:r>
      <w:r>
        <w:rPr>
          <w:rFonts w:hint="eastAsia" w:ascii="宋体" w:hAnsi="宋体"/>
          <w:sz w:val="24"/>
        </w:rPr>
        <w:t xml:space="preserve">上岗，熟悉赛场、江景讲堂设备基础操作。 </w:t>
      </w:r>
    </w:p>
    <w:p w14:paraId="542BC136">
      <w:pPr>
        <w:spacing w:line="360" w:lineRule="auto"/>
        <w:rPr>
          <w:rFonts w:ascii="宋体" w:hAnsi="宋体"/>
          <w:sz w:val="24"/>
        </w:rPr>
      </w:pPr>
      <w:r>
        <w:rPr>
          <w:rFonts w:hint="eastAsia" w:ascii="宋体" w:hAnsi="宋体"/>
          <w:sz w:val="24"/>
        </w:rPr>
        <w:t>5.3.2大型赛事提前编制专项保障方案，联动安保、保洁岗位。</w:t>
      </w:r>
    </w:p>
    <w:p w14:paraId="058424D4">
      <w:pPr>
        <w:spacing w:line="360" w:lineRule="auto"/>
        <w:rPr>
          <w:rFonts w:ascii="宋体" w:hAnsi="宋体"/>
          <w:sz w:val="24"/>
        </w:rPr>
      </w:pPr>
      <w:r>
        <w:rPr>
          <w:rFonts w:hint="eastAsia" w:ascii="宋体" w:hAnsi="宋体"/>
          <w:sz w:val="24"/>
        </w:rPr>
        <w:t>5.3.3建立音视频、灯光、音响设备故障应急处置预案。</w:t>
      </w:r>
    </w:p>
    <w:p w14:paraId="7BC1C111">
      <w:pPr>
        <w:spacing w:line="360" w:lineRule="auto"/>
        <w:rPr>
          <w:rFonts w:hint="eastAsia" w:ascii="宋体" w:hAnsi="宋体" w:eastAsia="宋体"/>
          <w:b/>
          <w:bCs/>
          <w:sz w:val="24"/>
          <w:lang w:eastAsia="zh-CN"/>
        </w:rPr>
      </w:pPr>
      <w:r>
        <w:rPr>
          <w:rFonts w:hint="eastAsia" w:ascii="宋体" w:hAnsi="宋体"/>
          <w:b/>
          <w:bCs/>
          <w:sz w:val="24"/>
        </w:rPr>
        <w:t>5.4</w:t>
      </w:r>
      <w:r>
        <w:rPr>
          <w:rFonts w:hint="eastAsia" w:ascii="宋体" w:hAnsi="宋体"/>
          <w:b/>
          <w:bCs/>
          <w:sz w:val="24"/>
          <w:lang w:val="en-US" w:eastAsia="zh-CN"/>
        </w:rPr>
        <w:t>备注</w:t>
      </w:r>
    </w:p>
    <w:p w14:paraId="07EA4B41">
      <w:pPr>
        <w:spacing w:line="360" w:lineRule="auto"/>
        <w:ind w:left="720" w:hanging="720" w:hangingChars="300"/>
        <w:rPr>
          <w:rFonts w:ascii="宋体" w:hAnsi="宋体"/>
          <w:sz w:val="24"/>
        </w:rPr>
      </w:pPr>
      <w:r>
        <w:rPr>
          <w:rFonts w:hint="eastAsia" w:ascii="宋体" w:hAnsi="宋体"/>
          <w:sz w:val="24"/>
        </w:rPr>
        <w:t>5.4.1实践及展示体验设备、智能赛事评价系统设备不属于物业赛场岗位维护范围，故障须上报，由实践展示体验设备驻场工程师处置。</w:t>
      </w:r>
    </w:p>
    <w:p w14:paraId="5D555AC3">
      <w:pPr>
        <w:spacing w:line="360" w:lineRule="auto"/>
        <w:ind w:left="720" w:hanging="720" w:hangingChars="300"/>
        <w:rPr>
          <w:rFonts w:ascii="宋体" w:hAnsi="宋体"/>
          <w:sz w:val="24"/>
        </w:rPr>
      </w:pPr>
      <w:r>
        <w:rPr>
          <w:rFonts w:hint="eastAsia" w:ascii="宋体" w:hAnsi="宋体"/>
          <w:sz w:val="24"/>
        </w:rPr>
        <w:t>5.4.2物业赛场岗位仅对场馆内科技赛场和江景讲堂的设备进行基础操作，维修保养均有设备维保方负责。</w:t>
      </w:r>
    </w:p>
    <w:p w14:paraId="77F9D694">
      <w:pPr>
        <w:spacing w:line="360" w:lineRule="auto"/>
        <w:ind w:left="720" w:hanging="720" w:hangingChars="300"/>
        <w:rPr>
          <w:rFonts w:ascii="宋体" w:hAnsi="宋体"/>
          <w:sz w:val="24"/>
        </w:rPr>
      </w:pPr>
      <w:r>
        <w:rPr>
          <w:rFonts w:hint="eastAsia" w:ascii="宋体" w:hAnsi="宋体"/>
          <w:sz w:val="24"/>
        </w:rPr>
        <w:t>5.4.3场馆的赛事及活动如有启用第三方</w:t>
      </w:r>
      <w:r>
        <w:rPr>
          <w:rFonts w:hint="eastAsia" w:ascii="宋体" w:hAnsi="宋体"/>
          <w:sz w:val="24"/>
          <w:lang w:val="en-US" w:eastAsia="zh-CN"/>
        </w:rPr>
        <w:t>专业</w:t>
      </w:r>
      <w:r>
        <w:rPr>
          <w:rFonts w:hint="eastAsia" w:ascii="宋体" w:hAnsi="宋体"/>
          <w:sz w:val="24"/>
        </w:rPr>
        <w:t>设备，物业赛场岗位负责监督设备的进场搭建及撤场复原，设备调试、操作均由第三方进行。</w:t>
      </w:r>
    </w:p>
    <w:p w14:paraId="6AF0B01B">
      <w:pPr>
        <w:spacing w:line="360" w:lineRule="auto"/>
        <w:rPr>
          <w:rFonts w:ascii="宋体" w:hAnsi="宋体"/>
          <w:sz w:val="24"/>
        </w:rPr>
      </w:pPr>
    </w:p>
    <w:p w14:paraId="0C28F72B">
      <w:pPr>
        <w:spacing w:line="360" w:lineRule="auto"/>
        <w:jc w:val="center"/>
        <w:rPr>
          <w:rFonts w:ascii="宋体" w:hAnsi="宋体"/>
          <w:sz w:val="28"/>
          <w:szCs w:val="28"/>
        </w:rPr>
      </w:pPr>
      <w:r>
        <w:rPr>
          <w:rFonts w:hint="eastAsia" w:ascii="宋体" w:hAnsi="宋体"/>
          <w:sz w:val="28"/>
          <w:szCs w:val="28"/>
        </w:rPr>
        <w:t>第六章 建筑设施设备维护</w:t>
      </w:r>
    </w:p>
    <w:p w14:paraId="304BA8E6">
      <w:pPr>
        <w:spacing w:line="360" w:lineRule="auto"/>
        <w:rPr>
          <w:rFonts w:ascii="宋体" w:hAnsi="宋体"/>
          <w:b/>
          <w:bCs/>
          <w:sz w:val="24"/>
        </w:rPr>
      </w:pPr>
      <w:r>
        <w:rPr>
          <w:rFonts w:hint="eastAsia" w:ascii="宋体" w:hAnsi="宋体"/>
          <w:b/>
          <w:bCs/>
          <w:sz w:val="24"/>
        </w:rPr>
        <w:t>6.1服务范围</w:t>
      </w:r>
    </w:p>
    <w:p w14:paraId="0AE4F429">
      <w:pPr>
        <w:spacing w:line="360" w:lineRule="auto"/>
        <w:ind w:firstLine="480" w:firstLineChars="200"/>
        <w:rPr>
          <w:rFonts w:ascii="宋体" w:hAnsi="宋体"/>
          <w:sz w:val="24"/>
        </w:rPr>
      </w:pPr>
      <w:r>
        <w:rPr>
          <w:rFonts w:hint="eastAsia" w:ascii="宋体" w:hAnsi="宋体"/>
          <w:sz w:val="24"/>
        </w:rPr>
        <w:t>建筑物本体维护；电气、给排水、供暖空调系统、消防设施设备、变配电系统、楼宇弱电智能化系统（机房、安防、人防物联网等）日常巡检、台账管理、一般性维修。</w:t>
      </w:r>
    </w:p>
    <w:p w14:paraId="61C28929">
      <w:pPr>
        <w:spacing w:line="360" w:lineRule="auto"/>
        <w:ind w:left="720" w:hanging="720" w:hangingChars="300"/>
        <w:rPr>
          <w:rFonts w:ascii="宋体" w:hAnsi="宋体"/>
          <w:sz w:val="24"/>
        </w:rPr>
      </w:pPr>
      <w:r>
        <w:rPr>
          <w:rFonts w:hint="eastAsia" w:ascii="宋体" w:hAnsi="宋体"/>
          <w:sz w:val="24"/>
        </w:rPr>
        <w:t>6.1.1人员配置：技术主管1人、强电工2人、弱电工2人、机组操作工2人、给排水工1人、维修技工2人，合计10人。</w:t>
      </w:r>
    </w:p>
    <w:p w14:paraId="128892B0">
      <w:pPr>
        <w:spacing w:line="360" w:lineRule="auto"/>
        <w:rPr>
          <w:rFonts w:ascii="宋体" w:hAnsi="宋体"/>
          <w:b/>
          <w:bCs/>
          <w:sz w:val="24"/>
        </w:rPr>
      </w:pPr>
      <w:r>
        <w:rPr>
          <w:rFonts w:hint="eastAsia" w:ascii="宋体" w:hAnsi="宋体"/>
          <w:b/>
          <w:bCs/>
          <w:sz w:val="24"/>
        </w:rPr>
        <w:t>6.2日常运维工作内容</w:t>
      </w:r>
    </w:p>
    <w:p w14:paraId="5C7C68D0">
      <w:pPr>
        <w:spacing w:line="360" w:lineRule="auto"/>
        <w:rPr>
          <w:rFonts w:ascii="宋体" w:hAnsi="宋体"/>
          <w:sz w:val="24"/>
        </w:rPr>
      </w:pPr>
      <w:r>
        <w:rPr>
          <w:rFonts w:hint="eastAsia" w:ascii="宋体" w:hAnsi="宋体"/>
          <w:sz w:val="24"/>
        </w:rPr>
        <w:t>6.2.1建筑物维护</w:t>
      </w:r>
    </w:p>
    <w:p w14:paraId="05C6C01F">
      <w:pPr>
        <w:spacing w:line="360" w:lineRule="auto"/>
        <w:ind w:firstLine="480" w:firstLineChars="200"/>
        <w:rPr>
          <w:rFonts w:ascii="宋体" w:hAnsi="宋体"/>
          <w:sz w:val="24"/>
        </w:rPr>
      </w:pPr>
      <w:r>
        <w:rPr>
          <w:rFonts w:hint="eastAsia" w:ascii="宋体" w:hAnsi="宋体"/>
          <w:sz w:val="24"/>
        </w:rPr>
        <w:t>定期检查建筑物的外观，包括墙体、屋顶、门窗等是否有裂缝、渗漏、破损等情况，并及时进行修复和维护。</w:t>
      </w:r>
    </w:p>
    <w:p w14:paraId="52D31E23">
      <w:pPr>
        <w:spacing w:line="360" w:lineRule="auto"/>
        <w:ind w:firstLine="480" w:firstLineChars="200"/>
        <w:rPr>
          <w:rFonts w:ascii="宋体" w:hAnsi="宋体"/>
          <w:sz w:val="24"/>
        </w:rPr>
      </w:pPr>
      <w:r>
        <w:rPr>
          <w:rFonts w:hint="eastAsia" w:ascii="宋体" w:hAnsi="宋体"/>
          <w:sz w:val="24"/>
        </w:rPr>
        <w:t>确保楼梯、扶手、电梯、走廊等通行设施的安全性，检查是否有松动、磨损、变形等问题，及时维修或更换。</w:t>
      </w:r>
    </w:p>
    <w:p w14:paraId="644AE682">
      <w:pPr>
        <w:spacing w:line="360" w:lineRule="auto"/>
        <w:rPr>
          <w:rFonts w:ascii="宋体" w:hAnsi="宋体"/>
          <w:sz w:val="24"/>
        </w:rPr>
      </w:pPr>
      <w:r>
        <w:rPr>
          <w:rFonts w:hint="eastAsia" w:ascii="宋体" w:hAnsi="宋体"/>
          <w:sz w:val="24"/>
        </w:rPr>
        <w:t>6.2.2系统设备维护</w:t>
      </w:r>
    </w:p>
    <w:p w14:paraId="041B2BBC">
      <w:pPr>
        <w:spacing w:line="360" w:lineRule="auto"/>
        <w:rPr>
          <w:rFonts w:ascii="宋体" w:hAnsi="宋体"/>
          <w:sz w:val="24"/>
        </w:rPr>
      </w:pPr>
      <w:r>
        <w:rPr>
          <w:rFonts w:hint="eastAsia" w:ascii="宋体" w:hAnsi="宋体"/>
          <w:sz w:val="24"/>
        </w:rPr>
        <w:t>1）电气设备：照明灯具、插座、公共配电箱定期巡检，完成简单更换维修；重大电气故障对接维保单位处置。</w:t>
      </w:r>
    </w:p>
    <w:p w14:paraId="39008C89">
      <w:pPr>
        <w:spacing w:line="360" w:lineRule="auto"/>
        <w:rPr>
          <w:rFonts w:hint="eastAsia" w:ascii="宋体" w:hAnsi="宋体"/>
          <w:sz w:val="24"/>
        </w:rPr>
      </w:pPr>
      <w:r>
        <w:rPr>
          <w:rFonts w:hint="eastAsia" w:ascii="宋体" w:hAnsi="宋体"/>
          <w:sz w:val="24"/>
        </w:rPr>
        <w:t>2）给排水系统：水龙头、水管、水箱、水泵定期巡检，定期管道清理，处置跑冒滴漏故障。</w:t>
      </w:r>
    </w:p>
    <w:p w14:paraId="229979C2">
      <w:pPr>
        <w:spacing w:line="360" w:lineRule="auto"/>
        <w:rPr>
          <w:rFonts w:hint="eastAsia" w:ascii="宋体" w:hAnsi="宋体"/>
          <w:sz w:val="24"/>
        </w:rPr>
      </w:pPr>
      <w:r>
        <w:rPr>
          <w:rFonts w:hint="eastAsia" w:ascii="宋体" w:hAnsi="宋体"/>
          <w:sz w:val="24"/>
        </w:rPr>
        <w:t>3）供暖和空调系统：定期检查机组运行状态，确保场馆开放期间温湿度达标。如发现重大故障，或者需要清洗滤网、冷凝器等部件，以及添加制冷剂、润滑油时，物业应及时联系维保单位进行相关处理。</w:t>
      </w:r>
    </w:p>
    <w:p w14:paraId="5F72D70F">
      <w:pPr>
        <w:spacing w:line="360" w:lineRule="auto"/>
        <w:rPr>
          <w:rFonts w:ascii="宋体" w:hAnsi="宋体"/>
          <w:sz w:val="24"/>
        </w:rPr>
      </w:pPr>
      <w:r>
        <w:rPr>
          <w:rFonts w:hint="eastAsia" w:ascii="宋体" w:hAnsi="宋体"/>
          <w:sz w:val="24"/>
        </w:rPr>
        <w:t>4）消防设施设备：灭火器、消火栓、自动喷水、火灾报警系统外观日常巡查；配合第三方维保单位开展季度维保；隐患记录跟踪整改。</w:t>
      </w:r>
    </w:p>
    <w:p w14:paraId="75F203E0">
      <w:pPr>
        <w:spacing w:line="360" w:lineRule="auto"/>
        <w:rPr>
          <w:rFonts w:ascii="宋体" w:hAnsi="宋体"/>
          <w:sz w:val="24"/>
        </w:rPr>
      </w:pPr>
      <w:r>
        <w:rPr>
          <w:rFonts w:hint="eastAsia" w:ascii="宋体" w:hAnsi="宋体"/>
          <w:sz w:val="24"/>
        </w:rPr>
        <w:t>5）变配电系统：物业仅做日常外观巡检，全部运维、检测交由专业托管单位实施。</w:t>
      </w:r>
    </w:p>
    <w:p w14:paraId="453C1E7A">
      <w:pPr>
        <w:spacing w:line="360" w:lineRule="auto"/>
        <w:rPr>
          <w:rFonts w:ascii="宋体" w:hAnsi="宋体"/>
          <w:sz w:val="24"/>
        </w:rPr>
      </w:pPr>
      <w:r>
        <w:rPr>
          <w:rFonts w:hint="eastAsia" w:ascii="宋体" w:hAnsi="宋体"/>
          <w:sz w:val="24"/>
        </w:rPr>
        <w:t>6）弱电智能化系统（机房、人防物联网、计算机网络、安防系统、报警系统等）：定期巡检，如遇故障，进行登记，并对接专业维保单位处置。</w:t>
      </w:r>
    </w:p>
    <w:p w14:paraId="2EB1F9F1">
      <w:pPr>
        <w:spacing w:line="360" w:lineRule="auto"/>
        <w:rPr>
          <w:rFonts w:ascii="宋体" w:hAnsi="宋体"/>
          <w:sz w:val="24"/>
        </w:rPr>
      </w:pPr>
      <w:r>
        <w:rPr>
          <w:rFonts w:hint="eastAsia" w:ascii="宋体" w:hAnsi="宋体"/>
          <w:sz w:val="24"/>
        </w:rPr>
        <w:t>6.2.3台账管理</w:t>
      </w:r>
    </w:p>
    <w:p w14:paraId="427668FE">
      <w:pPr>
        <w:spacing w:line="360" w:lineRule="auto"/>
        <w:ind w:firstLine="480" w:firstLineChars="200"/>
        <w:rPr>
          <w:rFonts w:ascii="宋体" w:hAnsi="宋体"/>
          <w:sz w:val="24"/>
        </w:rPr>
      </w:pPr>
      <w:r>
        <w:rPr>
          <w:rFonts w:hint="eastAsia" w:ascii="宋体" w:hAnsi="宋体"/>
          <w:sz w:val="24"/>
        </w:rPr>
        <w:t>建立完整建筑设施设备台账、巡检记录、维修工单档案；定期向市科艺中心提交设施设备运维工作报告。</w:t>
      </w:r>
    </w:p>
    <w:p w14:paraId="4BA090BD">
      <w:pPr>
        <w:spacing w:line="360" w:lineRule="auto"/>
        <w:rPr>
          <w:rFonts w:ascii="宋体" w:hAnsi="宋体"/>
          <w:b/>
          <w:bCs/>
          <w:sz w:val="24"/>
        </w:rPr>
      </w:pPr>
      <w:r>
        <w:rPr>
          <w:rFonts w:hint="eastAsia" w:ascii="宋体" w:hAnsi="宋体"/>
          <w:b/>
          <w:bCs/>
          <w:sz w:val="24"/>
        </w:rPr>
        <w:t>6.3专项检测维保对接管理</w:t>
      </w:r>
    </w:p>
    <w:p w14:paraId="3D9208E7">
      <w:pPr>
        <w:spacing w:line="360" w:lineRule="auto"/>
        <w:ind w:left="720" w:hanging="720" w:hangingChars="300"/>
        <w:rPr>
          <w:rFonts w:ascii="宋体" w:hAnsi="宋体"/>
          <w:sz w:val="24"/>
        </w:rPr>
      </w:pPr>
      <w:r>
        <w:rPr>
          <w:rFonts w:hint="eastAsia" w:ascii="宋体" w:hAnsi="宋体"/>
          <w:sz w:val="24"/>
        </w:rPr>
        <w:t>6.3.1电梯：共4台电梯，对接维保单位每两周一次保养，落实年检、限速器校验、125%荷载制动试验。物业负责日常使用状态巡查，发现故障及时报修。</w:t>
      </w:r>
    </w:p>
    <w:p w14:paraId="28AD8F9D">
      <w:pPr>
        <w:spacing w:line="360" w:lineRule="auto"/>
        <w:ind w:left="720" w:hanging="720" w:hangingChars="300"/>
        <w:rPr>
          <w:rFonts w:ascii="宋体" w:hAnsi="宋体"/>
          <w:sz w:val="24"/>
        </w:rPr>
      </w:pPr>
      <w:r>
        <w:rPr>
          <w:rFonts w:hint="eastAsia" w:ascii="宋体" w:hAnsi="宋体"/>
          <w:sz w:val="24"/>
        </w:rPr>
        <w:t>6.3.2消防检测：每年</w:t>
      </w:r>
      <w:r>
        <w:rPr>
          <w:rFonts w:hint="eastAsia" w:ascii="宋体" w:hAnsi="宋体"/>
          <w:sz w:val="24"/>
          <w:lang w:eastAsia="zh-CN"/>
        </w:rPr>
        <w:t>采购单位</w:t>
      </w:r>
      <w:r>
        <w:rPr>
          <w:rFonts w:hint="eastAsia" w:ascii="宋体" w:hAnsi="宋体"/>
          <w:sz w:val="24"/>
        </w:rPr>
        <w:t>委托第三方开展建筑消防全面检测，物业配合现场，收集报告，跟踪隐患整改。</w:t>
      </w:r>
    </w:p>
    <w:p w14:paraId="55854023">
      <w:pPr>
        <w:spacing w:line="360" w:lineRule="auto"/>
        <w:ind w:left="720" w:hanging="720" w:hangingChars="300"/>
        <w:rPr>
          <w:rFonts w:ascii="宋体" w:hAnsi="宋体"/>
          <w:sz w:val="24"/>
        </w:rPr>
      </w:pPr>
      <w:r>
        <w:rPr>
          <w:rFonts w:hint="eastAsia" w:ascii="宋体" w:hAnsi="宋体"/>
          <w:sz w:val="24"/>
        </w:rPr>
        <w:t>6.3.3电器检测：每年</w:t>
      </w:r>
      <w:r>
        <w:rPr>
          <w:rFonts w:hint="eastAsia" w:ascii="宋体" w:hAnsi="宋体"/>
          <w:sz w:val="24"/>
          <w:lang w:eastAsia="zh-CN"/>
        </w:rPr>
        <w:t>采购单位</w:t>
      </w:r>
      <w:r>
        <w:rPr>
          <w:rFonts w:hint="eastAsia" w:ascii="宋体" w:hAnsi="宋体"/>
          <w:sz w:val="24"/>
        </w:rPr>
        <w:t>委托第三方专业机构至少进行一次消防全面检测，物业做好现场配合工作。</w:t>
      </w:r>
    </w:p>
    <w:p w14:paraId="256B3E4C">
      <w:pPr>
        <w:spacing w:line="360" w:lineRule="auto"/>
        <w:ind w:left="720" w:hanging="720" w:hangingChars="300"/>
        <w:rPr>
          <w:rFonts w:ascii="宋体" w:hAnsi="宋体"/>
          <w:sz w:val="24"/>
        </w:rPr>
      </w:pPr>
      <w:r>
        <w:rPr>
          <w:rFonts w:hint="eastAsia" w:ascii="宋体" w:hAnsi="宋体"/>
          <w:sz w:val="24"/>
        </w:rPr>
        <w:t>6.3.4物业有强检项目告知义务，如：高压配电电气测试（2-3年/次）、水箱清洗（2次/年）及检测（4次/年）、防雷装置检测（1次/年）、房屋沉降检测（1次/年）、空调风管清洗检测（1次/年）、设备机房计量器具及压力表检测（1次/年）等。</w:t>
      </w:r>
    </w:p>
    <w:p w14:paraId="591616A8">
      <w:pPr>
        <w:spacing w:line="360" w:lineRule="auto"/>
        <w:rPr>
          <w:rFonts w:ascii="宋体" w:hAnsi="宋体"/>
          <w:b/>
          <w:bCs/>
          <w:sz w:val="24"/>
        </w:rPr>
      </w:pPr>
      <w:r>
        <w:rPr>
          <w:rFonts w:hint="eastAsia" w:ascii="宋体" w:hAnsi="宋体"/>
          <w:b/>
          <w:bCs/>
          <w:sz w:val="24"/>
        </w:rPr>
        <w:t>6.4应急处置</w:t>
      </w:r>
    </w:p>
    <w:p w14:paraId="79A52E4F">
      <w:pPr>
        <w:spacing w:line="360" w:lineRule="auto"/>
        <w:ind w:firstLine="480" w:firstLineChars="200"/>
        <w:rPr>
          <w:rFonts w:ascii="宋体" w:hAnsi="宋体"/>
          <w:sz w:val="24"/>
        </w:rPr>
      </w:pPr>
      <w:r>
        <w:rPr>
          <w:rFonts w:hint="eastAsia" w:ascii="宋体" w:hAnsi="宋体"/>
          <w:sz w:val="24"/>
        </w:rPr>
        <w:t>发生漏水、停电、设备故障，物业人员第一时间到场隔离风险，开展现场应急处置，及时上报市科艺中心，完整记录事件台账。</w:t>
      </w:r>
    </w:p>
    <w:p w14:paraId="38941918">
      <w:pPr>
        <w:spacing w:line="360" w:lineRule="auto"/>
        <w:rPr>
          <w:rFonts w:hint="eastAsia" w:ascii="宋体" w:hAnsi="宋体" w:eastAsia="宋体"/>
          <w:b/>
          <w:bCs/>
          <w:sz w:val="24"/>
          <w:lang w:eastAsia="zh-CN"/>
        </w:rPr>
      </w:pPr>
      <w:r>
        <w:rPr>
          <w:rFonts w:hint="eastAsia" w:ascii="宋体" w:hAnsi="宋体"/>
          <w:b/>
          <w:bCs/>
          <w:sz w:val="24"/>
        </w:rPr>
        <w:t>6.5</w:t>
      </w:r>
      <w:r>
        <w:rPr>
          <w:rFonts w:hint="eastAsia" w:ascii="宋体" w:hAnsi="宋体"/>
          <w:b/>
          <w:bCs/>
          <w:sz w:val="24"/>
          <w:lang w:val="en-US" w:eastAsia="zh-CN"/>
        </w:rPr>
        <w:t>备注</w:t>
      </w:r>
    </w:p>
    <w:p w14:paraId="0D4608B7">
      <w:pPr>
        <w:spacing w:line="360" w:lineRule="auto"/>
        <w:ind w:left="720" w:hanging="720" w:hangingChars="300"/>
        <w:rPr>
          <w:rFonts w:ascii="宋体" w:hAnsi="宋体"/>
          <w:sz w:val="24"/>
        </w:rPr>
      </w:pPr>
      <w:r>
        <w:rPr>
          <w:rFonts w:hint="eastAsia" w:ascii="宋体" w:hAnsi="宋体"/>
          <w:sz w:val="24"/>
        </w:rPr>
        <w:t>6.5.1目前场馆建筑物及配套设备尚处质保期，本次方案所涉及的场馆建筑及设施设备的维保、安全检查等费用，由科</w:t>
      </w:r>
      <w:r>
        <w:rPr>
          <w:rFonts w:hint="eastAsia" w:ascii="宋体" w:hAnsi="宋体"/>
          <w:sz w:val="24"/>
          <w:highlight w:val="none"/>
        </w:rPr>
        <w:t>艺中心或施工总承包方承担及维护，范围以外由</w:t>
      </w:r>
      <w:r>
        <w:rPr>
          <w:rFonts w:hint="eastAsia" w:ascii="宋体" w:hAnsi="宋体"/>
          <w:sz w:val="24"/>
          <w:highlight w:val="none"/>
          <w:lang w:eastAsia="zh-CN"/>
        </w:rPr>
        <w:t>采购单位</w:t>
      </w:r>
      <w:r>
        <w:rPr>
          <w:rFonts w:hint="eastAsia" w:ascii="宋体" w:hAnsi="宋体"/>
          <w:sz w:val="24"/>
          <w:highlight w:val="none"/>
        </w:rPr>
        <w:t>物业预算内维修费执行，执行工作量及材料单价由科艺中心审核确认。物业负责现场对接、现场</w:t>
      </w:r>
      <w:r>
        <w:rPr>
          <w:rFonts w:hint="eastAsia" w:ascii="宋体" w:hAnsi="宋体"/>
          <w:sz w:val="24"/>
        </w:rPr>
        <w:t>配合管理以及台账管理等工作。</w:t>
      </w:r>
    </w:p>
    <w:p w14:paraId="184E603C">
      <w:pPr>
        <w:spacing w:line="360" w:lineRule="auto"/>
        <w:ind w:left="720" w:hanging="720" w:hangingChars="300"/>
        <w:rPr>
          <w:rFonts w:ascii="宋体" w:hAnsi="宋体"/>
          <w:sz w:val="24"/>
        </w:rPr>
      </w:pPr>
      <w:r>
        <w:rPr>
          <w:rFonts w:hint="eastAsia" w:ascii="宋体" w:hAnsi="宋体"/>
          <w:sz w:val="24"/>
        </w:rPr>
        <w:t>6.5.2信息系统运维（虫洞智慧平台、服务器、数据库、网络业务应用）不属于物业建筑设施运维工作，由信息化服务商负责；物业仅负责楼宇基础安防监控弱电硬件巡检。</w:t>
      </w:r>
    </w:p>
    <w:p w14:paraId="2A9992B7">
      <w:pPr>
        <w:spacing w:line="360" w:lineRule="auto"/>
        <w:ind w:left="720" w:hanging="720" w:hangingChars="300"/>
        <w:rPr>
          <w:rFonts w:ascii="宋体" w:hAnsi="宋体"/>
          <w:sz w:val="24"/>
        </w:rPr>
      </w:pPr>
      <w:r>
        <w:rPr>
          <w:rFonts w:hint="eastAsia" w:ascii="宋体" w:hAnsi="宋体"/>
          <w:sz w:val="24"/>
        </w:rPr>
        <w:t>6.5.3实践及展示体验设备（主要包括交叉学科联合实验室设备、开放式探究体验空间设备、科技赛场设备）不属于物业建筑设施运维工作范围，由驻场第三方单位人员负责巡检、维保、维修等工作。</w:t>
      </w:r>
    </w:p>
    <w:p w14:paraId="07C892AD">
      <w:pPr>
        <w:spacing w:line="360" w:lineRule="auto"/>
        <w:rPr>
          <w:rFonts w:hint="eastAsia" w:ascii="宋体" w:hAnsi="宋体"/>
          <w:sz w:val="24"/>
        </w:rPr>
      </w:pPr>
      <w:r>
        <w:rPr>
          <w:rFonts w:hint="eastAsia" w:ascii="宋体" w:hAnsi="宋体"/>
          <w:sz w:val="24"/>
        </w:rPr>
        <w:t>6.5.</w:t>
      </w:r>
      <w:r>
        <w:rPr>
          <w:rFonts w:hint="eastAsia" w:ascii="宋体" w:hAnsi="宋体"/>
          <w:sz w:val="24"/>
          <w:lang w:val="en-US" w:eastAsia="zh-CN"/>
        </w:rPr>
        <w:t>4</w:t>
      </w:r>
      <w:r>
        <w:rPr>
          <w:rFonts w:hint="eastAsia" w:ascii="宋体" w:hAnsi="宋体"/>
          <w:sz w:val="24"/>
        </w:rPr>
        <w:t>高压安全用具检测、水箱清洗及检测由物业负责完成。</w:t>
      </w:r>
    </w:p>
    <w:p w14:paraId="3D313FA2">
      <w:pPr>
        <w:spacing w:line="360" w:lineRule="auto"/>
        <w:rPr>
          <w:rFonts w:hint="eastAsia" w:ascii="宋体" w:hAnsi="宋体"/>
          <w:sz w:val="24"/>
        </w:rPr>
      </w:pPr>
      <w:r>
        <w:rPr>
          <w:rFonts w:hint="eastAsia" w:ascii="宋体" w:hAnsi="宋体"/>
          <w:sz w:val="24"/>
          <w:lang w:val="en-US" w:eastAsia="zh-CN"/>
        </w:rPr>
        <w:t>6.5.5 本项目</w:t>
      </w:r>
      <w:r>
        <w:rPr>
          <w:rFonts w:hint="eastAsia" w:ascii="宋体" w:hAnsi="宋体"/>
          <w:sz w:val="24"/>
        </w:rPr>
        <w:t>空调系统</w:t>
      </w:r>
      <w:r>
        <w:rPr>
          <w:rFonts w:hint="eastAsia" w:ascii="宋体" w:hAnsi="宋体"/>
          <w:sz w:val="24"/>
          <w:lang w:val="en-US" w:eastAsia="zh-CN"/>
        </w:rPr>
        <w:t>为</w:t>
      </w:r>
      <w:r>
        <w:rPr>
          <w:rFonts w:hint="eastAsia" w:ascii="宋体" w:hAnsi="宋体"/>
          <w:sz w:val="24"/>
        </w:rPr>
        <w:t>水处理</w:t>
      </w:r>
      <w:r>
        <w:rPr>
          <w:rFonts w:hint="eastAsia" w:ascii="宋体" w:hAnsi="宋体"/>
          <w:sz w:val="24"/>
          <w:lang w:val="en-US" w:eastAsia="zh-CN"/>
        </w:rPr>
        <w:t>系统</w:t>
      </w:r>
      <w:r>
        <w:rPr>
          <w:rFonts w:hint="eastAsia" w:ascii="宋体" w:hAnsi="宋体"/>
          <w:sz w:val="24"/>
          <w:lang w:eastAsia="zh-CN"/>
        </w:rPr>
        <w:t>，由</w:t>
      </w:r>
      <w:r>
        <w:rPr>
          <w:rFonts w:hint="eastAsia" w:ascii="宋体" w:hAnsi="宋体"/>
          <w:sz w:val="24"/>
          <w:lang w:val="en-US" w:eastAsia="zh-CN"/>
        </w:rPr>
        <w:t>物业方</w:t>
      </w:r>
      <w:r>
        <w:rPr>
          <w:rFonts w:hint="eastAsia" w:ascii="宋体" w:hAnsi="宋体"/>
          <w:sz w:val="24"/>
        </w:rPr>
        <w:t>承担</w:t>
      </w:r>
      <w:r>
        <w:rPr>
          <w:rFonts w:hint="eastAsia" w:ascii="宋体" w:hAnsi="宋体"/>
          <w:sz w:val="24"/>
          <w:lang w:val="en-US" w:eastAsia="zh-CN"/>
        </w:rPr>
        <w:t>冷冻水系统药剂等更换处工作</w:t>
      </w:r>
      <w:r>
        <w:rPr>
          <w:rFonts w:hint="eastAsia" w:ascii="宋体" w:hAnsi="宋体"/>
          <w:sz w:val="24"/>
        </w:rPr>
        <w:t>。</w:t>
      </w:r>
    </w:p>
    <w:p w14:paraId="32EF0929">
      <w:pPr>
        <w:spacing w:line="360" w:lineRule="auto"/>
        <w:rPr>
          <w:rFonts w:ascii="宋体" w:hAnsi="宋体"/>
          <w:sz w:val="24"/>
        </w:rPr>
      </w:pPr>
    </w:p>
    <w:p w14:paraId="5C0F6BF3">
      <w:pPr>
        <w:spacing w:line="360" w:lineRule="auto"/>
        <w:jc w:val="center"/>
        <w:rPr>
          <w:rFonts w:ascii="宋体" w:hAnsi="宋体"/>
          <w:sz w:val="28"/>
          <w:szCs w:val="28"/>
        </w:rPr>
      </w:pPr>
      <w:r>
        <w:rPr>
          <w:rFonts w:hint="eastAsia" w:ascii="宋体" w:hAnsi="宋体"/>
          <w:sz w:val="28"/>
          <w:szCs w:val="28"/>
        </w:rPr>
        <w:t>第七章 秩序维护</w:t>
      </w:r>
    </w:p>
    <w:p w14:paraId="3435945B">
      <w:pPr>
        <w:spacing w:line="360" w:lineRule="auto"/>
        <w:rPr>
          <w:rFonts w:ascii="宋体" w:hAnsi="宋体"/>
          <w:b/>
          <w:bCs/>
          <w:sz w:val="24"/>
        </w:rPr>
      </w:pPr>
      <w:r>
        <w:rPr>
          <w:rFonts w:hint="eastAsia" w:ascii="宋体" w:hAnsi="宋体"/>
          <w:b/>
          <w:bCs/>
          <w:sz w:val="24"/>
        </w:rPr>
        <w:t>7.1服务范围</w:t>
      </w:r>
    </w:p>
    <w:p w14:paraId="27FB6E35">
      <w:pPr>
        <w:spacing w:line="360" w:lineRule="auto"/>
        <w:ind w:firstLine="480" w:firstLineChars="200"/>
        <w:rPr>
          <w:rFonts w:ascii="宋体" w:hAnsi="宋体"/>
          <w:sz w:val="24"/>
        </w:rPr>
      </w:pPr>
      <w:r>
        <w:rPr>
          <w:rFonts w:hint="eastAsia" w:ascii="宋体" w:hAnsi="宋体"/>
          <w:sz w:val="24"/>
        </w:rPr>
        <w:t xml:space="preserve">秩序维护服务范围包括馆内和馆外，其中馆内建筑面积 23117㎡（地上 5 层、地下 2 层）；地上建筑面积约14376㎡，地下建筑面积约8741㎡，馆外区域 4232.55㎡。 </w:t>
      </w:r>
    </w:p>
    <w:p w14:paraId="738602F4">
      <w:pPr>
        <w:spacing w:line="360" w:lineRule="auto"/>
        <w:ind w:firstLine="480" w:firstLineChars="200"/>
        <w:rPr>
          <w:rFonts w:ascii="宋体" w:hAnsi="宋体"/>
          <w:sz w:val="24"/>
        </w:rPr>
      </w:pPr>
      <w:r>
        <w:rPr>
          <w:rFonts w:hint="eastAsia" w:ascii="宋体" w:hAnsi="宋体"/>
          <w:sz w:val="24"/>
        </w:rPr>
        <w:t>服务内容：秩序维护与人员管控、设施与展品防护、突发事件应对、大型活动专项安保、夜间值守。（安检设备全部采取租赁模式）</w:t>
      </w:r>
    </w:p>
    <w:p w14:paraId="1091830C">
      <w:pPr>
        <w:spacing w:line="360" w:lineRule="auto"/>
        <w:rPr>
          <w:rFonts w:ascii="宋体" w:hAnsi="宋体"/>
          <w:sz w:val="24"/>
        </w:rPr>
      </w:pPr>
      <w:r>
        <w:rPr>
          <w:rFonts w:hint="eastAsia" w:ascii="宋体" w:hAnsi="宋体"/>
          <w:sz w:val="24"/>
        </w:rPr>
        <w:t>7.1.1人员配置：秩序主管1人，秩序领班2人，秩序专员31人（安检员、安防监控、巡逻/机动执勤、门岗人员），合计34人。消控监控室执行24小时不间断值守。</w:t>
      </w:r>
    </w:p>
    <w:tbl>
      <w:tblPr>
        <w:tblStyle w:val="9"/>
        <w:tblpPr w:leftFromText="180" w:rightFromText="180" w:vertAnchor="text" w:horzAnchor="page" w:tblpX="1792" w:tblpY="622"/>
        <w:tblOverlap w:val="never"/>
        <w:tblW w:w="5000" w:type="pct"/>
        <w:tblInd w:w="0" w:type="dxa"/>
        <w:tblLayout w:type="fixed"/>
        <w:tblCellMar>
          <w:top w:w="0" w:type="dxa"/>
          <w:left w:w="108" w:type="dxa"/>
          <w:bottom w:w="0" w:type="dxa"/>
          <w:right w:w="108" w:type="dxa"/>
        </w:tblCellMar>
      </w:tblPr>
      <w:tblGrid>
        <w:gridCol w:w="780"/>
        <w:gridCol w:w="1275"/>
        <w:gridCol w:w="1778"/>
        <w:gridCol w:w="4689"/>
      </w:tblGrid>
      <w:tr w14:paraId="1059D8DF">
        <w:tblPrEx>
          <w:tblCellMar>
            <w:top w:w="0" w:type="dxa"/>
            <w:left w:w="108" w:type="dxa"/>
            <w:bottom w:w="0" w:type="dxa"/>
            <w:right w:w="108" w:type="dxa"/>
          </w:tblCellMar>
        </w:tblPrEx>
        <w:trPr>
          <w:trHeight w:val="280" w:hRule="atLeast"/>
          <w:tblHeader/>
        </w:trPr>
        <w:tc>
          <w:tcPr>
            <w:tcW w:w="12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8FAC0">
            <w:pPr>
              <w:spacing w:line="360" w:lineRule="auto"/>
              <w:jc w:val="center"/>
              <w:rPr>
                <w:rFonts w:ascii="宋体" w:hAnsi="宋体"/>
                <w:sz w:val="24"/>
              </w:rPr>
            </w:pPr>
            <w:r>
              <w:rPr>
                <w:rFonts w:hint="eastAsia" w:ascii="宋体" w:hAnsi="宋体"/>
                <w:sz w:val="24"/>
              </w:rPr>
              <w:t>人员类型</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7DC6C">
            <w:pPr>
              <w:spacing w:line="360" w:lineRule="auto"/>
              <w:jc w:val="center"/>
              <w:rPr>
                <w:rFonts w:ascii="宋体" w:hAnsi="宋体"/>
                <w:sz w:val="24"/>
              </w:rPr>
            </w:pPr>
            <w:r>
              <w:rPr>
                <w:rFonts w:hint="eastAsia" w:ascii="宋体" w:hAnsi="宋体"/>
                <w:sz w:val="24"/>
              </w:rPr>
              <w:t>人员数量（人）</w:t>
            </w:r>
          </w:p>
        </w:tc>
        <w:tc>
          <w:tcPr>
            <w:tcW w:w="27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8DC17">
            <w:pPr>
              <w:spacing w:line="360" w:lineRule="auto"/>
              <w:jc w:val="center"/>
              <w:rPr>
                <w:rFonts w:ascii="宋体" w:hAnsi="宋体"/>
                <w:sz w:val="24"/>
              </w:rPr>
            </w:pPr>
            <w:r>
              <w:rPr>
                <w:rFonts w:hint="eastAsia" w:ascii="宋体" w:hAnsi="宋体"/>
                <w:sz w:val="24"/>
              </w:rPr>
              <w:t>备注</w:t>
            </w:r>
          </w:p>
        </w:tc>
      </w:tr>
      <w:tr w14:paraId="60C255B7">
        <w:tblPrEx>
          <w:tblCellMar>
            <w:top w:w="0" w:type="dxa"/>
            <w:left w:w="108" w:type="dxa"/>
            <w:bottom w:w="0" w:type="dxa"/>
            <w:right w:w="108" w:type="dxa"/>
          </w:tblCellMar>
        </w:tblPrEx>
        <w:trPr>
          <w:trHeight w:val="280" w:hRule="atLeast"/>
        </w:trPr>
        <w:tc>
          <w:tcPr>
            <w:tcW w:w="12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5EFEE">
            <w:pPr>
              <w:spacing w:line="360" w:lineRule="auto"/>
              <w:jc w:val="center"/>
              <w:rPr>
                <w:rFonts w:ascii="宋体" w:hAnsi="宋体"/>
                <w:sz w:val="24"/>
              </w:rPr>
            </w:pPr>
            <w:r>
              <w:rPr>
                <w:rFonts w:hint="eastAsia" w:ascii="宋体" w:hAnsi="宋体"/>
                <w:sz w:val="24"/>
              </w:rPr>
              <w:t>秩序主管</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0A725">
            <w:pPr>
              <w:spacing w:line="360" w:lineRule="auto"/>
              <w:jc w:val="center"/>
              <w:rPr>
                <w:rFonts w:ascii="宋体" w:hAnsi="宋体"/>
                <w:sz w:val="24"/>
              </w:rPr>
            </w:pPr>
            <w:r>
              <w:rPr>
                <w:rFonts w:hint="eastAsia" w:ascii="宋体" w:hAnsi="宋体"/>
                <w:sz w:val="24"/>
              </w:rPr>
              <w:t>1</w:t>
            </w:r>
          </w:p>
        </w:tc>
        <w:tc>
          <w:tcPr>
            <w:tcW w:w="27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404F1">
            <w:pPr>
              <w:spacing w:line="360" w:lineRule="auto"/>
              <w:jc w:val="center"/>
              <w:rPr>
                <w:rFonts w:ascii="宋体" w:hAnsi="宋体"/>
                <w:sz w:val="24"/>
              </w:rPr>
            </w:pPr>
            <w:r>
              <w:rPr>
                <w:rFonts w:hint="eastAsia" w:ascii="宋体" w:hAnsi="宋体"/>
                <w:sz w:val="24"/>
              </w:rPr>
              <w:t>统筹全馆安保计划</w:t>
            </w:r>
          </w:p>
        </w:tc>
      </w:tr>
      <w:tr w14:paraId="4BC67A76">
        <w:tblPrEx>
          <w:tblCellMar>
            <w:top w:w="0" w:type="dxa"/>
            <w:left w:w="108" w:type="dxa"/>
            <w:bottom w:w="0" w:type="dxa"/>
            <w:right w:w="108" w:type="dxa"/>
          </w:tblCellMar>
        </w:tblPrEx>
        <w:trPr>
          <w:trHeight w:val="280" w:hRule="atLeast"/>
        </w:trPr>
        <w:tc>
          <w:tcPr>
            <w:tcW w:w="12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85572">
            <w:pPr>
              <w:spacing w:line="360" w:lineRule="auto"/>
              <w:jc w:val="center"/>
              <w:rPr>
                <w:rFonts w:ascii="宋体" w:hAnsi="宋体"/>
                <w:sz w:val="24"/>
              </w:rPr>
            </w:pPr>
            <w:r>
              <w:rPr>
                <w:rFonts w:hint="eastAsia" w:ascii="宋体" w:hAnsi="宋体"/>
                <w:sz w:val="24"/>
              </w:rPr>
              <w:t>秩序领班</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F01C1">
            <w:pPr>
              <w:spacing w:line="360" w:lineRule="auto"/>
              <w:jc w:val="center"/>
              <w:rPr>
                <w:rFonts w:ascii="宋体" w:hAnsi="宋体"/>
                <w:sz w:val="24"/>
              </w:rPr>
            </w:pPr>
            <w:r>
              <w:rPr>
                <w:rFonts w:hint="eastAsia" w:ascii="宋体" w:hAnsi="宋体"/>
                <w:sz w:val="24"/>
              </w:rPr>
              <w:t>2</w:t>
            </w:r>
          </w:p>
        </w:tc>
        <w:tc>
          <w:tcPr>
            <w:tcW w:w="27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3818C">
            <w:pPr>
              <w:spacing w:line="360" w:lineRule="auto"/>
              <w:jc w:val="center"/>
              <w:rPr>
                <w:rFonts w:ascii="宋体" w:hAnsi="宋体"/>
                <w:sz w:val="24"/>
              </w:rPr>
            </w:pPr>
            <w:r>
              <w:rPr>
                <w:rFonts w:hint="eastAsia" w:ascii="宋体" w:hAnsi="宋体"/>
                <w:sz w:val="24"/>
              </w:rPr>
              <w:t>早班和中班各1人</w:t>
            </w:r>
          </w:p>
        </w:tc>
      </w:tr>
      <w:tr w14:paraId="6AB0959B">
        <w:tblPrEx>
          <w:tblCellMar>
            <w:top w:w="0" w:type="dxa"/>
            <w:left w:w="108" w:type="dxa"/>
            <w:bottom w:w="0" w:type="dxa"/>
            <w:right w:w="108" w:type="dxa"/>
          </w:tblCellMar>
        </w:tblPrEx>
        <w:trPr>
          <w:trHeight w:val="283" w:hRule="atLeast"/>
        </w:trPr>
        <w:tc>
          <w:tcPr>
            <w:tcW w:w="45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3C3D2">
            <w:pPr>
              <w:spacing w:line="360" w:lineRule="auto"/>
              <w:jc w:val="center"/>
              <w:rPr>
                <w:rFonts w:ascii="宋体" w:hAnsi="宋体"/>
                <w:sz w:val="24"/>
              </w:rPr>
            </w:pPr>
            <w:r>
              <w:rPr>
                <w:rFonts w:hint="eastAsia" w:ascii="宋体" w:hAnsi="宋体"/>
                <w:sz w:val="24"/>
              </w:rPr>
              <w:t>秩序专员</w:t>
            </w: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71601">
            <w:pPr>
              <w:spacing w:line="360" w:lineRule="auto"/>
              <w:jc w:val="center"/>
              <w:rPr>
                <w:rFonts w:ascii="宋体" w:hAnsi="宋体"/>
                <w:sz w:val="24"/>
              </w:rPr>
            </w:pPr>
            <w:r>
              <w:rPr>
                <w:rFonts w:hint="eastAsia" w:ascii="宋体" w:hAnsi="宋体"/>
                <w:sz w:val="24"/>
              </w:rPr>
              <w:t>安防监控</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07B3">
            <w:pPr>
              <w:spacing w:line="360" w:lineRule="auto"/>
              <w:jc w:val="center"/>
              <w:rPr>
                <w:rFonts w:ascii="宋体" w:hAnsi="宋体"/>
                <w:sz w:val="24"/>
              </w:rPr>
            </w:pPr>
            <w:r>
              <w:rPr>
                <w:rFonts w:hint="eastAsia" w:ascii="宋体" w:hAnsi="宋体"/>
                <w:sz w:val="24"/>
              </w:rPr>
              <w:t>8</w:t>
            </w:r>
          </w:p>
        </w:tc>
        <w:tc>
          <w:tcPr>
            <w:tcW w:w="27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62DB1">
            <w:pPr>
              <w:spacing w:line="360" w:lineRule="auto"/>
              <w:jc w:val="center"/>
              <w:rPr>
                <w:rFonts w:ascii="宋体" w:hAnsi="宋体"/>
                <w:sz w:val="24"/>
              </w:rPr>
            </w:pPr>
            <w:r>
              <w:rPr>
                <w:rFonts w:hint="eastAsia" w:ascii="宋体" w:hAnsi="宋体"/>
                <w:sz w:val="24"/>
              </w:rPr>
              <w:t>每班2人，24小时值守</w:t>
            </w:r>
          </w:p>
        </w:tc>
      </w:tr>
      <w:tr w14:paraId="357CA6D9">
        <w:tblPrEx>
          <w:tblCellMar>
            <w:top w:w="0" w:type="dxa"/>
            <w:left w:w="108" w:type="dxa"/>
            <w:bottom w:w="0" w:type="dxa"/>
            <w:right w:w="108" w:type="dxa"/>
          </w:tblCellMar>
        </w:tblPrEx>
        <w:trPr>
          <w:trHeight w:val="280" w:hRule="atLeast"/>
        </w:trPr>
        <w:tc>
          <w:tcPr>
            <w:tcW w:w="45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461A1">
            <w:pPr>
              <w:spacing w:line="360" w:lineRule="auto"/>
              <w:jc w:val="center"/>
              <w:rPr>
                <w:rFonts w:ascii="宋体" w:hAnsi="宋体"/>
                <w:sz w:val="24"/>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2EFC5">
            <w:pPr>
              <w:spacing w:line="360" w:lineRule="auto"/>
              <w:jc w:val="center"/>
              <w:rPr>
                <w:rFonts w:ascii="宋体" w:hAnsi="宋体"/>
                <w:sz w:val="24"/>
              </w:rPr>
            </w:pPr>
            <w:r>
              <w:rPr>
                <w:rFonts w:hint="eastAsia" w:ascii="宋体" w:hAnsi="宋体"/>
                <w:sz w:val="24"/>
              </w:rPr>
              <w:t>入馆引导/巡逻/机动值勤</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CCF73">
            <w:pPr>
              <w:spacing w:line="360" w:lineRule="auto"/>
              <w:jc w:val="center"/>
              <w:rPr>
                <w:rFonts w:ascii="宋体" w:hAnsi="宋体"/>
                <w:sz w:val="24"/>
              </w:rPr>
            </w:pPr>
            <w:r>
              <w:rPr>
                <w:rFonts w:hint="eastAsia" w:ascii="宋体" w:hAnsi="宋体"/>
                <w:sz w:val="24"/>
              </w:rPr>
              <w:t>1</w:t>
            </w:r>
            <w:r>
              <w:rPr>
                <w:rFonts w:ascii="宋体" w:hAnsi="宋体"/>
                <w:sz w:val="24"/>
              </w:rPr>
              <w:t>9</w:t>
            </w:r>
          </w:p>
        </w:tc>
        <w:tc>
          <w:tcPr>
            <w:tcW w:w="27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7BA8E">
            <w:pPr>
              <w:spacing w:line="360" w:lineRule="auto"/>
              <w:jc w:val="center"/>
              <w:rPr>
                <w:rFonts w:ascii="宋体" w:hAnsi="宋体"/>
                <w:sz w:val="24"/>
              </w:rPr>
            </w:pPr>
            <w:r>
              <w:rPr>
                <w:rFonts w:hint="eastAsia" w:ascii="宋体" w:hAnsi="宋体"/>
                <w:sz w:val="24"/>
              </w:rPr>
              <w:t>两个入口，日班8:30-17:30；</w:t>
            </w:r>
          </w:p>
          <w:p w14:paraId="79B1379D">
            <w:pPr>
              <w:spacing w:line="360" w:lineRule="auto"/>
              <w:jc w:val="center"/>
              <w:rPr>
                <w:rFonts w:ascii="宋体" w:hAnsi="宋体"/>
                <w:sz w:val="24"/>
              </w:rPr>
            </w:pPr>
            <w:r>
              <w:rPr>
                <w:rFonts w:hint="eastAsia" w:ascii="宋体" w:hAnsi="宋体"/>
                <w:sz w:val="24"/>
              </w:rPr>
              <w:t>室内B1-5层</w:t>
            </w:r>
            <w:r>
              <w:rPr>
                <w:rFonts w:hint="eastAsia" w:ascii="宋体" w:hAnsi="宋体"/>
                <w:sz w:val="24"/>
                <w:lang w:eastAsia="zh-CN"/>
              </w:rPr>
              <w:t>、</w:t>
            </w:r>
            <w:r>
              <w:rPr>
                <w:rFonts w:hint="eastAsia" w:ascii="宋体" w:hAnsi="宋体"/>
                <w:sz w:val="24"/>
              </w:rPr>
              <w:t>室外、停车场；日班8:30-17:30</w:t>
            </w:r>
          </w:p>
        </w:tc>
      </w:tr>
      <w:tr w14:paraId="4881FEC5">
        <w:tblPrEx>
          <w:tblCellMar>
            <w:top w:w="0" w:type="dxa"/>
            <w:left w:w="108" w:type="dxa"/>
            <w:bottom w:w="0" w:type="dxa"/>
            <w:right w:w="108" w:type="dxa"/>
          </w:tblCellMar>
        </w:tblPrEx>
        <w:trPr>
          <w:trHeight w:val="280" w:hRule="atLeast"/>
        </w:trPr>
        <w:tc>
          <w:tcPr>
            <w:tcW w:w="45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EA9AF">
            <w:pPr>
              <w:spacing w:line="360" w:lineRule="auto"/>
              <w:jc w:val="center"/>
              <w:rPr>
                <w:rFonts w:ascii="宋体" w:hAnsi="宋体"/>
                <w:sz w:val="24"/>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B160">
            <w:pPr>
              <w:spacing w:line="360" w:lineRule="auto"/>
              <w:jc w:val="center"/>
              <w:rPr>
                <w:rFonts w:ascii="宋体" w:hAnsi="宋体"/>
                <w:sz w:val="24"/>
              </w:rPr>
            </w:pPr>
            <w:r>
              <w:rPr>
                <w:rFonts w:hint="eastAsia" w:ascii="宋体" w:hAnsi="宋体"/>
                <w:sz w:val="24"/>
              </w:rPr>
              <w:t>门岗人员</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65FB1">
            <w:pPr>
              <w:spacing w:line="360" w:lineRule="auto"/>
              <w:jc w:val="center"/>
              <w:rPr>
                <w:rFonts w:ascii="宋体" w:hAnsi="宋体"/>
                <w:sz w:val="24"/>
              </w:rPr>
            </w:pPr>
            <w:r>
              <w:rPr>
                <w:rFonts w:hint="eastAsia" w:ascii="宋体" w:hAnsi="宋体"/>
                <w:sz w:val="24"/>
              </w:rPr>
              <w:t>4</w:t>
            </w:r>
          </w:p>
        </w:tc>
        <w:tc>
          <w:tcPr>
            <w:tcW w:w="27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BE15C">
            <w:pPr>
              <w:spacing w:line="360" w:lineRule="auto"/>
              <w:jc w:val="center"/>
              <w:rPr>
                <w:rFonts w:ascii="宋体" w:hAnsi="宋体"/>
                <w:sz w:val="24"/>
              </w:rPr>
            </w:pPr>
            <w:r>
              <w:rPr>
                <w:rFonts w:hint="eastAsia" w:ascii="宋体" w:hAnsi="宋体"/>
                <w:sz w:val="24"/>
              </w:rPr>
              <w:t>24小时值守</w:t>
            </w:r>
          </w:p>
        </w:tc>
      </w:tr>
      <w:tr w14:paraId="3B6576D2">
        <w:tblPrEx>
          <w:tblCellMar>
            <w:top w:w="0" w:type="dxa"/>
            <w:left w:w="108" w:type="dxa"/>
            <w:bottom w:w="0" w:type="dxa"/>
            <w:right w:w="108" w:type="dxa"/>
          </w:tblCellMar>
        </w:tblPrEx>
        <w:trPr>
          <w:trHeight w:val="280" w:hRule="atLeast"/>
        </w:trPr>
        <w:tc>
          <w:tcPr>
            <w:tcW w:w="45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21EBD">
            <w:pPr>
              <w:spacing w:line="360" w:lineRule="auto"/>
              <w:jc w:val="center"/>
              <w:rPr>
                <w:rFonts w:ascii="宋体" w:hAnsi="宋体"/>
                <w:sz w:val="24"/>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07A39">
            <w:pPr>
              <w:spacing w:line="360" w:lineRule="auto"/>
              <w:jc w:val="center"/>
              <w:rPr>
                <w:rFonts w:ascii="宋体" w:hAnsi="宋体"/>
                <w:sz w:val="24"/>
              </w:rPr>
            </w:pPr>
            <w:r>
              <w:rPr>
                <w:rFonts w:hint="eastAsia" w:ascii="宋体" w:hAnsi="宋体"/>
                <w:sz w:val="24"/>
              </w:rPr>
              <w:t>34</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0C2EC">
            <w:pPr>
              <w:spacing w:line="360" w:lineRule="auto"/>
              <w:jc w:val="center"/>
              <w:rPr>
                <w:rFonts w:ascii="宋体" w:hAnsi="宋体"/>
                <w:sz w:val="24"/>
              </w:rPr>
            </w:pPr>
          </w:p>
        </w:tc>
        <w:tc>
          <w:tcPr>
            <w:tcW w:w="27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C1C80">
            <w:pPr>
              <w:spacing w:line="360" w:lineRule="auto"/>
              <w:jc w:val="center"/>
              <w:rPr>
                <w:rFonts w:ascii="宋体" w:hAnsi="宋体"/>
                <w:sz w:val="24"/>
              </w:rPr>
            </w:pPr>
          </w:p>
        </w:tc>
      </w:tr>
      <w:tr w14:paraId="40DCADA9">
        <w:tblPrEx>
          <w:tblCellMar>
            <w:top w:w="0" w:type="dxa"/>
            <w:left w:w="108" w:type="dxa"/>
            <w:bottom w:w="0" w:type="dxa"/>
            <w:right w:w="108" w:type="dxa"/>
          </w:tblCellMar>
        </w:tblPrEx>
        <w:trPr>
          <w:trHeight w:val="280" w:hRule="atLeast"/>
        </w:trPr>
        <w:tc>
          <w:tcPr>
            <w:tcW w:w="12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8D38B">
            <w:pPr>
              <w:spacing w:line="360" w:lineRule="auto"/>
              <w:jc w:val="center"/>
              <w:rPr>
                <w:rFonts w:ascii="宋体" w:hAnsi="宋体"/>
                <w:sz w:val="24"/>
              </w:rPr>
            </w:pPr>
            <w:r>
              <w:rPr>
                <w:rFonts w:hint="eastAsia" w:ascii="宋体" w:hAnsi="宋体"/>
                <w:sz w:val="24"/>
              </w:rPr>
              <w:t>合计</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859DF">
            <w:pPr>
              <w:spacing w:line="360" w:lineRule="auto"/>
              <w:jc w:val="center"/>
              <w:rPr>
                <w:rFonts w:ascii="宋体" w:hAnsi="宋体"/>
                <w:sz w:val="24"/>
              </w:rPr>
            </w:pPr>
          </w:p>
        </w:tc>
        <w:tc>
          <w:tcPr>
            <w:tcW w:w="27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9A00E">
            <w:pPr>
              <w:spacing w:line="360" w:lineRule="auto"/>
              <w:jc w:val="center"/>
              <w:rPr>
                <w:rFonts w:ascii="宋体" w:hAnsi="宋体"/>
                <w:sz w:val="24"/>
              </w:rPr>
            </w:pPr>
          </w:p>
        </w:tc>
      </w:tr>
    </w:tbl>
    <w:p w14:paraId="33F4B1E2">
      <w:pPr>
        <w:spacing w:line="360" w:lineRule="auto"/>
        <w:rPr>
          <w:rFonts w:ascii="宋体" w:hAnsi="宋体"/>
          <w:b/>
          <w:bCs/>
          <w:sz w:val="24"/>
        </w:rPr>
      </w:pPr>
      <w:r>
        <w:rPr>
          <w:rFonts w:hint="eastAsia" w:ascii="宋体" w:hAnsi="宋体"/>
          <w:b/>
          <w:bCs/>
          <w:sz w:val="24"/>
        </w:rPr>
        <w:t>7.2岗位分工</w:t>
      </w:r>
    </w:p>
    <w:p w14:paraId="6B1A81FE">
      <w:pPr>
        <w:spacing w:line="360" w:lineRule="auto"/>
        <w:ind w:left="720" w:hanging="720" w:hangingChars="300"/>
        <w:rPr>
          <w:rFonts w:ascii="宋体" w:hAnsi="宋体"/>
          <w:sz w:val="24"/>
        </w:rPr>
      </w:pPr>
      <w:r>
        <w:rPr>
          <w:rFonts w:hint="eastAsia" w:ascii="宋体" w:hAnsi="宋体"/>
          <w:sz w:val="24"/>
        </w:rPr>
        <w:t>7.2.1出入口安检岗：</w:t>
      </w:r>
      <w:r>
        <w:rPr>
          <w:rFonts w:hint="eastAsia" w:ascii="宋体" w:hAnsi="宋体"/>
          <w:sz w:val="24"/>
          <w:lang w:val="en-US" w:eastAsia="zh-CN"/>
        </w:rPr>
        <w:t>1.</w:t>
      </w:r>
      <w:r>
        <w:rPr>
          <w:rFonts w:hint="eastAsia" w:ascii="宋体" w:hAnsi="宋体"/>
          <w:sz w:val="24"/>
        </w:rPr>
        <w:t>东大厅工作人员访客出入口</w:t>
      </w:r>
      <w:r>
        <w:rPr>
          <w:rFonts w:hint="eastAsia" w:ascii="宋体" w:hAnsi="宋体"/>
          <w:sz w:val="24"/>
          <w:lang w:eastAsia="zh-CN"/>
        </w:rPr>
        <w:t>；</w:t>
      </w:r>
      <w:r>
        <w:rPr>
          <w:rFonts w:hint="eastAsia" w:ascii="宋体" w:hAnsi="宋体"/>
          <w:sz w:val="24"/>
          <w:lang w:val="en-US" w:eastAsia="zh-CN"/>
        </w:rPr>
        <w:t>2.</w:t>
      </w:r>
      <w:r>
        <w:rPr>
          <w:rFonts w:hint="eastAsia" w:ascii="宋体" w:hAnsi="宋体"/>
          <w:sz w:val="24"/>
        </w:rPr>
        <w:t>西大厅公众入口；</w:t>
      </w:r>
      <w:r>
        <w:rPr>
          <w:rFonts w:hint="eastAsia" w:ascii="宋体" w:hAnsi="宋体"/>
          <w:sz w:val="24"/>
          <w:lang w:val="en-US" w:eastAsia="zh-CN"/>
        </w:rPr>
        <w:t>3.</w:t>
      </w:r>
      <w:r>
        <w:rPr>
          <w:rFonts w:hint="eastAsia" w:ascii="宋体" w:hAnsi="宋体"/>
          <w:sz w:val="24"/>
        </w:rPr>
        <w:t>执行人员、随身行李安检，高峰客流疏导。</w:t>
      </w:r>
    </w:p>
    <w:p w14:paraId="769806E7">
      <w:pPr>
        <w:spacing w:line="360" w:lineRule="auto"/>
        <w:ind w:left="720" w:hanging="720" w:hangingChars="300"/>
        <w:rPr>
          <w:rFonts w:ascii="宋体" w:hAnsi="宋体"/>
          <w:sz w:val="24"/>
        </w:rPr>
      </w:pPr>
      <w:r>
        <w:rPr>
          <w:rFonts w:hint="eastAsia" w:ascii="宋体" w:hAnsi="宋体"/>
          <w:sz w:val="24"/>
        </w:rPr>
        <w:t>7.2.2安防监控岗：24小时监控轮巡，火警、入侵报警信号核实处置，值班台账完整留存。</w:t>
      </w:r>
    </w:p>
    <w:p w14:paraId="30A1B411">
      <w:pPr>
        <w:spacing w:line="360" w:lineRule="auto"/>
        <w:ind w:left="720" w:hanging="720" w:hangingChars="300"/>
        <w:rPr>
          <w:rFonts w:ascii="宋体" w:hAnsi="宋体"/>
          <w:sz w:val="24"/>
        </w:rPr>
      </w:pPr>
      <w:r>
        <w:rPr>
          <w:rFonts w:hint="eastAsia" w:ascii="宋体" w:hAnsi="宋体"/>
          <w:sz w:val="24"/>
        </w:rPr>
        <w:t>7.2.3巡逻/机动岗：B1</w:t>
      </w:r>
      <w:r>
        <w:rPr>
          <w:rFonts w:hint="eastAsia" w:ascii="宋体" w:hAnsi="宋体"/>
          <w:sz w:val="24"/>
        </w:rPr>
        <w:noBreakHyphen/>
      </w:r>
      <w:r>
        <w:rPr>
          <w:rFonts w:hint="eastAsia" w:ascii="宋体" w:hAnsi="宋体"/>
          <w:sz w:val="24"/>
        </w:rPr>
        <w:t>5层全楼层室内巡逻，室外广场、停车场巡逻；重点巡查展厅、交叉学科联合实验室公共区域、科技赛场、全部消防通道；节假日、大型赛事加密巡逻频次。处置现场纠纷、突发状况，协助闭馆清场，大型活动人力增援。</w:t>
      </w:r>
    </w:p>
    <w:p w14:paraId="0B156806">
      <w:pPr>
        <w:spacing w:line="360" w:lineRule="auto"/>
        <w:ind w:left="720" w:hanging="720" w:hangingChars="300"/>
        <w:rPr>
          <w:rFonts w:ascii="宋体" w:hAnsi="宋体"/>
          <w:sz w:val="24"/>
        </w:rPr>
      </w:pPr>
      <w:r>
        <w:rPr>
          <w:rFonts w:hint="eastAsia" w:ascii="宋体" w:hAnsi="宋体"/>
          <w:sz w:val="24"/>
        </w:rPr>
        <w:t>7.2.4岗亭门岗：负责对相关人员、机动车辆、非机动车辆进出登记核验，全天候24小时在岗值守，做好岗亭周边警戒，维护馆区外围秩序。</w:t>
      </w:r>
    </w:p>
    <w:p w14:paraId="65458155">
      <w:pPr>
        <w:spacing w:line="360" w:lineRule="auto"/>
        <w:rPr>
          <w:rFonts w:ascii="宋体" w:hAnsi="宋体"/>
          <w:b/>
          <w:bCs/>
          <w:sz w:val="24"/>
        </w:rPr>
      </w:pPr>
      <w:r>
        <w:rPr>
          <w:rFonts w:hint="eastAsia" w:ascii="宋体" w:hAnsi="宋体"/>
          <w:b/>
          <w:bCs/>
          <w:sz w:val="24"/>
        </w:rPr>
        <w:t>7.3重点管理工作</w:t>
      </w:r>
    </w:p>
    <w:p w14:paraId="30693495">
      <w:pPr>
        <w:spacing w:line="360" w:lineRule="auto"/>
        <w:ind w:left="720" w:hanging="720" w:hangingChars="300"/>
        <w:rPr>
          <w:rFonts w:ascii="宋体" w:hAnsi="宋体"/>
          <w:sz w:val="24"/>
        </w:rPr>
      </w:pPr>
      <w:r>
        <w:rPr>
          <w:rFonts w:hint="eastAsia" w:ascii="宋体" w:hAnsi="宋体"/>
          <w:sz w:val="24"/>
        </w:rPr>
        <w:t>7.3.1人员与物品管控：大件物品出场执行出门审批登记；施工、外来作业人员身份核验登记。</w:t>
      </w:r>
    </w:p>
    <w:p w14:paraId="2B32FC2C">
      <w:pPr>
        <w:spacing w:line="360" w:lineRule="auto"/>
        <w:ind w:left="720" w:hanging="720" w:hangingChars="300"/>
        <w:rPr>
          <w:rFonts w:ascii="宋体" w:hAnsi="宋体"/>
          <w:sz w:val="24"/>
        </w:rPr>
      </w:pPr>
      <w:r>
        <w:rPr>
          <w:rFonts w:hint="eastAsia" w:ascii="宋体" w:hAnsi="宋体"/>
          <w:sz w:val="24"/>
        </w:rPr>
        <w:t>7.3.2设施展品防护：做好开放体验展区、赛场展品防盗、防人为破坏防护；发现展品损坏立即上报市科艺中心，物业不得自行拆解、调试科创展品设备。</w:t>
      </w:r>
    </w:p>
    <w:p w14:paraId="29534FFB">
      <w:pPr>
        <w:spacing w:line="360" w:lineRule="auto"/>
        <w:rPr>
          <w:rFonts w:ascii="宋体" w:hAnsi="宋体"/>
          <w:sz w:val="24"/>
        </w:rPr>
      </w:pPr>
      <w:r>
        <w:rPr>
          <w:rFonts w:hint="eastAsia" w:ascii="宋体" w:hAnsi="宋体"/>
          <w:sz w:val="24"/>
        </w:rPr>
        <w:t>7.3.3停车场管理：馆外停车场秩序维护，车辆引导停放，处置车辆纠纷。</w:t>
      </w:r>
    </w:p>
    <w:p w14:paraId="4214C971">
      <w:pPr>
        <w:spacing w:line="360" w:lineRule="auto"/>
        <w:ind w:left="720" w:hanging="720" w:hangingChars="300"/>
        <w:rPr>
          <w:rFonts w:ascii="宋体" w:hAnsi="宋体"/>
          <w:sz w:val="24"/>
        </w:rPr>
      </w:pPr>
      <w:r>
        <w:rPr>
          <w:rFonts w:hint="eastAsia" w:ascii="宋体" w:hAnsi="宋体"/>
          <w:sz w:val="24"/>
        </w:rPr>
        <w:t>7.3.4大型活动保障：科创赛事、国际交流、江景讲堂、临展布撤展，编制专项安保方案，增加现场岗位，落实人流隔离、限流管控措施。</w:t>
      </w:r>
    </w:p>
    <w:p w14:paraId="1B6A283E">
      <w:pPr>
        <w:spacing w:line="360" w:lineRule="auto"/>
        <w:ind w:left="720" w:hanging="720" w:hangingChars="300"/>
        <w:rPr>
          <w:rFonts w:ascii="宋体" w:hAnsi="宋体"/>
          <w:sz w:val="24"/>
        </w:rPr>
      </w:pPr>
      <w:r>
        <w:rPr>
          <w:rFonts w:hint="eastAsia" w:ascii="宋体" w:hAnsi="宋体"/>
          <w:sz w:val="24"/>
        </w:rPr>
        <w:t>7.3.5应急处置：火情、人员冲突、青少年突发伤病、极端天气等突发事件，联动公安、消防部门处置；定期组织反恐、消防疏散演练。</w:t>
      </w:r>
    </w:p>
    <w:p w14:paraId="75C2BC1B">
      <w:pPr>
        <w:spacing w:line="360" w:lineRule="auto"/>
        <w:rPr>
          <w:rFonts w:ascii="宋体" w:hAnsi="宋体"/>
          <w:b/>
          <w:bCs/>
          <w:sz w:val="24"/>
        </w:rPr>
      </w:pPr>
      <w:r>
        <w:rPr>
          <w:rFonts w:hint="eastAsia" w:ascii="宋体" w:hAnsi="宋体"/>
          <w:b/>
          <w:bCs/>
          <w:sz w:val="24"/>
        </w:rPr>
        <w:t>7.4管理制度与台账</w:t>
      </w:r>
    </w:p>
    <w:p w14:paraId="16E966A1">
      <w:pPr>
        <w:spacing w:line="360" w:lineRule="auto"/>
        <w:ind w:firstLine="480" w:firstLineChars="200"/>
        <w:rPr>
          <w:rFonts w:ascii="宋体" w:hAnsi="宋体"/>
          <w:sz w:val="24"/>
        </w:rPr>
      </w:pPr>
      <w:r>
        <w:rPr>
          <w:rFonts w:hint="eastAsia" w:ascii="宋体" w:hAnsi="宋体"/>
          <w:sz w:val="24"/>
        </w:rPr>
        <w:t>完整留存交接班记录、巡逻台账、报警处置记录、大型活动安保记录；定期开展安保岗位培训（反恐、消防、青少年访客处置规范）。</w:t>
      </w:r>
    </w:p>
    <w:p w14:paraId="4F598540">
      <w:pPr>
        <w:spacing w:line="360" w:lineRule="auto"/>
        <w:rPr>
          <w:rFonts w:hint="eastAsia" w:ascii="宋体" w:hAnsi="宋体" w:eastAsia="宋体"/>
          <w:b/>
          <w:bCs/>
          <w:sz w:val="24"/>
          <w:lang w:eastAsia="zh-CN"/>
        </w:rPr>
      </w:pPr>
      <w:r>
        <w:rPr>
          <w:rFonts w:hint="eastAsia" w:ascii="宋体" w:hAnsi="宋体"/>
          <w:b/>
          <w:bCs/>
          <w:sz w:val="24"/>
        </w:rPr>
        <w:t>7.5</w:t>
      </w:r>
      <w:r>
        <w:rPr>
          <w:rFonts w:hint="eastAsia" w:ascii="宋体" w:hAnsi="宋体"/>
          <w:b/>
          <w:bCs/>
          <w:sz w:val="24"/>
          <w:lang w:val="en-US" w:eastAsia="zh-CN"/>
        </w:rPr>
        <w:t>备注</w:t>
      </w:r>
    </w:p>
    <w:p w14:paraId="12AC235F">
      <w:pPr>
        <w:spacing w:line="360" w:lineRule="auto"/>
        <w:ind w:left="720" w:hanging="720" w:hangingChars="300"/>
        <w:rPr>
          <w:rFonts w:ascii="宋体" w:hAnsi="宋体"/>
          <w:sz w:val="24"/>
        </w:rPr>
      </w:pPr>
      <w:r>
        <w:rPr>
          <w:rFonts w:hint="eastAsia" w:ascii="宋体" w:hAnsi="宋体"/>
          <w:sz w:val="24"/>
        </w:rPr>
        <w:t>7.5.1本场馆所需安检设备</w:t>
      </w:r>
      <w:r>
        <w:rPr>
          <w:rFonts w:hint="eastAsia" w:ascii="宋体" w:hAnsi="宋体"/>
          <w:sz w:val="24"/>
          <w:lang w:val="en-US" w:eastAsia="zh-CN"/>
        </w:rPr>
        <w:t>由物业方负责提供</w:t>
      </w:r>
      <w:r>
        <w:rPr>
          <w:rFonts w:hint="eastAsia" w:ascii="宋体" w:hAnsi="宋体"/>
          <w:sz w:val="24"/>
        </w:rPr>
        <w:t>，包括</w:t>
      </w:r>
      <w:r>
        <w:rPr>
          <w:rFonts w:hint="eastAsia" w:ascii="宋体" w:hAnsi="宋体"/>
          <w:sz w:val="24"/>
          <w:lang w:val="en-US" w:eastAsia="zh-CN"/>
        </w:rPr>
        <w:t>但不限于</w:t>
      </w:r>
      <w:r>
        <w:rPr>
          <w:rFonts w:hint="eastAsia" w:ascii="宋体" w:hAnsi="宋体"/>
          <w:sz w:val="24"/>
        </w:rPr>
        <w:t>X光行李安检机、金属安检门、手持金属探测器等，本着节约原则按下限取4套安检设备。</w:t>
      </w:r>
    </w:p>
    <w:p w14:paraId="23CB9C64">
      <w:pPr>
        <w:spacing w:line="360" w:lineRule="auto"/>
        <w:ind w:left="720" w:hanging="720" w:hangingChars="300"/>
        <w:rPr>
          <w:rFonts w:ascii="宋体" w:hAnsi="宋体"/>
          <w:sz w:val="24"/>
        </w:rPr>
      </w:pPr>
      <w:r>
        <w:rPr>
          <w:rFonts w:hint="eastAsia" w:ascii="宋体" w:hAnsi="宋体"/>
          <w:sz w:val="24"/>
        </w:rPr>
        <w:t>7.5.2</w:t>
      </w:r>
      <w:r>
        <w:rPr>
          <w:rFonts w:hint="eastAsia" w:ascii="宋体" w:hAnsi="宋体"/>
          <w:sz w:val="24"/>
          <w:lang w:val="en-US" w:eastAsia="zh-CN"/>
        </w:rPr>
        <w:t>本项目通过消防验收合格后，其他消防、安防物资，根据场馆实际需求进行调整配备</w:t>
      </w:r>
      <w:r>
        <w:rPr>
          <w:rFonts w:hint="eastAsia" w:ascii="宋体" w:hAnsi="宋体"/>
          <w:sz w:val="24"/>
        </w:rPr>
        <w:t>。</w:t>
      </w:r>
    </w:p>
    <w:p w14:paraId="6CDAA00A">
      <w:pPr>
        <w:spacing w:line="360" w:lineRule="auto"/>
        <w:ind w:left="720" w:hanging="720" w:hangingChars="300"/>
        <w:rPr>
          <w:rFonts w:ascii="宋体" w:hAnsi="宋体"/>
          <w:sz w:val="24"/>
          <w:highlight w:val="none"/>
        </w:rPr>
      </w:pPr>
      <w:r>
        <w:rPr>
          <w:rFonts w:hint="eastAsia" w:ascii="宋体" w:hAnsi="宋体"/>
          <w:sz w:val="24"/>
        </w:rPr>
        <w:t>7.5.3场馆若遇重特大赛事或活动保障，需要增派特保人员时，科艺中心则应按增派人员人数及工作时间额外支付物业人员</w:t>
      </w:r>
      <w:r>
        <w:rPr>
          <w:rFonts w:hint="eastAsia" w:ascii="宋体" w:hAnsi="宋体"/>
          <w:sz w:val="24"/>
          <w:highlight w:val="none"/>
        </w:rPr>
        <w:t>费用。（费用标准按科艺中心劳务费标准实施）</w:t>
      </w:r>
    </w:p>
    <w:p w14:paraId="1DFB942B">
      <w:pPr>
        <w:spacing w:line="360" w:lineRule="auto"/>
        <w:rPr>
          <w:rFonts w:ascii="宋体" w:hAnsi="宋体"/>
          <w:sz w:val="24"/>
        </w:rPr>
      </w:pPr>
    </w:p>
    <w:p w14:paraId="71DD6477">
      <w:pPr>
        <w:spacing w:line="360" w:lineRule="auto"/>
        <w:jc w:val="center"/>
        <w:rPr>
          <w:rFonts w:ascii="宋体" w:hAnsi="宋体"/>
          <w:sz w:val="28"/>
          <w:szCs w:val="28"/>
        </w:rPr>
      </w:pPr>
      <w:r>
        <w:rPr>
          <w:rFonts w:hint="eastAsia" w:ascii="宋体" w:hAnsi="宋体"/>
          <w:sz w:val="28"/>
          <w:szCs w:val="28"/>
        </w:rPr>
        <w:t>第八章 场馆保洁易耗品及垃圾清运</w:t>
      </w:r>
    </w:p>
    <w:p w14:paraId="2D192830">
      <w:pPr>
        <w:spacing w:line="360" w:lineRule="auto"/>
        <w:rPr>
          <w:rFonts w:ascii="宋体" w:hAnsi="宋体"/>
          <w:b/>
          <w:bCs/>
          <w:sz w:val="24"/>
        </w:rPr>
      </w:pPr>
      <w:r>
        <w:rPr>
          <w:rFonts w:hint="eastAsia" w:ascii="宋体" w:hAnsi="宋体"/>
          <w:b/>
          <w:bCs/>
          <w:sz w:val="24"/>
        </w:rPr>
        <w:t>8.1服务范围</w:t>
      </w:r>
    </w:p>
    <w:p w14:paraId="171548BE">
      <w:pPr>
        <w:spacing w:line="360" w:lineRule="auto"/>
        <w:ind w:firstLine="480" w:firstLineChars="200"/>
        <w:rPr>
          <w:rFonts w:ascii="宋体" w:hAnsi="宋体"/>
          <w:sz w:val="24"/>
        </w:rPr>
      </w:pPr>
      <w:r>
        <w:rPr>
          <w:rFonts w:hint="eastAsia" w:ascii="宋体" w:hAnsi="宋体"/>
          <w:sz w:val="24"/>
        </w:rPr>
        <w:t>馆内总建筑面积 23117㎡；馆外区域 4232.55㎡。 馆内：展厅、智慧学习空间、创智空间、交叉学科联合实验室公共区域、科技赛场、江景讲堂、临展区、走廊、电梯、全部卫生间；馆外：广场、道路、垃圾房、公共设施。</w:t>
      </w:r>
    </w:p>
    <w:p w14:paraId="7752ECF7">
      <w:pPr>
        <w:spacing w:line="360" w:lineRule="auto"/>
        <w:ind w:left="720" w:hanging="720" w:hangingChars="300"/>
        <w:rPr>
          <w:rFonts w:ascii="宋体" w:hAnsi="宋体"/>
          <w:sz w:val="24"/>
        </w:rPr>
      </w:pPr>
      <w:r>
        <w:rPr>
          <w:rFonts w:hint="eastAsia" w:ascii="宋体" w:hAnsi="宋体"/>
          <w:sz w:val="24"/>
        </w:rPr>
        <w:t>8.1.1人员配置：保洁主管1人、保洁领班1人、保洁专员14人（常规清洁12人、展品专项清洁2人），合计16人。</w:t>
      </w:r>
    </w:p>
    <w:p w14:paraId="2F95F81A">
      <w:pPr>
        <w:spacing w:line="360" w:lineRule="auto"/>
        <w:rPr>
          <w:rFonts w:ascii="宋体" w:hAnsi="宋体"/>
          <w:b/>
          <w:bCs/>
          <w:sz w:val="24"/>
        </w:rPr>
      </w:pPr>
      <w:r>
        <w:rPr>
          <w:rFonts w:hint="eastAsia" w:ascii="宋体" w:hAnsi="宋体"/>
          <w:b/>
          <w:bCs/>
          <w:sz w:val="24"/>
        </w:rPr>
        <w:t>8.2作业模式</w:t>
      </w:r>
    </w:p>
    <w:p w14:paraId="67BDD59D">
      <w:pPr>
        <w:spacing w:line="360" w:lineRule="auto"/>
        <w:rPr>
          <w:rFonts w:ascii="宋体" w:hAnsi="宋体"/>
          <w:sz w:val="24"/>
        </w:rPr>
      </w:pPr>
      <w:r>
        <w:rPr>
          <w:rFonts w:hint="eastAsia" w:ascii="宋体" w:hAnsi="宋体"/>
          <w:sz w:val="24"/>
        </w:rPr>
        <w:t>8.2.1开馆前深度保洁，完成场馆基础全面清洁；</w:t>
      </w:r>
    </w:p>
    <w:p w14:paraId="795715AB">
      <w:pPr>
        <w:spacing w:line="360" w:lineRule="auto"/>
        <w:ind w:left="720" w:hanging="720" w:hangingChars="300"/>
        <w:rPr>
          <w:rFonts w:ascii="宋体" w:hAnsi="宋体"/>
          <w:sz w:val="24"/>
        </w:rPr>
      </w:pPr>
      <w:r>
        <w:rPr>
          <w:rFonts w:hint="eastAsia" w:ascii="宋体" w:hAnsi="宋体"/>
          <w:sz w:val="24"/>
        </w:rPr>
        <w:t>8.2.2开放期间巡回保洁：展厅、卫生间、公共走廊高频巡回，即时清理垃圾、       地面污渍；赛事、大型活动期间提升保洁频次；</w:t>
      </w:r>
    </w:p>
    <w:p w14:paraId="733DF00B">
      <w:pPr>
        <w:spacing w:line="360" w:lineRule="auto"/>
        <w:rPr>
          <w:rFonts w:ascii="宋体" w:hAnsi="宋体"/>
          <w:sz w:val="24"/>
        </w:rPr>
      </w:pPr>
      <w:r>
        <w:rPr>
          <w:rFonts w:hint="eastAsia" w:ascii="宋体" w:hAnsi="宋体"/>
          <w:sz w:val="24"/>
        </w:rPr>
        <w:t>8.2.3闭馆后深度保洁，垃圾归集清运，重点区域深度清洁；</w:t>
      </w:r>
    </w:p>
    <w:p w14:paraId="08B5B9CD">
      <w:pPr>
        <w:spacing w:line="360" w:lineRule="auto"/>
        <w:ind w:left="720" w:hanging="720" w:hangingChars="300"/>
        <w:rPr>
          <w:rFonts w:ascii="宋体" w:hAnsi="宋体"/>
          <w:sz w:val="24"/>
        </w:rPr>
      </w:pPr>
      <w:r>
        <w:rPr>
          <w:rFonts w:hint="eastAsia" w:ascii="宋体" w:hAnsi="宋体"/>
          <w:sz w:val="24"/>
        </w:rPr>
        <w:t>8.2.4展品专项保洁岗，严格执行展品外围保洁操作规范，严禁触碰科创设备、实验器材。</w:t>
      </w:r>
    </w:p>
    <w:p w14:paraId="29E04B02">
      <w:pPr>
        <w:spacing w:line="360" w:lineRule="auto"/>
        <w:rPr>
          <w:rFonts w:ascii="宋体" w:hAnsi="宋体"/>
          <w:b/>
          <w:bCs/>
          <w:sz w:val="24"/>
        </w:rPr>
      </w:pPr>
      <w:r>
        <w:rPr>
          <w:rFonts w:hint="eastAsia" w:ascii="宋体" w:hAnsi="宋体"/>
          <w:b/>
          <w:bCs/>
          <w:sz w:val="24"/>
        </w:rPr>
        <w:t>8.3易耗品、垃圾与消杀管理</w:t>
      </w:r>
    </w:p>
    <w:p w14:paraId="5A70C21F">
      <w:pPr>
        <w:spacing w:line="360" w:lineRule="auto"/>
        <w:ind w:left="720" w:hanging="720" w:hangingChars="300"/>
        <w:rPr>
          <w:rFonts w:ascii="宋体" w:hAnsi="宋体"/>
          <w:sz w:val="24"/>
        </w:rPr>
      </w:pPr>
      <w:r>
        <w:rPr>
          <w:rFonts w:hint="eastAsia" w:ascii="宋体" w:hAnsi="宋体"/>
          <w:sz w:val="24"/>
        </w:rPr>
        <w:t>8.3.1保洁易耗品：垃圾袋、拖把头、抹布、洗手液、卫生纸、消毒剂、清洁工具等按需储备领用，按接待人次测算耗材需求。</w:t>
      </w:r>
    </w:p>
    <w:p w14:paraId="7FEDB20D">
      <w:pPr>
        <w:spacing w:line="360" w:lineRule="auto"/>
        <w:ind w:left="720" w:hanging="720" w:hangingChars="300"/>
        <w:rPr>
          <w:rFonts w:ascii="宋体" w:hAnsi="宋体"/>
          <w:sz w:val="24"/>
        </w:rPr>
      </w:pPr>
      <w:r>
        <w:rPr>
          <w:rFonts w:hint="eastAsia" w:ascii="宋体" w:hAnsi="宋体"/>
          <w:sz w:val="24"/>
        </w:rPr>
        <w:t>8.3.2垃圾分类清运：严格落实上海市垃圾分类管理；干垃圾、餐厨垃圾分类归集，对接合规清运单位，完整清运台账；垃圾房每日保洁消杀。</w:t>
      </w:r>
    </w:p>
    <w:p w14:paraId="40D37865">
      <w:pPr>
        <w:spacing w:line="360" w:lineRule="auto"/>
        <w:ind w:left="720" w:hanging="720" w:hangingChars="300"/>
        <w:rPr>
          <w:rFonts w:ascii="宋体" w:hAnsi="宋体"/>
          <w:sz w:val="24"/>
        </w:rPr>
      </w:pPr>
      <w:r>
        <w:rPr>
          <w:rFonts w:hint="eastAsia" w:ascii="宋体" w:hAnsi="宋体"/>
          <w:sz w:val="24"/>
        </w:rPr>
        <w:t>8.3.3常规消杀：定期开展馆外消杀，夏季蚊虫增加作业频次；实验室内部化学区域消杀不由物业实施。</w:t>
      </w:r>
    </w:p>
    <w:p w14:paraId="5BCCB5DB">
      <w:pPr>
        <w:spacing w:line="360" w:lineRule="auto"/>
        <w:rPr>
          <w:rFonts w:ascii="宋体" w:hAnsi="宋体"/>
          <w:b/>
          <w:bCs/>
          <w:sz w:val="24"/>
        </w:rPr>
      </w:pPr>
      <w:r>
        <w:rPr>
          <w:rFonts w:hint="eastAsia" w:ascii="宋体" w:hAnsi="宋体"/>
          <w:b/>
          <w:bCs/>
          <w:sz w:val="24"/>
        </w:rPr>
        <w:t>8.4重点区域作业标准</w:t>
      </w:r>
    </w:p>
    <w:p w14:paraId="574D2D3A">
      <w:pPr>
        <w:spacing w:line="360" w:lineRule="auto"/>
        <w:rPr>
          <w:rFonts w:ascii="宋体" w:hAnsi="宋体"/>
          <w:sz w:val="24"/>
        </w:rPr>
      </w:pPr>
      <w:r>
        <w:rPr>
          <w:rFonts w:hint="eastAsia" w:ascii="宋体" w:hAnsi="宋体"/>
          <w:sz w:val="24"/>
        </w:rPr>
        <w:t>8.4.1卫生间：无异味、无积水，耗材补齐，巡回保洁。</w:t>
      </w:r>
    </w:p>
    <w:p w14:paraId="46CCEDE0">
      <w:pPr>
        <w:spacing w:line="360" w:lineRule="auto"/>
        <w:rPr>
          <w:rFonts w:ascii="宋体" w:hAnsi="宋体"/>
          <w:sz w:val="24"/>
        </w:rPr>
      </w:pPr>
      <w:r>
        <w:rPr>
          <w:rFonts w:hint="eastAsia" w:ascii="宋体" w:hAnsi="宋体"/>
          <w:sz w:val="24"/>
        </w:rPr>
        <w:t>8.4.2展厅：地面无垃圾污渍，垃圾桶不超过2/3容量。</w:t>
      </w:r>
    </w:p>
    <w:p w14:paraId="7E671BF9">
      <w:pPr>
        <w:spacing w:line="360" w:lineRule="auto"/>
        <w:rPr>
          <w:rFonts w:ascii="宋体" w:hAnsi="宋体"/>
          <w:sz w:val="24"/>
        </w:rPr>
      </w:pPr>
      <w:r>
        <w:rPr>
          <w:rFonts w:hint="eastAsia" w:ascii="宋体" w:hAnsi="宋体"/>
          <w:sz w:val="24"/>
        </w:rPr>
        <w:t>8.4.3馆外广场：及时清理纸屑杂物，雨水井、排水沟定期清理。</w:t>
      </w:r>
    </w:p>
    <w:p w14:paraId="441F4732">
      <w:pPr>
        <w:spacing w:line="360" w:lineRule="auto"/>
        <w:rPr>
          <w:rFonts w:hint="eastAsia" w:ascii="宋体" w:hAnsi="宋体" w:eastAsia="宋体"/>
          <w:b/>
          <w:bCs/>
          <w:sz w:val="24"/>
          <w:lang w:eastAsia="zh-CN"/>
        </w:rPr>
      </w:pPr>
      <w:r>
        <w:rPr>
          <w:rFonts w:hint="eastAsia" w:ascii="宋体" w:hAnsi="宋体"/>
          <w:b/>
          <w:bCs/>
          <w:sz w:val="24"/>
        </w:rPr>
        <w:t>8.5</w:t>
      </w:r>
      <w:r>
        <w:rPr>
          <w:rFonts w:hint="eastAsia" w:ascii="宋体" w:hAnsi="宋体"/>
          <w:b/>
          <w:bCs/>
          <w:sz w:val="24"/>
          <w:lang w:val="en-US" w:eastAsia="zh-CN"/>
        </w:rPr>
        <w:t>备注</w:t>
      </w:r>
    </w:p>
    <w:p w14:paraId="72D2BD17">
      <w:pPr>
        <w:spacing w:line="360" w:lineRule="auto"/>
        <w:ind w:left="720" w:hanging="720" w:hangingChars="300"/>
        <w:rPr>
          <w:rFonts w:ascii="宋体" w:hAnsi="宋体"/>
          <w:sz w:val="24"/>
        </w:rPr>
      </w:pPr>
      <w:r>
        <w:rPr>
          <w:rFonts w:hint="eastAsia" w:ascii="宋体" w:hAnsi="宋体"/>
          <w:sz w:val="24"/>
        </w:rPr>
        <w:t>8.5.1场馆屋顶、各实验室基础保洁均由物业负责，如涉及实验室内设备本体、屏幕、精密实验器材等保洁，物业保洁人员需要经科艺中心或设备运维方专业培训后，方可进行保洁作业。</w:t>
      </w:r>
    </w:p>
    <w:p w14:paraId="266EDAE8">
      <w:pPr>
        <w:spacing w:line="360" w:lineRule="auto"/>
        <w:ind w:left="720" w:hanging="720" w:hangingChars="300"/>
        <w:rPr>
          <w:rFonts w:ascii="宋体" w:hAnsi="宋体"/>
          <w:sz w:val="24"/>
        </w:rPr>
      </w:pPr>
      <w:r>
        <w:rPr>
          <w:rFonts w:hint="eastAsia" w:ascii="宋体" w:hAnsi="宋体"/>
          <w:sz w:val="24"/>
        </w:rPr>
        <w:t>8.5.2在施工方完成场馆施工并做好工程开荒粗保洁以及建筑垃圾清运后，物业方负责开馆前的开荒细保洁工作。</w:t>
      </w:r>
    </w:p>
    <w:p w14:paraId="04B00576">
      <w:pPr>
        <w:spacing w:line="360" w:lineRule="auto"/>
        <w:ind w:left="720" w:hanging="720" w:hangingChars="300"/>
        <w:rPr>
          <w:rFonts w:ascii="宋体" w:hAnsi="宋体"/>
          <w:sz w:val="24"/>
        </w:rPr>
      </w:pPr>
      <w:r>
        <w:rPr>
          <w:rFonts w:hint="eastAsia" w:ascii="宋体" w:hAnsi="宋体"/>
          <w:sz w:val="24"/>
        </w:rPr>
        <w:t>8.5.3根据建筑方案，外立面总面积13350平方米，其中玻璃面积5482平方米，铝板面积6510平方米，栏杆和百叶等零星幕墙1358平方米，由物业负责清洗，本服务期内清洗1次。</w:t>
      </w:r>
    </w:p>
    <w:p w14:paraId="280C5FC2">
      <w:pPr>
        <w:spacing w:line="360" w:lineRule="auto"/>
        <w:ind w:left="720" w:hanging="720" w:hangingChars="300"/>
        <w:rPr>
          <w:rFonts w:ascii="宋体" w:hAnsi="宋体"/>
          <w:sz w:val="24"/>
        </w:rPr>
      </w:pPr>
      <w:r>
        <w:rPr>
          <w:rFonts w:hint="eastAsia" w:ascii="宋体" w:hAnsi="宋体"/>
          <w:sz w:val="24"/>
        </w:rPr>
        <w:t>8.5.4保洁工具、保洁试剂、公共区域卫生用品耗材、垃圾清运均由物业承担。</w:t>
      </w:r>
    </w:p>
    <w:p w14:paraId="2606E9AD">
      <w:pPr>
        <w:spacing w:line="360" w:lineRule="auto"/>
        <w:ind w:left="720" w:hanging="720" w:hangingChars="300"/>
        <w:rPr>
          <w:rFonts w:hint="default" w:ascii="宋体" w:hAnsi="宋体" w:eastAsia="宋体"/>
          <w:sz w:val="24"/>
          <w:lang w:val="en-US" w:eastAsia="zh-CN"/>
        </w:rPr>
      </w:pPr>
      <w:r>
        <w:rPr>
          <w:rFonts w:hint="eastAsia" w:ascii="宋体" w:hAnsi="宋体"/>
          <w:sz w:val="24"/>
          <w:lang w:val="en-US" w:eastAsia="zh-CN"/>
        </w:rPr>
        <w:t>8.5.5场馆休憩区的垫子、窗帘等需定期清洗。</w:t>
      </w:r>
    </w:p>
    <w:p w14:paraId="7EE5928E">
      <w:pPr>
        <w:spacing w:line="360" w:lineRule="auto"/>
        <w:rPr>
          <w:rFonts w:ascii="宋体" w:hAnsi="宋体"/>
          <w:sz w:val="24"/>
        </w:rPr>
      </w:pPr>
    </w:p>
    <w:p w14:paraId="52A8B7E8">
      <w:pPr>
        <w:spacing w:line="360" w:lineRule="auto"/>
        <w:jc w:val="center"/>
        <w:rPr>
          <w:rFonts w:ascii="宋体" w:hAnsi="宋体"/>
          <w:sz w:val="28"/>
          <w:szCs w:val="28"/>
        </w:rPr>
      </w:pPr>
      <w:r>
        <w:rPr>
          <w:rFonts w:hint="eastAsia" w:ascii="宋体" w:hAnsi="宋体"/>
          <w:sz w:val="28"/>
          <w:szCs w:val="28"/>
        </w:rPr>
        <w:t>第九章 绿化养护和租赁</w:t>
      </w:r>
    </w:p>
    <w:p w14:paraId="474EC021">
      <w:pPr>
        <w:spacing w:line="360" w:lineRule="auto"/>
        <w:rPr>
          <w:rFonts w:ascii="宋体" w:hAnsi="宋体"/>
          <w:b/>
          <w:bCs/>
          <w:sz w:val="24"/>
        </w:rPr>
      </w:pPr>
      <w:r>
        <w:rPr>
          <w:rFonts w:hint="eastAsia" w:ascii="宋体" w:hAnsi="宋体"/>
          <w:b/>
          <w:bCs/>
          <w:sz w:val="24"/>
        </w:rPr>
        <w:t>9.1服务范围</w:t>
      </w:r>
    </w:p>
    <w:p w14:paraId="1F4BD54C">
      <w:pPr>
        <w:spacing w:line="360" w:lineRule="auto"/>
        <w:ind w:firstLine="480" w:firstLineChars="200"/>
        <w:rPr>
          <w:rFonts w:ascii="宋体" w:hAnsi="宋体"/>
          <w:sz w:val="24"/>
        </w:rPr>
      </w:pPr>
      <w:r>
        <w:rPr>
          <w:rFonts w:hint="eastAsia" w:ascii="宋体" w:hAnsi="宋体"/>
          <w:sz w:val="24"/>
        </w:rPr>
        <w:t>屋顶绿化养护，面积 2138.88㎡，内容包含浇水施肥、修剪整形、植物更新、病虫害防治、排水安全检查、极端气候防护。</w:t>
      </w:r>
    </w:p>
    <w:p w14:paraId="68DF411B">
      <w:pPr>
        <w:spacing w:line="360" w:lineRule="auto"/>
        <w:ind w:firstLine="480" w:firstLineChars="200"/>
        <w:rPr>
          <w:rFonts w:ascii="宋体" w:hAnsi="宋体"/>
          <w:sz w:val="24"/>
        </w:rPr>
      </w:pPr>
      <w:r>
        <w:rPr>
          <w:rFonts w:hint="eastAsia" w:ascii="宋体" w:hAnsi="宋体"/>
          <w:sz w:val="24"/>
        </w:rPr>
        <w:t>室内绿植租赁：B1</w:t>
      </w:r>
      <w:r>
        <w:rPr>
          <w:rFonts w:hint="eastAsia" w:ascii="宋体" w:hAnsi="宋体"/>
          <w:sz w:val="24"/>
        </w:rPr>
        <w:noBreakHyphen/>
      </w:r>
      <w:r>
        <w:rPr>
          <w:rFonts w:hint="eastAsia" w:ascii="宋体" w:hAnsi="宋体"/>
          <w:sz w:val="24"/>
        </w:rPr>
        <w:t>5F 大厅、接待室、各实验室公共区、江景讲堂、公共走廊，共计172盆/组绿植，租赁包含定期养护，枯萎植株及时更换。</w:t>
      </w:r>
    </w:p>
    <w:p w14:paraId="1EF569E4">
      <w:pPr>
        <w:spacing w:line="360" w:lineRule="auto"/>
        <w:rPr>
          <w:rFonts w:ascii="宋体" w:hAnsi="宋体"/>
          <w:sz w:val="24"/>
        </w:rPr>
      </w:pPr>
      <w:r>
        <w:rPr>
          <w:rFonts w:hint="eastAsia" w:ascii="宋体" w:hAnsi="宋体"/>
          <w:sz w:val="24"/>
        </w:rPr>
        <w:t>9.1.1岗位配置：绿化专员 1人。</w:t>
      </w:r>
    </w:p>
    <w:p w14:paraId="56AB8A3D">
      <w:pPr>
        <w:spacing w:line="360" w:lineRule="auto"/>
        <w:rPr>
          <w:rFonts w:ascii="宋体" w:hAnsi="宋体"/>
          <w:b/>
          <w:bCs/>
          <w:sz w:val="24"/>
        </w:rPr>
      </w:pPr>
      <w:r>
        <w:rPr>
          <w:rFonts w:hint="eastAsia" w:ascii="宋体" w:hAnsi="宋体"/>
          <w:b/>
          <w:bCs/>
          <w:sz w:val="24"/>
        </w:rPr>
        <w:t>9.2管理要点</w:t>
      </w:r>
    </w:p>
    <w:p w14:paraId="6E306523">
      <w:pPr>
        <w:spacing w:line="360" w:lineRule="auto"/>
        <w:rPr>
          <w:rFonts w:ascii="宋体" w:hAnsi="宋体"/>
          <w:sz w:val="24"/>
        </w:rPr>
      </w:pPr>
      <w:r>
        <w:rPr>
          <w:rFonts w:hint="eastAsia" w:ascii="宋体" w:hAnsi="宋体"/>
          <w:sz w:val="24"/>
        </w:rPr>
        <w:t>9.2.1屋顶绿化定期巡检，排查排水堵塞，防范屋面漏水风险；</w:t>
      </w:r>
    </w:p>
    <w:p w14:paraId="324FEA35">
      <w:pPr>
        <w:spacing w:line="360" w:lineRule="auto"/>
        <w:rPr>
          <w:rFonts w:ascii="宋体" w:hAnsi="宋体"/>
          <w:sz w:val="24"/>
        </w:rPr>
      </w:pPr>
      <w:r>
        <w:rPr>
          <w:rFonts w:hint="eastAsia" w:ascii="宋体" w:hAnsi="宋体"/>
          <w:sz w:val="24"/>
        </w:rPr>
        <w:t>9.2.2室内绿植定期巡检，枯黄、长势不良植株及时更换。</w:t>
      </w:r>
    </w:p>
    <w:p w14:paraId="23236384">
      <w:pPr>
        <w:spacing w:line="360" w:lineRule="auto"/>
        <w:rPr>
          <w:rFonts w:ascii="宋体" w:hAnsi="宋体"/>
          <w:b/>
          <w:bCs/>
          <w:sz w:val="24"/>
        </w:rPr>
      </w:pPr>
      <w:r>
        <w:rPr>
          <w:rFonts w:hint="eastAsia" w:ascii="宋体" w:hAnsi="宋体"/>
          <w:b/>
          <w:bCs/>
          <w:sz w:val="24"/>
        </w:rPr>
        <w:t>9.3绿植摆放清单</w:t>
      </w:r>
    </w:p>
    <w:p w14:paraId="1BBF8DC0">
      <w:pPr>
        <w:spacing w:line="360" w:lineRule="auto"/>
        <w:ind w:firstLine="480" w:firstLineChars="200"/>
        <w:rPr>
          <w:rFonts w:ascii="宋体" w:hAnsi="宋体"/>
          <w:sz w:val="24"/>
        </w:rPr>
      </w:pPr>
      <w:r>
        <w:rPr>
          <w:rFonts w:hint="eastAsia" w:ascii="宋体" w:hAnsi="宋体"/>
          <w:sz w:val="24"/>
        </w:rPr>
        <w:t>室内绿植</w:t>
      </w:r>
      <w:r>
        <w:rPr>
          <w:rFonts w:hint="eastAsia" w:ascii="宋体" w:hAnsi="宋体"/>
          <w:sz w:val="24"/>
          <w:lang w:eastAsia="zh-CN"/>
        </w:rPr>
        <w:t>供应商可</w:t>
      </w:r>
      <w:r>
        <w:rPr>
          <w:rFonts w:hint="eastAsia" w:ascii="宋体" w:hAnsi="宋体"/>
          <w:sz w:val="24"/>
        </w:rPr>
        <w:t>采用租赁方式，</w:t>
      </w:r>
      <w:r>
        <w:rPr>
          <w:rFonts w:hint="eastAsia" w:ascii="宋体" w:hAnsi="宋体"/>
          <w:sz w:val="24"/>
          <w:lang w:eastAsia="zh-CN"/>
        </w:rPr>
        <w:t>报价需</w:t>
      </w:r>
      <w:r>
        <w:rPr>
          <w:rFonts w:hint="eastAsia" w:ascii="宋体" w:hAnsi="宋体"/>
          <w:sz w:val="24"/>
        </w:rPr>
        <w:t>含养护费用。详细配置清单如下：</w:t>
      </w:r>
    </w:p>
    <w:tbl>
      <w:tblPr>
        <w:tblStyle w:val="9"/>
        <w:tblpPr w:leftFromText="180" w:rightFromText="180" w:vertAnchor="text" w:horzAnchor="page" w:tblpX="1787" w:tblpY="463"/>
        <w:tblOverlap w:val="never"/>
        <w:tblW w:w="4998" w:type="pct"/>
        <w:tblInd w:w="0" w:type="dxa"/>
        <w:tblLayout w:type="fixed"/>
        <w:tblCellMar>
          <w:top w:w="0" w:type="dxa"/>
          <w:left w:w="108" w:type="dxa"/>
          <w:bottom w:w="0" w:type="dxa"/>
          <w:right w:w="108" w:type="dxa"/>
        </w:tblCellMar>
      </w:tblPr>
      <w:tblGrid>
        <w:gridCol w:w="546"/>
        <w:gridCol w:w="548"/>
        <w:gridCol w:w="1365"/>
        <w:gridCol w:w="1573"/>
        <w:gridCol w:w="1101"/>
        <w:gridCol w:w="571"/>
        <w:gridCol w:w="987"/>
        <w:gridCol w:w="971"/>
        <w:gridCol w:w="857"/>
      </w:tblGrid>
      <w:tr w14:paraId="033868CC">
        <w:tblPrEx>
          <w:tblCellMar>
            <w:top w:w="0" w:type="dxa"/>
            <w:left w:w="108" w:type="dxa"/>
            <w:bottom w:w="0" w:type="dxa"/>
            <w:right w:w="108" w:type="dxa"/>
          </w:tblCellMar>
        </w:tblPrEx>
        <w:trPr>
          <w:trHeight w:val="310" w:hRule="atLeast"/>
          <w:tblHead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A6CE3">
            <w:pPr>
              <w:widowControl/>
              <w:spacing w:line="360" w:lineRule="auto"/>
              <w:jc w:val="center"/>
              <w:textAlignment w:val="auto"/>
              <w:rPr>
                <w:rFonts w:ascii="宋体" w:hAnsi="宋体"/>
                <w:b/>
                <w:bCs/>
                <w:sz w:val="18"/>
                <w:szCs w:val="18"/>
              </w:rPr>
            </w:pPr>
            <w:r>
              <w:rPr>
                <w:rFonts w:hint="eastAsia" w:ascii="宋体" w:hAnsi="宋体"/>
                <w:sz w:val="24"/>
              </w:rPr>
              <w:t>室内绿植摆放清单</w:t>
            </w:r>
            <w:r>
              <w:rPr>
                <w:rFonts w:hint="eastAsia" w:ascii="宋体" w:hAnsi="宋体"/>
                <w:b/>
                <w:bCs/>
                <w:kern w:val="0"/>
                <w:sz w:val="18"/>
                <w:szCs w:val="18"/>
                <w:lang w:bidi="ar"/>
              </w:rPr>
              <w:t>序号</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480E6">
            <w:pPr>
              <w:widowControl/>
              <w:spacing w:line="360" w:lineRule="auto"/>
              <w:jc w:val="center"/>
              <w:textAlignment w:val="auto"/>
              <w:rPr>
                <w:rFonts w:ascii="宋体" w:hAnsi="宋体"/>
                <w:b/>
                <w:bCs/>
                <w:sz w:val="18"/>
                <w:szCs w:val="18"/>
              </w:rPr>
            </w:pPr>
            <w:r>
              <w:rPr>
                <w:rFonts w:hint="eastAsia" w:ascii="宋体" w:hAnsi="宋体"/>
                <w:b/>
                <w:bCs/>
                <w:kern w:val="0"/>
                <w:sz w:val="18"/>
                <w:szCs w:val="18"/>
                <w:lang w:bidi="ar"/>
              </w:rPr>
              <w:t>楼层</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200AF">
            <w:pPr>
              <w:widowControl/>
              <w:spacing w:line="360" w:lineRule="auto"/>
              <w:jc w:val="center"/>
              <w:textAlignment w:val="auto"/>
              <w:rPr>
                <w:rFonts w:ascii="宋体" w:hAnsi="宋体"/>
                <w:b/>
                <w:bCs/>
                <w:sz w:val="18"/>
                <w:szCs w:val="18"/>
              </w:rPr>
            </w:pPr>
            <w:r>
              <w:rPr>
                <w:rFonts w:hint="eastAsia" w:ascii="宋体" w:hAnsi="宋体"/>
                <w:b/>
                <w:bCs/>
                <w:kern w:val="0"/>
                <w:sz w:val="18"/>
                <w:szCs w:val="18"/>
                <w:lang w:bidi="ar"/>
              </w:rPr>
              <w:t>区域</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507CE">
            <w:pPr>
              <w:widowControl/>
              <w:spacing w:line="360" w:lineRule="auto"/>
              <w:jc w:val="center"/>
              <w:textAlignment w:val="auto"/>
              <w:rPr>
                <w:rFonts w:ascii="宋体" w:hAnsi="宋体"/>
                <w:b/>
                <w:bCs/>
                <w:sz w:val="18"/>
                <w:szCs w:val="18"/>
              </w:rPr>
            </w:pPr>
            <w:r>
              <w:rPr>
                <w:rFonts w:hint="eastAsia" w:ascii="宋体" w:hAnsi="宋体"/>
                <w:b/>
                <w:bCs/>
                <w:kern w:val="0"/>
                <w:sz w:val="18"/>
                <w:szCs w:val="18"/>
                <w:lang w:bidi="ar"/>
              </w:rPr>
              <w:t>参考植物</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20C42">
            <w:pPr>
              <w:widowControl/>
              <w:spacing w:line="360" w:lineRule="auto"/>
              <w:jc w:val="center"/>
              <w:textAlignment w:val="auto"/>
              <w:rPr>
                <w:rFonts w:ascii="宋体" w:hAnsi="宋体"/>
                <w:b/>
                <w:bCs/>
                <w:sz w:val="18"/>
                <w:szCs w:val="18"/>
              </w:rPr>
            </w:pPr>
            <w:r>
              <w:rPr>
                <w:rFonts w:hint="eastAsia" w:ascii="宋体" w:hAnsi="宋体"/>
                <w:b/>
                <w:bCs/>
                <w:kern w:val="0"/>
                <w:sz w:val="18"/>
                <w:szCs w:val="18"/>
                <w:lang w:bidi="ar"/>
              </w:rPr>
              <w:t>规格（cm）</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0189F">
            <w:pPr>
              <w:widowControl/>
              <w:spacing w:line="360" w:lineRule="auto"/>
              <w:jc w:val="center"/>
              <w:textAlignment w:val="auto"/>
              <w:rPr>
                <w:rFonts w:ascii="宋体" w:hAnsi="宋体"/>
                <w:b/>
                <w:bCs/>
                <w:sz w:val="18"/>
                <w:szCs w:val="18"/>
              </w:rPr>
            </w:pPr>
            <w:r>
              <w:rPr>
                <w:rFonts w:hint="eastAsia" w:ascii="宋体" w:hAnsi="宋体"/>
                <w:b/>
                <w:bCs/>
                <w:kern w:val="0"/>
                <w:sz w:val="18"/>
                <w:szCs w:val="18"/>
                <w:lang w:bidi="ar"/>
              </w:rPr>
              <w:t>数量</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3CCD4">
            <w:pPr>
              <w:widowControl/>
              <w:spacing w:line="360" w:lineRule="auto"/>
              <w:jc w:val="center"/>
              <w:textAlignment w:val="auto"/>
              <w:rPr>
                <w:rFonts w:ascii="宋体" w:hAnsi="宋体"/>
                <w:b/>
                <w:bCs/>
                <w:kern w:val="0"/>
                <w:sz w:val="18"/>
                <w:szCs w:val="18"/>
                <w:lang w:bidi="ar"/>
              </w:rPr>
            </w:pPr>
            <w:r>
              <w:rPr>
                <w:rFonts w:hint="eastAsia" w:ascii="宋体" w:hAnsi="宋体"/>
                <w:b/>
                <w:bCs/>
                <w:kern w:val="0"/>
                <w:sz w:val="18"/>
                <w:szCs w:val="18"/>
                <w:lang w:bidi="ar"/>
              </w:rPr>
              <w:t>单价</w:t>
            </w:r>
          </w:p>
          <w:p w14:paraId="186CF4F2">
            <w:pPr>
              <w:widowControl/>
              <w:spacing w:line="360" w:lineRule="auto"/>
              <w:jc w:val="center"/>
              <w:textAlignment w:val="auto"/>
              <w:rPr>
                <w:rFonts w:ascii="宋体" w:hAnsi="宋体"/>
                <w:b/>
                <w:bCs/>
                <w:sz w:val="18"/>
                <w:szCs w:val="18"/>
              </w:rPr>
            </w:pPr>
            <w:r>
              <w:rPr>
                <w:rFonts w:hint="eastAsia" w:ascii="宋体" w:hAnsi="宋体"/>
                <w:b/>
                <w:bCs/>
                <w:kern w:val="0"/>
                <w:sz w:val="18"/>
                <w:szCs w:val="18"/>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B611B">
            <w:pPr>
              <w:widowControl/>
              <w:spacing w:line="360" w:lineRule="auto"/>
              <w:jc w:val="center"/>
              <w:textAlignment w:val="auto"/>
              <w:rPr>
                <w:rFonts w:ascii="宋体" w:hAnsi="宋体"/>
                <w:b/>
                <w:bCs/>
                <w:kern w:val="0"/>
                <w:sz w:val="18"/>
                <w:szCs w:val="18"/>
                <w:lang w:bidi="ar"/>
              </w:rPr>
            </w:pPr>
            <w:r>
              <w:rPr>
                <w:rFonts w:hint="eastAsia" w:ascii="宋体" w:hAnsi="宋体"/>
                <w:b/>
                <w:bCs/>
                <w:kern w:val="0"/>
                <w:sz w:val="18"/>
                <w:szCs w:val="18"/>
                <w:lang w:bidi="ar"/>
              </w:rPr>
              <w:t>总价</w:t>
            </w:r>
          </w:p>
          <w:p w14:paraId="30228E3B">
            <w:pPr>
              <w:widowControl/>
              <w:spacing w:line="360" w:lineRule="auto"/>
              <w:jc w:val="center"/>
              <w:textAlignment w:val="auto"/>
              <w:rPr>
                <w:rFonts w:ascii="宋体" w:hAnsi="宋体"/>
                <w:b/>
                <w:bCs/>
                <w:sz w:val="18"/>
                <w:szCs w:val="18"/>
              </w:rPr>
            </w:pPr>
            <w:r>
              <w:rPr>
                <w:rFonts w:hint="eastAsia" w:ascii="宋体" w:hAnsi="宋体"/>
                <w:b/>
                <w:bCs/>
                <w:kern w:val="0"/>
                <w:sz w:val="18"/>
                <w:szCs w:val="18"/>
                <w:lang w:bidi="ar"/>
              </w:rPr>
              <w:t>（元/月）</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F9435">
            <w:pPr>
              <w:widowControl/>
              <w:spacing w:line="360" w:lineRule="auto"/>
              <w:jc w:val="center"/>
              <w:textAlignment w:val="auto"/>
              <w:rPr>
                <w:rFonts w:ascii="宋体" w:hAnsi="宋体"/>
                <w:b/>
                <w:bCs/>
                <w:sz w:val="18"/>
                <w:szCs w:val="18"/>
              </w:rPr>
            </w:pPr>
            <w:r>
              <w:rPr>
                <w:rFonts w:hint="eastAsia" w:ascii="宋体" w:hAnsi="宋体"/>
                <w:b/>
                <w:bCs/>
                <w:kern w:val="0"/>
                <w:sz w:val="18"/>
                <w:szCs w:val="18"/>
                <w:lang w:bidi="ar"/>
              </w:rPr>
              <w:t>备注</w:t>
            </w:r>
          </w:p>
        </w:tc>
      </w:tr>
      <w:tr w14:paraId="1FA2E1B0">
        <w:tblPrEx>
          <w:tblCellMar>
            <w:top w:w="0" w:type="dxa"/>
            <w:left w:w="108" w:type="dxa"/>
            <w:bottom w:w="0" w:type="dxa"/>
            <w:right w:w="108" w:type="dxa"/>
          </w:tblCellMar>
        </w:tblPrEx>
        <w:trPr>
          <w:trHeight w:val="31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0C08E">
            <w:pPr>
              <w:widowControl/>
              <w:jc w:val="center"/>
              <w:textAlignment w:val="center"/>
              <w:rPr>
                <w:rFonts w:ascii="宋体" w:hAnsi="宋体"/>
                <w:sz w:val="18"/>
                <w:szCs w:val="18"/>
              </w:rPr>
            </w:pPr>
            <w:r>
              <w:rPr>
                <w:rFonts w:hint="eastAsia" w:ascii="宋体" w:hAnsi="宋体"/>
                <w:kern w:val="0"/>
                <w:sz w:val="18"/>
                <w:szCs w:val="18"/>
                <w:lang w:bidi="ar"/>
              </w:rPr>
              <w:t>1</w:t>
            </w:r>
          </w:p>
        </w:tc>
        <w:tc>
          <w:tcPr>
            <w:tcW w:w="3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6716A4">
            <w:pPr>
              <w:widowControl/>
              <w:jc w:val="center"/>
              <w:textAlignment w:val="center"/>
              <w:rPr>
                <w:rFonts w:ascii="宋体" w:hAnsi="宋体"/>
                <w:sz w:val="18"/>
                <w:szCs w:val="18"/>
              </w:rPr>
            </w:pPr>
            <w:r>
              <w:rPr>
                <w:rFonts w:hint="eastAsia" w:ascii="宋体" w:hAnsi="宋体"/>
                <w:kern w:val="0"/>
                <w:sz w:val="18"/>
                <w:szCs w:val="18"/>
                <w:lang w:bidi="ar"/>
              </w:rPr>
              <w:t>地下1楼</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38681">
            <w:pPr>
              <w:widowControl/>
              <w:jc w:val="center"/>
              <w:textAlignment w:val="center"/>
              <w:rPr>
                <w:rFonts w:ascii="宋体" w:hAnsi="宋体"/>
                <w:sz w:val="18"/>
                <w:szCs w:val="18"/>
              </w:rPr>
            </w:pPr>
            <w:r>
              <w:rPr>
                <w:rFonts w:hint="eastAsia" w:ascii="宋体" w:hAnsi="宋体"/>
                <w:kern w:val="0"/>
                <w:sz w:val="18"/>
                <w:szCs w:val="18"/>
                <w:lang w:bidi="ar"/>
              </w:rPr>
              <w:t>地下庭院</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7D96E">
            <w:pPr>
              <w:widowControl/>
              <w:jc w:val="center"/>
              <w:textAlignment w:val="center"/>
              <w:rPr>
                <w:rFonts w:ascii="宋体" w:hAnsi="宋体"/>
                <w:sz w:val="18"/>
                <w:szCs w:val="18"/>
              </w:rPr>
            </w:pPr>
            <w:r>
              <w:rPr>
                <w:rFonts w:hint="eastAsia" w:ascii="宋体" w:hAnsi="宋体"/>
                <w:kern w:val="0"/>
                <w:sz w:val="18"/>
                <w:szCs w:val="18"/>
                <w:lang w:bidi="ar"/>
              </w:rPr>
              <w:t>绿宝</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5F876">
            <w:pPr>
              <w:widowControl/>
              <w:jc w:val="center"/>
              <w:textAlignment w:val="center"/>
              <w:rPr>
                <w:rFonts w:ascii="宋体" w:hAnsi="宋体"/>
                <w:sz w:val="18"/>
                <w:szCs w:val="18"/>
              </w:rPr>
            </w:pPr>
            <w:r>
              <w:rPr>
                <w:rFonts w:hint="eastAsia" w:ascii="宋体" w:hAnsi="宋体"/>
                <w:kern w:val="0"/>
                <w:sz w:val="18"/>
                <w:szCs w:val="18"/>
                <w:lang w:bidi="ar"/>
              </w:rPr>
              <w:t>H150</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A5204">
            <w:pPr>
              <w:widowControl/>
              <w:jc w:val="center"/>
              <w:textAlignment w:val="center"/>
              <w:rPr>
                <w:rFonts w:ascii="宋体" w:hAnsi="宋体"/>
                <w:sz w:val="18"/>
                <w:szCs w:val="18"/>
              </w:rPr>
            </w:pPr>
            <w:r>
              <w:rPr>
                <w:rFonts w:hint="eastAsia" w:ascii="宋体" w:hAnsi="宋体"/>
                <w:kern w:val="0"/>
                <w:sz w:val="18"/>
                <w:szCs w:val="18"/>
                <w:lang w:bidi="ar"/>
              </w:rPr>
              <w:t>4</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D8661">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568CE">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7F349AF0">
            <w:pPr>
              <w:widowControl/>
              <w:rPr>
                <w:rFonts w:ascii="宋体" w:hAnsi="宋体"/>
                <w:sz w:val="18"/>
                <w:szCs w:val="18"/>
              </w:rPr>
            </w:pPr>
          </w:p>
        </w:tc>
      </w:tr>
      <w:tr w14:paraId="30FBFD09">
        <w:tblPrEx>
          <w:tblCellMar>
            <w:top w:w="0" w:type="dxa"/>
            <w:left w:w="108" w:type="dxa"/>
            <w:bottom w:w="0" w:type="dxa"/>
            <w:right w:w="108" w:type="dxa"/>
          </w:tblCellMar>
        </w:tblPrEx>
        <w:trPr>
          <w:trHeight w:val="31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5F0CD">
            <w:pPr>
              <w:widowControl/>
              <w:jc w:val="center"/>
              <w:textAlignment w:val="center"/>
              <w:rPr>
                <w:rFonts w:ascii="宋体" w:hAnsi="宋体"/>
                <w:sz w:val="18"/>
                <w:szCs w:val="18"/>
              </w:rPr>
            </w:pPr>
            <w:r>
              <w:rPr>
                <w:rFonts w:hint="eastAsia" w:ascii="宋体" w:hAnsi="宋体"/>
                <w:kern w:val="0"/>
                <w:sz w:val="18"/>
                <w:szCs w:val="18"/>
                <w:lang w:bidi="ar"/>
              </w:rPr>
              <w:t>2</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AD176">
            <w:pPr>
              <w:widowControl/>
              <w:jc w:val="center"/>
              <w:rPr>
                <w:rFonts w:ascii="宋体" w:hAnsi="宋体"/>
                <w:sz w:val="18"/>
                <w:szCs w:val="18"/>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0295B">
            <w:pPr>
              <w:widowControl/>
              <w:jc w:val="center"/>
              <w:textAlignment w:val="center"/>
              <w:rPr>
                <w:rFonts w:ascii="宋体" w:hAnsi="宋体"/>
                <w:sz w:val="18"/>
                <w:szCs w:val="18"/>
              </w:rPr>
            </w:pPr>
            <w:r>
              <w:rPr>
                <w:rFonts w:hint="eastAsia" w:ascii="宋体" w:hAnsi="宋体"/>
                <w:kern w:val="0"/>
                <w:sz w:val="18"/>
                <w:szCs w:val="18"/>
                <w:lang w:bidi="ar"/>
              </w:rPr>
              <w:t>前厅</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AC641">
            <w:pPr>
              <w:widowControl/>
              <w:jc w:val="center"/>
              <w:textAlignment w:val="center"/>
              <w:rPr>
                <w:rFonts w:ascii="宋体" w:hAnsi="宋体"/>
                <w:sz w:val="18"/>
                <w:szCs w:val="18"/>
              </w:rPr>
            </w:pPr>
            <w:r>
              <w:rPr>
                <w:rFonts w:hint="eastAsia" w:ascii="宋体" w:hAnsi="宋体"/>
                <w:kern w:val="0"/>
                <w:sz w:val="18"/>
                <w:szCs w:val="18"/>
                <w:lang w:bidi="ar"/>
              </w:rPr>
              <w:t>绿宝</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7930E">
            <w:pPr>
              <w:widowControl/>
              <w:jc w:val="center"/>
              <w:textAlignment w:val="center"/>
              <w:rPr>
                <w:rFonts w:ascii="宋体" w:hAnsi="宋体"/>
                <w:sz w:val="18"/>
                <w:szCs w:val="18"/>
              </w:rPr>
            </w:pPr>
            <w:r>
              <w:rPr>
                <w:rFonts w:hint="eastAsia" w:ascii="宋体" w:hAnsi="宋体"/>
                <w:kern w:val="0"/>
                <w:sz w:val="18"/>
                <w:szCs w:val="18"/>
                <w:lang w:bidi="ar"/>
              </w:rPr>
              <w:t>H150</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03BA0">
            <w:pPr>
              <w:widowControl/>
              <w:jc w:val="center"/>
              <w:textAlignment w:val="center"/>
              <w:rPr>
                <w:rFonts w:ascii="宋体" w:hAnsi="宋体"/>
                <w:sz w:val="18"/>
                <w:szCs w:val="18"/>
              </w:rPr>
            </w:pPr>
            <w:r>
              <w:rPr>
                <w:rFonts w:hint="eastAsia" w:ascii="宋体" w:hAnsi="宋体"/>
                <w:kern w:val="0"/>
                <w:sz w:val="18"/>
                <w:szCs w:val="18"/>
                <w:lang w:bidi="ar"/>
              </w:rPr>
              <w:t>2</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41F75">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33601">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4870EF23">
            <w:pPr>
              <w:widowControl/>
              <w:rPr>
                <w:rFonts w:ascii="宋体" w:hAnsi="宋体"/>
                <w:sz w:val="18"/>
                <w:szCs w:val="18"/>
              </w:rPr>
            </w:pPr>
          </w:p>
        </w:tc>
      </w:tr>
      <w:tr w14:paraId="7A3AD85F">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114B8">
            <w:pPr>
              <w:widowControl/>
              <w:jc w:val="center"/>
              <w:textAlignment w:val="center"/>
              <w:rPr>
                <w:rFonts w:ascii="宋体" w:hAnsi="宋体"/>
                <w:sz w:val="18"/>
                <w:szCs w:val="18"/>
              </w:rPr>
            </w:pPr>
            <w:r>
              <w:rPr>
                <w:rFonts w:hint="eastAsia" w:ascii="宋体" w:hAnsi="宋体"/>
                <w:kern w:val="0"/>
                <w:sz w:val="18"/>
                <w:szCs w:val="18"/>
                <w:lang w:bidi="ar"/>
              </w:rPr>
              <w:t>3</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6E4AD">
            <w:pPr>
              <w:widowControl/>
              <w:jc w:val="center"/>
              <w:rPr>
                <w:rFonts w:ascii="宋体" w:hAnsi="宋体"/>
                <w:sz w:val="18"/>
                <w:szCs w:val="18"/>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EF990">
            <w:pPr>
              <w:widowControl/>
              <w:jc w:val="center"/>
              <w:textAlignment w:val="center"/>
              <w:rPr>
                <w:rFonts w:ascii="宋体" w:hAnsi="宋体"/>
                <w:sz w:val="18"/>
                <w:szCs w:val="18"/>
              </w:rPr>
            </w:pPr>
            <w:r>
              <w:rPr>
                <w:rFonts w:hint="eastAsia" w:ascii="宋体" w:hAnsi="宋体"/>
                <w:kern w:val="0"/>
                <w:sz w:val="18"/>
                <w:szCs w:val="18"/>
                <w:lang w:bidi="ar"/>
              </w:rPr>
              <w:t>公共区域</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806E3">
            <w:pPr>
              <w:widowControl/>
              <w:jc w:val="center"/>
              <w:textAlignment w:val="center"/>
              <w:rPr>
                <w:rFonts w:ascii="宋体" w:hAnsi="宋体"/>
                <w:sz w:val="18"/>
                <w:szCs w:val="18"/>
              </w:rPr>
            </w:pPr>
            <w:r>
              <w:rPr>
                <w:rFonts w:hint="eastAsia" w:ascii="宋体" w:hAnsi="宋体"/>
                <w:kern w:val="0"/>
                <w:sz w:val="18"/>
                <w:szCs w:val="18"/>
                <w:lang w:bidi="ar"/>
              </w:rPr>
              <w:t>植物双盆组1</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FCE70">
            <w:pPr>
              <w:widowControl/>
              <w:jc w:val="center"/>
              <w:textAlignment w:val="center"/>
              <w:rPr>
                <w:rFonts w:ascii="宋体" w:hAnsi="宋体"/>
                <w:sz w:val="18"/>
                <w:szCs w:val="18"/>
              </w:rPr>
            </w:pPr>
            <w:r>
              <w:rPr>
                <w:rFonts w:hint="eastAsia" w:ascii="宋体" w:hAnsi="宋体"/>
                <w:kern w:val="0"/>
                <w:sz w:val="18"/>
                <w:szCs w:val="18"/>
                <w:lang w:bidi="ar"/>
              </w:rPr>
              <w:t>-</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95742">
            <w:pPr>
              <w:widowControl/>
              <w:jc w:val="center"/>
              <w:textAlignment w:val="center"/>
              <w:rPr>
                <w:rFonts w:ascii="宋体" w:hAnsi="宋体"/>
                <w:sz w:val="18"/>
                <w:szCs w:val="18"/>
              </w:rPr>
            </w:pPr>
            <w:r>
              <w:rPr>
                <w:rFonts w:hint="eastAsia" w:ascii="宋体" w:hAnsi="宋体"/>
                <w:kern w:val="0"/>
                <w:sz w:val="18"/>
                <w:szCs w:val="18"/>
                <w:lang w:bidi="ar"/>
              </w:rPr>
              <w:t>6</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C712E">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8658B">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607FD1AC">
            <w:pPr>
              <w:widowControl/>
              <w:rPr>
                <w:rFonts w:ascii="宋体" w:hAnsi="宋体"/>
                <w:sz w:val="18"/>
                <w:szCs w:val="18"/>
              </w:rPr>
            </w:pPr>
          </w:p>
        </w:tc>
      </w:tr>
      <w:tr w14:paraId="64B1B745">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A85C4">
            <w:pPr>
              <w:widowControl/>
              <w:jc w:val="center"/>
              <w:textAlignment w:val="center"/>
              <w:rPr>
                <w:rFonts w:ascii="宋体" w:hAnsi="宋体"/>
                <w:sz w:val="18"/>
                <w:szCs w:val="18"/>
              </w:rPr>
            </w:pPr>
            <w:r>
              <w:rPr>
                <w:rFonts w:hint="eastAsia" w:ascii="宋体" w:hAnsi="宋体"/>
                <w:kern w:val="0"/>
                <w:sz w:val="18"/>
                <w:szCs w:val="18"/>
                <w:lang w:bidi="ar"/>
              </w:rPr>
              <w:t>4</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C8063">
            <w:pPr>
              <w:widowControl/>
              <w:jc w:val="center"/>
              <w:rPr>
                <w:rFonts w:ascii="宋体" w:hAnsi="宋体"/>
                <w:sz w:val="18"/>
                <w:szCs w:val="18"/>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86556">
            <w:pPr>
              <w:widowControl/>
              <w:jc w:val="center"/>
              <w:textAlignment w:val="center"/>
              <w:rPr>
                <w:rFonts w:ascii="宋体" w:hAnsi="宋体"/>
                <w:sz w:val="18"/>
                <w:szCs w:val="18"/>
              </w:rPr>
            </w:pPr>
            <w:r>
              <w:rPr>
                <w:rFonts w:hint="eastAsia" w:ascii="宋体" w:hAnsi="宋体"/>
                <w:kern w:val="0"/>
                <w:sz w:val="18"/>
                <w:szCs w:val="18"/>
                <w:lang w:bidi="ar"/>
              </w:rPr>
              <w:t>临展区</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DAF6F">
            <w:pPr>
              <w:widowControl/>
              <w:jc w:val="center"/>
              <w:textAlignment w:val="center"/>
              <w:rPr>
                <w:rFonts w:ascii="宋体" w:hAnsi="宋体"/>
                <w:sz w:val="18"/>
                <w:szCs w:val="18"/>
              </w:rPr>
            </w:pPr>
            <w:r>
              <w:rPr>
                <w:rFonts w:hint="eastAsia" w:ascii="宋体" w:hAnsi="宋体"/>
                <w:kern w:val="0"/>
                <w:sz w:val="18"/>
                <w:szCs w:val="18"/>
                <w:lang w:bidi="ar"/>
              </w:rPr>
              <w:t>天堂鸟</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12B98">
            <w:pPr>
              <w:widowControl/>
              <w:jc w:val="center"/>
              <w:textAlignment w:val="center"/>
              <w:rPr>
                <w:rFonts w:ascii="宋体" w:hAnsi="宋体"/>
                <w:sz w:val="18"/>
                <w:szCs w:val="18"/>
              </w:rPr>
            </w:pPr>
            <w:r>
              <w:rPr>
                <w:rFonts w:hint="eastAsia" w:ascii="宋体" w:hAnsi="宋体"/>
                <w:kern w:val="0"/>
                <w:sz w:val="18"/>
                <w:szCs w:val="18"/>
                <w:lang w:bidi="ar"/>
              </w:rPr>
              <w:t>H160-180</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1A2B6">
            <w:pPr>
              <w:widowControl/>
              <w:jc w:val="center"/>
              <w:textAlignment w:val="center"/>
              <w:rPr>
                <w:rFonts w:ascii="宋体" w:hAnsi="宋体"/>
                <w:sz w:val="18"/>
                <w:szCs w:val="18"/>
              </w:rPr>
            </w:pPr>
            <w:r>
              <w:rPr>
                <w:rFonts w:hint="eastAsia" w:ascii="宋体" w:hAnsi="宋体"/>
                <w:kern w:val="0"/>
                <w:sz w:val="18"/>
                <w:szCs w:val="18"/>
                <w:lang w:bidi="ar"/>
              </w:rPr>
              <w:t>10</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FBEF2">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79903">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39D8990F">
            <w:pPr>
              <w:widowControl/>
              <w:rPr>
                <w:rFonts w:ascii="宋体" w:hAnsi="宋体"/>
                <w:sz w:val="18"/>
                <w:szCs w:val="18"/>
              </w:rPr>
            </w:pPr>
          </w:p>
        </w:tc>
      </w:tr>
      <w:tr w14:paraId="5F5199FA">
        <w:tblPrEx>
          <w:tblCellMar>
            <w:top w:w="0" w:type="dxa"/>
            <w:left w:w="108" w:type="dxa"/>
            <w:bottom w:w="0" w:type="dxa"/>
            <w:right w:w="108" w:type="dxa"/>
          </w:tblCellMar>
        </w:tblPrEx>
        <w:trPr>
          <w:trHeight w:val="31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2AB52">
            <w:pPr>
              <w:widowControl/>
              <w:jc w:val="center"/>
              <w:textAlignment w:val="center"/>
              <w:rPr>
                <w:rFonts w:ascii="宋体" w:hAnsi="宋体"/>
                <w:sz w:val="18"/>
                <w:szCs w:val="18"/>
              </w:rPr>
            </w:pPr>
            <w:r>
              <w:rPr>
                <w:rFonts w:hint="eastAsia" w:ascii="宋体" w:hAnsi="宋体"/>
                <w:kern w:val="0"/>
                <w:sz w:val="18"/>
                <w:szCs w:val="18"/>
                <w:lang w:bidi="ar"/>
              </w:rPr>
              <w:t>5</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8369A">
            <w:pPr>
              <w:widowControl/>
              <w:jc w:val="center"/>
              <w:rPr>
                <w:rFonts w:ascii="宋体" w:hAnsi="宋体"/>
                <w:sz w:val="18"/>
                <w:szCs w:val="18"/>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73DBC">
            <w:pPr>
              <w:widowControl/>
              <w:jc w:val="center"/>
              <w:textAlignment w:val="center"/>
              <w:rPr>
                <w:rFonts w:ascii="宋体" w:hAnsi="宋体"/>
                <w:sz w:val="18"/>
                <w:szCs w:val="18"/>
              </w:rPr>
            </w:pPr>
            <w:r>
              <w:rPr>
                <w:rFonts w:hint="eastAsia" w:ascii="宋体" w:hAnsi="宋体"/>
                <w:kern w:val="0"/>
                <w:sz w:val="18"/>
                <w:szCs w:val="18"/>
                <w:lang w:bidi="ar"/>
              </w:rPr>
              <w:t>餐厅</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DC74B">
            <w:pPr>
              <w:widowControl/>
              <w:jc w:val="center"/>
              <w:textAlignment w:val="center"/>
              <w:rPr>
                <w:rFonts w:ascii="宋体" w:hAnsi="宋体"/>
                <w:sz w:val="18"/>
                <w:szCs w:val="18"/>
              </w:rPr>
            </w:pPr>
            <w:r>
              <w:rPr>
                <w:rFonts w:hint="eastAsia" w:ascii="宋体" w:hAnsi="宋体"/>
                <w:kern w:val="0"/>
                <w:sz w:val="18"/>
                <w:szCs w:val="18"/>
                <w:lang w:bidi="ar"/>
              </w:rPr>
              <w:t>植物3盆组1</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7BA45">
            <w:pPr>
              <w:widowControl/>
              <w:jc w:val="center"/>
              <w:textAlignment w:val="center"/>
              <w:rPr>
                <w:rFonts w:ascii="宋体" w:hAnsi="宋体"/>
                <w:sz w:val="18"/>
                <w:szCs w:val="18"/>
              </w:rPr>
            </w:pPr>
            <w:r>
              <w:rPr>
                <w:rFonts w:hint="eastAsia" w:ascii="宋体" w:hAnsi="宋体"/>
                <w:kern w:val="0"/>
                <w:sz w:val="18"/>
                <w:szCs w:val="18"/>
                <w:lang w:bidi="ar"/>
              </w:rPr>
              <w:t>-</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28DEA">
            <w:pPr>
              <w:widowControl/>
              <w:jc w:val="center"/>
              <w:textAlignment w:val="center"/>
              <w:rPr>
                <w:rFonts w:ascii="宋体" w:hAnsi="宋体"/>
                <w:sz w:val="18"/>
                <w:szCs w:val="18"/>
              </w:rPr>
            </w:pPr>
            <w:r>
              <w:rPr>
                <w:rFonts w:hint="eastAsia" w:ascii="宋体" w:hAnsi="宋体"/>
                <w:kern w:val="0"/>
                <w:sz w:val="18"/>
                <w:szCs w:val="18"/>
                <w:lang w:bidi="ar"/>
              </w:rPr>
              <w:t>4</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43814">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8B5BF">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C8BF1">
            <w:pPr>
              <w:widowControl/>
              <w:jc w:val="center"/>
              <w:textAlignment w:val="center"/>
              <w:rPr>
                <w:rFonts w:ascii="宋体" w:hAnsi="宋体"/>
                <w:sz w:val="18"/>
                <w:szCs w:val="18"/>
              </w:rPr>
            </w:pPr>
            <w:r>
              <w:rPr>
                <w:rFonts w:hint="eastAsia" w:ascii="宋体" w:hAnsi="宋体"/>
                <w:kern w:val="0"/>
                <w:sz w:val="18"/>
                <w:szCs w:val="18"/>
                <w:lang w:bidi="ar"/>
              </w:rPr>
              <w:t>中型植物组合</w:t>
            </w:r>
          </w:p>
        </w:tc>
      </w:tr>
      <w:tr w14:paraId="05AEE597">
        <w:tblPrEx>
          <w:tblCellMar>
            <w:top w:w="0" w:type="dxa"/>
            <w:left w:w="108" w:type="dxa"/>
            <w:bottom w:w="0" w:type="dxa"/>
            <w:right w:w="108" w:type="dxa"/>
          </w:tblCellMar>
        </w:tblPrEx>
        <w:trPr>
          <w:trHeight w:val="31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BA8E6">
            <w:pPr>
              <w:widowControl/>
              <w:jc w:val="center"/>
              <w:textAlignment w:val="center"/>
              <w:rPr>
                <w:rFonts w:ascii="宋体" w:hAnsi="宋体"/>
                <w:sz w:val="18"/>
                <w:szCs w:val="18"/>
              </w:rPr>
            </w:pPr>
            <w:r>
              <w:rPr>
                <w:rFonts w:hint="eastAsia" w:ascii="宋体" w:hAnsi="宋体"/>
                <w:kern w:val="0"/>
                <w:sz w:val="18"/>
                <w:szCs w:val="18"/>
                <w:lang w:bidi="ar"/>
              </w:rPr>
              <w:t>6</w:t>
            </w:r>
          </w:p>
        </w:tc>
        <w:tc>
          <w:tcPr>
            <w:tcW w:w="3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B80BD">
            <w:pPr>
              <w:widowControl/>
              <w:jc w:val="center"/>
              <w:textAlignment w:val="center"/>
              <w:rPr>
                <w:rFonts w:ascii="宋体" w:hAnsi="宋体"/>
                <w:sz w:val="18"/>
                <w:szCs w:val="18"/>
              </w:rPr>
            </w:pPr>
            <w:r>
              <w:rPr>
                <w:rFonts w:hint="eastAsia" w:ascii="宋体" w:hAnsi="宋体"/>
                <w:kern w:val="0"/>
                <w:sz w:val="18"/>
                <w:szCs w:val="18"/>
                <w:lang w:bidi="ar"/>
              </w:rPr>
              <w:t>1楼</w:t>
            </w:r>
          </w:p>
        </w:tc>
        <w:tc>
          <w:tcPr>
            <w:tcW w:w="8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58AC46">
            <w:pPr>
              <w:widowControl/>
              <w:jc w:val="center"/>
              <w:textAlignment w:val="center"/>
              <w:rPr>
                <w:rFonts w:ascii="宋体" w:hAnsi="宋体"/>
                <w:sz w:val="18"/>
                <w:szCs w:val="18"/>
              </w:rPr>
            </w:pPr>
            <w:r>
              <w:rPr>
                <w:rFonts w:hint="eastAsia" w:ascii="宋体" w:hAnsi="宋体"/>
                <w:kern w:val="0"/>
                <w:sz w:val="18"/>
                <w:szCs w:val="18"/>
                <w:lang w:bidi="ar"/>
              </w:rPr>
              <w:t>大厅</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0F14A">
            <w:pPr>
              <w:widowControl/>
              <w:jc w:val="center"/>
              <w:textAlignment w:val="center"/>
              <w:rPr>
                <w:rFonts w:ascii="宋体" w:hAnsi="宋体"/>
                <w:sz w:val="18"/>
                <w:szCs w:val="18"/>
              </w:rPr>
            </w:pPr>
            <w:r>
              <w:rPr>
                <w:rFonts w:hint="eastAsia" w:ascii="宋体" w:hAnsi="宋体"/>
                <w:kern w:val="0"/>
                <w:sz w:val="18"/>
                <w:szCs w:val="18"/>
                <w:lang w:bidi="ar"/>
              </w:rPr>
              <w:t>散尾葵</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DC19C">
            <w:pPr>
              <w:widowControl/>
              <w:jc w:val="center"/>
              <w:textAlignment w:val="center"/>
              <w:rPr>
                <w:rFonts w:ascii="宋体" w:hAnsi="宋体"/>
                <w:sz w:val="18"/>
                <w:szCs w:val="18"/>
              </w:rPr>
            </w:pPr>
            <w:r>
              <w:rPr>
                <w:rFonts w:hint="eastAsia" w:ascii="宋体" w:hAnsi="宋体"/>
                <w:kern w:val="0"/>
                <w:sz w:val="18"/>
                <w:szCs w:val="18"/>
                <w:lang w:bidi="ar"/>
              </w:rPr>
              <w:t>H160-180</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49569">
            <w:pPr>
              <w:widowControl/>
              <w:jc w:val="center"/>
              <w:textAlignment w:val="center"/>
              <w:rPr>
                <w:rFonts w:ascii="宋体" w:hAnsi="宋体"/>
                <w:sz w:val="18"/>
                <w:szCs w:val="18"/>
              </w:rPr>
            </w:pPr>
            <w:r>
              <w:rPr>
                <w:rFonts w:hint="eastAsia" w:ascii="宋体" w:hAnsi="宋体"/>
                <w:kern w:val="0"/>
                <w:sz w:val="18"/>
                <w:szCs w:val="18"/>
                <w:lang w:bidi="ar"/>
              </w:rPr>
              <w:t>4</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04CB2">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7C4DF">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E78AE">
            <w:pPr>
              <w:widowControl/>
              <w:rPr>
                <w:rFonts w:ascii="宋体" w:hAnsi="宋体"/>
                <w:sz w:val="18"/>
                <w:szCs w:val="18"/>
              </w:rPr>
            </w:pPr>
          </w:p>
        </w:tc>
      </w:tr>
      <w:tr w14:paraId="405EB1C8">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6B6F3">
            <w:pPr>
              <w:widowControl/>
              <w:jc w:val="center"/>
              <w:textAlignment w:val="center"/>
              <w:rPr>
                <w:rFonts w:ascii="宋体" w:hAnsi="宋体"/>
                <w:sz w:val="18"/>
                <w:szCs w:val="18"/>
              </w:rPr>
            </w:pPr>
            <w:r>
              <w:rPr>
                <w:rFonts w:hint="eastAsia" w:ascii="宋体" w:hAnsi="宋体"/>
                <w:kern w:val="0"/>
                <w:sz w:val="18"/>
                <w:szCs w:val="18"/>
                <w:lang w:bidi="ar"/>
              </w:rPr>
              <w:t>7</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3B1BA">
            <w:pPr>
              <w:widowControl/>
              <w:jc w:val="center"/>
              <w:rPr>
                <w:rFonts w:ascii="宋体" w:hAnsi="宋体"/>
                <w:sz w:val="18"/>
                <w:szCs w:val="18"/>
              </w:rPr>
            </w:pPr>
          </w:p>
        </w:tc>
        <w:tc>
          <w:tcPr>
            <w:tcW w:w="8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57127">
            <w:pPr>
              <w:widowControl/>
              <w:jc w:val="center"/>
              <w:rPr>
                <w:rFonts w:ascii="宋体" w:hAnsi="宋体"/>
                <w:sz w:val="18"/>
                <w:szCs w:val="18"/>
              </w:rPr>
            </w:pP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41708">
            <w:pPr>
              <w:widowControl/>
              <w:jc w:val="center"/>
              <w:textAlignment w:val="center"/>
              <w:rPr>
                <w:rFonts w:ascii="宋体" w:hAnsi="宋体"/>
                <w:sz w:val="18"/>
                <w:szCs w:val="18"/>
              </w:rPr>
            </w:pPr>
            <w:r>
              <w:rPr>
                <w:rFonts w:hint="eastAsia" w:ascii="宋体" w:hAnsi="宋体"/>
                <w:kern w:val="0"/>
                <w:sz w:val="18"/>
                <w:szCs w:val="18"/>
                <w:lang w:bidi="ar"/>
              </w:rPr>
              <w:t>圆形组景</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281F3">
            <w:pPr>
              <w:widowControl/>
              <w:jc w:val="center"/>
              <w:textAlignment w:val="center"/>
              <w:rPr>
                <w:rFonts w:ascii="宋体" w:hAnsi="宋体"/>
                <w:sz w:val="18"/>
                <w:szCs w:val="18"/>
              </w:rPr>
            </w:pPr>
            <w:r>
              <w:rPr>
                <w:rFonts w:hint="eastAsia" w:ascii="宋体" w:hAnsi="宋体"/>
                <w:kern w:val="0"/>
                <w:sz w:val="18"/>
                <w:szCs w:val="18"/>
                <w:lang w:bidi="ar"/>
              </w:rPr>
              <w:t>-</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2F950">
            <w:pPr>
              <w:widowControl/>
              <w:jc w:val="center"/>
              <w:textAlignment w:val="center"/>
              <w:rPr>
                <w:rFonts w:ascii="宋体" w:hAnsi="宋体"/>
                <w:sz w:val="18"/>
                <w:szCs w:val="18"/>
              </w:rPr>
            </w:pPr>
            <w:r>
              <w:rPr>
                <w:rFonts w:hint="eastAsia" w:ascii="宋体" w:hAnsi="宋体"/>
                <w:kern w:val="0"/>
                <w:sz w:val="18"/>
                <w:szCs w:val="18"/>
                <w:lang w:bidi="ar"/>
              </w:rPr>
              <w:t>3</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CAC0A">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12001">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BE805">
            <w:pPr>
              <w:widowControl/>
              <w:rPr>
                <w:rFonts w:ascii="宋体" w:hAnsi="宋体"/>
                <w:sz w:val="18"/>
                <w:szCs w:val="18"/>
              </w:rPr>
            </w:pPr>
          </w:p>
        </w:tc>
      </w:tr>
      <w:tr w14:paraId="50EA8D59">
        <w:tblPrEx>
          <w:tblCellMar>
            <w:top w:w="0" w:type="dxa"/>
            <w:left w:w="108" w:type="dxa"/>
            <w:bottom w:w="0" w:type="dxa"/>
            <w:right w:w="108" w:type="dxa"/>
          </w:tblCellMar>
        </w:tblPrEx>
        <w:trPr>
          <w:trHeight w:val="31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2C641">
            <w:pPr>
              <w:widowControl/>
              <w:jc w:val="center"/>
              <w:textAlignment w:val="center"/>
              <w:rPr>
                <w:rFonts w:ascii="宋体" w:hAnsi="宋体"/>
                <w:sz w:val="18"/>
                <w:szCs w:val="18"/>
              </w:rPr>
            </w:pPr>
            <w:r>
              <w:rPr>
                <w:rFonts w:hint="eastAsia" w:ascii="宋体" w:hAnsi="宋体"/>
                <w:kern w:val="0"/>
                <w:sz w:val="18"/>
                <w:szCs w:val="18"/>
                <w:lang w:bidi="ar"/>
              </w:rPr>
              <w:t>8</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790A8">
            <w:pPr>
              <w:widowControl/>
              <w:jc w:val="center"/>
              <w:rPr>
                <w:rFonts w:ascii="宋体" w:hAnsi="宋体"/>
                <w:sz w:val="18"/>
                <w:szCs w:val="18"/>
              </w:rPr>
            </w:pPr>
          </w:p>
        </w:tc>
        <w:tc>
          <w:tcPr>
            <w:tcW w:w="8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40EA7F">
            <w:pPr>
              <w:widowControl/>
              <w:jc w:val="center"/>
              <w:textAlignment w:val="center"/>
              <w:rPr>
                <w:rFonts w:ascii="宋体" w:hAnsi="宋体"/>
                <w:sz w:val="18"/>
                <w:szCs w:val="18"/>
              </w:rPr>
            </w:pPr>
            <w:r>
              <w:rPr>
                <w:rFonts w:hint="eastAsia" w:ascii="宋体" w:hAnsi="宋体"/>
                <w:kern w:val="0"/>
                <w:sz w:val="18"/>
                <w:szCs w:val="18"/>
                <w:lang w:bidi="ar"/>
              </w:rPr>
              <w:t>接待室</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4E3AF">
            <w:pPr>
              <w:widowControl/>
              <w:jc w:val="center"/>
              <w:textAlignment w:val="center"/>
              <w:rPr>
                <w:rFonts w:ascii="宋体" w:hAnsi="宋体"/>
                <w:sz w:val="18"/>
                <w:szCs w:val="18"/>
              </w:rPr>
            </w:pPr>
            <w:r>
              <w:rPr>
                <w:rFonts w:hint="eastAsia" w:ascii="宋体" w:hAnsi="宋体"/>
                <w:kern w:val="0"/>
                <w:sz w:val="18"/>
                <w:szCs w:val="18"/>
                <w:lang w:bidi="ar"/>
              </w:rPr>
              <w:t>黄金榕</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5886A">
            <w:pPr>
              <w:widowControl/>
              <w:jc w:val="center"/>
              <w:textAlignment w:val="center"/>
              <w:rPr>
                <w:rFonts w:ascii="宋体" w:hAnsi="宋体"/>
                <w:sz w:val="18"/>
                <w:szCs w:val="18"/>
              </w:rPr>
            </w:pPr>
            <w:r>
              <w:rPr>
                <w:rFonts w:hint="eastAsia" w:ascii="宋体" w:hAnsi="宋体"/>
                <w:kern w:val="0"/>
                <w:sz w:val="18"/>
                <w:szCs w:val="18"/>
                <w:lang w:bidi="ar"/>
              </w:rPr>
              <w:t>H160-180</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9808E">
            <w:pPr>
              <w:widowControl/>
              <w:jc w:val="center"/>
              <w:textAlignment w:val="center"/>
              <w:rPr>
                <w:rFonts w:ascii="宋体" w:hAnsi="宋体"/>
                <w:sz w:val="18"/>
                <w:szCs w:val="18"/>
              </w:rPr>
            </w:pPr>
            <w:r>
              <w:rPr>
                <w:rFonts w:hint="eastAsia" w:ascii="宋体" w:hAnsi="宋体"/>
                <w:kern w:val="0"/>
                <w:sz w:val="18"/>
                <w:szCs w:val="18"/>
                <w:lang w:bidi="ar"/>
              </w:rPr>
              <w:t>1</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36054">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A603F">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90D60">
            <w:pPr>
              <w:widowControl/>
              <w:rPr>
                <w:rFonts w:ascii="宋体" w:hAnsi="宋体"/>
                <w:sz w:val="18"/>
                <w:szCs w:val="18"/>
              </w:rPr>
            </w:pPr>
          </w:p>
        </w:tc>
      </w:tr>
      <w:tr w14:paraId="0871288A">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5E24C">
            <w:pPr>
              <w:widowControl/>
              <w:jc w:val="center"/>
              <w:textAlignment w:val="center"/>
              <w:rPr>
                <w:rFonts w:ascii="宋体" w:hAnsi="宋体"/>
                <w:sz w:val="18"/>
                <w:szCs w:val="18"/>
              </w:rPr>
            </w:pPr>
            <w:r>
              <w:rPr>
                <w:rFonts w:hint="eastAsia" w:ascii="宋体" w:hAnsi="宋体"/>
                <w:kern w:val="0"/>
                <w:sz w:val="18"/>
                <w:szCs w:val="18"/>
                <w:lang w:bidi="ar"/>
              </w:rPr>
              <w:t>9</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32C89">
            <w:pPr>
              <w:widowControl/>
              <w:jc w:val="center"/>
              <w:rPr>
                <w:rFonts w:ascii="宋体" w:hAnsi="宋体"/>
                <w:sz w:val="18"/>
                <w:szCs w:val="18"/>
              </w:rPr>
            </w:pPr>
          </w:p>
        </w:tc>
        <w:tc>
          <w:tcPr>
            <w:tcW w:w="8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3F38E">
            <w:pPr>
              <w:widowControl/>
              <w:jc w:val="center"/>
              <w:rPr>
                <w:rFonts w:ascii="宋体" w:hAnsi="宋体"/>
                <w:sz w:val="18"/>
                <w:szCs w:val="18"/>
              </w:rPr>
            </w:pP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4E93B">
            <w:pPr>
              <w:widowControl/>
              <w:jc w:val="center"/>
              <w:textAlignment w:val="center"/>
              <w:rPr>
                <w:rFonts w:ascii="宋体" w:hAnsi="宋体"/>
                <w:sz w:val="18"/>
                <w:szCs w:val="18"/>
              </w:rPr>
            </w:pPr>
            <w:r>
              <w:rPr>
                <w:rFonts w:hint="eastAsia" w:ascii="宋体" w:hAnsi="宋体"/>
                <w:kern w:val="0"/>
                <w:sz w:val="18"/>
                <w:szCs w:val="18"/>
                <w:lang w:bidi="ar"/>
              </w:rPr>
              <w:t>植物双盆组2</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62271">
            <w:pPr>
              <w:widowControl/>
              <w:jc w:val="center"/>
              <w:textAlignment w:val="center"/>
              <w:rPr>
                <w:rFonts w:ascii="宋体" w:hAnsi="宋体"/>
                <w:sz w:val="18"/>
                <w:szCs w:val="18"/>
              </w:rPr>
            </w:pPr>
            <w:r>
              <w:rPr>
                <w:rFonts w:hint="eastAsia" w:ascii="宋体" w:hAnsi="宋体"/>
                <w:kern w:val="0"/>
                <w:sz w:val="18"/>
                <w:szCs w:val="18"/>
                <w:lang w:bidi="ar"/>
              </w:rPr>
              <w:t>-</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596E0">
            <w:pPr>
              <w:widowControl/>
              <w:jc w:val="center"/>
              <w:textAlignment w:val="center"/>
              <w:rPr>
                <w:rFonts w:ascii="宋体" w:hAnsi="宋体"/>
                <w:sz w:val="18"/>
                <w:szCs w:val="18"/>
              </w:rPr>
            </w:pPr>
            <w:r>
              <w:rPr>
                <w:rFonts w:hint="eastAsia" w:ascii="宋体" w:hAnsi="宋体"/>
                <w:kern w:val="0"/>
                <w:sz w:val="18"/>
                <w:szCs w:val="18"/>
                <w:lang w:bidi="ar"/>
              </w:rPr>
              <w:t>1</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9DC17">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8B8D0">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2E71E">
            <w:pPr>
              <w:widowControl/>
              <w:jc w:val="center"/>
              <w:textAlignment w:val="center"/>
              <w:rPr>
                <w:rFonts w:ascii="宋体" w:hAnsi="宋体"/>
                <w:sz w:val="18"/>
                <w:szCs w:val="18"/>
              </w:rPr>
            </w:pPr>
            <w:r>
              <w:rPr>
                <w:rFonts w:hint="eastAsia" w:ascii="宋体" w:hAnsi="宋体"/>
                <w:kern w:val="0"/>
                <w:sz w:val="18"/>
                <w:szCs w:val="18"/>
                <w:lang w:bidi="ar"/>
              </w:rPr>
              <w:t>中型植物组合</w:t>
            </w:r>
          </w:p>
        </w:tc>
      </w:tr>
      <w:tr w14:paraId="38557826">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AC1BC">
            <w:pPr>
              <w:widowControl/>
              <w:jc w:val="center"/>
              <w:textAlignment w:val="center"/>
              <w:rPr>
                <w:rFonts w:ascii="宋体" w:hAnsi="宋体"/>
                <w:sz w:val="18"/>
                <w:szCs w:val="18"/>
              </w:rPr>
            </w:pPr>
            <w:r>
              <w:rPr>
                <w:rFonts w:hint="eastAsia" w:ascii="宋体" w:hAnsi="宋体"/>
                <w:kern w:val="0"/>
                <w:sz w:val="18"/>
                <w:szCs w:val="18"/>
                <w:lang w:bidi="ar"/>
              </w:rPr>
              <w:t>10</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EA0B8">
            <w:pPr>
              <w:widowControl/>
              <w:jc w:val="center"/>
              <w:rPr>
                <w:rFonts w:ascii="宋体" w:hAnsi="宋体"/>
                <w:sz w:val="18"/>
                <w:szCs w:val="18"/>
              </w:rPr>
            </w:pPr>
          </w:p>
        </w:tc>
        <w:tc>
          <w:tcPr>
            <w:tcW w:w="8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611997">
            <w:pPr>
              <w:widowControl/>
              <w:jc w:val="center"/>
              <w:textAlignment w:val="center"/>
              <w:rPr>
                <w:rFonts w:ascii="宋体" w:hAnsi="宋体"/>
                <w:sz w:val="18"/>
                <w:szCs w:val="18"/>
              </w:rPr>
            </w:pPr>
            <w:r>
              <w:rPr>
                <w:rFonts w:hint="eastAsia" w:ascii="宋体" w:hAnsi="宋体"/>
                <w:kern w:val="0"/>
                <w:sz w:val="18"/>
                <w:szCs w:val="18"/>
                <w:lang w:bidi="ar"/>
              </w:rPr>
              <w:t>公共区域</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6158D">
            <w:pPr>
              <w:widowControl/>
              <w:jc w:val="center"/>
              <w:textAlignment w:val="center"/>
              <w:rPr>
                <w:rFonts w:ascii="宋体" w:hAnsi="宋体"/>
                <w:sz w:val="18"/>
                <w:szCs w:val="18"/>
              </w:rPr>
            </w:pPr>
            <w:r>
              <w:rPr>
                <w:rFonts w:hint="eastAsia" w:ascii="宋体" w:hAnsi="宋体"/>
                <w:kern w:val="0"/>
                <w:sz w:val="18"/>
                <w:szCs w:val="18"/>
                <w:lang w:bidi="ar"/>
              </w:rPr>
              <w:t>植物双盆组1</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26D8A">
            <w:pPr>
              <w:widowControl/>
              <w:jc w:val="center"/>
              <w:textAlignment w:val="center"/>
              <w:rPr>
                <w:rFonts w:ascii="宋体" w:hAnsi="宋体"/>
                <w:sz w:val="18"/>
                <w:szCs w:val="18"/>
              </w:rPr>
            </w:pPr>
            <w:r>
              <w:rPr>
                <w:rFonts w:hint="eastAsia" w:ascii="宋体" w:hAnsi="宋体"/>
                <w:kern w:val="0"/>
                <w:sz w:val="18"/>
                <w:szCs w:val="18"/>
                <w:lang w:bidi="ar"/>
              </w:rPr>
              <w:t>-</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DA4B6">
            <w:pPr>
              <w:widowControl/>
              <w:jc w:val="center"/>
              <w:textAlignment w:val="center"/>
              <w:rPr>
                <w:rFonts w:ascii="宋体" w:hAnsi="宋体"/>
                <w:sz w:val="18"/>
                <w:szCs w:val="18"/>
              </w:rPr>
            </w:pPr>
            <w:r>
              <w:rPr>
                <w:rFonts w:hint="eastAsia" w:ascii="宋体" w:hAnsi="宋体"/>
                <w:kern w:val="0"/>
                <w:sz w:val="18"/>
                <w:szCs w:val="18"/>
                <w:lang w:bidi="ar"/>
              </w:rPr>
              <w:t>1</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DE177">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FB697">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16023F43">
            <w:pPr>
              <w:widowControl/>
              <w:rPr>
                <w:rFonts w:ascii="宋体" w:hAnsi="宋体"/>
                <w:sz w:val="18"/>
                <w:szCs w:val="18"/>
              </w:rPr>
            </w:pPr>
          </w:p>
        </w:tc>
      </w:tr>
      <w:tr w14:paraId="31F137CF">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1D7C2">
            <w:pPr>
              <w:widowControl/>
              <w:jc w:val="center"/>
              <w:textAlignment w:val="center"/>
              <w:rPr>
                <w:rFonts w:ascii="宋体" w:hAnsi="宋体"/>
                <w:sz w:val="18"/>
                <w:szCs w:val="18"/>
              </w:rPr>
            </w:pPr>
            <w:r>
              <w:rPr>
                <w:rFonts w:hint="eastAsia" w:ascii="宋体" w:hAnsi="宋体"/>
                <w:kern w:val="0"/>
                <w:sz w:val="18"/>
                <w:szCs w:val="18"/>
                <w:lang w:bidi="ar"/>
              </w:rPr>
              <w:t>11</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DAE23">
            <w:pPr>
              <w:widowControl/>
              <w:jc w:val="center"/>
              <w:rPr>
                <w:rFonts w:ascii="宋体" w:hAnsi="宋体"/>
                <w:sz w:val="18"/>
                <w:szCs w:val="18"/>
              </w:rPr>
            </w:pPr>
          </w:p>
        </w:tc>
        <w:tc>
          <w:tcPr>
            <w:tcW w:w="8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07334">
            <w:pPr>
              <w:widowControl/>
              <w:jc w:val="center"/>
              <w:rPr>
                <w:rFonts w:ascii="宋体" w:hAnsi="宋体"/>
                <w:sz w:val="18"/>
                <w:szCs w:val="18"/>
              </w:rPr>
            </w:pP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3AD70">
            <w:pPr>
              <w:widowControl/>
              <w:jc w:val="center"/>
              <w:textAlignment w:val="center"/>
              <w:rPr>
                <w:rFonts w:ascii="宋体" w:hAnsi="宋体"/>
                <w:sz w:val="18"/>
                <w:szCs w:val="18"/>
              </w:rPr>
            </w:pPr>
            <w:r>
              <w:rPr>
                <w:rFonts w:hint="eastAsia" w:ascii="宋体" w:hAnsi="宋体"/>
                <w:kern w:val="0"/>
                <w:sz w:val="18"/>
                <w:szCs w:val="18"/>
                <w:lang w:bidi="ar"/>
              </w:rPr>
              <w:t>天堂鸟</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7603C">
            <w:pPr>
              <w:widowControl/>
              <w:jc w:val="center"/>
              <w:textAlignment w:val="center"/>
              <w:rPr>
                <w:rFonts w:ascii="宋体" w:hAnsi="宋体"/>
                <w:sz w:val="18"/>
                <w:szCs w:val="18"/>
              </w:rPr>
            </w:pPr>
            <w:r>
              <w:rPr>
                <w:rFonts w:hint="eastAsia" w:ascii="宋体" w:hAnsi="宋体"/>
                <w:kern w:val="0"/>
                <w:sz w:val="18"/>
                <w:szCs w:val="18"/>
                <w:lang w:bidi="ar"/>
              </w:rPr>
              <w:t>H160-180</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7EB60">
            <w:pPr>
              <w:widowControl/>
              <w:jc w:val="center"/>
              <w:textAlignment w:val="center"/>
              <w:rPr>
                <w:rFonts w:ascii="宋体" w:hAnsi="宋体"/>
                <w:sz w:val="18"/>
                <w:szCs w:val="18"/>
              </w:rPr>
            </w:pPr>
            <w:r>
              <w:rPr>
                <w:rFonts w:hint="eastAsia" w:ascii="宋体" w:hAnsi="宋体"/>
                <w:kern w:val="0"/>
                <w:sz w:val="18"/>
                <w:szCs w:val="18"/>
                <w:lang w:bidi="ar"/>
              </w:rPr>
              <w:t>1</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7F432">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0FB56">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535C250F">
            <w:pPr>
              <w:widowControl/>
              <w:rPr>
                <w:rFonts w:ascii="宋体" w:hAnsi="宋体"/>
                <w:sz w:val="18"/>
                <w:szCs w:val="18"/>
              </w:rPr>
            </w:pPr>
          </w:p>
        </w:tc>
      </w:tr>
      <w:tr w14:paraId="2FC60E41">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6C030">
            <w:pPr>
              <w:widowControl/>
              <w:jc w:val="center"/>
              <w:textAlignment w:val="center"/>
              <w:rPr>
                <w:rFonts w:ascii="宋体" w:hAnsi="宋体"/>
                <w:sz w:val="18"/>
                <w:szCs w:val="18"/>
              </w:rPr>
            </w:pPr>
            <w:r>
              <w:rPr>
                <w:rFonts w:hint="eastAsia" w:ascii="宋体" w:hAnsi="宋体"/>
                <w:kern w:val="0"/>
                <w:sz w:val="18"/>
                <w:szCs w:val="18"/>
                <w:lang w:bidi="ar"/>
              </w:rPr>
              <w:t>12</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FE9EC">
            <w:pPr>
              <w:widowControl/>
              <w:jc w:val="center"/>
              <w:rPr>
                <w:rFonts w:ascii="宋体" w:hAnsi="宋体"/>
                <w:sz w:val="18"/>
                <w:szCs w:val="18"/>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E16B6">
            <w:pPr>
              <w:widowControl/>
              <w:jc w:val="center"/>
              <w:textAlignment w:val="center"/>
              <w:rPr>
                <w:rFonts w:ascii="宋体" w:hAnsi="宋体"/>
                <w:sz w:val="18"/>
                <w:szCs w:val="18"/>
              </w:rPr>
            </w:pPr>
            <w:r>
              <w:rPr>
                <w:rFonts w:hint="eastAsia" w:ascii="宋体" w:hAnsi="宋体"/>
                <w:kern w:val="0"/>
                <w:sz w:val="18"/>
                <w:szCs w:val="18"/>
                <w:lang w:bidi="ar"/>
              </w:rPr>
              <w:t>前台</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6C791">
            <w:pPr>
              <w:widowControl/>
              <w:jc w:val="center"/>
              <w:textAlignment w:val="center"/>
              <w:rPr>
                <w:rFonts w:ascii="宋体" w:hAnsi="宋体"/>
                <w:sz w:val="18"/>
                <w:szCs w:val="18"/>
              </w:rPr>
            </w:pPr>
            <w:r>
              <w:rPr>
                <w:rFonts w:hint="eastAsia" w:ascii="宋体" w:hAnsi="宋体"/>
                <w:kern w:val="0"/>
                <w:sz w:val="18"/>
                <w:szCs w:val="18"/>
                <w:lang w:bidi="ar"/>
              </w:rPr>
              <w:t>蝴蝶兰</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5B643">
            <w:pPr>
              <w:widowControl/>
              <w:jc w:val="center"/>
              <w:textAlignment w:val="center"/>
              <w:rPr>
                <w:rFonts w:ascii="宋体" w:hAnsi="宋体"/>
                <w:sz w:val="18"/>
                <w:szCs w:val="18"/>
              </w:rPr>
            </w:pPr>
            <w:r>
              <w:rPr>
                <w:rFonts w:hint="eastAsia" w:ascii="宋体" w:hAnsi="宋体"/>
                <w:kern w:val="0"/>
                <w:sz w:val="18"/>
                <w:szCs w:val="18"/>
                <w:lang w:bidi="ar"/>
              </w:rPr>
              <w:t>5拼</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A0933">
            <w:pPr>
              <w:widowControl/>
              <w:jc w:val="center"/>
              <w:textAlignment w:val="center"/>
              <w:rPr>
                <w:rFonts w:ascii="宋体" w:hAnsi="宋体"/>
                <w:sz w:val="18"/>
                <w:szCs w:val="18"/>
              </w:rPr>
            </w:pPr>
            <w:r>
              <w:rPr>
                <w:rFonts w:hint="eastAsia" w:ascii="宋体" w:hAnsi="宋体"/>
                <w:kern w:val="0"/>
                <w:sz w:val="18"/>
                <w:szCs w:val="18"/>
                <w:lang w:bidi="ar"/>
              </w:rPr>
              <w:t>1</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E421E">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48787">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30FAB576">
            <w:pPr>
              <w:widowControl/>
              <w:rPr>
                <w:rFonts w:ascii="宋体" w:hAnsi="宋体"/>
                <w:sz w:val="18"/>
                <w:szCs w:val="18"/>
              </w:rPr>
            </w:pPr>
          </w:p>
        </w:tc>
      </w:tr>
      <w:tr w14:paraId="6FC17EC1">
        <w:tblPrEx>
          <w:tblCellMar>
            <w:top w:w="0" w:type="dxa"/>
            <w:left w:w="108" w:type="dxa"/>
            <w:bottom w:w="0" w:type="dxa"/>
            <w:right w:w="108" w:type="dxa"/>
          </w:tblCellMar>
        </w:tblPrEx>
        <w:trPr>
          <w:trHeight w:val="31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0481C">
            <w:pPr>
              <w:widowControl/>
              <w:jc w:val="center"/>
              <w:textAlignment w:val="center"/>
              <w:rPr>
                <w:rFonts w:ascii="宋体" w:hAnsi="宋体"/>
                <w:sz w:val="18"/>
                <w:szCs w:val="18"/>
              </w:rPr>
            </w:pPr>
            <w:r>
              <w:rPr>
                <w:rFonts w:hint="eastAsia" w:ascii="宋体" w:hAnsi="宋体"/>
                <w:kern w:val="0"/>
                <w:sz w:val="18"/>
                <w:szCs w:val="18"/>
                <w:lang w:bidi="ar"/>
              </w:rPr>
              <w:t>13</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F9131">
            <w:pPr>
              <w:widowControl/>
              <w:jc w:val="center"/>
              <w:rPr>
                <w:rFonts w:ascii="宋体" w:hAnsi="宋体"/>
                <w:sz w:val="18"/>
                <w:szCs w:val="18"/>
              </w:rPr>
            </w:pPr>
          </w:p>
        </w:tc>
        <w:tc>
          <w:tcPr>
            <w:tcW w:w="8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8594D4">
            <w:pPr>
              <w:widowControl/>
              <w:jc w:val="center"/>
              <w:textAlignment w:val="center"/>
              <w:rPr>
                <w:rFonts w:ascii="宋体" w:hAnsi="宋体"/>
                <w:sz w:val="18"/>
                <w:szCs w:val="18"/>
              </w:rPr>
            </w:pPr>
            <w:r>
              <w:rPr>
                <w:rFonts w:hint="eastAsia" w:ascii="宋体" w:hAnsi="宋体"/>
                <w:kern w:val="0"/>
                <w:sz w:val="18"/>
                <w:szCs w:val="18"/>
                <w:lang w:bidi="ar"/>
              </w:rPr>
              <w:t>吧台</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838FE">
            <w:pPr>
              <w:widowControl/>
              <w:jc w:val="center"/>
              <w:textAlignment w:val="center"/>
              <w:rPr>
                <w:rFonts w:ascii="宋体" w:hAnsi="宋体"/>
                <w:sz w:val="18"/>
                <w:szCs w:val="18"/>
              </w:rPr>
            </w:pPr>
            <w:r>
              <w:rPr>
                <w:rFonts w:hint="eastAsia" w:ascii="宋体" w:hAnsi="宋体"/>
                <w:kern w:val="0"/>
                <w:sz w:val="18"/>
                <w:szCs w:val="18"/>
                <w:lang w:bidi="ar"/>
              </w:rPr>
              <w:t>天堂鸟</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7FBB6">
            <w:pPr>
              <w:widowControl/>
              <w:jc w:val="center"/>
              <w:textAlignment w:val="center"/>
              <w:rPr>
                <w:rFonts w:ascii="宋体" w:hAnsi="宋体"/>
                <w:sz w:val="18"/>
                <w:szCs w:val="18"/>
              </w:rPr>
            </w:pPr>
            <w:r>
              <w:rPr>
                <w:rFonts w:hint="eastAsia" w:ascii="宋体" w:hAnsi="宋体"/>
                <w:kern w:val="0"/>
                <w:sz w:val="18"/>
                <w:szCs w:val="18"/>
                <w:lang w:bidi="ar"/>
              </w:rPr>
              <w:t>H160-180</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14656">
            <w:pPr>
              <w:widowControl/>
              <w:jc w:val="center"/>
              <w:textAlignment w:val="center"/>
              <w:rPr>
                <w:rFonts w:ascii="宋体" w:hAnsi="宋体"/>
                <w:sz w:val="18"/>
                <w:szCs w:val="18"/>
              </w:rPr>
            </w:pPr>
            <w:r>
              <w:rPr>
                <w:rFonts w:hint="eastAsia" w:ascii="宋体" w:hAnsi="宋体"/>
                <w:kern w:val="0"/>
                <w:sz w:val="18"/>
                <w:szCs w:val="18"/>
                <w:lang w:bidi="ar"/>
              </w:rPr>
              <w:t>1</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28DB5">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1AD47">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6BECB6F2">
            <w:pPr>
              <w:widowControl/>
              <w:rPr>
                <w:rFonts w:ascii="宋体" w:hAnsi="宋体"/>
                <w:sz w:val="18"/>
                <w:szCs w:val="18"/>
              </w:rPr>
            </w:pPr>
          </w:p>
        </w:tc>
      </w:tr>
      <w:tr w14:paraId="2A1562CB">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C0F9A">
            <w:pPr>
              <w:widowControl/>
              <w:jc w:val="center"/>
              <w:textAlignment w:val="center"/>
              <w:rPr>
                <w:rFonts w:ascii="宋体" w:hAnsi="宋体"/>
                <w:sz w:val="18"/>
                <w:szCs w:val="18"/>
              </w:rPr>
            </w:pPr>
            <w:r>
              <w:rPr>
                <w:rFonts w:hint="eastAsia" w:ascii="宋体" w:hAnsi="宋体"/>
                <w:kern w:val="0"/>
                <w:sz w:val="18"/>
                <w:szCs w:val="18"/>
                <w:lang w:bidi="ar"/>
              </w:rPr>
              <w:t>14</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FB4B6">
            <w:pPr>
              <w:widowControl/>
              <w:jc w:val="center"/>
              <w:rPr>
                <w:rFonts w:ascii="宋体" w:hAnsi="宋体"/>
                <w:sz w:val="18"/>
                <w:szCs w:val="18"/>
              </w:rPr>
            </w:pPr>
          </w:p>
        </w:tc>
        <w:tc>
          <w:tcPr>
            <w:tcW w:w="8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DB619">
            <w:pPr>
              <w:widowControl/>
              <w:jc w:val="center"/>
              <w:rPr>
                <w:rFonts w:ascii="宋体" w:hAnsi="宋体"/>
                <w:sz w:val="18"/>
                <w:szCs w:val="18"/>
              </w:rPr>
            </w:pP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6A83A">
            <w:pPr>
              <w:widowControl/>
              <w:jc w:val="center"/>
              <w:textAlignment w:val="center"/>
              <w:rPr>
                <w:rFonts w:ascii="宋体" w:hAnsi="宋体"/>
                <w:sz w:val="18"/>
                <w:szCs w:val="18"/>
              </w:rPr>
            </w:pPr>
            <w:r>
              <w:rPr>
                <w:rFonts w:hint="eastAsia" w:ascii="宋体" w:hAnsi="宋体"/>
                <w:kern w:val="0"/>
                <w:sz w:val="18"/>
                <w:szCs w:val="18"/>
                <w:lang w:bidi="ar"/>
              </w:rPr>
              <w:t>柜面3盆组</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69C13">
            <w:pPr>
              <w:widowControl/>
              <w:jc w:val="center"/>
              <w:textAlignment w:val="center"/>
              <w:rPr>
                <w:rFonts w:ascii="宋体" w:hAnsi="宋体"/>
                <w:sz w:val="18"/>
                <w:szCs w:val="18"/>
              </w:rPr>
            </w:pPr>
            <w:r>
              <w:rPr>
                <w:rFonts w:hint="eastAsia" w:ascii="宋体" w:hAnsi="宋体"/>
                <w:kern w:val="0"/>
                <w:sz w:val="18"/>
                <w:szCs w:val="18"/>
                <w:lang w:bidi="ar"/>
              </w:rPr>
              <w:t>-</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DE8FC">
            <w:pPr>
              <w:widowControl/>
              <w:jc w:val="center"/>
              <w:textAlignment w:val="center"/>
              <w:rPr>
                <w:rFonts w:ascii="宋体" w:hAnsi="宋体"/>
                <w:sz w:val="18"/>
                <w:szCs w:val="18"/>
              </w:rPr>
            </w:pPr>
            <w:r>
              <w:rPr>
                <w:rFonts w:hint="eastAsia" w:ascii="宋体" w:hAnsi="宋体"/>
                <w:kern w:val="0"/>
                <w:sz w:val="18"/>
                <w:szCs w:val="18"/>
                <w:lang w:bidi="ar"/>
              </w:rPr>
              <w:t>1</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E00ED">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06499">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4A33D342">
            <w:pPr>
              <w:widowControl/>
              <w:rPr>
                <w:rFonts w:ascii="宋体" w:hAnsi="宋体"/>
                <w:sz w:val="18"/>
                <w:szCs w:val="18"/>
              </w:rPr>
            </w:pPr>
          </w:p>
        </w:tc>
      </w:tr>
      <w:tr w14:paraId="64807B6D">
        <w:tblPrEx>
          <w:tblCellMar>
            <w:top w:w="0" w:type="dxa"/>
            <w:left w:w="108" w:type="dxa"/>
            <w:bottom w:w="0" w:type="dxa"/>
            <w:right w:w="108" w:type="dxa"/>
          </w:tblCellMar>
        </w:tblPrEx>
        <w:trPr>
          <w:trHeight w:val="31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BF2B4">
            <w:pPr>
              <w:widowControl/>
              <w:jc w:val="center"/>
              <w:textAlignment w:val="center"/>
              <w:rPr>
                <w:rFonts w:ascii="宋体" w:hAnsi="宋体"/>
                <w:sz w:val="18"/>
                <w:szCs w:val="18"/>
              </w:rPr>
            </w:pPr>
            <w:r>
              <w:rPr>
                <w:rFonts w:hint="eastAsia" w:ascii="宋体" w:hAnsi="宋体"/>
                <w:kern w:val="0"/>
                <w:sz w:val="18"/>
                <w:szCs w:val="18"/>
                <w:lang w:bidi="ar"/>
              </w:rPr>
              <w:t>15</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B0E70">
            <w:pPr>
              <w:widowControl/>
              <w:jc w:val="center"/>
              <w:rPr>
                <w:rFonts w:ascii="宋体" w:hAnsi="宋体"/>
                <w:sz w:val="18"/>
                <w:szCs w:val="18"/>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DB399">
            <w:pPr>
              <w:widowControl/>
              <w:jc w:val="center"/>
              <w:textAlignment w:val="center"/>
              <w:rPr>
                <w:rFonts w:ascii="宋体" w:hAnsi="宋体"/>
                <w:sz w:val="18"/>
                <w:szCs w:val="18"/>
              </w:rPr>
            </w:pPr>
            <w:r>
              <w:rPr>
                <w:rFonts w:hint="eastAsia" w:ascii="宋体" w:hAnsi="宋体"/>
                <w:kern w:val="0"/>
                <w:sz w:val="18"/>
                <w:szCs w:val="18"/>
                <w:lang w:bidi="ar"/>
              </w:rPr>
              <w:t>楼梯环廊前</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99B8C">
            <w:pPr>
              <w:widowControl/>
              <w:jc w:val="center"/>
              <w:textAlignment w:val="center"/>
              <w:rPr>
                <w:rFonts w:ascii="宋体" w:hAnsi="宋体"/>
                <w:sz w:val="18"/>
                <w:szCs w:val="18"/>
              </w:rPr>
            </w:pPr>
            <w:r>
              <w:rPr>
                <w:rFonts w:hint="eastAsia" w:ascii="宋体" w:hAnsi="宋体"/>
                <w:kern w:val="0"/>
                <w:sz w:val="18"/>
                <w:szCs w:val="18"/>
                <w:lang w:bidi="ar"/>
              </w:rPr>
              <w:t>植物双盆组1</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1BB34">
            <w:pPr>
              <w:widowControl/>
              <w:jc w:val="center"/>
              <w:textAlignment w:val="center"/>
              <w:rPr>
                <w:rFonts w:ascii="宋体" w:hAnsi="宋体"/>
                <w:sz w:val="18"/>
                <w:szCs w:val="18"/>
              </w:rPr>
            </w:pPr>
            <w:r>
              <w:rPr>
                <w:rFonts w:hint="eastAsia" w:ascii="宋体" w:hAnsi="宋体"/>
                <w:kern w:val="0"/>
                <w:sz w:val="18"/>
                <w:szCs w:val="18"/>
                <w:lang w:bidi="ar"/>
              </w:rPr>
              <w:t>-</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8B747">
            <w:pPr>
              <w:widowControl/>
              <w:jc w:val="center"/>
              <w:textAlignment w:val="center"/>
              <w:rPr>
                <w:rFonts w:ascii="宋体" w:hAnsi="宋体"/>
                <w:sz w:val="18"/>
                <w:szCs w:val="18"/>
              </w:rPr>
            </w:pPr>
            <w:r>
              <w:rPr>
                <w:rFonts w:hint="eastAsia" w:ascii="宋体" w:hAnsi="宋体"/>
                <w:kern w:val="0"/>
                <w:sz w:val="18"/>
                <w:szCs w:val="18"/>
                <w:lang w:bidi="ar"/>
              </w:rPr>
              <w:t>1</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E1E6A">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683E5">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142D2EF5">
            <w:pPr>
              <w:widowControl/>
              <w:rPr>
                <w:rFonts w:ascii="宋体" w:hAnsi="宋体"/>
                <w:sz w:val="18"/>
                <w:szCs w:val="18"/>
              </w:rPr>
            </w:pPr>
          </w:p>
        </w:tc>
      </w:tr>
      <w:tr w14:paraId="123FA90C">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13EE6">
            <w:pPr>
              <w:widowControl/>
              <w:jc w:val="center"/>
              <w:textAlignment w:val="center"/>
              <w:rPr>
                <w:rFonts w:ascii="宋体" w:hAnsi="宋体"/>
                <w:sz w:val="18"/>
                <w:szCs w:val="18"/>
              </w:rPr>
            </w:pPr>
            <w:r>
              <w:rPr>
                <w:rFonts w:hint="eastAsia" w:ascii="宋体" w:hAnsi="宋体"/>
                <w:kern w:val="0"/>
                <w:sz w:val="18"/>
                <w:szCs w:val="18"/>
                <w:lang w:bidi="ar"/>
              </w:rPr>
              <w:t>16</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51505">
            <w:pPr>
              <w:widowControl/>
              <w:jc w:val="center"/>
              <w:rPr>
                <w:rFonts w:ascii="宋体" w:hAnsi="宋体"/>
                <w:sz w:val="18"/>
                <w:szCs w:val="18"/>
              </w:rPr>
            </w:pPr>
          </w:p>
        </w:tc>
        <w:tc>
          <w:tcPr>
            <w:tcW w:w="8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D7B3DD">
            <w:pPr>
              <w:widowControl/>
              <w:jc w:val="center"/>
              <w:textAlignment w:val="center"/>
              <w:rPr>
                <w:rFonts w:ascii="宋体" w:hAnsi="宋体"/>
                <w:sz w:val="18"/>
                <w:szCs w:val="18"/>
              </w:rPr>
            </w:pPr>
            <w:r>
              <w:rPr>
                <w:rFonts w:hint="eastAsia" w:ascii="宋体" w:hAnsi="宋体"/>
                <w:kern w:val="0"/>
                <w:sz w:val="18"/>
                <w:szCs w:val="18"/>
                <w:lang w:bidi="ar"/>
              </w:rPr>
              <w:t>未来工厂LAB</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FAFB6">
            <w:pPr>
              <w:widowControl/>
              <w:jc w:val="center"/>
              <w:textAlignment w:val="center"/>
              <w:rPr>
                <w:rFonts w:ascii="宋体" w:hAnsi="宋体"/>
                <w:sz w:val="18"/>
                <w:szCs w:val="18"/>
              </w:rPr>
            </w:pPr>
            <w:r>
              <w:rPr>
                <w:rFonts w:hint="eastAsia" w:ascii="宋体" w:hAnsi="宋体"/>
                <w:kern w:val="0"/>
                <w:sz w:val="18"/>
                <w:szCs w:val="18"/>
                <w:lang w:bidi="ar"/>
              </w:rPr>
              <w:t>天堂鸟</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113B2">
            <w:pPr>
              <w:widowControl/>
              <w:jc w:val="center"/>
              <w:textAlignment w:val="center"/>
              <w:rPr>
                <w:rFonts w:ascii="宋体" w:hAnsi="宋体"/>
                <w:sz w:val="18"/>
                <w:szCs w:val="18"/>
              </w:rPr>
            </w:pPr>
            <w:r>
              <w:rPr>
                <w:rFonts w:hint="eastAsia" w:ascii="宋体" w:hAnsi="宋体"/>
                <w:kern w:val="0"/>
                <w:sz w:val="18"/>
                <w:szCs w:val="18"/>
                <w:lang w:bidi="ar"/>
              </w:rPr>
              <w:t>H160-180</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D3299">
            <w:pPr>
              <w:widowControl/>
              <w:jc w:val="center"/>
              <w:textAlignment w:val="center"/>
              <w:rPr>
                <w:rFonts w:ascii="宋体" w:hAnsi="宋体"/>
                <w:sz w:val="18"/>
                <w:szCs w:val="18"/>
              </w:rPr>
            </w:pPr>
            <w:r>
              <w:rPr>
                <w:rFonts w:hint="eastAsia" w:ascii="宋体" w:hAnsi="宋体"/>
                <w:kern w:val="0"/>
                <w:sz w:val="18"/>
                <w:szCs w:val="18"/>
                <w:lang w:bidi="ar"/>
              </w:rPr>
              <w:t>4</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10FD6">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46BE0">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644CD95A">
            <w:pPr>
              <w:widowControl/>
              <w:rPr>
                <w:rFonts w:ascii="宋体" w:hAnsi="宋体"/>
                <w:sz w:val="18"/>
                <w:szCs w:val="18"/>
              </w:rPr>
            </w:pPr>
          </w:p>
        </w:tc>
      </w:tr>
      <w:tr w14:paraId="27B2ABC9">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DF0B4">
            <w:pPr>
              <w:widowControl/>
              <w:jc w:val="center"/>
              <w:textAlignment w:val="center"/>
              <w:rPr>
                <w:rFonts w:ascii="宋体" w:hAnsi="宋体"/>
                <w:sz w:val="18"/>
                <w:szCs w:val="18"/>
              </w:rPr>
            </w:pPr>
            <w:r>
              <w:rPr>
                <w:rFonts w:hint="eastAsia" w:ascii="宋体" w:hAnsi="宋体"/>
                <w:kern w:val="0"/>
                <w:sz w:val="18"/>
                <w:szCs w:val="18"/>
                <w:lang w:bidi="ar"/>
              </w:rPr>
              <w:t>17</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D6511">
            <w:pPr>
              <w:widowControl/>
              <w:jc w:val="center"/>
              <w:rPr>
                <w:rFonts w:ascii="宋体" w:hAnsi="宋体"/>
                <w:sz w:val="18"/>
                <w:szCs w:val="18"/>
              </w:rPr>
            </w:pPr>
          </w:p>
        </w:tc>
        <w:tc>
          <w:tcPr>
            <w:tcW w:w="8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F4B38">
            <w:pPr>
              <w:widowControl/>
              <w:jc w:val="center"/>
              <w:rPr>
                <w:rFonts w:ascii="宋体" w:hAnsi="宋体"/>
                <w:sz w:val="18"/>
                <w:szCs w:val="18"/>
              </w:rPr>
            </w:pP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D76F7">
            <w:pPr>
              <w:widowControl/>
              <w:jc w:val="center"/>
              <w:textAlignment w:val="center"/>
              <w:rPr>
                <w:rFonts w:ascii="宋体" w:hAnsi="宋体"/>
                <w:sz w:val="18"/>
                <w:szCs w:val="18"/>
              </w:rPr>
            </w:pPr>
            <w:r>
              <w:rPr>
                <w:rFonts w:hint="eastAsia" w:ascii="宋体" w:hAnsi="宋体"/>
                <w:kern w:val="0"/>
                <w:sz w:val="18"/>
                <w:szCs w:val="18"/>
                <w:lang w:bidi="ar"/>
              </w:rPr>
              <w:t>龟背竹</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F1B55">
            <w:pPr>
              <w:widowControl/>
              <w:jc w:val="center"/>
              <w:textAlignment w:val="center"/>
              <w:rPr>
                <w:rFonts w:ascii="宋体" w:hAnsi="宋体"/>
                <w:sz w:val="18"/>
                <w:szCs w:val="18"/>
              </w:rPr>
            </w:pPr>
            <w:r>
              <w:rPr>
                <w:rFonts w:hint="eastAsia" w:ascii="宋体" w:hAnsi="宋体"/>
                <w:kern w:val="0"/>
                <w:sz w:val="18"/>
                <w:szCs w:val="18"/>
                <w:lang w:bidi="ar"/>
              </w:rPr>
              <w:t>H120</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3D294">
            <w:pPr>
              <w:widowControl/>
              <w:jc w:val="center"/>
              <w:textAlignment w:val="center"/>
              <w:rPr>
                <w:rFonts w:ascii="宋体" w:hAnsi="宋体"/>
                <w:sz w:val="18"/>
                <w:szCs w:val="18"/>
              </w:rPr>
            </w:pPr>
            <w:r>
              <w:rPr>
                <w:rFonts w:hint="eastAsia" w:ascii="宋体" w:hAnsi="宋体"/>
                <w:kern w:val="0"/>
                <w:sz w:val="18"/>
                <w:szCs w:val="18"/>
                <w:lang w:bidi="ar"/>
              </w:rPr>
              <w:t>4</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EF3C8">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2B668">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1E42D78F">
            <w:pPr>
              <w:widowControl/>
              <w:rPr>
                <w:rFonts w:ascii="宋体" w:hAnsi="宋体"/>
                <w:sz w:val="18"/>
                <w:szCs w:val="18"/>
              </w:rPr>
            </w:pPr>
          </w:p>
        </w:tc>
      </w:tr>
      <w:tr w14:paraId="769E2056">
        <w:tblPrEx>
          <w:tblCellMar>
            <w:top w:w="0" w:type="dxa"/>
            <w:left w:w="108" w:type="dxa"/>
            <w:bottom w:w="0" w:type="dxa"/>
            <w:right w:w="108" w:type="dxa"/>
          </w:tblCellMar>
        </w:tblPrEx>
        <w:trPr>
          <w:trHeight w:val="31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F89F5">
            <w:pPr>
              <w:widowControl/>
              <w:jc w:val="center"/>
              <w:textAlignment w:val="center"/>
              <w:rPr>
                <w:rFonts w:ascii="宋体" w:hAnsi="宋体"/>
                <w:sz w:val="18"/>
                <w:szCs w:val="18"/>
              </w:rPr>
            </w:pPr>
            <w:r>
              <w:rPr>
                <w:rFonts w:hint="eastAsia" w:ascii="宋体" w:hAnsi="宋体"/>
                <w:kern w:val="0"/>
                <w:sz w:val="18"/>
                <w:szCs w:val="18"/>
                <w:lang w:bidi="ar"/>
              </w:rPr>
              <w:t>18</w:t>
            </w:r>
          </w:p>
        </w:tc>
        <w:tc>
          <w:tcPr>
            <w:tcW w:w="3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EF0590">
            <w:pPr>
              <w:widowControl/>
              <w:jc w:val="center"/>
              <w:textAlignment w:val="center"/>
              <w:rPr>
                <w:rFonts w:ascii="宋体" w:hAnsi="宋体"/>
                <w:sz w:val="18"/>
                <w:szCs w:val="18"/>
              </w:rPr>
            </w:pPr>
            <w:r>
              <w:rPr>
                <w:rFonts w:hint="eastAsia" w:ascii="宋体" w:hAnsi="宋体"/>
                <w:kern w:val="0"/>
                <w:sz w:val="18"/>
                <w:szCs w:val="18"/>
                <w:lang w:bidi="ar"/>
              </w:rPr>
              <w:t>2楼</w:t>
            </w:r>
          </w:p>
        </w:tc>
        <w:tc>
          <w:tcPr>
            <w:tcW w:w="801" w:type="pct"/>
            <w:vMerge w:val="restart"/>
            <w:tcBorders>
              <w:top w:val="single" w:color="000000" w:sz="4" w:space="0"/>
              <w:left w:val="single" w:color="000000" w:sz="4" w:space="0"/>
              <w:right w:val="single" w:color="000000" w:sz="4" w:space="0"/>
            </w:tcBorders>
            <w:shd w:val="clear" w:color="auto" w:fill="auto"/>
            <w:vAlign w:val="center"/>
          </w:tcPr>
          <w:p w14:paraId="6C09C0DC">
            <w:pPr>
              <w:widowControl/>
              <w:jc w:val="center"/>
              <w:textAlignment w:val="center"/>
              <w:rPr>
                <w:rFonts w:ascii="宋体" w:hAnsi="宋体"/>
                <w:sz w:val="18"/>
                <w:szCs w:val="18"/>
              </w:rPr>
            </w:pPr>
            <w:r>
              <w:rPr>
                <w:rFonts w:hint="eastAsia" w:ascii="宋体" w:hAnsi="宋体"/>
                <w:kern w:val="0"/>
                <w:sz w:val="18"/>
                <w:szCs w:val="18"/>
                <w:lang w:bidi="ar"/>
              </w:rPr>
              <w:t>智慧城市LAB和智慧学习空间</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A4F45">
            <w:pPr>
              <w:widowControl/>
              <w:jc w:val="center"/>
              <w:textAlignment w:val="center"/>
              <w:rPr>
                <w:rFonts w:ascii="宋体" w:hAnsi="宋体"/>
                <w:sz w:val="18"/>
                <w:szCs w:val="18"/>
              </w:rPr>
            </w:pPr>
            <w:r>
              <w:rPr>
                <w:rFonts w:hint="eastAsia" w:ascii="宋体" w:hAnsi="宋体"/>
                <w:kern w:val="0"/>
                <w:sz w:val="18"/>
                <w:szCs w:val="18"/>
                <w:lang w:bidi="ar"/>
              </w:rPr>
              <w:t>天堂鸟</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73C42">
            <w:pPr>
              <w:widowControl/>
              <w:jc w:val="center"/>
              <w:textAlignment w:val="center"/>
              <w:rPr>
                <w:rFonts w:ascii="宋体" w:hAnsi="宋体"/>
                <w:sz w:val="18"/>
                <w:szCs w:val="18"/>
              </w:rPr>
            </w:pPr>
            <w:r>
              <w:rPr>
                <w:rFonts w:hint="eastAsia" w:ascii="宋体" w:hAnsi="宋体"/>
                <w:kern w:val="0"/>
                <w:sz w:val="18"/>
                <w:szCs w:val="18"/>
                <w:lang w:bidi="ar"/>
              </w:rPr>
              <w:t>H160-180</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7E565">
            <w:pPr>
              <w:widowControl/>
              <w:jc w:val="center"/>
              <w:textAlignment w:val="center"/>
              <w:rPr>
                <w:rFonts w:ascii="宋体" w:hAnsi="宋体"/>
                <w:sz w:val="18"/>
                <w:szCs w:val="18"/>
              </w:rPr>
            </w:pPr>
            <w:r>
              <w:rPr>
                <w:rFonts w:hint="eastAsia" w:ascii="宋体" w:hAnsi="宋体"/>
                <w:kern w:val="0"/>
                <w:sz w:val="18"/>
                <w:szCs w:val="18"/>
                <w:lang w:bidi="ar"/>
              </w:rPr>
              <w:t>8</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37B1E">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E8E1C">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718D9D12">
            <w:pPr>
              <w:widowControl/>
              <w:rPr>
                <w:rFonts w:ascii="宋体" w:hAnsi="宋体"/>
                <w:sz w:val="18"/>
                <w:szCs w:val="18"/>
              </w:rPr>
            </w:pPr>
          </w:p>
        </w:tc>
      </w:tr>
      <w:tr w14:paraId="64E27633">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571AB">
            <w:pPr>
              <w:widowControl/>
              <w:jc w:val="center"/>
              <w:textAlignment w:val="center"/>
              <w:rPr>
                <w:rFonts w:ascii="宋体" w:hAnsi="宋体"/>
                <w:sz w:val="18"/>
                <w:szCs w:val="18"/>
              </w:rPr>
            </w:pPr>
            <w:r>
              <w:rPr>
                <w:rFonts w:hint="eastAsia" w:ascii="宋体" w:hAnsi="宋体"/>
                <w:kern w:val="0"/>
                <w:sz w:val="18"/>
                <w:szCs w:val="18"/>
                <w:lang w:bidi="ar"/>
              </w:rPr>
              <w:t>19</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BD529">
            <w:pPr>
              <w:widowControl/>
              <w:jc w:val="center"/>
              <w:rPr>
                <w:rFonts w:ascii="宋体" w:hAnsi="宋体"/>
                <w:sz w:val="18"/>
                <w:szCs w:val="18"/>
              </w:rPr>
            </w:pPr>
          </w:p>
        </w:tc>
        <w:tc>
          <w:tcPr>
            <w:tcW w:w="801" w:type="pct"/>
            <w:vMerge w:val="continue"/>
            <w:tcBorders>
              <w:left w:val="single" w:color="000000" w:sz="4" w:space="0"/>
              <w:right w:val="single" w:color="000000" w:sz="4" w:space="0"/>
            </w:tcBorders>
            <w:shd w:val="clear" w:color="auto" w:fill="auto"/>
            <w:vAlign w:val="center"/>
          </w:tcPr>
          <w:p w14:paraId="0DFCDECF">
            <w:pPr>
              <w:widowControl/>
              <w:jc w:val="center"/>
              <w:rPr>
                <w:rFonts w:ascii="宋体" w:hAnsi="宋体"/>
                <w:sz w:val="18"/>
                <w:szCs w:val="18"/>
              </w:rPr>
            </w:pP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3893B">
            <w:pPr>
              <w:widowControl/>
              <w:jc w:val="center"/>
              <w:textAlignment w:val="center"/>
              <w:rPr>
                <w:rFonts w:ascii="宋体" w:hAnsi="宋体"/>
                <w:sz w:val="18"/>
                <w:szCs w:val="18"/>
              </w:rPr>
            </w:pPr>
            <w:r>
              <w:rPr>
                <w:rFonts w:hint="eastAsia" w:ascii="宋体" w:hAnsi="宋体"/>
                <w:kern w:val="0"/>
                <w:sz w:val="18"/>
                <w:szCs w:val="18"/>
                <w:lang w:bidi="ar"/>
              </w:rPr>
              <w:t>龟背竹</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BBD5F">
            <w:pPr>
              <w:widowControl/>
              <w:jc w:val="center"/>
              <w:textAlignment w:val="center"/>
              <w:rPr>
                <w:rFonts w:ascii="宋体" w:hAnsi="宋体"/>
                <w:sz w:val="18"/>
                <w:szCs w:val="18"/>
              </w:rPr>
            </w:pPr>
            <w:r>
              <w:rPr>
                <w:rFonts w:hint="eastAsia" w:ascii="宋体" w:hAnsi="宋体"/>
                <w:kern w:val="0"/>
                <w:sz w:val="18"/>
                <w:szCs w:val="18"/>
                <w:lang w:bidi="ar"/>
              </w:rPr>
              <w:t>H120</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C5FC6">
            <w:pPr>
              <w:widowControl/>
              <w:jc w:val="center"/>
              <w:textAlignment w:val="center"/>
              <w:rPr>
                <w:rFonts w:ascii="宋体" w:hAnsi="宋体"/>
                <w:sz w:val="18"/>
                <w:szCs w:val="18"/>
              </w:rPr>
            </w:pPr>
            <w:r>
              <w:rPr>
                <w:rFonts w:hint="eastAsia" w:ascii="宋体" w:hAnsi="宋体"/>
                <w:kern w:val="0"/>
                <w:sz w:val="18"/>
                <w:szCs w:val="18"/>
                <w:lang w:bidi="ar"/>
              </w:rPr>
              <w:t>8</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50E44">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4B1CC">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1254219A">
            <w:pPr>
              <w:widowControl/>
              <w:rPr>
                <w:rFonts w:ascii="宋体" w:hAnsi="宋体"/>
                <w:sz w:val="18"/>
                <w:szCs w:val="18"/>
              </w:rPr>
            </w:pPr>
          </w:p>
        </w:tc>
      </w:tr>
      <w:tr w14:paraId="10D2533C">
        <w:tblPrEx>
          <w:tblCellMar>
            <w:top w:w="0" w:type="dxa"/>
            <w:left w:w="108" w:type="dxa"/>
            <w:bottom w:w="0" w:type="dxa"/>
            <w:right w:w="108" w:type="dxa"/>
          </w:tblCellMar>
        </w:tblPrEx>
        <w:trPr>
          <w:trHeight w:val="4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2BC16">
            <w:pPr>
              <w:widowControl/>
              <w:jc w:val="center"/>
              <w:textAlignment w:val="center"/>
              <w:rPr>
                <w:rFonts w:ascii="宋体" w:hAnsi="宋体"/>
                <w:sz w:val="18"/>
                <w:szCs w:val="18"/>
              </w:rPr>
            </w:pPr>
            <w:r>
              <w:rPr>
                <w:rFonts w:hint="eastAsia" w:ascii="宋体" w:hAnsi="宋体"/>
                <w:kern w:val="0"/>
                <w:sz w:val="18"/>
                <w:szCs w:val="18"/>
                <w:lang w:bidi="ar"/>
              </w:rPr>
              <w:t>20</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9ADAF">
            <w:pPr>
              <w:widowControl/>
              <w:jc w:val="center"/>
              <w:rPr>
                <w:rFonts w:ascii="宋体" w:hAnsi="宋体"/>
                <w:sz w:val="18"/>
                <w:szCs w:val="18"/>
              </w:rPr>
            </w:pPr>
          </w:p>
        </w:tc>
        <w:tc>
          <w:tcPr>
            <w:tcW w:w="801" w:type="pct"/>
            <w:vMerge w:val="continue"/>
            <w:tcBorders>
              <w:left w:val="single" w:color="000000" w:sz="4" w:space="0"/>
              <w:bottom w:val="single" w:color="000000" w:sz="4" w:space="0"/>
              <w:right w:val="single" w:color="000000" w:sz="4" w:space="0"/>
            </w:tcBorders>
            <w:shd w:val="clear" w:color="auto" w:fill="auto"/>
            <w:vAlign w:val="center"/>
          </w:tcPr>
          <w:p w14:paraId="0E04DA1B">
            <w:pPr>
              <w:widowControl/>
              <w:jc w:val="center"/>
              <w:textAlignment w:val="center"/>
              <w:rPr>
                <w:rFonts w:ascii="宋体" w:hAnsi="宋体"/>
                <w:sz w:val="18"/>
                <w:szCs w:val="18"/>
              </w:rPr>
            </w:pP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E5C02">
            <w:pPr>
              <w:widowControl/>
              <w:jc w:val="center"/>
              <w:textAlignment w:val="center"/>
              <w:rPr>
                <w:rFonts w:ascii="宋体" w:hAnsi="宋体"/>
                <w:sz w:val="18"/>
                <w:szCs w:val="18"/>
              </w:rPr>
            </w:pPr>
            <w:r>
              <w:rPr>
                <w:rFonts w:hint="eastAsia" w:ascii="宋体" w:hAnsi="宋体"/>
                <w:kern w:val="0"/>
                <w:sz w:val="18"/>
                <w:szCs w:val="18"/>
                <w:lang w:bidi="ar"/>
              </w:rPr>
              <w:t>广东万年青</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10339">
            <w:pPr>
              <w:widowControl/>
              <w:jc w:val="center"/>
              <w:textAlignment w:val="center"/>
              <w:rPr>
                <w:rFonts w:ascii="宋体" w:hAnsi="宋体"/>
                <w:sz w:val="18"/>
                <w:szCs w:val="18"/>
              </w:rPr>
            </w:pPr>
            <w:r>
              <w:rPr>
                <w:rFonts w:hint="eastAsia" w:ascii="宋体" w:hAnsi="宋体"/>
                <w:kern w:val="0"/>
                <w:sz w:val="18"/>
                <w:szCs w:val="18"/>
                <w:lang w:bidi="ar"/>
              </w:rPr>
              <w:t>H60</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332B9">
            <w:pPr>
              <w:widowControl/>
              <w:jc w:val="center"/>
              <w:textAlignment w:val="center"/>
              <w:rPr>
                <w:rFonts w:ascii="宋体" w:hAnsi="宋体"/>
                <w:sz w:val="18"/>
                <w:szCs w:val="18"/>
              </w:rPr>
            </w:pPr>
            <w:r>
              <w:rPr>
                <w:rFonts w:hint="eastAsia" w:ascii="宋体" w:hAnsi="宋体"/>
                <w:kern w:val="0"/>
                <w:sz w:val="18"/>
                <w:szCs w:val="18"/>
                <w:lang w:bidi="ar"/>
              </w:rPr>
              <w:t>12</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5D168">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2AB41">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3882432A">
            <w:pPr>
              <w:widowControl/>
              <w:rPr>
                <w:rFonts w:ascii="宋体" w:hAnsi="宋体"/>
                <w:sz w:val="18"/>
                <w:szCs w:val="18"/>
              </w:rPr>
            </w:pPr>
          </w:p>
        </w:tc>
      </w:tr>
      <w:tr w14:paraId="068BB5C7">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67ADC">
            <w:pPr>
              <w:widowControl/>
              <w:jc w:val="center"/>
              <w:textAlignment w:val="center"/>
              <w:rPr>
                <w:rFonts w:ascii="宋体" w:hAnsi="宋体"/>
                <w:sz w:val="18"/>
                <w:szCs w:val="18"/>
              </w:rPr>
            </w:pPr>
            <w:r>
              <w:rPr>
                <w:rFonts w:hint="eastAsia" w:ascii="宋体" w:hAnsi="宋体"/>
                <w:kern w:val="0"/>
                <w:sz w:val="18"/>
                <w:szCs w:val="18"/>
                <w:lang w:bidi="ar"/>
              </w:rPr>
              <w:t>21</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7EF84">
            <w:pPr>
              <w:widowControl/>
              <w:jc w:val="center"/>
              <w:rPr>
                <w:rFonts w:ascii="宋体" w:hAnsi="宋体"/>
                <w:sz w:val="18"/>
                <w:szCs w:val="18"/>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40C63">
            <w:pPr>
              <w:widowControl/>
              <w:jc w:val="center"/>
              <w:textAlignment w:val="center"/>
              <w:rPr>
                <w:rFonts w:ascii="宋体" w:hAnsi="宋体"/>
                <w:sz w:val="18"/>
                <w:szCs w:val="18"/>
              </w:rPr>
            </w:pPr>
            <w:r>
              <w:rPr>
                <w:rFonts w:hint="eastAsia" w:ascii="宋体" w:hAnsi="宋体"/>
                <w:kern w:val="0"/>
                <w:sz w:val="18"/>
                <w:szCs w:val="18"/>
                <w:lang w:bidi="ar"/>
              </w:rPr>
              <w:t>楼梯环廊前</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B3211">
            <w:pPr>
              <w:widowControl/>
              <w:jc w:val="center"/>
              <w:textAlignment w:val="center"/>
              <w:rPr>
                <w:rFonts w:ascii="宋体" w:hAnsi="宋体"/>
                <w:sz w:val="18"/>
                <w:szCs w:val="18"/>
              </w:rPr>
            </w:pPr>
            <w:r>
              <w:rPr>
                <w:rFonts w:hint="eastAsia" w:ascii="宋体" w:hAnsi="宋体"/>
                <w:kern w:val="0"/>
                <w:sz w:val="18"/>
                <w:szCs w:val="18"/>
                <w:lang w:bidi="ar"/>
              </w:rPr>
              <w:t>植物双盆组1</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FBE7E">
            <w:pPr>
              <w:widowControl/>
              <w:jc w:val="center"/>
              <w:textAlignment w:val="center"/>
              <w:rPr>
                <w:rFonts w:ascii="宋体" w:hAnsi="宋体"/>
                <w:sz w:val="18"/>
                <w:szCs w:val="18"/>
              </w:rPr>
            </w:pPr>
            <w:r>
              <w:rPr>
                <w:rFonts w:hint="eastAsia" w:ascii="宋体" w:hAnsi="宋体"/>
                <w:kern w:val="0"/>
                <w:sz w:val="18"/>
                <w:szCs w:val="18"/>
                <w:lang w:bidi="ar"/>
              </w:rPr>
              <w:t>-</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EEC49">
            <w:pPr>
              <w:widowControl/>
              <w:jc w:val="center"/>
              <w:textAlignment w:val="center"/>
              <w:rPr>
                <w:rFonts w:ascii="宋体" w:hAnsi="宋体"/>
                <w:sz w:val="18"/>
                <w:szCs w:val="18"/>
              </w:rPr>
            </w:pPr>
            <w:r>
              <w:rPr>
                <w:rFonts w:hint="eastAsia" w:ascii="宋体" w:hAnsi="宋体"/>
                <w:kern w:val="0"/>
                <w:sz w:val="18"/>
                <w:szCs w:val="18"/>
                <w:lang w:bidi="ar"/>
              </w:rPr>
              <w:t>1</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1DB6A">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5465A">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7649CCBA">
            <w:pPr>
              <w:widowControl/>
              <w:rPr>
                <w:rFonts w:ascii="宋体" w:hAnsi="宋体"/>
                <w:sz w:val="18"/>
                <w:szCs w:val="18"/>
              </w:rPr>
            </w:pPr>
          </w:p>
        </w:tc>
      </w:tr>
      <w:tr w14:paraId="37639DD0">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152E4">
            <w:pPr>
              <w:widowControl/>
              <w:jc w:val="center"/>
              <w:textAlignment w:val="center"/>
              <w:rPr>
                <w:rFonts w:ascii="宋体" w:hAnsi="宋体"/>
                <w:sz w:val="18"/>
                <w:szCs w:val="18"/>
              </w:rPr>
            </w:pPr>
            <w:r>
              <w:rPr>
                <w:rFonts w:hint="eastAsia" w:ascii="宋体" w:hAnsi="宋体"/>
                <w:kern w:val="0"/>
                <w:sz w:val="18"/>
                <w:szCs w:val="18"/>
                <w:lang w:bidi="ar"/>
              </w:rPr>
              <w:t>22</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31284">
            <w:pPr>
              <w:widowControl/>
              <w:jc w:val="center"/>
              <w:rPr>
                <w:rFonts w:ascii="宋体" w:hAnsi="宋体"/>
                <w:sz w:val="18"/>
                <w:szCs w:val="18"/>
              </w:rPr>
            </w:pPr>
          </w:p>
        </w:tc>
        <w:tc>
          <w:tcPr>
            <w:tcW w:w="8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9112F">
            <w:pPr>
              <w:widowControl/>
              <w:jc w:val="center"/>
              <w:textAlignment w:val="center"/>
              <w:rPr>
                <w:rFonts w:ascii="宋体" w:hAnsi="宋体"/>
                <w:sz w:val="18"/>
                <w:szCs w:val="18"/>
              </w:rPr>
            </w:pPr>
            <w:r>
              <w:rPr>
                <w:rFonts w:hint="eastAsia" w:ascii="宋体" w:hAnsi="宋体"/>
                <w:kern w:val="0"/>
                <w:sz w:val="18"/>
                <w:szCs w:val="18"/>
                <w:lang w:bidi="ar"/>
              </w:rPr>
              <w:t>公共区域</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F0DCE">
            <w:pPr>
              <w:widowControl/>
              <w:jc w:val="center"/>
              <w:textAlignment w:val="center"/>
              <w:rPr>
                <w:rFonts w:ascii="宋体" w:hAnsi="宋体"/>
                <w:sz w:val="18"/>
                <w:szCs w:val="18"/>
              </w:rPr>
            </w:pPr>
            <w:r>
              <w:rPr>
                <w:rFonts w:hint="eastAsia" w:ascii="宋体" w:hAnsi="宋体"/>
                <w:kern w:val="0"/>
                <w:sz w:val="18"/>
                <w:szCs w:val="18"/>
                <w:lang w:bidi="ar"/>
              </w:rPr>
              <w:t>植物双盆组1</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78E10">
            <w:pPr>
              <w:widowControl/>
              <w:jc w:val="center"/>
              <w:textAlignment w:val="center"/>
              <w:rPr>
                <w:rFonts w:ascii="宋体" w:hAnsi="宋体"/>
                <w:sz w:val="18"/>
                <w:szCs w:val="18"/>
              </w:rPr>
            </w:pPr>
            <w:r>
              <w:rPr>
                <w:rFonts w:hint="eastAsia" w:ascii="宋体" w:hAnsi="宋体"/>
                <w:kern w:val="0"/>
                <w:sz w:val="18"/>
                <w:szCs w:val="18"/>
                <w:lang w:bidi="ar"/>
              </w:rPr>
              <w:t>-</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846D7">
            <w:pPr>
              <w:widowControl/>
              <w:jc w:val="center"/>
              <w:textAlignment w:val="center"/>
              <w:rPr>
                <w:rFonts w:ascii="宋体" w:hAnsi="宋体"/>
                <w:sz w:val="18"/>
                <w:szCs w:val="18"/>
              </w:rPr>
            </w:pPr>
            <w:r>
              <w:rPr>
                <w:rFonts w:hint="eastAsia" w:ascii="宋体" w:hAnsi="宋体"/>
                <w:kern w:val="0"/>
                <w:sz w:val="18"/>
                <w:szCs w:val="18"/>
                <w:lang w:bidi="ar"/>
              </w:rPr>
              <w:t>4</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11E7C">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346EF">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02681A31">
            <w:pPr>
              <w:widowControl/>
              <w:rPr>
                <w:rFonts w:ascii="宋体" w:hAnsi="宋体"/>
                <w:sz w:val="18"/>
                <w:szCs w:val="18"/>
              </w:rPr>
            </w:pPr>
          </w:p>
        </w:tc>
      </w:tr>
      <w:tr w14:paraId="5F815ADF">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663FC">
            <w:pPr>
              <w:widowControl/>
              <w:jc w:val="center"/>
              <w:textAlignment w:val="center"/>
              <w:rPr>
                <w:rFonts w:ascii="宋体" w:hAnsi="宋体"/>
                <w:sz w:val="18"/>
                <w:szCs w:val="18"/>
              </w:rPr>
            </w:pPr>
            <w:r>
              <w:rPr>
                <w:rFonts w:hint="eastAsia" w:ascii="宋体" w:hAnsi="宋体"/>
                <w:kern w:val="0"/>
                <w:sz w:val="18"/>
                <w:szCs w:val="18"/>
                <w:lang w:bidi="ar"/>
              </w:rPr>
              <w:t>23</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E882C">
            <w:pPr>
              <w:widowControl/>
              <w:jc w:val="center"/>
              <w:rPr>
                <w:rFonts w:ascii="宋体" w:hAnsi="宋体"/>
                <w:sz w:val="18"/>
                <w:szCs w:val="18"/>
              </w:rPr>
            </w:pPr>
          </w:p>
        </w:tc>
        <w:tc>
          <w:tcPr>
            <w:tcW w:w="8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6B85D">
            <w:pPr>
              <w:widowControl/>
              <w:jc w:val="center"/>
              <w:rPr>
                <w:rFonts w:ascii="宋体" w:hAnsi="宋体"/>
                <w:sz w:val="18"/>
                <w:szCs w:val="18"/>
              </w:rPr>
            </w:pP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1BE7D">
            <w:pPr>
              <w:widowControl/>
              <w:jc w:val="center"/>
              <w:textAlignment w:val="center"/>
              <w:rPr>
                <w:rFonts w:ascii="宋体" w:hAnsi="宋体"/>
                <w:sz w:val="18"/>
                <w:szCs w:val="18"/>
              </w:rPr>
            </w:pPr>
            <w:r>
              <w:rPr>
                <w:rFonts w:hint="eastAsia" w:ascii="宋体" w:hAnsi="宋体"/>
                <w:kern w:val="0"/>
                <w:sz w:val="18"/>
                <w:szCs w:val="18"/>
                <w:lang w:bidi="ar"/>
              </w:rPr>
              <w:t>植物3盆组2</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FB9FD">
            <w:pPr>
              <w:widowControl/>
              <w:jc w:val="center"/>
              <w:textAlignment w:val="center"/>
              <w:rPr>
                <w:rFonts w:ascii="宋体" w:hAnsi="宋体"/>
                <w:sz w:val="18"/>
                <w:szCs w:val="18"/>
              </w:rPr>
            </w:pPr>
            <w:r>
              <w:rPr>
                <w:rFonts w:hint="eastAsia" w:ascii="宋体" w:hAnsi="宋体"/>
                <w:kern w:val="0"/>
                <w:sz w:val="18"/>
                <w:szCs w:val="18"/>
                <w:lang w:bidi="ar"/>
              </w:rPr>
              <w:t>-</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D01D9">
            <w:pPr>
              <w:widowControl/>
              <w:jc w:val="center"/>
              <w:textAlignment w:val="center"/>
              <w:rPr>
                <w:rFonts w:ascii="宋体" w:hAnsi="宋体"/>
                <w:sz w:val="18"/>
                <w:szCs w:val="18"/>
              </w:rPr>
            </w:pPr>
            <w:r>
              <w:rPr>
                <w:rFonts w:hint="eastAsia" w:ascii="宋体" w:hAnsi="宋体"/>
                <w:kern w:val="0"/>
                <w:sz w:val="18"/>
                <w:szCs w:val="18"/>
                <w:lang w:bidi="ar"/>
              </w:rPr>
              <w:t>8</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BBDB4">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7B984">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756486C1">
            <w:pPr>
              <w:widowControl/>
              <w:rPr>
                <w:rFonts w:ascii="宋体" w:hAnsi="宋体"/>
                <w:sz w:val="18"/>
                <w:szCs w:val="18"/>
              </w:rPr>
            </w:pPr>
          </w:p>
        </w:tc>
      </w:tr>
      <w:tr w14:paraId="5C3FADFF">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FD2FD">
            <w:pPr>
              <w:widowControl/>
              <w:jc w:val="center"/>
              <w:textAlignment w:val="center"/>
              <w:rPr>
                <w:rFonts w:ascii="宋体" w:hAnsi="宋体"/>
                <w:sz w:val="18"/>
                <w:szCs w:val="18"/>
              </w:rPr>
            </w:pPr>
            <w:r>
              <w:rPr>
                <w:rFonts w:hint="eastAsia" w:ascii="宋体" w:hAnsi="宋体"/>
                <w:kern w:val="0"/>
                <w:sz w:val="18"/>
                <w:szCs w:val="18"/>
                <w:lang w:bidi="ar"/>
              </w:rPr>
              <w:t>24</w:t>
            </w:r>
          </w:p>
        </w:tc>
        <w:tc>
          <w:tcPr>
            <w:tcW w:w="3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C87BF5">
            <w:pPr>
              <w:widowControl/>
              <w:jc w:val="center"/>
              <w:textAlignment w:val="center"/>
              <w:rPr>
                <w:rFonts w:ascii="宋体" w:hAnsi="宋体"/>
                <w:sz w:val="18"/>
                <w:szCs w:val="18"/>
              </w:rPr>
            </w:pPr>
            <w:r>
              <w:rPr>
                <w:rFonts w:hint="eastAsia" w:ascii="宋体" w:hAnsi="宋体"/>
                <w:kern w:val="0"/>
                <w:sz w:val="18"/>
                <w:szCs w:val="18"/>
                <w:lang w:bidi="ar"/>
              </w:rPr>
              <w:t>3楼</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0BB88">
            <w:pPr>
              <w:widowControl/>
              <w:jc w:val="center"/>
              <w:textAlignment w:val="center"/>
              <w:rPr>
                <w:rFonts w:ascii="宋体" w:hAnsi="宋体"/>
                <w:sz w:val="18"/>
                <w:szCs w:val="18"/>
              </w:rPr>
            </w:pPr>
            <w:r>
              <w:rPr>
                <w:rFonts w:hint="eastAsia" w:ascii="宋体" w:hAnsi="宋体"/>
                <w:kern w:val="0"/>
                <w:sz w:val="18"/>
                <w:szCs w:val="18"/>
                <w:lang w:bidi="ar"/>
              </w:rPr>
              <w:t>公共走廊</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AC757">
            <w:pPr>
              <w:widowControl/>
              <w:jc w:val="center"/>
              <w:textAlignment w:val="center"/>
              <w:rPr>
                <w:rFonts w:ascii="宋体" w:hAnsi="宋体"/>
                <w:sz w:val="18"/>
                <w:szCs w:val="18"/>
              </w:rPr>
            </w:pPr>
            <w:r>
              <w:rPr>
                <w:rFonts w:hint="eastAsia" w:ascii="宋体" w:hAnsi="宋体"/>
                <w:kern w:val="0"/>
                <w:sz w:val="18"/>
                <w:szCs w:val="18"/>
                <w:lang w:bidi="ar"/>
              </w:rPr>
              <w:t>植物3盆组3</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E3FA3">
            <w:pPr>
              <w:widowControl/>
              <w:jc w:val="center"/>
              <w:textAlignment w:val="center"/>
              <w:rPr>
                <w:rFonts w:ascii="宋体" w:hAnsi="宋体"/>
                <w:sz w:val="18"/>
                <w:szCs w:val="18"/>
              </w:rPr>
            </w:pPr>
            <w:r>
              <w:rPr>
                <w:rFonts w:hint="eastAsia" w:ascii="宋体" w:hAnsi="宋体"/>
                <w:kern w:val="0"/>
                <w:sz w:val="18"/>
                <w:szCs w:val="18"/>
                <w:lang w:bidi="ar"/>
              </w:rPr>
              <w:t>-</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6566A">
            <w:pPr>
              <w:widowControl/>
              <w:jc w:val="center"/>
              <w:textAlignment w:val="center"/>
              <w:rPr>
                <w:rFonts w:ascii="宋体" w:hAnsi="宋体"/>
                <w:sz w:val="18"/>
                <w:szCs w:val="18"/>
              </w:rPr>
            </w:pPr>
            <w:r>
              <w:rPr>
                <w:rFonts w:hint="eastAsia" w:ascii="宋体" w:hAnsi="宋体"/>
                <w:kern w:val="0"/>
                <w:sz w:val="18"/>
                <w:szCs w:val="18"/>
                <w:lang w:bidi="ar"/>
              </w:rPr>
              <w:t>6</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4E845">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F5905">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26203022">
            <w:pPr>
              <w:widowControl/>
              <w:rPr>
                <w:rFonts w:ascii="宋体" w:hAnsi="宋体"/>
                <w:sz w:val="18"/>
                <w:szCs w:val="18"/>
              </w:rPr>
            </w:pPr>
          </w:p>
        </w:tc>
      </w:tr>
      <w:tr w14:paraId="6B6962AB">
        <w:tblPrEx>
          <w:tblCellMar>
            <w:top w:w="0" w:type="dxa"/>
            <w:left w:w="108" w:type="dxa"/>
            <w:bottom w:w="0" w:type="dxa"/>
            <w:right w:w="108" w:type="dxa"/>
          </w:tblCellMar>
        </w:tblPrEx>
        <w:trPr>
          <w:trHeight w:val="4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E318A">
            <w:pPr>
              <w:widowControl/>
              <w:jc w:val="center"/>
              <w:textAlignment w:val="center"/>
              <w:rPr>
                <w:rFonts w:ascii="宋体" w:hAnsi="宋体"/>
                <w:sz w:val="18"/>
                <w:szCs w:val="18"/>
              </w:rPr>
            </w:pPr>
            <w:r>
              <w:rPr>
                <w:rFonts w:hint="eastAsia" w:ascii="宋体" w:hAnsi="宋体"/>
                <w:kern w:val="0"/>
                <w:sz w:val="18"/>
                <w:szCs w:val="18"/>
                <w:lang w:bidi="ar"/>
              </w:rPr>
              <w:t>25</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6CF70">
            <w:pPr>
              <w:widowControl/>
              <w:jc w:val="center"/>
              <w:rPr>
                <w:rFonts w:ascii="宋体" w:hAnsi="宋体"/>
                <w:sz w:val="18"/>
                <w:szCs w:val="18"/>
              </w:rPr>
            </w:pPr>
          </w:p>
        </w:tc>
        <w:tc>
          <w:tcPr>
            <w:tcW w:w="801" w:type="pct"/>
            <w:vMerge w:val="restart"/>
            <w:tcBorders>
              <w:top w:val="single" w:color="000000" w:sz="4" w:space="0"/>
              <w:left w:val="single" w:color="000000" w:sz="4" w:space="0"/>
              <w:right w:val="single" w:color="000000" w:sz="4" w:space="0"/>
            </w:tcBorders>
            <w:shd w:val="clear" w:color="auto" w:fill="auto"/>
            <w:vAlign w:val="center"/>
          </w:tcPr>
          <w:p w14:paraId="2B8FD290">
            <w:pPr>
              <w:widowControl/>
              <w:jc w:val="center"/>
              <w:textAlignment w:val="center"/>
              <w:rPr>
                <w:rFonts w:ascii="宋体" w:hAnsi="宋体"/>
                <w:sz w:val="18"/>
                <w:szCs w:val="18"/>
              </w:rPr>
            </w:pPr>
            <w:r>
              <w:rPr>
                <w:rFonts w:hint="eastAsia" w:ascii="宋体" w:hAnsi="宋体"/>
                <w:kern w:val="0"/>
                <w:sz w:val="18"/>
                <w:szCs w:val="18"/>
                <w:lang w:bidi="ar"/>
              </w:rPr>
              <w:t>生命之源LAB和创智学习空间</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538FD">
            <w:pPr>
              <w:widowControl/>
              <w:jc w:val="center"/>
              <w:textAlignment w:val="center"/>
              <w:rPr>
                <w:rFonts w:ascii="宋体" w:hAnsi="宋体"/>
                <w:sz w:val="18"/>
                <w:szCs w:val="18"/>
              </w:rPr>
            </w:pPr>
            <w:r>
              <w:rPr>
                <w:rFonts w:hint="eastAsia" w:ascii="宋体" w:hAnsi="宋体"/>
                <w:kern w:val="0"/>
                <w:sz w:val="18"/>
                <w:szCs w:val="18"/>
                <w:lang w:bidi="ar"/>
              </w:rPr>
              <w:t>广东万年青</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27081">
            <w:pPr>
              <w:widowControl/>
              <w:jc w:val="center"/>
              <w:textAlignment w:val="center"/>
              <w:rPr>
                <w:rFonts w:ascii="宋体" w:hAnsi="宋体"/>
                <w:sz w:val="18"/>
                <w:szCs w:val="18"/>
              </w:rPr>
            </w:pPr>
            <w:r>
              <w:rPr>
                <w:rFonts w:hint="eastAsia" w:ascii="宋体" w:hAnsi="宋体"/>
                <w:kern w:val="0"/>
                <w:sz w:val="18"/>
                <w:szCs w:val="18"/>
                <w:lang w:bidi="ar"/>
              </w:rPr>
              <w:t>H60-80</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CDCF2">
            <w:pPr>
              <w:widowControl/>
              <w:jc w:val="center"/>
              <w:textAlignment w:val="center"/>
              <w:rPr>
                <w:rFonts w:ascii="宋体" w:hAnsi="宋体"/>
                <w:sz w:val="18"/>
                <w:szCs w:val="18"/>
              </w:rPr>
            </w:pPr>
            <w:r>
              <w:rPr>
                <w:rFonts w:hint="eastAsia" w:ascii="宋体" w:hAnsi="宋体"/>
                <w:kern w:val="0"/>
                <w:sz w:val="18"/>
                <w:szCs w:val="18"/>
                <w:lang w:bidi="ar"/>
              </w:rPr>
              <w:t>12</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BFF78">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31387">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1F9B98D3">
            <w:pPr>
              <w:widowControl/>
              <w:rPr>
                <w:rFonts w:ascii="宋体" w:hAnsi="宋体"/>
                <w:sz w:val="18"/>
                <w:szCs w:val="18"/>
              </w:rPr>
            </w:pPr>
          </w:p>
        </w:tc>
      </w:tr>
      <w:tr w14:paraId="2EB9F082">
        <w:tblPrEx>
          <w:tblCellMar>
            <w:top w:w="0" w:type="dxa"/>
            <w:left w:w="108" w:type="dxa"/>
            <w:bottom w:w="0" w:type="dxa"/>
            <w:right w:w="108" w:type="dxa"/>
          </w:tblCellMar>
        </w:tblPrEx>
        <w:trPr>
          <w:trHeight w:val="31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21A5C">
            <w:pPr>
              <w:widowControl/>
              <w:jc w:val="center"/>
              <w:textAlignment w:val="center"/>
              <w:rPr>
                <w:rFonts w:ascii="宋体" w:hAnsi="宋体"/>
                <w:sz w:val="18"/>
                <w:szCs w:val="18"/>
              </w:rPr>
            </w:pPr>
            <w:r>
              <w:rPr>
                <w:rFonts w:hint="eastAsia" w:ascii="宋体" w:hAnsi="宋体"/>
                <w:kern w:val="0"/>
                <w:sz w:val="18"/>
                <w:szCs w:val="18"/>
                <w:lang w:bidi="ar"/>
              </w:rPr>
              <w:t>26</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5D5EE">
            <w:pPr>
              <w:widowControl/>
              <w:jc w:val="center"/>
              <w:rPr>
                <w:rFonts w:ascii="宋体" w:hAnsi="宋体"/>
                <w:sz w:val="18"/>
                <w:szCs w:val="18"/>
              </w:rPr>
            </w:pPr>
          </w:p>
        </w:tc>
        <w:tc>
          <w:tcPr>
            <w:tcW w:w="801" w:type="pct"/>
            <w:vMerge w:val="continue"/>
            <w:tcBorders>
              <w:left w:val="single" w:color="000000" w:sz="4" w:space="0"/>
              <w:right w:val="single" w:color="000000" w:sz="4" w:space="0"/>
            </w:tcBorders>
            <w:shd w:val="clear" w:color="auto" w:fill="auto"/>
            <w:vAlign w:val="center"/>
          </w:tcPr>
          <w:p w14:paraId="6FABE56F">
            <w:pPr>
              <w:widowControl/>
              <w:jc w:val="center"/>
              <w:textAlignment w:val="center"/>
              <w:rPr>
                <w:rFonts w:ascii="宋体" w:hAnsi="宋体"/>
                <w:sz w:val="18"/>
                <w:szCs w:val="18"/>
              </w:rPr>
            </w:pP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65A37">
            <w:pPr>
              <w:widowControl/>
              <w:jc w:val="center"/>
              <w:textAlignment w:val="center"/>
              <w:rPr>
                <w:rFonts w:ascii="宋体" w:hAnsi="宋体"/>
                <w:sz w:val="18"/>
                <w:szCs w:val="18"/>
              </w:rPr>
            </w:pPr>
            <w:r>
              <w:rPr>
                <w:rFonts w:hint="eastAsia" w:ascii="宋体" w:hAnsi="宋体"/>
                <w:kern w:val="0"/>
                <w:sz w:val="18"/>
                <w:szCs w:val="18"/>
                <w:lang w:bidi="ar"/>
              </w:rPr>
              <w:t>天堂鸟</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ED651">
            <w:pPr>
              <w:widowControl/>
              <w:jc w:val="center"/>
              <w:textAlignment w:val="center"/>
              <w:rPr>
                <w:rFonts w:ascii="宋体" w:hAnsi="宋体"/>
                <w:sz w:val="18"/>
                <w:szCs w:val="18"/>
              </w:rPr>
            </w:pPr>
            <w:r>
              <w:rPr>
                <w:rFonts w:hint="eastAsia" w:ascii="宋体" w:hAnsi="宋体"/>
                <w:kern w:val="0"/>
                <w:sz w:val="18"/>
                <w:szCs w:val="18"/>
                <w:lang w:bidi="ar"/>
              </w:rPr>
              <w:t>H160-180</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539A9">
            <w:pPr>
              <w:widowControl/>
              <w:jc w:val="center"/>
              <w:textAlignment w:val="center"/>
              <w:rPr>
                <w:rFonts w:ascii="宋体" w:hAnsi="宋体"/>
                <w:sz w:val="18"/>
                <w:szCs w:val="18"/>
              </w:rPr>
            </w:pPr>
            <w:r>
              <w:rPr>
                <w:rFonts w:hint="eastAsia" w:ascii="宋体" w:hAnsi="宋体"/>
                <w:kern w:val="0"/>
                <w:sz w:val="18"/>
                <w:szCs w:val="18"/>
                <w:lang w:bidi="ar"/>
              </w:rPr>
              <w:t>2</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E0758">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1EA45">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54E843AB">
            <w:pPr>
              <w:widowControl/>
              <w:rPr>
                <w:rFonts w:ascii="宋体" w:hAnsi="宋体"/>
                <w:sz w:val="18"/>
                <w:szCs w:val="18"/>
              </w:rPr>
            </w:pPr>
          </w:p>
        </w:tc>
      </w:tr>
      <w:tr w14:paraId="113C95AB">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1D813">
            <w:pPr>
              <w:widowControl/>
              <w:jc w:val="center"/>
              <w:textAlignment w:val="center"/>
              <w:rPr>
                <w:rFonts w:ascii="宋体" w:hAnsi="宋体"/>
                <w:sz w:val="18"/>
                <w:szCs w:val="18"/>
              </w:rPr>
            </w:pPr>
            <w:r>
              <w:rPr>
                <w:rFonts w:hint="eastAsia" w:ascii="宋体" w:hAnsi="宋体"/>
                <w:kern w:val="0"/>
                <w:sz w:val="18"/>
                <w:szCs w:val="18"/>
                <w:lang w:bidi="ar"/>
              </w:rPr>
              <w:t>27</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C7C9E">
            <w:pPr>
              <w:widowControl/>
              <w:jc w:val="center"/>
              <w:rPr>
                <w:rFonts w:ascii="宋体" w:hAnsi="宋体"/>
                <w:sz w:val="18"/>
                <w:szCs w:val="18"/>
              </w:rPr>
            </w:pPr>
          </w:p>
        </w:tc>
        <w:tc>
          <w:tcPr>
            <w:tcW w:w="801" w:type="pct"/>
            <w:vMerge w:val="continue"/>
            <w:tcBorders>
              <w:left w:val="single" w:color="000000" w:sz="4" w:space="0"/>
              <w:right w:val="single" w:color="000000" w:sz="4" w:space="0"/>
            </w:tcBorders>
            <w:shd w:val="clear" w:color="auto" w:fill="auto"/>
            <w:vAlign w:val="center"/>
          </w:tcPr>
          <w:p w14:paraId="2E88B02D">
            <w:pPr>
              <w:widowControl/>
              <w:jc w:val="center"/>
              <w:rPr>
                <w:rFonts w:ascii="宋体" w:hAnsi="宋体"/>
                <w:sz w:val="18"/>
                <w:szCs w:val="18"/>
              </w:rPr>
            </w:pP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9BFAD">
            <w:pPr>
              <w:widowControl/>
              <w:jc w:val="center"/>
              <w:textAlignment w:val="center"/>
              <w:rPr>
                <w:rFonts w:ascii="宋体" w:hAnsi="宋体"/>
                <w:sz w:val="18"/>
                <w:szCs w:val="18"/>
              </w:rPr>
            </w:pPr>
            <w:r>
              <w:rPr>
                <w:rFonts w:hint="eastAsia" w:ascii="宋体" w:hAnsi="宋体"/>
                <w:kern w:val="0"/>
                <w:sz w:val="18"/>
                <w:szCs w:val="18"/>
                <w:lang w:bidi="ar"/>
              </w:rPr>
              <w:t>柜面3盆组</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0BA39">
            <w:pPr>
              <w:widowControl/>
              <w:jc w:val="center"/>
              <w:textAlignment w:val="center"/>
              <w:rPr>
                <w:rFonts w:ascii="宋体" w:hAnsi="宋体"/>
                <w:sz w:val="18"/>
                <w:szCs w:val="18"/>
              </w:rPr>
            </w:pPr>
            <w:r>
              <w:rPr>
                <w:rFonts w:hint="eastAsia" w:ascii="宋体" w:hAnsi="宋体"/>
                <w:kern w:val="0"/>
                <w:sz w:val="18"/>
                <w:szCs w:val="18"/>
                <w:lang w:bidi="ar"/>
              </w:rPr>
              <w:t>-</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1C933">
            <w:pPr>
              <w:widowControl/>
              <w:jc w:val="center"/>
              <w:textAlignment w:val="center"/>
              <w:rPr>
                <w:rFonts w:ascii="宋体" w:hAnsi="宋体"/>
                <w:sz w:val="18"/>
                <w:szCs w:val="18"/>
              </w:rPr>
            </w:pPr>
            <w:r>
              <w:rPr>
                <w:rFonts w:hint="eastAsia" w:ascii="宋体" w:hAnsi="宋体"/>
                <w:kern w:val="0"/>
                <w:sz w:val="18"/>
                <w:szCs w:val="18"/>
                <w:lang w:bidi="ar"/>
              </w:rPr>
              <w:t>8</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66059">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0386D">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061B9B2F">
            <w:pPr>
              <w:widowControl/>
              <w:rPr>
                <w:rFonts w:ascii="宋体" w:hAnsi="宋体"/>
                <w:sz w:val="18"/>
                <w:szCs w:val="18"/>
              </w:rPr>
            </w:pPr>
          </w:p>
        </w:tc>
      </w:tr>
      <w:tr w14:paraId="4CB81558">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67475">
            <w:pPr>
              <w:widowControl/>
              <w:jc w:val="center"/>
              <w:textAlignment w:val="center"/>
              <w:rPr>
                <w:rFonts w:ascii="宋体" w:hAnsi="宋体"/>
                <w:sz w:val="18"/>
                <w:szCs w:val="18"/>
              </w:rPr>
            </w:pPr>
            <w:r>
              <w:rPr>
                <w:rFonts w:hint="eastAsia" w:ascii="宋体" w:hAnsi="宋体"/>
                <w:kern w:val="0"/>
                <w:sz w:val="18"/>
                <w:szCs w:val="18"/>
                <w:lang w:bidi="ar"/>
              </w:rPr>
              <w:t>28</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CBDB7">
            <w:pPr>
              <w:widowControl/>
              <w:jc w:val="center"/>
              <w:rPr>
                <w:rFonts w:ascii="宋体" w:hAnsi="宋体"/>
                <w:sz w:val="18"/>
                <w:szCs w:val="18"/>
              </w:rPr>
            </w:pPr>
          </w:p>
        </w:tc>
        <w:tc>
          <w:tcPr>
            <w:tcW w:w="801" w:type="pct"/>
            <w:vMerge w:val="continue"/>
            <w:tcBorders>
              <w:left w:val="single" w:color="000000" w:sz="4" w:space="0"/>
              <w:right w:val="single" w:color="000000" w:sz="4" w:space="0"/>
            </w:tcBorders>
            <w:shd w:val="clear" w:color="auto" w:fill="auto"/>
            <w:vAlign w:val="center"/>
          </w:tcPr>
          <w:p w14:paraId="7B17F8F4">
            <w:pPr>
              <w:widowControl/>
              <w:jc w:val="center"/>
              <w:textAlignment w:val="center"/>
              <w:rPr>
                <w:rFonts w:ascii="宋体" w:hAnsi="宋体"/>
                <w:sz w:val="18"/>
                <w:szCs w:val="18"/>
              </w:rPr>
            </w:pP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311C1">
            <w:pPr>
              <w:widowControl/>
              <w:jc w:val="center"/>
              <w:textAlignment w:val="center"/>
              <w:rPr>
                <w:rFonts w:ascii="宋体" w:hAnsi="宋体"/>
                <w:sz w:val="18"/>
                <w:szCs w:val="18"/>
              </w:rPr>
            </w:pPr>
            <w:r>
              <w:rPr>
                <w:rFonts w:hint="eastAsia" w:ascii="宋体" w:hAnsi="宋体"/>
                <w:kern w:val="0"/>
                <w:sz w:val="18"/>
                <w:szCs w:val="18"/>
                <w:lang w:bidi="ar"/>
              </w:rPr>
              <w:t>广东万年青</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89C81">
            <w:pPr>
              <w:widowControl/>
              <w:jc w:val="center"/>
              <w:textAlignment w:val="center"/>
              <w:rPr>
                <w:rFonts w:ascii="宋体" w:hAnsi="宋体"/>
                <w:sz w:val="18"/>
                <w:szCs w:val="18"/>
              </w:rPr>
            </w:pPr>
            <w:r>
              <w:rPr>
                <w:rFonts w:hint="eastAsia" w:ascii="宋体" w:hAnsi="宋体"/>
                <w:kern w:val="0"/>
                <w:sz w:val="18"/>
                <w:szCs w:val="18"/>
                <w:lang w:bidi="ar"/>
              </w:rPr>
              <w:t>H60-80</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35C2D">
            <w:pPr>
              <w:widowControl/>
              <w:jc w:val="center"/>
              <w:textAlignment w:val="center"/>
              <w:rPr>
                <w:rFonts w:ascii="宋体" w:hAnsi="宋体"/>
                <w:sz w:val="18"/>
                <w:szCs w:val="18"/>
              </w:rPr>
            </w:pPr>
            <w:r>
              <w:rPr>
                <w:rFonts w:hint="eastAsia" w:ascii="宋体" w:hAnsi="宋体"/>
                <w:kern w:val="0"/>
                <w:sz w:val="18"/>
                <w:szCs w:val="18"/>
                <w:lang w:bidi="ar"/>
              </w:rPr>
              <w:t>6</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B1A78">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7143D">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675D280A">
            <w:pPr>
              <w:widowControl/>
              <w:rPr>
                <w:rFonts w:ascii="宋体" w:hAnsi="宋体"/>
                <w:sz w:val="18"/>
                <w:szCs w:val="18"/>
              </w:rPr>
            </w:pPr>
          </w:p>
        </w:tc>
      </w:tr>
      <w:tr w14:paraId="603BF1F3">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98BF2">
            <w:pPr>
              <w:widowControl/>
              <w:jc w:val="center"/>
              <w:textAlignment w:val="center"/>
              <w:rPr>
                <w:rFonts w:ascii="宋体" w:hAnsi="宋体"/>
                <w:sz w:val="18"/>
                <w:szCs w:val="18"/>
              </w:rPr>
            </w:pPr>
            <w:r>
              <w:rPr>
                <w:rFonts w:hint="eastAsia" w:ascii="宋体" w:hAnsi="宋体"/>
                <w:kern w:val="0"/>
                <w:sz w:val="18"/>
                <w:szCs w:val="18"/>
                <w:lang w:bidi="ar"/>
              </w:rPr>
              <w:t>29</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3E855">
            <w:pPr>
              <w:widowControl/>
              <w:jc w:val="center"/>
              <w:rPr>
                <w:rFonts w:ascii="宋体" w:hAnsi="宋体"/>
                <w:sz w:val="18"/>
                <w:szCs w:val="18"/>
              </w:rPr>
            </w:pPr>
          </w:p>
        </w:tc>
        <w:tc>
          <w:tcPr>
            <w:tcW w:w="801" w:type="pct"/>
            <w:vMerge w:val="continue"/>
            <w:tcBorders>
              <w:left w:val="single" w:color="000000" w:sz="4" w:space="0"/>
              <w:bottom w:val="single" w:color="000000" w:sz="4" w:space="0"/>
              <w:right w:val="single" w:color="000000" w:sz="4" w:space="0"/>
            </w:tcBorders>
            <w:shd w:val="clear" w:color="auto" w:fill="auto"/>
            <w:vAlign w:val="center"/>
          </w:tcPr>
          <w:p w14:paraId="35F80D65">
            <w:pPr>
              <w:widowControl/>
              <w:jc w:val="center"/>
              <w:rPr>
                <w:rFonts w:ascii="宋体" w:hAnsi="宋体"/>
                <w:sz w:val="18"/>
                <w:szCs w:val="18"/>
              </w:rPr>
            </w:pP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A0B9F">
            <w:pPr>
              <w:widowControl/>
              <w:jc w:val="center"/>
              <w:textAlignment w:val="center"/>
              <w:rPr>
                <w:rFonts w:ascii="宋体" w:hAnsi="宋体"/>
                <w:sz w:val="18"/>
                <w:szCs w:val="18"/>
              </w:rPr>
            </w:pPr>
            <w:r>
              <w:rPr>
                <w:rFonts w:hint="eastAsia" w:ascii="宋体" w:hAnsi="宋体"/>
                <w:kern w:val="0"/>
                <w:sz w:val="18"/>
                <w:szCs w:val="18"/>
                <w:lang w:bidi="ar"/>
              </w:rPr>
              <w:t>虎皮兰</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B3FB9">
            <w:pPr>
              <w:widowControl/>
              <w:jc w:val="center"/>
              <w:textAlignment w:val="center"/>
              <w:rPr>
                <w:rFonts w:ascii="宋体" w:hAnsi="宋体"/>
                <w:sz w:val="18"/>
                <w:szCs w:val="18"/>
              </w:rPr>
            </w:pPr>
            <w:r>
              <w:rPr>
                <w:rFonts w:hint="eastAsia" w:ascii="宋体" w:hAnsi="宋体"/>
                <w:kern w:val="0"/>
                <w:sz w:val="18"/>
                <w:szCs w:val="18"/>
                <w:lang w:bidi="ar"/>
              </w:rPr>
              <w:t>H20-30</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46829">
            <w:pPr>
              <w:widowControl/>
              <w:jc w:val="center"/>
              <w:textAlignment w:val="center"/>
              <w:rPr>
                <w:rFonts w:ascii="宋体" w:hAnsi="宋体"/>
                <w:sz w:val="18"/>
                <w:szCs w:val="18"/>
              </w:rPr>
            </w:pPr>
            <w:r>
              <w:rPr>
                <w:rFonts w:hint="eastAsia" w:ascii="宋体" w:hAnsi="宋体"/>
                <w:kern w:val="0"/>
                <w:sz w:val="18"/>
                <w:szCs w:val="18"/>
                <w:lang w:bidi="ar"/>
              </w:rPr>
              <w:t>4</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D7D1E">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71014">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5F4F3B0F">
            <w:pPr>
              <w:widowControl/>
              <w:rPr>
                <w:rFonts w:ascii="宋体" w:hAnsi="宋体"/>
                <w:sz w:val="18"/>
                <w:szCs w:val="18"/>
              </w:rPr>
            </w:pPr>
          </w:p>
        </w:tc>
      </w:tr>
      <w:tr w14:paraId="79087EA6">
        <w:tblPrEx>
          <w:tblCellMar>
            <w:top w:w="0" w:type="dxa"/>
            <w:left w:w="108" w:type="dxa"/>
            <w:bottom w:w="0" w:type="dxa"/>
            <w:right w:w="108" w:type="dxa"/>
          </w:tblCellMar>
        </w:tblPrEx>
        <w:trPr>
          <w:trHeight w:val="31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EB940">
            <w:pPr>
              <w:widowControl/>
              <w:jc w:val="center"/>
              <w:textAlignment w:val="center"/>
              <w:rPr>
                <w:rFonts w:ascii="宋体" w:hAnsi="宋体"/>
                <w:sz w:val="18"/>
                <w:szCs w:val="18"/>
              </w:rPr>
            </w:pPr>
            <w:r>
              <w:rPr>
                <w:rFonts w:hint="eastAsia" w:ascii="宋体" w:hAnsi="宋体"/>
                <w:kern w:val="0"/>
                <w:sz w:val="18"/>
                <w:szCs w:val="18"/>
                <w:lang w:bidi="ar"/>
              </w:rPr>
              <w:t>30</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423AF">
            <w:pPr>
              <w:widowControl/>
              <w:jc w:val="center"/>
              <w:rPr>
                <w:rFonts w:ascii="宋体" w:hAnsi="宋体"/>
                <w:sz w:val="18"/>
                <w:szCs w:val="18"/>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B4FFA">
            <w:pPr>
              <w:widowControl/>
              <w:jc w:val="center"/>
              <w:textAlignment w:val="center"/>
              <w:rPr>
                <w:rFonts w:ascii="宋体" w:hAnsi="宋体"/>
                <w:sz w:val="18"/>
                <w:szCs w:val="18"/>
              </w:rPr>
            </w:pPr>
            <w:r>
              <w:rPr>
                <w:rFonts w:hint="eastAsia" w:ascii="宋体" w:hAnsi="宋体"/>
                <w:kern w:val="0"/>
                <w:sz w:val="18"/>
                <w:szCs w:val="18"/>
                <w:lang w:bidi="ar"/>
              </w:rPr>
              <w:t>楼梯环廊前</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22313">
            <w:pPr>
              <w:widowControl/>
              <w:jc w:val="center"/>
              <w:textAlignment w:val="center"/>
              <w:rPr>
                <w:rFonts w:ascii="宋体" w:hAnsi="宋体"/>
                <w:sz w:val="18"/>
                <w:szCs w:val="18"/>
              </w:rPr>
            </w:pPr>
            <w:r>
              <w:rPr>
                <w:rFonts w:hint="eastAsia" w:ascii="宋体" w:hAnsi="宋体"/>
                <w:kern w:val="0"/>
                <w:sz w:val="18"/>
                <w:szCs w:val="18"/>
                <w:lang w:bidi="ar"/>
              </w:rPr>
              <w:t>植物双盆组1</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0C632">
            <w:pPr>
              <w:widowControl/>
              <w:jc w:val="center"/>
              <w:textAlignment w:val="center"/>
              <w:rPr>
                <w:rFonts w:ascii="宋体" w:hAnsi="宋体"/>
                <w:sz w:val="18"/>
                <w:szCs w:val="18"/>
              </w:rPr>
            </w:pPr>
            <w:r>
              <w:rPr>
                <w:rFonts w:hint="eastAsia" w:ascii="宋体" w:hAnsi="宋体"/>
                <w:kern w:val="0"/>
                <w:sz w:val="18"/>
                <w:szCs w:val="18"/>
                <w:lang w:bidi="ar"/>
              </w:rPr>
              <w:t>-</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AEF66">
            <w:pPr>
              <w:widowControl/>
              <w:jc w:val="center"/>
              <w:textAlignment w:val="center"/>
              <w:rPr>
                <w:rFonts w:ascii="宋体" w:hAnsi="宋体"/>
                <w:sz w:val="18"/>
                <w:szCs w:val="18"/>
              </w:rPr>
            </w:pPr>
            <w:r>
              <w:rPr>
                <w:rFonts w:hint="eastAsia" w:ascii="宋体" w:hAnsi="宋体"/>
                <w:kern w:val="0"/>
                <w:sz w:val="18"/>
                <w:szCs w:val="18"/>
                <w:lang w:bidi="ar"/>
              </w:rPr>
              <w:t>1</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FBFBC">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1CF7D">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180EEA31">
            <w:pPr>
              <w:widowControl/>
              <w:rPr>
                <w:rFonts w:ascii="宋体" w:hAnsi="宋体"/>
                <w:sz w:val="18"/>
                <w:szCs w:val="18"/>
              </w:rPr>
            </w:pPr>
          </w:p>
        </w:tc>
      </w:tr>
      <w:tr w14:paraId="00F50040">
        <w:tblPrEx>
          <w:tblCellMar>
            <w:top w:w="0" w:type="dxa"/>
            <w:left w:w="108" w:type="dxa"/>
            <w:bottom w:w="0" w:type="dxa"/>
            <w:right w:w="108" w:type="dxa"/>
          </w:tblCellMar>
        </w:tblPrEx>
        <w:trPr>
          <w:trHeight w:val="31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D64B8">
            <w:pPr>
              <w:widowControl/>
              <w:jc w:val="center"/>
              <w:textAlignment w:val="center"/>
              <w:rPr>
                <w:rFonts w:ascii="宋体" w:hAnsi="宋体"/>
                <w:sz w:val="18"/>
                <w:szCs w:val="18"/>
              </w:rPr>
            </w:pPr>
            <w:r>
              <w:rPr>
                <w:rFonts w:hint="eastAsia" w:ascii="宋体" w:hAnsi="宋体"/>
                <w:kern w:val="0"/>
                <w:sz w:val="18"/>
                <w:szCs w:val="18"/>
                <w:lang w:bidi="ar"/>
              </w:rPr>
              <w:t>31</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CB327">
            <w:pPr>
              <w:widowControl/>
              <w:jc w:val="center"/>
              <w:rPr>
                <w:rFonts w:ascii="宋体" w:hAnsi="宋体"/>
                <w:sz w:val="18"/>
                <w:szCs w:val="18"/>
              </w:rPr>
            </w:pPr>
          </w:p>
        </w:tc>
        <w:tc>
          <w:tcPr>
            <w:tcW w:w="8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B49F8C">
            <w:pPr>
              <w:widowControl/>
              <w:jc w:val="center"/>
              <w:textAlignment w:val="center"/>
              <w:rPr>
                <w:rFonts w:ascii="宋体" w:hAnsi="宋体"/>
                <w:sz w:val="18"/>
                <w:szCs w:val="18"/>
              </w:rPr>
            </w:pPr>
            <w:r>
              <w:rPr>
                <w:rFonts w:hint="eastAsia" w:ascii="宋体" w:hAnsi="宋体"/>
                <w:kern w:val="0"/>
                <w:sz w:val="18"/>
                <w:szCs w:val="18"/>
                <w:lang w:bidi="ar"/>
              </w:rPr>
              <w:t>江景讲堂</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B1C35">
            <w:pPr>
              <w:widowControl/>
              <w:jc w:val="center"/>
              <w:textAlignment w:val="center"/>
              <w:rPr>
                <w:rFonts w:ascii="宋体" w:hAnsi="宋体"/>
                <w:sz w:val="18"/>
                <w:szCs w:val="18"/>
              </w:rPr>
            </w:pPr>
            <w:r>
              <w:rPr>
                <w:rFonts w:hint="eastAsia" w:ascii="宋体" w:hAnsi="宋体"/>
                <w:kern w:val="0"/>
                <w:sz w:val="18"/>
                <w:szCs w:val="18"/>
                <w:lang w:bidi="ar"/>
              </w:rPr>
              <w:t>绿宝</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35AF7">
            <w:pPr>
              <w:widowControl/>
              <w:jc w:val="center"/>
              <w:textAlignment w:val="center"/>
              <w:rPr>
                <w:rFonts w:ascii="宋体" w:hAnsi="宋体"/>
                <w:sz w:val="18"/>
                <w:szCs w:val="18"/>
              </w:rPr>
            </w:pPr>
            <w:r>
              <w:rPr>
                <w:rFonts w:hint="eastAsia" w:ascii="宋体" w:hAnsi="宋体"/>
                <w:kern w:val="0"/>
                <w:sz w:val="18"/>
                <w:szCs w:val="18"/>
                <w:lang w:bidi="ar"/>
              </w:rPr>
              <w:t>H150</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B6FE7">
            <w:pPr>
              <w:widowControl/>
              <w:jc w:val="center"/>
              <w:textAlignment w:val="center"/>
              <w:rPr>
                <w:rFonts w:ascii="宋体" w:hAnsi="宋体"/>
                <w:sz w:val="18"/>
                <w:szCs w:val="18"/>
              </w:rPr>
            </w:pPr>
            <w:r>
              <w:rPr>
                <w:rFonts w:hint="eastAsia" w:ascii="宋体" w:hAnsi="宋体"/>
                <w:kern w:val="0"/>
                <w:sz w:val="18"/>
                <w:szCs w:val="18"/>
                <w:lang w:bidi="ar"/>
              </w:rPr>
              <w:t>2</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346C7">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1016F">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270855BC">
            <w:pPr>
              <w:widowControl/>
              <w:rPr>
                <w:rFonts w:ascii="宋体" w:hAnsi="宋体"/>
                <w:sz w:val="18"/>
                <w:szCs w:val="18"/>
              </w:rPr>
            </w:pPr>
          </w:p>
        </w:tc>
      </w:tr>
      <w:tr w14:paraId="14093888">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FD156">
            <w:pPr>
              <w:widowControl/>
              <w:jc w:val="center"/>
              <w:textAlignment w:val="center"/>
              <w:rPr>
                <w:rFonts w:ascii="宋体" w:hAnsi="宋体"/>
                <w:sz w:val="18"/>
                <w:szCs w:val="18"/>
              </w:rPr>
            </w:pPr>
            <w:r>
              <w:rPr>
                <w:rFonts w:hint="eastAsia" w:ascii="宋体" w:hAnsi="宋体"/>
                <w:kern w:val="0"/>
                <w:sz w:val="18"/>
                <w:szCs w:val="18"/>
                <w:lang w:bidi="ar"/>
              </w:rPr>
              <w:t>32</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99A4B">
            <w:pPr>
              <w:widowControl/>
              <w:jc w:val="center"/>
              <w:rPr>
                <w:rFonts w:ascii="宋体" w:hAnsi="宋体"/>
                <w:sz w:val="18"/>
                <w:szCs w:val="18"/>
              </w:rPr>
            </w:pPr>
          </w:p>
        </w:tc>
        <w:tc>
          <w:tcPr>
            <w:tcW w:w="8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83935">
            <w:pPr>
              <w:widowControl/>
              <w:jc w:val="center"/>
              <w:rPr>
                <w:rFonts w:ascii="宋体" w:hAnsi="宋体"/>
                <w:sz w:val="18"/>
                <w:szCs w:val="18"/>
              </w:rPr>
            </w:pP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DAF8B">
            <w:pPr>
              <w:widowControl/>
              <w:jc w:val="center"/>
              <w:textAlignment w:val="center"/>
              <w:rPr>
                <w:rFonts w:ascii="宋体" w:hAnsi="宋体"/>
                <w:sz w:val="18"/>
                <w:szCs w:val="18"/>
              </w:rPr>
            </w:pPr>
            <w:r>
              <w:rPr>
                <w:rFonts w:hint="eastAsia" w:ascii="宋体" w:hAnsi="宋体"/>
                <w:kern w:val="0"/>
                <w:sz w:val="18"/>
                <w:szCs w:val="18"/>
                <w:lang w:bidi="ar"/>
              </w:rPr>
              <w:t>散尾葵</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D4FEE">
            <w:pPr>
              <w:widowControl/>
              <w:jc w:val="center"/>
              <w:textAlignment w:val="center"/>
              <w:rPr>
                <w:rFonts w:ascii="宋体" w:hAnsi="宋体"/>
                <w:sz w:val="18"/>
                <w:szCs w:val="18"/>
              </w:rPr>
            </w:pPr>
            <w:r>
              <w:rPr>
                <w:rFonts w:hint="eastAsia" w:ascii="宋体" w:hAnsi="宋体"/>
                <w:kern w:val="0"/>
                <w:sz w:val="18"/>
                <w:szCs w:val="18"/>
                <w:lang w:bidi="ar"/>
              </w:rPr>
              <w:t>H160-180</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FC1B9">
            <w:pPr>
              <w:widowControl/>
              <w:jc w:val="center"/>
              <w:textAlignment w:val="center"/>
              <w:rPr>
                <w:rFonts w:ascii="宋体" w:hAnsi="宋体"/>
                <w:sz w:val="18"/>
                <w:szCs w:val="18"/>
              </w:rPr>
            </w:pPr>
            <w:r>
              <w:rPr>
                <w:rFonts w:hint="eastAsia" w:ascii="宋体" w:hAnsi="宋体"/>
                <w:kern w:val="0"/>
                <w:sz w:val="18"/>
                <w:szCs w:val="18"/>
                <w:lang w:bidi="ar"/>
              </w:rPr>
              <w:t>4</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E6956">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4D5B6">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4D45242E">
            <w:pPr>
              <w:widowControl/>
              <w:rPr>
                <w:rFonts w:ascii="宋体" w:hAnsi="宋体"/>
                <w:sz w:val="18"/>
                <w:szCs w:val="18"/>
              </w:rPr>
            </w:pPr>
          </w:p>
        </w:tc>
      </w:tr>
      <w:tr w14:paraId="61193C85">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9464F">
            <w:pPr>
              <w:widowControl/>
              <w:jc w:val="center"/>
              <w:textAlignment w:val="center"/>
              <w:rPr>
                <w:rFonts w:ascii="宋体" w:hAnsi="宋体"/>
                <w:sz w:val="18"/>
                <w:szCs w:val="18"/>
              </w:rPr>
            </w:pPr>
            <w:r>
              <w:rPr>
                <w:rFonts w:hint="eastAsia" w:ascii="宋体" w:hAnsi="宋体"/>
                <w:kern w:val="0"/>
                <w:sz w:val="18"/>
                <w:szCs w:val="18"/>
                <w:lang w:bidi="ar"/>
              </w:rPr>
              <w:t>33</w:t>
            </w:r>
          </w:p>
        </w:tc>
        <w:tc>
          <w:tcPr>
            <w:tcW w:w="3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B46572">
            <w:pPr>
              <w:widowControl/>
              <w:jc w:val="center"/>
              <w:textAlignment w:val="center"/>
              <w:rPr>
                <w:rFonts w:ascii="宋体" w:hAnsi="宋体"/>
                <w:sz w:val="18"/>
                <w:szCs w:val="18"/>
              </w:rPr>
            </w:pPr>
            <w:r>
              <w:rPr>
                <w:rFonts w:hint="eastAsia" w:ascii="宋体" w:hAnsi="宋体"/>
                <w:kern w:val="0"/>
                <w:sz w:val="18"/>
                <w:szCs w:val="18"/>
                <w:lang w:bidi="ar"/>
              </w:rPr>
              <w:t>4楼</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EE7CD">
            <w:pPr>
              <w:widowControl/>
              <w:jc w:val="center"/>
              <w:textAlignment w:val="center"/>
              <w:rPr>
                <w:rFonts w:ascii="宋体" w:hAnsi="宋体"/>
                <w:sz w:val="18"/>
                <w:szCs w:val="18"/>
              </w:rPr>
            </w:pPr>
            <w:r>
              <w:rPr>
                <w:rFonts w:hint="eastAsia" w:ascii="宋体" w:hAnsi="宋体"/>
                <w:kern w:val="0"/>
                <w:sz w:val="18"/>
                <w:szCs w:val="18"/>
                <w:lang w:bidi="ar"/>
              </w:rPr>
              <w:t>公共走廊</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0A4A7">
            <w:pPr>
              <w:widowControl/>
              <w:jc w:val="center"/>
              <w:textAlignment w:val="center"/>
              <w:rPr>
                <w:rFonts w:ascii="宋体" w:hAnsi="宋体"/>
                <w:sz w:val="18"/>
                <w:szCs w:val="18"/>
              </w:rPr>
            </w:pPr>
            <w:r>
              <w:rPr>
                <w:rFonts w:hint="eastAsia" w:ascii="宋体" w:hAnsi="宋体"/>
                <w:kern w:val="0"/>
                <w:sz w:val="18"/>
                <w:szCs w:val="18"/>
                <w:lang w:bidi="ar"/>
              </w:rPr>
              <w:t>植物3盆组3</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D5828">
            <w:pPr>
              <w:widowControl/>
              <w:jc w:val="center"/>
              <w:textAlignment w:val="center"/>
              <w:rPr>
                <w:rFonts w:ascii="宋体" w:hAnsi="宋体"/>
                <w:sz w:val="18"/>
                <w:szCs w:val="18"/>
              </w:rPr>
            </w:pPr>
            <w:r>
              <w:rPr>
                <w:rFonts w:hint="eastAsia" w:ascii="宋体" w:hAnsi="宋体"/>
                <w:kern w:val="0"/>
                <w:sz w:val="18"/>
                <w:szCs w:val="18"/>
                <w:lang w:bidi="ar"/>
              </w:rPr>
              <w:t>-</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75D82">
            <w:pPr>
              <w:widowControl/>
              <w:jc w:val="center"/>
              <w:textAlignment w:val="center"/>
              <w:rPr>
                <w:rFonts w:ascii="宋体" w:hAnsi="宋体"/>
                <w:sz w:val="18"/>
                <w:szCs w:val="18"/>
              </w:rPr>
            </w:pPr>
            <w:r>
              <w:rPr>
                <w:rFonts w:hint="eastAsia" w:ascii="宋体" w:hAnsi="宋体"/>
                <w:kern w:val="0"/>
                <w:sz w:val="18"/>
                <w:szCs w:val="18"/>
                <w:lang w:bidi="ar"/>
              </w:rPr>
              <w:t>6</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65D5F">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F33A6">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39773EBF">
            <w:pPr>
              <w:widowControl/>
              <w:rPr>
                <w:rFonts w:ascii="宋体" w:hAnsi="宋体"/>
                <w:sz w:val="18"/>
                <w:szCs w:val="18"/>
              </w:rPr>
            </w:pPr>
          </w:p>
        </w:tc>
      </w:tr>
      <w:tr w14:paraId="4EACC6FD">
        <w:tblPrEx>
          <w:tblCellMar>
            <w:top w:w="0" w:type="dxa"/>
            <w:left w:w="108" w:type="dxa"/>
            <w:bottom w:w="0" w:type="dxa"/>
            <w:right w:w="108" w:type="dxa"/>
          </w:tblCellMar>
        </w:tblPrEx>
        <w:trPr>
          <w:trHeight w:val="6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5EF34">
            <w:pPr>
              <w:widowControl/>
              <w:jc w:val="center"/>
              <w:textAlignment w:val="center"/>
              <w:rPr>
                <w:rFonts w:ascii="宋体" w:hAnsi="宋体"/>
                <w:sz w:val="18"/>
                <w:szCs w:val="18"/>
              </w:rPr>
            </w:pPr>
            <w:r>
              <w:rPr>
                <w:rFonts w:hint="eastAsia" w:ascii="宋体" w:hAnsi="宋体"/>
                <w:kern w:val="0"/>
                <w:sz w:val="18"/>
                <w:szCs w:val="18"/>
                <w:lang w:bidi="ar"/>
              </w:rPr>
              <w:t>34</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61356">
            <w:pPr>
              <w:widowControl/>
              <w:jc w:val="center"/>
              <w:rPr>
                <w:rFonts w:ascii="宋体" w:hAnsi="宋体"/>
                <w:sz w:val="18"/>
                <w:szCs w:val="18"/>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BA26B">
            <w:pPr>
              <w:widowControl/>
              <w:jc w:val="center"/>
              <w:textAlignment w:val="center"/>
              <w:rPr>
                <w:rFonts w:ascii="宋体" w:hAnsi="宋体"/>
                <w:sz w:val="18"/>
                <w:szCs w:val="18"/>
              </w:rPr>
            </w:pPr>
            <w:r>
              <w:rPr>
                <w:rFonts w:hint="eastAsia" w:ascii="宋体" w:hAnsi="宋体"/>
                <w:kern w:val="0"/>
                <w:sz w:val="18"/>
                <w:szCs w:val="18"/>
                <w:lang w:bidi="ar"/>
              </w:rPr>
              <w:t>生态生命和创智空间</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A7A37">
            <w:pPr>
              <w:widowControl/>
              <w:jc w:val="center"/>
              <w:textAlignment w:val="center"/>
              <w:rPr>
                <w:rFonts w:ascii="宋体" w:hAnsi="宋体"/>
                <w:sz w:val="18"/>
                <w:szCs w:val="18"/>
              </w:rPr>
            </w:pPr>
            <w:r>
              <w:rPr>
                <w:rFonts w:hint="eastAsia" w:ascii="宋体" w:hAnsi="宋体"/>
                <w:kern w:val="0"/>
                <w:sz w:val="18"/>
                <w:szCs w:val="18"/>
                <w:lang w:bidi="ar"/>
              </w:rPr>
              <w:t>粉掌</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762E5">
            <w:pPr>
              <w:widowControl/>
              <w:jc w:val="center"/>
              <w:textAlignment w:val="center"/>
              <w:rPr>
                <w:rFonts w:ascii="宋体" w:hAnsi="宋体"/>
                <w:sz w:val="18"/>
                <w:szCs w:val="18"/>
              </w:rPr>
            </w:pPr>
            <w:r>
              <w:rPr>
                <w:rFonts w:hint="eastAsia" w:ascii="宋体" w:hAnsi="宋体"/>
                <w:kern w:val="0"/>
                <w:sz w:val="18"/>
                <w:szCs w:val="18"/>
                <w:lang w:bidi="ar"/>
              </w:rPr>
              <w:t>3拼</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76E56">
            <w:pPr>
              <w:widowControl/>
              <w:jc w:val="center"/>
              <w:textAlignment w:val="center"/>
              <w:rPr>
                <w:rFonts w:ascii="宋体" w:hAnsi="宋体"/>
                <w:sz w:val="18"/>
                <w:szCs w:val="18"/>
              </w:rPr>
            </w:pPr>
            <w:r>
              <w:rPr>
                <w:rFonts w:hint="eastAsia" w:ascii="宋体" w:hAnsi="宋体"/>
                <w:kern w:val="0"/>
                <w:sz w:val="18"/>
                <w:szCs w:val="18"/>
                <w:lang w:bidi="ar"/>
              </w:rPr>
              <w:t>14</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3C989">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20927">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4D611458">
            <w:pPr>
              <w:widowControl/>
              <w:rPr>
                <w:rFonts w:ascii="宋体" w:hAnsi="宋体"/>
                <w:sz w:val="18"/>
                <w:szCs w:val="18"/>
              </w:rPr>
            </w:pPr>
          </w:p>
        </w:tc>
      </w:tr>
      <w:tr w14:paraId="0DEB890E">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EC126">
            <w:pPr>
              <w:widowControl/>
              <w:jc w:val="center"/>
              <w:textAlignment w:val="center"/>
              <w:rPr>
                <w:rFonts w:ascii="宋体" w:hAnsi="宋体"/>
                <w:sz w:val="18"/>
                <w:szCs w:val="18"/>
              </w:rPr>
            </w:pPr>
            <w:r>
              <w:rPr>
                <w:rFonts w:hint="eastAsia" w:ascii="宋体" w:hAnsi="宋体"/>
                <w:kern w:val="0"/>
                <w:sz w:val="18"/>
                <w:szCs w:val="18"/>
                <w:lang w:bidi="ar"/>
              </w:rPr>
              <w:t>35</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4B400">
            <w:pPr>
              <w:widowControl/>
              <w:jc w:val="center"/>
              <w:rPr>
                <w:rFonts w:ascii="宋体" w:hAnsi="宋体"/>
                <w:sz w:val="18"/>
                <w:szCs w:val="18"/>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169AE">
            <w:pPr>
              <w:widowControl/>
              <w:jc w:val="center"/>
              <w:textAlignment w:val="center"/>
              <w:rPr>
                <w:rFonts w:ascii="宋体" w:hAnsi="宋体"/>
                <w:sz w:val="18"/>
                <w:szCs w:val="18"/>
              </w:rPr>
            </w:pPr>
            <w:r>
              <w:rPr>
                <w:rFonts w:hint="eastAsia" w:ascii="宋体" w:hAnsi="宋体"/>
                <w:kern w:val="0"/>
                <w:sz w:val="18"/>
                <w:szCs w:val="18"/>
                <w:lang w:bidi="ar"/>
              </w:rPr>
              <w:t>楼梯环廊前</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A38FE">
            <w:pPr>
              <w:widowControl/>
              <w:jc w:val="center"/>
              <w:textAlignment w:val="center"/>
              <w:rPr>
                <w:rFonts w:ascii="宋体" w:hAnsi="宋体"/>
                <w:sz w:val="18"/>
                <w:szCs w:val="18"/>
              </w:rPr>
            </w:pPr>
            <w:r>
              <w:rPr>
                <w:rFonts w:hint="eastAsia" w:ascii="宋体" w:hAnsi="宋体"/>
                <w:kern w:val="0"/>
                <w:sz w:val="18"/>
                <w:szCs w:val="18"/>
                <w:lang w:bidi="ar"/>
              </w:rPr>
              <w:t>植物双盆组1</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D88D1">
            <w:pPr>
              <w:widowControl/>
              <w:jc w:val="center"/>
              <w:textAlignment w:val="center"/>
              <w:rPr>
                <w:rFonts w:ascii="宋体" w:hAnsi="宋体"/>
                <w:sz w:val="18"/>
                <w:szCs w:val="18"/>
              </w:rPr>
            </w:pPr>
            <w:r>
              <w:rPr>
                <w:rFonts w:hint="eastAsia" w:ascii="宋体" w:hAnsi="宋体"/>
                <w:kern w:val="0"/>
                <w:sz w:val="18"/>
                <w:szCs w:val="18"/>
                <w:lang w:bidi="ar"/>
              </w:rPr>
              <w:t>-</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05A00">
            <w:pPr>
              <w:widowControl/>
              <w:jc w:val="center"/>
              <w:textAlignment w:val="center"/>
              <w:rPr>
                <w:rFonts w:ascii="宋体" w:hAnsi="宋体"/>
                <w:sz w:val="18"/>
                <w:szCs w:val="18"/>
              </w:rPr>
            </w:pPr>
            <w:r>
              <w:rPr>
                <w:rFonts w:hint="eastAsia" w:ascii="宋体" w:hAnsi="宋体"/>
                <w:kern w:val="0"/>
                <w:sz w:val="18"/>
                <w:szCs w:val="18"/>
                <w:lang w:bidi="ar"/>
              </w:rPr>
              <w:t>1</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0F35D">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15325">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15B7FD8D">
            <w:pPr>
              <w:widowControl/>
              <w:rPr>
                <w:rFonts w:ascii="宋体" w:hAnsi="宋体"/>
                <w:sz w:val="18"/>
                <w:szCs w:val="18"/>
              </w:rPr>
            </w:pPr>
          </w:p>
        </w:tc>
      </w:tr>
      <w:tr w14:paraId="6401B796">
        <w:tblPrEx>
          <w:tblCellMar>
            <w:top w:w="0" w:type="dxa"/>
            <w:left w:w="108" w:type="dxa"/>
            <w:bottom w:w="0" w:type="dxa"/>
            <w:right w:w="108" w:type="dxa"/>
          </w:tblCellMar>
        </w:tblPrEx>
        <w:trPr>
          <w:trHeight w:val="4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8A3A6">
            <w:pPr>
              <w:widowControl/>
              <w:jc w:val="center"/>
              <w:textAlignment w:val="center"/>
              <w:rPr>
                <w:rFonts w:ascii="宋体" w:hAnsi="宋体"/>
                <w:sz w:val="18"/>
                <w:szCs w:val="18"/>
              </w:rPr>
            </w:pPr>
            <w:r>
              <w:rPr>
                <w:rFonts w:hint="eastAsia" w:ascii="宋体" w:hAnsi="宋体"/>
                <w:kern w:val="0"/>
                <w:sz w:val="18"/>
                <w:szCs w:val="18"/>
                <w:lang w:bidi="ar"/>
              </w:rPr>
              <w:t>36</w:t>
            </w:r>
          </w:p>
        </w:tc>
        <w:tc>
          <w:tcPr>
            <w:tcW w:w="3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5AF5C6">
            <w:pPr>
              <w:widowControl/>
              <w:jc w:val="center"/>
              <w:textAlignment w:val="center"/>
              <w:rPr>
                <w:rFonts w:ascii="宋体" w:hAnsi="宋体"/>
                <w:sz w:val="18"/>
                <w:szCs w:val="18"/>
              </w:rPr>
            </w:pPr>
            <w:r>
              <w:rPr>
                <w:rFonts w:hint="eastAsia" w:ascii="宋体" w:hAnsi="宋体"/>
                <w:kern w:val="0"/>
                <w:sz w:val="18"/>
                <w:szCs w:val="18"/>
                <w:lang w:bidi="ar"/>
              </w:rPr>
              <w:t>5楼</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00E38">
            <w:pPr>
              <w:widowControl/>
              <w:jc w:val="center"/>
              <w:textAlignment w:val="center"/>
              <w:rPr>
                <w:rFonts w:ascii="宋体" w:hAnsi="宋体"/>
                <w:sz w:val="18"/>
                <w:szCs w:val="18"/>
              </w:rPr>
            </w:pPr>
            <w:r>
              <w:rPr>
                <w:rFonts w:hint="eastAsia" w:ascii="宋体" w:hAnsi="宋体"/>
                <w:kern w:val="0"/>
                <w:sz w:val="18"/>
                <w:szCs w:val="18"/>
                <w:lang w:bidi="ar"/>
              </w:rPr>
              <w:t>太空母港LAB和智慧学习空间</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47295">
            <w:pPr>
              <w:widowControl/>
              <w:jc w:val="center"/>
              <w:textAlignment w:val="center"/>
              <w:rPr>
                <w:rFonts w:ascii="宋体" w:hAnsi="宋体"/>
                <w:sz w:val="18"/>
                <w:szCs w:val="18"/>
              </w:rPr>
            </w:pPr>
            <w:r>
              <w:rPr>
                <w:rFonts w:hint="eastAsia" w:ascii="宋体" w:hAnsi="宋体"/>
                <w:kern w:val="0"/>
                <w:sz w:val="18"/>
                <w:szCs w:val="18"/>
                <w:lang w:bidi="ar"/>
              </w:rPr>
              <w:t>广东万年青</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9CD99">
            <w:pPr>
              <w:widowControl/>
              <w:jc w:val="center"/>
              <w:textAlignment w:val="center"/>
              <w:rPr>
                <w:rFonts w:ascii="宋体" w:hAnsi="宋体"/>
                <w:sz w:val="18"/>
                <w:szCs w:val="18"/>
              </w:rPr>
            </w:pPr>
            <w:r>
              <w:rPr>
                <w:rFonts w:hint="eastAsia" w:ascii="宋体" w:hAnsi="宋体"/>
                <w:kern w:val="0"/>
                <w:sz w:val="18"/>
                <w:szCs w:val="18"/>
                <w:lang w:bidi="ar"/>
              </w:rPr>
              <w:t>H60</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30889">
            <w:pPr>
              <w:widowControl/>
              <w:jc w:val="center"/>
              <w:textAlignment w:val="center"/>
              <w:rPr>
                <w:rFonts w:ascii="宋体" w:hAnsi="宋体"/>
                <w:sz w:val="18"/>
                <w:szCs w:val="18"/>
              </w:rPr>
            </w:pPr>
            <w:r>
              <w:rPr>
                <w:rFonts w:hint="eastAsia" w:ascii="宋体" w:hAnsi="宋体"/>
                <w:kern w:val="0"/>
                <w:sz w:val="18"/>
                <w:szCs w:val="18"/>
                <w:lang w:bidi="ar"/>
              </w:rPr>
              <w:t>14</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36587">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26306">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2E80155A">
            <w:pPr>
              <w:widowControl/>
              <w:rPr>
                <w:rFonts w:ascii="宋体" w:hAnsi="宋体"/>
                <w:sz w:val="18"/>
                <w:szCs w:val="18"/>
              </w:rPr>
            </w:pPr>
          </w:p>
        </w:tc>
      </w:tr>
      <w:tr w14:paraId="009CCB44">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2B137">
            <w:pPr>
              <w:widowControl/>
              <w:jc w:val="center"/>
              <w:textAlignment w:val="center"/>
              <w:rPr>
                <w:rFonts w:ascii="宋体" w:hAnsi="宋体"/>
                <w:sz w:val="18"/>
                <w:szCs w:val="18"/>
              </w:rPr>
            </w:pPr>
            <w:r>
              <w:rPr>
                <w:rFonts w:hint="eastAsia" w:ascii="宋体" w:hAnsi="宋体"/>
                <w:kern w:val="0"/>
                <w:sz w:val="18"/>
                <w:szCs w:val="18"/>
                <w:lang w:bidi="ar"/>
              </w:rPr>
              <w:t>37</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5AC34">
            <w:pPr>
              <w:widowControl/>
              <w:jc w:val="center"/>
              <w:rPr>
                <w:rFonts w:ascii="宋体" w:hAnsi="宋体"/>
                <w:sz w:val="18"/>
                <w:szCs w:val="18"/>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57018">
            <w:pPr>
              <w:widowControl/>
              <w:jc w:val="center"/>
              <w:textAlignment w:val="center"/>
              <w:rPr>
                <w:rFonts w:ascii="宋体" w:hAnsi="宋体"/>
                <w:sz w:val="18"/>
                <w:szCs w:val="18"/>
              </w:rPr>
            </w:pPr>
            <w:r>
              <w:rPr>
                <w:rFonts w:hint="eastAsia" w:ascii="宋体" w:hAnsi="宋体"/>
                <w:kern w:val="0"/>
                <w:sz w:val="18"/>
                <w:szCs w:val="18"/>
                <w:lang w:bidi="ar"/>
              </w:rPr>
              <w:t>公共区域</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BB7B8">
            <w:pPr>
              <w:widowControl/>
              <w:jc w:val="center"/>
              <w:textAlignment w:val="center"/>
              <w:rPr>
                <w:rFonts w:ascii="宋体" w:hAnsi="宋体"/>
                <w:sz w:val="18"/>
                <w:szCs w:val="18"/>
              </w:rPr>
            </w:pPr>
            <w:r>
              <w:rPr>
                <w:rFonts w:hint="eastAsia" w:ascii="宋体" w:hAnsi="宋体"/>
                <w:kern w:val="0"/>
                <w:sz w:val="18"/>
                <w:szCs w:val="18"/>
                <w:lang w:bidi="ar"/>
              </w:rPr>
              <w:t>植物双盆组1</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4E882">
            <w:pPr>
              <w:widowControl/>
              <w:jc w:val="center"/>
              <w:textAlignment w:val="center"/>
              <w:rPr>
                <w:rFonts w:ascii="宋体" w:hAnsi="宋体"/>
                <w:sz w:val="18"/>
                <w:szCs w:val="18"/>
              </w:rPr>
            </w:pPr>
            <w:r>
              <w:rPr>
                <w:rFonts w:hint="eastAsia" w:ascii="宋体" w:hAnsi="宋体"/>
                <w:kern w:val="0"/>
                <w:sz w:val="18"/>
                <w:szCs w:val="18"/>
                <w:lang w:bidi="ar"/>
              </w:rPr>
              <w:t>-</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5B04F">
            <w:pPr>
              <w:widowControl/>
              <w:jc w:val="center"/>
              <w:textAlignment w:val="center"/>
              <w:rPr>
                <w:rFonts w:ascii="宋体" w:hAnsi="宋体"/>
                <w:sz w:val="18"/>
                <w:szCs w:val="18"/>
              </w:rPr>
            </w:pPr>
            <w:r>
              <w:rPr>
                <w:rFonts w:hint="eastAsia" w:ascii="宋体" w:hAnsi="宋体"/>
                <w:kern w:val="0"/>
                <w:sz w:val="18"/>
                <w:szCs w:val="18"/>
                <w:lang w:bidi="ar"/>
              </w:rPr>
              <w:t>6</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EBEF4">
            <w:pPr>
              <w:widowControl/>
              <w:jc w:val="center"/>
              <w:textAlignment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4A7C9">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tcPr>
          <w:p w14:paraId="26D5A1A5">
            <w:pPr>
              <w:widowControl/>
              <w:rPr>
                <w:rFonts w:ascii="宋体" w:hAnsi="宋体"/>
                <w:sz w:val="18"/>
                <w:szCs w:val="18"/>
              </w:rPr>
            </w:pPr>
          </w:p>
        </w:tc>
      </w:tr>
      <w:tr w14:paraId="67E61FE4">
        <w:tblPrEx>
          <w:tblCellMar>
            <w:top w:w="0" w:type="dxa"/>
            <w:left w:w="108" w:type="dxa"/>
            <w:bottom w:w="0" w:type="dxa"/>
            <w:right w:w="108" w:type="dxa"/>
          </w:tblCellMar>
        </w:tblPrEx>
        <w:trPr>
          <w:trHeight w:val="2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B90D3">
            <w:pPr>
              <w:widowControl/>
              <w:jc w:val="center"/>
              <w:textAlignment w:val="center"/>
              <w:rPr>
                <w:rFonts w:ascii="宋体" w:hAnsi="宋体"/>
                <w:sz w:val="18"/>
                <w:szCs w:val="18"/>
              </w:rPr>
            </w:pPr>
            <w:r>
              <w:rPr>
                <w:rFonts w:hint="eastAsia" w:ascii="宋体" w:hAnsi="宋体"/>
                <w:kern w:val="0"/>
                <w:sz w:val="18"/>
                <w:szCs w:val="18"/>
                <w:lang w:bidi="ar"/>
              </w:rPr>
              <w:t>合计</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47744">
            <w:pPr>
              <w:widowControl/>
              <w:jc w:val="center"/>
              <w:rPr>
                <w:rFonts w:ascii="宋体" w:hAnsi="宋体"/>
                <w:sz w:val="18"/>
                <w:szCs w:val="18"/>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392C8">
            <w:pPr>
              <w:widowControl/>
              <w:jc w:val="center"/>
              <w:rPr>
                <w:rFonts w:ascii="宋体" w:hAnsi="宋体"/>
                <w:sz w:val="18"/>
                <w:szCs w:val="18"/>
              </w:rPr>
            </w:pP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87713">
            <w:pPr>
              <w:widowControl/>
              <w:jc w:val="center"/>
              <w:rPr>
                <w:rFonts w:ascii="宋体" w:hAnsi="宋体"/>
                <w:sz w:val="18"/>
                <w:szCs w:val="18"/>
              </w:rPr>
            </w:pP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4AC98">
            <w:pPr>
              <w:widowControl/>
              <w:jc w:val="center"/>
              <w:rPr>
                <w:rFonts w:ascii="宋体" w:hAnsi="宋体"/>
                <w:sz w:val="18"/>
                <w:szCs w:val="18"/>
              </w:rPr>
            </w:pP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B6623">
            <w:pPr>
              <w:widowControl/>
              <w:jc w:val="center"/>
              <w:textAlignment w:val="center"/>
              <w:rPr>
                <w:rFonts w:ascii="宋体" w:hAnsi="宋体"/>
                <w:sz w:val="18"/>
                <w:szCs w:val="18"/>
              </w:rPr>
            </w:pPr>
            <w:r>
              <w:rPr>
                <w:rFonts w:hint="eastAsia" w:ascii="宋体" w:hAnsi="宋体"/>
                <w:kern w:val="0"/>
                <w:sz w:val="18"/>
                <w:szCs w:val="18"/>
                <w:lang w:bidi="ar"/>
              </w:rPr>
              <w:t>172</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B7DCB">
            <w:pPr>
              <w:widowControl/>
              <w:jc w:val="center"/>
              <w:rPr>
                <w:rFonts w:ascii="宋体" w:hAnsi="宋体"/>
                <w:sz w:val="18"/>
                <w:szCs w:val="18"/>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DA22B">
            <w:pPr>
              <w:widowControl/>
              <w:jc w:val="center"/>
              <w:textAlignment w:val="center"/>
              <w:rPr>
                <w:rFonts w:ascii="宋体" w:hAnsi="宋体"/>
                <w:sz w:val="18"/>
                <w:szCs w:val="18"/>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01FD7">
            <w:pPr>
              <w:widowControl/>
              <w:rPr>
                <w:rFonts w:ascii="宋体" w:hAnsi="宋体"/>
                <w:sz w:val="22"/>
                <w:szCs w:val="22"/>
              </w:rPr>
            </w:pPr>
          </w:p>
        </w:tc>
      </w:tr>
    </w:tbl>
    <w:p w14:paraId="39AD12A7">
      <w:pPr>
        <w:spacing w:line="360" w:lineRule="auto"/>
        <w:rPr>
          <w:rFonts w:hint="eastAsia" w:ascii="宋体" w:hAnsi="宋体"/>
          <w:b/>
          <w:bCs/>
          <w:sz w:val="24"/>
          <w:lang w:val="en-US" w:eastAsia="zh-CN"/>
        </w:rPr>
      </w:pPr>
      <w:r>
        <w:rPr>
          <w:rFonts w:hint="eastAsia" w:ascii="宋体" w:hAnsi="宋体"/>
          <w:b/>
          <w:bCs/>
          <w:sz w:val="24"/>
        </w:rPr>
        <w:t>9.3</w:t>
      </w:r>
      <w:r>
        <w:rPr>
          <w:rFonts w:hint="eastAsia" w:ascii="宋体" w:hAnsi="宋体"/>
          <w:b/>
          <w:bCs/>
          <w:sz w:val="24"/>
          <w:lang w:val="en-US" w:eastAsia="zh-CN"/>
        </w:rPr>
        <w:t>备注</w:t>
      </w:r>
    </w:p>
    <w:p w14:paraId="1E514E02">
      <w:pPr>
        <w:spacing w:line="360" w:lineRule="auto"/>
        <w:rPr>
          <w:rFonts w:hint="default" w:ascii="宋体" w:hAnsi="宋体"/>
          <w:b/>
          <w:bCs/>
          <w:sz w:val="24"/>
          <w:lang w:val="en-US" w:eastAsia="zh-CN"/>
        </w:rPr>
      </w:pPr>
      <w:r>
        <w:rPr>
          <w:rFonts w:hint="eastAsia" w:ascii="宋体" w:hAnsi="宋体"/>
          <w:b/>
          <w:bCs/>
          <w:sz w:val="24"/>
          <w:lang w:val="en-US" w:eastAsia="zh-CN"/>
        </w:rPr>
        <w:t>1.根据项目的实际需求，绿植品种及数量在总价不变的情况下，可做适当调整。</w:t>
      </w:r>
    </w:p>
    <w:p w14:paraId="4DA9B8E1">
      <w:pPr>
        <w:spacing w:line="360" w:lineRule="auto"/>
        <w:rPr>
          <w:rFonts w:ascii="宋体" w:hAnsi="宋体"/>
          <w:sz w:val="24"/>
        </w:rPr>
      </w:pPr>
    </w:p>
    <w:p w14:paraId="22082E4C">
      <w:pPr>
        <w:spacing w:line="360" w:lineRule="auto"/>
        <w:jc w:val="center"/>
        <w:rPr>
          <w:rFonts w:ascii="宋体" w:hAnsi="宋体"/>
          <w:sz w:val="28"/>
          <w:szCs w:val="28"/>
        </w:rPr>
      </w:pPr>
      <w:r>
        <w:rPr>
          <w:rFonts w:hint="eastAsia" w:ascii="宋体" w:hAnsi="宋体"/>
          <w:sz w:val="28"/>
          <w:szCs w:val="28"/>
        </w:rPr>
        <w:t xml:space="preserve">第十章 </w:t>
      </w:r>
      <w:r>
        <w:rPr>
          <w:rFonts w:hint="eastAsia" w:ascii="宋体" w:hAnsi="宋体"/>
          <w:sz w:val="28"/>
          <w:szCs w:val="28"/>
          <w:lang w:eastAsia="zh-CN"/>
        </w:rPr>
        <w:t>应急救护</w:t>
      </w:r>
      <w:r>
        <w:rPr>
          <w:rFonts w:hint="eastAsia" w:ascii="宋体" w:hAnsi="宋体"/>
          <w:sz w:val="28"/>
          <w:szCs w:val="28"/>
        </w:rPr>
        <w:t>服务</w:t>
      </w:r>
    </w:p>
    <w:p w14:paraId="67D00EED">
      <w:pPr>
        <w:spacing w:line="360" w:lineRule="auto"/>
        <w:rPr>
          <w:rFonts w:ascii="宋体" w:hAnsi="宋体"/>
          <w:b/>
          <w:bCs/>
          <w:sz w:val="24"/>
        </w:rPr>
      </w:pPr>
      <w:r>
        <w:rPr>
          <w:rFonts w:hint="eastAsia" w:ascii="宋体" w:hAnsi="宋体"/>
          <w:b/>
          <w:bCs/>
          <w:sz w:val="24"/>
        </w:rPr>
        <w:t>10.1服务内容</w:t>
      </w:r>
    </w:p>
    <w:p w14:paraId="0FA9B7C9">
      <w:pPr>
        <w:spacing w:line="360" w:lineRule="auto"/>
        <w:ind w:firstLine="480" w:firstLineChars="200"/>
        <w:rPr>
          <w:rFonts w:ascii="宋体" w:hAnsi="宋体"/>
          <w:sz w:val="24"/>
        </w:rPr>
      </w:pPr>
      <w:r>
        <w:rPr>
          <w:rFonts w:hint="eastAsia" w:ascii="宋体" w:hAnsi="宋体"/>
          <w:sz w:val="24"/>
        </w:rPr>
        <w:t>科创体验中心一楼设置保健室，在学生实验风险伤害、一般意外伤害及突发身体不适/疾病发生时，可做紧急医疗处理。</w:t>
      </w:r>
    </w:p>
    <w:p w14:paraId="7D7BC6EE">
      <w:pPr>
        <w:spacing w:line="360" w:lineRule="auto"/>
        <w:rPr>
          <w:rFonts w:hint="eastAsia" w:ascii="宋体" w:hAnsi="宋体" w:eastAsia="宋体"/>
          <w:sz w:val="24"/>
          <w:lang w:eastAsia="zh-CN"/>
        </w:rPr>
      </w:pPr>
      <w:r>
        <w:rPr>
          <w:rFonts w:hint="eastAsia" w:ascii="宋体" w:hAnsi="宋体"/>
          <w:sz w:val="24"/>
        </w:rPr>
        <w:t>10.1.1岗位配置：</w:t>
      </w:r>
      <w:r>
        <w:rPr>
          <w:rFonts w:hint="eastAsia" w:ascii="宋体" w:hAnsi="宋体"/>
          <w:sz w:val="24"/>
          <w:highlight w:val="none"/>
        </w:rPr>
        <w:t>应急救护</w:t>
      </w:r>
      <w:r>
        <w:rPr>
          <w:rFonts w:hint="eastAsia" w:ascii="宋体" w:hAnsi="宋体"/>
          <w:sz w:val="24"/>
          <w:highlight w:val="none"/>
          <w:lang w:eastAsia="zh-CN"/>
        </w:rPr>
        <w:t>人员</w:t>
      </w:r>
      <w:r>
        <w:rPr>
          <w:rFonts w:hint="eastAsia" w:ascii="宋体" w:hAnsi="宋体"/>
          <w:sz w:val="24"/>
        </w:rPr>
        <w:t>1人。</w:t>
      </w:r>
    </w:p>
    <w:p w14:paraId="4E4D232A">
      <w:pPr>
        <w:spacing w:line="360" w:lineRule="auto"/>
        <w:rPr>
          <w:rFonts w:hint="eastAsia" w:ascii="宋体" w:hAnsi="宋体" w:eastAsia="宋体"/>
          <w:b/>
          <w:bCs/>
          <w:sz w:val="24"/>
          <w:lang w:eastAsia="zh-CN"/>
        </w:rPr>
      </w:pPr>
      <w:r>
        <w:rPr>
          <w:rFonts w:hint="eastAsia" w:ascii="宋体" w:hAnsi="宋体"/>
          <w:b/>
          <w:bCs/>
          <w:sz w:val="24"/>
        </w:rPr>
        <w:t>10.2</w:t>
      </w:r>
      <w:r>
        <w:rPr>
          <w:rFonts w:hint="eastAsia" w:ascii="宋体" w:hAnsi="宋体"/>
          <w:b/>
          <w:bCs/>
          <w:sz w:val="24"/>
          <w:lang w:val="en-US" w:eastAsia="zh-CN"/>
        </w:rPr>
        <w:t>备注</w:t>
      </w:r>
    </w:p>
    <w:p w14:paraId="4243EE96">
      <w:pPr>
        <w:spacing w:line="360" w:lineRule="auto"/>
        <w:rPr>
          <w:rFonts w:ascii="宋体" w:hAnsi="宋体"/>
          <w:sz w:val="24"/>
        </w:rPr>
      </w:pPr>
      <w:r>
        <w:rPr>
          <w:rFonts w:hint="eastAsia" w:ascii="宋体" w:hAnsi="宋体"/>
          <w:sz w:val="24"/>
        </w:rPr>
        <w:t>10.2.</w:t>
      </w:r>
      <w:r>
        <w:rPr>
          <w:rFonts w:hint="eastAsia" w:ascii="宋体" w:hAnsi="宋体"/>
          <w:sz w:val="24"/>
          <w:lang w:val="en-US" w:eastAsia="zh-CN"/>
        </w:rPr>
        <w:t>1</w:t>
      </w:r>
      <w:r>
        <w:rPr>
          <w:rFonts w:hint="eastAsia" w:ascii="宋体" w:hAnsi="宋体"/>
          <w:sz w:val="24"/>
        </w:rPr>
        <w:t>馆内医护人员由第三方医疗机构委派。</w:t>
      </w:r>
    </w:p>
    <w:p w14:paraId="69E8F534">
      <w:pPr>
        <w:pStyle w:val="5"/>
      </w:pPr>
    </w:p>
    <w:p w14:paraId="11B44473">
      <w:pPr>
        <w:spacing w:line="360" w:lineRule="auto"/>
        <w:rPr>
          <w:rFonts w:ascii="宋体" w:hAnsi="宋体"/>
          <w:sz w:val="24"/>
        </w:rPr>
      </w:pPr>
    </w:p>
    <w:p w14:paraId="64FFFE74">
      <w:pPr>
        <w:spacing w:line="360" w:lineRule="auto"/>
        <w:jc w:val="center"/>
        <w:rPr>
          <w:rFonts w:ascii="宋体" w:hAnsi="宋体"/>
          <w:sz w:val="28"/>
          <w:szCs w:val="28"/>
        </w:rPr>
      </w:pPr>
      <w:r>
        <w:rPr>
          <w:rFonts w:hint="eastAsia" w:ascii="宋体" w:hAnsi="宋体"/>
          <w:sz w:val="28"/>
          <w:szCs w:val="28"/>
        </w:rPr>
        <w:t>第十</w:t>
      </w:r>
      <w:r>
        <w:rPr>
          <w:rFonts w:hint="eastAsia" w:ascii="宋体" w:hAnsi="宋体"/>
          <w:sz w:val="28"/>
          <w:szCs w:val="28"/>
          <w:lang w:val="en-US" w:eastAsia="zh-CN"/>
        </w:rPr>
        <w:t>一</w:t>
      </w:r>
      <w:r>
        <w:rPr>
          <w:rFonts w:hint="eastAsia" w:ascii="宋体" w:hAnsi="宋体"/>
          <w:sz w:val="28"/>
          <w:szCs w:val="28"/>
        </w:rPr>
        <w:t>章 亮点与增值服务</w:t>
      </w:r>
    </w:p>
    <w:p w14:paraId="29C443C3">
      <w:pPr>
        <w:spacing w:line="360" w:lineRule="auto"/>
        <w:rPr>
          <w:rFonts w:ascii="宋体" w:hAnsi="宋体"/>
          <w:b/>
          <w:sz w:val="24"/>
        </w:rPr>
      </w:pPr>
      <w:r>
        <w:rPr>
          <w:rFonts w:hint="eastAsia" w:ascii="宋体" w:hAnsi="宋体"/>
          <w:b/>
          <w:sz w:val="24"/>
        </w:rPr>
        <w:t>增值服务仅</w:t>
      </w:r>
      <w:r>
        <w:rPr>
          <w:rFonts w:hint="eastAsia" w:ascii="宋体" w:hAnsi="宋体"/>
          <w:b/>
          <w:sz w:val="24"/>
          <w:lang w:val="en-US" w:eastAsia="zh-CN"/>
        </w:rPr>
        <w:t>限于</w:t>
      </w:r>
      <w:r>
        <w:rPr>
          <w:rFonts w:hint="eastAsia" w:ascii="宋体" w:hAnsi="宋体"/>
          <w:b/>
          <w:sz w:val="24"/>
        </w:rPr>
        <w:t>场馆实际情况增设，不额外收取费用。</w:t>
      </w:r>
    </w:p>
    <w:p w14:paraId="001E38D0">
      <w:pPr>
        <w:spacing w:line="360" w:lineRule="auto"/>
        <w:rPr>
          <w:rFonts w:ascii="宋体" w:hAnsi="宋体"/>
          <w:sz w:val="24"/>
        </w:rPr>
      </w:pPr>
    </w:p>
    <w:p w14:paraId="14A29CA1">
      <w:pPr>
        <w:spacing w:line="360" w:lineRule="auto"/>
        <w:jc w:val="center"/>
        <w:rPr>
          <w:rFonts w:ascii="宋体" w:hAnsi="宋体"/>
          <w:sz w:val="28"/>
          <w:szCs w:val="28"/>
        </w:rPr>
      </w:pPr>
      <w:r>
        <w:rPr>
          <w:rFonts w:hint="eastAsia" w:ascii="宋体" w:hAnsi="宋体"/>
          <w:sz w:val="28"/>
          <w:szCs w:val="28"/>
        </w:rPr>
        <w:t>第十</w:t>
      </w:r>
      <w:r>
        <w:rPr>
          <w:rFonts w:hint="eastAsia" w:ascii="宋体" w:hAnsi="宋体"/>
          <w:sz w:val="28"/>
          <w:szCs w:val="28"/>
          <w:lang w:val="en-US" w:eastAsia="zh-CN"/>
        </w:rPr>
        <w:t>二</w:t>
      </w:r>
      <w:r>
        <w:rPr>
          <w:rFonts w:hint="eastAsia" w:ascii="宋体" w:hAnsi="宋体"/>
          <w:sz w:val="28"/>
          <w:szCs w:val="28"/>
        </w:rPr>
        <w:t>章 应急处置管理</w:t>
      </w:r>
    </w:p>
    <w:p w14:paraId="75DEF753">
      <w:pPr>
        <w:spacing w:line="360" w:lineRule="auto"/>
        <w:rPr>
          <w:rFonts w:ascii="宋体" w:hAnsi="宋体"/>
          <w:b/>
          <w:bCs/>
          <w:sz w:val="24"/>
        </w:rPr>
      </w:pPr>
      <w:r>
        <w:rPr>
          <w:rFonts w:hint="eastAsia" w:ascii="宋体" w:hAnsi="宋体"/>
          <w:b/>
          <w:bCs/>
          <w:sz w:val="24"/>
        </w:rPr>
        <w:t>1</w:t>
      </w:r>
      <w:r>
        <w:rPr>
          <w:rFonts w:hint="eastAsia" w:ascii="宋体" w:hAnsi="宋体"/>
          <w:b/>
          <w:bCs/>
          <w:sz w:val="24"/>
          <w:lang w:val="en-US" w:eastAsia="zh-CN"/>
        </w:rPr>
        <w:t>2</w:t>
      </w:r>
      <w:r>
        <w:rPr>
          <w:rFonts w:hint="eastAsia" w:ascii="宋体" w:hAnsi="宋体"/>
          <w:b/>
          <w:bCs/>
          <w:sz w:val="24"/>
        </w:rPr>
        <w:t>.1应急预案清单</w:t>
      </w:r>
    </w:p>
    <w:p w14:paraId="48E34879">
      <w:pPr>
        <w:spacing w:line="360" w:lineRule="auto"/>
        <w:ind w:firstLine="480" w:firstLineChars="200"/>
        <w:rPr>
          <w:rFonts w:ascii="宋体" w:hAnsi="宋体"/>
          <w:sz w:val="24"/>
        </w:rPr>
      </w:pPr>
      <w:r>
        <w:rPr>
          <w:rFonts w:hint="eastAsia" w:ascii="宋体" w:hAnsi="宋体"/>
          <w:sz w:val="24"/>
        </w:rPr>
        <w:t>物业须编制、演练全套预案：火灾应急疏散、大客流拥挤踩踏、青少年突发伤病、暴雨台风防汛、停电停水、反恐防暴、设备漏水、大型活动突发事件。</w:t>
      </w:r>
    </w:p>
    <w:p w14:paraId="0C03D177">
      <w:pPr>
        <w:spacing w:line="360" w:lineRule="auto"/>
        <w:rPr>
          <w:rFonts w:ascii="宋体" w:hAnsi="宋体"/>
          <w:b/>
          <w:bCs/>
          <w:sz w:val="24"/>
        </w:rPr>
      </w:pPr>
      <w:r>
        <w:rPr>
          <w:rFonts w:hint="eastAsia" w:ascii="宋体" w:hAnsi="宋体"/>
          <w:b/>
          <w:bCs/>
          <w:sz w:val="24"/>
        </w:rPr>
        <w:t>1</w:t>
      </w:r>
      <w:r>
        <w:rPr>
          <w:rFonts w:hint="eastAsia" w:ascii="宋体" w:hAnsi="宋体"/>
          <w:b/>
          <w:bCs/>
          <w:sz w:val="24"/>
          <w:lang w:val="en-US" w:eastAsia="zh-CN"/>
        </w:rPr>
        <w:t>2</w:t>
      </w:r>
      <w:r>
        <w:rPr>
          <w:rFonts w:hint="eastAsia" w:ascii="宋体" w:hAnsi="宋体"/>
          <w:b/>
          <w:bCs/>
          <w:sz w:val="24"/>
        </w:rPr>
        <w:t>.2应急工作机制</w:t>
      </w:r>
    </w:p>
    <w:p w14:paraId="6E5B767D">
      <w:pPr>
        <w:spacing w:line="360" w:lineRule="auto"/>
        <w:ind w:left="720" w:hanging="720" w:hangingChars="300"/>
        <w:rPr>
          <w:rFonts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.2.1突发事件第一时间人员到场，优先隔离风险、保障人员安全，即时上报市科艺中心；必要时拨打110、119、120。</w:t>
      </w:r>
    </w:p>
    <w:p w14:paraId="024E33ED">
      <w:pPr>
        <w:spacing w:line="360" w:lineRule="auto"/>
        <w:ind w:left="720" w:hanging="720" w:hangingChars="300"/>
        <w:rPr>
          <w:rFonts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.2.2综合演练（消防疏散、反恐防暴）</w:t>
      </w:r>
      <w:r>
        <w:rPr>
          <w:rFonts w:hint="eastAsia" w:ascii="宋体" w:hAnsi="宋体"/>
          <w:sz w:val="24"/>
          <w:lang w:val="en-US" w:eastAsia="zh-CN"/>
        </w:rPr>
        <w:t>等</w:t>
      </w:r>
      <w:r>
        <w:rPr>
          <w:rFonts w:hint="eastAsia" w:ascii="宋体" w:hAnsi="宋体"/>
          <w:sz w:val="24"/>
        </w:rPr>
        <w:t>。</w:t>
      </w:r>
    </w:p>
    <w:p w14:paraId="761B91F2">
      <w:pPr>
        <w:spacing w:line="360" w:lineRule="auto"/>
        <w:ind w:left="720" w:hanging="720" w:hangingChars="300"/>
        <w:rPr>
          <w:rFonts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.2.3应急物资定点存放（急救箱、防暴器材、防汛物资），建立台账，定期盘点补充。物业配合急救现场协助，不开展专业医疗处置。</w:t>
      </w:r>
    </w:p>
    <w:p w14:paraId="0A6836FF">
      <w:pPr>
        <w:spacing w:line="360" w:lineRule="auto"/>
        <w:ind w:left="720" w:hanging="720" w:hangingChars="300"/>
        <w:rPr>
          <w:rFonts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.2.4全部突发事件完整记录事件经过、处置措施、善后情况，形成事件处置报告报送甲方。</w:t>
      </w:r>
    </w:p>
    <w:p w14:paraId="5A80C844">
      <w:pPr>
        <w:spacing w:line="360" w:lineRule="auto"/>
        <w:rPr>
          <w:rFonts w:ascii="宋体" w:hAnsi="宋体"/>
          <w:sz w:val="24"/>
        </w:rPr>
      </w:pPr>
    </w:p>
    <w:p w14:paraId="6F710CA8">
      <w:pPr>
        <w:spacing w:line="360" w:lineRule="auto"/>
        <w:jc w:val="center"/>
        <w:rPr>
          <w:rFonts w:ascii="宋体" w:hAnsi="宋体"/>
          <w:b/>
          <w:bCs/>
          <w:sz w:val="24"/>
        </w:rPr>
      </w:pPr>
      <w:r>
        <w:rPr>
          <w:rFonts w:hint="eastAsia" w:ascii="宋体" w:hAnsi="宋体"/>
          <w:b/>
          <w:bCs/>
          <w:sz w:val="24"/>
        </w:rPr>
        <w:t>第十</w:t>
      </w:r>
      <w:r>
        <w:rPr>
          <w:rFonts w:hint="eastAsia" w:ascii="宋体" w:hAnsi="宋体"/>
          <w:b/>
          <w:bCs/>
          <w:sz w:val="24"/>
          <w:lang w:val="en-US" w:eastAsia="zh-CN"/>
        </w:rPr>
        <w:t>三</w:t>
      </w:r>
      <w:r>
        <w:rPr>
          <w:rFonts w:hint="eastAsia" w:ascii="宋体" w:hAnsi="宋体"/>
          <w:b/>
          <w:bCs/>
          <w:sz w:val="24"/>
        </w:rPr>
        <w:t>章 管理制度、台账与汇报机制</w:t>
      </w:r>
    </w:p>
    <w:p w14:paraId="4290A599">
      <w:pPr>
        <w:spacing w:line="360" w:lineRule="auto"/>
        <w:rPr>
          <w:rFonts w:hint="eastAsia" w:ascii="宋体" w:hAnsi="宋体"/>
          <w:b/>
          <w:bCs/>
          <w:sz w:val="24"/>
        </w:rPr>
      </w:pPr>
      <w:r>
        <w:rPr>
          <w:rFonts w:hint="eastAsia" w:ascii="宋体" w:hAnsi="宋体"/>
          <w:b/>
          <w:bCs/>
          <w:sz w:val="24"/>
        </w:rPr>
        <w:t>1</w:t>
      </w:r>
      <w:r>
        <w:rPr>
          <w:rFonts w:hint="eastAsia" w:ascii="宋体" w:hAnsi="宋体"/>
          <w:b/>
          <w:bCs/>
          <w:sz w:val="24"/>
          <w:lang w:val="en-US" w:eastAsia="zh-CN"/>
        </w:rPr>
        <w:t>3</w:t>
      </w:r>
      <w:r>
        <w:rPr>
          <w:rFonts w:hint="eastAsia" w:ascii="宋体" w:hAnsi="宋体"/>
          <w:b/>
          <w:bCs/>
          <w:sz w:val="24"/>
        </w:rPr>
        <w:t>.1管理制度</w:t>
      </w:r>
    </w:p>
    <w:p w14:paraId="632E0525">
      <w:pPr>
        <w:spacing w:line="360" w:lineRule="auto"/>
        <w:ind w:left="5" w:leftChars="0" w:firstLine="559" w:firstLineChars="233"/>
        <w:rPr>
          <w:rFonts w:hint="eastAsia" w:ascii="宋体" w:hAnsi="宋体" w:eastAsia="宋体"/>
          <w:b w:val="0"/>
          <w:bCs w:val="0"/>
          <w:sz w:val="24"/>
          <w:lang w:eastAsia="zh-CN"/>
        </w:rPr>
      </w:pPr>
      <w:r>
        <w:rPr>
          <w:rFonts w:hint="eastAsia" w:ascii="宋体" w:hAnsi="宋体"/>
          <w:b w:val="0"/>
          <w:bCs w:val="0"/>
          <w:sz w:val="24"/>
        </w:rPr>
        <w:t>对本项目建立完善制度，包括但不限于岗位责任制、交接班管理制度、安全保卫管理制度、保洁作业管理制度、保密制度等</w:t>
      </w:r>
      <w:r>
        <w:rPr>
          <w:rFonts w:hint="eastAsia" w:ascii="宋体" w:hAnsi="宋体"/>
          <w:b w:val="0"/>
          <w:bCs w:val="0"/>
          <w:sz w:val="24"/>
          <w:lang w:eastAsia="zh-CN"/>
        </w:rPr>
        <w:t>。</w:t>
      </w:r>
    </w:p>
    <w:p w14:paraId="52A5060C">
      <w:pPr>
        <w:spacing w:line="360" w:lineRule="auto"/>
        <w:rPr>
          <w:rFonts w:ascii="宋体" w:hAnsi="宋体"/>
          <w:b/>
          <w:bCs/>
          <w:sz w:val="24"/>
        </w:rPr>
      </w:pPr>
      <w:r>
        <w:rPr>
          <w:rFonts w:hint="eastAsia" w:ascii="宋体" w:hAnsi="宋体"/>
          <w:b/>
          <w:bCs/>
          <w:sz w:val="24"/>
        </w:rPr>
        <w:t>1</w:t>
      </w:r>
      <w:r>
        <w:rPr>
          <w:rFonts w:hint="eastAsia" w:ascii="宋体" w:hAnsi="宋体"/>
          <w:b/>
          <w:bCs/>
          <w:sz w:val="24"/>
          <w:lang w:val="en-US" w:eastAsia="zh-CN"/>
        </w:rPr>
        <w:t>3</w:t>
      </w:r>
      <w:r>
        <w:rPr>
          <w:rFonts w:hint="eastAsia" w:ascii="宋体" w:hAnsi="宋体"/>
          <w:b/>
          <w:bCs/>
          <w:sz w:val="24"/>
        </w:rPr>
        <w:t>.2台账资料</w:t>
      </w:r>
    </w:p>
    <w:p w14:paraId="3779176A">
      <w:pPr>
        <w:spacing w:line="360" w:lineRule="auto"/>
        <w:ind w:firstLine="480" w:firstLineChars="200"/>
        <w:rPr>
          <w:rFonts w:hint="eastAsia" w:ascii="宋体" w:hAnsi="宋体"/>
          <w:b/>
          <w:bCs/>
          <w:sz w:val="24"/>
        </w:rPr>
      </w:pPr>
      <w:r>
        <w:rPr>
          <w:rFonts w:hint="eastAsia" w:ascii="宋体" w:hAnsi="宋体"/>
          <w:sz w:val="24"/>
        </w:rPr>
        <w:t>各项台账记录需要完整留存，包括但不限于巡检记录、维修工单、安保巡逻、监控值班记录等记录。</w:t>
      </w:r>
    </w:p>
    <w:p w14:paraId="52A530AF">
      <w:pPr>
        <w:spacing w:line="360" w:lineRule="auto"/>
        <w:rPr>
          <w:rFonts w:ascii="宋体" w:hAnsi="宋体"/>
          <w:b/>
          <w:bCs/>
          <w:sz w:val="24"/>
        </w:rPr>
      </w:pPr>
      <w:r>
        <w:rPr>
          <w:rFonts w:hint="eastAsia" w:ascii="宋体" w:hAnsi="宋体"/>
          <w:b/>
          <w:bCs/>
          <w:sz w:val="24"/>
        </w:rPr>
        <w:t>1</w:t>
      </w:r>
      <w:r>
        <w:rPr>
          <w:rFonts w:hint="eastAsia" w:ascii="宋体" w:hAnsi="宋体"/>
          <w:b/>
          <w:bCs/>
          <w:sz w:val="24"/>
          <w:lang w:val="en-US" w:eastAsia="zh-CN"/>
        </w:rPr>
        <w:t>3</w:t>
      </w:r>
      <w:r>
        <w:rPr>
          <w:rFonts w:hint="eastAsia" w:ascii="宋体" w:hAnsi="宋体"/>
          <w:b/>
          <w:bCs/>
          <w:sz w:val="24"/>
        </w:rPr>
        <w:t>.3汇报机制</w:t>
      </w:r>
    </w:p>
    <w:p w14:paraId="5AE51EC8">
      <w:pPr>
        <w:spacing w:line="360" w:lineRule="auto"/>
        <w:ind w:firstLine="480" w:firstLineChars="200"/>
        <w:rPr>
          <w:rFonts w:hint="eastAsia" w:ascii="宋体" w:hAnsi="宋体" w:eastAsia="宋体"/>
          <w:sz w:val="24"/>
          <w:lang w:eastAsia="zh-CN"/>
        </w:rPr>
      </w:pPr>
      <w:r>
        <w:rPr>
          <w:rFonts w:hint="eastAsia" w:ascii="宋体" w:hAnsi="宋体"/>
          <w:sz w:val="24"/>
        </w:rPr>
        <w:t>包括但不限于月度报告制度，重大事件应即时上报，并接受甲方日常检查</w:t>
      </w:r>
      <w:r>
        <w:rPr>
          <w:rFonts w:hint="eastAsia" w:ascii="宋体" w:hAnsi="宋体"/>
          <w:sz w:val="24"/>
          <w:lang w:eastAsia="zh-CN"/>
        </w:rPr>
        <w:t>。</w:t>
      </w:r>
    </w:p>
    <w:p w14:paraId="342C3B3A">
      <w:pPr>
        <w:pStyle w:val="5"/>
      </w:pPr>
    </w:p>
    <w:p w14:paraId="22DAC130">
      <w:pPr>
        <w:spacing w:line="360" w:lineRule="auto"/>
        <w:jc w:val="center"/>
        <w:rPr>
          <w:rFonts w:ascii="宋体" w:hAnsi="宋体"/>
          <w:sz w:val="28"/>
          <w:szCs w:val="28"/>
        </w:rPr>
      </w:pPr>
      <w:r>
        <w:rPr>
          <w:rFonts w:hint="eastAsia" w:ascii="宋体" w:hAnsi="宋体"/>
          <w:sz w:val="28"/>
          <w:szCs w:val="28"/>
        </w:rPr>
        <w:t>第十</w:t>
      </w:r>
      <w:r>
        <w:rPr>
          <w:rFonts w:hint="eastAsia" w:ascii="宋体" w:hAnsi="宋体"/>
          <w:sz w:val="28"/>
          <w:szCs w:val="28"/>
          <w:lang w:val="en-US" w:eastAsia="zh-CN"/>
        </w:rPr>
        <w:t>四</w:t>
      </w:r>
      <w:r>
        <w:rPr>
          <w:rFonts w:hint="eastAsia" w:ascii="宋体" w:hAnsi="宋体"/>
          <w:sz w:val="28"/>
          <w:szCs w:val="28"/>
        </w:rPr>
        <w:t>章 人员培训管理</w:t>
      </w:r>
    </w:p>
    <w:p w14:paraId="3D3222CF">
      <w:pPr>
        <w:spacing w:line="360" w:lineRule="auto"/>
        <w:rPr>
          <w:rFonts w:ascii="宋体" w:hAnsi="宋体"/>
          <w:b/>
          <w:bCs/>
          <w:sz w:val="24"/>
        </w:rPr>
      </w:pPr>
      <w:r>
        <w:rPr>
          <w:rFonts w:hint="eastAsia" w:ascii="宋体" w:hAnsi="宋体"/>
          <w:b/>
          <w:bCs/>
          <w:sz w:val="24"/>
        </w:rPr>
        <w:t>1</w:t>
      </w:r>
      <w:r>
        <w:rPr>
          <w:rFonts w:hint="eastAsia" w:ascii="宋体" w:hAnsi="宋体"/>
          <w:b/>
          <w:bCs/>
          <w:sz w:val="24"/>
          <w:lang w:val="en-US" w:eastAsia="zh-CN"/>
        </w:rPr>
        <w:t>4</w:t>
      </w:r>
      <w:r>
        <w:rPr>
          <w:rFonts w:hint="eastAsia" w:ascii="宋体" w:hAnsi="宋体"/>
          <w:b/>
          <w:bCs/>
          <w:sz w:val="24"/>
        </w:rPr>
        <w:t>.1入职培训</w:t>
      </w:r>
    </w:p>
    <w:p w14:paraId="476E26E8">
      <w:pPr>
        <w:spacing w:line="360" w:lineRule="auto"/>
        <w:ind w:firstLine="480" w:firstLineChars="200"/>
        <w:rPr>
          <w:rFonts w:ascii="宋体" w:hAnsi="宋体"/>
          <w:sz w:val="24"/>
        </w:rPr>
      </w:pPr>
      <w:r>
        <w:rPr>
          <w:rFonts w:hint="eastAsia" w:ascii="宋体" w:hAnsi="宋体"/>
          <w:sz w:val="24"/>
        </w:rPr>
        <w:t>场馆概况、岗位职责、安全规范、服务礼仪、保密要求、基础应急处置</w:t>
      </w:r>
      <w:r>
        <w:rPr>
          <w:rFonts w:hint="eastAsia" w:ascii="宋体" w:hAnsi="宋体"/>
          <w:sz w:val="24"/>
          <w:lang w:val="en-US" w:eastAsia="zh-CN"/>
        </w:rPr>
        <w:t>等</w:t>
      </w:r>
      <w:r>
        <w:rPr>
          <w:rFonts w:hint="eastAsia" w:ascii="宋体" w:hAnsi="宋体"/>
          <w:sz w:val="24"/>
        </w:rPr>
        <w:t>。</w:t>
      </w:r>
    </w:p>
    <w:p w14:paraId="67D76599">
      <w:pPr>
        <w:spacing w:line="360" w:lineRule="auto"/>
        <w:rPr>
          <w:rFonts w:ascii="宋体" w:hAnsi="宋体"/>
          <w:b/>
          <w:bCs/>
          <w:sz w:val="24"/>
        </w:rPr>
      </w:pPr>
      <w:r>
        <w:rPr>
          <w:rFonts w:hint="eastAsia" w:ascii="宋体" w:hAnsi="宋体"/>
          <w:b/>
          <w:bCs/>
          <w:sz w:val="24"/>
        </w:rPr>
        <w:t>1</w:t>
      </w:r>
      <w:r>
        <w:rPr>
          <w:rFonts w:hint="eastAsia" w:ascii="宋体" w:hAnsi="宋体"/>
          <w:b/>
          <w:bCs/>
          <w:sz w:val="24"/>
          <w:lang w:val="en-US" w:eastAsia="zh-CN"/>
        </w:rPr>
        <w:t>4</w:t>
      </w:r>
      <w:r>
        <w:rPr>
          <w:rFonts w:hint="eastAsia" w:ascii="宋体" w:hAnsi="宋体"/>
          <w:b/>
          <w:bCs/>
          <w:sz w:val="24"/>
        </w:rPr>
        <w:t>.2常态化月度培训</w:t>
      </w:r>
    </w:p>
    <w:p w14:paraId="4D619E2F">
      <w:pPr>
        <w:spacing w:line="360" w:lineRule="auto"/>
        <w:ind w:firstLine="480" w:firstLineChars="200"/>
        <w:rPr>
          <w:rFonts w:ascii="宋体" w:hAnsi="宋体"/>
          <w:sz w:val="24"/>
        </w:rPr>
      </w:pPr>
      <w:r>
        <w:rPr>
          <w:rFonts w:hint="eastAsia" w:ascii="宋体" w:hAnsi="宋体"/>
          <w:sz w:val="24"/>
        </w:rPr>
        <w:t>安保</w:t>
      </w:r>
      <w:r>
        <w:rPr>
          <w:rFonts w:hint="eastAsia" w:ascii="宋体" w:hAnsi="宋体"/>
          <w:sz w:val="24"/>
          <w:lang w:eastAsia="zh-CN"/>
        </w:rPr>
        <w:t>、</w:t>
      </w:r>
      <w:r>
        <w:rPr>
          <w:rFonts w:hint="eastAsia" w:ascii="宋体" w:hAnsi="宋体"/>
          <w:sz w:val="24"/>
        </w:rPr>
        <w:t>保洁</w:t>
      </w:r>
      <w:r>
        <w:rPr>
          <w:rFonts w:hint="eastAsia" w:ascii="宋体" w:hAnsi="宋体"/>
          <w:sz w:val="24"/>
          <w:lang w:eastAsia="zh-CN"/>
        </w:rPr>
        <w:t>、</w:t>
      </w:r>
      <w:r>
        <w:rPr>
          <w:rFonts w:hint="eastAsia" w:ascii="宋体" w:hAnsi="宋体"/>
          <w:sz w:val="24"/>
        </w:rPr>
        <w:t>设备运维</w:t>
      </w:r>
      <w:r>
        <w:rPr>
          <w:rFonts w:hint="eastAsia" w:ascii="宋体" w:hAnsi="宋体"/>
          <w:sz w:val="24"/>
          <w:lang w:eastAsia="zh-CN"/>
        </w:rPr>
        <w:t>、</w:t>
      </w:r>
      <w:r>
        <w:rPr>
          <w:rFonts w:hint="eastAsia" w:ascii="宋体" w:hAnsi="宋体"/>
          <w:sz w:val="24"/>
        </w:rPr>
        <w:t>接待服务礼仪</w:t>
      </w:r>
      <w:r>
        <w:rPr>
          <w:rFonts w:hint="eastAsia" w:ascii="宋体" w:hAnsi="宋体"/>
          <w:sz w:val="24"/>
          <w:lang w:val="en-US" w:eastAsia="zh-CN"/>
        </w:rPr>
        <w:t>等培训</w:t>
      </w:r>
      <w:r>
        <w:rPr>
          <w:rFonts w:hint="eastAsia" w:ascii="宋体" w:hAnsi="宋体"/>
          <w:sz w:val="24"/>
        </w:rPr>
        <w:t>。</w:t>
      </w:r>
    </w:p>
    <w:p w14:paraId="34FE57BA">
      <w:pPr>
        <w:spacing w:line="360" w:lineRule="auto"/>
        <w:rPr>
          <w:rFonts w:ascii="宋体" w:hAnsi="宋体"/>
          <w:b/>
          <w:bCs/>
          <w:sz w:val="24"/>
        </w:rPr>
      </w:pPr>
      <w:r>
        <w:rPr>
          <w:rFonts w:hint="eastAsia" w:ascii="宋体" w:hAnsi="宋体"/>
          <w:b/>
          <w:bCs/>
          <w:sz w:val="24"/>
        </w:rPr>
        <w:t>1</w:t>
      </w:r>
      <w:r>
        <w:rPr>
          <w:rFonts w:hint="eastAsia" w:ascii="宋体" w:hAnsi="宋体"/>
          <w:b/>
          <w:bCs/>
          <w:sz w:val="24"/>
          <w:lang w:val="en-US" w:eastAsia="zh-CN"/>
        </w:rPr>
        <w:t>4</w:t>
      </w:r>
      <w:r>
        <w:rPr>
          <w:rFonts w:hint="eastAsia" w:ascii="宋体" w:hAnsi="宋体"/>
          <w:b/>
          <w:bCs/>
          <w:sz w:val="24"/>
        </w:rPr>
        <w:t>.3专项培训</w:t>
      </w:r>
    </w:p>
    <w:p w14:paraId="1C784E91">
      <w:pPr>
        <w:spacing w:line="360" w:lineRule="auto"/>
        <w:ind w:firstLine="480" w:firstLineChars="200"/>
        <w:rPr>
          <w:rFonts w:ascii="宋体" w:hAnsi="宋体"/>
          <w:sz w:val="24"/>
          <w:highlight w:val="none"/>
        </w:rPr>
      </w:pPr>
      <w:r>
        <w:rPr>
          <w:rFonts w:hint="eastAsia" w:ascii="宋体" w:hAnsi="宋体"/>
          <w:sz w:val="24"/>
          <w:highlight w:val="none"/>
          <w:lang w:val="en-US" w:eastAsia="zh-CN"/>
        </w:rPr>
        <w:t>供应商或委托第三方提供应急急救培训（含AED培训）等</w:t>
      </w:r>
      <w:r>
        <w:rPr>
          <w:rFonts w:hint="eastAsia" w:ascii="宋体" w:hAnsi="宋体"/>
          <w:sz w:val="24"/>
          <w:highlight w:val="none"/>
        </w:rPr>
        <w:t>。</w:t>
      </w:r>
    </w:p>
    <w:p w14:paraId="4E6ADBE7">
      <w:pPr>
        <w:spacing w:line="360" w:lineRule="auto"/>
        <w:rPr>
          <w:rFonts w:ascii="宋体" w:hAnsi="宋体"/>
          <w:b/>
          <w:bCs/>
          <w:sz w:val="24"/>
          <w:highlight w:val="none"/>
        </w:rPr>
      </w:pPr>
      <w:r>
        <w:rPr>
          <w:rFonts w:hint="eastAsia" w:ascii="宋体" w:hAnsi="宋体"/>
          <w:b/>
          <w:bCs/>
          <w:sz w:val="24"/>
          <w:highlight w:val="none"/>
        </w:rPr>
        <w:t>1</w:t>
      </w:r>
      <w:r>
        <w:rPr>
          <w:rFonts w:hint="eastAsia" w:ascii="宋体" w:hAnsi="宋体"/>
          <w:b/>
          <w:bCs/>
          <w:sz w:val="24"/>
          <w:highlight w:val="none"/>
          <w:lang w:eastAsia="zh-CN"/>
        </w:rPr>
        <w:t>4</w:t>
      </w:r>
      <w:r>
        <w:rPr>
          <w:rFonts w:hint="eastAsia" w:ascii="宋体" w:hAnsi="宋体"/>
          <w:b/>
          <w:bCs/>
          <w:sz w:val="24"/>
          <w:highlight w:val="none"/>
        </w:rPr>
        <w:t>.4特种岗位人员必须持证上岗</w:t>
      </w:r>
    </w:p>
    <w:p w14:paraId="748314D7">
      <w:pPr>
        <w:spacing w:line="360" w:lineRule="auto"/>
        <w:ind w:firstLine="480" w:firstLineChars="200"/>
        <w:rPr>
          <w:rFonts w:ascii="宋体" w:hAnsi="宋体"/>
          <w:sz w:val="24"/>
          <w:highlight w:val="none"/>
        </w:rPr>
      </w:pPr>
      <w:r>
        <w:rPr>
          <w:rFonts w:hint="eastAsia" w:ascii="宋体" w:hAnsi="宋体"/>
          <w:sz w:val="24"/>
          <w:highlight w:val="none"/>
        </w:rPr>
        <w:t>电工、消控操作员、特种设备安全管理员证（A 证</w:t>
      </w:r>
      <w:r>
        <w:rPr>
          <w:rFonts w:hint="eastAsia" w:ascii="宋体" w:hAnsi="宋体"/>
          <w:sz w:val="24"/>
          <w:highlight w:val="none"/>
          <w:lang w:eastAsia="zh-CN"/>
        </w:rPr>
        <w:t>）</w:t>
      </w:r>
      <w:r>
        <w:rPr>
          <w:rFonts w:hint="eastAsia" w:ascii="宋体" w:hAnsi="宋体"/>
          <w:sz w:val="24"/>
          <w:highlight w:val="none"/>
        </w:rPr>
        <w:t>，证书在有效期。</w:t>
      </w:r>
    </w:p>
    <w:p w14:paraId="5DEE5DDD">
      <w:pPr>
        <w:pStyle w:val="5"/>
        <w:rPr>
          <w:highlight w:val="none"/>
        </w:rPr>
      </w:pPr>
    </w:p>
    <w:p w14:paraId="63C379D5">
      <w:pPr>
        <w:spacing w:line="360" w:lineRule="auto"/>
        <w:jc w:val="center"/>
        <w:rPr>
          <w:rFonts w:ascii="宋体" w:hAnsi="宋体"/>
          <w:sz w:val="28"/>
          <w:szCs w:val="28"/>
          <w:highlight w:val="none"/>
        </w:rPr>
      </w:pPr>
      <w:r>
        <w:rPr>
          <w:rFonts w:hint="eastAsia" w:ascii="宋体" w:hAnsi="宋体"/>
          <w:sz w:val="28"/>
          <w:szCs w:val="28"/>
          <w:highlight w:val="none"/>
        </w:rPr>
        <w:t>第十</w:t>
      </w:r>
      <w:r>
        <w:rPr>
          <w:rFonts w:hint="eastAsia" w:ascii="宋体" w:hAnsi="宋体"/>
          <w:sz w:val="28"/>
          <w:szCs w:val="28"/>
          <w:highlight w:val="none"/>
          <w:lang w:val="en-US" w:eastAsia="zh-CN"/>
        </w:rPr>
        <w:t>五</w:t>
      </w:r>
      <w:r>
        <w:rPr>
          <w:rFonts w:hint="eastAsia" w:ascii="宋体" w:hAnsi="宋体"/>
          <w:sz w:val="28"/>
          <w:szCs w:val="28"/>
          <w:highlight w:val="none"/>
        </w:rPr>
        <w:t>章 考核与服务质量改进</w:t>
      </w:r>
    </w:p>
    <w:p w14:paraId="5D25D8CA">
      <w:pPr>
        <w:spacing w:line="360" w:lineRule="auto"/>
        <w:ind w:left="480" w:hanging="480" w:hangingChars="200"/>
        <w:rPr>
          <w:rFonts w:ascii="宋体" w:hAnsi="宋体"/>
          <w:sz w:val="24"/>
          <w:highlight w:val="none"/>
        </w:rPr>
      </w:pPr>
      <w:r>
        <w:rPr>
          <w:rFonts w:hint="eastAsia" w:ascii="宋体" w:hAnsi="宋体"/>
          <w:sz w:val="24"/>
          <w:highlight w:val="none"/>
        </w:rPr>
        <w:t>1</w:t>
      </w:r>
      <w:r>
        <w:rPr>
          <w:rFonts w:hint="eastAsia" w:ascii="宋体" w:hAnsi="宋体"/>
          <w:sz w:val="24"/>
          <w:highlight w:val="none"/>
          <w:lang w:eastAsia="zh-CN"/>
        </w:rPr>
        <w:t>5</w:t>
      </w:r>
      <w:r>
        <w:rPr>
          <w:rFonts w:hint="eastAsia" w:ascii="宋体" w:hAnsi="宋体"/>
          <w:sz w:val="24"/>
          <w:highlight w:val="none"/>
        </w:rPr>
        <w:t>.1接受市科艺中心的</w:t>
      </w:r>
      <w:r>
        <w:rPr>
          <w:rFonts w:hint="eastAsia" w:ascii="宋体" w:hAnsi="宋体"/>
          <w:sz w:val="24"/>
          <w:highlight w:val="none"/>
          <w:lang w:val="en-US" w:eastAsia="zh-CN"/>
        </w:rPr>
        <w:t>相关</w:t>
      </w:r>
      <w:r>
        <w:rPr>
          <w:rFonts w:hint="eastAsia" w:ascii="宋体" w:hAnsi="宋体"/>
          <w:sz w:val="24"/>
          <w:highlight w:val="none"/>
        </w:rPr>
        <w:t>考核，考核维度分为：安全管理、设施运维、接待服务、赛场活动保障、保洁绿化</w:t>
      </w:r>
      <w:r>
        <w:rPr>
          <w:rFonts w:hint="eastAsia" w:ascii="宋体" w:hAnsi="宋体"/>
          <w:sz w:val="24"/>
          <w:highlight w:val="none"/>
          <w:lang w:val="en-US" w:eastAsia="zh-CN"/>
        </w:rPr>
        <w:t>等</w:t>
      </w:r>
      <w:r>
        <w:rPr>
          <w:rFonts w:hint="eastAsia" w:ascii="宋体" w:hAnsi="宋体"/>
          <w:sz w:val="24"/>
          <w:highlight w:val="none"/>
        </w:rPr>
        <w:t>。</w:t>
      </w:r>
      <w:r>
        <w:rPr>
          <w:rFonts w:hint="eastAsia" w:ascii="宋体" w:hAnsi="宋体"/>
          <w:sz w:val="24"/>
          <w:highlight w:val="none"/>
          <w:lang w:eastAsia="zh-CN"/>
        </w:rPr>
        <w:t>视考核情况</w:t>
      </w:r>
      <w:r>
        <w:rPr>
          <w:rFonts w:hint="eastAsia" w:ascii="宋体" w:hAnsi="宋体"/>
          <w:sz w:val="24"/>
          <w:highlight w:val="none"/>
        </w:rPr>
        <w:t>支付服务费（根据合同条款实施）</w:t>
      </w:r>
    </w:p>
    <w:p w14:paraId="0FFA9341">
      <w:pPr>
        <w:spacing w:line="360" w:lineRule="auto"/>
        <w:rPr>
          <w:rFonts w:ascii="宋体" w:hAnsi="宋体"/>
          <w:sz w:val="24"/>
        </w:rPr>
      </w:pPr>
      <w:r>
        <w:rPr>
          <w:rFonts w:hint="eastAsia" w:ascii="宋体" w:hAnsi="宋体"/>
          <w:sz w:val="24"/>
        </w:rPr>
        <w:t>1</w:t>
      </w:r>
      <w:r>
        <w:rPr>
          <w:rFonts w:hint="eastAsia" w:ascii="宋体" w:hAnsi="宋体"/>
          <w:sz w:val="24"/>
          <w:lang w:val="en-US" w:eastAsia="zh-CN"/>
        </w:rPr>
        <w:t>5</w:t>
      </w:r>
      <w:r>
        <w:rPr>
          <w:rFonts w:hint="eastAsia" w:ascii="宋体" w:hAnsi="宋体"/>
          <w:sz w:val="24"/>
        </w:rPr>
        <w:t>.2建立内部自查机制，物业项目负责人每日巡查各岗位，发现问题及时整改。</w:t>
      </w:r>
    </w:p>
    <w:p w14:paraId="1AEFDE3C">
      <w:pPr>
        <w:spacing w:line="360" w:lineRule="auto"/>
        <w:ind w:left="479" w:leftChars="228"/>
        <w:rPr>
          <w:rFonts w:ascii="宋体" w:hAnsi="宋体"/>
          <w:sz w:val="24"/>
        </w:rPr>
      </w:pPr>
      <w:r>
        <w:rPr>
          <w:rFonts w:hint="eastAsia" w:ascii="宋体" w:hAnsi="宋体"/>
          <w:sz w:val="24"/>
        </w:rPr>
        <w:t>收集访客、师生、市科艺中心各部门的服务意见，建立意见台账，持续优化作业流程。</w:t>
      </w:r>
    </w:p>
    <w:p w14:paraId="7F2D716B">
      <w:pPr>
        <w:spacing w:line="360" w:lineRule="auto"/>
        <w:rPr>
          <w:rFonts w:ascii="宋体" w:hAnsi="宋体"/>
          <w:sz w:val="24"/>
        </w:rPr>
      </w:pPr>
      <w:r>
        <w:rPr>
          <w:rFonts w:hint="eastAsia" w:ascii="宋体" w:hAnsi="宋体"/>
          <w:sz w:val="24"/>
        </w:rPr>
        <w:t>1</w:t>
      </w:r>
      <w:r>
        <w:rPr>
          <w:rFonts w:hint="eastAsia" w:ascii="宋体" w:hAnsi="宋体"/>
          <w:sz w:val="24"/>
          <w:lang w:val="en-US" w:eastAsia="zh-CN"/>
        </w:rPr>
        <w:t>5</w:t>
      </w:r>
      <w:r>
        <w:rPr>
          <w:rFonts w:hint="eastAsia" w:ascii="宋体" w:hAnsi="宋体"/>
          <w:sz w:val="24"/>
        </w:rPr>
        <w:t>.3发生重大安全责任事故、严重服务失误，按照合同约定承担相应责任。</w:t>
      </w:r>
    </w:p>
    <w:p w14:paraId="7BFC9D6E"/>
    <w:p w14:paraId="58C94A73">
      <w:pPr>
        <w:numPr>
          <w:ilvl w:val="-1"/>
          <w:numId w:val="0"/>
        </w:numPr>
        <w:spacing w:line="360" w:lineRule="auto"/>
        <w:jc w:val="center"/>
        <w:rPr>
          <w:rFonts w:ascii="宋体" w:hAnsi="宋体"/>
          <w:sz w:val="28"/>
          <w:szCs w:val="28"/>
        </w:rPr>
      </w:pPr>
      <w:r>
        <w:rPr>
          <w:rFonts w:hint="eastAsia" w:ascii="宋体" w:hAnsi="宋体"/>
          <w:sz w:val="28"/>
          <w:szCs w:val="28"/>
          <w:lang w:val="en-US" w:eastAsia="zh-CN"/>
        </w:rPr>
        <w:t xml:space="preserve">第十六章 </w:t>
      </w:r>
      <w:r>
        <w:rPr>
          <w:rFonts w:hint="eastAsia" w:ascii="宋体" w:hAnsi="宋体"/>
          <w:sz w:val="28"/>
          <w:szCs w:val="28"/>
        </w:rPr>
        <w:t>其他</w:t>
      </w:r>
    </w:p>
    <w:p w14:paraId="5AB92C9F">
      <w:pPr>
        <w:spacing w:line="360" w:lineRule="auto"/>
        <w:ind w:left="480" w:hanging="480" w:hangingChars="200"/>
        <w:rPr>
          <w:rFonts w:ascii="宋体" w:hAnsi="宋体"/>
          <w:sz w:val="24"/>
        </w:rPr>
      </w:pPr>
      <w:r>
        <w:rPr>
          <w:rFonts w:hint="eastAsia" w:ascii="宋体" w:hAnsi="宋体"/>
          <w:sz w:val="24"/>
        </w:rPr>
        <w:t>1</w:t>
      </w:r>
      <w:r>
        <w:rPr>
          <w:rFonts w:hint="eastAsia" w:ascii="宋体" w:hAnsi="宋体"/>
          <w:sz w:val="24"/>
          <w:lang w:val="en-US" w:eastAsia="zh-CN"/>
        </w:rPr>
        <w:t>6</w:t>
      </w:r>
      <w:r>
        <w:rPr>
          <w:rFonts w:hint="eastAsia" w:ascii="宋体" w:hAnsi="宋体"/>
          <w:sz w:val="24"/>
        </w:rPr>
        <w:t>.1服务要求：应保障物业正常使用，提升物业环境，维护物业使用人合法权益，符合现行法规和行业标准。</w:t>
      </w:r>
    </w:p>
    <w:p w14:paraId="0642F00E">
      <w:pPr>
        <w:spacing w:line="360" w:lineRule="auto"/>
        <w:ind w:left="480" w:hanging="480" w:hangingChars="200"/>
        <w:rPr>
          <w:rFonts w:ascii="宋体" w:hAnsi="宋体"/>
          <w:sz w:val="24"/>
        </w:rPr>
      </w:pPr>
      <w:r>
        <w:rPr>
          <w:rFonts w:hint="eastAsia" w:ascii="宋体" w:hAnsi="宋体"/>
          <w:sz w:val="24"/>
        </w:rPr>
        <w:t>1</w:t>
      </w:r>
      <w:r>
        <w:rPr>
          <w:rFonts w:hint="eastAsia" w:ascii="宋体" w:hAnsi="宋体"/>
          <w:sz w:val="24"/>
          <w:lang w:val="en-US" w:eastAsia="zh-CN"/>
        </w:rPr>
        <w:t>6</w:t>
      </w:r>
      <w:r>
        <w:rPr>
          <w:rFonts w:hint="eastAsia" w:ascii="宋体" w:hAnsi="宋体"/>
          <w:sz w:val="24"/>
        </w:rPr>
        <w:t>.2付款要求：共分三期支付。第一期于合同签订后10个工作日内支付25%，第二期于试运行开馆后10个工作日内支付65%，第三期于试运行结束前一个月，采购人根据合同规定的标准对中标单位的服务情况进行考核，视考核情况支付剩余尾款。</w:t>
      </w:r>
    </w:p>
    <w:p w14:paraId="54AF8679">
      <w:pPr>
        <w:spacing w:line="360" w:lineRule="auto"/>
        <w:ind w:left="480" w:hanging="480" w:hangingChars="200"/>
        <w:rPr>
          <w:rFonts w:hint="eastAsia" w:ascii="宋体" w:hAnsi="宋体"/>
          <w:sz w:val="24"/>
        </w:rPr>
      </w:pPr>
      <w:r>
        <w:rPr>
          <w:rFonts w:hint="eastAsia" w:ascii="宋体" w:hAnsi="宋体"/>
          <w:sz w:val="24"/>
        </w:rPr>
        <w:t>1</w:t>
      </w:r>
      <w:r>
        <w:rPr>
          <w:rFonts w:hint="eastAsia" w:ascii="宋体" w:hAnsi="宋体"/>
          <w:sz w:val="24"/>
          <w:lang w:val="en-US" w:eastAsia="zh-CN"/>
        </w:rPr>
        <w:t>6</w:t>
      </w:r>
      <w:r>
        <w:rPr>
          <w:rFonts w:hint="eastAsia" w:ascii="宋体" w:hAnsi="宋体"/>
          <w:sz w:val="24"/>
        </w:rPr>
        <w:t>.3★条款设置：本项目物业管理及服务人员数量不得少于85人。</w:t>
      </w:r>
    </w:p>
    <w:p w14:paraId="4DD885DE">
      <w:pPr>
        <w:spacing w:line="360" w:lineRule="auto"/>
        <w:ind w:left="480" w:hanging="480" w:hangingChars="200"/>
        <w:rPr>
          <w:rFonts w:ascii="宋体" w:hAnsi="宋体"/>
          <w:sz w:val="24"/>
        </w:rPr>
      </w:pPr>
      <w:r>
        <w:rPr>
          <w:rFonts w:hint="eastAsia" w:ascii="宋体" w:hAnsi="宋体"/>
          <w:sz w:val="24"/>
          <w:lang w:val="en-US" w:eastAsia="zh-CN"/>
        </w:rPr>
        <w:t xml:space="preserve">16.4 </w:t>
      </w:r>
      <w:r>
        <w:rPr>
          <w:rFonts w:hint="eastAsia" w:ascii="宋体" w:hAnsi="宋体"/>
          <w:sz w:val="24"/>
        </w:rPr>
        <w:t>投标人</w:t>
      </w:r>
      <w:r>
        <w:rPr>
          <w:rFonts w:hint="eastAsia" w:ascii="宋体" w:hAnsi="宋体"/>
          <w:sz w:val="24"/>
          <w:lang w:eastAsia="zh-CN"/>
        </w:rPr>
        <w:t>近三年内</w:t>
      </w:r>
      <w:r>
        <w:rPr>
          <w:rFonts w:hint="eastAsia" w:ascii="宋体" w:hAnsi="宋体"/>
          <w:sz w:val="24"/>
        </w:rPr>
        <w:t>具有服务过青少年科创教育类、展馆类、文博类</w:t>
      </w:r>
      <w:r>
        <w:rPr>
          <w:rFonts w:hint="eastAsia" w:ascii="宋体" w:hAnsi="宋体"/>
          <w:sz w:val="24"/>
          <w:lang w:eastAsia="zh-CN"/>
        </w:rPr>
        <w:t>物业</w:t>
      </w:r>
      <w:r>
        <w:rPr>
          <w:rFonts w:hint="eastAsia" w:ascii="宋体" w:hAnsi="宋体"/>
          <w:sz w:val="24"/>
        </w:rPr>
        <w:t>管理经验</w:t>
      </w:r>
      <w:r>
        <w:rPr>
          <w:rFonts w:hint="eastAsia" w:ascii="宋体" w:hAnsi="宋体"/>
          <w:sz w:val="24"/>
          <w:lang w:eastAsia="zh-CN"/>
        </w:rPr>
        <w:t>的优先考虑</w:t>
      </w:r>
      <w:r>
        <w:rPr>
          <w:rFonts w:hint="eastAsia" w:ascii="宋体" w:hAnsi="宋体"/>
          <w:sz w:val="24"/>
        </w:rPr>
        <w:t>。</w:t>
      </w:r>
    </w:p>
    <w:p w14:paraId="5B3431F2">
      <w:pPr>
        <w:spacing w:line="360" w:lineRule="auto"/>
        <w:ind w:left="480" w:hanging="480" w:hangingChars="200"/>
        <w:rPr>
          <w:rFonts w:ascii="宋体" w:hAnsi="宋体"/>
          <w:sz w:val="24"/>
        </w:rPr>
      </w:pPr>
      <w:r>
        <w:rPr>
          <w:rFonts w:hint="eastAsia" w:ascii="宋体" w:hAnsi="宋体"/>
          <w:sz w:val="24"/>
        </w:rPr>
        <w:t>1</w:t>
      </w:r>
      <w:r>
        <w:rPr>
          <w:rFonts w:hint="eastAsia" w:ascii="宋体" w:hAnsi="宋体"/>
          <w:sz w:val="24"/>
          <w:lang w:val="en-US" w:eastAsia="zh-CN"/>
        </w:rPr>
        <w:t>6</w:t>
      </w:r>
      <w:r>
        <w:rPr>
          <w:rFonts w:hint="eastAsia" w:ascii="宋体" w:hAnsi="宋体"/>
          <w:sz w:val="24"/>
        </w:rPr>
        <w:t>.</w:t>
      </w:r>
      <w:r>
        <w:rPr>
          <w:rFonts w:hint="eastAsia" w:ascii="宋体" w:hAnsi="宋体"/>
          <w:sz w:val="24"/>
          <w:lang w:val="en-US" w:eastAsia="zh-CN"/>
        </w:rPr>
        <w:t>5</w:t>
      </w:r>
      <w:bookmarkStart w:id="0" w:name="_GoBack"/>
      <w:bookmarkEnd w:id="0"/>
      <w:r>
        <w:rPr>
          <w:rFonts w:hint="eastAsia" w:ascii="宋体" w:hAnsi="宋体"/>
          <w:sz w:val="24"/>
        </w:rPr>
        <w:t>考核标准：</w:t>
      </w:r>
    </w:p>
    <w:tbl>
      <w:tblPr>
        <w:tblStyle w:val="9"/>
        <w:tblW w:w="9608"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72"/>
        <w:gridCol w:w="886"/>
        <w:gridCol w:w="1461"/>
        <w:gridCol w:w="3389"/>
        <w:gridCol w:w="695"/>
        <w:gridCol w:w="2112"/>
        <w:gridCol w:w="493"/>
      </w:tblGrid>
      <w:tr w14:paraId="29752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blHeader/>
          <w:jc w:val="right"/>
        </w:trPr>
        <w:tc>
          <w:tcPr>
            <w:tcW w:w="572" w:type="dxa"/>
            <w:noWrap/>
            <w:vAlign w:val="center"/>
          </w:tcPr>
          <w:p w14:paraId="61282715">
            <w:pPr>
              <w:jc w:val="center"/>
              <w:rPr>
                <w:rFonts w:ascii="宋体" w:hAnsi="宋体"/>
                <w:b/>
                <w:bCs/>
                <w:color w:val="000000" w:themeColor="text1"/>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序号</w:t>
            </w:r>
          </w:p>
        </w:tc>
        <w:tc>
          <w:tcPr>
            <w:tcW w:w="886" w:type="dxa"/>
            <w:noWrap/>
            <w:vAlign w:val="center"/>
          </w:tcPr>
          <w:p w14:paraId="5C704345">
            <w:pPr>
              <w:jc w:val="center"/>
              <w:rPr>
                <w:rFonts w:ascii="宋体" w:hAnsi="宋体"/>
                <w:b/>
                <w:bCs/>
                <w:color w:val="000000" w:themeColor="text1"/>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项目</w:t>
            </w:r>
          </w:p>
        </w:tc>
        <w:tc>
          <w:tcPr>
            <w:tcW w:w="1461" w:type="dxa"/>
            <w:noWrap/>
            <w:vAlign w:val="center"/>
          </w:tcPr>
          <w:p w14:paraId="59D18475">
            <w:pPr>
              <w:jc w:val="center"/>
              <w:rPr>
                <w:rFonts w:ascii="宋体" w:hAnsi="宋体"/>
                <w:b/>
                <w:bCs/>
                <w:color w:val="000000" w:themeColor="text1"/>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考核要求</w:t>
            </w:r>
          </w:p>
        </w:tc>
        <w:tc>
          <w:tcPr>
            <w:tcW w:w="3389" w:type="dxa"/>
            <w:vAlign w:val="center"/>
          </w:tcPr>
          <w:p w14:paraId="55D366E7">
            <w:pPr>
              <w:jc w:val="center"/>
              <w:rPr>
                <w:rFonts w:ascii="宋体" w:hAnsi="宋体"/>
                <w:b/>
                <w:bCs/>
                <w:color w:val="000000" w:themeColor="text1"/>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考核内容</w:t>
            </w:r>
          </w:p>
        </w:tc>
        <w:tc>
          <w:tcPr>
            <w:tcW w:w="695" w:type="dxa"/>
            <w:noWrap/>
            <w:vAlign w:val="center"/>
          </w:tcPr>
          <w:p w14:paraId="2A1F8310">
            <w:pPr>
              <w:jc w:val="center"/>
              <w:rPr>
                <w:rFonts w:ascii="宋体" w:hAnsi="宋体"/>
                <w:b/>
                <w:bCs/>
                <w:color w:val="000000" w:themeColor="text1"/>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分值</w:t>
            </w:r>
          </w:p>
        </w:tc>
        <w:tc>
          <w:tcPr>
            <w:tcW w:w="2112" w:type="dxa"/>
            <w:noWrap/>
            <w:vAlign w:val="center"/>
          </w:tcPr>
          <w:p w14:paraId="15F3B9CF">
            <w:pPr>
              <w:jc w:val="center"/>
              <w:rPr>
                <w:rFonts w:ascii="宋体" w:hAnsi="宋体"/>
                <w:b/>
                <w:bCs/>
                <w:color w:val="000000" w:themeColor="text1"/>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评分细则</w:t>
            </w:r>
          </w:p>
        </w:tc>
        <w:tc>
          <w:tcPr>
            <w:tcW w:w="493" w:type="dxa"/>
            <w:noWrap/>
            <w:vAlign w:val="center"/>
          </w:tcPr>
          <w:p w14:paraId="422BE821">
            <w:pPr>
              <w:jc w:val="center"/>
              <w:rPr>
                <w:rFonts w:ascii="宋体" w:hAnsi="宋体"/>
                <w:b/>
                <w:bCs/>
                <w:color w:val="000000" w:themeColor="text1"/>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评分</w:t>
            </w:r>
          </w:p>
        </w:tc>
      </w:tr>
      <w:tr w14:paraId="19D88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restart"/>
            <w:vAlign w:val="center"/>
          </w:tcPr>
          <w:p w14:paraId="0D8346CD">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一</w:t>
            </w:r>
          </w:p>
        </w:tc>
        <w:tc>
          <w:tcPr>
            <w:tcW w:w="886" w:type="dxa"/>
            <w:vMerge w:val="restart"/>
            <w:vAlign w:val="center"/>
          </w:tcPr>
          <w:p w14:paraId="003FD8FB">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安全管理</w:t>
            </w:r>
            <w:r>
              <w:rPr>
                <w:rFonts w:hint="eastAsia" w:ascii="宋体" w:hAnsi="宋体"/>
                <w:color w:val="000000" w:themeColor="text1"/>
                <w:szCs w:val="21"/>
                <w14:textFill>
                  <w14:solidFill>
                    <w14:schemeClr w14:val="tx1"/>
                  </w14:solidFill>
                </w14:textFill>
              </w:rPr>
              <w:br w:type="textWrapping"/>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26</w:t>
            </w:r>
            <w:r>
              <w:rPr>
                <w:rFonts w:hint="eastAsia" w:ascii="宋体" w:hAnsi="宋体"/>
                <w:color w:val="000000" w:themeColor="text1"/>
                <w:szCs w:val="21"/>
                <w14:textFill>
                  <w14:solidFill>
                    <w14:schemeClr w14:val="tx1"/>
                  </w14:solidFill>
                </w14:textFill>
              </w:rPr>
              <w:t>分)</w:t>
            </w:r>
          </w:p>
        </w:tc>
        <w:tc>
          <w:tcPr>
            <w:tcW w:w="1461" w:type="dxa"/>
            <w:vMerge w:val="restart"/>
            <w:vAlign w:val="center"/>
          </w:tcPr>
          <w:p w14:paraId="2C73B2A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遵守项目各项安全管理规定，杜绝因自身责任原因造成安全责任事故及治安责任事件</w:t>
            </w:r>
          </w:p>
        </w:tc>
        <w:tc>
          <w:tcPr>
            <w:tcW w:w="3389" w:type="dxa"/>
            <w:vAlign w:val="center"/>
          </w:tcPr>
          <w:p w14:paraId="6D98B31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无安全责任事故</w:t>
            </w:r>
          </w:p>
        </w:tc>
        <w:tc>
          <w:tcPr>
            <w:tcW w:w="695" w:type="dxa"/>
            <w:noWrap/>
            <w:vAlign w:val="center"/>
          </w:tcPr>
          <w:p w14:paraId="161B5119">
            <w:pPr>
              <w:jc w:val="center"/>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4</w:t>
            </w:r>
          </w:p>
        </w:tc>
        <w:tc>
          <w:tcPr>
            <w:tcW w:w="2112" w:type="dxa"/>
            <w:vAlign w:val="center"/>
          </w:tcPr>
          <w:p w14:paraId="3102FA8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每发生一起扣</w:t>
            </w:r>
            <w:r>
              <w:rPr>
                <w:rFonts w:hint="eastAsia" w:ascii="宋体" w:hAnsi="宋体"/>
                <w:color w:val="000000" w:themeColor="text1"/>
                <w:szCs w:val="21"/>
                <w:lang w:val="en-US" w:eastAsia="zh-CN"/>
                <w14:textFill>
                  <w14:solidFill>
                    <w14:schemeClr w14:val="tx1"/>
                  </w14:solidFill>
                </w14:textFill>
              </w:rPr>
              <w:t>4</w:t>
            </w:r>
            <w:r>
              <w:rPr>
                <w:rFonts w:hint="eastAsia" w:ascii="宋体" w:hAnsi="宋体"/>
                <w:color w:val="000000" w:themeColor="text1"/>
                <w:szCs w:val="21"/>
                <w14:textFill>
                  <w14:solidFill>
                    <w14:schemeClr w14:val="tx1"/>
                  </w14:solidFill>
                </w14:textFill>
              </w:rPr>
              <w:t>分</w:t>
            </w:r>
          </w:p>
        </w:tc>
        <w:tc>
          <w:tcPr>
            <w:tcW w:w="493" w:type="dxa"/>
            <w:noWrap/>
            <w:vAlign w:val="center"/>
          </w:tcPr>
          <w:p w14:paraId="5A521410">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38B87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24111A64">
            <w:pPr>
              <w:rPr>
                <w:rFonts w:ascii="宋体" w:hAnsi="宋体"/>
                <w:color w:val="000000" w:themeColor="text1"/>
                <w:szCs w:val="21"/>
                <w14:textFill>
                  <w14:solidFill>
                    <w14:schemeClr w14:val="tx1"/>
                  </w14:solidFill>
                </w14:textFill>
              </w:rPr>
            </w:pPr>
          </w:p>
        </w:tc>
        <w:tc>
          <w:tcPr>
            <w:tcW w:w="886" w:type="dxa"/>
            <w:vMerge w:val="continue"/>
            <w:vAlign w:val="center"/>
          </w:tcPr>
          <w:p w14:paraId="3F2E3848">
            <w:pPr>
              <w:rPr>
                <w:rFonts w:ascii="宋体" w:hAnsi="宋体"/>
                <w:color w:val="000000" w:themeColor="text1"/>
                <w:szCs w:val="21"/>
                <w14:textFill>
                  <w14:solidFill>
                    <w14:schemeClr w14:val="tx1"/>
                  </w14:solidFill>
                </w14:textFill>
              </w:rPr>
            </w:pPr>
          </w:p>
        </w:tc>
        <w:tc>
          <w:tcPr>
            <w:tcW w:w="1461" w:type="dxa"/>
            <w:vMerge w:val="continue"/>
            <w:vAlign w:val="center"/>
          </w:tcPr>
          <w:p w14:paraId="6B3206B5">
            <w:pPr>
              <w:rPr>
                <w:rFonts w:ascii="宋体" w:hAnsi="宋体"/>
                <w:color w:val="000000" w:themeColor="text1"/>
                <w:szCs w:val="21"/>
                <w14:textFill>
                  <w14:solidFill>
                    <w14:schemeClr w14:val="tx1"/>
                  </w14:solidFill>
                </w14:textFill>
              </w:rPr>
            </w:pPr>
          </w:p>
        </w:tc>
        <w:tc>
          <w:tcPr>
            <w:tcW w:w="3389" w:type="dxa"/>
            <w:vAlign w:val="center"/>
          </w:tcPr>
          <w:p w14:paraId="793844D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无治安责任事件</w:t>
            </w:r>
          </w:p>
        </w:tc>
        <w:tc>
          <w:tcPr>
            <w:tcW w:w="695" w:type="dxa"/>
            <w:noWrap/>
            <w:vAlign w:val="center"/>
          </w:tcPr>
          <w:p w14:paraId="7EB4D186">
            <w:pPr>
              <w:jc w:val="center"/>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4</w:t>
            </w:r>
          </w:p>
        </w:tc>
        <w:tc>
          <w:tcPr>
            <w:tcW w:w="2112" w:type="dxa"/>
            <w:vAlign w:val="center"/>
          </w:tcPr>
          <w:p w14:paraId="79D70C8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每发生一起扣</w:t>
            </w:r>
            <w:r>
              <w:rPr>
                <w:rFonts w:hint="eastAsia" w:ascii="宋体" w:hAnsi="宋体"/>
                <w:color w:val="000000" w:themeColor="text1"/>
                <w:szCs w:val="21"/>
                <w:lang w:val="en-US" w:eastAsia="zh-CN"/>
                <w14:textFill>
                  <w14:solidFill>
                    <w14:schemeClr w14:val="tx1"/>
                  </w14:solidFill>
                </w14:textFill>
              </w:rPr>
              <w:t>4</w:t>
            </w:r>
            <w:r>
              <w:rPr>
                <w:rFonts w:hint="eastAsia" w:ascii="宋体" w:hAnsi="宋体"/>
                <w:color w:val="000000" w:themeColor="text1"/>
                <w:szCs w:val="21"/>
                <w14:textFill>
                  <w14:solidFill>
                    <w14:schemeClr w14:val="tx1"/>
                  </w14:solidFill>
                </w14:textFill>
              </w:rPr>
              <w:t>分</w:t>
            </w:r>
          </w:p>
        </w:tc>
        <w:tc>
          <w:tcPr>
            <w:tcW w:w="493" w:type="dxa"/>
            <w:noWrap/>
            <w:vAlign w:val="center"/>
          </w:tcPr>
          <w:p w14:paraId="4A083A7C">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16CCF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18BC9B92">
            <w:pPr>
              <w:rPr>
                <w:rFonts w:ascii="宋体" w:hAnsi="宋体"/>
                <w:color w:val="000000" w:themeColor="text1"/>
                <w:szCs w:val="21"/>
                <w14:textFill>
                  <w14:solidFill>
                    <w14:schemeClr w14:val="tx1"/>
                  </w14:solidFill>
                </w14:textFill>
              </w:rPr>
            </w:pPr>
          </w:p>
        </w:tc>
        <w:tc>
          <w:tcPr>
            <w:tcW w:w="886" w:type="dxa"/>
            <w:vMerge w:val="continue"/>
            <w:vAlign w:val="center"/>
          </w:tcPr>
          <w:p w14:paraId="16A8F6B3">
            <w:pPr>
              <w:rPr>
                <w:rFonts w:ascii="宋体" w:hAnsi="宋体"/>
                <w:color w:val="000000" w:themeColor="text1"/>
                <w:szCs w:val="21"/>
                <w14:textFill>
                  <w14:solidFill>
                    <w14:schemeClr w14:val="tx1"/>
                  </w14:solidFill>
                </w14:textFill>
              </w:rPr>
            </w:pPr>
          </w:p>
        </w:tc>
        <w:tc>
          <w:tcPr>
            <w:tcW w:w="1461" w:type="dxa"/>
            <w:vMerge w:val="continue"/>
            <w:vAlign w:val="center"/>
          </w:tcPr>
          <w:p w14:paraId="6B0CEF84">
            <w:pPr>
              <w:rPr>
                <w:rFonts w:ascii="宋体" w:hAnsi="宋体"/>
                <w:color w:val="000000" w:themeColor="text1"/>
                <w:szCs w:val="21"/>
                <w14:textFill>
                  <w14:solidFill>
                    <w14:schemeClr w14:val="tx1"/>
                  </w14:solidFill>
                </w14:textFill>
              </w:rPr>
            </w:pPr>
          </w:p>
        </w:tc>
        <w:tc>
          <w:tcPr>
            <w:tcW w:w="3389" w:type="dxa"/>
            <w:vAlign w:val="center"/>
          </w:tcPr>
          <w:p w14:paraId="6A4D878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不发生因管理责任原因引起的火情</w:t>
            </w:r>
          </w:p>
        </w:tc>
        <w:tc>
          <w:tcPr>
            <w:tcW w:w="695" w:type="dxa"/>
            <w:noWrap/>
            <w:vAlign w:val="center"/>
          </w:tcPr>
          <w:p w14:paraId="3B550129">
            <w:pPr>
              <w:jc w:val="center"/>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4</w:t>
            </w:r>
          </w:p>
        </w:tc>
        <w:tc>
          <w:tcPr>
            <w:tcW w:w="2112" w:type="dxa"/>
            <w:vAlign w:val="center"/>
          </w:tcPr>
          <w:p w14:paraId="471A67C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发生轻微火情一起扣2分，严重火情扣</w:t>
            </w:r>
            <w:r>
              <w:rPr>
                <w:rFonts w:hint="eastAsia" w:ascii="宋体" w:hAnsi="宋体"/>
                <w:color w:val="000000" w:themeColor="text1"/>
                <w:szCs w:val="21"/>
                <w:lang w:val="en-US" w:eastAsia="zh-CN"/>
                <w14:textFill>
                  <w14:solidFill>
                    <w14:schemeClr w14:val="tx1"/>
                  </w14:solidFill>
                </w14:textFill>
              </w:rPr>
              <w:t>4</w:t>
            </w:r>
            <w:r>
              <w:rPr>
                <w:rFonts w:hint="eastAsia" w:ascii="宋体" w:hAnsi="宋体"/>
                <w:color w:val="000000" w:themeColor="text1"/>
                <w:szCs w:val="21"/>
                <w14:textFill>
                  <w14:solidFill>
                    <w14:schemeClr w14:val="tx1"/>
                  </w14:solidFill>
                </w14:textFill>
              </w:rPr>
              <w:t>分</w:t>
            </w:r>
          </w:p>
        </w:tc>
        <w:tc>
          <w:tcPr>
            <w:tcW w:w="493" w:type="dxa"/>
            <w:noWrap/>
            <w:vAlign w:val="center"/>
          </w:tcPr>
          <w:p w14:paraId="5B0CD825">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0E716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504E56EB">
            <w:pPr>
              <w:rPr>
                <w:rFonts w:ascii="宋体" w:hAnsi="宋体"/>
                <w:color w:val="000000" w:themeColor="text1"/>
                <w:szCs w:val="21"/>
                <w14:textFill>
                  <w14:solidFill>
                    <w14:schemeClr w14:val="tx1"/>
                  </w14:solidFill>
                </w14:textFill>
              </w:rPr>
            </w:pPr>
          </w:p>
        </w:tc>
        <w:tc>
          <w:tcPr>
            <w:tcW w:w="886" w:type="dxa"/>
            <w:vMerge w:val="continue"/>
            <w:vAlign w:val="center"/>
          </w:tcPr>
          <w:p w14:paraId="68694997">
            <w:pPr>
              <w:rPr>
                <w:rFonts w:ascii="宋体" w:hAnsi="宋体"/>
                <w:color w:val="000000" w:themeColor="text1"/>
                <w:szCs w:val="21"/>
                <w14:textFill>
                  <w14:solidFill>
                    <w14:schemeClr w14:val="tx1"/>
                  </w14:solidFill>
                </w14:textFill>
              </w:rPr>
            </w:pPr>
          </w:p>
        </w:tc>
        <w:tc>
          <w:tcPr>
            <w:tcW w:w="1461" w:type="dxa"/>
            <w:vMerge w:val="continue"/>
            <w:vAlign w:val="center"/>
          </w:tcPr>
          <w:p w14:paraId="2A3905FD">
            <w:pPr>
              <w:rPr>
                <w:rFonts w:ascii="宋体" w:hAnsi="宋体"/>
                <w:color w:val="000000" w:themeColor="text1"/>
                <w:szCs w:val="21"/>
                <w14:textFill>
                  <w14:solidFill>
                    <w14:schemeClr w14:val="tx1"/>
                  </w14:solidFill>
                </w14:textFill>
              </w:rPr>
            </w:pPr>
          </w:p>
        </w:tc>
        <w:tc>
          <w:tcPr>
            <w:tcW w:w="3389" w:type="dxa"/>
            <w:vAlign w:val="center"/>
          </w:tcPr>
          <w:p w14:paraId="68A7967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不发生因管理责任原因引起的员工工伤事故</w:t>
            </w:r>
          </w:p>
        </w:tc>
        <w:tc>
          <w:tcPr>
            <w:tcW w:w="695" w:type="dxa"/>
            <w:noWrap/>
            <w:vAlign w:val="center"/>
          </w:tcPr>
          <w:p w14:paraId="00447874">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w:t>
            </w:r>
          </w:p>
        </w:tc>
        <w:tc>
          <w:tcPr>
            <w:tcW w:w="2112" w:type="dxa"/>
            <w:vAlign w:val="center"/>
          </w:tcPr>
          <w:p w14:paraId="5DCD9B1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每发生一起扣2分</w:t>
            </w:r>
          </w:p>
        </w:tc>
        <w:tc>
          <w:tcPr>
            <w:tcW w:w="493" w:type="dxa"/>
            <w:noWrap/>
            <w:vAlign w:val="center"/>
          </w:tcPr>
          <w:p w14:paraId="33C45804">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1356A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2F9594C6">
            <w:pPr>
              <w:rPr>
                <w:rFonts w:ascii="宋体" w:hAnsi="宋体"/>
                <w:color w:val="000000" w:themeColor="text1"/>
                <w:szCs w:val="21"/>
                <w14:textFill>
                  <w14:solidFill>
                    <w14:schemeClr w14:val="tx1"/>
                  </w14:solidFill>
                </w14:textFill>
              </w:rPr>
            </w:pPr>
          </w:p>
        </w:tc>
        <w:tc>
          <w:tcPr>
            <w:tcW w:w="886" w:type="dxa"/>
            <w:vMerge w:val="continue"/>
            <w:vAlign w:val="center"/>
          </w:tcPr>
          <w:p w14:paraId="18793D8F">
            <w:pPr>
              <w:rPr>
                <w:rFonts w:ascii="宋体" w:hAnsi="宋体"/>
                <w:color w:val="000000" w:themeColor="text1"/>
                <w:szCs w:val="21"/>
                <w14:textFill>
                  <w14:solidFill>
                    <w14:schemeClr w14:val="tx1"/>
                  </w14:solidFill>
                </w14:textFill>
              </w:rPr>
            </w:pPr>
          </w:p>
        </w:tc>
        <w:tc>
          <w:tcPr>
            <w:tcW w:w="1461" w:type="dxa"/>
            <w:vMerge w:val="continue"/>
            <w:vAlign w:val="center"/>
          </w:tcPr>
          <w:p w14:paraId="7E3B5151">
            <w:pPr>
              <w:rPr>
                <w:rFonts w:ascii="宋体" w:hAnsi="宋体"/>
                <w:color w:val="000000" w:themeColor="text1"/>
                <w:szCs w:val="21"/>
                <w14:textFill>
                  <w14:solidFill>
                    <w14:schemeClr w14:val="tx1"/>
                  </w14:solidFill>
                </w14:textFill>
              </w:rPr>
            </w:pPr>
          </w:p>
        </w:tc>
        <w:tc>
          <w:tcPr>
            <w:tcW w:w="3389" w:type="dxa"/>
            <w:vAlign w:val="center"/>
          </w:tcPr>
          <w:p w14:paraId="44AB7D5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不发生因管理责任原因发生楼内设施财物失窃</w:t>
            </w:r>
          </w:p>
        </w:tc>
        <w:tc>
          <w:tcPr>
            <w:tcW w:w="695" w:type="dxa"/>
            <w:noWrap/>
            <w:vAlign w:val="center"/>
          </w:tcPr>
          <w:p w14:paraId="01F5838D">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w:t>
            </w:r>
          </w:p>
        </w:tc>
        <w:tc>
          <w:tcPr>
            <w:tcW w:w="2112" w:type="dxa"/>
            <w:vAlign w:val="center"/>
          </w:tcPr>
          <w:p w14:paraId="42C46A2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单起每满2000元扣1分，万元及以上，加倍扣分</w:t>
            </w:r>
          </w:p>
        </w:tc>
        <w:tc>
          <w:tcPr>
            <w:tcW w:w="493" w:type="dxa"/>
            <w:noWrap/>
            <w:vAlign w:val="center"/>
          </w:tcPr>
          <w:p w14:paraId="0428266C">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67EEC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7EE01222">
            <w:pPr>
              <w:rPr>
                <w:rFonts w:ascii="宋体" w:hAnsi="宋体"/>
                <w:color w:val="000000" w:themeColor="text1"/>
                <w:szCs w:val="21"/>
                <w14:textFill>
                  <w14:solidFill>
                    <w14:schemeClr w14:val="tx1"/>
                  </w14:solidFill>
                </w14:textFill>
              </w:rPr>
            </w:pPr>
          </w:p>
        </w:tc>
        <w:tc>
          <w:tcPr>
            <w:tcW w:w="886" w:type="dxa"/>
            <w:vMerge w:val="continue"/>
            <w:vAlign w:val="center"/>
          </w:tcPr>
          <w:p w14:paraId="75249284">
            <w:pPr>
              <w:rPr>
                <w:rFonts w:ascii="宋体" w:hAnsi="宋体"/>
                <w:color w:val="000000" w:themeColor="text1"/>
                <w:szCs w:val="21"/>
                <w14:textFill>
                  <w14:solidFill>
                    <w14:schemeClr w14:val="tx1"/>
                  </w14:solidFill>
                </w14:textFill>
              </w:rPr>
            </w:pPr>
          </w:p>
        </w:tc>
        <w:tc>
          <w:tcPr>
            <w:tcW w:w="1461" w:type="dxa"/>
            <w:vMerge w:val="continue"/>
            <w:vAlign w:val="center"/>
          </w:tcPr>
          <w:p w14:paraId="1715CF03">
            <w:pPr>
              <w:rPr>
                <w:rFonts w:ascii="宋体" w:hAnsi="宋体"/>
                <w:color w:val="000000" w:themeColor="text1"/>
                <w:szCs w:val="21"/>
                <w14:textFill>
                  <w14:solidFill>
                    <w14:schemeClr w14:val="tx1"/>
                  </w14:solidFill>
                </w14:textFill>
              </w:rPr>
            </w:pPr>
          </w:p>
        </w:tc>
        <w:tc>
          <w:tcPr>
            <w:tcW w:w="3389" w:type="dxa"/>
            <w:vAlign w:val="center"/>
          </w:tcPr>
          <w:p w14:paraId="3AB35FB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安全生产持证率100%</w:t>
            </w:r>
          </w:p>
        </w:tc>
        <w:tc>
          <w:tcPr>
            <w:tcW w:w="695" w:type="dxa"/>
            <w:noWrap/>
            <w:vAlign w:val="center"/>
          </w:tcPr>
          <w:p w14:paraId="0E6B96BF">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w:t>
            </w:r>
          </w:p>
        </w:tc>
        <w:tc>
          <w:tcPr>
            <w:tcW w:w="2112" w:type="dxa"/>
            <w:vAlign w:val="center"/>
          </w:tcPr>
          <w:p w14:paraId="5082D7C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每一人未持证扣2分</w:t>
            </w:r>
          </w:p>
        </w:tc>
        <w:tc>
          <w:tcPr>
            <w:tcW w:w="493" w:type="dxa"/>
            <w:noWrap/>
            <w:vAlign w:val="center"/>
          </w:tcPr>
          <w:p w14:paraId="469BF40F">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2338B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4D7BCA92">
            <w:pPr>
              <w:rPr>
                <w:rFonts w:ascii="宋体" w:hAnsi="宋体"/>
                <w:color w:val="000000" w:themeColor="text1"/>
                <w:szCs w:val="21"/>
                <w14:textFill>
                  <w14:solidFill>
                    <w14:schemeClr w14:val="tx1"/>
                  </w14:solidFill>
                </w14:textFill>
              </w:rPr>
            </w:pPr>
          </w:p>
        </w:tc>
        <w:tc>
          <w:tcPr>
            <w:tcW w:w="886" w:type="dxa"/>
            <w:vMerge w:val="continue"/>
            <w:vAlign w:val="center"/>
          </w:tcPr>
          <w:p w14:paraId="21172413">
            <w:pPr>
              <w:rPr>
                <w:rFonts w:ascii="宋体" w:hAnsi="宋体"/>
                <w:color w:val="000000" w:themeColor="text1"/>
                <w:szCs w:val="21"/>
                <w14:textFill>
                  <w14:solidFill>
                    <w14:schemeClr w14:val="tx1"/>
                  </w14:solidFill>
                </w14:textFill>
              </w:rPr>
            </w:pPr>
          </w:p>
        </w:tc>
        <w:tc>
          <w:tcPr>
            <w:tcW w:w="1461" w:type="dxa"/>
            <w:vMerge w:val="continue"/>
            <w:vAlign w:val="center"/>
          </w:tcPr>
          <w:p w14:paraId="0FCFA900">
            <w:pPr>
              <w:rPr>
                <w:rFonts w:ascii="宋体" w:hAnsi="宋体"/>
                <w:color w:val="000000" w:themeColor="text1"/>
                <w:szCs w:val="21"/>
                <w14:textFill>
                  <w14:solidFill>
                    <w14:schemeClr w14:val="tx1"/>
                  </w14:solidFill>
                </w14:textFill>
              </w:rPr>
            </w:pPr>
          </w:p>
        </w:tc>
        <w:tc>
          <w:tcPr>
            <w:tcW w:w="3389" w:type="dxa"/>
            <w:vAlign w:val="center"/>
          </w:tcPr>
          <w:p w14:paraId="2C930C0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每季度至少进行一次各类应急预案培训或消防应急预案演练</w:t>
            </w:r>
          </w:p>
        </w:tc>
        <w:tc>
          <w:tcPr>
            <w:tcW w:w="695" w:type="dxa"/>
            <w:noWrap/>
            <w:vAlign w:val="center"/>
          </w:tcPr>
          <w:p w14:paraId="2041A776">
            <w:pPr>
              <w:jc w:val="center"/>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w:t>
            </w:r>
          </w:p>
        </w:tc>
        <w:tc>
          <w:tcPr>
            <w:tcW w:w="2112" w:type="dxa"/>
            <w:vAlign w:val="center"/>
          </w:tcPr>
          <w:p w14:paraId="11C22CD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每少一项扣</w:t>
            </w:r>
            <w:r>
              <w:rPr>
                <w:rFonts w:ascii="宋体" w:hAnsi="宋体"/>
                <w:color w:val="000000" w:themeColor="text1"/>
                <w:szCs w:val="21"/>
                <w14:textFill>
                  <w14:solidFill>
                    <w14:schemeClr w14:val="tx1"/>
                  </w14:solidFill>
                </w14:textFill>
              </w:rPr>
              <w:t>1</w:t>
            </w:r>
            <w:r>
              <w:rPr>
                <w:rFonts w:hint="eastAsia" w:ascii="宋体" w:hAnsi="宋体"/>
                <w:color w:val="000000" w:themeColor="text1"/>
                <w:szCs w:val="21"/>
                <w14:textFill>
                  <w14:solidFill>
                    <w14:schemeClr w14:val="tx1"/>
                  </w14:solidFill>
                </w14:textFill>
              </w:rPr>
              <w:t>分</w:t>
            </w:r>
          </w:p>
        </w:tc>
        <w:tc>
          <w:tcPr>
            <w:tcW w:w="493" w:type="dxa"/>
            <w:noWrap/>
            <w:vAlign w:val="center"/>
          </w:tcPr>
          <w:p w14:paraId="613E0452">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1B9BD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restart"/>
            <w:vAlign w:val="center"/>
          </w:tcPr>
          <w:p w14:paraId="521FD37B">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二</w:t>
            </w:r>
          </w:p>
        </w:tc>
        <w:tc>
          <w:tcPr>
            <w:tcW w:w="886" w:type="dxa"/>
            <w:vMerge w:val="restart"/>
            <w:vAlign w:val="center"/>
          </w:tcPr>
          <w:p w14:paraId="2A00F285">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综合管理</w:t>
            </w:r>
            <w:r>
              <w:rPr>
                <w:rFonts w:hint="eastAsia" w:ascii="宋体" w:hAnsi="宋体"/>
                <w:color w:val="000000" w:themeColor="text1"/>
                <w:szCs w:val="21"/>
                <w14:textFill>
                  <w14:solidFill>
                    <w14:schemeClr w14:val="tx1"/>
                  </w14:solidFill>
                </w14:textFill>
              </w:rPr>
              <w:br w:type="textWrapping"/>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1</w:t>
            </w:r>
            <w:r>
              <w:rPr>
                <w:rFonts w:hint="eastAsia" w:ascii="宋体" w:hAnsi="宋体"/>
                <w:color w:val="000000" w:themeColor="text1"/>
                <w:szCs w:val="21"/>
                <w:lang w:val="en-US" w:eastAsia="zh-CN"/>
                <w14:textFill>
                  <w14:solidFill>
                    <w14:schemeClr w14:val="tx1"/>
                  </w14:solidFill>
                </w14:textFill>
              </w:rPr>
              <w:t>2</w:t>
            </w:r>
            <w:r>
              <w:rPr>
                <w:rFonts w:hint="eastAsia" w:ascii="宋体" w:hAnsi="宋体"/>
                <w:color w:val="000000" w:themeColor="text1"/>
                <w:szCs w:val="21"/>
                <w14:textFill>
                  <w14:solidFill>
                    <w14:schemeClr w14:val="tx1"/>
                  </w14:solidFill>
                </w14:textFill>
              </w:rPr>
              <w:t>分）</w:t>
            </w:r>
          </w:p>
        </w:tc>
        <w:tc>
          <w:tcPr>
            <w:tcW w:w="1461" w:type="dxa"/>
            <w:vMerge w:val="restart"/>
            <w:vAlign w:val="center"/>
          </w:tcPr>
          <w:p w14:paraId="0164B42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按照合同要求完成辖区内物业管理和运营管理，确保辖区内各项工作正常开展</w:t>
            </w:r>
          </w:p>
        </w:tc>
        <w:tc>
          <w:tcPr>
            <w:tcW w:w="3389" w:type="dxa"/>
            <w:vAlign w:val="center"/>
          </w:tcPr>
          <w:p w14:paraId="0F6116B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有效客户投诉处理率100%，有效投诉处理客户满意率98%以上</w:t>
            </w:r>
          </w:p>
        </w:tc>
        <w:tc>
          <w:tcPr>
            <w:tcW w:w="695" w:type="dxa"/>
            <w:noWrap/>
            <w:vAlign w:val="center"/>
          </w:tcPr>
          <w:p w14:paraId="1AB12155">
            <w:pPr>
              <w:jc w:val="center"/>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p>
        </w:tc>
        <w:tc>
          <w:tcPr>
            <w:tcW w:w="2112" w:type="dxa"/>
            <w:vAlign w:val="center"/>
          </w:tcPr>
          <w:p w14:paraId="1858775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未处理每项扣</w:t>
            </w:r>
            <w:r>
              <w:rPr>
                <w:rFonts w:hint="eastAsia" w:ascii="宋体" w:hAnsi="宋体"/>
                <w:color w:val="000000" w:themeColor="text1"/>
                <w:szCs w:val="21"/>
                <w:lang w:val="en-US" w:eastAsia="zh-CN"/>
                <w14:textFill>
                  <w14:solidFill>
                    <w14:schemeClr w14:val="tx1"/>
                  </w14:solidFill>
                </w14:textFill>
              </w:rPr>
              <w:t>1</w:t>
            </w:r>
            <w:r>
              <w:rPr>
                <w:rFonts w:hint="eastAsia" w:ascii="宋体" w:hAnsi="宋体"/>
                <w:color w:val="000000" w:themeColor="text1"/>
                <w:szCs w:val="21"/>
                <w14:textFill>
                  <w14:solidFill>
                    <w14:schemeClr w14:val="tx1"/>
                  </w14:solidFill>
                </w14:textFill>
              </w:rPr>
              <w:t>分，满意率未达标每项扣2分</w:t>
            </w:r>
          </w:p>
        </w:tc>
        <w:tc>
          <w:tcPr>
            <w:tcW w:w="493" w:type="dxa"/>
            <w:noWrap/>
            <w:vAlign w:val="center"/>
          </w:tcPr>
          <w:p w14:paraId="14E7CC78">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593A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43A34972">
            <w:pPr>
              <w:rPr>
                <w:rFonts w:ascii="宋体" w:hAnsi="宋体"/>
                <w:color w:val="000000" w:themeColor="text1"/>
                <w:szCs w:val="21"/>
                <w14:textFill>
                  <w14:solidFill>
                    <w14:schemeClr w14:val="tx1"/>
                  </w14:solidFill>
                </w14:textFill>
              </w:rPr>
            </w:pPr>
          </w:p>
        </w:tc>
        <w:tc>
          <w:tcPr>
            <w:tcW w:w="886" w:type="dxa"/>
            <w:vMerge w:val="continue"/>
            <w:vAlign w:val="center"/>
          </w:tcPr>
          <w:p w14:paraId="6A4582C0">
            <w:pPr>
              <w:rPr>
                <w:rFonts w:ascii="宋体" w:hAnsi="宋体"/>
                <w:color w:val="000000" w:themeColor="text1"/>
                <w:szCs w:val="21"/>
                <w14:textFill>
                  <w14:solidFill>
                    <w14:schemeClr w14:val="tx1"/>
                  </w14:solidFill>
                </w14:textFill>
              </w:rPr>
            </w:pPr>
          </w:p>
        </w:tc>
        <w:tc>
          <w:tcPr>
            <w:tcW w:w="1461" w:type="dxa"/>
            <w:vMerge w:val="continue"/>
            <w:vAlign w:val="center"/>
          </w:tcPr>
          <w:p w14:paraId="07B5EA4D">
            <w:pPr>
              <w:rPr>
                <w:rFonts w:ascii="宋体" w:hAnsi="宋体"/>
                <w:color w:val="000000" w:themeColor="text1"/>
                <w:szCs w:val="21"/>
                <w14:textFill>
                  <w14:solidFill>
                    <w14:schemeClr w14:val="tx1"/>
                  </w14:solidFill>
                </w14:textFill>
              </w:rPr>
            </w:pPr>
          </w:p>
        </w:tc>
        <w:tc>
          <w:tcPr>
            <w:tcW w:w="3389" w:type="dxa"/>
            <w:vAlign w:val="center"/>
          </w:tcPr>
          <w:p w14:paraId="68EA4AA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及时完成各项甲方布置的工作任务</w:t>
            </w:r>
          </w:p>
        </w:tc>
        <w:tc>
          <w:tcPr>
            <w:tcW w:w="695" w:type="dxa"/>
            <w:noWrap/>
            <w:vAlign w:val="center"/>
          </w:tcPr>
          <w:p w14:paraId="7F401D0C">
            <w:pPr>
              <w:jc w:val="center"/>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p>
        </w:tc>
        <w:tc>
          <w:tcPr>
            <w:tcW w:w="2112" w:type="dxa"/>
            <w:vAlign w:val="center"/>
          </w:tcPr>
          <w:p w14:paraId="59A750C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未及时每项扣</w:t>
            </w:r>
            <w:r>
              <w:rPr>
                <w:rFonts w:hint="eastAsia" w:ascii="宋体" w:hAnsi="宋体"/>
                <w:color w:val="000000" w:themeColor="text1"/>
                <w:szCs w:val="21"/>
                <w:lang w:val="en-US" w:eastAsia="zh-CN"/>
                <w14:textFill>
                  <w14:solidFill>
                    <w14:schemeClr w14:val="tx1"/>
                  </w14:solidFill>
                </w14:textFill>
              </w:rPr>
              <w:t>1</w:t>
            </w:r>
            <w:r>
              <w:rPr>
                <w:rFonts w:hint="eastAsia" w:ascii="宋体" w:hAnsi="宋体"/>
                <w:color w:val="000000" w:themeColor="text1"/>
                <w:szCs w:val="21"/>
                <w14:textFill>
                  <w14:solidFill>
                    <w14:schemeClr w14:val="tx1"/>
                  </w14:solidFill>
                </w14:textFill>
              </w:rPr>
              <w:t>分</w:t>
            </w:r>
          </w:p>
        </w:tc>
        <w:tc>
          <w:tcPr>
            <w:tcW w:w="493" w:type="dxa"/>
            <w:noWrap/>
            <w:vAlign w:val="center"/>
          </w:tcPr>
          <w:p w14:paraId="02D24F57">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3426B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322CC454">
            <w:pPr>
              <w:rPr>
                <w:rFonts w:ascii="宋体" w:hAnsi="宋体"/>
                <w:color w:val="000000" w:themeColor="text1"/>
                <w:szCs w:val="21"/>
                <w14:textFill>
                  <w14:solidFill>
                    <w14:schemeClr w14:val="tx1"/>
                  </w14:solidFill>
                </w14:textFill>
              </w:rPr>
            </w:pPr>
          </w:p>
        </w:tc>
        <w:tc>
          <w:tcPr>
            <w:tcW w:w="886" w:type="dxa"/>
            <w:vMerge w:val="continue"/>
            <w:vAlign w:val="center"/>
          </w:tcPr>
          <w:p w14:paraId="7A74A8D9">
            <w:pPr>
              <w:rPr>
                <w:rFonts w:ascii="宋体" w:hAnsi="宋体"/>
                <w:color w:val="000000" w:themeColor="text1"/>
                <w:szCs w:val="21"/>
                <w14:textFill>
                  <w14:solidFill>
                    <w14:schemeClr w14:val="tx1"/>
                  </w14:solidFill>
                </w14:textFill>
              </w:rPr>
            </w:pPr>
          </w:p>
        </w:tc>
        <w:tc>
          <w:tcPr>
            <w:tcW w:w="1461" w:type="dxa"/>
            <w:vMerge w:val="continue"/>
            <w:vAlign w:val="center"/>
          </w:tcPr>
          <w:p w14:paraId="687E80F8">
            <w:pPr>
              <w:rPr>
                <w:rFonts w:ascii="宋体" w:hAnsi="宋体"/>
                <w:color w:val="000000" w:themeColor="text1"/>
                <w:szCs w:val="21"/>
                <w14:textFill>
                  <w14:solidFill>
                    <w14:schemeClr w14:val="tx1"/>
                  </w14:solidFill>
                </w14:textFill>
              </w:rPr>
            </w:pPr>
          </w:p>
        </w:tc>
        <w:tc>
          <w:tcPr>
            <w:tcW w:w="3389" w:type="dxa"/>
            <w:vAlign w:val="center"/>
          </w:tcPr>
          <w:p w14:paraId="582698E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法定持证上岗率100%</w:t>
            </w:r>
          </w:p>
        </w:tc>
        <w:tc>
          <w:tcPr>
            <w:tcW w:w="695" w:type="dxa"/>
            <w:noWrap/>
            <w:vAlign w:val="center"/>
          </w:tcPr>
          <w:p w14:paraId="5BC51549">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2112" w:type="dxa"/>
            <w:vAlign w:val="center"/>
          </w:tcPr>
          <w:p w14:paraId="32CE67E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每一人未持证扣1分</w:t>
            </w:r>
          </w:p>
        </w:tc>
        <w:tc>
          <w:tcPr>
            <w:tcW w:w="493" w:type="dxa"/>
            <w:noWrap/>
            <w:vAlign w:val="center"/>
          </w:tcPr>
          <w:p w14:paraId="3375400B">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1A9BA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4D32CB12">
            <w:pPr>
              <w:rPr>
                <w:rFonts w:ascii="宋体" w:hAnsi="宋体"/>
                <w:color w:val="000000" w:themeColor="text1"/>
                <w:szCs w:val="21"/>
                <w14:textFill>
                  <w14:solidFill>
                    <w14:schemeClr w14:val="tx1"/>
                  </w14:solidFill>
                </w14:textFill>
              </w:rPr>
            </w:pPr>
          </w:p>
        </w:tc>
        <w:tc>
          <w:tcPr>
            <w:tcW w:w="886" w:type="dxa"/>
            <w:vMerge w:val="continue"/>
            <w:vAlign w:val="center"/>
          </w:tcPr>
          <w:p w14:paraId="30A545D6">
            <w:pPr>
              <w:rPr>
                <w:rFonts w:ascii="宋体" w:hAnsi="宋体"/>
                <w:color w:val="000000" w:themeColor="text1"/>
                <w:szCs w:val="21"/>
                <w14:textFill>
                  <w14:solidFill>
                    <w14:schemeClr w14:val="tx1"/>
                  </w14:solidFill>
                </w14:textFill>
              </w:rPr>
            </w:pPr>
          </w:p>
        </w:tc>
        <w:tc>
          <w:tcPr>
            <w:tcW w:w="1461" w:type="dxa"/>
            <w:vMerge w:val="continue"/>
            <w:vAlign w:val="center"/>
          </w:tcPr>
          <w:p w14:paraId="4F74E37B">
            <w:pPr>
              <w:rPr>
                <w:rFonts w:ascii="宋体" w:hAnsi="宋体"/>
                <w:color w:val="000000" w:themeColor="text1"/>
                <w:szCs w:val="21"/>
                <w14:textFill>
                  <w14:solidFill>
                    <w14:schemeClr w14:val="tx1"/>
                  </w14:solidFill>
                </w14:textFill>
              </w:rPr>
            </w:pPr>
          </w:p>
        </w:tc>
        <w:tc>
          <w:tcPr>
            <w:tcW w:w="3389" w:type="dxa"/>
            <w:vAlign w:val="center"/>
          </w:tcPr>
          <w:p w14:paraId="5247BD2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台账记录真实、齐全</w:t>
            </w:r>
          </w:p>
        </w:tc>
        <w:tc>
          <w:tcPr>
            <w:tcW w:w="695" w:type="dxa"/>
            <w:noWrap/>
            <w:vAlign w:val="center"/>
          </w:tcPr>
          <w:p w14:paraId="252F4D7E">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2112" w:type="dxa"/>
            <w:vAlign w:val="center"/>
          </w:tcPr>
          <w:p w14:paraId="22BC9E9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391CA2BB">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0B47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restart"/>
            <w:vAlign w:val="center"/>
          </w:tcPr>
          <w:p w14:paraId="60BA4F0D">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三</w:t>
            </w:r>
          </w:p>
        </w:tc>
        <w:tc>
          <w:tcPr>
            <w:tcW w:w="886" w:type="dxa"/>
            <w:vMerge w:val="restart"/>
            <w:vAlign w:val="center"/>
          </w:tcPr>
          <w:p w14:paraId="66779763">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保安管理（1</w:t>
            </w:r>
            <w:r>
              <w:rPr>
                <w:rFonts w:hint="eastAsia" w:ascii="宋体" w:hAnsi="宋体"/>
                <w:color w:val="000000" w:themeColor="text1"/>
                <w:szCs w:val="21"/>
                <w:lang w:val="en-US" w:eastAsia="zh-CN"/>
                <w14:textFill>
                  <w14:solidFill>
                    <w14:schemeClr w14:val="tx1"/>
                  </w14:solidFill>
                </w14:textFill>
              </w:rPr>
              <w:t>5</w:t>
            </w:r>
            <w:r>
              <w:rPr>
                <w:rFonts w:hint="eastAsia" w:ascii="宋体" w:hAnsi="宋体"/>
                <w:color w:val="000000" w:themeColor="text1"/>
                <w:szCs w:val="21"/>
                <w14:textFill>
                  <w14:solidFill>
                    <w14:schemeClr w14:val="tx1"/>
                  </w14:solidFill>
                </w14:textFill>
              </w:rPr>
              <w:t>分）</w:t>
            </w:r>
          </w:p>
        </w:tc>
        <w:tc>
          <w:tcPr>
            <w:tcW w:w="1461" w:type="dxa"/>
            <w:vMerge w:val="restart"/>
            <w:vAlign w:val="center"/>
          </w:tcPr>
          <w:p w14:paraId="14F79FD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按照合同要求完成辖区内物业管理和运营管理，确保辖区内运行畅顺、安全</w:t>
            </w:r>
          </w:p>
        </w:tc>
        <w:tc>
          <w:tcPr>
            <w:tcW w:w="3389" w:type="dxa"/>
            <w:vAlign w:val="center"/>
          </w:tcPr>
          <w:p w14:paraId="7ABC8E2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具有良好的精神面貌（包括仪容仪表、言行举止、礼节礼貌等）</w:t>
            </w:r>
          </w:p>
        </w:tc>
        <w:tc>
          <w:tcPr>
            <w:tcW w:w="695" w:type="dxa"/>
            <w:noWrap/>
            <w:vAlign w:val="center"/>
          </w:tcPr>
          <w:p w14:paraId="2EA6D9E5">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p>
        </w:tc>
        <w:tc>
          <w:tcPr>
            <w:tcW w:w="2112" w:type="dxa"/>
            <w:vAlign w:val="center"/>
          </w:tcPr>
          <w:p w14:paraId="5201EAC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2E97A94F">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28927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3E2C822C">
            <w:pPr>
              <w:rPr>
                <w:rFonts w:ascii="宋体" w:hAnsi="宋体"/>
                <w:color w:val="000000" w:themeColor="text1"/>
                <w:szCs w:val="21"/>
                <w14:textFill>
                  <w14:solidFill>
                    <w14:schemeClr w14:val="tx1"/>
                  </w14:solidFill>
                </w14:textFill>
              </w:rPr>
            </w:pPr>
          </w:p>
        </w:tc>
        <w:tc>
          <w:tcPr>
            <w:tcW w:w="886" w:type="dxa"/>
            <w:vMerge w:val="continue"/>
            <w:vAlign w:val="center"/>
          </w:tcPr>
          <w:p w14:paraId="4C8AA06F">
            <w:pPr>
              <w:rPr>
                <w:rFonts w:ascii="宋体" w:hAnsi="宋体"/>
                <w:color w:val="000000" w:themeColor="text1"/>
                <w:szCs w:val="21"/>
                <w14:textFill>
                  <w14:solidFill>
                    <w14:schemeClr w14:val="tx1"/>
                  </w14:solidFill>
                </w14:textFill>
              </w:rPr>
            </w:pPr>
          </w:p>
        </w:tc>
        <w:tc>
          <w:tcPr>
            <w:tcW w:w="1461" w:type="dxa"/>
            <w:vMerge w:val="continue"/>
            <w:vAlign w:val="center"/>
          </w:tcPr>
          <w:p w14:paraId="7D39A2FA">
            <w:pPr>
              <w:rPr>
                <w:rFonts w:ascii="宋体" w:hAnsi="宋体"/>
                <w:color w:val="000000" w:themeColor="text1"/>
                <w:szCs w:val="21"/>
                <w14:textFill>
                  <w14:solidFill>
                    <w14:schemeClr w14:val="tx1"/>
                  </w14:solidFill>
                </w14:textFill>
              </w:rPr>
            </w:pPr>
          </w:p>
        </w:tc>
        <w:tc>
          <w:tcPr>
            <w:tcW w:w="3389" w:type="dxa"/>
            <w:vAlign w:val="center"/>
          </w:tcPr>
          <w:p w14:paraId="272E5D2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坚守岗位，执行岗位责任制，无脱岗、串岗、睡岗</w:t>
            </w:r>
          </w:p>
        </w:tc>
        <w:tc>
          <w:tcPr>
            <w:tcW w:w="695" w:type="dxa"/>
            <w:noWrap/>
            <w:vAlign w:val="center"/>
          </w:tcPr>
          <w:p w14:paraId="38B8CFFA">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p>
        </w:tc>
        <w:tc>
          <w:tcPr>
            <w:tcW w:w="2112" w:type="dxa"/>
            <w:vAlign w:val="center"/>
          </w:tcPr>
          <w:p w14:paraId="250F7AB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5DE4AB74">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0C735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16288DC6">
            <w:pPr>
              <w:rPr>
                <w:rFonts w:ascii="宋体" w:hAnsi="宋体"/>
                <w:color w:val="000000" w:themeColor="text1"/>
                <w:szCs w:val="21"/>
                <w14:textFill>
                  <w14:solidFill>
                    <w14:schemeClr w14:val="tx1"/>
                  </w14:solidFill>
                </w14:textFill>
              </w:rPr>
            </w:pPr>
          </w:p>
        </w:tc>
        <w:tc>
          <w:tcPr>
            <w:tcW w:w="886" w:type="dxa"/>
            <w:vMerge w:val="continue"/>
            <w:vAlign w:val="center"/>
          </w:tcPr>
          <w:p w14:paraId="2CD3ADC3">
            <w:pPr>
              <w:rPr>
                <w:rFonts w:ascii="宋体" w:hAnsi="宋体"/>
                <w:color w:val="000000" w:themeColor="text1"/>
                <w:szCs w:val="21"/>
                <w14:textFill>
                  <w14:solidFill>
                    <w14:schemeClr w14:val="tx1"/>
                  </w14:solidFill>
                </w14:textFill>
              </w:rPr>
            </w:pPr>
          </w:p>
        </w:tc>
        <w:tc>
          <w:tcPr>
            <w:tcW w:w="1461" w:type="dxa"/>
            <w:vMerge w:val="continue"/>
            <w:vAlign w:val="center"/>
          </w:tcPr>
          <w:p w14:paraId="4FBDDA98">
            <w:pPr>
              <w:rPr>
                <w:rFonts w:ascii="宋体" w:hAnsi="宋体"/>
                <w:color w:val="000000" w:themeColor="text1"/>
                <w:szCs w:val="21"/>
                <w14:textFill>
                  <w14:solidFill>
                    <w14:schemeClr w14:val="tx1"/>
                  </w14:solidFill>
                </w14:textFill>
              </w:rPr>
            </w:pPr>
          </w:p>
        </w:tc>
        <w:tc>
          <w:tcPr>
            <w:tcW w:w="3389" w:type="dxa"/>
            <w:vAlign w:val="center"/>
          </w:tcPr>
          <w:p w14:paraId="4177E15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熟悉岗位职责及岗位具体操作程序，能够按照操作规程进行正确操作</w:t>
            </w:r>
          </w:p>
        </w:tc>
        <w:tc>
          <w:tcPr>
            <w:tcW w:w="695" w:type="dxa"/>
            <w:noWrap/>
            <w:vAlign w:val="center"/>
          </w:tcPr>
          <w:p w14:paraId="2F0DBF6C">
            <w:pPr>
              <w:jc w:val="center"/>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p>
        </w:tc>
        <w:tc>
          <w:tcPr>
            <w:tcW w:w="2112" w:type="dxa"/>
            <w:vAlign w:val="center"/>
          </w:tcPr>
          <w:p w14:paraId="3D7557C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59B4E99F">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484F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3FC74906">
            <w:pPr>
              <w:rPr>
                <w:rFonts w:ascii="宋体" w:hAnsi="宋体"/>
                <w:color w:val="000000" w:themeColor="text1"/>
                <w:szCs w:val="21"/>
                <w14:textFill>
                  <w14:solidFill>
                    <w14:schemeClr w14:val="tx1"/>
                  </w14:solidFill>
                </w14:textFill>
              </w:rPr>
            </w:pPr>
          </w:p>
        </w:tc>
        <w:tc>
          <w:tcPr>
            <w:tcW w:w="886" w:type="dxa"/>
            <w:vMerge w:val="continue"/>
            <w:vAlign w:val="center"/>
          </w:tcPr>
          <w:p w14:paraId="5B493236">
            <w:pPr>
              <w:rPr>
                <w:rFonts w:ascii="宋体" w:hAnsi="宋体"/>
                <w:color w:val="000000" w:themeColor="text1"/>
                <w:szCs w:val="21"/>
                <w14:textFill>
                  <w14:solidFill>
                    <w14:schemeClr w14:val="tx1"/>
                  </w14:solidFill>
                </w14:textFill>
              </w:rPr>
            </w:pPr>
          </w:p>
        </w:tc>
        <w:tc>
          <w:tcPr>
            <w:tcW w:w="1461" w:type="dxa"/>
            <w:vMerge w:val="continue"/>
            <w:vAlign w:val="center"/>
          </w:tcPr>
          <w:p w14:paraId="221822F4">
            <w:pPr>
              <w:rPr>
                <w:rFonts w:ascii="宋体" w:hAnsi="宋体"/>
                <w:color w:val="000000" w:themeColor="text1"/>
                <w:szCs w:val="21"/>
                <w14:textFill>
                  <w14:solidFill>
                    <w14:schemeClr w14:val="tx1"/>
                  </w14:solidFill>
                </w14:textFill>
              </w:rPr>
            </w:pPr>
          </w:p>
        </w:tc>
        <w:tc>
          <w:tcPr>
            <w:tcW w:w="3389" w:type="dxa"/>
            <w:vAlign w:val="center"/>
          </w:tcPr>
          <w:p w14:paraId="13019C3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能及时准确处理突发事件</w:t>
            </w:r>
          </w:p>
        </w:tc>
        <w:tc>
          <w:tcPr>
            <w:tcW w:w="695" w:type="dxa"/>
            <w:noWrap/>
            <w:vAlign w:val="center"/>
          </w:tcPr>
          <w:p w14:paraId="3FD3D9CE">
            <w:pPr>
              <w:jc w:val="center"/>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p>
        </w:tc>
        <w:tc>
          <w:tcPr>
            <w:tcW w:w="2112" w:type="dxa"/>
            <w:vAlign w:val="center"/>
          </w:tcPr>
          <w:p w14:paraId="3D57812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6102ED1D">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4D227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2A60D61E">
            <w:pPr>
              <w:rPr>
                <w:rFonts w:ascii="宋体" w:hAnsi="宋体"/>
                <w:color w:val="000000" w:themeColor="text1"/>
                <w:szCs w:val="21"/>
                <w14:textFill>
                  <w14:solidFill>
                    <w14:schemeClr w14:val="tx1"/>
                  </w14:solidFill>
                </w14:textFill>
              </w:rPr>
            </w:pPr>
          </w:p>
        </w:tc>
        <w:tc>
          <w:tcPr>
            <w:tcW w:w="886" w:type="dxa"/>
            <w:vMerge w:val="continue"/>
            <w:vAlign w:val="center"/>
          </w:tcPr>
          <w:p w14:paraId="60031550">
            <w:pPr>
              <w:rPr>
                <w:rFonts w:ascii="宋体" w:hAnsi="宋体"/>
                <w:color w:val="000000" w:themeColor="text1"/>
                <w:szCs w:val="21"/>
                <w14:textFill>
                  <w14:solidFill>
                    <w14:schemeClr w14:val="tx1"/>
                  </w14:solidFill>
                </w14:textFill>
              </w:rPr>
            </w:pPr>
          </w:p>
        </w:tc>
        <w:tc>
          <w:tcPr>
            <w:tcW w:w="1461" w:type="dxa"/>
            <w:vMerge w:val="continue"/>
            <w:vAlign w:val="center"/>
          </w:tcPr>
          <w:p w14:paraId="715584C9">
            <w:pPr>
              <w:rPr>
                <w:rFonts w:ascii="宋体" w:hAnsi="宋体"/>
                <w:color w:val="000000" w:themeColor="text1"/>
                <w:szCs w:val="21"/>
                <w14:textFill>
                  <w14:solidFill>
                    <w14:schemeClr w14:val="tx1"/>
                  </w14:solidFill>
                </w14:textFill>
              </w:rPr>
            </w:pPr>
          </w:p>
        </w:tc>
        <w:tc>
          <w:tcPr>
            <w:tcW w:w="3389" w:type="dxa"/>
            <w:vAlign w:val="center"/>
          </w:tcPr>
          <w:p w14:paraId="78D4145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巡查到位，发现问题及时处理并上报，在可能发生事故处设有明显标志和防范措施</w:t>
            </w:r>
          </w:p>
        </w:tc>
        <w:tc>
          <w:tcPr>
            <w:tcW w:w="695" w:type="dxa"/>
            <w:noWrap/>
            <w:vAlign w:val="center"/>
          </w:tcPr>
          <w:p w14:paraId="7B1D6196">
            <w:pPr>
              <w:jc w:val="center"/>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p>
        </w:tc>
        <w:tc>
          <w:tcPr>
            <w:tcW w:w="2112" w:type="dxa"/>
            <w:vAlign w:val="center"/>
          </w:tcPr>
          <w:p w14:paraId="3135ADC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73598A7B">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540B5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restart"/>
            <w:noWrap/>
            <w:vAlign w:val="center"/>
          </w:tcPr>
          <w:p w14:paraId="3E5FF15A">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四</w:t>
            </w:r>
          </w:p>
        </w:tc>
        <w:tc>
          <w:tcPr>
            <w:tcW w:w="886" w:type="dxa"/>
            <w:vMerge w:val="restart"/>
            <w:vAlign w:val="center"/>
          </w:tcPr>
          <w:p w14:paraId="01BAE842">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工程</w:t>
            </w:r>
            <w:r>
              <w:rPr>
                <w:rFonts w:hint="eastAsia" w:ascii="宋体" w:hAnsi="宋体"/>
                <w:color w:val="000000" w:themeColor="text1"/>
                <w:szCs w:val="21"/>
                <w14:textFill>
                  <w14:solidFill>
                    <w14:schemeClr w14:val="tx1"/>
                  </w14:solidFill>
                </w14:textFill>
              </w:rPr>
              <w:t>管理</w:t>
            </w:r>
            <w:r>
              <w:rPr>
                <w:rFonts w:hint="eastAsia" w:ascii="宋体" w:hAnsi="宋体"/>
                <w:color w:val="000000" w:themeColor="text1"/>
                <w:szCs w:val="21"/>
                <w14:textFill>
                  <w14:solidFill>
                    <w14:schemeClr w14:val="tx1"/>
                  </w14:solidFill>
                </w14:textFill>
              </w:rPr>
              <w:br w:type="textWrapping"/>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18</w:t>
            </w:r>
            <w:r>
              <w:rPr>
                <w:rFonts w:hint="eastAsia" w:ascii="宋体" w:hAnsi="宋体"/>
                <w:color w:val="000000" w:themeColor="text1"/>
                <w:szCs w:val="21"/>
                <w14:textFill>
                  <w14:solidFill>
                    <w14:schemeClr w14:val="tx1"/>
                  </w14:solidFill>
                </w14:textFill>
              </w:rPr>
              <w:t>分）</w:t>
            </w:r>
          </w:p>
        </w:tc>
        <w:tc>
          <w:tcPr>
            <w:tcW w:w="1461" w:type="dxa"/>
            <w:vMerge w:val="restart"/>
            <w:vAlign w:val="center"/>
          </w:tcPr>
          <w:p w14:paraId="7A6CE84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按照合同要求完成辖区内物业管理和运营管理，确保辖区内公共设备正常运行、公共设施完好</w:t>
            </w:r>
          </w:p>
        </w:tc>
        <w:tc>
          <w:tcPr>
            <w:tcW w:w="3389" w:type="dxa"/>
            <w:vAlign w:val="center"/>
          </w:tcPr>
          <w:p w14:paraId="3F18678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建筑物零星维修及时率98%以上，合格率达100%，并设置相应台账</w:t>
            </w:r>
          </w:p>
        </w:tc>
        <w:tc>
          <w:tcPr>
            <w:tcW w:w="695" w:type="dxa"/>
            <w:noWrap/>
            <w:vAlign w:val="center"/>
          </w:tcPr>
          <w:p w14:paraId="26498921">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p>
        </w:tc>
        <w:tc>
          <w:tcPr>
            <w:tcW w:w="2112" w:type="dxa"/>
            <w:noWrap/>
            <w:vAlign w:val="center"/>
          </w:tcPr>
          <w:p w14:paraId="6E1E88F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24791445">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02A1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525DAA52">
            <w:pPr>
              <w:rPr>
                <w:rFonts w:ascii="宋体" w:hAnsi="宋体"/>
                <w:color w:val="000000" w:themeColor="text1"/>
                <w:szCs w:val="21"/>
                <w14:textFill>
                  <w14:solidFill>
                    <w14:schemeClr w14:val="tx1"/>
                  </w14:solidFill>
                </w14:textFill>
              </w:rPr>
            </w:pPr>
          </w:p>
        </w:tc>
        <w:tc>
          <w:tcPr>
            <w:tcW w:w="886" w:type="dxa"/>
            <w:vMerge w:val="continue"/>
            <w:vAlign w:val="center"/>
          </w:tcPr>
          <w:p w14:paraId="6E5BEBEB">
            <w:pPr>
              <w:rPr>
                <w:rFonts w:ascii="宋体" w:hAnsi="宋体"/>
                <w:color w:val="000000" w:themeColor="text1"/>
                <w:szCs w:val="21"/>
                <w14:textFill>
                  <w14:solidFill>
                    <w14:schemeClr w14:val="tx1"/>
                  </w14:solidFill>
                </w14:textFill>
              </w:rPr>
            </w:pPr>
          </w:p>
        </w:tc>
        <w:tc>
          <w:tcPr>
            <w:tcW w:w="1461" w:type="dxa"/>
            <w:vMerge w:val="continue"/>
            <w:vAlign w:val="center"/>
          </w:tcPr>
          <w:p w14:paraId="5776984C">
            <w:pPr>
              <w:rPr>
                <w:rFonts w:ascii="宋体" w:hAnsi="宋体"/>
                <w:color w:val="000000" w:themeColor="text1"/>
                <w:szCs w:val="21"/>
                <w14:textFill>
                  <w14:solidFill>
                    <w14:schemeClr w14:val="tx1"/>
                  </w14:solidFill>
                </w14:textFill>
              </w:rPr>
            </w:pPr>
          </w:p>
        </w:tc>
        <w:tc>
          <w:tcPr>
            <w:tcW w:w="3389" w:type="dxa"/>
            <w:vAlign w:val="center"/>
          </w:tcPr>
          <w:p w14:paraId="7BBD743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公共部位设施设备（包括区域道路、门、窗、锁、闭门器、楼梯、扶手、安全出口及应急灯、公共卫生设施、路灯、场外照明、围界设施、排风机、空调、新风机以及标志标牌等）正常运行、无损坏，日常保养情况良好</w:t>
            </w:r>
          </w:p>
        </w:tc>
        <w:tc>
          <w:tcPr>
            <w:tcW w:w="695" w:type="dxa"/>
            <w:noWrap/>
            <w:vAlign w:val="center"/>
          </w:tcPr>
          <w:p w14:paraId="2E219085">
            <w:pPr>
              <w:jc w:val="center"/>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p>
        </w:tc>
        <w:tc>
          <w:tcPr>
            <w:tcW w:w="2112" w:type="dxa"/>
            <w:noWrap/>
            <w:vAlign w:val="center"/>
          </w:tcPr>
          <w:p w14:paraId="58B20D1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41AC1B58">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6355B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15609660">
            <w:pPr>
              <w:rPr>
                <w:rFonts w:ascii="宋体" w:hAnsi="宋体"/>
                <w:color w:val="000000" w:themeColor="text1"/>
                <w:szCs w:val="21"/>
                <w14:textFill>
                  <w14:solidFill>
                    <w14:schemeClr w14:val="tx1"/>
                  </w14:solidFill>
                </w14:textFill>
              </w:rPr>
            </w:pPr>
          </w:p>
        </w:tc>
        <w:tc>
          <w:tcPr>
            <w:tcW w:w="886" w:type="dxa"/>
            <w:vMerge w:val="continue"/>
            <w:vAlign w:val="center"/>
          </w:tcPr>
          <w:p w14:paraId="35759CBF">
            <w:pPr>
              <w:rPr>
                <w:rFonts w:ascii="宋体" w:hAnsi="宋体"/>
                <w:color w:val="000000" w:themeColor="text1"/>
                <w:szCs w:val="21"/>
                <w14:textFill>
                  <w14:solidFill>
                    <w14:schemeClr w14:val="tx1"/>
                  </w14:solidFill>
                </w14:textFill>
              </w:rPr>
            </w:pPr>
          </w:p>
        </w:tc>
        <w:tc>
          <w:tcPr>
            <w:tcW w:w="1461" w:type="dxa"/>
            <w:vMerge w:val="continue"/>
            <w:vAlign w:val="center"/>
          </w:tcPr>
          <w:p w14:paraId="7C0B1AE2">
            <w:pPr>
              <w:rPr>
                <w:rFonts w:ascii="宋体" w:hAnsi="宋体"/>
                <w:color w:val="000000" w:themeColor="text1"/>
                <w:szCs w:val="21"/>
                <w14:textFill>
                  <w14:solidFill>
                    <w14:schemeClr w14:val="tx1"/>
                  </w14:solidFill>
                </w14:textFill>
              </w:rPr>
            </w:pPr>
          </w:p>
        </w:tc>
        <w:tc>
          <w:tcPr>
            <w:tcW w:w="3389" w:type="dxa"/>
            <w:vAlign w:val="center"/>
          </w:tcPr>
          <w:p w14:paraId="5113459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区域内供水、供电、给排水、弱电系统正常运行，并根据行业要求定期进行维护保养</w:t>
            </w:r>
          </w:p>
        </w:tc>
        <w:tc>
          <w:tcPr>
            <w:tcW w:w="695" w:type="dxa"/>
            <w:noWrap/>
            <w:vAlign w:val="center"/>
          </w:tcPr>
          <w:p w14:paraId="6B618480">
            <w:pPr>
              <w:jc w:val="center"/>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p>
        </w:tc>
        <w:tc>
          <w:tcPr>
            <w:tcW w:w="2112" w:type="dxa"/>
            <w:noWrap/>
            <w:vAlign w:val="center"/>
          </w:tcPr>
          <w:p w14:paraId="172509C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02F3F048">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52C05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69A80960">
            <w:pPr>
              <w:rPr>
                <w:rFonts w:ascii="宋体" w:hAnsi="宋体"/>
                <w:color w:val="000000" w:themeColor="text1"/>
                <w:szCs w:val="21"/>
                <w14:textFill>
                  <w14:solidFill>
                    <w14:schemeClr w14:val="tx1"/>
                  </w14:solidFill>
                </w14:textFill>
              </w:rPr>
            </w:pPr>
          </w:p>
        </w:tc>
        <w:tc>
          <w:tcPr>
            <w:tcW w:w="886" w:type="dxa"/>
            <w:vMerge w:val="continue"/>
            <w:vAlign w:val="center"/>
          </w:tcPr>
          <w:p w14:paraId="6E7CA12E">
            <w:pPr>
              <w:rPr>
                <w:rFonts w:ascii="宋体" w:hAnsi="宋体"/>
                <w:color w:val="000000" w:themeColor="text1"/>
                <w:szCs w:val="21"/>
                <w14:textFill>
                  <w14:solidFill>
                    <w14:schemeClr w14:val="tx1"/>
                  </w14:solidFill>
                </w14:textFill>
              </w:rPr>
            </w:pPr>
          </w:p>
        </w:tc>
        <w:tc>
          <w:tcPr>
            <w:tcW w:w="1461" w:type="dxa"/>
            <w:vMerge w:val="continue"/>
            <w:vAlign w:val="center"/>
          </w:tcPr>
          <w:p w14:paraId="3E4064D6">
            <w:pPr>
              <w:rPr>
                <w:rFonts w:ascii="宋体" w:hAnsi="宋体"/>
                <w:color w:val="000000" w:themeColor="text1"/>
                <w:szCs w:val="21"/>
                <w14:textFill>
                  <w14:solidFill>
                    <w14:schemeClr w14:val="tx1"/>
                  </w14:solidFill>
                </w14:textFill>
              </w:rPr>
            </w:pPr>
          </w:p>
        </w:tc>
        <w:tc>
          <w:tcPr>
            <w:tcW w:w="3389" w:type="dxa"/>
            <w:vAlign w:val="center"/>
          </w:tcPr>
          <w:p w14:paraId="47693AC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日常各项维修维护台账及报修记录完整、内容详细</w:t>
            </w:r>
          </w:p>
        </w:tc>
        <w:tc>
          <w:tcPr>
            <w:tcW w:w="695" w:type="dxa"/>
            <w:noWrap/>
            <w:vAlign w:val="center"/>
          </w:tcPr>
          <w:p w14:paraId="2B011114">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p>
        </w:tc>
        <w:tc>
          <w:tcPr>
            <w:tcW w:w="2112" w:type="dxa"/>
            <w:noWrap/>
            <w:vAlign w:val="center"/>
          </w:tcPr>
          <w:p w14:paraId="62F900D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05A2D48A">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0A901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373283EF">
            <w:pPr>
              <w:rPr>
                <w:rFonts w:ascii="宋体" w:hAnsi="宋体"/>
                <w:color w:val="000000" w:themeColor="text1"/>
                <w:szCs w:val="21"/>
                <w14:textFill>
                  <w14:solidFill>
                    <w14:schemeClr w14:val="tx1"/>
                  </w14:solidFill>
                </w14:textFill>
              </w:rPr>
            </w:pPr>
          </w:p>
        </w:tc>
        <w:tc>
          <w:tcPr>
            <w:tcW w:w="886" w:type="dxa"/>
            <w:vMerge w:val="continue"/>
            <w:vAlign w:val="center"/>
          </w:tcPr>
          <w:p w14:paraId="27FC43EA">
            <w:pPr>
              <w:rPr>
                <w:rFonts w:ascii="宋体" w:hAnsi="宋体"/>
                <w:color w:val="000000" w:themeColor="text1"/>
                <w:szCs w:val="21"/>
                <w14:textFill>
                  <w14:solidFill>
                    <w14:schemeClr w14:val="tx1"/>
                  </w14:solidFill>
                </w14:textFill>
              </w:rPr>
            </w:pPr>
          </w:p>
        </w:tc>
        <w:tc>
          <w:tcPr>
            <w:tcW w:w="1461" w:type="dxa"/>
            <w:vMerge w:val="continue"/>
            <w:vAlign w:val="center"/>
          </w:tcPr>
          <w:p w14:paraId="13C6248E">
            <w:pPr>
              <w:rPr>
                <w:rFonts w:ascii="宋体" w:hAnsi="宋体"/>
                <w:color w:val="000000" w:themeColor="text1"/>
                <w:szCs w:val="21"/>
                <w14:textFill>
                  <w14:solidFill>
                    <w14:schemeClr w14:val="tx1"/>
                  </w14:solidFill>
                </w14:textFill>
              </w:rPr>
            </w:pPr>
          </w:p>
        </w:tc>
        <w:tc>
          <w:tcPr>
            <w:tcW w:w="3389" w:type="dxa"/>
            <w:vAlign w:val="center"/>
          </w:tcPr>
          <w:p w14:paraId="3375061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施工现场进行有效管理，落实日常施工安全检查，确保施工人员及施工现场安全</w:t>
            </w:r>
          </w:p>
        </w:tc>
        <w:tc>
          <w:tcPr>
            <w:tcW w:w="695" w:type="dxa"/>
            <w:noWrap/>
            <w:vAlign w:val="center"/>
          </w:tcPr>
          <w:p w14:paraId="2B76BA01">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p>
        </w:tc>
        <w:tc>
          <w:tcPr>
            <w:tcW w:w="2112" w:type="dxa"/>
            <w:noWrap/>
            <w:vAlign w:val="center"/>
          </w:tcPr>
          <w:p w14:paraId="04CA8D9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69A56E94">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18F12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54BB4A0B">
            <w:pPr>
              <w:rPr>
                <w:rFonts w:ascii="宋体" w:hAnsi="宋体"/>
                <w:color w:val="000000" w:themeColor="text1"/>
                <w:szCs w:val="21"/>
                <w14:textFill>
                  <w14:solidFill>
                    <w14:schemeClr w14:val="tx1"/>
                  </w14:solidFill>
                </w14:textFill>
              </w:rPr>
            </w:pPr>
          </w:p>
        </w:tc>
        <w:tc>
          <w:tcPr>
            <w:tcW w:w="886" w:type="dxa"/>
            <w:vMerge w:val="continue"/>
            <w:vAlign w:val="center"/>
          </w:tcPr>
          <w:p w14:paraId="30146E46">
            <w:pPr>
              <w:rPr>
                <w:rFonts w:ascii="宋体" w:hAnsi="宋体"/>
                <w:color w:val="000000" w:themeColor="text1"/>
                <w:szCs w:val="21"/>
                <w14:textFill>
                  <w14:solidFill>
                    <w14:schemeClr w14:val="tx1"/>
                  </w14:solidFill>
                </w14:textFill>
              </w:rPr>
            </w:pPr>
          </w:p>
        </w:tc>
        <w:tc>
          <w:tcPr>
            <w:tcW w:w="1461" w:type="dxa"/>
            <w:vMerge w:val="continue"/>
            <w:vAlign w:val="center"/>
          </w:tcPr>
          <w:p w14:paraId="1AD74AF3">
            <w:pPr>
              <w:rPr>
                <w:rFonts w:ascii="宋体" w:hAnsi="宋体"/>
                <w:color w:val="000000" w:themeColor="text1"/>
                <w:szCs w:val="21"/>
                <w14:textFill>
                  <w14:solidFill>
                    <w14:schemeClr w14:val="tx1"/>
                  </w14:solidFill>
                </w14:textFill>
              </w:rPr>
            </w:pPr>
          </w:p>
        </w:tc>
        <w:tc>
          <w:tcPr>
            <w:tcW w:w="3389" w:type="dxa"/>
            <w:vAlign w:val="center"/>
          </w:tcPr>
          <w:p w14:paraId="506305B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每日有设备巡检记录，维护人员严格遵守操作规程及保养规范</w:t>
            </w:r>
          </w:p>
        </w:tc>
        <w:tc>
          <w:tcPr>
            <w:tcW w:w="695" w:type="dxa"/>
            <w:noWrap/>
            <w:vAlign w:val="center"/>
          </w:tcPr>
          <w:p w14:paraId="01E05671">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p>
        </w:tc>
        <w:tc>
          <w:tcPr>
            <w:tcW w:w="2112" w:type="dxa"/>
            <w:noWrap/>
            <w:vAlign w:val="center"/>
          </w:tcPr>
          <w:p w14:paraId="1660EFA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1FD71298">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76935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restart"/>
            <w:noWrap/>
            <w:vAlign w:val="center"/>
          </w:tcPr>
          <w:p w14:paraId="7669D77D">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五</w:t>
            </w:r>
          </w:p>
        </w:tc>
        <w:tc>
          <w:tcPr>
            <w:tcW w:w="886" w:type="dxa"/>
            <w:vMerge w:val="restart"/>
            <w:vAlign w:val="center"/>
          </w:tcPr>
          <w:p w14:paraId="557CDAE2">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环境管理</w:t>
            </w:r>
            <w:r>
              <w:rPr>
                <w:rFonts w:hint="eastAsia" w:ascii="宋体" w:hAnsi="宋体"/>
                <w:color w:val="000000" w:themeColor="text1"/>
                <w:szCs w:val="21"/>
                <w14:textFill>
                  <w14:solidFill>
                    <w14:schemeClr w14:val="tx1"/>
                  </w14:solidFill>
                </w14:textFill>
              </w:rPr>
              <w:br w:type="textWrapping"/>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1</w:t>
            </w:r>
            <w:r>
              <w:rPr>
                <w:rFonts w:hint="eastAsia" w:ascii="宋体" w:hAnsi="宋体"/>
                <w:color w:val="000000" w:themeColor="text1"/>
                <w:szCs w:val="21"/>
                <w:lang w:val="en-US" w:eastAsia="zh-CN"/>
                <w14:textFill>
                  <w14:solidFill>
                    <w14:schemeClr w14:val="tx1"/>
                  </w14:solidFill>
                </w14:textFill>
              </w:rPr>
              <w:t>5</w:t>
            </w:r>
            <w:r>
              <w:rPr>
                <w:rFonts w:hint="eastAsia" w:ascii="宋体" w:hAnsi="宋体"/>
                <w:color w:val="000000" w:themeColor="text1"/>
                <w:szCs w:val="21"/>
                <w14:textFill>
                  <w14:solidFill>
                    <w14:schemeClr w14:val="tx1"/>
                  </w14:solidFill>
                </w14:textFill>
              </w:rPr>
              <w:t>分）</w:t>
            </w:r>
          </w:p>
        </w:tc>
        <w:tc>
          <w:tcPr>
            <w:tcW w:w="1461" w:type="dxa"/>
            <w:vMerge w:val="restart"/>
            <w:vAlign w:val="center"/>
          </w:tcPr>
          <w:p w14:paraId="31E5EF5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按照合同要求完成辖区内物业管理和运营管理，确保辖区内环境整洁、舒适</w:t>
            </w:r>
          </w:p>
        </w:tc>
        <w:tc>
          <w:tcPr>
            <w:tcW w:w="3389" w:type="dxa"/>
            <w:vAlign w:val="center"/>
          </w:tcPr>
          <w:p w14:paraId="5D1B8AE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公共区域、公共卫生间及设备房按规定进行清洁</w:t>
            </w:r>
          </w:p>
        </w:tc>
        <w:tc>
          <w:tcPr>
            <w:tcW w:w="695" w:type="dxa"/>
            <w:noWrap/>
            <w:vAlign w:val="center"/>
          </w:tcPr>
          <w:p w14:paraId="04ACF03A">
            <w:pPr>
              <w:jc w:val="center"/>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p>
        </w:tc>
        <w:tc>
          <w:tcPr>
            <w:tcW w:w="2112" w:type="dxa"/>
            <w:vAlign w:val="center"/>
          </w:tcPr>
          <w:p w14:paraId="7988A3E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0A04D606">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4EAFD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0D689BC7">
            <w:pPr>
              <w:rPr>
                <w:rFonts w:ascii="宋体" w:hAnsi="宋体"/>
                <w:color w:val="000000" w:themeColor="text1"/>
                <w:szCs w:val="21"/>
                <w14:textFill>
                  <w14:solidFill>
                    <w14:schemeClr w14:val="tx1"/>
                  </w14:solidFill>
                </w14:textFill>
              </w:rPr>
            </w:pPr>
          </w:p>
        </w:tc>
        <w:tc>
          <w:tcPr>
            <w:tcW w:w="886" w:type="dxa"/>
            <w:vMerge w:val="continue"/>
            <w:vAlign w:val="center"/>
          </w:tcPr>
          <w:p w14:paraId="012CC9AF">
            <w:pPr>
              <w:rPr>
                <w:rFonts w:ascii="宋体" w:hAnsi="宋体"/>
                <w:color w:val="000000" w:themeColor="text1"/>
                <w:szCs w:val="21"/>
                <w14:textFill>
                  <w14:solidFill>
                    <w14:schemeClr w14:val="tx1"/>
                  </w14:solidFill>
                </w14:textFill>
              </w:rPr>
            </w:pPr>
          </w:p>
        </w:tc>
        <w:tc>
          <w:tcPr>
            <w:tcW w:w="1461" w:type="dxa"/>
            <w:vMerge w:val="continue"/>
            <w:vAlign w:val="center"/>
          </w:tcPr>
          <w:p w14:paraId="2E41EE61">
            <w:pPr>
              <w:rPr>
                <w:rFonts w:ascii="宋体" w:hAnsi="宋体"/>
                <w:color w:val="000000" w:themeColor="text1"/>
                <w:szCs w:val="21"/>
                <w14:textFill>
                  <w14:solidFill>
                    <w14:schemeClr w14:val="tx1"/>
                  </w14:solidFill>
                </w14:textFill>
              </w:rPr>
            </w:pPr>
          </w:p>
        </w:tc>
        <w:tc>
          <w:tcPr>
            <w:tcW w:w="3389" w:type="dxa"/>
            <w:vAlign w:val="center"/>
          </w:tcPr>
          <w:p w14:paraId="3262D4B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公共设施设备按规定进行清洁</w:t>
            </w:r>
          </w:p>
        </w:tc>
        <w:tc>
          <w:tcPr>
            <w:tcW w:w="695" w:type="dxa"/>
            <w:noWrap/>
            <w:vAlign w:val="center"/>
          </w:tcPr>
          <w:p w14:paraId="1487F8F1">
            <w:pPr>
              <w:jc w:val="center"/>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p>
        </w:tc>
        <w:tc>
          <w:tcPr>
            <w:tcW w:w="2112" w:type="dxa"/>
            <w:vAlign w:val="center"/>
          </w:tcPr>
          <w:p w14:paraId="3F66001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471D6B72">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07695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4C262727">
            <w:pPr>
              <w:rPr>
                <w:rFonts w:ascii="宋体" w:hAnsi="宋体"/>
                <w:color w:val="000000" w:themeColor="text1"/>
                <w:szCs w:val="21"/>
                <w14:textFill>
                  <w14:solidFill>
                    <w14:schemeClr w14:val="tx1"/>
                  </w14:solidFill>
                </w14:textFill>
              </w:rPr>
            </w:pPr>
          </w:p>
        </w:tc>
        <w:tc>
          <w:tcPr>
            <w:tcW w:w="886" w:type="dxa"/>
            <w:vMerge w:val="continue"/>
            <w:vAlign w:val="center"/>
          </w:tcPr>
          <w:p w14:paraId="6EB8DB6E">
            <w:pPr>
              <w:rPr>
                <w:rFonts w:ascii="宋体" w:hAnsi="宋体"/>
                <w:color w:val="000000" w:themeColor="text1"/>
                <w:szCs w:val="21"/>
                <w14:textFill>
                  <w14:solidFill>
                    <w14:schemeClr w14:val="tx1"/>
                  </w14:solidFill>
                </w14:textFill>
              </w:rPr>
            </w:pPr>
          </w:p>
        </w:tc>
        <w:tc>
          <w:tcPr>
            <w:tcW w:w="1461" w:type="dxa"/>
            <w:vMerge w:val="continue"/>
            <w:vAlign w:val="center"/>
          </w:tcPr>
          <w:p w14:paraId="44C70A1D">
            <w:pPr>
              <w:rPr>
                <w:rFonts w:ascii="宋体" w:hAnsi="宋体"/>
                <w:color w:val="000000" w:themeColor="text1"/>
                <w:szCs w:val="21"/>
                <w14:textFill>
                  <w14:solidFill>
                    <w14:schemeClr w14:val="tx1"/>
                  </w14:solidFill>
                </w14:textFill>
              </w:rPr>
            </w:pPr>
          </w:p>
        </w:tc>
        <w:tc>
          <w:tcPr>
            <w:tcW w:w="3389" w:type="dxa"/>
            <w:vAlign w:val="center"/>
          </w:tcPr>
          <w:p w14:paraId="22DBDDD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室外无大量有色垃圾</w:t>
            </w:r>
          </w:p>
        </w:tc>
        <w:tc>
          <w:tcPr>
            <w:tcW w:w="695" w:type="dxa"/>
            <w:noWrap/>
            <w:vAlign w:val="center"/>
          </w:tcPr>
          <w:p w14:paraId="67D96840">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p>
        </w:tc>
        <w:tc>
          <w:tcPr>
            <w:tcW w:w="2112" w:type="dxa"/>
            <w:vAlign w:val="center"/>
          </w:tcPr>
          <w:p w14:paraId="1A814A7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6D12DB05">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p>
        </w:tc>
      </w:tr>
      <w:tr w14:paraId="13AD8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6E6B002A">
            <w:pPr>
              <w:rPr>
                <w:rFonts w:ascii="宋体" w:hAnsi="宋体"/>
                <w:color w:val="000000" w:themeColor="text1"/>
                <w:szCs w:val="21"/>
                <w14:textFill>
                  <w14:solidFill>
                    <w14:schemeClr w14:val="tx1"/>
                  </w14:solidFill>
                </w14:textFill>
              </w:rPr>
            </w:pPr>
          </w:p>
        </w:tc>
        <w:tc>
          <w:tcPr>
            <w:tcW w:w="886" w:type="dxa"/>
            <w:vMerge w:val="continue"/>
            <w:vAlign w:val="center"/>
          </w:tcPr>
          <w:p w14:paraId="19F238F5">
            <w:pPr>
              <w:rPr>
                <w:rFonts w:ascii="宋体" w:hAnsi="宋体"/>
                <w:color w:val="000000" w:themeColor="text1"/>
                <w:szCs w:val="21"/>
                <w14:textFill>
                  <w14:solidFill>
                    <w14:schemeClr w14:val="tx1"/>
                  </w14:solidFill>
                </w14:textFill>
              </w:rPr>
            </w:pPr>
          </w:p>
        </w:tc>
        <w:tc>
          <w:tcPr>
            <w:tcW w:w="1461" w:type="dxa"/>
            <w:vMerge w:val="continue"/>
            <w:vAlign w:val="center"/>
          </w:tcPr>
          <w:p w14:paraId="7C7FBF7B">
            <w:pPr>
              <w:rPr>
                <w:rFonts w:ascii="宋体" w:hAnsi="宋体"/>
                <w:color w:val="000000" w:themeColor="text1"/>
                <w:szCs w:val="21"/>
                <w14:textFill>
                  <w14:solidFill>
                    <w14:schemeClr w14:val="tx1"/>
                  </w14:solidFill>
                </w14:textFill>
              </w:rPr>
            </w:pPr>
          </w:p>
        </w:tc>
        <w:tc>
          <w:tcPr>
            <w:tcW w:w="3389" w:type="dxa"/>
            <w:vAlign w:val="center"/>
          </w:tcPr>
          <w:p w14:paraId="4BE1BF8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生活垃圾日产日清</w:t>
            </w:r>
          </w:p>
        </w:tc>
        <w:tc>
          <w:tcPr>
            <w:tcW w:w="695" w:type="dxa"/>
            <w:noWrap/>
            <w:vAlign w:val="center"/>
          </w:tcPr>
          <w:p w14:paraId="2E7D82F9">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p>
        </w:tc>
        <w:tc>
          <w:tcPr>
            <w:tcW w:w="2112" w:type="dxa"/>
            <w:vAlign w:val="center"/>
          </w:tcPr>
          <w:p w14:paraId="201657A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142CBF24">
            <w:pPr>
              <w:jc w:val="center"/>
              <w:rPr>
                <w:rFonts w:ascii="宋体" w:hAnsi="宋体"/>
                <w:color w:val="000000" w:themeColor="text1"/>
                <w:szCs w:val="21"/>
                <w14:textFill>
                  <w14:solidFill>
                    <w14:schemeClr w14:val="tx1"/>
                  </w14:solidFill>
                </w14:textFill>
              </w:rPr>
            </w:pPr>
          </w:p>
        </w:tc>
      </w:tr>
      <w:tr w14:paraId="3A231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023B9ED2">
            <w:pPr>
              <w:rPr>
                <w:rFonts w:ascii="宋体" w:hAnsi="宋体"/>
                <w:color w:val="000000" w:themeColor="text1"/>
                <w:szCs w:val="21"/>
                <w14:textFill>
                  <w14:solidFill>
                    <w14:schemeClr w14:val="tx1"/>
                  </w14:solidFill>
                </w14:textFill>
              </w:rPr>
            </w:pPr>
          </w:p>
        </w:tc>
        <w:tc>
          <w:tcPr>
            <w:tcW w:w="886" w:type="dxa"/>
            <w:vMerge w:val="continue"/>
            <w:vAlign w:val="center"/>
          </w:tcPr>
          <w:p w14:paraId="44489762">
            <w:pPr>
              <w:rPr>
                <w:rFonts w:ascii="宋体" w:hAnsi="宋体"/>
                <w:color w:val="000000" w:themeColor="text1"/>
                <w:szCs w:val="21"/>
                <w14:textFill>
                  <w14:solidFill>
                    <w14:schemeClr w14:val="tx1"/>
                  </w14:solidFill>
                </w14:textFill>
              </w:rPr>
            </w:pPr>
          </w:p>
        </w:tc>
        <w:tc>
          <w:tcPr>
            <w:tcW w:w="1461" w:type="dxa"/>
            <w:vMerge w:val="continue"/>
            <w:vAlign w:val="center"/>
          </w:tcPr>
          <w:p w14:paraId="2FE4742E">
            <w:pPr>
              <w:rPr>
                <w:rFonts w:ascii="宋体" w:hAnsi="宋体"/>
                <w:color w:val="000000" w:themeColor="text1"/>
                <w:szCs w:val="21"/>
                <w14:textFill>
                  <w14:solidFill>
                    <w14:schemeClr w14:val="tx1"/>
                  </w14:solidFill>
                </w14:textFill>
              </w:rPr>
            </w:pPr>
          </w:p>
        </w:tc>
        <w:tc>
          <w:tcPr>
            <w:tcW w:w="3389" w:type="dxa"/>
            <w:vAlign w:val="center"/>
          </w:tcPr>
          <w:p w14:paraId="6A49D09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室内摆绿植株及时养护，长势良好，病株及时更换</w:t>
            </w:r>
          </w:p>
        </w:tc>
        <w:tc>
          <w:tcPr>
            <w:tcW w:w="695" w:type="dxa"/>
            <w:noWrap/>
            <w:vAlign w:val="center"/>
          </w:tcPr>
          <w:p w14:paraId="2CD32BEF">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2112" w:type="dxa"/>
            <w:vAlign w:val="center"/>
          </w:tcPr>
          <w:p w14:paraId="3C4940D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61489FB0">
            <w:pPr>
              <w:jc w:val="center"/>
              <w:rPr>
                <w:rFonts w:ascii="宋体" w:hAnsi="宋体"/>
                <w:color w:val="000000" w:themeColor="text1"/>
                <w:szCs w:val="21"/>
                <w14:textFill>
                  <w14:solidFill>
                    <w14:schemeClr w14:val="tx1"/>
                  </w14:solidFill>
                </w14:textFill>
              </w:rPr>
            </w:pPr>
          </w:p>
        </w:tc>
      </w:tr>
      <w:tr w14:paraId="008EA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restart"/>
            <w:vAlign w:val="center"/>
          </w:tcPr>
          <w:p w14:paraId="6F01510D">
            <w:pPr>
              <w:jc w:val="center"/>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六</w:t>
            </w:r>
          </w:p>
        </w:tc>
        <w:tc>
          <w:tcPr>
            <w:tcW w:w="886" w:type="dxa"/>
            <w:vMerge w:val="restart"/>
            <w:vAlign w:val="center"/>
          </w:tcPr>
          <w:p w14:paraId="441CE173">
            <w:pPr>
              <w:jc w:val="center"/>
              <w:rPr>
                <w:rFonts w:hint="default"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赛事管理</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8</w:t>
            </w:r>
            <w:r>
              <w:rPr>
                <w:rFonts w:hint="eastAsia" w:ascii="宋体" w:hAnsi="宋体"/>
                <w:color w:val="000000" w:themeColor="text1"/>
                <w:szCs w:val="21"/>
                <w14:textFill>
                  <w14:solidFill>
                    <w14:schemeClr w14:val="tx1"/>
                  </w14:solidFill>
                </w14:textFill>
              </w:rPr>
              <w:t>分）</w:t>
            </w:r>
          </w:p>
        </w:tc>
        <w:tc>
          <w:tcPr>
            <w:tcW w:w="1461" w:type="dxa"/>
            <w:vMerge w:val="restart"/>
            <w:vAlign w:val="center"/>
          </w:tcPr>
          <w:p w14:paraId="4E86B97F">
            <w:pPr>
              <w:jc w:val="center"/>
              <w:rPr>
                <w:rFonts w:hint="default"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按合同要求确保赛事活动正常顺利进行</w:t>
            </w:r>
          </w:p>
        </w:tc>
        <w:tc>
          <w:tcPr>
            <w:tcW w:w="3389" w:type="dxa"/>
            <w:vAlign w:val="center"/>
          </w:tcPr>
          <w:p w14:paraId="65973E39">
            <w:pPr>
              <w:rPr>
                <w:rFonts w:hint="default"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正确操作、使用赛事/活动的灯光、音响等设备。</w:t>
            </w:r>
          </w:p>
        </w:tc>
        <w:tc>
          <w:tcPr>
            <w:tcW w:w="695" w:type="dxa"/>
            <w:noWrap/>
            <w:vAlign w:val="center"/>
          </w:tcPr>
          <w:p w14:paraId="764C3F26">
            <w:pPr>
              <w:jc w:val="center"/>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p>
        </w:tc>
        <w:tc>
          <w:tcPr>
            <w:tcW w:w="2112" w:type="dxa"/>
            <w:vAlign w:val="center"/>
          </w:tcPr>
          <w:p w14:paraId="5C22B234">
            <w:p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1D260E0C">
            <w:pPr>
              <w:jc w:val="center"/>
              <w:rPr>
                <w:rFonts w:ascii="宋体" w:hAnsi="宋体"/>
                <w:color w:val="000000" w:themeColor="text1"/>
                <w:szCs w:val="21"/>
                <w14:textFill>
                  <w14:solidFill>
                    <w14:schemeClr w14:val="tx1"/>
                  </w14:solidFill>
                </w14:textFill>
              </w:rPr>
            </w:pPr>
          </w:p>
        </w:tc>
      </w:tr>
      <w:tr w14:paraId="11B6B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076396F4">
            <w:pPr>
              <w:jc w:val="center"/>
              <w:rPr>
                <w:rFonts w:ascii="宋体" w:hAnsi="宋体"/>
                <w:color w:val="000000" w:themeColor="text1"/>
                <w:szCs w:val="21"/>
                <w14:textFill>
                  <w14:solidFill>
                    <w14:schemeClr w14:val="tx1"/>
                  </w14:solidFill>
                </w14:textFill>
              </w:rPr>
            </w:pPr>
          </w:p>
        </w:tc>
        <w:tc>
          <w:tcPr>
            <w:tcW w:w="886" w:type="dxa"/>
            <w:vMerge w:val="continue"/>
            <w:vAlign w:val="center"/>
          </w:tcPr>
          <w:p w14:paraId="4F4F369C">
            <w:pPr>
              <w:jc w:val="center"/>
              <w:rPr>
                <w:rFonts w:ascii="宋体" w:hAnsi="宋体"/>
                <w:color w:val="000000" w:themeColor="text1"/>
                <w:szCs w:val="21"/>
                <w14:textFill>
                  <w14:solidFill>
                    <w14:schemeClr w14:val="tx1"/>
                  </w14:solidFill>
                </w14:textFill>
              </w:rPr>
            </w:pPr>
          </w:p>
        </w:tc>
        <w:tc>
          <w:tcPr>
            <w:tcW w:w="1461" w:type="dxa"/>
            <w:vMerge w:val="continue"/>
            <w:vAlign w:val="center"/>
          </w:tcPr>
          <w:p w14:paraId="3E827C5B">
            <w:pPr>
              <w:jc w:val="center"/>
              <w:rPr>
                <w:rFonts w:ascii="宋体" w:hAnsi="宋体"/>
                <w:color w:val="000000" w:themeColor="text1"/>
                <w:szCs w:val="21"/>
                <w14:textFill>
                  <w14:solidFill>
                    <w14:schemeClr w14:val="tx1"/>
                  </w14:solidFill>
                </w14:textFill>
              </w:rPr>
            </w:pPr>
          </w:p>
        </w:tc>
        <w:tc>
          <w:tcPr>
            <w:tcW w:w="3389" w:type="dxa"/>
            <w:vAlign w:val="center"/>
          </w:tcPr>
          <w:p w14:paraId="42D728D4">
            <w:pPr>
              <w:rPr>
                <w:rFonts w:hint="default" w:ascii="宋体" w:hAnsi="宋体"/>
                <w:color w:val="000000" w:themeColor="text1"/>
                <w:szCs w:val="21"/>
                <w:lang w:val="en-US"/>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赛事/活动全程进行更进保障。</w:t>
            </w:r>
          </w:p>
        </w:tc>
        <w:tc>
          <w:tcPr>
            <w:tcW w:w="695" w:type="dxa"/>
            <w:noWrap/>
            <w:vAlign w:val="center"/>
          </w:tcPr>
          <w:p w14:paraId="007EAB46">
            <w:pPr>
              <w:jc w:val="center"/>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p>
        </w:tc>
        <w:tc>
          <w:tcPr>
            <w:tcW w:w="2112" w:type="dxa"/>
            <w:vAlign w:val="center"/>
          </w:tcPr>
          <w:p w14:paraId="095DB01F">
            <w:p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62C1A550">
            <w:pPr>
              <w:jc w:val="center"/>
              <w:rPr>
                <w:rFonts w:ascii="宋体" w:hAnsi="宋体"/>
                <w:color w:val="000000" w:themeColor="text1"/>
                <w:szCs w:val="21"/>
                <w14:textFill>
                  <w14:solidFill>
                    <w14:schemeClr w14:val="tx1"/>
                  </w14:solidFill>
                </w14:textFill>
              </w:rPr>
            </w:pPr>
          </w:p>
        </w:tc>
      </w:tr>
      <w:tr w14:paraId="04768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641F0D46">
            <w:pPr>
              <w:jc w:val="center"/>
              <w:rPr>
                <w:rFonts w:ascii="宋体" w:hAnsi="宋体"/>
                <w:color w:val="000000" w:themeColor="text1"/>
                <w:szCs w:val="21"/>
                <w14:textFill>
                  <w14:solidFill>
                    <w14:schemeClr w14:val="tx1"/>
                  </w14:solidFill>
                </w14:textFill>
              </w:rPr>
            </w:pPr>
          </w:p>
        </w:tc>
        <w:tc>
          <w:tcPr>
            <w:tcW w:w="886" w:type="dxa"/>
            <w:vMerge w:val="continue"/>
            <w:vAlign w:val="center"/>
          </w:tcPr>
          <w:p w14:paraId="6DB99EE4">
            <w:pPr>
              <w:jc w:val="center"/>
              <w:rPr>
                <w:rFonts w:ascii="宋体" w:hAnsi="宋体"/>
                <w:color w:val="000000" w:themeColor="text1"/>
                <w:szCs w:val="21"/>
                <w14:textFill>
                  <w14:solidFill>
                    <w14:schemeClr w14:val="tx1"/>
                  </w14:solidFill>
                </w14:textFill>
              </w:rPr>
            </w:pPr>
          </w:p>
        </w:tc>
        <w:tc>
          <w:tcPr>
            <w:tcW w:w="1461" w:type="dxa"/>
            <w:vMerge w:val="continue"/>
            <w:vAlign w:val="center"/>
          </w:tcPr>
          <w:p w14:paraId="3BFC0165">
            <w:pPr>
              <w:jc w:val="center"/>
              <w:rPr>
                <w:rFonts w:ascii="宋体" w:hAnsi="宋体"/>
                <w:color w:val="000000" w:themeColor="text1"/>
                <w:szCs w:val="21"/>
                <w14:textFill>
                  <w14:solidFill>
                    <w14:schemeClr w14:val="tx1"/>
                  </w14:solidFill>
                </w14:textFill>
              </w:rPr>
            </w:pPr>
          </w:p>
        </w:tc>
        <w:tc>
          <w:tcPr>
            <w:tcW w:w="3389" w:type="dxa"/>
            <w:vAlign w:val="center"/>
          </w:tcPr>
          <w:p w14:paraId="1DF5CBAD">
            <w:pPr>
              <w:rPr>
                <w:rFonts w:hint="default"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不发生因设备操作不当而引起的安全事故</w:t>
            </w:r>
          </w:p>
        </w:tc>
        <w:tc>
          <w:tcPr>
            <w:tcW w:w="695" w:type="dxa"/>
            <w:noWrap/>
            <w:vAlign w:val="center"/>
          </w:tcPr>
          <w:p w14:paraId="3F755B98">
            <w:pPr>
              <w:jc w:val="center"/>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w:t>
            </w:r>
          </w:p>
        </w:tc>
        <w:tc>
          <w:tcPr>
            <w:tcW w:w="2112" w:type="dxa"/>
            <w:vAlign w:val="center"/>
          </w:tcPr>
          <w:p w14:paraId="190521BE">
            <w:p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17B2B622">
            <w:pPr>
              <w:jc w:val="center"/>
              <w:rPr>
                <w:rFonts w:ascii="宋体" w:hAnsi="宋体"/>
                <w:color w:val="000000" w:themeColor="text1"/>
                <w:szCs w:val="21"/>
                <w14:textFill>
                  <w14:solidFill>
                    <w14:schemeClr w14:val="tx1"/>
                  </w14:solidFill>
                </w14:textFill>
              </w:rPr>
            </w:pPr>
          </w:p>
        </w:tc>
      </w:tr>
      <w:tr w14:paraId="24142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restart"/>
            <w:vAlign w:val="center"/>
          </w:tcPr>
          <w:p w14:paraId="70AB53B0">
            <w:pPr>
              <w:jc w:val="center"/>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七</w:t>
            </w:r>
          </w:p>
        </w:tc>
        <w:tc>
          <w:tcPr>
            <w:tcW w:w="886" w:type="dxa"/>
            <w:vMerge w:val="restart"/>
            <w:vAlign w:val="center"/>
          </w:tcPr>
          <w:p w14:paraId="6E6780DC">
            <w:pPr>
              <w:jc w:val="center"/>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就餐管理</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6</w:t>
            </w:r>
            <w:r>
              <w:rPr>
                <w:rFonts w:hint="eastAsia" w:ascii="宋体" w:hAnsi="宋体"/>
                <w:color w:val="000000" w:themeColor="text1"/>
                <w:szCs w:val="21"/>
                <w14:textFill>
                  <w14:solidFill>
                    <w14:schemeClr w14:val="tx1"/>
                  </w14:solidFill>
                </w14:textFill>
              </w:rPr>
              <w:t>分）</w:t>
            </w:r>
          </w:p>
        </w:tc>
        <w:tc>
          <w:tcPr>
            <w:tcW w:w="1461" w:type="dxa"/>
            <w:vMerge w:val="restart"/>
            <w:vAlign w:val="center"/>
          </w:tcPr>
          <w:p w14:paraId="252F6D9B">
            <w:pPr>
              <w:jc w:val="center"/>
              <w:rPr>
                <w:rFonts w:hint="default" w:ascii="宋体" w:hAnsi="宋体"/>
                <w:color w:val="000000" w:themeColor="text1"/>
                <w:szCs w:val="21"/>
                <w:lang w:val="en-US"/>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按合同要求做好就餐秩序及环境管理</w:t>
            </w:r>
          </w:p>
        </w:tc>
        <w:tc>
          <w:tcPr>
            <w:tcW w:w="3389" w:type="dxa"/>
            <w:vAlign w:val="center"/>
          </w:tcPr>
          <w:p w14:paraId="5F5D45D0">
            <w:pPr>
              <w:rPr>
                <w:rFonts w:hint="default"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不发生因就餐秩序引发的安全事故</w:t>
            </w:r>
          </w:p>
        </w:tc>
        <w:tc>
          <w:tcPr>
            <w:tcW w:w="695" w:type="dxa"/>
            <w:noWrap/>
            <w:vAlign w:val="center"/>
          </w:tcPr>
          <w:p w14:paraId="1C79B96A">
            <w:pPr>
              <w:jc w:val="center"/>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p>
        </w:tc>
        <w:tc>
          <w:tcPr>
            <w:tcW w:w="2112" w:type="dxa"/>
            <w:vAlign w:val="center"/>
          </w:tcPr>
          <w:p w14:paraId="0B3A0CBE">
            <w:p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48D202CE">
            <w:pPr>
              <w:jc w:val="center"/>
              <w:rPr>
                <w:rFonts w:ascii="宋体" w:hAnsi="宋体"/>
                <w:color w:val="000000" w:themeColor="text1"/>
                <w:szCs w:val="21"/>
                <w14:textFill>
                  <w14:solidFill>
                    <w14:schemeClr w14:val="tx1"/>
                  </w14:solidFill>
                </w14:textFill>
              </w:rPr>
            </w:pPr>
          </w:p>
        </w:tc>
      </w:tr>
      <w:tr w14:paraId="7A2F7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572" w:type="dxa"/>
            <w:vMerge w:val="continue"/>
            <w:vAlign w:val="center"/>
          </w:tcPr>
          <w:p w14:paraId="48952D59">
            <w:pPr>
              <w:rPr>
                <w:rFonts w:ascii="宋体" w:hAnsi="宋体"/>
                <w:color w:val="000000" w:themeColor="text1"/>
                <w:szCs w:val="21"/>
                <w14:textFill>
                  <w14:solidFill>
                    <w14:schemeClr w14:val="tx1"/>
                  </w14:solidFill>
                </w14:textFill>
              </w:rPr>
            </w:pPr>
          </w:p>
        </w:tc>
        <w:tc>
          <w:tcPr>
            <w:tcW w:w="886" w:type="dxa"/>
            <w:vMerge w:val="continue"/>
            <w:vAlign w:val="center"/>
          </w:tcPr>
          <w:p w14:paraId="1DB1D98E">
            <w:pPr>
              <w:rPr>
                <w:rFonts w:ascii="宋体" w:hAnsi="宋体"/>
                <w:color w:val="000000" w:themeColor="text1"/>
                <w:szCs w:val="21"/>
                <w14:textFill>
                  <w14:solidFill>
                    <w14:schemeClr w14:val="tx1"/>
                  </w14:solidFill>
                </w14:textFill>
              </w:rPr>
            </w:pPr>
          </w:p>
        </w:tc>
        <w:tc>
          <w:tcPr>
            <w:tcW w:w="1461" w:type="dxa"/>
            <w:vMerge w:val="continue"/>
            <w:vAlign w:val="center"/>
          </w:tcPr>
          <w:p w14:paraId="25495BF8">
            <w:pPr>
              <w:rPr>
                <w:rFonts w:ascii="宋体" w:hAnsi="宋体"/>
                <w:color w:val="000000" w:themeColor="text1"/>
                <w:szCs w:val="21"/>
                <w14:textFill>
                  <w14:solidFill>
                    <w14:schemeClr w14:val="tx1"/>
                  </w14:solidFill>
                </w14:textFill>
              </w:rPr>
            </w:pPr>
          </w:p>
        </w:tc>
        <w:tc>
          <w:tcPr>
            <w:tcW w:w="3389" w:type="dxa"/>
            <w:vAlign w:val="center"/>
          </w:tcPr>
          <w:p w14:paraId="17F071F8">
            <w:pPr>
              <w:rPr>
                <w:rFonts w:hint="default"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餐饮垃圾及时处理</w:t>
            </w:r>
          </w:p>
        </w:tc>
        <w:tc>
          <w:tcPr>
            <w:tcW w:w="695" w:type="dxa"/>
            <w:noWrap/>
            <w:vAlign w:val="center"/>
          </w:tcPr>
          <w:p w14:paraId="34FB856F">
            <w:pPr>
              <w:jc w:val="center"/>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p>
        </w:tc>
        <w:tc>
          <w:tcPr>
            <w:tcW w:w="2112" w:type="dxa"/>
            <w:vAlign w:val="center"/>
          </w:tcPr>
          <w:p w14:paraId="3010CDAD">
            <w:p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每发现一次不符扣1分</w:t>
            </w:r>
          </w:p>
        </w:tc>
        <w:tc>
          <w:tcPr>
            <w:tcW w:w="493" w:type="dxa"/>
            <w:noWrap/>
            <w:vAlign w:val="center"/>
          </w:tcPr>
          <w:p w14:paraId="4974A411">
            <w:pPr>
              <w:jc w:val="center"/>
              <w:rPr>
                <w:rFonts w:ascii="宋体" w:hAnsi="宋体"/>
                <w:color w:val="000000" w:themeColor="text1"/>
                <w:szCs w:val="21"/>
                <w14:textFill>
                  <w14:solidFill>
                    <w14:schemeClr w14:val="tx1"/>
                  </w14:solidFill>
                </w14:textFill>
              </w:rPr>
            </w:pPr>
          </w:p>
        </w:tc>
      </w:tr>
      <w:tr w14:paraId="1B6A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6308" w:type="dxa"/>
            <w:gridSpan w:val="4"/>
            <w:noWrap/>
            <w:vAlign w:val="center"/>
          </w:tcPr>
          <w:p w14:paraId="5EDF44D2">
            <w:pPr>
              <w:jc w:val="center"/>
              <w:rPr>
                <w:rFonts w:ascii="宋体" w:hAnsi="宋体"/>
                <w:b/>
                <w:bCs/>
                <w:color w:val="000000" w:themeColor="text1"/>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总分</w:t>
            </w:r>
          </w:p>
        </w:tc>
        <w:tc>
          <w:tcPr>
            <w:tcW w:w="695" w:type="dxa"/>
            <w:noWrap/>
            <w:vAlign w:val="center"/>
          </w:tcPr>
          <w:p w14:paraId="366026A6">
            <w:pPr>
              <w:jc w:val="center"/>
              <w:rPr>
                <w:rFonts w:ascii="宋体" w:hAnsi="宋体"/>
                <w:b/>
                <w:bCs/>
                <w:color w:val="000000" w:themeColor="text1"/>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100</w:t>
            </w:r>
          </w:p>
        </w:tc>
        <w:tc>
          <w:tcPr>
            <w:tcW w:w="2112" w:type="dxa"/>
            <w:noWrap/>
            <w:vAlign w:val="center"/>
          </w:tcPr>
          <w:p w14:paraId="21B77989">
            <w:pPr>
              <w:jc w:val="center"/>
              <w:rPr>
                <w:rFonts w:ascii="宋体" w:hAnsi="宋体"/>
                <w:b/>
                <w:bCs/>
                <w:color w:val="000000" w:themeColor="text1"/>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　</w:t>
            </w:r>
          </w:p>
        </w:tc>
        <w:tc>
          <w:tcPr>
            <w:tcW w:w="493" w:type="dxa"/>
            <w:noWrap/>
            <w:vAlign w:val="center"/>
          </w:tcPr>
          <w:p w14:paraId="16BE3E56">
            <w:pPr>
              <w:jc w:val="center"/>
              <w:rPr>
                <w:rFonts w:ascii="宋体" w:hAnsi="宋体"/>
                <w:b/>
                <w:bCs/>
                <w:color w:val="000000" w:themeColor="text1"/>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　</w:t>
            </w:r>
          </w:p>
        </w:tc>
      </w:tr>
    </w:tbl>
    <w:p w14:paraId="461F4782">
      <w:pPr>
        <w:pStyle w:val="5"/>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文泉驿微米黑"/>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CESI黑体-GB13000">
    <w:panose1 w:val="02000500000000000000"/>
    <w:charset w:val="86"/>
    <w:family w:val="auto"/>
    <w:pitch w:val="default"/>
    <w:sig w:usb0="800002BF" w:usb1="38CF7CF8" w:usb2="00000016" w:usb3="00000000" w:csb0="0004000F" w:csb1="00000000"/>
  </w:font>
  <w:font w:name="GWZT-EN">
    <w:panose1 w:val="02000000000000000000"/>
    <w:charset w:val="86"/>
    <w:family w:val="auto"/>
    <w:pitch w:val="default"/>
    <w:sig w:usb0="0000000F" w:usb1="28810000" w:usb2="00000000" w:usb3="00000000" w:csb0="00140001" w:csb1="00000000"/>
  </w:font>
  <w:font w:name="Arial">
    <w:altName w:val="DejaVu Sans"/>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12A"/>
    <w:rsid w:val="000E08F7"/>
    <w:rsid w:val="003C08F1"/>
    <w:rsid w:val="008C13D3"/>
    <w:rsid w:val="00A83933"/>
    <w:rsid w:val="00B8512A"/>
    <w:rsid w:val="00FE2381"/>
    <w:rsid w:val="025126E0"/>
    <w:rsid w:val="06F32700"/>
    <w:rsid w:val="071B1562"/>
    <w:rsid w:val="0DDF6F9F"/>
    <w:rsid w:val="0F093DBC"/>
    <w:rsid w:val="0F677860"/>
    <w:rsid w:val="111B4D34"/>
    <w:rsid w:val="13C22196"/>
    <w:rsid w:val="14AA3E63"/>
    <w:rsid w:val="17BD6ECB"/>
    <w:rsid w:val="18363C5F"/>
    <w:rsid w:val="1A1C1C63"/>
    <w:rsid w:val="1E7F465F"/>
    <w:rsid w:val="21AB215B"/>
    <w:rsid w:val="2F074EFB"/>
    <w:rsid w:val="301055A0"/>
    <w:rsid w:val="30DE0729"/>
    <w:rsid w:val="31D33572"/>
    <w:rsid w:val="3223775C"/>
    <w:rsid w:val="337F5865"/>
    <w:rsid w:val="35E79DB6"/>
    <w:rsid w:val="37253521"/>
    <w:rsid w:val="3881311B"/>
    <w:rsid w:val="3C5B1A8C"/>
    <w:rsid w:val="3CB60D47"/>
    <w:rsid w:val="3D65CAA0"/>
    <w:rsid w:val="3F5D7BA0"/>
    <w:rsid w:val="3F75AF00"/>
    <w:rsid w:val="408D7648"/>
    <w:rsid w:val="47A12917"/>
    <w:rsid w:val="4EF37046"/>
    <w:rsid w:val="4F6D5286"/>
    <w:rsid w:val="501A0857"/>
    <w:rsid w:val="55767585"/>
    <w:rsid w:val="55E86247"/>
    <w:rsid w:val="59CA229C"/>
    <w:rsid w:val="5BC36B85"/>
    <w:rsid w:val="5BFE0A2A"/>
    <w:rsid w:val="5C6674C0"/>
    <w:rsid w:val="5EDE008A"/>
    <w:rsid w:val="602011D4"/>
    <w:rsid w:val="60A52CFD"/>
    <w:rsid w:val="62444591"/>
    <w:rsid w:val="64B61A55"/>
    <w:rsid w:val="64D43DD6"/>
    <w:rsid w:val="64EB7E39"/>
    <w:rsid w:val="66FE6277"/>
    <w:rsid w:val="6977E9B1"/>
    <w:rsid w:val="6B951DCF"/>
    <w:rsid w:val="6DBC80DA"/>
    <w:rsid w:val="6F0135A7"/>
    <w:rsid w:val="6F191A5B"/>
    <w:rsid w:val="707935A0"/>
    <w:rsid w:val="709119F6"/>
    <w:rsid w:val="73BA74F3"/>
    <w:rsid w:val="74C77563"/>
    <w:rsid w:val="77F714B2"/>
    <w:rsid w:val="78473F45"/>
    <w:rsid w:val="790436D6"/>
    <w:rsid w:val="79DF72A2"/>
    <w:rsid w:val="7BDE223C"/>
    <w:rsid w:val="7D1CFC31"/>
    <w:rsid w:val="7E8F2BCB"/>
    <w:rsid w:val="7EFF860E"/>
    <w:rsid w:val="7F466366"/>
    <w:rsid w:val="7F6797FE"/>
    <w:rsid w:val="7F70AFC2"/>
    <w:rsid w:val="7F941DE7"/>
    <w:rsid w:val="7FD03C93"/>
    <w:rsid w:val="7FDF79E1"/>
    <w:rsid w:val="979D49A6"/>
    <w:rsid w:val="B33FB461"/>
    <w:rsid w:val="BFFF411C"/>
    <w:rsid w:val="CD6E3326"/>
    <w:rsid w:val="CF774728"/>
    <w:rsid w:val="DBF1DF80"/>
    <w:rsid w:val="DEEECD71"/>
    <w:rsid w:val="EBFE41A9"/>
    <w:rsid w:val="F799DCEB"/>
    <w:rsid w:val="F95FC604"/>
    <w:rsid w:val="FAE7DDDA"/>
    <w:rsid w:val="FBAD4774"/>
    <w:rsid w:val="FBBF2EF4"/>
    <w:rsid w:val="FE2D7B5A"/>
    <w:rsid w:val="FE77E17B"/>
    <w:rsid w:val="FEEFDEAF"/>
    <w:rsid w:val="FF621B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2"/>
    <w:basedOn w:val="1"/>
    <w:next w:val="1"/>
    <w:qFormat/>
    <w:uiPriority w:val="0"/>
    <w:pPr>
      <w:spacing w:beforeAutospacing="1" w:afterAutospacing="1"/>
      <w:jc w:val="left"/>
      <w:outlineLvl w:val="1"/>
    </w:pPr>
    <w:rPr>
      <w:rFonts w:hint="eastAsia" w:ascii="宋体" w:hAnsi="宋体"/>
      <w:b/>
      <w:bCs/>
      <w:kern w:val="0"/>
      <w:sz w:val="36"/>
      <w:szCs w:val="36"/>
    </w:rPr>
  </w:style>
  <w:style w:type="paragraph" w:styleId="3">
    <w:name w:val="heading 3"/>
    <w:basedOn w:val="1"/>
    <w:next w:val="1"/>
    <w:qFormat/>
    <w:uiPriority w:val="0"/>
    <w:pPr>
      <w:spacing w:beforeAutospacing="1" w:afterAutospacing="1"/>
      <w:jc w:val="left"/>
      <w:outlineLvl w:val="2"/>
    </w:pPr>
    <w:rPr>
      <w:rFonts w:hint="eastAsia" w:ascii="宋体" w:hAnsi="宋体"/>
      <w:b/>
      <w:bCs/>
      <w:kern w:val="0"/>
      <w:sz w:val="27"/>
      <w:szCs w:val="27"/>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3"/>
    <w:qFormat/>
    <w:uiPriority w:val="0"/>
    <w:pPr>
      <w:jc w:val="left"/>
    </w:pPr>
  </w:style>
  <w:style w:type="paragraph" w:styleId="5">
    <w:name w:val="Body Text"/>
    <w:basedOn w:val="1"/>
    <w:next w:val="1"/>
    <w:qFormat/>
    <w:uiPriority w:val="0"/>
  </w:style>
  <w:style w:type="paragraph" w:styleId="6">
    <w:name w:val="Balloon Text"/>
    <w:basedOn w:val="1"/>
    <w:link w:val="15"/>
    <w:qFormat/>
    <w:uiPriority w:val="0"/>
    <w:rPr>
      <w:sz w:val="18"/>
      <w:szCs w:val="18"/>
    </w:rPr>
  </w:style>
  <w:style w:type="paragraph" w:styleId="7">
    <w:name w:val="Normal (Web)"/>
    <w:basedOn w:val="1"/>
    <w:qFormat/>
    <w:uiPriority w:val="0"/>
    <w:pPr>
      <w:spacing w:beforeAutospacing="1" w:afterAutospacing="1"/>
      <w:jc w:val="left"/>
    </w:pPr>
    <w:rPr>
      <w:kern w:val="0"/>
      <w:sz w:val="24"/>
    </w:rPr>
  </w:style>
  <w:style w:type="paragraph" w:styleId="8">
    <w:name w:val="annotation subject"/>
    <w:basedOn w:val="4"/>
    <w:next w:val="4"/>
    <w:link w:val="14"/>
    <w:qFormat/>
    <w:uiPriority w:val="0"/>
    <w:rPr>
      <w:b/>
      <w:bCs/>
    </w:rPr>
  </w:style>
  <w:style w:type="character" w:styleId="11">
    <w:name w:val="Strong"/>
    <w:basedOn w:val="10"/>
    <w:qFormat/>
    <w:uiPriority w:val="0"/>
    <w:rPr>
      <w:b/>
    </w:rPr>
  </w:style>
  <w:style w:type="character" w:styleId="12">
    <w:name w:val="annotation reference"/>
    <w:basedOn w:val="10"/>
    <w:qFormat/>
    <w:uiPriority w:val="0"/>
    <w:rPr>
      <w:sz w:val="21"/>
      <w:szCs w:val="21"/>
    </w:rPr>
  </w:style>
  <w:style w:type="character" w:customStyle="1" w:styleId="13">
    <w:name w:val="批注文字 字符"/>
    <w:basedOn w:val="10"/>
    <w:link w:val="4"/>
    <w:qFormat/>
    <w:uiPriority w:val="0"/>
    <w:rPr>
      <w:rFonts w:ascii="Calibri" w:hAnsi="Calibri" w:cs="宋体"/>
      <w:kern w:val="2"/>
      <w:sz w:val="21"/>
      <w:szCs w:val="24"/>
    </w:rPr>
  </w:style>
  <w:style w:type="character" w:customStyle="1" w:styleId="14">
    <w:name w:val="批注主题 字符"/>
    <w:basedOn w:val="13"/>
    <w:link w:val="8"/>
    <w:qFormat/>
    <w:uiPriority w:val="0"/>
    <w:rPr>
      <w:rFonts w:ascii="Calibri" w:hAnsi="Calibri" w:cs="宋体"/>
      <w:b/>
      <w:bCs/>
      <w:kern w:val="2"/>
      <w:sz w:val="21"/>
      <w:szCs w:val="24"/>
    </w:rPr>
  </w:style>
  <w:style w:type="character" w:customStyle="1" w:styleId="15">
    <w:name w:val="批注框文本 字符"/>
    <w:basedOn w:val="10"/>
    <w:link w:val="6"/>
    <w:qFormat/>
    <w:uiPriority w:val="0"/>
    <w:rPr>
      <w:rFonts w:ascii="Calibri" w:hAnsi="Calibri" w:cs="宋体"/>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8511</Words>
  <Characters>9250</Characters>
  <Lines>105</Lines>
  <Paragraphs>29</Paragraphs>
  <TotalTime>192</TotalTime>
  <ScaleCrop>false</ScaleCrop>
  <LinksUpToDate>false</LinksUpToDate>
  <CharactersWithSpaces>9289</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2026-09-26T22:46:00Z</dcterms:created>
  <dc:creator>28270</dc:creator>
  <cp:lastModifiedBy>冯子倩</cp:lastModifiedBy>
  <dcterms:modified xsi:type="dcterms:W3CDTF">2026-11-03T14:30:19Z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KSOTemplateDocerSaveRecord">
    <vt:lpwstr>eyJoZGlkIjoiNjVjODI4MmVlZTIwYWE2NjY2MTAzOGMwMzM3ZDRhN2YiLCJ1c2VySWQiOiIyMzEwOTE5OTEifQ==</vt:lpwstr>
  </property>
  <property fmtid="{D5CDD505-2E9C-101B-9397-08002B2CF9AE}" pid="4" name="ICV">
    <vt:lpwstr>2283530FE63D2CFE7B7FE96A00DC7EC7_43</vt:lpwstr>
  </property>
</Properties>
</file>