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324D63">
      <w:pPr>
        <w:ind w:firstLine="0" w:firstLineChars="0"/>
        <w:jc w:val="center"/>
        <w:rPr>
          <w:rFonts w:ascii="黑体" w:hAnsi="黑体" w:eastAsia="黑体"/>
          <w:sz w:val="32"/>
          <w:szCs w:val="32"/>
        </w:rPr>
      </w:pPr>
      <w:bookmarkStart w:id="0" w:name="OLE_LINK4"/>
      <w:bookmarkStart w:id="1" w:name="_Toc63785461"/>
      <w:r>
        <w:rPr>
          <w:rFonts w:hint="eastAsia" w:ascii="黑体" w:hAnsi="黑体" w:eastAsia="黑体"/>
          <w:sz w:val="32"/>
          <w:szCs w:val="32"/>
        </w:rPr>
        <w:t>上海市机动车污染实时排放预警系统（2026年升级改造）项目采购需求</w:t>
      </w:r>
      <w:bookmarkEnd w:id="0"/>
    </w:p>
    <w:p w14:paraId="174E3484">
      <w:pPr>
        <w:pStyle w:val="2"/>
        <w:ind w:left="0"/>
      </w:pPr>
      <w:r>
        <w:rPr>
          <w:rFonts w:hint="eastAsia"/>
        </w:rPr>
        <w:t>项目概况</w:t>
      </w:r>
      <w:bookmarkEnd w:id="1"/>
    </w:p>
    <w:p w14:paraId="1A506C70">
      <w:pPr>
        <w:rPr>
          <w:color w:val="000000" w:themeColor="text1"/>
          <w14:textFill>
            <w14:solidFill>
              <w14:schemeClr w14:val="tx1"/>
            </w14:solidFill>
          </w14:textFill>
        </w:rPr>
      </w:pPr>
      <w:r>
        <w:t>“</w:t>
      </w:r>
      <w:bookmarkStart w:id="2" w:name="OLE_LINK3"/>
      <w:r>
        <w:t>上海市机动车污染实时排放预警系统</w:t>
      </w:r>
      <w:bookmarkEnd w:id="2"/>
      <w:r>
        <w:rPr>
          <w:rFonts w:hint="eastAsia"/>
        </w:rPr>
        <w:t>”</w:t>
      </w:r>
      <w:r>
        <w:t>是上海市环境监测中心2018年开始建设实施的部门预算项目，2018年10月正式投入运行。系统构建了基于实时交通流量和环境监测数据的机动车大气污染物实时污染排放</w:t>
      </w:r>
      <w:r>
        <w:rPr>
          <w:rFonts w:hint="eastAsia"/>
        </w:rPr>
        <w:t>测算和污染</w:t>
      </w:r>
      <w:r>
        <w:t>预警</w:t>
      </w:r>
      <w:r>
        <w:rPr>
          <w:rFonts w:hint="eastAsia"/>
        </w:rPr>
        <w:t>，</w:t>
      </w:r>
      <w:r>
        <w:t>为上海市机动车大气污染排放监管、重污染应急管理、机动车减排控制等相关工作提供业务化支撑，为上海市机动车排放大气污染治理、进博会等重大活动</w:t>
      </w:r>
      <w:r>
        <w:rPr>
          <w:color w:val="000000" w:themeColor="text1"/>
          <w14:textFill>
            <w14:solidFill>
              <w14:schemeClr w14:val="tx1"/>
            </w14:solidFill>
          </w14:textFill>
        </w:rPr>
        <w:t>空气质量保障，提供科学决策依据和技术支撑。目前系统运行和业务应用均</w:t>
      </w:r>
      <w:r>
        <w:rPr>
          <w:rFonts w:hint="eastAsia"/>
          <w:color w:val="000000" w:themeColor="text1"/>
          <w14:textFill>
            <w14:solidFill>
              <w14:schemeClr w14:val="tx1"/>
            </w14:solidFill>
          </w14:textFill>
        </w:rPr>
        <w:t>较</w:t>
      </w:r>
      <w:r>
        <w:rPr>
          <w:color w:val="000000" w:themeColor="text1"/>
          <w14:textFill>
            <w14:solidFill>
              <w14:schemeClr w14:val="tx1"/>
            </w14:solidFill>
          </w14:textFill>
        </w:rPr>
        <w:t>好。</w:t>
      </w:r>
      <w:r>
        <w:rPr>
          <w:rFonts w:hint="eastAsia"/>
          <w:color w:val="000000" w:themeColor="text1"/>
          <w14:textFill>
            <w14:solidFill>
              <w14:schemeClr w14:val="tx1"/>
            </w14:solidFill>
          </w14:textFill>
        </w:rPr>
        <w:t>此次升级改造主要完成原有系统的改造和中心现有系统的整合，同时新增排放数据综合分析和排放场景模拟分析等功能。</w:t>
      </w:r>
    </w:p>
    <w:p w14:paraId="52CD17F5">
      <w:pPr>
        <w:rPr>
          <w:color w:val="auto"/>
        </w:rPr>
      </w:pPr>
      <w:r>
        <w:rPr>
          <w:color w:val="auto"/>
        </w:rPr>
        <w:t>是否按</w:t>
      </w:r>
      <w:r>
        <w:rPr>
          <w:rFonts w:hint="eastAsia"/>
          <w:color w:val="FFFFFF" w:themeColor="background1"/>
          <w:w w:val="33"/>
          <w:lang w:val="en-US" w:eastAsia="zh-CN"/>
          <w14:textFill>
            <w14:solidFill>
              <w14:schemeClr w14:val="bg1"/>
            </w14:solidFill>
          </w14:textFill>
        </w:rPr>
        <w:t>/</w:t>
      </w:r>
      <w:r>
        <w:rPr>
          <w:color w:val="auto"/>
        </w:rPr>
        <w:t>信</w:t>
      </w:r>
      <w:r>
        <w:rPr>
          <w:rFonts w:hint="eastAsia"/>
          <w:color w:val="FFFFFF" w:themeColor="background1"/>
          <w:w w:val="33"/>
          <w:lang w:val="en-US" w:eastAsia="zh-CN"/>
          <w14:textFill>
            <w14:solidFill>
              <w14:schemeClr w14:val="bg1"/>
            </w14:solidFill>
          </w14:textFill>
        </w:rPr>
        <w:t>/</w:t>
      </w:r>
      <w:r>
        <w:rPr>
          <w:color w:val="auto"/>
        </w:rPr>
        <w:t>创</w:t>
      </w:r>
      <w:r>
        <w:rPr>
          <w:rFonts w:hint="eastAsia"/>
          <w:color w:val="FFFFFF" w:themeColor="background1"/>
          <w:w w:val="33"/>
          <w:lang w:val="en-US" w:eastAsia="zh-CN"/>
          <w14:textFill>
            <w14:solidFill>
              <w14:schemeClr w14:val="bg1"/>
            </w14:solidFill>
          </w14:textFill>
        </w:rPr>
        <w:t>/</w:t>
      </w:r>
      <w:r>
        <w:rPr>
          <w:color w:val="auto"/>
        </w:rPr>
        <w:t>要求建设：是</w:t>
      </w:r>
      <w:bookmarkStart w:id="42" w:name="_GoBack"/>
      <w:bookmarkEnd w:id="42"/>
    </w:p>
    <w:p w14:paraId="1DC1DAB0">
      <w:pPr>
        <w:pStyle w:val="2"/>
        <w:ind w:left="0"/>
      </w:pPr>
      <w:bookmarkStart w:id="3" w:name="_Toc47539070"/>
      <w:bookmarkEnd w:id="3"/>
      <w:bookmarkStart w:id="4" w:name="_Toc47536272"/>
      <w:bookmarkEnd w:id="4"/>
      <w:bookmarkStart w:id="5" w:name="_Toc47532891"/>
      <w:bookmarkEnd w:id="5"/>
      <w:bookmarkStart w:id="6" w:name="_Toc47532255"/>
      <w:bookmarkEnd w:id="6"/>
      <w:bookmarkStart w:id="7" w:name="_Toc47536644"/>
      <w:bookmarkEnd w:id="7"/>
      <w:bookmarkStart w:id="8" w:name="_Toc47533256"/>
      <w:bookmarkEnd w:id="8"/>
      <w:bookmarkStart w:id="9" w:name="_Toc47531634"/>
      <w:bookmarkEnd w:id="9"/>
      <w:bookmarkStart w:id="10" w:name="_Toc47537134"/>
      <w:bookmarkEnd w:id="10"/>
      <w:bookmarkStart w:id="11" w:name="_Toc48223882"/>
      <w:bookmarkStart w:id="12" w:name="_Toc63785463"/>
      <w:r>
        <w:rPr>
          <w:rFonts w:hint="eastAsia"/>
        </w:rPr>
        <w:t>建设目标</w:t>
      </w:r>
      <w:bookmarkEnd w:id="11"/>
      <w:bookmarkEnd w:id="12"/>
    </w:p>
    <w:p w14:paraId="63D49D7E">
      <w:r>
        <w:rPr>
          <w:rFonts w:hint="eastAsia"/>
        </w:rPr>
        <w:t>通过上海市机动车污染实时排放预警系统（2026年升级改造）项目的建设</w:t>
      </w:r>
      <w:r>
        <w:t>，</w:t>
      </w:r>
      <w:r>
        <w:rPr>
          <w:rFonts w:hint="eastAsia"/>
        </w:rPr>
        <w:t>实现</w:t>
      </w:r>
      <w:r>
        <w:t>上海市机动车污染实时排放预警系统</w:t>
      </w:r>
      <w:r>
        <w:rPr>
          <w:rFonts w:hint="eastAsia"/>
        </w:rPr>
        <w:t>从架构层面升级适应政务云环境，</w:t>
      </w:r>
      <w:r>
        <w:t>并与长三角</w:t>
      </w:r>
      <w:r>
        <w:rPr>
          <w:rFonts w:hint="eastAsia"/>
        </w:rPr>
        <w:t>区域空气质量</w:t>
      </w:r>
      <w:r>
        <w:t>预测预报系统进行整合。为上海市机动车大气污染排放监管、重污染应急管理、机动车减排控制</w:t>
      </w:r>
      <w:r>
        <w:rPr>
          <w:rFonts w:hint="eastAsia"/>
        </w:rPr>
        <w:t>、重大活动保障</w:t>
      </w:r>
      <w:r>
        <w:t>等相关工作，提供业务化</w:t>
      </w:r>
      <w:r>
        <w:rPr>
          <w:rFonts w:hint="eastAsia"/>
        </w:rPr>
        <w:t>技术</w:t>
      </w:r>
      <w:r>
        <w:t>支撑</w:t>
      </w:r>
      <w:r>
        <w:rPr>
          <w:rFonts w:hint="eastAsia"/>
        </w:rPr>
        <w:t>及</w:t>
      </w:r>
      <w:r>
        <w:t>科学决策依据。</w:t>
      </w:r>
    </w:p>
    <w:p w14:paraId="1013F6E2">
      <w:pPr>
        <w:pStyle w:val="2"/>
        <w:ind w:left="0"/>
      </w:pPr>
      <w:bookmarkStart w:id="13" w:name="_Toc47536304"/>
      <w:bookmarkEnd w:id="13"/>
      <w:bookmarkStart w:id="14" w:name="_Toc47532923"/>
      <w:bookmarkEnd w:id="14"/>
      <w:bookmarkStart w:id="15" w:name="_Toc47533288"/>
      <w:bookmarkEnd w:id="15"/>
      <w:bookmarkStart w:id="16" w:name="_Toc47537166"/>
      <w:bookmarkEnd w:id="16"/>
      <w:bookmarkStart w:id="17" w:name="_Toc47539102"/>
      <w:bookmarkEnd w:id="17"/>
      <w:bookmarkStart w:id="18" w:name="_Toc47536676"/>
      <w:bookmarkEnd w:id="18"/>
      <w:r>
        <w:rPr>
          <w:rFonts w:hint="eastAsia"/>
        </w:rPr>
        <w:t>项目建设内容</w:t>
      </w:r>
    </w:p>
    <w:p w14:paraId="3972E575">
      <w:pPr>
        <w:pStyle w:val="3"/>
        <w:ind w:left="0"/>
      </w:pPr>
      <w:r>
        <w:rPr>
          <w:rFonts w:hint="eastAsia"/>
        </w:rPr>
        <w:t>项目内容概述</w:t>
      </w:r>
    </w:p>
    <w:p w14:paraId="200B536F">
      <w:r>
        <w:rPr>
          <w:rFonts w:hint="eastAsia"/>
        </w:rPr>
        <w:t>本项目的主要内容包括系统的升级改造和基础数据更新，接入实时道路交通及全路网交通流量等数据，实现机动车道路排放清单动态测算、实时排放、交通环境监测、动态预警、分析查询、报告管理、系统管理等功能模块改造升级；同步建设机动车排放场景模拟和交通流量数据及综合分析页面共享模块。系统架构需满足如下建设要求：</w:t>
      </w:r>
    </w:p>
    <w:p w14:paraId="7D502D73">
      <w:pPr>
        <w:pStyle w:val="17"/>
        <w:numPr>
          <w:ilvl w:val="0"/>
          <w:numId w:val="2"/>
        </w:numPr>
        <w:ind w:firstLineChars="0"/>
      </w:pPr>
      <w:r>
        <w:rPr>
          <w:rFonts w:hint="eastAsia"/>
        </w:rPr>
        <w:t>基础层：采用政务云服务器、存储设备、网络设备、安全设备，提供计算、存储、网络资源和安全服务支撑，满足统一基础设施、统一网络环境管理要求。</w:t>
      </w:r>
    </w:p>
    <w:p w14:paraId="0EE431CD">
      <w:pPr>
        <w:pStyle w:val="17"/>
        <w:numPr>
          <w:ilvl w:val="0"/>
          <w:numId w:val="2"/>
        </w:numPr>
        <w:ind w:firstLineChars="0"/>
      </w:pPr>
      <w:r>
        <w:rPr>
          <w:rFonts w:hint="eastAsia"/>
        </w:rPr>
        <w:t>数据层：需要建立支撑海量监测数据的存储和计算分析能力，包括结构化和非结构化数据，实现数据的归集、治理和交换，完成数据资源的编目和上链共享。</w:t>
      </w:r>
    </w:p>
    <w:p w14:paraId="1D6C7E69">
      <w:pPr>
        <w:pStyle w:val="17"/>
        <w:numPr>
          <w:ilvl w:val="0"/>
          <w:numId w:val="2"/>
        </w:numPr>
        <w:ind w:firstLineChars="0"/>
      </w:pPr>
      <w:r>
        <w:rPr>
          <w:rFonts w:hint="eastAsia"/>
        </w:rPr>
        <w:t>平台层：按照市环境监测中心的整体技术框架，以及市大数据中心提供的</w:t>
      </w:r>
      <w:r>
        <w:t>PAAS、SAAS服务资源，实现用户管理、地图服务、安全管理等共性服务。</w:t>
      </w:r>
    </w:p>
    <w:p w14:paraId="3B269FF7">
      <w:pPr>
        <w:pStyle w:val="17"/>
        <w:numPr>
          <w:ilvl w:val="0"/>
          <w:numId w:val="2"/>
        </w:numPr>
        <w:ind w:firstLineChars="0"/>
      </w:pPr>
      <w:r>
        <w:rPr>
          <w:rFonts w:hint="eastAsia"/>
        </w:rPr>
        <w:t>应用层：按照市环境监测中心统一应用门户接入和管理要求，完成系统建设部署，并与长三角空气质量预测预报系统完成集成</w:t>
      </w:r>
      <w:r>
        <w:t>。</w:t>
      </w:r>
    </w:p>
    <w:p w14:paraId="09DD5C73">
      <w:pPr>
        <w:pStyle w:val="17"/>
        <w:numPr>
          <w:ilvl w:val="0"/>
          <w:numId w:val="2"/>
        </w:numPr>
        <w:ind w:firstLineChars="0"/>
      </w:pPr>
      <w:r>
        <w:rPr>
          <w:rFonts w:hint="eastAsia"/>
        </w:rPr>
        <w:t>用户层：本系统的用户主要是面向市环境监测中心及各区监测站，需要支持各级用户，通过政务网访问系统。</w:t>
      </w:r>
    </w:p>
    <w:p w14:paraId="28822B1C">
      <w:pPr>
        <w:pStyle w:val="4"/>
      </w:pPr>
      <w:r>
        <w:rPr>
          <w:rFonts w:hint="eastAsia"/>
        </w:rPr>
        <w:t>环境适配</w:t>
      </w:r>
    </w:p>
    <w:p w14:paraId="76D11165">
      <w:r>
        <w:rPr>
          <w:rFonts w:hint="eastAsia"/>
        </w:rPr>
        <w:t>支持上海市电子政务云数据库改造迁移适配，将原数据库中的数据迁移到上海市电子政务云关系型数据库，并优化数据库增删改查操作的效率。</w:t>
      </w:r>
    </w:p>
    <w:p w14:paraId="36F7D7D0">
      <w:pPr>
        <w:pStyle w:val="4"/>
      </w:pPr>
      <w:r>
        <w:rPr>
          <w:rFonts w:hint="eastAsia"/>
        </w:rPr>
        <w:t>实时道路交通及全路网交通流量等数据接入适配</w:t>
      </w:r>
    </w:p>
    <w:p w14:paraId="42B39A51">
      <w:r>
        <w:rPr>
          <w:rFonts w:hint="eastAsia"/>
        </w:rPr>
        <w:t>完成各类数据接口的改造适配，接入实时道路交通数据、全路网交通流量数据、交通站环境监测数据、上海市本地化车队构成数据以及基础路网数据，完成基础数据更新。具体内容如下：</w:t>
      </w:r>
    </w:p>
    <w:p w14:paraId="2132048C">
      <w:pPr>
        <w:pStyle w:val="17"/>
        <w:numPr>
          <w:ilvl w:val="0"/>
          <w:numId w:val="3"/>
        </w:numPr>
        <w:ind w:firstLineChars="0"/>
      </w:pPr>
      <w:r>
        <w:rPr>
          <w:rFonts w:hint="eastAsia"/>
        </w:rPr>
        <w:t>实时道路交通数据包括分车型的机动车流量和机动车速度数据；</w:t>
      </w:r>
    </w:p>
    <w:p w14:paraId="286427D3">
      <w:pPr>
        <w:pStyle w:val="17"/>
        <w:numPr>
          <w:ilvl w:val="0"/>
          <w:numId w:val="3"/>
        </w:numPr>
        <w:ind w:firstLineChars="0"/>
      </w:pPr>
      <w:r>
        <w:rPr>
          <w:rFonts w:hint="eastAsia"/>
        </w:rPr>
        <w:t>全路网交通流量数据包括三个部分，一是分车型/分牌照的实时道路交通流量数据，二是实时交通运行状态数据；三是道路运行车辆的排放技术结构数据；</w:t>
      </w:r>
    </w:p>
    <w:p w14:paraId="7DE49B3F">
      <w:pPr>
        <w:pStyle w:val="17"/>
        <w:numPr>
          <w:ilvl w:val="0"/>
          <w:numId w:val="3"/>
        </w:numPr>
        <w:ind w:firstLineChars="0"/>
      </w:pPr>
      <w:r>
        <w:rPr>
          <w:rFonts w:hint="eastAsia"/>
        </w:rPr>
        <w:t>交通站环境监测数据：上海全市逐小时交通站空气质量监测数据以及站点点位空间信息；</w:t>
      </w:r>
    </w:p>
    <w:p w14:paraId="33DE2054">
      <w:pPr>
        <w:pStyle w:val="17"/>
        <w:numPr>
          <w:ilvl w:val="0"/>
          <w:numId w:val="3"/>
        </w:numPr>
        <w:ind w:firstLineChars="0"/>
      </w:pPr>
      <w:r>
        <w:rPr>
          <w:rFonts w:hint="eastAsia"/>
        </w:rPr>
        <w:t>上海市本地化车队构成数据：不同类型、车龄、排量、燃油类型、排放标准等车辆的数量构成；</w:t>
      </w:r>
    </w:p>
    <w:p w14:paraId="3C6F4A5C">
      <w:pPr>
        <w:pStyle w:val="17"/>
        <w:numPr>
          <w:ilvl w:val="0"/>
          <w:numId w:val="3"/>
        </w:numPr>
        <w:ind w:firstLineChars="0"/>
      </w:pPr>
      <w:r>
        <w:rPr>
          <w:rFonts w:hint="eastAsia"/>
        </w:rPr>
        <w:t>基础路网数据：逐路段的基础路网数据。</w:t>
      </w:r>
    </w:p>
    <w:p w14:paraId="5E63147F">
      <w:pPr>
        <w:pStyle w:val="4"/>
      </w:pPr>
      <w:r>
        <w:rPr>
          <w:rFonts w:hint="eastAsia"/>
        </w:rPr>
        <w:t>机动车道路排放清单动态测算适配</w:t>
      </w:r>
    </w:p>
    <w:p w14:paraId="43200995">
      <w:r>
        <w:rPr>
          <w:rFonts w:hint="eastAsia"/>
        </w:rPr>
        <w:t>应实现机动车道路排放清单动态测算模块升级改造适配。</w:t>
      </w:r>
    </w:p>
    <w:p w14:paraId="01A94739">
      <w:pPr>
        <w:rPr>
          <w:color w:val="0000FF"/>
        </w:rPr>
      </w:pPr>
      <w:r>
        <w:rPr>
          <w:rFonts w:hint="eastAsia"/>
        </w:rPr>
        <w:t>该模块将全覆盖实时交通流数据（作为动态交通活动水平数据）与车型分</w:t>
      </w:r>
      <w:r>
        <w:rPr>
          <w:rFonts w:hint="eastAsia"/>
          <w:color w:val="000000" w:themeColor="text1"/>
          <w14:textFill>
            <w14:solidFill>
              <w14:schemeClr w14:val="tx1"/>
            </w14:solidFill>
          </w14:textFill>
        </w:rPr>
        <w:t>布、VSP分布、车辆技术基本参数等数据相结合，通过IVE模型、数据处理模型，动态测算上海市道路机动车排放污染物清单。系统需实现IVE等模型自动化。完成道路交通路网数据系统更新，并定期更新车型分布数据。需对重型车污染物实时排放测算模块进行升级改造，具体包括基于重型车轨迹数据和视频卡口数据融合开展重型车排放测算方法研究，实现重型车污染物实时排放测算，完成重型车排放测算。</w:t>
      </w:r>
    </w:p>
    <w:p w14:paraId="29CBFEA4">
      <w:pPr>
        <w:pStyle w:val="4"/>
      </w:pPr>
      <w:r>
        <w:rPr>
          <w:rFonts w:hint="eastAsia"/>
        </w:rPr>
        <w:t>首页功能适配</w:t>
      </w:r>
    </w:p>
    <w:p w14:paraId="75F17679">
      <w:r>
        <w:rPr>
          <w:rFonts w:hint="eastAsia"/>
        </w:rPr>
        <w:t>首页用于概览整个上海市的机动车排放量和站点监测状况，查看机动车所排放的各项污染物的时间趋势特征，以此在整体上把握近日机动车污染排放量的实况。</w:t>
      </w:r>
    </w:p>
    <w:p w14:paraId="7442CFA7">
      <w:pPr>
        <w:pStyle w:val="4"/>
      </w:pPr>
      <w:r>
        <w:rPr>
          <w:rFonts w:hint="eastAsia"/>
        </w:rPr>
        <w:t>实时排放功能适配</w:t>
      </w:r>
    </w:p>
    <w:p w14:paraId="22DC1734">
      <w:r>
        <w:rPr>
          <w:rFonts w:hint="eastAsia"/>
        </w:rPr>
        <w:t>应实现实时排放功能适配，包括全路网实时排放、全路网排放量、环间分析、行政区划、重点区域及道路分析。</w:t>
      </w:r>
    </w:p>
    <w:p w14:paraId="5E1C5410">
      <w:r>
        <w:rPr>
          <w:rFonts w:hint="eastAsia"/>
        </w:rPr>
        <w:t>（1）全路网实时排放</w:t>
      </w:r>
    </w:p>
    <w:p w14:paraId="216A14FB">
      <w:r>
        <w:rPr>
          <w:rFonts w:hint="eastAsia"/>
        </w:rPr>
        <w:t>该页面展示全路网的实时排放量。将道路排放清单动态测算数据进行展示，绘制基于路段及污染物的动态排放清单GIS图。结合环境动态监测数据，与机动车道路污染排放数据进行融合展示，分析机动车排放与环境监测之间的相关联系。</w:t>
      </w:r>
    </w:p>
    <w:p w14:paraId="6B45B882">
      <w:r>
        <w:rPr>
          <w:rFonts w:hint="eastAsia"/>
        </w:rPr>
        <w:t>（2）全路网排放量</w:t>
      </w:r>
    </w:p>
    <w:p w14:paraId="44516787">
      <w:r>
        <w:rPr>
          <w:rFonts w:hint="eastAsia"/>
        </w:rPr>
        <w:t>该功能展示上海市的机动车排放量经过计算之后，分配到每个网格里的排放，以此查看各个区域间排放量的区别。</w:t>
      </w:r>
    </w:p>
    <w:p w14:paraId="46B32A00">
      <w:r>
        <w:rPr>
          <w:rFonts w:hint="eastAsia"/>
        </w:rPr>
        <w:t>（3）环间分析</w:t>
      </w:r>
    </w:p>
    <w:p w14:paraId="34CEED35">
      <w:r>
        <w:rPr>
          <w:rFonts w:hint="eastAsia"/>
        </w:rPr>
        <w:t>将上海市按照内外环进行划分，按照区域进行排放量统计，从而判断区域间的排放信息和交通指数等之间的关系。分析上海环间区域间的排放量特征。</w:t>
      </w:r>
    </w:p>
    <w:p w14:paraId="04D6CA2F">
      <w:r>
        <w:rPr>
          <w:rFonts w:hint="eastAsia"/>
        </w:rPr>
        <w:t>包括年/半年变化、季度变化、月变化、日变化、小时变化、日对比、小时对比、环间区域、重点区域、重点时段、重点路段、重大活动展示等功能。</w:t>
      </w:r>
    </w:p>
    <w:p w14:paraId="40C3D18E">
      <w:r>
        <w:rPr>
          <w:rFonts w:hint="eastAsia"/>
        </w:rPr>
        <w:t>（4）行政区划</w:t>
      </w:r>
    </w:p>
    <w:p w14:paraId="766CBA0B">
      <w:r>
        <w:rPr>
          <w:rFonts w:hint="eastAsia"/>
        </w:rPr>
        <w:t>将上海市按照内环内、内外环间、郊区、外高桥区域进行划分，按照区域进行排放量统计，从而判断区域间的排放信息和交通指数等之间的关系。分析上海环间区域间的排放量特征。</w:t>
      </w:r>
    </w:p>
    <w:p w14:paraId="13B44D94">
      <w:r>
        <w:rPr>
          <w:rFonts w:hint="eastAsia"/>
        </w:rPr>
        <w:t>包括日变化和小时变化等功能。</w:t>
      </w:r>
    </w:p>
    <w:p w14:paraId="3E1E05FC">
      <w:r>
        <w:rPr>
          <w:rFonts w:hint="eastAsia"/>
        </w:rPr>
        <w:t>（5）重点区域</w:t>
      </w:r>
    </w:p>
    <w:p w14:paraId="754A40F4">
      <w:pPr>
        <w:rPr>
          <w:color w:val="000000" w:themeColor="text1"/>
          <w14:textFill>
            <w14:solidFill>
              <w14:schemeClr w14:val="tx1"/>
            </w14:solidFill>
          </w14:textFill>
        </w:rPr>
      </w:pPr>
      <w:r>
        <w:rPr>
          <w:rFonts w:hint="eastAsia"/>
        </w:rPr>
        <w:t>通过筛选上海市具有代表性意义的区域或者行政上的重点区域，对这一类区域进行分析、统计、查询等，探寻重点区域等代表性意义，以及重点区域与全市区域等关系。包括国展中心日变化、国展中心小</w:t>
      </w:r>
      <w:r>
        <w:rPr>
          <w:rFonts w:hint="eastAsia"/>
          <w:color w:val="000000" w:themeColor="text1"/>
          <w14:textFill>
            <w14:solidFill>
              <w14:schemeClr w14:val="tx1"/>
            </w14:solidFill>
          </w14:textFill>
        </w:rPr>
        <w:t>时变化、外高桥区域、洋山港区域以及国控点周边等区域。</w:t>
      </w:r>
    </w:p>
    <w:p w14:paraId="7E0A81B3">
      <w:r>
        <w:rPr>
          <w:rFonts w:hint="eastAsia"/>
        </w:rPr>
        <w:t>（6）道路分析</w:t>
      </w:r>
    </w:p>
    <w:p w14:paraId="64C65646">
      <w:r>
        <w:rPr>
          <w:rFonts w:hint="eastAsia"/>
        </w:rPr>
        <w:t>该部分功能将道路排放量小时变化进行数据变化趋势分析，包括多污染物分类、车公里、车流量变化等信息。</w:t>
      </w:r>
    </w:p>
    <w:p w14:paraId="5EB03FD1">
      <w:pPr>
        <w:pStyle w:val="4"/>
      </w:pPr>
      <w:r>
        <w:rPr>
          <w:rFonts w:hint="eastAsia"/>
        </w:rPr>
        <w:t>交通环境监测功能适配</w:t>
      </w:r>
    </w:p>
    <w:p w14:paraId="2F226B2D">
      <w:r>
        <w:rPr>
          <w:rFonts w:hint="eastAsia"/>
        </w:rPr>
        <w:t>应实现交通环境监测功能适配。该模块主要用于展示交通站的数据特征和变化规律，分析机动车排放量、气象站检测值、交通站监测值、环境站监测值等多重数据间的关系。主要功能包括实时交通状态、站点分析、气象分析等页面。</w:t>
      </w:r>
    </w:p>
    <w:p w14:paraId="55B7DDC7">
      <w:r>
        <w:rPr>
          <w:rFonts w:hint="eastAsia"/>
        </w:rPr>
        <w:t>（1）实时交通状况</w:t>
      </w:r>
    </w:p>
    <w:p w14:paraId="10C9E01E">
      <w:r>
        <w:rPr>
          <w:rFonts w:hint="eastAsia"/>
        </w:rPr>
        <w:t>展示交通站点等数据监测特征，另外辅助道路的排放量和道路交通状况数据；支持地图上的站点浓度、交通状况随时间轴时间点更新；支持随时间轴进行页面内播放。</w:t>
      </w:r>
    </w:p>
    <w:p w14:paraId="2B765374">
      <w:r>
        <w:rPr>
          <w:rFonts w:hint="eastAsia"/>
        </w:rPr>
        <w:t>（2）站点分析</w:t>
      </w:r>
    </w:p>
    <w:p w14:paraId="338269B8">
      <w:r>
        <w:rPr>
          <w:rFonts w:hint="eastAsia"/>
        </w:rPr>
        <w:t>该部分用于分析站点间的数据变化特征，包括实时展示和统计功能。主要功能有：实时展示、站点年度对比、年度站点对比、日变化分析、日均比值分析、年度比值分析等。</w:t>
      </w:r>
    </w:p>
    <w:p w14:paraId="362B8E87">
      <w:r>
        <w:rPr>
          <w:rFonts w:hint="eastAsia"/>
        </w:rPr>
        <w:t>（3）气象分析</w:t>
      </w:r>
    </w:p>
    <w:p w14:paraId="1A934E75">
      <w:r>
        <w:rPr>
          <w:rFonts w:hint="eastAsia"/>
        </w:rPr>
        <w:t>分析上海市气象与交通监测站点数据关联性。主要从风速风向的数据入手，主要功能有风玫瑰图、风玫瑰空间分布图、浓度变化与风速风向的关系。</w:t>
      </w:r>
    </w:p>
    <w:p w14:paraId="16123BC0">
      <w:pPr>
        <w:pStyle w:val="4"/>
      </w:pPr>
      <w:r>
        <w:rPr>
          <w:rFonts w:hint="eastAsia"/>
        </w:rPr>
        <w:t>动态预警功能适配</w:t>
      </w:r>
    </w:p>
    <w:p w14:paraId="59F9B5DE">
      <w:r>
        <w:rPr>
          <w:rFonts w:hint="eastAsia"/>
        </w:rPr>
        <w:t>该功能根据交通污染物动态排放以及环境动态监测数据，实现机动车排放动态预警功能。</w:t>
      </w:r>
    </w:p>
    <w:p w14:paraId="181DF654">
      <w:r>
        <w:rPr>
          <w:rFonts w:hint="eastAsia"/>
        </w:rPr>
        <w:t>（1）动态预警</w:t>
      </w:r>
    </w:p>
    <w:p w14:paraId="7CE6669F">
      <w:r>
        <w:rPr>
          <w:rFonts w:hint="eastAsia"/>
        </w:rPr>
        <w:t>显示当前时间的环境站的预警信息，若有预警，则显示预警提示。支持页面内物种的灵活切换，包括交通站的污染数据以及环境站的监测数据，支持切换交通站、环境站的数据来源。</w:t>
      </w:r>
    </w:p>
    <w:p w14:paraId="3034A5C9">
      <w:r>
        <w:rPr>
          <w:rFonts w:hint="eastAsia"/>
        </w:rPr>
        <w:t>（2）重污染分析</w:t>
      </w:r>
    </w:p>
    <w:p w14:paraId="18449BA6">
      <w:r>
        <w:rPr>
          <w:rFonts w:hint="eastAsia"/>
        </w:rPr>
        <w:t>支持分析重污染与机动车排放量之间的关系。该页面用于分析机动车来源</w:t>
      </w:r>
      <w:r>
        <w:rPr>
          <w:rFonts w:hint="eastAsia"/>
          <w:color w:val="000000" w:themeColor="text1"/>
          <w14:textFill>
            <w14:solidFill>
              <w14:schemeClr w14:val="tx1"/>
            </w14:solidFill>
          </w14:textFill>
        </w:rPr>
        <w:t>对全市污染的贡献率；支持选择数据查询时间，查看该时间的上海市污染物来源解析，从中查看机动车分车型排放的贡</w:t>
      </w:r>
      <w:r>
        <w:rPr>
          <w:rFonts w:hint="eastAsia"/>
        </w:rPr>
        <w:t>献比例；支持任意选择图中某一时段，查看更详细的时段平均值。</w:t>
      </w:r>
    </w:p>
    <w:p w14:paraId="43691A1C">
      <w:pPr>
        <w:pStyle w:val="4"/>
      </w:pPr>
      <w:r>
        <w:rPr>
          <w:rFonts w:hint="eastAsia"/>
        </w:rPr>
        <w:t>分析查询功能适配</w:t>
      </w:r>
    </w:p>
    <w:p w14:paraId="6EC66AA9">
      <w:r>
        <w:rPr>
          <w:rFonts w:hint="eastAsia"/>
        </w:rPr>
        <w:t>应实现分析查询功能适配。</w:t>
      </w:r>
    </w:p>
    <w:p w14:paraId="3D6C4B4F">
      <w:r>
        <w:rPr>
          <w:rFonts w:hint="eastAsia"/>
        </w:rPr>
        <w:t>该功能用于查询交通站点的监测数据、排放量的统计分析、历史空气质量等数据。并支持导出功能，用于客户制作需要的报告。</w:t>
      </w:r>
    </w:p>
    <w:p w14:paraId="74D84791">
      <w:r>
        <w:rPr>
          <w:rFonts w:hint="eastAsia"/>
        </w:rPr>
        <w:t>（1）监测站数据查询</w:t>
      </w:r>
    </w:p>
    <w:p w14:paraId="688DF2FF">
      <w:r>
        <w:rPr>
          <w:rFonts w:hint="eastAsia"/>
        </w:rPr>
        <w:t>用于查询交通站点的监测数据、排放量的统计分析、历史空气质量等数据。支持按照数据查询时间、查询站点，以表格形式展示交通站的污染数据以及环境站的监测数据，可切换小时和日均，支持主导风向选择。</w:t>
      </w:r>
    </w:p>
    <w:p w14:paraId="424B27FB">
      <w:r>
        <w:rPr>
          <w:rFonts w:hint="eastAsia"/>
        </w:rPr>
        <w:t>（2）日汇总查询</w:t>
      </w:r>
    </w:p>
    <w:p w14:paraId="51A5DE78">
      <w:pPr>
        <w:rPr>
          <w:color w:val="000000" w:themeColor="text1"/>
          <w14:textFill>
            <w14:solidFill>
              <w14:schemeClr w14:val="tx1"/>
            </w14:solidFill>
          </w14:textFill>
        </w:rPr>
      </w:pPr>
      <w:r>
        <w:rPr>
          <w:rFonts w:hint="eastAsia"/>
        </w:rPr>
        <w:t>支持</w:t>
      </w:r>
      <w:r>
        <w:rPr>
          <w:rFonts w:hint="eastAsia"/>
          <w:color w:val="000000" w:themeColor="text1"/>
          <w14:textFill>
            <w14:solidFill>
              <w14:schemeClr w14:val="tx1"/>
            </w14:solidFill>
          </w14:textFill>
        </w:rPr>
        <w:t>分车型的排放量数据查询，支持的车型包括集卡车、大货车、大客车、小货车、沪C小客车、外牌小客车、公交车、出租车、机动车、新能源车等类型。</w:t>
      </w:r>
    </w:p>
    <w:p w14:paraId="392AC152">
      <w:pPr>
        <w:rPr>
          <w:color w:val="000000" w:themeColor="text1"/>
          <w14:textFill>
            <w14:solidFill>
              <w14:schemeClr w14:val="tx1"/>
            </w14:solidFill>
          </w14:textFill>
        </w:rPr>
      </w:pPr>
      <w:r>
        <w:rPr>
          <w:rFonts w:hint="eastAsia"/>
          <w:color w:val="000000" w:themeColor="text1"/>
          <w14:textFill>
            <w14:solidFill>
              <w14:schemeClr w14:val="tx1"/>
            </w14:solidFill>
          </w14:textFill>
        </w:rPr>
        <w:t>（3）同环比分析</w:t>
      </w:r>
    </w:p>
    <w:p w14:paraId="147C65AB">
      <w:pPr>
        <w:rPr>
          <w:color w:val="000000" w:themeColor="text1"/>
          <w14:textFill>
            <w14:solidFill>
              <w14:schemeClr w14:val="tx1"/>
            </w14:solidFill>
          </w14:textFill>
        </w:rPr>
      </w:pPr>
      <w:r>
        <w:rPr>
          <w:rFonts w:hint="eastAsia"/>
          <w:color w:val="000000" w:themeColor="text1"/>
          <w14:textFill>
            <w14:solidFill>
              <w14:schemeClr w14:val="tx1"/>
            </w14:solidFill>
          </w14:textFill>
        </w:rPr>
        <w:t>支持按照不同维度对机动车的排放量进行同比环比的分析，如上周环比、上月环比分析、上季度环比、自定义时间段环比等。</w:t>
      </w:r>
    </w:p>
    <w:p w14:paraId="43CA14B5">
      <w:pPr>
        <w:pStyle w:val="4"/>
      </w:pPr>
      <w:r>
        <w:rPr>
          <w:rFonts w:hint="eastAsia"/>
        </w:rPr>
        <w:t>报告管理功能适配</w:t>
      </w:r>
    </w:p>
    <w:p w14:paraId="25A13173">
      <w:r>
        <w:rPr>
          <w:rFonts w:hint="eastAsia"/>
        </w:rPr>
        <w:t>应实现报告管理功能适配。</w:t>
      </w:r>
    </w:p>
    <w:p w14:paraId="3159C72F">
      <w:r>
        <w:rPr>
          <w:rFonts w:hint="eastAsia"/>
        </w:rPr>
        <w:t>（1）报告管理</w:t>
      </w:r>
    </w:p>
    <w:p w14:paraId="3299A55E">
      <w:r>
        <w:rPr>
          <w:rFonts w:hint="eastAsia"/>
        </w:rPr>
        <w:t>支持显示所选择时间范围内的报告列表，支持报告文件的上传、下载、删除等功能。</w:t>
      </w:r>
    </w:p>
    <w:p w14:paraId="071B2815">
      <w:r>
        <w:rPr>
          <w:rFonts w:hint="eastAsia"/>
        </w:rPr>
        <w:t>（2）在线报告</w:t>
      </w:r>
    </w:p>
    <w:p w14:paraId="464DC7FB">
      <w:r>
        <w:rPr>
          <w:rFonts w:hint="eastAsia"/>
        </w:rPr>
        <w:t>该页面的产品可直接用于报告需要图表的在线截图等功能，在GIS图上综合展示机动车排放量、交通状况等信息，便于用户日常的报告需要。主要功能包括路网小时图和小时变化趋势。</w:t>
      </w:r>
    </w:p>
    <w:p w14:paraId="6CF828C8">
      <w:pPr>
        <w:pStyle w:val="4"/>
      </w:pPr>
      <w:r>
        <w:rPr>
          <w:rFonts w:hint="eastAsia"/>
        </w:rPr>
        <w:t>系统管理功能适配及升级</w:t>
      </w:r>
    </w:p>
    <w:p w14:paraId="443BB964">
      <w:r>
        <w:rPr>
          <w:rFonts w:hint="eastAsia"/>
        </w:rPr>
        <w:t>系统按照统一门户集成、统一接入管理、统一用户管理、统一授权管理、统一资源管理、统一安全防护（简称“六统一”）的要求整合到统一的环保政务大平台中，进行统一建设部署，按照市生态环境局的统一要求，做好各个接口的整合工作，门户，用户、权限、数据资源、都统一使用大平台的应用支撑服务</w:t>
      </w:r>
    </w:p>
    <w:p w14:paraId="329C2F84">
      <w:pPr>
        <w:pStyle w:val="4"/>
      </w:pPr>
      <w:r>
        <w:rPr>
          <w:rFonts w:hint="eastAsia"/>
        </w:rPr>
        <w:t>交通流量数据及综合分析页面共享</w:t>
      </w:r>
    </w:p>
    <w:p w14:paraId="1C40F08D">
      <w:pPr>
        <w:rPr>
          <w:color w:val="000000" w:themeColor="text1"/>
          <w14:textFill>
            <w14:solidFill>
              <w14:schemeClr w14:val="tx1"/>
            </w14:solidFill>
          </w14:textFill>
        </w:rPr>
      </w:pPr>
      <w:r>
        <w:rPr>
          <w:rFonts w:hint="eastAsia"/>
          <w:color w:val="000000" w:themeColor="text1"/>
          <w14:textFill>
            <w14:solidFill>
              <w14:schemeClr w14:val="tx1"/>
            </w14:solidFill>
          </w14:textFill>
        </w:rPr>
        <w:t>共享交通流量数据和综合分析页面至长三角区域空气质量预测预报系统，完成系统集成。</w:t>
      </w:r>
    </w:p>
    <w:p w14:paraId="37827FCE">
      <w:pPr>
        <w:pStyle w:val="4"/>
      </w:pPr>
      <w:r>
        <w:rPr>
          <w:rFonts w:hint="eastAsia"/>
        </w:rPr>
        <w:t>机动车排放场景模拟</w:t>
      </w:r>
    </w:p>
    <w:p w14:paraId="45DB5D45">
      <w:r>
        <w:rPr>
          <w:rFonts w:hint="eastAsia"/>
        </w:rPr>
        <w:t>基于优化后的模型与数据体系，聚焦城市核心商业区、工业园区等重点区域，早晚高峰、节假日等重点时段，临时活动，以及城市外环路、物流干线等重点路段，精细化解析机动车排放强度的时空分布规律，并通过源谱库匹配量化不同车型对 PM2.5、NOx、VOCs 等污染物的贡献占比，从而为交通污染靶向治理与空气质量改善提供科学决策依据。</w:t>
      </w:r>
    </w:p>
    <w:p w14:paraId="25886213">
      <w:r>
        <w:rPr>
          <w:rFonts w:hint="eastAsia"/>
        </w:rPr>
        <w:t>（1）场景新建</w:t>
      </w:r>
    </w:p>
    <w:p w14:paraId="012F202D">
      <w:r>
        <w:rPr>
          <w:rFonts w:hint="eastAsia"/>
        </w:rPr>
        <w:t>建立包括重点区域（城市核心商业区、工业园区）排放场景、重点时段（早晚高峰、节假日）排放场景、临时活动排放场景（中小学开学等）、重点路段（城市外环路、物流干线）</w:t>
      </w:r>
      <w:r>
        <w:rPr>
          <w:rFonts w:hint="eastAsia"/>
          <w:color w:val="000000" w:themeColor="text1"/>
          <w14:textFill>
            <w14:solidFill>
              <w14:schemeClr w14:val="tx1"/>
            </w14:solidFill>
          </w14:textFill>
        </w:rPr>
        <w:t>排放场景、特殊气象（如大雨等）排放场景、政</w:t>
      </w:r>
      <w:r>
        <w:rPr>
          <w:rFonts w:hint="eastAsia"/>
        </w:rPr>
        <w:t>策管控（包括车辆尾号限行、错峰出行、重大活动限行、重污染应急临时限行）排放场景的设置，可根据需要自定义设置场景名称、开始时间，结束时间、响应范围、管控预案类型等信息编辑完成场景新建，可根据需要启动提交运行排放场景。主要功能包括重点区域、时段、路段等排放场景以及政策管控排放场景。</w:t>
      </w:r>
    </w:p>
    <w:p w14:paraId="5567D31C">
      <w:r>
        <w:rPr>
          <w:rFonts w:hint="eastAsia"/>
        </w:rPr>
        <w:t>（2）场景编辑</w:t>
      </w:r>
    </w:p>
    <w:p w14:paraId="5E5CA10C">
      <w:r>
        <w:rPr>
          <w:rFonts w:hint="eastAsia"/>
        </w:rPr>
        <w:t>对于新建立的情景，支持实施预案的精细化设置，响应区域到城市，响应时间可到小时，支持场景设置的保存和一键启动运行。对于正在运行的场景，可根据污染过程中空气质量的实时变化，对排放场景进行参数的动态调整变更。</w:t>
      </w:r>
    </w:p>
    <w:p w14:paraId="3F09C7AB">
      <w:r>
        <w:rPr>
          <w:rFonts w:hint="eastAsia"/>
        </w:rPr>
        <w:t>（3）场景管理</w:t>
      </w:r>
    </w:p>
    <w:p w14:paraId="0CA8B33A">
      <w:r>
        <w:rPr>
          <w:rFonts w:hint="eastAsia"/>
        </w:rPr>
        <w:t>构建场景管理模块，将污染过程中用户创建的所有排放场景进行规范化管理。对已建立的未启动，运行中场景进行统一管理，在场景管理信息栏中，可查看场景名称，场景开始时间、结束时间、运行状态和模拟结果，同时可进行场景案例名称变更，支持对未结束排放场景进行删除。</w:t>
      </w:r>
    </w:p>
    <w:p w14:paraId="21508293">
      <w:r>
        <w:rPr>
          <w:rFonts w:hint="eastAsia"/>
        </w:rPr>
        <w:t>（4）场景启动提交</w:t>
      </w:r>
    </w:p>
    <w:p w14:paraId="23B46268">
      <w:r>
        <w:rPr>
          <w:rFonts w:hint="eastAsia"/>
        </w:rPr>
        <w:t>支持对新建场景一键启动，启动后的排放场景支持自动提交到运行模拟队列中，综合计算资源实际情况，场景模拟计算量及场景运行前置环节运行进度等动态调整场景运行顺序。</w:t>
      </w:r>
    </w:p>
    <w:p w14:paraId="75654712">
      <w:r>
        <w:rPr>
          <w:rFonts w:hint="eastAsia"/>
        </w:rPr>
        <w:t>（5）场景模拟计算</w:t>
      </w:r>
    </w:p>
    <w:p w14:paraId="21FAB260">
      <w:r>
        <w:rPr>
          <w:rFonts w:hint="eastAsia"/>
        </w:rPr>
        <w:t>基于IVE机动车模型进行场景模拟，每日根据业务需要动态读取管控场景设定的污染物排放信息（包括不同时间、不同区域、不同行业的基准排放源和管控排放源信息）并实时进行清单网格化处理，定量模拟量化不同车型对 PM2.5、NOx、VOCs 等污染物的贡献占比。</w:t>
      </w:r>
    </w:p>
    <w:p w14:paraId="1425540C">
      <w:r>
        <w:rPr>
          <w:rFonts w:hint="eastAsia"/>
        </w:rPr>
        <w:t>（6）模拟结果分析</w:t>
      </w:r>
    </w:p>
    <w:p w14:paraId="589DD480">
      <w:r>
        <w:rPr>
          <w:rFonts w:hint="eastAsia"/>
          <w:color w:val="000000" w:themeColor="text1"/>
          <w14:textFill>
            <w14:solidFill>
              <w14:schemeClr w14:val="tx1"/>
            </w14:solidFill>
          </w14:textFill>
        </w:rPr>
        <w:t>以动态高分辨率道路机动车排放清单为输入，完成街区尺度空气质量模式MUNICH实现街区尺度空气质量动态模拟，基于不同情景的模拟</w:t>
      </w:r>
      <w:r>
        <w:rPr>
          <w:rFonts w:hint="eastAsia"/>
        </w:rPr>
        <w:t>结果，以统计图表的形式展示不同车型对 PM2.5、NOx、VOCs 等污染物的贡献占比以对比视窗形式，支持情景模拟前后的浓度小时变化进行对比，直观分析不同排放场景下的污染物浓度变化情况，支持图表下载。</w:t>
      </w:r>
    </w:p>
    <w:p w14:paraId="1B17D29A">
      <w:pPr>
        <w:pStyle w:val="3"/>
        <w:ind w:left="0"/>
      </w:pPr>
      <w:r>
        <w:rPr>
          <w:rFonts w:hint="eastAsia"/>
        </w:rPr>
        <w:t>项目内容明细</w:t>
      </w:r>
    </w:p>
    <w:tbl>
      <w:tblPr>
        <w:tblStyle w:val="11"/>
        <w:tblW w:w="4430" w:type="pct"/>
        <w:jc w:val="center"/>
        <w:tblLayout w:type="fixed"/>
        <w:tblCellMar>
          <w:top w:w="0" w:type="dxa"/>
          <w:left w:w="108" w:type="dxa"/>
          <w:bottom w:w="0" w:type="dxa"/>
          <w:right w:w="108" w:type="dxa"/>
        </w:tblCellMar>
      </w:tblPr>
      <w:tblGrid>
        <w:gridCol w:w="792"/>
        <w:gridCol w:w="1322"/>
        <w:gridCol w:w="5442"/>
      </w:tblGrid>
      <w:tr w14:paraId="65E38873">
        <w:tblPrEx>
          <w:tblCellMar>
            <w:top w:w="0" w:type="dxa"/>
            <w:left w:w="108" w:type="dxa"/>
            <w:bottom w:w="0" w:type="dxa"/>
            <w:right w:w="108" w:type="dxa"/>
          </w:tblCellMar>
        </w:tblPrEx>
        <w:trPr>
          <w:trHeight w:val="270" w:hRule="atLeast"/>
          <w:jc w:val="center"/>
        </w:trPr>
        <w:tc>
          <w:tcPr>
            <w:tcW w:w="524" w:type="pct"/>
            <w:tcBorders>
              <w:top w:val="single" w:color="auto" w:sz="4" w:space="0"/>
              <w:left w:val="single" w:color="auto" w:sz="4" w:space="0"/>
              <w:bottom w:val="single" w:color="auto" w:sz="4" w:space="0"/>
              <w:right w:val="single" w:color="auto" w:sz="4" w:space="0"/>
            </w:tcBorders>
            <w:shd w:val="clear" w:color="000000" w:fill="F3F8FC"/>
            <w:noWrap/>
            <w:vAlign w:val="center"/>
          </w:tcPr>
          <w:p w14:paraId="07E18CA3">
            <w:pPr>
              <w:spacing w:line="240" w:lineRule="auto"/>
              <w:ind w:firstLine="0" w:firstLineChars="0"/>
              <w:jc w:val="center"/>
            </w:pPr>
            <w:r>
              <w:rPr>
                <w:rFonts w:hint="eastAsia"/>
              </w:rPr>
              <w:t>序号</w:t>
            </w:r>
          </w:p>
        </w:tc>
        <w:tc>
          <w:tcPr>
            <w:tcW w:w="875" w:type="pct"/>
            <w:tcBorders>
              <w:top w:val="single" w:color="auto" w:sz="4" w:space="0"/>
              <w:left w:val="nil"/>
              <w:bottom w:val="single" w:color="auto" w:sz="4" w:space="0"/>
              <w:right w:val="single" w:color="auto" w:sz="4" w:space="0"/>
            </w:tcBorders>
            <w:shd w:val="clear" w:color="000000" w:fill="F3F8FC"/>
            <w:noWrap/>
            <w:vAlign w:val="center"/>
          </w:tcPr>
          <w:p w14:paraId="68081D3F">
            <w:pPr>
              <w:spacing w:line="240" w:lineRule="auto"/>
              <w:ind w:firstLine="0" w:firstLineChars="0"/>
              <w:jc w:val="center"/>
            </w:pPr>
            <w:r>
              <w:rPr>
                <w:rFonts w:hint="eastAsia"/>
              </w:rPr>
              <w:t>功能名称</w:t>
            </w:r>
          </w:p>
        </w:tc>
        <w:tc>
          <w:tcPr>
            <w:tcW w:w="3601" w:type="pct"/>
            <w:tcBorders>
              <w:top w:val="single" w:color="auto" w:sz="4" w:space="0"/>
              <w:left w:val="nil"/>
              <w:bottom w:val="single" w:color="auto" w:sz="4" w:space="0"/>
              <w:right w:val="single" w:color="auto" w:sz="4" w:space="0"/>
            </w:tcBorders>
            <w:shd w:val="clear" w:color="000000" w:fill="F3F8FC"/>
            <w:vAlign w:val="center"/>
          </w:tcPr>
          <w:p w14:paraId="6F5D5591">
            <w:pPr>
              <w:spacing w:line="240" w:lineRule="auto"/>
              <w:ind w:firstLine="0" w:firstLineChars="0"/>
              <w:jc w:val="center"/>
            </w:pPr>
            <w:r>
              <w:rPr>
                <w:rFonts w:hint="eastAsia"/>
              </w:rPr>
              <w:t>功能描述</w:t>
            </w:r>
          </w:p>
        </w:tc>
      </w:tr>
      <w:tr w14:paraId="7FD489AB">
        <w:tblPrEx>
          <w:tblCellMar>
            <w:top w:w="0" w:type="dxa"/>
            <w:left w:w="108" w:type="dxa"/>
            <w:bottom w:w="0" w:type="dxa"/>
            <w:right w:w="108" w:type="dxa"/>
          </w:tblCellMar>
        </w:tblPrEx>
        <w:trPr>
          <w:trHeight w:val="1140"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5D7E626D">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4ED6B700">
            <w:pPr>
              <w:ind w:firstLine="0" w:firstLineChars="0"/>
              <w:jc w:val="center"/>
            </w:pPr>
            <w:r>
              <w:t>环境</w:t>
            </w:r>
            <w:bookmarkStart w:id="19" w:name="OLE_LINK5"/>
            <w:r>
              <w:t>适配</w:t>
            </w:r>
            <w:bookmarkEnd w:id="19"/>
            <w:r>
              <w:rPr>
                <w:rFonts w:hint="eastAsia"/>
              </w:rPr>
              <w:t>--数据库迁移适配</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15097DDB">
            <w:r>
              <w:rPr>
                <w:rFonts w:hint="eastAsia"/>
              </w:rPr>
              <w:t>支持上海市电子政务云关系型数据库，根据国产化数据库技术与相对应的数据库驱动，实现程序中操作数据的语句适配。</w:t>
            </w:r>
          </w:p>
        </w:tc>
      </w:tr>
      <w:tr w14:paraId="0D0C854C">
        <w:tblPrEx>
          <w:tblCellMar>
            <w:top w:w="0" w:type="dxa"/>
            <w:left w:w="108" w:type="dxa"/>
            <w:bottom w:w="0" w:type="dxa"/>
            <w:right w:w="108" w:type="dxa"/>
          </w:tblCellMar>
        </w:tblPrEx>
        <w:trPr>
          <w:trHeight w:val="771"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04853FF7">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185E333E">
            <w:pPr>
              <w:ind w:firstLine="0" w:firstLineChars="0"/>
              <w:jc w:val="center"/>
            </w:pPr>
            <w:r>
              <w:rPr>
                <w:rFonts w:hint="eastAsia"/>
              </w:rPr>
              <w:t>实时道路交通及全路网交通流量等数据接入适配</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789B24C9">
            <w:r>
              <w:rPr>
                <w:rFonts w:hint="eastAsia"/>
              </w:rPr>
              <w:t>完成各类数据接口的改造适配，接入实时道路交通数据、全路网交通流量数据、交通站环境监测数据、上海市本地化车队构成数据以及基础路网数据。</w:t>
            </w:r>
          </w:p>
        </w:tc>
      </w:tr>
      <w:tr w14:paraId="793D5A98">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49DF50B2">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6342CA93">
            <w:pPr>
              <w:ind w:firstLine="0" w:firstLineChars="0"/>
              <w:jc w:val="center"/>
            </w:pPr>
            <w:r>
              <w:rPr>
                <w:rFonts w:hint="eastAsia"/>
              </w:rPr>
              <w:t>机动车道路排放清单动态测算适配</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3206F260">
            <w:r>
              <w:rPr>
                <w:rFonts w:hint="eastAsia"/>
              </w:rPr>
              <w:t>将全覆盖实时交通流数据（作为动态交通活动水平数据）与车型分布、VSP分布、车辆技术基本参数等数据相结合，通过IVE模型、数据处理模型，动态测算道路机动车排放污染物清单。</w:t>
            </w:r>
          </w:p>
        </w:tc>
      </w:tr>
      <w:tr w14:paraId="3B48DCFB">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4BD772BC">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175B63E6">
            <w:pPr>
              <w:ind w:firstLine="0" w:firstLineChars="0"/>
              <w:jc w:val="center"/>
            </w:pPr>
            <w:r>
              <w:t>首页功能适配</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4D3F33E9">
            <w:r>
              <w:rPr>
                <w:rFonts w:hint="eastAsia"/>
              </w:rPr>
              <w:t>用于概览整个上海市的机动车排放量和站点监测状况，查看机动车所排放的各项污染物的时间趋势特征，以此在整体上把握近日机动车污染排放量的实况。</w:t>
            </w:r>
          </w:p>
        </w:tc>
      </w:tr>
      <w:tr w14:paraId="1F72F55E">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1ABB2E54">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56397FEB">
            <w:pPr>
              <w:ind w:firstLine="0" w:firstLineChars="0"/>
              <w:jc w:val="center"/>
            </w:pPr>
            <w:r>
              <w:rPr>
                <w:rFonts w:hint="eastAsia"/>
              </w:rPr>
              <w:t>实时排放功能适配-全路网实时排放</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0712AF94">
            <w:r>
              <w:rPr>
                <w:rFonts w:hint="eastAsia"/>
              </w:rPr>
              <w:t>该页面展示全路网的实时排放量，将道路排放清单动态测算数据进行展示</w:t>
            </w:r>
          </w:p>
        </w:tc>
      </w:tr>
      <w:tr w14:paraId="0B69FAF2">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5ABC9913">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64AB7AD2">
            <w:pPr>
              <w:ind w:firstLine="0" w:firstLineChars="0"/>
              <w:jc w:val="center"/>
            </w:pPr>
            <w:r>
              <w:rPr>
                <w:rFonts w:hint="eastAsia"/>
              </w:rPr>
              <w:t>实时排放功能适配-全路网排放量</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5E60B2C1">
            <w:r>
              <w:rPr>
                <w:rFonts w:hint="eastAsia"/>
              </w:rPr>
              <w:t>该功能展示上海市的机动车排放量经过计算之后，分配到每个网格里的排放，以此查看各个区域间排放量的区别。</w:t>
            </w:r>
          </w:p>
        </w:tc>
      </w:tr>
      <w:tr w14:paraId="7DAA594D">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40F60625">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14DA47B2">
            <w:pPr>
              <w:ind w:firstLine="0" w:firstLineChars="0"/>
              <w:jc w:val="center"/>
            </w:pPr>
            <w:r>
              <w:rPr>
                <w:rFonts w:hint="eastAsia"/>
              </w:rPr>
              <w:t>实时排放功能适配-环间分析</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46FDE0E2">
            <w:r>
              <w:rPr>
                <w:rFonts w:hint="eastAsia"/>
              </w:rPr>
              <w:t>将上海市按照内外环进行划分，按照区域进行排放量统计，从而判断区域间的排放信息和交通指数等之间的关系。</w:t>
            </w:r>
          </w:p>
        </w:tc>
      </w:tr>
      <w:tr w14:paraId="58B463AE">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2FCEA560">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649D3E98">
            <w:pPr>
              <w:ind w:firstLine="0" w:firstLineChars="0"/>
              <w:jc w:val="center"/>
            </w:pPr>
            <w:r>
              <w:rPr>
                <w:rFonts w:hint="eastAsia"/>
              </w:rPr>
              <w:t>实时排放功能适配-行政区划</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2A7CDC48">
            <w:r>
              <w:rPr>
                <w:rFonts w:hint="eastAsia"/>
              </w:rPr>
              <w:t>将上海市按照内外环进行划分，按照区域进行排放量统计，从而判断区域间的排放信息和交通指数等之间的关系。</w:t>
            </w:r>
          </w:p>
        </w:tc>
      </w:tr>
      <w:tr w14:paraId="7372A0C3">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6A45E8A1">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6CBFDDC2">
            <w:pPr>
              <w:ind w:firstLine="0" w:firstLineChars="0"/>
              <w:jc w:val="center"/>
            </w:pPr>
            <w:r>
              <w:rPr>
                <w:rFonts w:hint="eastAsia"/>
              </w:rPr>
              <w:t>实时排放功能适配-重点区域</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4C10006E">
            <w:r>
              <w:rPr>
                <w:rFonts w:hint="eastAsia"/>
              </w:rPr>
              <w:t>通过筛选上海市具有代表性意义的区域或者行政上的重点区域，对这一类区域进行分析、统计、查询等，探寻重点区域等代表性意义，以及重点区域与全市区域等关系。</w:t>
            </w:r>
          </w:p>
        </w:tc>
      </w:tr>
      <w:tr w14:paraId="0DAD3BEE">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27DA3395">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24592E9D">
            <w:pPr>
              <w:ind w:firstLine="0" w:firstLineChars="0"/>
              <w:jc w:val="center"/>
            </w:pPr>
            <w:r>
              <w:rPr>
                <w:rFonts w:hint="eastAsia"/>
              </w:rPr>
              <w:t>实时排放功能适配-道路分析</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0AFC0CD6">
            <w:r>
              <w:rPr>
                <w:rFonts w:hint="eastAsia"/>
              </w:rPr>
              <w:t>该部分功能将道路排放量进行数据变化趋势分析，包括多污染物分类、车公里、车流量变化等信息。</w:t>
            </w:r>
          </w:p>
        </w:tc>
      </w:tr>
      <w:tr w14:paraId="7F503985">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6A77C580">
            <w:pPr>
              <w:pStyle w:val="17"/>
              <w:numPr>
                <w:ilvl w:val="0"/>
                <w:numId w:val="4"/>
              </w:numPr>
              <w:ind w:left="0" w:firstLine="0" w:firstLineChars="0"/>
              <w:jc w:val="center"/>
            </w:pPr>
            <w:bookmarkStart w:id="20" w:name="_Hlk221806298"/>
          </w:p>
        </w:tc>
        <w:tc>
          <w:tcPr>
            <w:tcW w:w="875" w:type="pct"/>
            <w:tcBorders>
              <w:top w:val="single" w:color="auto" w:sz="4" w:space="0"/>
              <w:left w:val="nil"/>
              <w:bottom w:val="single" w:color="auto" w:sz="4" w:space="0"/>
              <w:right w:val="single" w:color="auto" w:sz="4" w:space="0"/>
            </w:tcBorders>
            <w:shd w:val="clear" w:color="auto" w:fill="FFFFFF"/>
            <w:vAlign w:val="center"/>
          </w:tcPr>
          <w:p w14:paraId="4B4D449B">
            <w:pPr>
              <w:ind w:firstLine="0" w:firstLineChars="0"/>
              <w:jc w:val="center"/>
            </w:pPr>
            <w:r>
              <w:rPr>
                <w:rFonts w:hint="eastAsia"/>
              </w:rPr>
              <w:t>交通环境监测功能适配-实时交通状况</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7F00BD56">
            <w:r>
              <w:rPr>
                <w:rFonts w:hint="eastAsia"/>
              </w:rPr>
              <w:t>展示交通站点等数据监测特征，另外辅助道路的排放量和道路交通状况数据；支持地图上的站点浓度、交通状况随时间轴时间点更新；支持随时间轴进行页面内播放。</w:t>
            </w:r>
          </w:p>
        </w:tc>
      </w:tr>
      <w:tr w14:paraId="3C04EA98">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4BB1A9D0">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0BAAE6E2">
            <w:pPr>
              <w:ind w:firstLine="0" w:firstLineChars="0"/>
              <w:jc w:val="center"/>
            </w:pPr>
            <w:r>
              <w:rPr>
                <w:rFonts w:hint="eastAsia"/>
              </w:rPr>
              <w:t>交通环境监测功能适配-站点分析</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50276622">
            <w:r>
              <w:rPr>
                <w:rFonts w:hint="eastAsia"/>
              </w:rPr>
              <w:t>该部分用于分析站点间的数据变化特征，包括实时展示和统计功能。</w:t>
            </w:r>
          </w:p>
        </w:tc>
      </w:tr>
      <w:tr w14:paraId="08FFA73B">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1A9F6C70">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1F5F97D7">
            <w:pPr>
              <w:ind w:firstLine="0" w:firstLineChars="0"/>
              <w:jc w:val="center"/>
            </w:pPr>
            <w:r>
              <w:rPr>
                <w:rFonts w:hint="eastAsia"/>
              </w:rPr>
              <w:t>交通环境监测功能适配-气象分析</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65913A15">
            <w:r>
              <w:rPr>
                <w:rFonts w:hint="eastAsia"/>
              </w:rPr>
              <w:t>分析上海市气象与交通监测站点数据关联性。主要从风速风向的数据入手，查看风玫瑰图、浓度变化与风速风向的关系。</w:t>
            </w:r>
          </w:p>
        </w:tc>
      </w:tr>
      <w:tr w14:paraId="16623ACD">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631952CE">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7DD1ED43">
            <w:pPr>
              <w:ind w:firstLine="0" w:firstLineChars="0"/>
              <w:jc w:val="center"/>
            </w:pPr>
            <w:r>
              <w:rPr>
                <w:rFonts w:hint="eastAsia"/>
              </w:rPr>
              <w:t>动态预警功能适配-动态预警</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6C2FED89">
            <w:r>
              <w:rPr>
                <w:rFonts w:hint="eastAsia"/>
              </w:rPr>
              <w:t>显示当前时间的环境站的预警信息，若有预警，则显示预警提示。</w:t>
            </w:r>
          </w:p>
        </w:tc>
      </w:tr>
      <w:tr w14:paraId="216B4ED6">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3A26B646">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5D62079D">
            <w:pPr>
              <w:ind w:firstLine="0" w:firstLineChars="0"/>
              <w:jc w:val="center"/>
            </w:pPr>
            <w:r>
              <w:rPr>
                <w:rFonts w:hint="eastAsia"/>
              </w:rPr>
              <w:t>动态预警功能适配-重污染分析</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4E294766">
            <w:r>
              <w:rPr>
                <w:rFonts w:hint="eastAsia"/>
              </w:rPr>
              <w:t>支持分析重污染与机动车排放量之间的关系。</w:t>
            </w:r>
          </w:p>
        </w:tc>
      </w:tr>
      <w:bookmarkEnd w:id="20"/>
      <w:tr w14:paraId="6E25BEB4">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0988E3ED">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2C2F09A8">
            <w:pPr>
              <w:ind w:firstLine="0" w:firstLineChars="0"/>
              <w:jc w:val="center"/>
            </w:pPr>
            <w:r>
              <w:rPr>
                <w:rFonts w:hint="eastAsia"/>
              </w:rPr>
              <w:t>分析查询功能适配-监测站数据查询</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216AEB85">
            <w:r>
              <w:rPr>
                <w:rFonts w:hint="eastAsia"/>
              </w:rPr>
              <w:t>用于查询交通站点的监测数据、排放量的统计分析、历史空气质量等数据。</w:t>
            </w:r>
          </w:p>
        </w:tc>
      </w:tr>
      <w:tr w14:paraId="776BDE9A">
        <w:tblPrEx>
          <w:tblCellMar>
            <w:top w:w="0" w:type="dxa"/>
            <w:left w:w="108" w:type="dxa"/>
            <w:bottom w:w="0" w:type="dxa"/>
            <w:right w:w="108" w:type="dxa"/>
          </w:tblCellMar>
        </w:tblPrEx>
        <w:trPr>
          <w:trHeight w:val="771"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5CBF9980">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6BD18328">
            <w:pPr>
              <w:ind w:firstLine="0" w:firstLineChars="0"/>
              <w:jc w:val="center"/>
            </w:pPr>
            <w:r>
              <w:rPr>
                <w:rFonts w:hint="eastAsia"/>
              </w:rPr>
              <w:t>分析查询功能适配-日汇总查询</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04EE845D">
            <w:r>
              <w:rPr>
                <w:rFonts w:hint="eastAsia"/>
              </w:rPr>
              <w:t>支持分车型的排放量数据查询。</w:t>
            </w:r>
          </w:p>
        </w:tc>
      </w:tr>
      <w:tr w14:paraId="4D494415">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4B57C335">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526B45A4">
            <w:pPr>
              <w:ind w:firstLine="0" w:firstLineChars="0"/>
              <w:jc w:val="center"/>
            </w:pPr>
            <w:r>
              <w:rPr>
                <w:rFonts w:hint="eastAsia"/>
              </w:rPr>
              <w:t>报告管理功能适配-报告管理</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446E4FE9">
            <w:r>
              <w:rPr>
                <w:rFonts w:hint="eastAsia"/>
              </w:rPr>
              <w:t>支持显示所选择时间范围内的报告列表，支持报告文件的上传、下载、删除等功能。</w:t>
            </w:r>
          </w:p>
        </w:tc>
      </w:tr>
      <w:tr w14:paraId="12045B17">
        <w:tblPrEx>
          <w:tblCellMar>
            <w:top w:w="0" w:type="dxa"/>
            <w:left w:w="108" w:type="dxa"/>
            <w:bottom w:w="0" w:type="dxa"/>
            <w:right w:w="108" w:type="dxa"/>
          </w:tblCellMar>
        </w:tblPrEx>
        <w:trPr>
          <w:trHeight w:val="629"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35D433E4">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1E7C6D26">
            <w:pPr>
              <w:ind w:firstLine="0" w:firstLineChars="0"/>
              <w:jc w:val="center"/>
            </w:pPr>
            <w:r>
              <w:rPr>
                <w:rFonts w:hint="eastAsia"/>
              </w:rPr>
              <w:t>报告管理功能适配-在线报告</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787DCC5C">
            <w:r>
              <w:rPr>
                <w:rFonts w:hint="eastAsia"/>
              </w:rPr>
              <w:t>该页面的产品可直接用于报告需要图表的在线截图等功能</w:t>
            </w:r>
          </w:p>
        </w:tc>
      </w:tr>
      <w:tr w14:paraId="60B1DF71">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21230E78">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7EE8DB98">
            <w:pPr>
              <w:ind w:firstLine="0" w:firstLineChars="0"/>
              <w:jc w:val="center"/>
            </w:pPr>
            <w:r>
              <w:rPr>
                <w:rFonts w:hint="eastAsia"/>
              </w:rPr>
              <w:t>系统管理功能适配-六统一集成</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4DBB5CBD">
            <w:pPr>
              <w:ind w:firstLine="0" w:firstLineChars="0"/>
            </w:pPr>
            <w:r>
              <w:rPr>
                <w:rFonts w:hint="eastAsia"/>
              </w:rPr>
              <w:t>系统按照统一门户集成、统一接入管理、统一用户管理、统一授权管理、统一资源管理、统一安全防护（简称“六统一”）的要求整合到统一的环保政务大平台中，进行统一建设部署，按照市生态环境局的统一要求，做好各个接口的整合工作，门户，用户、权限、数据资源、都统一使用大平台的应用支撑服务</w:t>
            </w:r>
          </w:p>
        </w:tc>
      </w:tr>
      <w:tr w14:paraId="08F44FCD">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14E3B035">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2EF04029">
            <w:pPr>
              <w:ind w:firstLine="0" w:firstLineChars="0"/>
              <w:jc w:val="center"/>
            </w:pPr>
            <w:r>
              <w:rPr>
                <w:rFonts w:hint="eastAsia"/>
              </w:rPr>
              <w:t>交通流量数据及综合分析页面共享-交通流量数据及综合分析页面共享</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6096201B">
            <w:pPr>
              <w:rPr>
                <w:color w:val="FF0000"/>
              </w:rPr>
            </w:pPr>
            <w:r>
              <w:rPr>
                <w:rFonts w:hint="eastAsia"/>
              </w:rPr>
              <w:t>共享交通流量数据和综合分析页面至长三角预测预报系统。</w:t>
            </w:r>
          </w:p>
        </w:tc>
      </w:tr>
      <w:tr w14:paraId="78DBFE63">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451E4A04">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72BC4C99">
            <w:pPr>
              <w:ind w:firstLine="0" w:firstLineChars="0"/>
              <w:jc w:val="center"/>
            </w:pPr>
            <w:r>
              <w:rPr>
                <w:rFonts w:hint="eastAsia"/>
              </w:rPr>
              <w:t>机动车排放场景模拟-场景新建</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5D230578">
            <w:r>
              <w:rPr>
                <w:rFonts w:hint="eastAsia"/>
              </w:rPr>
              <w:t>建立包括重点区域（城市核心商业区、工业园区）排放场景、重点时段（早晚高峰、节假日）排放场景、临时活动排放场景（重大活动保障、中小学开学等）、重点路段（城市外环路、物流干线）排放场景、政策排放管控场景。</w:t>
            </w:r>
          </w:p>
        </w:tc>
      </w:tr>
      <w:tr w14:paraId="5003D472">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26AA73E7">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7DE95889">
            <w:pPr>
              <w:ind w:firstLine="0" w:firstLineChars="0"/>
              <w:jc w:val="center"/>
            </w:pPr>
            <w:r>
              <w:rPr>
                <w:rFonts w:hint="eastAsia"/>
              </w:rPr>
              <w:t>机动车排放场景模拟-场景编辑</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2087B9C0">
            <w:r>
              <w:rPr>
                <w:rFonts w:hint="eastAsia"/>
              </w:rPr>
              <w:t>对于新建立的情景，支持实施预案的精细化设置，支持场景设置的保存和一键启动运行</w:t>
            </w:r>
          </w:p>
        </w:tc>
      </w:tr>
      <w:tr w14:paraId="07BF74B6">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61AE6AC5">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00741ED7">
            <w:pPr>
              <w:ind w:firstLine="0" w:firstLineChars="0"/>
              <w:jc w:val="center"/>
            </w:pPr>
            <w:r>
              <w:rPr>
                <w:rFonts w:hint="eastAsia"/>
              </w:rPr>
              <w:t>机动车排放场景模拟-场景管理</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0FBC9EC4">
            <w:r>
              <w:rPr>
                <w:rFonts w:hint="eastAsia"/>
              </w:rPr>
              <w:t>构建场景管理模块，将污染过程中用户创建的所有排放场景进行规范化管理。</w:t>
            </w:r>
          </w:p>
        </w:tc>
      </w:tr>
      <w:tr w14:paraId="49FC0083">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48A2FBAC">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56D9BF8F">
            <w:pPr>
              <w:ind w:firstLine="0" w:firstLineChars="0"/>
              <w:jc w:val="center"/>
            </w:pPr>
            <w:r>
              <w:rPr>
                <w:rFonts w:hint="eastAsia"/>
              </w:rPr>
              <w:t>机动车排放场景模拟-场景启动提交</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2252834C">
            <w:r>
              <w:rPr>
                <w:rFonts w:hint="eastAsia"/>
              </w:rPr>
              <w:t>支持对新建场景一键启动，启动后的排放场景支持自动提交到运行模拟队列中，综合计算资源实际情况，场景模拟计算量及场景运行前置环节运行进度等动态调整场景运行顺序。</w:t>
            </w:r>
          </w:p>
        </w:tc>
      </w:tr>
      <w:tr w14:paraId="6D43B12D">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7F817C12">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3C0697F0">
            <w:pPr>
              <w:ind w:firstLine="0" w:firstLineChars="0"/>
              <w:jc w:val="center"/>
            </w:pPr>
            <w:r>
              <w:rPr>
                <w:rFonts w:hint="eastAsia"/>
              </w:rPr>
              <w:t>机动车排放场景模拟-场景模拟计算</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442000FC">
            <w:r>
              <w:rPr>
                <w:rFonts w:hint="eastAsia"/>
              </w:rPr>
              <w:t>基于IVE机动车模型进行场景模拟</w:t>
            </w:r>
          </w:p>
        </w:tc>
      </w:tr>
      <w:tr w14:paraId="632932BF">
        <w:tblPrEx>
          <w:tblCellMar>
            <w:top w:w="0" w:type="dxa"/>
            <w:left w:w="108" w:type="dxa"/>
            <w:bottom w:w="0" w:type="dxa"/>
            <w:right w:w="108" w:type="dxa"/>
          </w:tblCellMar>
        </w:tblPrEx>
        <w:trPr>
          <w:trHeight w:val="1134" w:hRule="atLeast"/>
          <w:jc w:val="center"/>
        </w:trPr>
        <w:tc>
          <w:tcPr>
            <w:tcW w:w="524" w:type="pct"/>
            <w:tcBorders>
              <w:top w:val="single" w:color="auto" w:sz="4" w:space="0"/>
              <w:left w:val="single" w:color="auto" w:sz="4" w:space="0"/>
              <w:bottom w:val="single" w:color="auto" w:sz="4" w:space="0"/>
              <w:right w:val="single" w:color="auto" w:sz="4" w:space="0"/>
            </w:tcBorders>
            <w:shd w:val="clear" w:color="auto" w:fill="FFFFFF"/>
            <w:vAlign w:val="center"/>
          </w:tcPr>
          <w:p w14:paraId="5628A041">
            <w:pPr>
              <w:pStyle w:val="17"/>
              <w:numPr>
                <w:ilvl w:val="0"/>
                <w:numId w:val="4"/>
              </w:numPr>
              <w:ind w:left="0" w:firstLine="0" w:firstLineChars="0"/>
              <w:jc w:val="center"/>
            </w:pPr>
          </w:p>
        </w:tc>
        <w:tc>
          <w:tcPr>
            <w:tcW w:w="875" w:type="pct"/>
            <w:tcBorders>
              <w:top w:val="single" w:color="auto" w:sz="4" w:space="0"/>
              <w:left w:val="nil"/>
              <w:bottom w:val="single" w:color="auto" w:sz="4" w:space="0"/>
              <w:right w:val="single" w:color="auto" w:sz="4" w:space="0"/>
            </w:tcBorders>
            <w:shd w:val="clear" w:color="auto" w:fill="FFFFFF"/>
            <w:vAlign w:val="center"/>
          </w:tcPr>
          <w:p w14:paraId="1430A3A0">
            <w:pPr>
              <w:ind w:firstLine="0" w:firstLineChars="0"/>
              <w:jc w:val="center"/>
            </w:pPr>
            <w:r>
              <w:rPr>
                <w:rFonts w:hint="eastAsia"/>
              </w:rPr>
              <w:t>机动车排放场景模拟-模拟结果分析</w:t>
            </w:r>
          </w:p>
        </w:tc>
        <w:tc>
          <w:tcPr>
            <w:tcW w:w="3601" w:type="pct"/>
            <w:tcBorders>
              <w:top w:val="single" w:color="auto" w:sz="4" w:space="0"/>
              <w:left w:val="nil"/>
              <w:bottom w:val="single" w:color="auto" w:sz="4" w:space="0"/>
              <w:right w:val="single" w:color="auto" w:sz="4" w:space="0"/>
            </w:tcBorders>
            <w:shd w:val="clear" w:color="auto" w:fill="FFFFFF"/>
            <w:vAlign w:val="center"/>
          </w:tcPr>
          <w:p w14:paraId="12C45EF4">
            <w:r>
              <w:rPr>
                <w:rFonts w:hint="eastAsia"/>
              </w:rPr>
              <w:t>基于不同情景的模拟结果，直观分析不同排放场景下的污染物浓度变化情况</w:t>
            </w:r>
          </w:p>
        </w:tc>
      </w:tr>
    </w:tbl>
    <w:p w14:paraId="438C87DB">
      <w:pPr>
        <w:pStyle w:val="2"/>
        <w:ind w:left="0"/>
        <w:rPr>
          <w:color w:val="000000" w:themeColor="text1"/>
          <w14:textFill>
            <w14:solidFill>
              <w14:schemeClr w14:val="tx1"/>
            </w14:solidFill>
          </w14:textFill>
        </w:rPr>
      </w:pPr>
      <w:bookmarkStart w:id="21" w:name="_Toc63785502"/>
      <w:r>
        <w:rPr>
          <w:rFonts w:hint="eastAsia"/>
          <w:color w:val="000000" w:themeColor="text1"/>
          <w14:textFill>
            <w14:solidFill>
              <w14:schemeClr w14:val="tx1"/>
            </w14:solidFill>
          </w14:textFill>
        </w:rPr>
        <w:t>电子政务云资源需求</w:t>
      </w:r>
      <w:bookmarkEnd w:id="21"/>
      <w:r>
        <w:rPr>
          <w:rFonts w:hint="eastAsia"/>
          <w:color w:val="000000" w:themeColor="text1"/>
          <w14:textFill>
            <w14:solidFill>
              <w14:schemeClr w14:val="tx1"/>
            </w14:solidFill>
          </w14:textFill>
        </w:rPr>
        <w:t>（仅针对上云项目）</w:t>
      </w:r>
    </w:p>
    <w:p w14:paraId="7BFA49E2">
      <w:pPr>
        <w:rPr>
          <w:color w:val="000000" w:themeColor="text1"/>
          <w14:textFill>
            <w14:solidFill>
              <w14:schemeClr w14:val="tx1"/>
            </w14:solidFill>
          </w14:textFill>
        </w:rPr>
      </w:pPr>
      <w:r>
        <w:rPr>
          <w:rFonts w:hint="eastAsia" w:cs="宋体"/>
          <w:color w:val="000000" w:themeColor="text1"/>
          <w14:textFill>
            <w14:solidFill>
              <w14:schemeClr w14:val="tx1"/>
            </w14:solidFill>
          </w14:textFill>
        </w:rPr>
        <w:t>电子政务云资源按实际批复为准。</w:t>
      </w:r>
    </w:p>
    <w:p w14:paraId="2261AA79">
      <w:pPr>
        <w:pStyle w:val="2"/>
        <w:ind w:left="0"/>
        <w:rPr>
          <w:color w:val="000000" w:themeColor="text1"/>
          <w14:textFill>
            <w14:solidFill>
              <w14:schemeClr w14:val="tx1"/>
            </w14:solidFill>
          </w14:textFill>
        </w:rPr>
      </w:pPr>
      <w:bookmarkStart w:id="22" w:name="_Toc63785503"/>
      <w:r>
        <w:rPr>
          <w:rFonts w:hint="eastAsia"/>
          <w:color w:val="000000" w:themeColor="text1"/>
          <w14:textFill>
            <w14:solidFill>
              <w14:schemeClr w14:val="tx1"/>
            </w14:solidFill>
          </w14:textFill>
        </w:rPr>
        <w:t>其他工作要求</w:t>
      </w:r>
      <w:bookmarkEnd w:id="22"/>
    </w:p>
    <w:p w14:paraId="7AF41D8E">
      <w:r>
        <w:rPr>
          <w:rFonts w:hint="eastAsia"/>
        </w:rPr>
        <w:t>其他工作要求包含：售后服务、应急响应、培训、验收、进度控制、项目团队及人员要求、等级保护要求、技术文件要求等其他要求。</w:t>
      </w:r>
    </w:p>
    <w:p w14:paraId="4534307A">
      <w:pPr>
        <w:pStyle w:val="3"/>
        <w:ind w:left="0"/>
      </w:pPr>
      <w:bookmarkStart w:id="23" w:name="_Toc63785504"/>
      <w:bookmarkEnd w:id="23"/>
      <w:bookmarkStart w:id="24" w:name="_Toc63762370"/>
      <w:bookmarkEnd w:id="24"/>
      <w:bookmarkStart w:id="25" w:name="_Toc61968111"/>
      <w:bookmarkEnd w:id="25"/>
      <w:bookmarkStart w:id="26" w:name="_Toc63151871"/>
      <w:bookmarkEnd w:id="26"/>
      <w:bookmarkStart w:id="27" w:name="_Toc62219358"/>
      <w:bookmarkEnd w:id="27"/>
      <w:bookmarkStart w:id="28" w:name="_Toc62209488"/>
      <w:bookmarkEnd w:id="28"/>
      <w:bookmarkStart w:id="29" w:name="_Toc63785439"/>
      <w:bookmarkEnd w:id="29"/>
      <w:bookmarkStart w:id="30" w:name="_Toc63585480"/>
      <w:bookmarkEnd w:id="30"/>
      <w:bookmarkStart w:id="31" w:name="_Toc63785505"/>
      <w:r>
        <w:rPr>
          <w:rFonts w:hint="eastAsia"/>
        </w:rPr>
        <w:t>售后服务要求</w:t>
      </w:r>
      <w:bookmarkEnd w:id="31"/>
    </w:p>
    <w:p w14:paraId="0EE8C59D">
      <w:pPr>
        <w:rPr>
          <w:color w:val="000000" w:themeColor="text1"/>
          <w14:textFill>
            <w14:solidFill>
              <w14:schemeClr w14:val="tx1"/>
            </w14:solidFill>
          </w14:textFill>
        </w:rPr>
      </w:pPr>
      <w:r>
        <w:rPr>
          <w:rFonts w:hint="eastAsia"/>
          <w:color w:val="000000" w:themeColor="text1"/>
          <w14:textFill>
            <w14:solidFill>
              <w14:schemeClr w14:val="tx1"/>
            </w14:solidFill>
          </w14:textFill>
        </w:rPr>
        <w:t>本项目从系统验收通过之日起1年内提供</w:t>
      </w:r>
      <w:r>
        <w:rPr>
          <w:color w:val="000000" w:themeColor="text1"/>
          <w14:textFill>
            <w14:solidFill>
              <w14:schemeClr w14:val="tx1"/>
            </w14:solidFill>
          </w14:textFill>
        </w:rPr>
        <w:t>7*24小时免费技术支持</w:t>
      </w:r>
      <w:r>
        <w:rPr>
          <w:rFonts w:hint="eastAsia"/>
          <w:color w:val="000000" w:themeColor="text1"/>
          <w14:textFill>
            <w14:solidFill>
              <w14:schemeClr w14:val="tx1"/>
            </w14:solidFill>
          </w14:textFill>
        </w:rPr>
        <w:t>和售后服务，1年后进入有偿维护期。</w:t>
      </w:r>
    </w:p>
    <w:p w14:paraId="46C1DC27">
      <w:r>
        <w:rPr>
          <w:rFonts w:hint="eastAsia"/>
        </w:rPr>
        <w:t>在质量保证期内，供应商负责信息系统的运行维护工作，确保信息系统安全、稳定、可靠地运行。本项目涉及的运行维护工作范围如下：</w:t>
      </w:r>
    </w:p>
    <w:p w14:paraId="52AA916B">
      <w:pPr>
        <w:pStyle w:val="17"/>
        <w:numPr>
          <w:ilvl w:val="2"/>
          <w:numId w:val="5"/>
        </w:numPr>
        <w:spacing w:line="360" w:lineRule="auto"/>
        <w:ind w:left="0" w:firstLine="487" w:firstLineChars="203"/>
        <w:jc w:val="left"/>
      </w:pPr>
      <w:r>
        <w:rPr>
          <w:rFonts w:hint="eastAsia"/>
          <w:b/>
          <w:bCs/>
        </w:rPr>
        <w:t>日常监控：</w:t>
      </w:r>
      <w:r>
        <w:rPr>
          <w:rFonts w:hint="eastAsia"/>
        </w:rPr>
        <w:t>要求定期对数据库等资源使用情况及应用系统运行状况进行监控，并将监控情况进行登记并定期向用户汇报，如发现问题需及时向相关管理人员进行汇报，及时处理，并做好记录。</w:t>
      </w:r>
    </w:p>
    <w:p w14:paraId="02441417">
      <w:pPr>
        <w:pStyle w:val="17"/>
        <w:numPr>
          <w:ilvl w:val="2"/>
          <w:numId w:val="5"/>
        </w:numPr>
        <w:spacing w:line="360" w:lineRule="auto"/>
        <w:ind w:left="0" w:firstLine="487" w:firstLineChars="203"/>
        <w:jc w:val="left"/>
      </w:pPr>
      <w:r>
        <w:rPr>
          <w:rFonts w:hint="eastAsia"/>
          <w:b/>
          <w:bCs/>
        </w:rPr>
        <w:t>数据管理：</w:t>
      </w:r>
      <w:r>
        <w:rPr>
          <w:rFonts w:hint="eastAsia" w:cs="宋体"/>
          <w:kern w:val="0"/>
        </w:rPr>
        <w:t>指导客户的系统管理员通过清除不必要的日志文件优化数据库的性能；进行数据备份和恢复操作。</w:t>
      </w:r>
    </w:p>
    <w:p w14:paraId="5D431F17">
      <w:pPr>
        <w:pStyle w:val="17"/>
        <w:numPr>
          <w:ilvl w:val="2"/>
          <w:numId w:val="5"/>
        </w:numPr>
        <w:spacing w:line="360" w:lineRule="auto"/>
        <w:ind w:left="0" w:firstLine="487" w:firstLineChars="203"/>
        <w:jc w:val="left"/>
      </w:pPr>
      <w:r>
        <w:rPr>
          <w:rFonts w:hint="eastAsia"/>
          <w:b/>
          <w:bCs/>
        </w:rPr>
        <w:t>定期回访：</w:t>
      </w:r>
      <w:r>
        <w:rPr>
          <w:rFonts w:hint="eastAsia" w:cs="宋体"/>
          <w:kern w:val="0"/>
        </w:rPr>
        <w:t>主动进行至少半年一次的用户回访，了解用户使用系统的情况，并进行相关技术答疑和服务。</w:t>
      </w:r>
    </w:p>
    <w:p w14:paraId="4140DEA3">
      <w:pPr>
        <w:pStyle w:val="17"/>
        <w:numPr>
          <w:ilvl w:val="2"/>
          <w:numId w:val="5"/>
        </w:numPr>
        <w:spacing w:line="360" w:lineRule="auto"/>
        <w:ind w:left="0" w:firstLine="487" w:firstLineChars="203"/>
        <w:jc w:val="left"/>
      </w:pPr>
      <w:r>
        <w:rPr>
          <w:rFonts w:hint="eastAsia"/>
          <w:b/>
          <w:bCs/>
        </w:rPr>
        <w:t>电话咨询：</w:t>
      </w:r>
      <w:r>
        <w:rPr>
          <w:rFonts w:hint="eastAsia"/>
        </w:rPr>
        <w:t>需为用户提供技术援助电话，解答用户在设备使用中遇到的问题，及时提出解决问题的建议和操作方法。</w:t>
      </w:r>
    </w:p>
    <w:p w14:paraId="6595374C">
      <w:pPr>
        <w:pStyle w:val="17"/>
        <w:spacing w:line="360" w:lineRule="auto"/>
        <w:ind w:firstLine="475" w:firstLineChars="198"/>
        <w:jc w:val="left"/>
      </w:pPr>
      <w:r>
        <w:rPr>
          <w:rFonts w:hint="eastAsia"/>
        </w:rPr>
        <w:t>供应商需根据本次招标文件所制定的目标和范围，提出相应的售后服务方案，并作为投标文件的一部分提交。</w:t>
      </w:r>
    </w:p>
    <w:p w14:paraId="43B1C4B6">
      <w:pPr>
        <w:pStyle w:val="3"/>
        <w:ind w:left="0"/>
      </w:pPr>
      <w:bookmarkStart w:id="32" w:name="_Toc63785506"/>
      <w:r>
        <w:rPr>
          <w:rFonts w:hint="eastAsia"/>
        </w:rPr>
        <w:t>应急响应要求</w:t>
      </w:r>
      <w:bookmarkEnd w:id="32"/>
    </w:p>
    <w:p w14:paraId="71EC6283">
      <w:r>
        <w:rPr>
          <w:rFonts w:hint="eastAsia"/>
        </w:rPr>
        <w:t>供应商对系统故障应能够实时响应，若系统发生故障，接到通知后</w:t>
      </w:r>
      <w:r>
        <w:t>30分钟之内响应，</w:t>
      </w:r>
      <w:r>
        <w:rPr>
          <w:rFonts w:hint="eastAsia"/>
        </w:rPr>
        <w:t>若有需要</w:t>
      </w:r>
      <w:r>
        <w:t>专业工程师4小时内到达现场</w:t>
      </w:r>
      <w:r>
        <w:rPr>
          <w:rFonts w:hint="eastAsia"/>
        </w:rPr>
        <w:t>。特殊故障与客户沟通协商后，按照协商的方式制定解决方案并进行处理。</w:t>
      </w:r>
    </w:p>
    <w:p w14:paraId="79876A65">
      <w:r>
        <w:rPr>
          <w:rFonts w:hint="eastAsia"/>
        </w:rPr>
        <w:t>具体故障级别及对应的应急响应要求如下：</w:t>
      </w:r>
    </w:p>
    <w:p w14:paraId="46612AE4">
      <w:r>
        <w:rPr>
          <w:rFonts w:hint="eastAsia"/>
        </w:rPr>
        <w:t>一级故障：在</w:t>
      </w:r>
      <w:r>
        <w:t>1小时内确诊，总故障解决时间</w:t>
      </w:r>
      <w:r>
        <w:rPr>
          <w:rFonts w:hint="eastAsia"/>
        </w:rPr>
        <w:t>不超过4小时</w:t>
      </w:r>
      <w:r>
        <w:t>。</w:t>
      </w:r>
    </w:p>
    <w:p w14:paraId="3F4464A0">
      <w:r>
        <w:rPr>
          <w:rFonts w:hint="eastAsia"/>
        </w:rPr>
        <w:t>二级故障：在</w:t>
      </w:r>
      <w:r>
        <w:t>2小时内确诊，总故障解决时间</w:t>
      </w:r>
      <w:r>
        <w:rPr>
          <w:rFonts w:hint="eastAsia"/>
        </w:rPr>
        <w:t>不超过12小时</w:t>
      </w:r>
      <w:r>
        <w:t>；</w:t>
      </w:r>
    </w:p>
    <w:p w14:paraId="14A4A51F">
      <w:r>
        <w:rPr>
          <w:rFonts w:hint="eastAsia"/>
        </w:rPr>
        <w:t>三、四级故障：在</w:t>
      </w:r>
      <w:r>
        <w:t>4小时内确诊故障，总故障解决时间不超过</w:t>
      </w:r>
      <w:r>
        <w:rPr>
          <w:rFonts w:hint="eastAsia"/>
        </w:rPr>
        <w:t>24</w:t>
      </w:r>
      <w:r>
        <w:t>小时。</w:t>
      </w:r>
    </w:p>
    <w:p w14:paraId="1070CD09">
      <w:r>
        <w:rPr>
          <w:rFonts w:hint="eastAsia"/>
        </w:rPr>
        <w:t>依据故障时间及故障范围划分故障级别，故障级别分为四级，依次为Ⅰ级（紧急）、Ⅱ级（严重）、Ⅲ级（较大）和Ⅳ级（一般），分别定义如下：</w:t>
      </w:r>
    </w:p>
    <w:p w14:paraId="029D2F0D">
      <w:r>
        <w:rPr>
          <w:rFonts w:hint="eastAsia"/>
        </w:rPr>
        <w:t>Ⅰ级（紧急）故障为工作时间段（8:30——17:30）内大范围故障；</w:t>
      </w:r>
    </w:p>
    <w:p w14:paraId="1D964559">
      <w:r>
        <w:rPr>
          <w:rFonts w:hint="eastAsia"/>
        </w:rPr>
        <w:t>Ⅱ级（严重）故障为非工作时间段（17:30——次日8:30）内大范围故障；</w:t>
      </w:r>
    </w:p>
    <w:p w14:paraId="60D12B84">
      <w:r>
        <w:rPr>
          <w:rFonts w:hint="eastAsia"/>
        </w:rPr>
        <w:t>Ⅲ级（较大）故障为工作时间段（8:30——17:30）内小范围故障；</w:t>
      </w:r>
    </w:p>
    <w:p w14:paraId="03B9C024">
      <w:r>
        <w:rPr>
          <w:rFonts w:hint="eastAsia"/>
        </w:rPr>
        <w:t>Ⅳ级（一般）故障为非工作时间段（17:30——次日8:30）内小范围故障。</w:t>
      </w:r>
    </w:p>
    <w:p w14:paraId="36F1539A"/>
    <w:p w14:paraId="22F61A45">
      <w:pPr>
        <w:pStyle w:val="3"/>
        <w:ind w:left="0"/>
      </w:pPr>
      <w:bookmarkStart w:id="33" w:name="_Toc63785507"/>
      <w:r>
        <w:rPr>
          <w:rFonts w:hint="eastAsia"/>
        </w:rPr>
        <w:t>培训要求</w:t>
      </w:r>
      <w:bookmarkEnd w:id="33"/>
    </w:p>
    <w:p w14:paraId="5D8D1D7D">
      <w:pPr>
        <w:rPr>
          <w:color w:val="000000" w:themeColor="text1"/>
          <w14:textFill>
            <w14:solidFill>
              <w14:schemeClr w14:val="tx1"/>
            </w14:solidFill>
          </w14:textFill>
        </w:rPr>
      </w:pPr>
      <w:r>
        <w:rPr>
          <w:rFonts w:hint="eastAsia"/>
          <w:color w:val="000000" w:themeColor="text1"/>
          <w14:textFill>
            <w14:solidFill>
              <w14:schemeClr w14:val="tx1"/>
            </w14:solidFill>
          </w14:textFill>
        </w:rPr>
        <w:t>对系统使用单位提供业务操作培训，应提供详细培训方案。</w:t>
      </w:r>
    </w:p>
    <w:p w14:paraId="24F02C0D">
      <w:pPr>
        <w:rPr>
          <w:color w:val="000000" w:themeColor="text1"/>
          <w14:textFill>
            <w14:solidFill>
              <w14:schemeClr w14:val="tx1"/>
            </w14:solidFill>
          </w14:textFill>
        </w:rPr>
      </w:pPr>
      <w:r>
        <w:rPr>
          <w:rFonts w:hint="eastAsia"/>
          <w:color w:val="000000" w:themeColor="text1"/>
          <w14:textFill>
            <w14:solidFill>
              <w14:schemeClr w14:val="tx1"/>
            </w14:solidFill>
          </w14:textFill>
        </w:rPr>
        <w:t>(1)在12个月的质量保证期内，提供2次与项目相关的必要培训。</w:t>
      </w:r>
    </w:p>
    <w:p w14:paraId="14A88FFE">
      <w:r>
        <w:rPr>
          <w:rFonts w:hint="eastAsia"/>
          <w:color w:val="000000" w:themeColor="text1"/>
          <w14:textFill>
            <w14:solidFill>
              <w14:schemeClr w14:val="tx1"/>
            </w14:solidFill>
          </w14:textFill>
        </w:rPr>
        <w:t>(2)供应商需要开展分层次的人员培训工作，每次培训后应对参加培训人员进行测试，评估培训成果。培训应具有培训教材、培训环境和高水平的培训</w:t>
      </w:r>
      <w:r>
        <w:rPr>
          <w:rFonts w:hint="eastAsia"/>
        </w:rPr>
        <w:t>讲师。</w:t>
      </w:r>
    </w:p>
    <w:p w14:paraId="2AF75D65">
      <w:r>
        <w:rPr>
          <w:rFonts w:hint="eastAsia"/>
        </w:rPr>
        <w:t>(3)供应商应提供一般用户的基础操作培训和部门信息管理员的日常应用维护的培训，确保用户对象能够掌握对应的操作技能。</w:t>
      </w:r>
    </w:p>
    <w:p w14:paraId="0C44B7B1">
      <w:pPr>
        <w:pStyle w:val="3"/>
        <w:ind w:left="0"/>
      </w:pPr>
      <w:r>
        <w:rPr>
          <w:rFonts w:hint="eastAsia"/>
        </w:rPr>
        <w:t>验收要求</w:t>
      </w:r>
    </w:p>
    <w:p w14:paraId="349CD4B5">
      <w:r>
        <w:rPr>
          <w:rFonts w:hint="eastAsia"/>
        </w:rPr>
        <w:t>投标人按要求完成系统升级改造，配合通过软测、安测和密测等各类第三方测评（费用由采购人负责），并提供项目验收相关材料，招标方组织专家会验收。</w:t>
      </w:r>
    </w:p>
    <w:p w14:paraId="2F6A1786">
      <w:pPr>
        <w:pStyle w:val="3"/>
        <w:ind w:left="0"/>
      </w:pPr>
      <w:bookmarkStart w:id="34" w:name="_Toc63785509"/>
      <w:r>
        <w:rPr>
          <w:rFonts w:hint="eastAsia"/>
        </w:rPr>
        <w:t>进度要求</w:t>
      </w:r>
      <w:bookmarkEnd w:id="34"/>
    </w:p>
    <w:p w14:paraId="1665B61F">
      <w:r>
        <w:rPr>
          <w:rFonts w:hint="eastAsia"/>
        </w:rPr>
        <w:t>投标人应根据建设内容，分阶段制定合理的时间进度，并且应根据招标方要求进行调整和细化。</w:t>
      </w:r>
    </w:p>
    <w:p w14:paraId="2D0DE599">
      <w:pPr>
        <w:rPr>
          <w:color w:val="000000" w:themeColor="text1"/>
          <w14:textFill>
            <w14:solidFill>
              <w14:schemeClr w14:val="tx1"/>
            </w14:solidFill>
          </w14:textFill>
        </w:rPr>
      </w:pPr>
      <w:r>
        <w:rPr>
          <w:rFonts w:hint="eastAsia"/>
        </w:rPr>
        <w:t>投标人一旦中标，需</w:t>
      </w:r>
      <w:r>
        <w:rPr>
          <w:rFonts w:hint="eastAsia"/>
          <w:color w:val="000000" w:themeColor="text1"/>
          <w14:textFill>
            <w14:solidFill>
              <w14:schemeClr w14:val="tx1"/>
            </w14:solidFill>
          </w14:textFill>
        </w:rPr>
        <w:t>保证在</w:t>
      </w:r>
      <w:bookmarkStart w:id="35" w:name="OLE_LINK1"/>
      <w:r>
        <w:rPr>
          <w:color w:val="000000" w:themeColor="text1"/>
          <w14:textFill>
            <w14:solidFill>
              <w14:schemeClr w14:val="tx1"/>
            </w14:solidFill>
          </w14:textFill>
        </w:rPr>
        <w:t>2026年11月30日之前</w:t>
      </w:r>
      <w:bookmarkEnd w:id="35"/>
      <w:r>
        <w:rPr>
          <w:color w:val="000000" w:themeColor="text1"/>
          <w14:textFill>
            <w14:solidFill>
              <w14:schemeClr w14:val="tx1"/>
            </w14:solidFill>
          </w14:textFill>
        </w:rPr>
        <w:t>完成</w:t>
      </w:r>
      <w:r>
        <w:rPr>
          <w:rFonts w:hint="eastAsia"/>
          <w:color w:val="000000" w:themeColor="text1"/>
          <w14:textFill>
            <w14:solidFill>
              <w14:schemeClr w14:val="tx1"/>
            </w14:solidFill>
          </w14:textFill>
        </w:rPr>
        <w:t>系统建设和软件测评、安全测评和密码测评等</w:t>
      </w:r>
      <w:r>
        <w:rPr>
          <w:color w:val="000000" w:themeColor="text1"/>
          <w14:textFill>
            <w14:solidFill>
              <w14:schemeClr w14:val="tx1"/>
            </w14:solidFill>
          </w14:textFill>
        </w:rPr>
        <w:t>各类第三方测评及验收工作</w:t>
      </w:r>
      <w:r>
        <w:rPr>
          <w:rFonts w:hint="eastAsia"/>
          <w:color w:val="000000" w:themeColor="text1"/>
          <w14:textFill>
            <w14:solidFill>
              <w14:schemeClr w14:val="tx1"/>
            </w14:solidFill>
          </w14:textFill>
        </w:rPr>
        <w:t>，保证系统可正常运行（包含1个月试运行期）。</w:t>
      </w:r>
    </w:p>
    <w:p w14:paraId="1428D976">
      <w:r>
        <w:rPr>
          <w:rFonts w:hint="eastAsia"/>
          <w:color w:val="000000" w:themeColor="text1"/>
          <w14:textFill>
            <w14:solidFill>
              <w14:schemeClr w14:val="tx1"/>
            </w14:solidFill>
          </w14:textFill>
        </w:rPr>
        <w:t>项目建设分为六个阶段，包括需求调研阶段、系统设计阶段、系统建设阶段、测试阶段、试运行阶段以及项目验收等，投标文件应提供初步的阶段</w:t>
      </w:r>
      <w:r>
        <w:rPr>
          <w:rFonts w:hint="eastAsia"/>
        </w:rPr>
        <w:t>时间安排计划。</w:t>
      </w:r>
    </w:p>
    <w:p w14:paraId="4A1DE56E">
      <w:r>
        <w:rPr>
          <w:rFonts w:hint="eastAsia"/>
        </w:rPr>
        <w:t>投标人一旦中标需在两周内提交正式工作方案，明确招标项目工作的方式、过程步骤、按阶段分解的详细计划、对应计划应提交的工作成果、需要用户协调与配合的事项，并经用户审核、批准。</w:t>
      </w:r>
    </w:p>
    <w:p w14:paraId="3869B18F">
      <w:pPr>
        <w:pStyle w:val="3"/>
        <w:ind w:left="0"/>
      </w:pPr>
      <w:bookmarkStart w:id="36" w:name="_Toc63785510"/>
      <w:r>
        <w:rPr>
          <w:rFonts w:hint="eastAsia"/>
        </w:rPr>
        <w:t>项目团队及驻场人员要求</w:t>
      </w:r>
      <w:bookmarkEnd w:id="36"/>
    </w:p>
    <w:p w14:paraId="0EF6524D">
      <w:r>
        <w:t>1）投标人</w:t>
      </w:r>
      <w:r>
        <w:rPr>
          <w:rFonts w:hint="eastAsia"/>
        </w:rPr>
        <w:t>需</w:t>
      </w:r>
      <w:r>
        <w:t>具有稳定的在职技术保障力量，能够提供及时的技术支援或服务，应针对本项目提供不少于</w:t>
      </w:r>
      <w:r>
        <w:rPr>
          <w:rFonts w:hint="eastAsia"/>
        </w:rPr>
        <w:t>5</w:t>
      </w:r>
      <w:r>
        <w:t>人的项目服务团队（包括项目经理、技术负责人、产品经理、</w:t>
      </w:r>
      <w:r>
        <w:rPr>
          <w:rFonts w:hint="eastAsia"/>
        </w:rPr>
        <w:t>软件开发</w:t>
      </w:r>
      <w:r>
        <w:t>等），投标单位的相关服务人员需具备相应的服务能力。</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854"/>
        <w:gridCol w:w="851"/>
        <w:gridCol w:w="2977"/>
        <w:gridCol w:w="1190"/>
      </w:tblGrid>
      <w:tr w14:paraId="3A369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noWrap/>
            <w:vAlign w:val="center"/>
          </w:tcPr>
          <w:p w14:paraId="235C54B3">
            <w:pPr>
              <w:spacing w:line="240" w:lineRule="auto"/>
              <w:ind w:firstLine="0" w:firstLineChars="0"/>
              <w:jc w:val="center"/>
            </w:pPr>
            <w:r>
              <w:rPr>
                <w:rFonts w:hint="eastAsia"/>
              </w:rPr>
              <w:t>角色</w:t>
            </w:r>
          </w:p>
        </w:tc>
        <w:tc>
          <w:tcPr>
            <w:tcW w:w="1854" w:type="dxa"/>
            <w:noWrap/>
            <w:vAlign w:val="center"/>
          </w:tcPr>
          <w:p w14:paraId="3DD4A9EC">
            <w:pPr>
              <w:spacing w:line="240" w:lineRule="auto"/>
              <w:ind w:firstLine="0" w:firstLineChars="0"/>
              <w:jc w:val="center"/>
            </w:pPr>
            <w:r>
              <w:rPr>
                <w:rFonts w:hint="eastAsia"/>
              </w:rPr>
              <w:t>主要职责</w:t>
            </w:r>
          </w:p>
        </w:tc>
        <w:tc>
          <w:tcPr>
            <w:tcW w:w="851" w:type="dxa"/>
            <w:noWrap/>
            <w:vAlign w:val="center"/>
          </w:tcPr>
          <w:p w14:paraId="073BA81A">
            <w:pPr>
              <w:spacing w:line="240" w:lineRule="auto"/>
              <w:ind w:firstLine="0" w:firstLineChars="0"/>
              <w:jc w:val="center"/>
            </w:pPr>
            <w:r>
              <w:rPr>
                <w:rFonts w:hint="eastAsia"/>
              </w:rPr>
              <w:t>人员数量</w:t>
            </w:r>
          </w:p>
        </w:tc>
        <w:tc>
          <w:tcPr>
            <w:tcW w:w="2977" w:type="dxa"/>
            <w:vAlign w:val="center"/>
          </w:tcPr>
          <w:p w14:paraId="7FB173EC">
            <w:pPr>
              <w:spacing w:line="240" w:lineRule="auto"/>
              <w:ind w:firstLine="0" w:firstLineChars="0"/>
              <w:jc w:val="center"/>
            </w:pPr>
            <w:r>
              <w:rPr>
                <w:rFonts w:hint="eastAsia"/>
              </w:rPr>
              <w:t>人员要求</w:t>
            </w:r>
          </w:p>
        </w:tc>
        <w:tc>
          <w:tcPr>
            <w:tcW w:w="1190" w:type="dxa"/>
            <w:noWrap/>
            <w:vAlign w:val="center"/>
          </w:tcPr>
          <w:p w14:paraId="06AD8F23">
            <w:pPr>
              <w:spacing w:line="240" w:lineRule="auto"/>
              <w:ind w:firstLine="0" w:firstLineChars="0"/>
              <w:jc w:val="center"/>
            </w:pPr>
            <w:r>
              <w:rPr>
                <w:rFonts w:hint="eastAsia"/>
              </w:rPr>
              <w:t>驻场要求</w:t>
            </w:r>
          </w:p>
        </w:tc>
      </w:tr>
      <w:tr w14:paraId="38958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noWrap/>
            <w:vAlign w:val="center"/>
          </w:tcPr>
          <w:p w14:paraId="1B77A6BD">
            <w:pPr>
              <w:ind w:firstLine="0" w:firstLineChars="0"/>
            </w:pPr>
            <w:r>
              <w:rPr>
                <w:rFonts w:hint="eastAsia"/>
              </w:rPr>
              <w:t>项目经理</w:t>
            </w:r>
          </w:p>
        </w:tc>
        <w:tc>
          <w:tcPr>
            <w:tcW w:w="1854" w:type="dxa"/>
            <w:vAlign w:val="center"/>
          </w:tcPr>
          <w:p w14:paraId="25C5CFB2">
            <w:pPr>
              <w:ind w:firstLine="0" w:firstLineChars="0"/>
            </w:pPr>
            <w:r>
              <w:rPr>
                <w:rFonts w:hint="eastAsia"/>
              </w:rPr>
              <w:t>负责项目质量和进度控制</w:t>
            </w:r>
          </w:p>
        </w:tc>
        <w:tc>
          <w:tcPr>
            <w:tcW w:w="851" w:type="dxa"/>
            <w:noWrap/>
            <w:vAlign w:val="center"/>
          </w:tcPr>
          <w:p w14:paraId="1D28DAFF">
            <w:pPr>
              <w:ind w:firstLine="0" w:firstLineChars="0"/>
              <w:jc w:val="center"/>
            </w:pPr>
            <w:r>
              <w:rPr>
                <w:rFonts w:hint="eastAsia"/>
              </w:rPr>
              <w:t>1人</w:t>
            </w:r>
          </w:p>
        </w:tc>
        <w:tc>
          <w:tcPr>
            <w:tcW w:w="2977" w:type="dxa"/>
            <w:vAlign w:val="center"/>
          </w:tcPr>
          <w:p w14:paraId="73F13195">
            <w:pPr>
              <w:ind w:firstLine="0" w:firstLineChars="0"/>
            </w:pPr>
            <w:r>
              <w:rPr>
                <w:rFonts w:hint="eastAsia" w:cs="宋体"/>
              </w:rPr>
              <w:t>应具备良好的领导和管理团队的能力，具备良好的口头和书面沟通能力，并具备良好的分析和解决问题的能力，</w:t>
            </w:r>
            <w:r>
              <w:rPr>
                <w:rFonts w:hint="eastAsia"/>
              </w:rPr>
              <w:t>具备</w:t>
            </w:r>
            <w:r>
              <w:t>信息系统项目管理师证书或</w:t>
            </w:r>
            <w:r>
              <w:rPr>
                <w:rFonts w:hint="eastAsia"/>
              </w:rPr>
              <w:t>信息技术</w:t>
            </w:r>
            <w:r>
              <w:t>专业技术高级职称证书，</w:t>
            </w:r>
            <w:r>
              <w:rPr>
                <w:rFonts w:hint="eastAsia"/>
              </w:rPr>
              <w:t>具有5年以上信息化</w:t>
            </w:r>
            <w:r>
              <w:t>项目管理工作经验</w:t>
            </w:r>
            <w:r>
              <w:rPr>
                <w:rFonts w:hint="eastAsia" w:cs="宋体"/>
              </w:rPr>
              <w:t>。</w:t>
            </w:r>
          </w:p>
        </w:tc>
        <w:tc>
          <w:tcPr>
            <w:tcW w:w="1190" w:type="dxa"/>
            <w:noWrap/>
            <w:vAlign w:val="center"/>
          </w:tcPr>
          <w:p w14:paraId="7EAC5465">
            <w:pPr>
              <w:ind w:firstLine="0" w:firstLineChars="0"/>
            </w:pPr>
            <w:r>
              <w:rPr>
                <w:rFonts w:hint="eastAsia"/>
              </w:rPr>
              <w:t>驻场</w:t>
            </w:r>
          </w:p>
        </w:tc>
      </w:tr>
      <w:tr w14:paraId="423AE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noWrap/>
            <w:vAlign w:val="center"/>
          </w:tcPr>
          <w:p w14:paraId="3B242124">
            <w:pPr>
              <w:ind w:firstLine="0" w:firstLineChars="0"/>
            </w:pPr>
            <w:r>
              <w:rPr>
                <w:rFonts w:hint="eastAsia"/>
              </w:rPr>
              <w:t>技术负责人</w:t>
            </w:r>
          </w:p>
        </w:tc>
        <w:tc>
          <w:tcPr>
            <w:tcW w:w="1854" w:type="dxa"/>
            <w:vAlign w:val="center"/>
          </w:tcPr>
          <w:p w14:paraId="305BAEC7">
            <w:pPr>
              <w:ind w:firstLine="0" w:firstLineChars="0"/>
            </w:pPr>
            <w:r>
              <w:rPr>
                <w:rFonts w:hint="eastAsia"/>
              </w:rPr>
              <w:t>负责技术架构设计，解决项目中的重难点技术问题</w:t>
            </w:r>
          </w:p>
        </w:tc>
        <w:tc>
          <w:tcPr>
            <w:tcW w:w="851" w:type="dxa"/>
            <w:noWrap/>
            <w:vAlign w:val="center"/>
          </w:tcPr>
          <w:p w14:paraId="4495F999">
            <w:pPr>
              <w:ind w:firstLine="0" w:firstLineChars="0"/>
              <w:jc w:val="center"/>
            </w:pPr>
            <w:r>
              <w:rPr>
                <w:rFonts w:hint="eastAsia"/>
              </w:rPr>
              <w:t>1人</w:t>
            </w:r>
          </w:p>
        </w:tc>
        <w:tc>
          <w:tcPr>
            <w:tcW w:w="2977" w:type="dxa"/>
            <w:vAlign w:val="center"/>
          </w:tcPr>
          <w:p w14:paraId="1FA77BA9">
            <w:pPr>
              <w:ind w:firstLine="0" w:firstLineChars="0"/>
            </w:pPr>
            <w:r>
              <w:rPr>
                <w:rFonts w:hint="eastAsia" w:cs="宋体"/>
              </w:rPr>
              <w:t>应能主导关键技术方案制定与攻关，具备良好的团队协调与沟通能力。</w:t>
            </w:r>
          </w:p>
        </w:tc>
        <w:tc>
          <w:tcPr>
            <w:tcW w:w="1190" w:type="dxa"/>
            <w:noWrap/>
            <w:vAlign w:val="center"/>
          </w:tcPr>
          <w:p w14:paraId="7DDAAED5">
            <w:pPr>
              <w:ind w:firstLine="0" w:firstLineChars="0"/>
            </w:pPr>
            <w:r>
              <w:rPr>
                <w:rFonts w:hint="eastAsia"/>
              </w:rPr>
              <w:t>不驻场</w:t>
            </w:r>
          </w:p>
        </w:tc>
      </w:tr>
      <w:tr w14:paraId="7E9A9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noWrap/>
            <w:vAlign w:val="center"/>
          </w:tcPr>
          <w:p w14:paraId="281A439E">
            <w:pPr>
              <w:ind w:firstLine="0" w:firstLineChars="0"/>
            </w:pPr>
            <w:r>
              <w:rPr>
                <w:rFonts w:hint="eastAsia"/>
              </w:rPr>
              <w:t>产品经理</w:t>
            </w:r>
          </w:p>
        </w:tc>
        <w:tc>
          <w:tcPr>
            <w:tcW w:w="1854" w:type="dxa"/>
            <w:vAlign w:val="center"/>
          </w:tcPr>
          <w:p w14:paraId="60FEC45B">
            <w:pPr>
              <w:ind w:firstLine="0" w:firstLineChars="0"/>
            </w:pPr>
            <w:r>
              <w:rPr>
                <w:rFonts w:hint="eastAsia"/>
              </w:rPr>
              <w:t>负责项目需求评估与产品设计</w:t>
            </w:r>
          </w:p>
        </w:tc>
        <w:tc>
          <w:tcPr>
            <w:tcW w:w="851" w:type="dxa"/>
            <w:noWrap/>
            <w:vAlign w:val="center"/>
          </w:tcPr>
          <w:p w14:paraId="56ED6E25">
            <w:pPr>
              <w:ind w:firstLine="0" w:firstLineChars="0"/>
              <w:jc w:val="center"/>
            </w:pPr>
            <w:r>
              <w:rPr>
                <w:rFonts w:hint="eastAsia"/>
              </w:rPr>
              <w:t>1人</w:t>
            </w:r>
          </w:p>
        </w:tc>
        <w:tc>
          <w:tcPr>
            <w:tcW w:w="2977" w:type="dxa"/>
            <w:vAlign w:val="center"/>
          </w:tcPr>
          <w:p w14:paraId="48C5022D">
            <w:pPr>
              <w:ind w:firstLine="0" w:firstLineChars="0"/>
            </w:pPr>
            <w:r>
              <w:rPr>
                <w:rFonts w:hint="eastAsia" w:cs="宋体"/>
              </w:rPr>
              <w:t>应熟悉需求分析与产品规划，具备良好的文档撰写与跨部门协调能力。</w:t>
            </w:r>
          </w:p>
        </w:tc>
        <w:tc>
          <w:tcPr>
            <w:tcW w:w="1190" w:type="dxa"/>
            <w:noWrap/>
            <w:vAlign w:val="center"/>
          </w:tcPr>
          <w:p w14:paraId="71DB7210">
            <w:pPr>
              <w:ind w:firstLine="0" w:firstLineChars="0"/>
            </w:pPr>
            <w:r>
              <w:rPr>
                <w:rFonts w:hint="eastAsia"/>
              </w:rPr>
              <w:t>不驻场</w:t>
            </w:r>
          </w:p>
        </w:tc>
      </w:tr>
      <w:tr w14:paraId="16EE9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noWrap/>
            <w:vAlign w:val="center"/>
          </w:tcPr>
          <w:p w14:paraId="14AA3350">
            <w:pPr>
              <w:ind w:firstLine="0" w:firstLineChars="0"/>
            </w:pPr>
            <w:r>
              <w:rPr>
                <w:rFonts w:hint="eastAsia"/>
              </w:rPr>
              <w:t>软件开发</w:t>
            </w:r>
          </w:p>
        </w:tc>
        <w:tc>
          <w:tcPr>
            <w:tcW w:w="1854" w:type="dxa"/>
            <w:noWrap/>
            <w:vAlign w:val="center"/>
          </w:tcPr>
          <w:p w14:paraId="177BE924">
            <w:pPr>
              <w:ind w:firstLine="0" w:firstLineChars="0"/>
            </w:pPr>
            <w:r>
              <w:rPr>
                <w:rFonts w:hint="eastAsia"/>
              </w:rPr>
              <w:t>负责项目具体开发与实施</w:t>
            </w:r>
          </w:p>
        </w:tc>
        <w:tc>
          <w:tcPr>
            <w:tcW w:w="851" w:type="dxa"/>
            <w:noWrap/>
            <w:vAlign w:val="center"/>
          </w:tcPr>
          <w:p w14:paraId="2E2569CD">
            <w:pPr>
              <w:ind w:firstLine="0" w:firstLineChars="0"/>
              <w:jc w:val="center"/>
            </w:pPr>
            <w:r>
              <w:rPr>
                <w:rFonts w:hint="eastAsia"/>
              </w:rPr>
              <w:t>2人</w:t>
            </w:r>
          </w:p>
        </w:tc>
        <w:tc>
          <w:tcPr>
            <w:tcW w:w="2977" w:type="dxa"/>
            <w:vAlign w:val="center"/>
          </w:tcPr>
          <w:p w14:paraId="548CCEB0">
            <w:pPr>
              <w:ind w:firstLine="0" w:firstLineChars="0"/>
            </w:pPr>
            <w:r>
              <w:rPr>
                <w:rFonts w:hint="eastAsia"/>
              </w:rPr>
              <w:t>应熟悉主流开发框架与数据库技术，能独立完成模块开发与测试。责任心强，具备良好的团队协作精神。</w:t>
            </w:r>
          </w:p>
        </w:tc>
        <w:tc>
          <w:tcPr>
            <w:tcW w:w="1190" w:type="dxa"/>
            <w:noWrap/>
            <w:vAlign w:val="center"/>
          </w:tcPr>
          <w:p w14:paraId="57895D0C">
            <w:pPr>
              <w:ind w:firstLine="0" w:firstLineChars="0"/>
            </w:pPr>
            <w:r>
              <w:rPr>
                <w:rFonts w:hint="eastAsia"/>
              </w:rPr>
              <w:t>不驻场</w:t>
            </w:r>
          </w:p>
        </w:tc>
      </w:tr>
    </w:tbl>
    <w:p w14:paraId="5E80CE33">
      <w:r>
        <w:t>2）投标人应针对本项目提供不少于</w:t>
      </w:r>
      <w:r>
        <w:rPr>
          <w:rFonts w:hint="eastAsia"/>
        </w:rPr>
        <w:t>2</w:t>
      </w:r>
      <w:r>
        <w:t>人的质保期间支撑团队（其中</w:t>
      </w:r>
      <w:r>
        <w:rPr>
          <w:rFonts w:hint="eastAsia"/>
        </w:rPr>
        <w:t>项目</w:t>
      </w:r>
      <w:r>
        <w:t>经理</w:t>
      </w:r>
      <w:r>
        <w:rPr>
          <w:rFonts w:hint="eastAsia"/>
        </w:rPr>
        <w:t>1</w:t>
      </w:r>
      <w:r>
        <w:t>人，技术工程师不少于</w:t>
      </w:r>
      <w:r>
        <w:rPr>
          <w:rFonts w:hint="eastAsia"/>
        </w:rPr>
        <w:t>1</w:t>
      </w:r>
      <w:r>
        <w:t>人）</w:t>
      </w:r>
      <w:r>
        <w:rPr>
          <w:rFonts w:hint="eastAsia"/>
        </w:rPr>
        <w:t>，</w:t>
      </w:r>
      <w:r>
        <w:t>投标人的相关服务人员需具备相应的服务能力。</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2845"/>
        <w:gridCol w:w="1176"/>
        <w:gridCol w:w="1894"/>
        <w:gridCol w:w="1197"/>
      </w:tblGrid>
      <w:tr w14:paraId="326BC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noWrap/>
            <w:vAlign w:val="center"/>
          </w:tcPr>
          <w:p w14:paraId="55B7703E">
            <w:pPr>
              <w:ind w:firstLine="0" w:firstLineChars="0"/>
              <w:jc w:val="center"/>
            </w:pPr>
            <w:r>
              <w:rPr>
                <w:rFonts w:hint="eastAsia"/>
              </w:rPr>
              <w:t>角色</w:t>
            </w:r>
          </w:p>
        </w:tc>
        <w:tc>
          <w:tcPr>
            <w:tcW w:w="0" w:type="auto"/>
            <w:noWrap/>
            <w:vAlign w:val="center"/>
          </w:tcPr>
          <w:p w14:paraId="5522C2A2">
            <w:pPr>
              <w:ind w:firstLine="0" w:firstLineChars="0"/>
              <w:jc w:val="center"/>
            </w:pPr>
            <w:r>
              <w:rPr>
                <w:rFonts w:hint="eastAsia"/>
              </w:rPr>
              <w:t>主要职责</w:t>
            </w:r>
          </w:p>
        </w:tc>
        <w:tc>
          <w:tcPr>
            <w:tcW w:w="0" w:type="auto"/>
            <w:noWrap/>
            <w:vAlign w:val="center"/>
          </w:tcPr>
          <w:p w14:paraId="55B6BF56">
            <w:pPr>
              <w:ind w:firstLine="0" w:firstLineChars="0"/>
              <w:jc w:val="center"/>
            </w:pPr>
            <w:r>
              <w:rPr>
                <w:rFonts w:hint="eastAsia"/>
              </w:rPr>
              <w:t>人员数量</w:t>
            </w:r>
          </w:p>
        </w:tc>
        <w:tc>
          <w:tcPr>
            <w:tcW w:w="1894" w:type="dxa"/>
            <w:vAlign w:val="center"/>
          </w:tcPr>
          <w:p w14:paraId="2F584F55">
            <w:pPr>
              <w:ind w:firstLine="0" w:firstLineChars="0"/>
              <w:jc w:val="center"/>
            </w:pPr>
            <w:r>
              <w:rPr>
                <w:rFonts w:hint="eastAsia"/>
              </w:rPr>
              <w:t>人员要求</w:t>
            </w:r>
          </w:p>
        </w:tc>
        <w:tc>
          <w:tcPr>
            <w:tcW w:w="1197" w:type="dxa"/>
            <w:noWrap/>
            <w:vAlign w:val="center"/>
          </w:tcPr>
          <w:p w14:paraId="0E7006EB">
            <w:pPr>
              <w:ind w:firstLine="0" w:firstLineChars="0"/>
              <w:jc w:val="center"/>
            </w:pPr>
            <w:r>
              <w:rPr>
                <w:rFonts w:hint="eastAsia"/>
              </w:rPr>
              <w:t>驻场要求</w:t>
            </w:r>
          </w:p>
        </w:tc>
      </w:tr>
      <w:tr w14:paraId="18752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noWrap/>
            <w:vAlign w:val="center"/>
          </w:tcPr>
          <w:p w14:paraId="4C772C1A">
            <w:pPr>
              <w:ind w:firstLine="0" w:firstLineChars="0"/>
            </w:pPr>
            <w:r>
              <w:rPr>
                <w:rFonts w:hint="eastAsia"/>
              </w:rPr>
              <w:t>项目经理</w:t>
            </w:r>
          </w:p>
        </w:tc>
        <w:tc>
          <w:tcPr>
            <w:tcW w:w="0" w:type="auto"/>
            <w:vAlign w:val="center"/>
          </w:tcPr>
          <w:p w14:paraId="66923472">
            <w:pPr>
              <w:ind w:firstLine="0" w:firstLineChars="0"/>
            </w:pPr>
            <w:r>
              <w:rPr>
                <w:rFonts w:hint="eastAsia"/>
              </w:rPr>
              <w:t>负责项目质量和进度控制</w:t>
            </w:r>
          </w:p>
        </w:tc>
        <w:tc>
          <w:tcPr>
            <w:tcW w:w="0" w:type="auto"/>
            <w:noWrap/>
            <w:vAlign w:val="center"/>
          </w:tcPr>
          <w:p w14:paraId="7E9118D0">
            <w:pPr>
              <w:ind w:firstLine="0" w:firstLineChars="0"/>
              <w:jc w:val="center"/>
            </w:pPr>
            <w:r>
              <w:rPr>
                <w:rFonts w:hint="eastAsia"/>
              </w:rPr>
              <w:t>1人</w:t>
            </w:r>
          </w:p>
        </w:tc>
        <w:tc>
          <w:tcPr>
            <w:tcW w:w="1894" w:type="dxa"/>
            <w:vAlign w:val="center"/>
          </w:tcPr>
          <w:p w14:paraId="7B6D16BA">
            <w:pPr>
              <w:ind w:firstLine="0" w:firstLineChars="0"/>
            </w:pPr>
            <w:r>
              <w:rPr>
                <w:rFonts w:hint="eastAsia" w:cs="宋体"/>
              </w:rPr>
              <w:t>应具备良好的领导和管理团队的能力，具备良好的口头和书面沟通能力，并具备良好的分析和解决问题的能力，需熟练使用项目管理工具。</w:t>
            </w:r>
          </w:p>
        </w:tc>
        <w:tc>
          <w:tcPr>
            <w:tcW w:w="1197" w:type="dxa"/>
            <w:noWrap/>
            <w:vAlign w:val="center"/>
          </w:tcPr>
          <w:p w14:paraId="61C144E9">
            <w:pPr>
              <w:ind w:firstLine="0" w:firstLineChars="0"/>
            </w:pPr>
            <w:r>
              <w:rPr>
                <w:rFonts w:hint="eastAsia"/>
              </w:rPr>
              <w:t>不驻场</w:t>
            </w:r>
          </w:p>
        </w:tc>
      </w:tr>
      <w:tr w14:paraId="541FB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noWrap/>
            <w:vAlign w:val="center"/>
          </w:tcPr>
          <w:p w14:paraId="350CA95E">
            <w:pPr>
              <w:ind w:firstLine="0" w:firstLineChars="0"/>
            </w:pPr>
            <w:r>
              <w:rPr>
                <w:rFonts w:hint="eastAsia"/>
              </w:rPr>
              <w:t>技术工程师</w:t>
            </w:r>
          </w:p>
        </w:tc>
        <w:tc>
          <w:tcPr>
            <w:tcW w:w="0" w:type="auto"/>
            <w:noWrap/>
            <w:vAlign w:val="center"/>
          </w:tcPr>
          <w:p w14:paraId="1367510C">
            <w:pPr>
              <w:ind w:firstLine="0" w:firstLineChars="0"/>
            </w:pPr>
            <w:r>
              <w:rPr>
                <w:rFonts w:hint="eastAsia"/>
              </w:rPr>
              <w:t>负责项目运行维护</w:t>
            </w:r>
          </w:p>
        </w:tc>
        <w:tc>
          <w:tcPr>
            <w:tcW w:w="0" w:type="auto"/>
            <w:noWrap/>
            <w:vAlign w:val="center"/>
          </w:tcPr>
          <w:p w14:paraId="293C606C">
            <w:pPr>
              <w:ind w:firstLine="0" w:firstLineChars="0"/>
              <w:jc w:val="center"/>
            </w:pPr>
            <w:r>
              <w:rPr>
                <w:rFonts w:hint="eastAsia"/>
              </w:rPr>
              <w:t>1人</w:t>
            </w:r>
          </w:p>
        </w:tc>
        <w:tc>
          <w:tcPr>
            <w:tcW w:w="1894" w:type="dxa"/>
            <w:vAlign w:val="center"/>
          </w:tcPr>
          <w:p w14:paraId="0DB90A8E">
            <w:pPr>
              <w:ind w:firstLine="0" w:firstLineChars="0"/>
            </w:pPr>
            <w:r>
              <w:rPr>
                <w:rFonts w:hint="eastAsia"/>
              </w:rPr>
              <w:t>应熟悉操作系统（如麒麟、Windows、Linux等）、数据库（如人大金仓、mysql等），具备良好的系统维护和故障排除，以及良好的沟通和协作能力。</w:t>
            </w:r>
          </w:p>
        </w:tc>
        <w:tc>
          <w:tcPr>
            <w:tcW w:w="1197" w:type="dxa"/>
            <w:noWrap/>
            <w:vAlign w:val="center"/>
          </w:tcPr>
          <w:p w14:paraId="59AD59BB">
            <w:pPr>
              <w:ind w:firstLine="0" w:firstLineChars="0"/>
            </w:pPr>
            <w:r>
              <w:rPr>
                <w:rFonts w:hint="eastAsia"/>
              </w:rPr>
              <w:t>不驻场</w:t>
            </w:r>
          </w:p>
        </w:tc>
      </w:tr>
    </w:tbl>
    <w:p w14:paraId="3E2DE1BD">
      <w:pPr>
        <w:pStyle w:val="3"/>
        <w:ind w:left="0"/>
      </w:pPr>
      <w:bookmarkStart w:id="37" w:name="_Toc63785511"/>
      <w:r>
        <w:t>等级保护要求</w:t>
      </w:r>
      <w:bookmarkEnd w:id="37"/>
    </w:p>
    <w:p w14:paraId="6400A279">
      <w:r>
        <w:rPr>
          <w:rFonts w:hint="eastAsia"/>
        </w:rPr>
        <w:t>按照安全保护等级二级标准进行安全防护建设，包括对系统的物理安全防护、网络设施的安全防护、数据方面的安全防护等，验收前需系统需通过安全测评。</w:t>
      </w:r>
    </w:p>
    <w:p w14:paraId="211A9D40">
      <w:pPr>
        <w:pStyle w:val="3"/>
        <w:ind w:left="0"/>
      </w:pPr>
      <w:r>
        <w:rPr>
          <w:rFonts w:hint="eastAsia"/>
        </w:rPr>
        <w:t>商业密码应用需求</w:t>
      </w:r>
    </w:p>
    <w:p w14:paraId="33AD7DF1">
      <w:r>
        <w:rPr>
          <w:rFonts w:hint="eastAsia"/>
        </w:rPr>
        <w:t>按照系统密码应用方案完成密码应用开发，密码应用开发包含用户身份认证机制模块、业务重要数据安全传输模块、服务器虚拟机设备日志/访问控制信息完整性模块、重要可执行程序签名验签模块、用户访问控制信息签名验签模块、应用系统重要数据加解密模块、应用系统重要数据签名验签模块、电子公文电子印章模块等。验收前需通过密码应用安全测评。</w:t>
      </w:r>
    </w:p>
    <w:p w14:paraId="0C01D7D9">
      <w:pPr>
        <w:pStyle w:val="3"/>
        <w:ind w:left="0"/>
      </w:pPr>
      <w:bookmarkStart w:id="38" w:name="_Toc63785512"/>
      <w:r>
        <w:rPr>
          <w:rFonts w:hint="eastAsia"/>
        </w:rPr>
        <w:t>技术文件要求</w:t>
      </w:r>
    </w:p>
    <w:p w14:paraId="010FE4C6">
      <w:r>
        <w:rPr>
          <w:rFonts w:hint="eastAsia"/>
        </w:rPr>
        <w:t>投标人提供的书面技术资料应能确保系统正常运行所需的管理、运营及维护有关的全套文件。技术文件应该全面、完整、详细。投标人提供的技术文件至少应包括：</w:t>
      </w:r>
    </w:p>
    <w:p w14:paraId="23C32062">
      <w:pPr>
        <w:pStyle w:val="17"/>
        <w:numPr>
          <w:ilvl w:val="0"/>
          <w:numId w:val="6"/>
        </w:numPr>
        <w:ind w:firstLineChars="0"/>
      </w:pPr>
      <w:r>
        <w:rPr>
          <w:rFonts w:hint="eastAsia"/>
        </w:rPr>
        <w:t>《软件需求说明书》</w:t>
      </w:r>
    </w:p>
    <w:p w14:paraId="0BAFF342">
      <w:pPr>
        <w:pStyle w:val="17"/>
        <w:numPr>
          <w:ilvl w:val="0"/>
          <w:numId w:val="6"/>
        </w:numPr>
        <w:ind w:firstLineChars="0"/>
      </w:pPr>
      <w:r>
        <w:rPr>
          <w:rFonts w:hint="eastAsia"/>
        </w:rPr>
        <w:t>《概要设计说明书》</w:t>
      </w:r>
    </w:p>
    <w:p w14:paraId="378D514E">
      <w:pPr>
        <w:pStyle w:val="17"/>
        <w:numPr>
          <w:ilvl w:val="0"/>
          <w:numId w:val="6"/>
        </w:numPr>
        <w:ind w:firstLineChars="0"/>
      </w:pPr>
      <w:r>
        <w:rPr>
          <w:rFonts w:hint="eastAsia"/>
        </w:rPr>
        <w:t>《数据库设计说明书》</w:t>
      </w:r>
    </w:p>
    <w:p w14:paraId="09C98F1E">
      <w:pPr>
        <w:pStyle w:val="17"/>
        <w:numPr>
          <w:ilvl w:val="0"/>
          <w:numId w:val="6"/>
        </w:numPr>
        <w:ind w:firstLineChars="0"/>
      </w:pPr>
      <w:r>
        <w:rPr>
          <w:rFonts w:hint="eastAsia"/>
        </w:rPr>
        <w:t>《详细设计说明书》</w:t>
      </w:r>
    </w:p>
    <w:p w14:paraId="7F1BCF0F">
      <w:pPr>
        <w:pStyle w:val="17"/>
        <w:numPr>
          <w:ilvl w:val="0"/>
          <w:numId w:val="6"/>
        </w:numPr>
        <w:ind w:firstLineChars="0"/>
      </w:pPr>
      <w:r>
        <w:rPr>
          <w:rFonts w:hint="eastAsia"/>
        </w:rPr>
        <w:t>《测试计划及报告》</w:t>
      </w:r>
    </w:p>
    <w:p w14:paraId="24EC3F55">
      <w:pPr>
        <w:pStyle w:val="17"/>
        <w:numPr>
          <w:ilvl w:val="0"/>
          <w:numId w:val="6"/>
        </w:numPr>
        <w:ind w:firstLineChars="0"/>
      </w:pPr>
      <w:r>
        <w:rPr>
          <w:rFonts w:hint="eastAsia"/>
        </w:rPr>
        <w:t>《用户操作手册》</w:t>
      </w:r>
    </w:p>
    <w:p w14:paraId="2CF08C7A">
      <w:pPr>
        <w:pStyle w:val="17"/>
        <w:numPr>
          <w:ilvl w:val="0"/>
          <w:numId w:val="6"/>
        </w:numPr>
        <w:ind w:firstLineChars="0"/>
      </w:pPr>
      <w:r>
        <w:rPr>
          <w:rFonts w:hint="eastAsia"/>
        </w:rPr>
        <w:t>《安装部署手册》</w:t>
      </w:r>
    </w:p>
    <w:p w14:paraId="444C4F68">
      <w:pPr>
        <w:pStyle w:val="17"/>
        <w:numPr>
          <w:ilvl w:val="0"/>
          <w:numId w:val="6"/>
        </w:numPr>
        <w:ind w:firstLineChars="0"/>
      </w:pPr>
      <w:r>
        <w:rPr>
          <w:rFonts w:hint="eastAsia"/>
        </w:rPr>
        <w:t>《系统维护及故障处理手册》</w:t>
      </w:r>
    </w:p>
    <w:p w14:paraId="7847E30F">
      <w:r>
        <w:rPr>
          <w:rFonts w:hint="eastAsia"/>
        </w:rPr>
        <w:t>提供全套技术文件纸介质</w:t>
      </w:r>
      <w:r>
        <w:t>3套以及电子文件1套。</w:t>
      </w:r>
      <w:bookmarkEnd w:id="38"/>
    </w:p>
    <w:p w14:paraId="1BFC41FD">
      <w:pPr>
        <w:pStyle w:val="3"/>
        <w:ind w:left="0" w:firstLine="0"/>
        <w:rPr>
          <w:rFonts w:hint="eastAsia"/>
        </w:rPr>
      </w:pPr>
      <w:r>
        <w:rPr>
          <w:rFonts w:hint="eastAsia"/>
        </w:rPr>
        <w:t>其他要求</w:t>
      </w:r>
    </w:p>
    <w:p w14:paraId="4CE0903C">
      <w:pPr>
        <w:adjustRightInd/>
        <w:snapToGrid/>
        <w:spacing w:line="560" w:lineRule="exact"/>
        <w:jc w:val="both"/>
        <w:rPr>
          <w:rFonts w:hint="eastAsia" w:cs="Times New Roman"/>
          <w:kern w:val="2"/>
          <w:szCs w:val="24"/>
        </w:rPr>
      </w:pPr>
      <w:r>
        <w:rPr>
          <w:rFonts w:hint="eastAsia" w:cs="Times New Roman"/>
          <w:kern w:val="2"/>
          <w:szCs w:val="24"/>
        </w:rPr>
        <w:t>本项目的知识产权（含所有源代码、开发文档等）权利归属采购人所有，未经采购人同意，成交人不得将本项目的知识成果用于任何第三方。</w:t>
      </w:r>
    </w:p>
    <w:p w14:paraId="44A3995D">
      <w:pPr>
        <w:adjustRightInd/>
        <w:snapToGrid/>
        <w:spacing w:line="560" w:lineRule="exact"/>
        <w:jc w:val="both"/>
        <w:rPr>
          <w:rFonts w:hint="eastAsia" w:cs="Times New Roman"/>
          <w:kern w:val="2"/>
          <w:szCs w:val="24"/>
        </w:rPr>
      </w:pPr>
    </w:p>
    <w:p w14:paraId="41316F50">
      <w:pPr>
        <w:adjustRightInd/>
        <w:snapToGrid/>
        <w:spacing w:line="560" w:lineRule="exact"/>
        <w:jc w:val="both"/>
        <w:rPr>
          <w:rFonts w:hint="eastAsia" w:cs="Times New Roman"/>
          <w:kern w:val="2"/>
          <w:szCs w:val="24"/>
        </w:rPr>
      </w:pPr>
      <w:r>
        <w:rPr>
          <w:rFonts w:hint="eastAsia" w:cs="Times New Roman"/>
          <w:kern w:val="2"/>
          <w:szCs w:val="24"/>
        </w:rPr>
        <w:t>供应商具有ISO20000信息技术服务管理体系认证、ISO27001信息安全管理体系认证、ITSS信息技术服务运行维护标准符合性证书的</w:t>
      </w:r>
      <w:r>
        <w:rPr>
          <w:rFonts w:hint="eastAsia" w:cs="Times New Roman"/>
          <w:kern w:val="2"/>
          <w:szCs w:val="24"/>
          <w:lang w:eastAsia="zh-CN"/>
        </w:rPr>
        <w:t>优先考虑。</w:t>
      </w:r>
    </w:p>
    <w:p w14:paraId="605F6C5D">
      <w:pPr>
        <w:rPr>
          <w:rFonts w:hint="eastAsia"/>
          <w:strike/>
        </w:rPr>
      </w:pPr>
    </w:p>
    <w:p w14:paraId="75D0D860">
      <w:pPr>
        <w:pStyle w:val="2"/>
        <w:ind w:left="0"/>
      </w:pPr>
      <w:bookmarkStart w:id="39" w:name="_Toc68798863"/>
      <w:r>
        <w:rPr>
          <w:rFonts w:hint="eastAsia"/>
        </w:rPr>
        <w:t>附录</w:t>
      </w:r>
      <w:bookmarkEnd w:id="39"/>
    </w:p>
    <w:p w14:paraId="507BC6CD">
      <w:r>
        <w:rPr>
          <w:rFonts w:hint="eastAsia"/>
        </w:rPr>
        <w:t>项目建设过程中需符合相关技术标准或规范文件的要求，相关文件作为附件列出如下：</w:t>
      </w:r>
    </w:p>
    <w:p w14:paraId="34701A0D">
      <w:r>
        <w:rPr>
          <w:rFonts w:hint="eastAsia"/>
        </w:rPr>
        <w:t>1、《</w:t>
      </w:r>
      <w:bookmarkStart w:id="40" w:name="OLE_LINK6"/>
      <w:r>
        <w:rPr>
          <w:rFonts w:hint="eastAsia"/>
        </w:rPr>
        <w:t>上海市环保大平台集成工作指南v3.0</w:t>
      </w:r>
      <w:bookmarkEnd w:id="40"/>
      <w:r>
        <w:rPr>
          <w:rFonts w:hint="eastAsia"/>
        </w:rPr>
        <w:t>》</w:t>
      </w:r>
    </w:p>
    <w:p w14:paraId="1A3B5899">
      <w:pPr>
        <w:rPr>
          <w:rFonts w:hint="eastAsia"/>
        </w:rPr>
      </w:pPr>
      <w:bookmarkStart w:id="41" w:name="_MON_1831878800"/>
      <w:bookmarkEnd w:id="41"/>
      <w:r>
        <w:rPr>
          <w:rFonts w:hint="eastAsia"/>
        </w:rPr>
        <w:pict>
          <v:shape id="_x0000_s1026" o:spid="_x0000_s1026" o:spt="75" alt="" type="#_x0000_t75" style="position:absolute;left:0pt;margin-left:23.45pt;margin-top:2.4pt;height:52.8pt;width:75.6pt;mso-wrap-distance-bottom:0pt;mso-wrap-distance-left:9pt;mso-wrap-distance-right:9pt;mso-wrap-distance-top:0pt;z-index:251659264;mso-width-relative:page;mso-height-relative:page;" o:ole="t" filled="f" o:preferrelative="t" stroked="f" coordsize="21600,21600">
            <v:path/>
            <v:fill on="f" focussize="0,0"/>
            <v:stroke on="f"/>
            <v:imagedata r:id="rId13" o:title=""/>
            <o:lock v:ext="edit" aspectratio="t"/>
            <w10:wrap type="square"/>
          </v:shape>
          <o:OLEObject Type="Embed" ProgID="Word.Document.12" ShapeID="_x0000_s1026" DrawAspect="Icon" ObjectID="_1468075725" r:id="rId12">
            <o:LockedField>false</o:LockedField>
          </o:OLEObject>
        </w:pict>
      </w:r>
    </w:p>
    <w:p w14:paraId="4D5BE9F5"/>
    <w:p w14:paraId="48924B12">
      <w:pPr>
        <w:numPr>
          <w:ilvl w:val="0"/>
          <w:numId w:val="7"/>
        </w:numPr>
        <w:rPr>
          <w:rFonts w:hint="eastAsia"/>
        </w:rPr>
      </w:pPr>
      <w:r>
        <w:rPr>
          <w:rFonts w:hint="eastAsia"/>
        </w:rPr>
        <w:t>《信息安全技术 网络安全等级保护测试评估技术指南》</w:t>
      </w:r>
    </w:p>
    <w:p w14:paraId="06CD3BC9">
      <w:pPr>
        <w:numPr>
          <w:ilvl w:val="-1"/>
          <w:numId w:val="0"/>
        </w:numPr>
        <w:ind w:firstLine="0" w:firstLineChars="0"/>
        <w:rPr>
          <w:rFonts w:hint="eastAsia"/>
        </w:rPr>
      </w:pPr>
      <w:r>
        <w:rPr>
          <w:rFonts w:hint="eastAsia"/>
        </w:rPr>
        <w:pict>
          <v:shape id="_x0000_s1027" o:spid="_x0000_s1027" o:spt="75" alt="" type="#_x0000_t75" style="position:absolute;left:0pt;margin-left:25.05pt;margin-top:3.45pt;height:52.8pt;width:76.8pt;mso-wrap-distance-bottom:0pt;mso-wrap-distance-left:9pt;mso-wrap-distance-right:9pt;mso-wrap-distance-top:0pt;z-index:251660288;mso-width-relative:page;mso-height-relative:page;" o:ole="t" filled="f" o:preferrelative="t" stroked="f" coordsize="21600,21600">
            <v:path/>
            <v:fill on="f" focussize="0,0"/>
            <v:stroke on="f"/>
            <v:imagedata r:id="rId15" o:title=""/>
            <o:lock v:ext="edit" aspectratio="t"/>
            <w10:wrap type="square"/>
          </v:shape>
          <o:OLEObject Type="Embed" ProgID="Package" ShapeID="_x0000_s1027" DrawAspect="Icon" ObjectID="_1468075726" r:id="rId14">
            <o:LockedField>false</o:LockedField>
          </o:OLEObject>
        </w:pict>
      </w:r>
    </w:p>
    <w:p w14:paraId="465AF22F"/>
    <w:sectPr>
      <w:headerReference r:id="rId7" w:type="first"/>
      <w:footerReference r:id="rId10" w:type="first"/>
      <w:headerReference r:id="rId5" w:type="default"/>
      <w:footerReference r:id="rId8" w:type="default"/>
      <w:headerReference r:id="rId6" w:type="even"/>
      <w:footerReference r:id="rId9" w:type="even"/>
      <w:pgSz w:w="11906" w:h="16838"/>
      <w:pgMar w:top="1134" w:right="1797" w:bottom="1135" w:left="1797" w:header="340" w:footer="540" w:gutter="0"/>
      <w:pgNumType w:start="1"/>
      <w:cols w:space="720" w:num="1"/>
      <w:titlePg/>
      <w:docGrid w:type="linesAndChar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方正黑体_GBK">
    <w:panose1 w:val="02000000000000000000"/>
    <w:charset w:val="86"/>
    <w:family w:val="auto"/>
    <w:pitch w:val="default"/>
    <w:sig w:usb0="00000001" w:usb1="08000000" w:usb2="00000000" w:usb3="00000000" w:csb0="00040000" w:csb1="00000000"/>
  </w:font>
  <w:font w:name="Calibri Light">
    <w:altName w:val="DejaVu Sans"/>
    <w:panose1 w:val="020F0302020204030204"/>
    <w:charset w:val="00"/>
    <w:family w:val="swiss"/>
    <w:pitch w:val="default"/>
    <w:sig w:usb0="00000000" w:usb1="00000000" w:usb2="00000009" w:usb3="00000000" w:csb0="000001FF" w:csb1="00000000"/>
  </w:font>
  <w:font w:name="仿宋">
    <w:altName w:val="仿宋_GB2312"/>
    <w:panose1 w:val="02010609060101010101"/>
    <w:charset w:val="86"/>
    <w:family w:val="modern"/>
    <w:pitch w:val="default"/>
    <w:sig w:usb0="00000000" w:usb1="00000000"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Arial">
    <w:altName w:val="DejaVu Sans"/>
    <w:panose1 w:val="00000000000000000000"/>
    <w:charset w:val="00"/>
    <w:family w:val="auto"/>
    <w:pitch w:val="default"/>
    <w:sig w:usb0="00000000" w:usb1="00000000" w:usb2="00000000" w:usb3="00000000" w:csb0="00000000" w:csb1="00000000"/>
  </w:font>
  <w:font w:name="方正仿宋_GBK">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D7B031">
    <w:pPr>
      <w:ind w:firstLine="0" w:firstLineChars="0"/>
      <w:jc w:val="center"/>
      <w:rPr>
        <w:lang w:val="zh-CN"/>
      </w:rPr>
    </w:pPr>
    <w:r>
      <w:rPr>
        <w:lang w:val="zh-CN"/>
      </w:rPr>
      <w:fldChar w:fldCharType="begin"/>
    </w:r>
    <w:r>
      <w:rPr>
        <w:lang w:val="zh-CN"/>
      </w:rPr>
      <w:instrText xml:space="preserve">PAGE   \* MERGEFORMAT</w:instrText>
    </w:r>
    <w:r>
      <w:rPr>
        <w:lang w:val="zh-CN"/>
      </w:rPr>
      <w:fldChar w:fldCharType="separate"/>
    </w:r>
    <w:r>
      <w:rPr>
        <w:lang w:val="zh-CN"/>
      </w:rPr>
      <w:t>19</w:t>
    </w:r>
    <w:r>
      <w:rPr>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D38EC9">
    <w:pPr>
      <w:pStyle w:val="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6B6166">
    <w:pPr>
      <w:ind w:firstLine="0" w:firstLineChars="0"/>
      <w:jc w:val="center"/>
      <w:rPr>
        <w:lang w:val="zh-CN"/>
      </w:rPr>
    </w:pPr>
    <w:r>
      <w:rPr>
        <w:lang w:val="zh-CN"/>
      </w:rPr>
      <w:fldChar w:fldCharType="begin"/>
    </w:r>
    <w:r>
      <w:rPr>
        <w:lang w:val="zh-CN"/>
      </w:rPr>
      <w:instrText xml:space="preserve">PAGE   \* MERGEFORMAT</w:instrText>
    </w:r>
    <w:r>
      <w:rPr>
        <w:lang w:val="zh-CN"/>
      </w:rPr>
      <w:fldChar w:fldCharType="separate"/>
    </w:r>
    <w:r>
      <w:rPr>
        <w:lang w:val="zh-CN"/>
      </w:rPr>
      <w:t>1</w:t>
    </w:r>
    <w:r>
      <w:rPr>
        <w:lang w:val="zh-C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5FB7E8">
    <w:pPr>
      <w:pStyle w:val="9"/>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99F826">
    <w:pPr>
      <w:pStyle w:val="9"/>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2F9C8F">
    <w:pPr>
      <w:pStyle w:val="9"/>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F93759"/>
    <w:multiLevelType w:val="multilevel"/>
    <w:tmpl w:val="02F93759"/>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21E33A5C"/>
    <w:multiLevelType w:val="multilevel"/>
    <w:tmpl w:val="21E33A5C"/>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decimal"/>
      <w:lvlText w:val="（%3）"/>
      <w:lvlJc w:val="left"/>
      <w:pPr>
        <w:ind w:left="4126" w:hanging="440"/>
      </w:pPr>
      <w:rPr>
        <w:rFonts w:hint="eastAsia"/>
      </w:r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
    <w:nsid w:val="345C6783"/>
    <w:multiLevelType w:val="multilevel"/>
    <w:tmpl w:val="345C6783"/>
    <w:lvl w:ilvl="0" w:tentative="0">
      <w:start w:val="1"/>
      <w:numFmt w:val="bullet"/>
      <w:lvlText w:val=""/>
      <w:lvlJc w:val="left"/>
      <w:pPr>
        <w:ind w:left="920" w:hanging="440"/>
      </w:pPr>
      <w:rPr>
        <w:rFonts w:hint="default" w:ascii="Wingdings" w:hAnsi="Wingdings"/>
      </w:rPr>
    </w:lvl>
    <w:lvl w:ilvl="1" w:tentative="0">
      <w:start w:val="1"/>
      <w:numFmt w:val="bullet"/>
      <w:lvlText w:val=""/>
      <w:lvlJc w:val="left"/>
      <w:pPr>
        <w:ind w:left="1360" w:hanging="440"/>
      </w:pPr>
      <w:rPr>
        <w:rFonts w:hint="default" w:ascii="Wingdings" w:hAnsi="Wingdings"/>
      </w:rPr>
    </w:lvl>
    <w:lvl w:ilvl="2" w:tentative="0">
      <w:start w:val="1"/>
      <w:numFmt w:val="bullet"/>
      <w:lvlText w:val=""/>
      <w:lvlJc w:val="left"/>
      <w:pPr>
        <w:ind w:left="1800" w:hanging="440"/>
      </w:pPr>
      <w:rPr>
        <w:rFonts w:hint="default" w:ascii="Wingdings" w:hAnsi="Wingdings"/>
      </w:rPr>
    </w:lvl>
    <w:lvl w:ilvl="3" w:tentative="0">
      <w:start w:val="1"/>
      <w:numFmt w:val="bullet"/>
      <w:lvlText w:val=""/>
      <w:lvlJc w:val="left"/>
      <w:pPr>
        <w:ind w:left="2240" w:hanging="440"/>
      </w:pPr>
      <w:rPr>
        <w:rFonts w:hint="default" w:ascii="Wingdings" w:hAnsi="Wingdings"/>
      </w:rPr>
    </w:lvl>
    <w:lvl w:ilvl="4" w:tentative="0">
      <w:start w:val="1"/>
      <w:numFmt w:val="bullet"/>
      <w:lvlText w:val=""/>
      <w:lvlJc w:val="left"/>
      <w:pPr>
        <w:ind w:left="2680" w:hanging="440"/>
      </w:pPr>
      <w:rPr>
        <w:rFonts w:hint="default" w:ascii="Wingdings" w:hAnsi="Wingdings"/>
      </w:rPr>
    </w:lvl>
    <w:lvl w:ilvl="5" w:tentative="0">
      <w:start w:val="1"/>
      <w:numFmt w:val="bullet"/>
      <w:lvlText w:val=""/>
      <w:lvlJc w:val="left"/>
      <w:pPr>
        <w:ind w:left="3120" w:hanging="440"/>
      </w:pPr>
      <w:rPr>
        <w:rFonts w:hint="default" w:ascii="Wingdings" w:hAnsi="Wingdings"/>
      </w:rPr>
    </w:lvl>
    <w:lvl w:ilvl="6" w:tentative="0">
      <w:start w:val="1"/>
      <w:numFmt w:val="bullet"/>
      <w:lvlText w:val=""/>
      <w:lvlJc w:val="left"/>
      <w:pPr>
        <w:ind w:left="3560" w:hanging="440"/>
      </w:pPr>
      <w:rPr>
        <w:rFonts w:hint="default" w:ascii="Wingdings" w:hAnsi="Wingdings"/>
      </w:rPr>
    </w:lvl>
    <w:lvl w:ilvl="7" w:tentative="0">
      <w:start w:val="1"/>
      <w:numFmt w:val="bullet"/>
      <w:lvlText w:val=""/>
      <w:lvlJc w:val="left"/>
      <w:pPr>
        <w:ind w:left="4000" w:hanging="440"/>
      </w:pPr>
      <w:rPr>
        <w:rFonts w:hint="default" w:ascii="Wingdings" w:hAnsi="Wingdings"/>
      </w:rPr>
    </w:lvl>
    <w:lvl w:ilvl="8" w:tentative="0">
      <w:start w:val="1"/>
      <w:numFmt w:val="bullet"/>
      <w:lvlText w:val=""/>
      <w:lvlJc w:val="left"/>
      <w:pPr>
        <w:ind w:left="4440" w:hanging="440"/>
      </w:pPr>
      <w:rPr>
        <w:rFonts w:hint="default" w:ascii="Wingdings" w:hAnsi="Wingdings"/>
      </w:rPr>
    </w:lvl>
  </w:abstractNum>
  <w:abstractNum w:abstractNumId="3">
    <w:nsid w:val="6A2F4AB3"/>
    <w:multiLevelType w:val="multilevel"/>
    <w:tmpl w:val="6A2F4AB3"/>
    <w:lvl w:ilvl="0" w:tentative="0">
      <w:start w:val="1"/>
      <w:numFmt w:val="chineseCountingThousand"/>
      <w:pStyle w:val="2"/>
      <w:suff w:val="nothing"/>
      <w:lvlText w:val="%1、"/>
      <w:lvlJc w:val="left"/>
      <w:pPr>
        <w:ind w:left="425" w:hanging="425"/>
      </w:pPr>
      <w:rPr>
        <w:rFonts w:hint="eastAsia"/>
        <w:sz w:val="32"/>
        <w:szCs w:val="32"/>
      </w:rPr>
    </w:lvl>
    <w:lvl w:ilvl="1" w:tentative="0">
      <w:start w:val="1"/>
      <w:numFmt w:val="decimal"/>
      <w:pStyle w:val="3"/>
      <w:isLgl/>
      <w:suff w:val="nothing"/>
      <w:lvlText w:val="%1.%2、"/>
      <w:lvlJc w:val="left"/>
      <w:pPr>
        <w:ind w:left="1135" w:hanging="567"/>
      </w:pPr>
      <w:rPr>
        <w:rFonts w:hint="eastAsia"/>
      </w:rPr>
    </w:lvl>
    <w:lvl w:ilvl="2" w:tentative="0">
      <w:start w:val="1"/>
      <w:numFmt w:val="decimal"/>
      <w:pStyle w:val="4"/>
      <w:isLgl/>
      <w:suff w:val="nothing"/>
      <w:lvlText w:val="%1.%2.%3、"/>
      <w:lvlJc w:val="left"/>
      <w:pPr>
        <w:ind w:left="0" w:firstLine="0"/>
      </w:pPr>
      <w:rPr>
        <w:rFonts w:hint="default" w:ascii="宋体" w:hAnsi="宋体" w:eastAsia="宋体" w:cs="Arial"/>
      </w:rPr>
    </w:lvl>
    <w:lvl w:ilvl="3" w:tentative="0">
      <w:start w:val="1"/>
      <w:numFmt w:val="decimal"/>
      <w:isLgl/>
      <w:suff w:val="nothing"/>
      <w:lvlText w:val="%1.%2.%3.%4、"/>
      <w:lvlJc w:val="left"/>
      <w:pPr>
        <w:ind w:left="3403" w:hanging="851"/>
      </w:pPr>
      <w:rPr>
        <w:rFonts w:hint="eastAsia"/>
      </w:rPr>
    </w:lvl>
    <w:lvl w:ilvl="4" w:tentative="0">
      <w:start w:val="1"/>
      <w:numFmt w:val="decimal"/>
      <w:isLgl/>
      <w:suff w:val="nothing"/>
      <w:lvlText w:val="%1.%2.%3.%4.%5、"/>
      <w:lvlJc w:val="left"/>
      <w:pPr>
        <w:ind w:left="3544" w:hanging="992"/>
      </w:pPr>
      <w:rPr>
        <w:rFonts w:hint="eastAsia"/>
      </w:rPr>
    </w:lvl>
    <w:lvl w:ilvl="5" w:tentative="0">
      <w:start w:val="1"/>
      <w:numFmt w:val="decimal"/>
      <w:isLgl/>
      <w:suff w:val="nothing"/>
      <w:lvlText w:val="%1.%2.%3.%4.%5.%6、"/>
      <w:lvlJc w:val="left"/>
      <w:pPr>
        <w:ind w:left="1134" w:hanging="1134"/>
      </w:pPr>
      <w:rPr>
        <w:rFonts w:hint="eastAsia"/>
      </w:rPr>
    </w:lvl>
    <w:lvl w:ilvl="6" w:tentative="0">
      <w:start w:val="1"/>
      <w:numFmt w:val="decimal"/>
      <w:isLgl/>
      <w:lvlText w:val="%1.%2.%3.%4.%5.%6.%7"/>
      <w:lvlJc w:val="left"/>
      <w:pPr>
        <w:tabs>
          <w:tab w:val="left" w:pos="1800"/>
        </w:tabs>
        <w:ind w:left="1276" w:hanging="1276"/>
      </w:pPr>
      <w:rPr>
        <w:rFonts w:hint="eastAsia"/>
      </w:rPr>
    </w:lvl>
    <w:lvl w:ilvl="7" w:tentative="0">
      <w:start w:val="1"/>
      <w:numFmt w:val="decimal"/>
      <w:isLgl/>
      <w:lvlText w:val="%1.%2.%3.%4.%5.%6.%7.%8"/>
      <w:lvlJc w:val="left"/>
      <w:pPr>
        <w:tabs>
          <w:tab w:val="left" w:pos="1800"/>
        </w:tabs>
        <w:ind w:left="1418" w:hanging="1418"/>
      </w:pPr>
      <w:rPr>
        <w:rFonts w:hint="eastAsia"/>
      </w:rPr>
    </w:lvl>
    <w:lvl w:ilvl="8" w:tentative="0">
      <w:start w:val="1"/>
      <w:numFmt w:val="decimal"/>
      <w:isLgl/>
      <w:lvlText w:val="%1.%2.%3.%4.%5.%6.%7.%8.%9"/>
      <w:lvlJc w:val="left"/>
      <w:pPr>
        <w:tabs>
          <w:tab w:val="left" w:pos="2160"/>
        </w:tabs>
        <w:ind w:left="1559" w:hanging="1559"/>
      </w:pPr>
      <w:rPr>
        <w:rFonts w:hint="eastAsia"/>
      </w:rPr>
    </w:lvl>
  </w:abstractNum>
  <w:abstractNum w:abstractNumId="4">
    <w:nsid w:val="6FBDCAE5"/>
    <w:multiLevelType w:val="singleLevel"/>
    <w:tmpl w:val="6FBDCAE5"/>
    <w:lvl w:ilvl="0" w:tentative="0">
      <w:start w:val="2"/>
      <w:numFmt w:val="decimal"/>
      <w:suff w:val="nothing"/>
      <w:lvlText w:val="%1、"/>
      <w:lvlJc w:val="left"/>
    </w:lvl>
  </w:abstractNum>
  <w:abstractNum w:abstractNumId="5">
    <w:nsid w:val="72684A44"/>
    <w:multiLevelType w:val="multilevel"/>
    <w:tmpl w:val="72684A44"/>
    <w:lvl w:ilvl="0" w:tentative="0">
      <w:start w:val="1"/>
      <w:numFmt w:val="decimal"/>
      <w:lvlText w:val="%1"/>
      <w:lvlJc w:val="left"/>
      <w:pPr>
        <w:ind w:left="720" w:hanging="360"/>
      </w:pPr>
      <w:rPr>
        <w:rFonts w:hint="eastAsia"/>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7A265E34"/>
    <w:multiLevelType w:val="multilevel"/>
    <w:tmpl w:val="7A265E34"/>
    <w:lvl w:ilvl="0" w:tentative="0">
      <w:start w:val="1"/>
      <w:numFmt w:val="chineseCountingThousand"/>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3"/>
  </w:num>
  <w:num w:numId="2">
    <w:abstractNumId w:val="6"/>
  </w:num>
  <w:num w:numId="3">
    <w:abstractNumId w:val="0"/>
  </w:num>
  <w:num w:numId="4">
    <w:abstractNumId w:val="5"/>
  </w:num>
  <w:num w:numId="5">
    <w:abstractNumId w:val="1"/>
  </w:num>
  <w:num w:numId="6">
    <w:abstractNumId w:val="2"/>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NhYmEzMTNhMjdkYThkNDYyOTNhN2M4MTNhMDJiODcifQ=="/>
  </w:docVars>
  <w:rsids>
    <w:rsidRoot w:val="002D2E4D"/>
    <w:rsid w:val="00011998"/>
    <w:rsid w:val="0002719D"/>
    <w:rsid w:val="000438FB"/>
    <w:rsid w:val="00046A5A"/>
    <w:rsid w:val="00050FFF"/>
    <w:rsid w:val="00056A1B"/>
    <w:rsid w:val="000609BF"/>
    <w:rsid w:val="00061D3F"/>
    <w:rsid w:val="000811B6"/>
    <w:rsid w:val="000814A6"/>
    <w:rsid w:val="00086CFA"/>
    <w:rsid w:val="00087EB6"/>
    <w:rsid w:val="000A023E"/>
    <w:rsid w:val="000A0394"/>
    <w:rsid w:val="000A632C"/>
    <w:rsid w:val="000D14DE"/>
    <w:rsid w:val="000F7B6A"/>
    <w:rsid w:val="00113318"/>
    <w:rsid w:val="00122F52"/>
    <w:rsid w:val="00141622"/>
    <w:rsid w:val="00146268"/>
    <w:rsid w:val="00151988"/>
    <w:rsid w:val="00177035"/>
    <w:rsid w:val="00187F74"/>
    <w:rsid w:val="00191923"/>
    <w:rsid w:val="0019382C"/>
    <w:rsid w:val="001A1298"/>
    <w:rsid w:val="001B3544"/>
    <w:rsid w:val="001B7E32"/>
    <w:rsid w:val="001C1DDC"/>
    <w:rsid w:val="001C7F42"/>
    <w:rsid w:val="001D2A9D"/>
    <w:rsid w:val="001D362D"/>
    <w:rsid w:val="001D7287"/>
    <w:rsid w:val="00200837"/>
    <w:rsid w:val="00202649"/>
    <w:rsid w:val="0021665D"/>
    <w:rsid w:val="00217B62"/>
    <w:rsid w:val="0022761D"/>
    <w:rsid w:val="00227CA6"/>
    <w:rsid w:val="002429C7"/>
    <w:rsid w:val="00242CEA"/>
    <w:rsid w:val="0024358C"/>
    <w:rsid w:val="002565E5"/>
    <w:rsid w:val="00270182"/>
    <w:rsid w:val="00281520"/>
    <w:rsid w:val="00281CD1"/>
    <w:rsid w:val="002916A3"/>
    <w:rsid w:val="002A0A10"/>
    <w:rsid w:val="002A1AF2"/>
    <w:rsid w:val="002B188E"/>
    <w:rsid w:val="002B47BD"/>
    <w:rsid w:val="002D0201"/>
    <w:rsid w:val="002D2229"/>
    <w:rsid w:val="002D2E4D"/>
    <w:rsid w:val="002D63BA"/>
    <w:rsid w:val="002E1B8E"/>
    <w:rsid w:val="002F1A93"/>
    <w:rsid w:val="002F66B9"/>
    <w:rsid w:val="003040F4"/>
    <w:rsid w:val="00341174"/>
    <w:rsid w:val="00341D04"/>
    <w:rsid w:val="00342D6B"/>
    <w:rsid w:val="00344EC6"/>
    <w:rsid w:val="00360EBB"/>
    <w:rsid w:val="003664F2"/>
    <w:rsid w:val="003716C4"/>
    <w:rsid w:val="00380ED8"/>
    <w:rsid w:val="00382029"/>
    <w:rsid w:val="00386E08"/>
    <w:rsid w:val="00396BB9"/>
    <w:rsid w:val="0039769E"/>
    <w:rsid w:val="003D2751"/>
    <w:rsid w:val="003D5EBE"/>
    <w:rsid w:val="003E4277"/>
    <w:rsid w:val="003E436D"/>
    <w:rsid w:val="003F1F15"/>
    <w:rsid w:val="003F7254"/>
    <w:rsid w:val="0040439D"/>
    <w:rsid w:val="00404BB3"/>
    <w:rsid w:val="00405CD9"/>
    <w:rsid w:val="00412C87"/>
    <w:rsid w:val="00413D24"/>
    <w:rsid w:val="00415537"/>
    <w:rsid w:val="0041698A"/>
    <w:rsid w:val="00421C5E"/>
    <w:rsid w:val="00423EDD"/>
    <w:rsid w:val="004248A6"/>
    <w:rsid w:val="004340C0"/>
    <w:rsid w:val="00442FB6"/>
    <w:rsid w:val="00444DCB"/>
    <w:rsid w:val="00445A85"/>
    <w:rsid w:val="00452630"/>
    <w:rsid w:val="00453EE1"/>
    <w:rsid w:val="00472AB3"/>
    <w:rsid w:val="0049202C"/>
    <w:rsid w:val="004A0020"/>
    <w:rsid w:val="004A0C87"/>
    <w:rsid w:val="004C6C86"/>
    <w:rsid w:val="004C78A3"/>
    <w:rsid w:val="004F6965"/>
    <w:rsid w:val="00500368"/>
    <w:rsid w:val="00512BDD"/>
    <w:rsid w:val="00512C2B"/>
    <w:rsid w:val="00524D91"/>
    <w:rsid w:val="0053700D"/>
    <w:rsid w:val="0054219D"/>
    <w:rsid w:val="00546572"/>
    <w:rsid w:val="005633BB"/>
    <w:rsid w:val="0056678E"/>
    <w:rsid w:val="005727C0"/>
    <w:rsid w:val="00587CF7"/>
    <w:rsid w:val="00595DAA"/>
    <w:rsid w:val="005A1A63"/>
    <w:rsid w:val="005A2C3E"/>
    <w:rsid w:val="005B338E"/>
    <w:rsid w:val="005C23C1"/>
    <w:rsid w:val="005D2426"/>
    <w:rsid w:val="005D77C0"/>
    <w:rsid w:val="006013BC"/>
    <w:rsid w:val="00616B2B"/>
    <w:rsid w:val="006276BF"/>
    <w:rsid w:val="006333B3"/>
    <w:rsid w:val="00633914"/>
    <w:rsid w:val="00634CF8"/>
    <w:rsid w:val="006405BF"/>
    <w:rsid w:val="0064172A"/>
    <w:rsid w:val="00652342"/>
    <w:rsid w:val="006824A3"/>
    <w:rsid w:val="00687BAD"/>
    <w:rsid w:val="0069206D"/>
    <w:rsid w:val="006A3717"/>
    <w:rsid w:val="006A7038"/>
    <w:rsid w:val="006B580C"/>
    <w:rsid w:val="006C0873"/>
    <w:rsid w:val="006C6F5C"/>
    <w:rsid w:val="006C7660"/>
    <w:rsid w:val="006E3737"/>
    <w:rsid w:val="006F2CCD"/>
    <w:rsid w:val="006F45CF"/>
    <w:rsid w:val="00702546"/>
    <w:rsid w:val="00706747"/>
    <w:rsid w:val="00712D00"/>
    <w:rsid w:val="00714159"/>
    <w:rsid w:val="00714FCE"/>
    <w:rsid w:val="00725B27"/>
    <w:rsid w:val="00745688"/>
    <w:rsid w:val="00774CE5"/>
    <w:rsid w:val="0077789C"/>
    <w:rsid w:val="00785E0D"/>
    <w:rsid w:val="0079003D"/>
    <w:rsid w:val="00790AAD"/>
    <w:rsid w:val="007927F4"/>
    <w:rsid w:val="007A1DDF"/>
    <w:rsid w:val="007B069A"/>
    <w:rsid w:val="007B2E4A"/>
    <w:rsid w:val="007B64BD"/>
    <w:rsid w:val="007D3DBE"/>
    <w:rsid w:val="007D45C5"/>
    <w:rsid w:val="007D48C9"/>
    <w:rsid w:val="00807F23"/>
    <w:rsid w:val="00811271"/>
    <w:rsid w:val="00812A25"/>
    <w:rsid w:val="00830F79"/>
    <w:rsid w:val="00834B5A"/>
    <w:rsid w:val="0084542F"/>
    <w:rsid w:val="00846984"/>
    <w:rsid w:val="00846FD4"/>
    <w:rsid w:val="0087248D"/>
    <w:rsid w:val="00876223"/>
    <w:rsid w:val="00880184"/>
    <w:rsid w:val="008B1B6D"/>
    <w:rsid w:val="008B23E0"/>
    <w:rsid w:val="008B59E3"/>
    <w:rsid w:val="008D4EDD"/>
    <w:rsid w:val="008D5FD5"/>
    <w:rsid w:val="008D646E"/>
    <w:rsid w:val="008E0545"/>
    <w:rsid w:val="008F5A7E"/>
    <w:rsid w:val="00906A2E"/>
    <w:rsid w:val="00933DD9"/>
    <w:rsid w:val="00940F10"/>
    <w:rsid w:val="009449BE"/>
    <w:rsid w:val="00952C7C"/>
    <w:rsid w:val="00960E59"/>
    <w:rsid w:val="0096572C"/>
    <w:rsid w:val="009818DC"/>
    <w:rsid w:val="009879AD"/>
    <w:rsid w:val="009A18AB"/>
    <w:rsid w:val="009A4713"/>
    <w:rsid w:val="009A7670"/>
    <w:rsid w:val="009B0EF3"/>
    <w:rsid w:val="009B3B2C"/>
    <w:rsid w:val="009B68D3"/>
    <w:rsid w:val="009E16B1"/>
    <w:rsid w:val="009E77CF"/>
    <w:rsid w:val="00A14CCD"/>
    <w:rsid w:val="00A27E36"/>
    <w:rsid w:val="00A30AF1"/>
    <w:rsid w:val="00A31D55"/>
    <w:rsid w:val="00A425A3"/>
    <w:rsid w:val="00A60179"/>
    <w:rsid w:val="00A62899"/>
    <w:rsid w:val="00A70B57"/>
    <w:rsid w:val="00A7162E"/>
    <w:rsid w:val="00A81F70"/>
    <w:rsid w:val="00A8549A"/>
    <w:rsid w:val="00A85946"/>
    <w:rsid w:val="00AA1013"/>
    <w:rsid w:val="00AB48CD"/>
    <w:rsid w:val="00AC682E"/>
    <w:rsid w:val="00AC746F"/>
    <w:rsid w:val="00AD4730"/>
    <w:rsid w:val="00AE64D5"/>
    <w:rsid w:val="00AF1BEB"/>
    <w:rsid w:val="00B13487"/>
    <w:rsid w:val="00B14E16"/>
    <w:rsid w:val="00B15706"/>
    <w:rsid w:val="00B219BE"/>
    <w:rsid w:val="00B45185"/>
    <w:rsid w:val="00B47908"/>
    <w:rsid w:val="00B52713"/>
    <w:rsid w:val="00B64CBE"/>
    <w:rsid w:val="00B71541"/>
    <w:rsid w:val="00B7374E"/>
    <w:rsid w:val="00B73C01"/>
    <w:rsid w:val="00B77813"/>
    <w:rsid w:val="00B817C4"/>
    <w:rsid w:val="00B821A2"/>
    <w:rsid w:val="00B83F3C"/>
    <w:rsid w:val="00B845D2"/>
    <w:rsid w:val="00B90334"/>
    <w:rsid w:val="00B9298B"/>
    <w:rsid w:val="00BA59D7"/>
    <w:rsid w:val="00BA5B26"/>
    <w:rsid w:val="00BB6C8B"/>
    <w:rsid w:val="00BB6D75"/>
    <w:rsid w:val="00BC02F4"/>
    <w:rsid w:val="00BD0AB4"/>
    <w:rsid w:val="00BE18A4"/>
    <w:rsid w:val="00BE674B"/>
    <w:rsid w:val="00C15CD7"/>
    <w:rsid w:val="00C32669"/>
    <w:rsid w:val="00C50EC5"/>
    <w:rsid w:val="00C56F29"/>
    <w:rsid w:val="00C80540"/>
    <w:rsid w:val="00C90A2D"/>
    <w:rsid w:val="00C95EE1"/>
    <w:rsid w:val="00CB51FA"/>
    <w:rsid w:val="00CB5EAD"/>
    <w:rsid w:val="00CD2857"/>
    <w:rsid w:val="00CE25B1"/>
    <w:rsid w:val="00D011FC"/>
    <w:rsid w:val="00D164FF"/>
    <w:rsid w:val="00D22F15"/>
    <w:rsid w:val="00D40EAF"/>
    <w:rsid w:val="00D5010C"/>
    <w:rsid w:val="00D7012A"/>
    <w:rsid w:val="00D945C8"/>
    <w:rsid w:val="00DB75B6"/>
    <w:rsid w:val="00DE2E32"/>
    <w:rsid w:val="00DE586C"/>
    <w:rsid w:val="00DF0CD2"/>
    <w:rsid w:val="00E00248"/>
    <w:rsid w:val="00E04435"/>
    <w:rsid w:val="00E06323"/>
    <w:rsid w:val="00E266B2"/>
    <w:rsid w:val="00E4285D"/>
    <w:rsid w:val="00E53E54"/>
    <w:rsid w:val="00E73E1E"/>
    <w:rsid w:val="00E77B33"/>
    <w:rsid w:val="00E8064C"/>
    <w:rsid w:val="00E81B3F"/>
    <w:rsid w:val="00E874A4"/>
    <w:rsid w:val="00E90CE9"/>
    <w:rsid w:val="00EA54FA"/>
    <w:rsid w:val="00EB74C3"/>
    <w:rsid w:val="00ED3569"/>
    <w:rsid w:val="00F031F6"/>
    <w:rsid w:val="00F141E7"/>
    <w:rsid w:val="00F231C4"/>
    <w:rsid w:val="00F30C6C"/>
    <w:rsid w:val="00F34508"/>
    <w:rsid w:val="00F36AD5"/>
    <w:rsid w:val="00F415B7"/>
    <w:rsid w:val="00F43102"/>
    <w:rsid w:val="00F44734"/>
    <w:rsid w:val="00F55D26"/>
    <w:rsid w:val="00F566FF"/>
    <w:rsid w:val="00F643BA"/>
    <w:rsid w:val="00F650EA"/>
    <w:rsid w:val="00F778D6"/>
    <w:rsid w:val="00F92878"/>
    <w:rsid w:val="00F95493"/>
    <w:rsid w:val="00F957A8"/>
    <w:rsid w:val="00FB1E3D"/>
    <w:rsid w:val="00FC47F0"/>
    <w:rsid w:val="00FE35C1"/>
    <w:rsid w:val="00FE3AF2"/>
    <w:rsid w:val="00FF076C"/>
    <w:rsid w:val="00FF522A"/>
    <w:rsid w:val="22BD3BCA"/>
    <w:rsid w:val="53F79C53"/>
    <w:rsid w:val="5DF9B26F"/>
    <w:rsid w:val="645D785C"/>
    <w:rsid w:val="66FFFA58"/>
    <w:rsid w:val="7DBA8302"/>
    <w:rsid w:val="9FBFD9AE"/>
    <w:rsid w:val="ADAB1EAA"/>
    <w:rsid w:val="F4CF64D4"/>
    <w:rsid w:val="F8FFDD66"/>
    <w:rsid w:val="FFDF47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ind w:firstLine="480" w:firstLineChars="200"/>
      <w:jc w:val="both"/>
    </w:pPr>
    <w:rPr>
      <w:rFonts w:ascii="宋体" w:hAnsi="宋体" w:eastAsia="宋体" w:cs="Times New Roman"/>
      <w:kern w:val="2"/>
      <w:sz w:val="24"/>
      <w:szCs w:val="24"/>
      <w:lang w:val="en-US" w:eastAsia="zh-CN" w:bidi="ar-SA"/>
    </w:rPr>
  </w:style>
  <w:style w:type="paragraph" w:styleId="2">
    <w:name w:val="heading 1"/>
    <w:basedOn w:val="1"/>
    <w:next w:val="1"/>
    <w:qFormat/>
    <w:uiPriority w:val="0"/>
    <w:pPr>
      <w:keepNext/>
      <w:keepLines/>
      <w:numPr>
        <w:ilvl w:val="0"/>
        <w:numId w:val="1"/>
      </w:numPr>
      <w:spacing w:before="120" w:after="120"/>
      <w:ind w:firstLine="0" w:firstLineChars="0"/>
      <w:outlineLvl w:val="0"/>
    </w:pPr>
    <w:rPr>
      <w:rFonts w:eastAsia="黑体"/>
      <w:b/>
      <w:bCs/>
      <w:kern w:val="44"/>
      <w:sz w:val="32"/>
      <w:szCs w:val="28"/>
    </w:rPr>
  </w:style>
  <w:style w:type="paragraph" w:styleId="3">
    <w:name w:val="heading 2"/>
    <w:basedOn w:val="1"/>
    <w:next w:val="1"/>
    <w:qFormat/>
    <w:uiPriority w:val="9"/>
    <w:pPr>
      <w:keepNext/>
      <w:keepLines/>
      <w:numPr>
        <w:ilvl w:val="1"/>
        <w:numId w:val="1"/>
      </w:numPr>
      <w:spacing w:before="120" w:after="120"/>
      <w:ind w:firstLineChars="0"/>
      <w:outlineLvl w:val="1"/>
    </w:pPr>
    <w:rPr>
      <w:b/>
      <w:bCs/>
      <w:sz w:val="30"/>
      <w:szCs w:val="32"/>
    </w:rPr>
  </w:style>
  <w:style w:type="paragraph" w:styleId="4">
    <w:name w:val="heading 3"/>
    <w:basedOn w:val="1"/>
    <w:next w:val="1"/>
    <w:link w:val="22"/>
    <w:unhideWhenUsed/>
    <w:qFormat/>
    <w:uiPriority w:val="0"/>
    <w:pPr>
      <w:keepNext/>
      <w:keepLines/>
      <w:numPr>
        <w:ilvl w:val="2"/>
        <w:numId w:val="1"/>
      </w:numPr>
      <w:spacing w:before="40"/>
      <w:ind w:firstLineChars="0"/>
      <w:outlineLvl w:val="2"/>
    </w:pPr>
    <w:rPr>
      <w:rFonts w:asciiTheme="majorHAnsi" w:hAnsiTheme="majorHAnsi" w:eastAsiaTheme="majorEastAsia" w:cstheme="majorBidi"/>
      <w:b/>
      <w:color w:val="000000" w:themeColor="text1"/>
      <w:sz w:val="28"/>
      <w14:textFill>
        <w14:solidFill>
          <w14:schemeClr w14:val="tx1"/>
        </w14:solidFill>
      </w14:textFill>
    </w:rPr>
  </w:style>
  <w:style w:type="character" w:default="1" w:styleId="12">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18"/>
    <w:qFormat/>
    <w:uiPriority w:val="0"/>
    <w:pPr>
      <w:jc w:val="left"/>
    </w:pPr>
  </w:style>
  <w:style w:type="paragraph" w:styleId="6">
    <w:name w:val="Body Text"/>
    <w:basedOn w:val="1"/>
    <w:link w:val="21"/>
    <w:autoRedefine/>
    <w:qFormat/>
    <w:uiPriority w:val="0"/>
    <w:pPr>
      <w:tabs>
        <w:tab w:val="left" w:pos="2856"/>
      </w:tabs>
      <w:spacing w:line="240" w:lineRule="auto"/>
      <w:ind w:firstLine="0" w:firstLineChars="0"/>
      <w:jc w:val="left"/>
    </w:pPr>
    <w:rPr>
      <w:rFonts w:ascii="仿宋" w:hAnsi="仿宋" w:eastAsia="仿宋"/>
      <w:kern w:val="0"/>
    </w:rPr>
  </w:style>
  <w:style w:type="paragraph" w:styleId="7">
    <w:name w:val="Balloon Text"/>
    <w:basedOn w:val="1"/>
    <w:link w:val="23"/>
    <w:qFormat/>
    <w:uiPriority w:val="0"/>
    <w:pPr>
      <w:spacing w:line="240" w:lineRule="auto"/>
    </w:pPr>
    <w:rPr>
      <w:sz w:val="18"/>
      <w:szCs w:val="18"/>
    </w:rPr>
  </w:style>
  <w:style w:type="paragraph" w:styleId="8">
    <w:name w:val="footer"/>
    <w:basedOn w:val="1"/>
    <w:link w:val="16"/>
    <w:qFormat/>
    <w:uiPriority w:val="0"/>
    <w:pPr>
      <w:tabs>
        <w:tab w:val="center" w:pos="4153"/>
        <w:tab w:val="right" w:pos="8306"/>
      </w:tabs>
      <w:snapToGrid w:val="0"/>
      <w:spacing w:line="240" w:lineRule="auto"/>
      <w:jc w:val="left"/>
    </w:pPr>
    <w:rPr>
      <w:sz w:val="18"/>
      <w:szCs w:val="18"/>
    </w:rPr>
  </w:style>
  <w:style w:type="paragraph" w:styleId="9">
    <w:name w:val="header"/>
    <w:basedOn w:val="1"/>
    <w:qFormat/>
    <w:uiPriority w:val="99"/>
    <w:pPr>
      <w:pBdr>
        <w:bottom w:val="single" w:color="auto" w:sz="4" w:space="0"/>
      </w:pBdr>
      <w:tabs>
        <w:tab w:val="center" w:pos="4153"/>
        <w:tab w:val="right" w:pos="8306"/>
      </w:tabs>
      <w:snapToGrid w:val="0"/>
      <w:jc w:val="center"/>
    </w:pPr>
    <w:rPr>
      <w:rFonts w:ascii="Times New Roman" w:hAnsi="Times New Roman"/>
      <w:sz w:val="18"/>
      <w:szCs w:val="18"/>
    </w:rPr>
  </w:style>
  <w:style w:type="paragraph" w:styleId="10">
    <w:name w:val="annotation subject"/>
    <w:basedOn w:val="5"/>
    <w:next w:val="5"/>
    <w:link w:val="19"/>
    <w:qFormat/>
    <w:uiPriority w:val="0"/>
    <w:rPr>
      <w:b/>
      <w:bCs/>
    </w:rPr>
  </w:style>
  <w:style w:type="character" w:styleId="13">
    <w:name w:val="annotation reference"/>
    <w:basedOn w:val="12"/>
    <w:qFormat/>
    <w:uiPriority w:val="0"/>
    <w:rPr>
      <w:sz w:val="21"/>
      <w:szCs w:val="21"/>
    </w:rPr>
  </w:style>
  <w:style w:type="paragraph" w:customStyle="1" w:styleId="14">
    <w:name w:val="正文缩进1"/>
    <w:basedOn w:val="1"/>
    <w:autoRedefine/>
    <w:qFormat/>
    <w:uiPriority w:val="0"/>
    <w:pPr>
      <w:spacing w:line="240" w:lineRule="auto"/>
      <w:ind w:firstLine="420"/>
    </w:pPr>
    <w:rPr>
      <w:rFonts w:ascii="Times New Roman" w:hAnsi="Times New Roman"/>
      <w:sz w:val="21"/>
      <w:szCs w:val="20"/>
    </w:rPr>
  </w:style>
  <w:style w:type="paragraph" w:customStyle="1" w:styleId="15">
    <w:name w:val="正文正文2"/>
    <w:basedOn w:val="1"/>
    <w:autoRedefine/>
    <w:qFormat/>
    <w:uiPriority w:val="0"/>
  </w:style>
  <w:style w:type="character" w:customStyle="1" w:styleId="16">
    <w:name w:val="页脚 字符"/>
    <w:basedOn w:val="12"/>
    <w:link w:val="8"/>
    <w:qFormat/>
    <w:uiPriority w:val="0"/>
    <w:rPr>
      <w:rFonts w:ascii="宋体" w:hAnsi="宋体" w:eastAsia="宋体" w:cs="Times New Roman"/>
      <w:kern w:val="2"/>
      <w:sz w:val="18"/>
      <w:szCs w:val="18"/>
    </w:rPr>
  </w:style>
  <w:style w:type="paragraph" w:styleId="17">
    <w:name w:val="List Paragraph"/>
    <w:basedOn w:val="1"/>
    <w:unhideWhenUsed/>
    <w:qFormat/>
    <w:uiPriority w:val="1"/>
    <w:pPr>
      <w:ind w:firstLine="420"/>
    </w:pPr>
  </w:style>
  <w:style w:type="character" w:customStyle="1" w:styleId="18">
    <w:name w:val="批注文字 字符"/>
    <w:basedOn w:val="12"/>
    <w:link w:val="5"/>
    <w:qFormat/>
    <w:uiPriority w:val="0"/>
    <w:rPr>
      <w:rFonts w:ascii="宋体" w:hAnsi="宋体" w:eastAsia="宋体" w:cs="Times New Roman"/>
      <w:kern w:val="2"/>
      <w:sz w:val="24"/>
      <w:szCs w:val="24"/>
    </w:rPr>
  </w:style>
  <w:style w:type="character" w:customStyle="1" w:styleId="19">
    <w:name w:val="批注主题 字符"/>
    <w:basedOn w:val="18"/>
    <w:link w:val="10"/>
    <w:qFormat/>
    <w:uiPriority w:val="0"/>
    <w:rPr>
      <w:rFonts w:ascii="宋体" w:hAnsi="宋体" w:eastAsia="宋体" w:cs="Times New Roman"/>
      <w:b/>
      <w:bCs/>
      <w:kern w:val="2"/>
      <w:sz w:val="24"/>
      <w:szCs w:val="24"/>
    </w:rPr>
  </w:style>
  <w:style w:type="paragraph" w:customStyle="1" w:styleId="20">
    <w:name w:val="修订1"/>
    <w:hidden/>
    <w:unhideWhenUsed/>
    <w:qFormat/>
    <w:uiPriority w:val="99"/>
    <w:rPr>
      <w:rFonts w:ascii="宋体" w:hAnsi="宋体" w:eastAsia="宋体" w:cs="Times New Roman"/>
      <w:kern w:val="2"/>
      <w:sz w:val="24"/>
      <w:szCs w:val="24"/>
      <w:lang w:val="en-US" w:eastAsia="zh-CN" w:bidi="ar-SA"/>
    </w:rPr>
  </w:style>
  <w:style w:type="character" w:customStyle="1" w:styleId="21">
    <w:name w:val="正文文本 字符"/>
    <w:basedOn w:val="12"/>
    <w:link w:val="6"/>
    <w:qFormat/>
    <w:uiPriority w:val="0"/>
    <w:rPr>
      <w:rFonts w:ascii="仿宋" w:hAnsi="仿宋" w:eastAsia="仿宋" w:cs="Times New Roman"/>
      <w:sz w:val="24"/>
      <w:szCs w:val="24"/>
    </w:rPr>
  </w:style>
  <w:style w:type="character" w:customStyle="1" w:styleId="22">
    <w:name w:val="标题 3 字符"/>
    <w:basedOn w:val="12"/>
    <w:link w:val="4"/>
    <w:qFormat/>
    <w:uiPriority w:val="0"/>
    <w:rPr>
      <w:rFonts w:asciiTheme="majorHAnsi" w:hAnsiTheme="majorHAnsi" w:eastAsiaTheme="majorEastAsia" w:cstheme="majorBidi"/>
      <w:b/>
      <w:color w:val="000000" w:themeColor="text1"/>
      <w:kern w:val="2"/>
      <w:sz w:val="28"/>
      <w:szCs w:val="24"/>
      <w14:textFill>
        <w14:solidFill>
          <w14:schemeClr w14:val="tx1"/>
        </w14:solidFill>
      </w14:textFill>
    </w:rPr>
  </w:style>
  <w:style w:type="character" w:customStyle="1" w:styleId="23">
    <w:name w:val="批注框文本 字符"/>
    <w:basedOn w:val="12"/>
    <w:link w:val="7"/>
    <w:qFormat/>
    <w:uiPriority w:val="0"/>
    <w:rPr>
      <w:rFonts w:ascii="宋体" w:hAnsi="宋体" w:eastAsia="宋体" w:cs="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2.emf"/><Relationship Id="rId14" Type="http://schemas.openxmlformats.org/officeDocument/2006/relationships/oleObject" Target="embeddings/oleObject2.bin"/><Relationship Id="rId13" Type="http://schemas.openxmlformats.org/officeDocument/2006/relationships/image" Target="media/image1.emf"/><Relationship Id="rId12" Type="http://schemas.openxmlformats.org/officeDocument/2006/relationships/oleObject" Target="embeddings/oleObject1.bin"/><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Pages>
  <Words>8980</Words>
  <Characters>9130</Characters>
  <Lines>67</Lines>
  <Paragraphs>18</Paragraphs>
  <TotalTime>2</TotalTime>
  <ScaleCrop>false</ScaleCrop>
  <LinksUpToDate>false</LinksUpToDate>
  <CharactersWithSpaces>9137</CharactersWithSpaces>
  <Application>WPS Office_12.8.2.18605_F1E327BC-269C-435d-A152-05C5408002CA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2026-03-03T01:21:00Z</dcterms:created>
  <dc:creator>user</dc:creator>
  <cp:lastModifiedBy>user</cp:lastModifiedBy>
  <dcterms:modified xsi:type="dcterms:W3CDTF">2026-03-04T14:20:43Z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2052-12.8.2.18605</vt:lpwstr>
  </property>
  <property fmtid="{D5CDD505-2E9C-101B-9397-08002B2CF9AE}" pid="3" name="ICV">
    <vt:lpwstr>9D7051484A40B77BCBCDA7690E0A9465_43</vt:lpwstr>
  </property>
</Properties>
</file>