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D720E">
      <w:pPr>
        <w:widowControl w:val="0"/>
        <w:ind w:firstLine="0" w:firstLineChars="0"/>
        <w:jc w:val="center"/>
        <w:rPr>
          <w:rFonts w:hint="eastAsia" w:ascii="黑体" w:hAnsi="黑体" w:eastAsia="黑体" w:cs="黑体"/>
          <w:b/>
          <w:bCs/>
          <w:color w:val="000000" w:themeColor="text1"/>
          <w:sz w:val="36"/>
          <w:szCs w:val="36"/>
          <w:highlight w:val="none"/>
          <w14:textFill>
            <w14:solidFill>
              <w14:schemeClr w14:val="tx1"/>
            </w14:solidFill>
          </w14:textFill>
        </w:rPr>
      </w:pPr>
      <w:bookmarkStart w:id="8" w:name="_GoBack"/>
      <w:bookmarkEnd w:id="8"/>
      <w:r>
        <w:rPr>
          <w:rFonts w:hint="eastAsia" w:ascii="黑体" w:hAnsi="黑体" w:eastAsia="黑体" w:cs="黑体"/>
          <w:b/>
          <w:bCs/>
          <w:color w:val="000000" w:themeColor="text1"/>
          <w:sz w:val="36"/>
          <w:szCs w:val="36"/>
          <w:highlight w:val="none"/>
          <w14:textFill>
            <w14:solidFill>
              <w14:schemeClr w14:val="tx1"/>
            </w14:solidFill>
          </w14:textFill>
        </w:rPr>
        <w:t>上海市养志康复医院(上海市阳光康复中心)残疾人社会康复服务管理子系统建设项目</w:t>
      </w:r>
    </w:p>
    <w:p w14:paraId="144EE19E">
      <w:pPr>
        <w:widowControl w:val="0"/>
        <w:ind w:firstLine="0" w:firstLineChars="0"/>
        <w:jc w:val="center"/>
        <w:rPr>
          <w:rFonts w:hint="default"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采购需求</w:t>
      </w:r>
    </w:p>
    <w:p w14:paraId="078BB64D">
      <w:pPr>
        <w:pStyle w:val="2"/>
        <w:numPr>
          <w:ilvl w:val="0"/>
          <w:numId w:val="0"/>
        </w:numPr>
        <w:ind w:left="0"/>
        <w:rPr>
          <w:rFonts w:hint="eastAsia"/>
          <w:sz w:val="32"/>
          <w:szCs w:val="32"/>
          <w:highlight w:val="none"/>
        </w:rPr>
      </w:pPr>
      <w:r>
        <w:rPr>
          <w:rFonts w:hint="eastAsia" w:ascii="宋体" w:eastAsia="宋体" w:hAnsiTheme="minorHAnsi" w:cstheme="minorBidi"/>
          <w:b/>
          <w:bCs/>
          <w:kern w:val="44"/>
          <w:sz w:val="32"/>
          <w:szCs w:val="32"/>
          <w:highlight w:val="none"/>
          <w:lang w:val="en-US" w:eastAsia="zh-CN" w:bidi="ar-SA"/>
        </w:rPr>
        <w:t>1</w:t>
      </w:r>
      <w:r>
        <w:rPr>
          <w:rFonts w:hint="eastAsia" w:cstheme="minorBidi"/>
          <w:b/>
          <w:bCs/>
          <w:kern w:val="44"/>
          <w:sz w:val="32"/>
          <w:szCs w:val="32"/>
          <w:highlight w:val="none"/>
          <w:lang w:val="en-US" w:eastAsia="zh-CN" w:bidi="ar-SA"/>
        </w:rPr>
        <w:t>.</w:t>
      </w:r>
      <w:r>
        <w:rPr>
          <w:rFonts w:hint="eastAsia"/>
          <w:sz w:val="32"/>
          <w:szCs w:val="32"/>
          <w:highlight w:val="none"/>
        </w:rPr>
        <w:t>项目背景介绍</w:t>
      </w:r>
    </w:p>
    <w:p w14:paraId="0E0C178D">
      <w:pPr>
        <w:pStyle w:val="3"/>
        <w:keepNext/>
        <w:keepLines/>
        <w:pageBreakBefore w:val="0"/>
        <w:widowControl/>
        <w:numPr>
          <w:ilvl w:val="1"/>
          <w:numId w:val="0"/>
        </w:numPr>
        <w:kinsoku/>
        <w:wordWrap/>
        <w:overflowPunct/>
        <w:topLinePunct w:val="0"/>
        <w:autoSpaceDE/>
        <w:autoSpaceDN/>
        <w:bidi w:val="0"/>
        <w:adjustRightInd/>
        <w:snapToGrid/>
        <w:textAlignment w:val="auto"/>
        <w:rPr>
          <w:rFonts w:hint="eastAsia"/>
          <w:sz w:val="30"/>
          <w:szCs w:val="30"/>
          <w:highlight w:val="none"/>
        </w:rPr>
      </w:pPr>
      <w:r>
        <w:rPr>
          <w:rFonts w:hint="eastAsia"/>
          <w:sz w:val="30"/>
          <w:szCs w:val="30"/>
          <w:highlight w:val="none"/>
          <w:lang w:val="en-US" w:eastAsia="zh-CN"/>
        </w:rPr>
        <w:t xml:space="preserve">1.1 </w:t>
      </w:r>
      <w:r>
        <w:rPr>
          <w:rFonts w:hint="eastAsia"/>
          <w:sz w:val="30"/>
          <w:szCs w:val="30"/>
          <w:highlight w:val="none"/>
        </w:rPr>
        <w:t>项目名称</w:t>
      </w:r>
    </w:p>
    <w:p w14:paraId="23A3BA03">
      <w:pPr>
        <w:ind w:firstLine="480"/>
        <w:rPr>
          <w:rFonts w:hint="eastAsia"/>
          <w:highlight w:val="none"/>
        </w:rPr>
      </w:pPr>
      <w:r>
        <w:rPr>
          <w:rFonts w:hint="eastAsia"/>
          <w:highlight w:val="none"/>
        </w:rPr>
        <w:t>项目名称：上海市养志康复医院（上海市阳光康复中心）残疾人社会康复服务管理子系统建设项目</w:t>
      </w:r>
    </w:p>
    <w:p w14:paraId="75CB9775">
      <w:pPr>
        <w:pStyle w:val="3"/>
        <w:keepNext/>
        <w:keepLines/>
        <w:pageBreakBefore w:val="0"/>
        <w:widowControl/>
        <w:numPr>
          <w:ilvl w:val="1"/>
          <w:numId w:val="0"/>
        </w:numPr>
        <w:kinsoku/>
        <w:wordWrap/>
        <w:overflowPunct/>
        <w:topLinePunct w:val="0"/>
        <w:autoSpaceDE/>
        <w:autoSpaceDN/>
        <w:bidi w:val="0"/>
        <w:adjustRightInd/>
        <w:snapToGrid/>
        <w:textAlignment w:val="auto"/>
        <w:rPr>
          <w:rFonts w:hint="eastAsia"/>
          <w:sz w:val="30"/>
          <w:szCs w:val="30"/>
          <w:highlight w:val="none"/>
          <w:lang w:val="en-US" w:eastAsia="zh-CN"/>
        </w:rPr>
      </w:pPr>
      <w:r>
        <w:rPr>
          <w:rFonts w:hint="eastAsia"/>
          <w:sz w:val="30"/>
          <w:szCs w:val="30"/>
          <w:highlight w:val="none"/>
          <w:lang w:val="en-US" w:eastAsia="zh-CN"/>
        </w:rPr>
        <w:t>1.2项目地点</w:t>
      </w:r>
    </w:p>
    <w:p w14:paraId="278E799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上海市养志康复医院(上海市阳光康复中心)（以下简称“医院”）</w:t>
      </w:r>
    </w:p>
    <w:p w14:paraId="3AA49571">
      <w:pPr>
        <w:pStyle w:val="3"/>
        <w:keepNext/>
        <w:keepLines/>
        <w:pageBreakBefore w:val="0"/>
        <w:widowControl/>
        <w:numPr>
          <w:ilvl w:val="1"/>
          <w:numId w:val="0"/>
        </w:numPr>
        <w:kinsoku/>
        <w:wordWrap/>
        <w:overflowPunct/>
        <w:topLinePunct w:val="0"/>
        <w:autoSpaceDE/>
        <w:autoSpaceDN/>
        <w:bidi w:val="0"/>
        <w:adjustRightInd/>
        <w:snapToGrid/>
        <w:textAlignment w:val="auto"/>
        <w:rPr>
          <w:rFonts w:hint="eastAsia"/>
          <w:sz w:val="30"/>
          <w:szCs w:val="30"/>
          <w:highlight w:val="none"/>
          <w:lang w:val="en-US" w:eastAsia="zh-CN"/>
        </w:rPr>
      </w:pPr>
      <w:r>
        <w:rPr>
          <w:rFonts w:hint="eastAsia"/>
          <w:sz w:val="30"/>
          <w:szCs w:val="30"/>
          <w:highlight w:val="none"/>
          <w:lang w:val="en-US" w:eastAsia="zh-CN"/>
        </w:rPr>
        <w:t>1.3总体背景</w:t>
      </w:r>
    </w:p>
    <w:p w14:paraId="68285313">
      <w:pPr>
        <w:rPr>
          <w:rFonts w:hint="eastAsia"/>
          <w:highlight w:val="none"/>
        </w:rPr>
      </w:pPr>
      <w:r>
        <w:rPr>
          <w:rFonts w:ascii="宋体" w:hAnsi="宋体" w:cs="宋体"/>
          <w:szCs w:val="24"/>
          <w:highlight w:val="none"/>
        </w:rPr>
        <w:t>上海市养志康复医院（上海市阳光康复中心）（以下简称“医院”）是一家现代化综合性公立康复医院，业务主要涉及医疗康复、职业康复、社会康复及教育康复。医院占地面积396亩，一期总建筑面积近5万平方米，是本市首家公立康复医院、医保定点医疗机构、首批工伤康复定点机构，也是康复医生规范化联合培养基地。目前，医院已成为国家省（市）级三级残疾人康复中心、全国区域性工伤康复示范机构、全国脊髓损伤者“希望之家”资源中心、国家级康复护理专科护士培训基地。同时，也获得了市文明单位等多项荣誉。医院核定床位</w:t>
      </w:r>
      <w:r>
        <w:rPr>
          <w:rFonts w:hint="eastAsia" w:hAnsi="宋体" w:cs="宋体"/>
          <w:szCs w:val="24"/>
          <w:highlight w:val="none"/>
          <w:lang w:val="en-US" w:eastAsia="zh-CN"/>
        </w:rPr>
        <w:t>10</w:t>
      </w:r>
      <w:r>
        <w:rPr>
          <w:rFonts w:ascii="宋体" w:hAnsi="宋体" w:cs="宋体"/>
          <w:szCs w:val="24"/>
          <w:highlight w:val="none"/>
        </w:rPr>
        <w:t>00张，建立了由内、外、妇、儿等共同支撑的康复服务和临床保障体系，设置了神经康复、脊柱脊髓损伤康复、骨与关节康复等亚专科，形成了工伤职业康复、运动康复、康复工程、中医特色康复等特色学科。</w:t>
      </w:r>
    </w:p>
    <w:p w14:paraId="7A891E78">
      <w:pPr>
        <w:ind w:firstLine="480"/>
        <w:rPr>
          <w:rFonts w:hint="eastAsia"/>
          <w:highlight w:val="none"/>
        </w:rPr>
      </w:pPr>
      <w:r>
        <w:rPr>
          <w:rFonts w:hint="eastAsia"/>
          <w:highlight w:val="none"/>
        </w:rPr>
        <w:t>在国家和上海市持续推进医疗服务高质量发展与残疾人事业保障的政策背景下，</w:t>
      </w:r>
      <w:r>
        <w:rPr>
          <w:rFonts w:hint="eastAsia"/>
          <w:highlight w:val="none"/>
          <w:lang w:val="en-US" w:eastAsia="zh-CN"/>
        </w:rPr>
        <w:t>我</w:t>
      </w:r>
      <w:r>
        <w:rPr>
          <w:rFonts w:hint="eastAsia"/>
          <w:highlight w:val="none"/>
        </w:rPr>
        <w:t>院社会服务与康复管理工作面临专业化、规范化和信息化升级需求。上海市明确要求二级及以上医疗机构建立医务社工和志愿者制度，加强人文关怀，提升患者就医体验；同时，《“十四五”残疾人保障和发展规划》对健全残疾人关爱服务体系、提升康复服务质量提出了明确要求。随着患者对医疗服务品质、连续性和精细化管理要求不断提高，传统人工管理模式已难以支撑社工服务、志愿服务及残疾人学员管理的协同开展。通过建设社工、志愿者和残疾人学员一体化管理平台，有助于提升服务效率和质量，优化管理决策能力，推动医院社会康复服务向系统化、专业化和可持续方向发展。</w:t>
      </w:r>
    </w:p>
    <w:p w14:paraId="168A55A8">
      <w:pPr>
        <w:pStyle w:val="3"/>
        <w:numPr>
          <w:ilvl w:val="1"/>
          <w:numId w:val="0"/>
        </w:numPr>
        <w:rPr>
          <w:rFonts w:hint="eastAsia" w:ascii="宋体" w:eastAsia="宋体" w:hAnsiTheme="majorHAnsi" w:cstheme="majorBidi"/>
          <w:b/>
          <w:bCs/>
          <w:kern w:val="2"/>
          <w:sz w:val="30"/>
          <w:szCs w:val="30"/>
          <w:highlight w:val="none"/>
          <w:lang w:val="en-US" w:eastAsia="zh-CN" w:bidi="ar-SA"/>
        </w:rPr>
      </w:pPr>
      <w:r>
        <w:rPr>
          <w:rFonts w:hint="eastAsia" w:ascii="宋体" w:eastAsia="宋体" w:hAnsiTheme="majorHAnsi" w:cstheme="majorBidi"/>
          <w:b/>
          <w:bCs/>
          <w:kern w:val="2"/>
          <w:sz w:val="30"/>
          <w:szCs w:val="30"/>
          <w:highlight w:val="none"/>
          <w:lang w:val="en-US" w:eastAsia="zh-CN" w:bidi="ar-SA"/>
        </w:rPr>
        <w:t>1.4、项目介绍</w:t>
      </w:r>
    </w:p>
    <w:p w14:paraId="0E9408D8">
      <w:pPr>
        <w:bidi w:val="0"/>
        <w:rPr>
          <w:rFonts w:hint="eastAsia"/>
          <w:highlight w:val="none"/>
          <w:lang w:val="en-US" w:eastAsia="zh-CN"/>
        </w:rPr>
      </w:pPr>
      <w:r>
        <w:rPr>
          <w:rFonts w:hint="eastAsia"/>
          <w:highlight w:val="none"/>
          <w:lang w:val="en-US" w:eastAsia="zh-CN"/>
        </w:rPr>
        <w:t>建设残疾人临床社工服务管理模块、助残志愿者管理模块和残疾人社会化康复服务管理模块，覆盖社工个案转介、评估、服务、督导与随访管理，志愿者信息与服务活动管理，以及残疾人学员登记、课程安排、评估记录、费用管理和满意度调查等内容，实现服务全过程可追溯、数据统一管理和统计分析支持。</w:t>
      </w:r>
    </w:p>
    <w:p w14:paraId="6EA2A0BF">
      <w:pPr>
        <w:bidi w:val="0"/>
        <w:rPr>
          <w:rFonts w:hint="eastAsia"/>
          <w:highlight w:val="none"/>
          <w:lang w:val="en-US" w:eastAsia="zh-CN"/>
        </w:rPr>
      </w:pPr>
      <w:r>
        <w:rPr>
          <w:rFonts w:hint="eastAsia"/>
          <w:highlight w:val="none"/>
          <w:lang w:val="en-US" w:eastAsia="zh-CN"/>
        </w:rPr>
        <w:t>本项目为定制开发软件项目，整体系统不接受任何成品软件、产品化软件、标准化系统投标。</w:t>
      </w:r>
    </w:p>
    <w:p w14:paraId="013D9BD4">
      <w:pPr>
        <w:pStyle w:val="3"/>
        <w:numPr>
          <w:ilvl w:val="1"/>
          <w:numId w:val="0"/>
        </w:numPr>
        <w:bidi w:val="0"/>
        <w:rPr>
          <w:rFonts w:hint="eastAsia"/>
          <w:sz w:val="30"/>
          <w:szCs w:val="30"/>
          <w:highlight w:val="none"/>
          <w:lang w:val="en-US" w:eastAsia="zh-CN"/>
        </w:rPr>
      </w:pPr>
      <w:r>
        <w:rPr>
          <w:rFonts w:hint="eastAsia"/>
          <w:sz w:val="30"/>
          <w:szCs w:val="30"/>
          <w:highlight w:val="none"/>
          <w:lang w:val="en-US" w:eastAsia="zh-CN"/>
        </w:rPr>
        <w:t>1.5、定制开发定义</w:t>
      </w:r>
    </w:p>
    <w:p w14:paraId="09B989C6">
      <w:pPr>
        <w:bidi w:val="0"/>
        <w:rPr>
          <w:rFonts w:hint="eastAsia"/>
          <w:highlight w:val="none"/>
          <w:lang w:val="en-US" w:eastAsia="zh-CN"/>
        </w:rPr>
      </w:pPr>
      <w:r>
        <w:rPr>
          <w:rFonts w:hint="eastAsia"/>
          <w:highlight w:val="none"/>
          <w:lang w:val="en-US" w:eastAsia="zh-CN"/>
        </w:rPr>
        <w:t>供应商须承诺:所有交付软件均需完全符合本项目需求，不使用未经授权的第三方成品模块；全部源代码、知识产权归采购人所有；满足本文件全部功能、性能、接口、安全、XC、等保、数据上传上链等要求。</w:t>
      </w:r>
    </w:p>
    <w:p w14:paraId="169E5CB3">
      <w:pPr>
        <w:pStyle w:val="2"/>
        <w:numPr>
          <w:ilvl w:val="0"/>
          <w:numId w:val="0"/>
        </w:numPr>
        <w:rPr>
          <w:rFonts w:hint="eastAsia"/>
          <w:sz w:val="32"/>
          <w:szCs w:val="32"/>
          <w:highlight w:val="none"/>
        </w:rPr>
      </w:pPr>
      <w:r>
        <w:rPr>
          <w:rFonts w:hint="eastAsia" w:ascii="宋体" w:eastAsia="宋体" w:hAnsiTheme="minorHAnsi" w:cstheme="minorBidi"/>
          <w:b/>
          <w:bCs/>
          <w:kern w:val="44"/>
          <w:sz w:val="32"/>
          <w:szCs w:val="32"/>
          <w:highlight w:val="none"/>
          <w:lang w:val="en-US" w:eastAsia="zh-CN" w:bidi="ar-SA"/>
        </w:rPr>
        <w:t>2</w:t>
      </w:r>
      <w:r>
        <w:rPr>
          <w:rFonts w:hint="eastAsia" w:cstheme="minorBidi"/>
          <w:b/>
          <w:bCs/>
          <w:kern w:val="44"/>
          <w:sz w:val="32"/>
          <w:szCs w:val="32"/>
          <w:highlight w:val="none"/>
          <w:lang w:val="en-US" w:eastAsia="zh-CN" w:bidi="ar-SA"/>
        </w:rPr>
        <w:t>.</w:t>
      </w:r>
      <w:r>
        <w:rPr>
          <w:rFonts w:hint="eastAsia"/>
          <w:sz w:val="32"/>
          <w:szCs w:val="32"/>
          <w:highlight w:val="none"/>
        </w:rPr>
        <w:t>本次采购内容</w:t>
      </w:r>
    </w:p>
    <w:p w14:paraId="25C6B27F">
      <w:pPr>
        <w:ind w:firstLine="480"/>
        <w:rPr>
          <w:rFonts w:hint="eastAsia"/>
          <w:highlight w:val="none"/>
        </w:rPr>
      </w:pPr>
      <w:r>
        <w:rPr>
          <w:rFonts w:hint="eastAsia"/>
          <w:highlight w:val="none"/>
        </w:rPr>
        <w:t>本次上海市养志康复医院(上海市阳光康复中心)残疾人社会康复服务管理子系统建设项目，在国内范围进行公开采购，本技术需求是向所有</w:t>
      </w:r>
      <w:r>
        <w:rPr>
          <w:rFonts w:hint="eastAsia"/>
          <w:highlight w:val="none"/>
          <w:lang w:eastAsia="zh-CN"/>
        </w:rPr>
        <w:t>供应商</w:t>
      </w:r>
      <w:r>
        <w:rPr>
          <w:rFonts w:hint="eastAsia"/>
          <w:highlight w:val="none"/>
        </w:rPr>
        <w:t>公开的需求说明文档资料。</w:t>
      </w:r>
    </w:p>
    <w:p w14:paraId="2985D0E2">
      <w:pPr>
        <w:ind w:firstLine="480"/>
        <w:rPr>
          <w:rFonts w:hint="eastAsia"/>
          <w:highlight w:val="none"/>
        </w:rPr>
      </w:pPr>
      <w:r>
        <w:rPr>
          <w:rFonts w:hint="eastAsia"/>
          <w:highlight w:val="none"/>
        </w:rPr>
        <w:t>本项目财政预算为103.75</w:t>
      </w:r>
      <w:r>
        <w:rPr>
          <w:rFonts w:hint="eastAsia"/>
          <w:highlight w:val="none"/>
          <w:lang w:val="en-US" w:eastAsia="zh-CN"/>
        </w:rPr>
        <w:t>万</w:t>
      </w:r>
      <w:r>
        <w:rPr>
          <w:rFonts w:hint="eastAsia"/>
          <w:highlight w:val="none"/>
        </w:rPr>
        <w:t>元人民币，超预算的投标文件视为废标。</w:t>
      </w:r>
    </w:p>
    <w:p w14:paraId="685834DD">
      <w:pPr>
        <w:pStyle w:val="3"/>
        <w:numPr>
          <w:ilvl w:val="1"/>
          <w:numId w:val="0"/>
        </w:numPr>
        <w:rPr>
          <w:rFonts w:hint="eastAsia"/>
          <w:sz w:val="30"/>
          <w:szCs w:val="30"/>
          <w:highlight w:val="none"/>
        </w:rPr>
      </w:pPr>
      <w:r>
        <w:rPr>
          <w:rFonts w:hint="eastAsia" w:ascii="宋体" w:eastAsia="宋体" w:hAnsiTheme="majorHAnsi" w:cstheme="majorBidi"/>
          <w:b/>
          <w:bCs/>
          <w:kern w:val="2"/>
          <w:sz w:val="30"/>
          <w:szCs w:val="30"/>
          <w:highlight w:val="none"/>
          <w:lang w:val="en-US" w:eastAsia="zh-CN" w:bidi="ar-SA"/>
        </w:rPr>
        <w:t>2.1</w:t>
      </w:r>
      <w:r>
        <w:rPr>
          <w:rFonts w:hint="eastAsia"/>
          <w:sz w:val="30"/>
          <w:szCs w:val="30"/>
          <w:highlight w:val="none"/>
        </w:rPr>
        <w:t>建设范围</w:t>
      </w:r>
    </w:p>
    <w:p w14:paraId="6EF1319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上海市养志康复医院（上海市阳光康复中心）。</w:t>
      </w:r>
    </w:p>
    <w:p w14:paraId="77DA29F4">
      <w:pPr>
        <w:pStyle w:val="3"/>
        <w:numPr>
          <w:ilvl w:val="1"/>
          <w:numId w:val="0"/>
        </w:numPr>
        <w:rPr>
          <w:rFonts w:hint="eastAsia"/>
          <w:sz w:val="30"/>
          <w:szCs w:val="30"/>
          <w:highlight w:val="none"/>
        </w:rPr>
      </w:pPr>
      <w:r>
        <w:rPr>
          <w:rFonts w:hint="eastAsia" w:ascii="宋体" w:eastAsia="宋体" w:hAnsiTheme="majorHAnsi" w:cstheme="majorBidi"/>
          <w:b/>
          <w:bCs/>
          <w:kern w:val="2"/>
          <w:sz w:val="30"/>
          <w:szCs w:val="30"/>
          <w:highlight w:val="none"/>
          <w:lang w:val="en-US" w:eastAsia="zh-CN" w:bidi="ar-SA"/>
        </w:rPr>
        <w:t>2.2</w:t>
      </w:r>
      <w:r>
        <w:rPr>
          <w:rFonts w:hint="eastAsia"/>
          <w:sz w:val="30"/>
          <w:szCs w:val="30"/>
          <w:highlight w:val="none"/>
        </w:rPr>
        <w:t>采购内容</w:t>
      </w:r>
    </w:p>
    <w:p w14:paraId="67BDA977">
      <w:pP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本次采购的软件系统建设内容具体如下：</w:t>
      </w:r>
    </w:p>
    <w:tbl>
      <w:tblPr>
        <w:tblStyle w:val="20"/>
        <w:tblW w:w="7982" w:type="dxa"/>
        <w:tblInd w:w="93" w:type="dxa"/>
        <w:tblLayout w:type="fixed"/>
        <w:tblCellMar>
          <w:top w:w="0" w:type="dxa"/>
          <w:left w:w="108" w:type="dxa"/>
          <w:bottom w:w="0" w:type="dxa"/>
          <w:right w:w="108" w:type="dxa"/>
        </w:tblCellMar>
      </w:tblPr>
      <w:tblGrid>
        <w:gridCol w:w="705"/>
        <w:gridCol w:w="1469"/>
        <w:gridCol w:w="5808"/>
      </w:tblGrid>
      <w:tr w14:paraId="33F4180E">
        <w:tblPrEx>
          <w:tblCellMar>
            <w:top w:w="0" w:type="dxa"/>
            <w:left w:w="108" w:type="dxa"/>
            <w:bottom w:w="0" w:type="dxa"/>
            <w:right w:w="108" w:type="dxa"/>
          </w:tblCellMar>
        </w:tblPrEx>
        <w:trPr>
          <w:trHeight w:val="65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BCEF">
            <w:pPr>
              <w:ind w:firstLine="0" w:firstLineChars="0"/>
              <w:jc w:val="center"/>
              <w:textAlignment w:val="center"/>
              <w:rPr>
                <w:rFonts w:hint="eastAsia" w:hAnsi="宋体" w:cs="宋体"/>
                <w:color w:val="000000"/>
                <w:szCs w:val="24"/>
                <w:highlight w:val="none"/>
              </w:rPr>
            </w:pPr>
            <w:r>
              <w:rPr>
                <w:rFonts w:hint="eastAsia" w:hAnsi="宋体" w:cs="宋体"/>
                <w:color w:val="000000"/>
                <w:kern w:val="0"/>
                <w:szCs w:val="24"/>
                <w:highlight w:val="none"/>
                <w:lang w:bidi="ar"/>
              </w:rPr>
              <w:t>序号</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EB20">
            <w:pPr>
              <w:ind w:firstLine="0" w:firstLineChars="0"/>
              <w:jc w:val="center"/>
              <w:textAlignment w:val="center"/>
              <w:rPr>
                <w:rFonts w:hint="eastAsia" w:hAnsi="宋体" w:cs="宋体"/>
                <w:color w:val="000000"/>
                <w:szCs w:val="24"/>
                <w:highlight w:val="none"/>
              </w:rPr>
            </w:pPr>
            <w:r>
              <w:rPr>
                <w:rFonts w:hint="eastAsia" w:hAnsi="宋体" w:cs="宋体"/>
                <w:color w:val="000000"/>
                <w:kern w:val="0"/>
                <w:szCs w:val="24"/>
                <w:highlight w:val="none"/>
                <w:lang w:bidi="ar"/>
              </w:rPr>
              <w:t>系统</w:t>
            </w:r>
            <w:r>
              <w:rPr>
                <w:rStyle w:val="47"/>
                <w:rFonts w:hint="eastAsia" w:ascii="宋体" w:hAnsi="宋体" w:cs="宋体"/>
                <w:highlight w:val="none"/>
                <w:lang w:bidi="ar"/>
              </w:rPr>
              <w:t>/</w:t>
            </w:r>
            <w:r>
              <w:rPr>
                <w:rStyle w:val="48"/>
                <w:rFonts w:hint="eastAsia"/>
                <w:highlight w:val="none"/>
                <w:lang w:bidi="ar"/>
              </w:rPr>
              <w:t>模块名称</w:t>
            </w:r>
          </w:p>
        </w:tc>
        <w:tc>
          <w:tcPr>
            <w:tcW w:w="5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0730">
            <w:pPr>
              <w:ind w:firstLine="0" w:firstLineChars="0"/>
              <w:jc w:val="center"/>
              <w:textAlignment w:val="center"/>
              <w:rPr>
                <w:rFonts w:hint="eastAsia" w:hAnsi="宋体" w:cs="宋体"/>
                <w:color w:val="000000"/>
                <w:kern w:val="0"/>
                <w:szCs w:val="24"/>
                <w:highlight w:val="none"/>
                <w:lang w:bidi="ar"/>
              </w:rPr>
            </w:pPr>
            <w:r>
              <w:rPr>
                <w:rFonts w:hint="eastAsia" w:hAnsi="宋体" w:cs="宋体"/>
                <w:color w:val="000000"/>
                <w:kern w:val="0"/>
                <w:szCs w:val="24"/>
                <w:highlight w:val="none"/>
                <w:lang w:bidi="ar"/>
              </w:rPr>
              <w:t>说明</w:t>
            </w:r>
          </w:p>
        </w:tc>
      </w:tr>
      <w:tr w14:paraId="7D77AFE6">
        <w:tblPrEx>
          <w:tblCellMar>
            <w:top w:w="0" w:type="dxa"/>
            <w:left w:w="108" w:type="dxa"/>
            <w:bottom w:w="0" w:type="dxa"/>
            <w:right w:w="108" w:type="dxa"/>
          </w:tblCellMar>
        </w:tblPrEx>
        <w:trPr>
          <w:trHeight w:val="5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6688">
            <w:pPr>
              <w:ind w:firstLine="0" w:firstLineChars="0"/>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52AF">
            <w:pPr>
              <w:ind w:firstLine="0" w:firstLineChars="0"/>
              <w:jc w:val="left"/>
              <w:textAlignment w:val="center"/>
              <w:rPr>
                <w:rFonts w:hint="eastAsia" w:hAnsi="宋体" w:eastAsia="宋体" w:cs="宋体"/>
                <w:color w:val="000000"/>
                <w:kern w:val="0"/>
                <w:szCs w:val="24"/>
                <w:highlight w:val="none"/>
                <w:lang w:eastAsia="zh-CN" w:bidi="ar"/>
              </w:rPr>
            </w:pPr>
            <w:r>
              <w:rPr>
                <w:rFonts w:hint="eastAsia" w:hAnsi="宋体" w:cs="宋体"/>
                <w:color w:val="000000"/>
                <w:kern w:val="0"/>
                <w:szCs w:val="24"/>
                <w:highlight w:val="none"/>
                <w:lang w:eastAsia="zh-CN" w:bidi="ar"/>
              </w:rPr>
              <w:t>残疾人临床社工服务管理模块</w:t>
            </w:r>
          </w:p>
        </w:tc>
        <w:tc>
          <w:tcPr>
            <w:tcW w:w="5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8EF">
            <w:pPr>
              <w:ind w:firstLine="0" w:firstLineChars="0"/>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以临床社工个案与小组服务为核心，实现从转介、评估、干预到随访的全过程规范化与连续化管理。</w:t>
            </w:r>
          </w:p>
        </w:tc>
      </w:tr>
      <w:tr w14:paraId="076C5890">
        <w:tblPrEx>
          <w:tblCellMar>
            <w:top w:w="0" w:type="dxa"/>
            <w:left w:w="108" w:type="dxa"/>
            <w:bottom w:w="0" w:type="dxa"/>
            <w:right w:w="108" w:type="dxa"/>
          </w:tblCellMar>
        </w:tblPrEx>
        <w:trPr>
          <w:trHeight w:val="5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0CC4">
            <w:pPr>
              <w:ind w:firstLine="0" w:firstLineChars="0"/>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2</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D06">
            <w:pPr>
              <w:ind w:firstLine="0" w:firstLineChars="0"/>
              <w:jc w:val="left"/>
              <w:textAlignment w:val="center"/>
              <w:rPr>
                <w:rFonts w:hint="eastAsia" w:hAnsi="宋体" w:eastAsia="宋体" w:cs="宋体"/>
                <w:color w:val="000000"/>
                <w:kern w:val="0"/>
                <w:szCs w:val="24"/>
                <w:highlight w:val="none"/>
                <w:lang w:eastAsia="zh-CN" w:bidi="ar"/>
              </w:rPr>
            </w:pPr>
            <w:r>
              <w:rPr>
                <w:rFonts w:hint="eastAsia" w:hAnsi="宋体" w:cs="宋体"/>
                <w:color w:val="000000"/>
                <w:kern w:val="0"/>
                <w:szCs w:val="24"/>
                <w:highlight w:val="none"/>
                <w:lang w:eastAsia="zh-CN" w:bidi="ar"/>
              </w:rPr>
              <w:t>助残志愿者管理模块</w:t>
            </w:r>
          </w:p>
        </w:tc>
        <w:tc>
          <w:tcPr>
            <w:tcW w:w="5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6F35">
            <w:pPr>
              <w:ind w:firstLine="0" w:firstLineChars="0"/>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以志愿者资源统筹为核心，实现志愿者信息、服务活动及对外上报的统一管理与高效协同。</w:t>
            </w:r>
          </w:p>
        </w:tc>
      </w:tr>
      <w:tr w14:paraId="608B2D00">
        <w:tblPrEx>
          <w:tblCellMar>
            <w:top w:w="0" w:type="dxa"/>
            <w:left w:w="108" w:type="dxa"/>
            <w:bottom w:w="0" w:type="dxa"/>
            <w:right w:w="108" w:type="dxa"/>
          </w:tblCellMar>
        </w:tblPrEx>
        <w:trPr>
          <w:trHeight w:val="5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6545">
            <w:pPr>
              <w:ind w:firstLine="0" w:firstLineChars="0"/>
              <w:jc w:val="center"/>
              <w:textAlignment w:val="center"/>
              <w:rPr>
                <w:rFonts w:hint="eastAsia" w:ascii="宋体" w:hAnsi="宋体" w:cs="宋体"/>
                <w:color w:val="000000"/>
                <w:szCs w:val="24"/>
                <w:highlight w:val="none"/>
              </w:rPr>
            </w:pPr>
            <w:r>
              <w:rPr>
                <w:rFonts w:hint="eastAsia" w:ascii="宋体" w:hAnsi="宋体" w:cs="宋体"/>
                <w:color w:val="000000"/>
                <w:kern w:val="0"/>
                <w:szCs w:val="24"/>
                <w:highlight w:val="none"/>
                <w:lang w:bidi="ar"/>
              </w:rPr>
              <w:t>3</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ED11">
            <w:pPr>
              <w:ind w:firstLine="0" w:firstLineChars="0"/>
              <w:jc w:val="left"/>
              <w:textAlignment w:val="center"/>
              <w:rPr>
                <w:rFonts w:hint="eastAsia" w:hAnsi="宋体" w:eastAsia="宋体" w:cs="宋体"/>
                <w:color w:val="000000"/>
                <w:kern w:val="0"/>
                <w:szCs w:val="24"/>
                <w:highlight w:val="none"/>
                <w:lang w:eastAsia="zh-CN" w:bidi="ar"/>
              </w:rPr>
            </w:pPr>
            <w:r>
              <w:rPr>
                <w:rFonts w:hint="eastAsia" w:hAnsi="宋体" w:cs="宋体"/>
                <w:color w:val="000000"/>
                <w:kern w:val="0"/>
                <w:szCs w:val="24"/>
                <w:highlight w:val="none"/>
                <w:lang w:eastAsia="zh-CN" w:bidi="ar"/>
              </w:rPr>
              <w:t>残疾人社会化康复服务管理模块</w:t>
            </w:r>
          </w:p>
        </w:tc>
        <w:tc>
          <w:tcPr>
            <w:tcW w:w="5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D5D1">
            <w:pPr>
              <w:ind w:firstLine="0" w:firstLineChars="0"/>
              <w:jc w:val="center"/>
              <w:textAlignment w:val="center"/>
              <w:rPr>
                <w:rFonts w:hint="eastAsia" w:ascii="宋体" w:hAnsi="宋体" w:cs="宋体"/>
                <w:color w:val="000000"/>
                <w:kern w:val="0"/>
                <w:szCs w:val="24"/>
                <w:highlight w:val="none"/>
                <w:lang w:bidi="ar"/>
              </w:rPr>
            </w:pPr>
            <w:r>
              <w:rPr>
                <w:rFonts w:hint="eastAsia" w:ascii="宋体" w:hAnsi="宋体" w:cs="宋体"/>
                <w:color w:val="000000"/>
                <w:kern w:val="0"/>
                <w:szCs w:val="24"/>
                <w:highlight w:val="none"/>
                <w:lang w:bidi="ar"/>
              </w:rPr>
              <w:t>以康复培训与服务运营为核心，实现学员管理、课程安排、费用核算及统计分析的一体化管理。</w:t>
            </w:r>
          </w:p>
        </w:tc>
      </w:tr>
      <w:tr w14:paraId="348685BB">
        <w:tblPrEx>
          <w:tblCellMar>
            <w:top w:w="0" w:type="dxa"/>
            <w:left w:w="108" w:type="dxa"/>
            <w:bottom w:w="0" w:type="dxa"/>
            <w:right w:w="108" w:type="dxa"/>
          </w:tblCellMar>
        </w:tblPrEx>
        <w:trPr>
          <w:trHeight w:val="5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01FE">
            <w:pPr>
              <w:ind w:firstLine="0" w:firstLineChars="0"/>
              <w:jc w:val="center"/>
              <w:textAlignment w:val="center"/>
              <w:rPr>
                <w:rFonts w:hint="eastAsia" w:ascii="宋体" w:hAnsi="宋体" w:eastAsia="宋体" w:cs="宋体"/>
                <w:color w:val="000000"/>
                <w:kern w:val="0"/>
                <w:szCs w:val="24"/>
                <w:highlight w:val="none"/>
                <w:lang w:val="en-US" w:eastAsia="zh-CN" w:bidi="ar"/>
              </w:rPr>
            </w:pPr>
            <w:r>
              <w:rPr>
                <w:rFonts w:hint="eastAsia" w:ascii="宋体" w:hAnsi="宋体" w:cs="宋体"/>
                <w:color w:val="000000"/>
                <w:kern w:val="0"/>
                <w:szCs w:val="24"/>
                <w:highlight w:val="none"/>
                <w:lang w:val="en-US" w:eastAsia="zh-CN" w:bidi="ar"/>
              </w:rPr>
              <w:t>4</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124">
            <w:pPr>
              <w:ind w:firstLine="0" w:firstLineChars="0"/>
              <w:jc w:val="left"/>
              <w:textAlignment w:val="center"/>
              <w:rPr>
                <w:rFonts w:hint="eastAsia" w:hAnsi="宋体" w:cs="宋体"/>
                <w:color w:val="000000"/>
                <w:kern w:val="0"/>
                <w:szCs w:val="24"/>
                <w:highlight w:val="none"/>
                <w:lang w:bidi="ar"/>
              </w:rPr>
            </w:pPr>
            <w:r>
              <w:rPr>
                <w:rFonts w:hint="eastAsia" w:ascii="宋体" w:hAnsi="宋体" w:eastAsia="宋体" w:cs="宋体"/>
                <w:sz w:val="24"/>
                <w:szCs w:val="24"/>
                <w:highlight w:val="none"/>
                <w:lang w:eastAsia="zh-CN"/>
              </w:rPr>
              <w:t>密码接口改造</w:t>
            </w:r>
          </w:p>
        </w:tc>
        <w:tc>
          <w:tcPr>
            <w:tcW w:w="5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4BF7">
            <w:pPr>
              <w:ind w:firstLine="0" w:firstLineChars="0"/>
              <w:jc w:val="center"/>
              <w:textAlignment w:val="center"/>
              <w:rPr>
                <w:rFonts w:hint="eastAsia" w:ascii="宋体" w:hAnsi="宋体" w:cs="宋体"/>
                <w:color w:val="000000"/>
                <w:kern w:val="0"/>
                <w:szCs w:val="24"/>
                <w:highlight w:val="none"/>
                <w:lang w:bidi="ar"/>
              </w:rPr>
            </w:pPr>
            <w:r>
              <w:rPr>
                <w:rFonts w:hint="eastAsia" w:ascii="宋体" w:hAnsi="宋体" w:eastAsia="宋体" w:cs="宋体"/>
                <w:sz w:val="24"/>
                <w:szCs w:val="24"/>
                <w:highlight w:val="none"/>
                <w:lang w:eastAsia="zh-CN"/>
              </w:rPr>
              <w:t>用户身份认证机制模块、业务重要数据安全传输模块、服务器设备日志/访问控制信息完整性模块、重要可执行程序完整性、来源真实性模块、用户访问控制信息签名验签模块、应用系统重要数据加解密模块、应用系统重要数据签名验签模块。</w:t>
            </w:r>
          </w:p>
        </w:tc>
      </w:tr>
    </w:tbl>
    <w:p w14:paraId="3FAB5C78">
      <w:pPr>
        <w:pStyle w:val="3"/>
        <w:numPr>
          <w:ilvl w:val="1"/>
          <w:numId w:val="0"/>
        </w:numPr>
        <w:rPr>
          <w:rFonts w:hint="eastAsia"/>
          <w:sz w:val="30"/>
          <w:szCs w:val="30"/>
          <w:highlight w:val="none"/>
        </w:rPr>
      </w:pPr>
      <w:r>
        <w:rPr>
          <w:rFonts w:hint="eastAsia" w:ascii="宋体" w:eastAsia="宋体" w:hAnsiTheme="majorHAnsi" w:cstheme="majorBidi"/>
          <w:b/>
          <w:bCs/>
          <w:kern w:val="2"/>
          <w:sz w:val="30"/>
          <w:szCs w:val="30"/>
          <w:highlight w:val="none"/>
          <w:lang w:val="en-US" w:eastAsia="zh-CN" w:bidi="ar-SA"/>
        </w:rPr>
        <w:t>2.</w:t>
      </w:r>
      <w:r>
        <w:rPr>
          <w:rFonts w:hint="eastAsia" w:cstheme="majorBidi"/>
          <w:b/>
          <w:bCs/>
          <w:kern w:val="2"/>
          <w:sz w:val="30"/>
          <w:szCs w:val="30"/>
          <w:highlight w:val="none"/>
          <w:lang w:val="en-US" w:eastAsia="zh-CN" w:bidi="ar-SA"/>
        </w:rPr>
        <w:t>4</w:t>
      </w:r>
      <w:r>
        <w:rPr>
          <w:rFonts w:hint="eastAsia"/>
          <w:sz w:val="30"/>
          <w:szCs w:val="30"/>
          <w:highlight w:val="none"/>
        </w:rPr>
        <w:t>实施内容</w:t>
      </w:r>
    </w:p>
    <w:p w14:paraId="7E3F6883">
      <w:pPr>
        <w:ind w:firstLine="480"/>
        <w:rPr>
          <w:rFonts w:hint="eastAsia" w:hAnsi="宋体" w:cs="宋体"/>
          <w:color w:val="000000"/>
          <w:kern w:val="0"/>
          <w:szCs w:val="24"/>
          <w:highlight w:val="none"/>
          <w:lang w:bidi="ar"/>
        </w:rPr>
      </w:pPr>
      <w:r>
        <w:rPr>
          <w:rFonts w:hint="eastAsia"/>
          <w:color w:val="000000" w:themeColor="text1"/>
          <w:highlight w:val="none"/>
          <w14:textFill>
            <w14:solidFill>
              <w14:schemeClr w14:val="tx1"/>
            </w14:solidFill>
          </w14:textFill>
        </w:rPr>
        <w:t>本次采购实施内容包括</w:t>
      </w:r>
      <w:r>
        <w:rPr>
          <w:rFonts w:hint="eastAsia" w:hAnsi="宋体" w:cs="宋体"/>
          <w:color w:val="000000"/>
          <w:kern w:val="0"/>
          <w:szCs w:val="24"/>
          <w:highlight w:val="none"/>
          <w:lang w:eastAsia="zh-CN" w:bidi="ar"/>
        </w:rPr>
        <w:t>残疾人临床社工服务管理模块</w:t>
      </w:r>
      <w:r>
        <w:rPr>
          <w:rFonts w:hint="eastAsia" w:hAnsi="宋体" w:cs="宋体"/>
          <w:color w:val="000000"/>
          <w:kern w:val="0"/>
          <w:szCs w:val="24"/>
          <w:highlight w:val="none"/>
          <w:lang w:bidi="ar"/>
        </w:rPr>
        <w:t>、</w:t>
      </w:r>
      <w:r>
        <w:rPr>
          <w:rFonts w:hint="eastAsia" w:hAnsi="宋体" w:cs="宋体"/>
          <w:color w:val="000000"/>
          <w:kern w:val="0"/>
          <w:szCs w:val="24"/>
          <w:highlight w:val="none"/>
          <w:lang w:eastAsia="zh-CN" w:bidi="ar"/>
        </w:rPr>
        <w:t>助残志愿者管理模块</w:t>
      </w:r>
      <w:r>
        <w:rPr>
          <w:rFonts w:hint="eastAsia" w:hAnsi="宋体" w:cs="宋体"/>
          <w:color w:val="000000"/>
          <w:kern w:val="0"/>
          <w:szCs w:val="24"/>
          <w:highlight w:val="none"/>
          <w:lang w:bidi="ar"/>
        </w:rPr>
        <w:t>、</w:t>
      </w:r>
      <w:r>
        <w:rPr>
          <w:rFonts w:hint="eastAsia" w:hAnsi="宋体" w:cs="宋体"/>
          <w:color w:val="000000"/>
          <w:kern w:val="0"/>
          <w:szCs w:val="24"/>
          <w:highlight w:val="none"/>
          <w:lang w:eastAsia="zh-CN" w:bidi="ar"/>
        </w:rPr>
        <w:t>残疾人社会化康复服务管理模块、</w:t>
      </w:r>
      <w:r>
        <w:rPr>
          <w:rFonts w:hint="eastAsia" w:ascii="宋体" w:hAnsi="宋体" w:eastAsia="宋体" w:cs="宋体"/>
          <w:sz w:val="24"/>
          <w:szCs w:val="24"/>
          <w:highlight w:val="none"/>
          <w:lang w:eastAsia="zh-CN"/>
        </w:rPr>
        <w:t>密码接口改造</w:t>
      </w:r>
      <w:r>
        <w:rPr>
          <w:rFonts w:hint="eastAsia" w:hAnsi="宋体" w:cs="宋体"/>
          <w:color w:val="000000"/>
          <w:kern w:val="0"/>
          <w:szCs w:val="24"/>
          <w:highlight w:val="none"/>
          <w:lang w:bidi="ar"/>
        </w:rPr>
        <w:t>，旨在通过数字化手段全面提升医院社会服务、志愿服务、康复服务及管理决策的能力与效率，形成高效协同、数据驱动的业务能级。具体目标包括：构建一体化服务平台，实现服务流程标准化、智能化；促进跨部门、跨领域数据共享与业务协同；提升服务响应速度与精准度，增强患者及家属满意度；为管理层提供科学决策支持，优化资源配置。</w:t>
      </w:r>
    </w:p>
    <w:p w14:paraId="35F464A2">
      <w:pPr>
        <w:ind w:firstLine="480"/>
        <w:rPr>
          <w:rFonts w:hint="eastAsia"/>
          <w:highlight w:val="none"/>
        </w:rPr>
      </w:pPr>
      <w:r>
        <w:rPr>
          <w:rFonts w:hint="eastAsia"/>
          <w:highlight w:val="none"/>
        </w:rPr>
        <w:t>此外，结合国家政策及医院实际需求，强调先进性、安全性、易用性与扩展性，通过社会康复服务管理子系统建设，实现对医院社区服务工作业务的数字化管理和信息化拓展，提升管理效率和数据价值利用率。</w:t>
      </w:r>
    </w:p>
    <w:p w14:paraId="02697113">
      <w:pPr>
        <w:pStyle w:val="2"/>
        <w:numPr>
          <w:ilvl w:val="0"/>
          <w:numId w:val="0"/>
        </w:numPr>
        <w:rPr>
          <w:rFonts w:hint="eastAsia"/>
          <w:sz w:val="32"/>
          <w:szCs w:val="32"/>
          <w:highlight w:val="none"/>
        </w:rPr>
      </w:pPr>
      <w:r>
        <w:rPr>
          <w:rFonts w:hint="eastAsia" w:ascii="宋体" w:eastAsia="宋体" w:hAnsiTheme="minorHAnsi" w:cstheme="minorBidi"/>
          <w:b/>
          <w:bCs/>
          <w:kern w:val="44"/>
          <w:sz w:val="32"/>
          <w:szCs w:val="32"/>
          <w:highlight w:val="none"/>
          <w:lang w:val="en-US" w:eastAsia="zh-CN" w:bidi="ar-SA"/>
        </w:rPr>
        <w:t>3</w:t>
      </w:r>
      <w:r>
        <w:rPr>
          <w:rFonts w:hint="eastAsia" w:cstheme="minorBidi"/>
          <w:b/>
          <w:bCs/>
          <w:kern w:val="44"/>
          <w:sz w:val="32"/>
          <w:szCs w:val="32"/>
          <w:highlight w:val="none"/>
          <w:lang w:val="en-US" w:eastAsia="zh-CN" w:bidi="ar-SA"/>
        </w:rPr>
        <w:t>.</w:t>
      </w:r>
      <w:r>
        <w:rPr>
          <w:rFonts w:hint="eastAsia"/>
          <w:sz w:val="32"/>
          <w:szCs w:val="32"/>
          <w:highlight w:val="none"/>
        </w:rPr>
        <w:t>系统接口及统一编码标准要求</w:t>
      </w:r>
    </w:p>
    <w:p w14:paraId="222395EF">
      <w:pPr>
        <w:pStyle w:val="49"/>
        <w:ind w:firstLine="480"/>
        <w:jc w:val="both"/>
        <w:rPr>
          <w:rFonts w:hint="eastAsia" w:ascii="宋体"/>
          <w:color w:val="000000" w:themeColor="text1"/>
          <w:szCs w:val="28"/>
          <w:highlight w:val="none"/>
          <w14:textFill>
            <w14:solidFill>
              <w14:schemeClr w14:val="tx1"/>
            </w14:solidFill>
          </w14:textFill>
        </w:rPr>
      </w:pPr>
      <w:r>
        <w:rPr>
          <w:rFonts w:hint="eastAsia" w:ascii="宋体"/>
          <w:color w:val="000000" w:themeColor="text1"/>
          <w:szCs w:val="28"/>
          <w:highlight w:val="none"/>
          <w14:textFill>
            <w14:solidFill>
              <w14:schemeClr w14:val="tx1"/>
            </w14:solidFill>
          </w14:textFill>
        </w:rPr>
        <w:t>本项目要求参考相关标准规范，包括但不限于下表内容。</w:t>
      </w:r>
    </w:p>
    <w:tbl>
      <w:tblPr>
        <w:tblStyle w:val="20"/>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82"/>
        <w:gridCol w:w="4706"/>
        <w:gridCol w:w="2546"/>
      </w:tblGrid>
      <w:tr w14:paraId="7009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793" w:type="dxa"/>
            <w:shd w:val="clear" w:color="auto" w:fill="D8D8D8" w:themeFill="background1" w:themeFillShade="D9"/>
            <w:vAlign w:val="center"/>
          </w:tcPr>
          <w:p w14:paraId="4A3BB5DC">
            <w:pPr>
              <w:spacing w:line="240" w:lineRule="auto"/>
              <w:ind w:firstLine="0" w:firstLineChars="0"/>
              <w:jc w:val="center"/>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序号</w:t>
            </w:r>
          </w:p>
        </w:tc>
        <w:tc>
          <w:tcPr>
            <w:tcW w:w="1482" w:type="dxa"/>
            <w:shd w:val="clear" w:color="auto" w:fill="D8D8D8" w:themeFill="background1" w:themeFillShade="D9"/>
            <w:vAlign w:val="center"/>
          </w:tcPr>
          <w:p w14:paraId="6FBCA710">
            <w:pPr>
              <w:spacing w:line="240" w:lineRule="auto"/>
              <w:ind w:firstLine="0" w:firstLineChars="0"/>
              <w:jc w:val="center"/>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标准类型</w:t>
            </w:r>
          </w:p>
        </w:tc>
        <w:tc>
          <w:tcPr>
            <w:tcW w:w="4706" w:type="dxa"/>
            <w:shd w:val="clear" w:color="auto" w:fill="D8D8D8" w:themeFill="background1" w:themeFillShade="D9"/>
            <w:vAlign w:val="center"/>
          </w:tcPr>
          <w:p w14:paraId="33621177">
            <w:pPr>
              <w:spacing w:line="240" w:lineRule="auto"/>
              <w:ind w:firstLine="0" w:firstLineChars="0"/>
              <w:jc w:val="center"/>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标准名称</w:t>
            </w:r>
          </w:p>
        </w:tc>
        <w:tc>
          <w:tcPr>
            <w:tcW w:w="2546" w:type="dxa"/>
            <w:shd w:val="clear" w:color="auto" w:fill="D8D8D8" w:themeFill="background1" w:themeFillShade="D9"/>
            <w:vAlign w:val="center"/>
          </w:tcPr>
          <w:p w14:paraId="5444D76C">
            <w:pPr>
              <w:spacing w:line="240" w:lineRule="auto"/>
              <w:ind w:firstLine="0" w:firstLineChars="0"/>
              <w:jc w:val="center"/>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标准号</w:t>
            </w:r>
          </w:p>
        </w:tc>
      </w:tr>
      <w:tr w14:paraId="3AFA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CBEFBC9">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tcPr>
          <w:p w14:paraId="35CE2B7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国家标准</w:t>
            </w:r>
          </w:p>
        </w:tc>
        <w:tc>
          <w:tcPr>
            <w:tcW w:w="4706" w:type="dxa"/>
            <w:vAlign w:val="center"/>
          </w:tcPr>
          <w:p w14:paraId="4165EE6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信息安全技术 信息系统安全等级保护设计技术要求</w:t>
            </w:r>
          </w:p>
        </w:tc>
        <w:tc>
          <w:tcPr>
            <w:tcW w:w="2546" w:type="dxa"/>
            <w:vAlign w:val="center"/>
          </w:tcPr>
          <w:p w14:paraId="7E771F5B">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GB/T 25070-2010</w:t>
            </w:r>
          </w:p>
        </w:tc>
      </w:tr>
      <w:tr w14:paraId="473A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4754BF05">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tcPr>
          <w:p w14:paraId="1930F73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国家标准</w:t>
            </w:r>
          </w:p>
        </w:tc>
        <w:tc>
          <w:tcPr>
            <w:tcW w:w="4706" w:type="dxa"/>
            <w:vAlign w:val="center"/>
          </w:tcPr>
          <w:p w14:paraId="0687B426">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信息安全技术 信息系统安全运维管理指南</w:t>
            </w:r>
          </w:p>
        </w:tc>
        <w:tc>
          <w:tcPr>
            <w:tcW w:w="2546" w:type="dxa"/>
            <w:vAlign w:val="center"/>
          </w:tcPr>
          <w:p w14:paraId="1F16C2C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GB/T 36626-2018</w:t>
            </w:r>
          </w:p>
        </w:tc>
      </w:tr>
      <w:tr w14:paraId="56F1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C1CC1EB">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tcPr>
          <w:p w14:paraId="6648285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国家标准</w:t>
            </w:r>
          </w:p>
        </w:tc>
        <w:tc>
          <w:tcPr>
            <w:tcW w:w="4706" w:type="dxa"/>
          </w:tcPr>
          <w:p w14:paraId="7941696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 xml:space="preserve">信息安全技术 </w:t>
            </w:r>
            <w:r>
              <w:rPr>
                <w:rFonts w:hAnsi="宋体" w:cs="仿宋_GB2312"/>
                <w:color w:val="000000" w:themeColor="text1"/>
                <w:highlight w:val="none"/>
                <w14:textFill>
                  <w14:solidFill>
                    <w14:schemeClr w14:val="tx1"/>
                  </w14:solidFill>
                </w14:textFill>
              </w:rPr>
              <w:t>网络安全等级保护基本要求</w:t>
            </w:r>
          </w:p>
        </w:tc>
        <w:tc>
          <w:tcPr>
            <w:tcW w:w="2546" w:type="dxa"/>
            <w:vAlign w:val="center"/>
          </w:tcPr>
          <w:p w14:paraId="5D746FC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GB/T22239-2019</w:t>
            </w:r>
          </w:p>
        </w:tc>
      </w:tr>
      <w:tr w14:paraId="1F4B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189B03E0">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tcPr>
          <w:p w14:paraId="0DF06C3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国家标准</w:t>
            </w:r>
          </w:p>
        </w:tc>
        <w:tc>
          <w:tcPr>
            <w:tcW w:w="4706" w:type="dxa"/>
          </w:tcPr>
          <w:p w14:paraId="5B732FA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 xml:space="preserve">信息安全技术 </w:t>
            </w:r>
            <w:r>
              <w:rPr>
                <w:rFonts w:hAnsi="宋体" w:cs="仿宋_GB2312"/>
                <w:color w:val="000000" w:themeColor="text1"/>
                <w:highlight w:val="none"/>
                <w14:textFill>
                  <w14:solidFill>
                    <w14:schemeClr w14:val="tx1"/>
                  </w14:solidFill>
                </w14:textFill>
              </w:rPr>
              <w:t>网络安全等级保护测评要求</w:t>
            </w:r>
          </w:p>
        </w:tc>
        <w:tc>
          <w:tcPr>
            <w:tcW w:w="2546" w:type="dxa"/>
            <w:vAlign w:val="center"/>
          </w:tcPr>
          <w:p w14:paraId="6CF8C93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GB/T28448-2019</w:t>
            </w:r>
          </w:p>
        </w:tc>
      </w:tr>
      <w:tr w14:paraId="20D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33BB6844">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tcPr>
          <w:p w14:paraId="379BCF2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国家标准</w:t>
            </w:r>
          </w:p>
        </w:tc>
        <w:tc>
          <w:tcPr>
            <w:tcW w:w="4706" w:type="dxa"/>
          </w:tcPr>
          <w:p w14:paraId="6F6795F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信息安全技术 健康医疗数据安全指南</w:t>
            </w:r>
          </w:p>
        </w:tc>
        <w:tc>
          <w:tcPr>
            <w:tcW w:w="2546" w:type="dxa"/>
            <w:vAlign w:val="center"/>
          </w:tcPr>
          <w:p w14:paraId="73F1DDE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GB/T 39725-2020</w:t>
            </w:r>
          </w:p>
        </w:tc>
      </w:tr>
      <w:tr w14:paraId="2651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CDB43A6">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72BF10C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26F32AC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基于电子病历的医院信息平台技术规范</w:t>
            </w:r>
          </w:p>
        </w:tc>
        <w:tc>
          <w:tcPr>
            <w:tcW w:w="2546" w:type="dxa"/>
            <w:vAlign w:val="center"/>
          </w:tcPr>
          <w:p w14:paraId="59BC428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WS</w:t>
            </w:r>
            <w:r>
              <w:rPr>
                <w:rFonts w:hAnsi="宋体" w:cs="仿宋_GB2312"/>
                <w:color w:val="000000" w:themeColor="text1"/>
                <w:highlight w:val="none"/>
                <w14:textFill>
                  <w14:solidFill>
                    <w14:schemeClr w14:val="tx1"/>
                  </w14:solidFill>
                </w14:textFill>
              </w:rPr>
              <w:t>/</w:t>
            </w:r>
            <w:r>
              <w:rPr>
                <w:rFonts w:hint="eastAsia" w:hAnsi="宋体" w:cs="仿宋_GB2312"/>
                <w:color w:val="000000" w:themeColor="text1"/>
                <w:highlight w:val="none"/>
                <w14:textFill>
                  <w14:solidFill>
                    <w14:schemeClr w14:val="tx1"/>
                  </w14:solidFill>
                </w14:textFill>
              </w:rPr>
              <w:t>T 447-2014</w:t>
            </w:r>
          </w:p>
        </w:tc>
      </w:tr>
      <w:tr w14:paraId="40CD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A7965F4">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0E4901E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21DBDB7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卫生信息数据元标准化规则</w:t>
            </w:r>
          </w:p>
        </w:tc>
        <w:tc>
          <w:tcPr>
            <w:tcW w:w="2546" w:type="dxa"/>
            <w:vAlign w:val="center"/>
          </w:tcPr>
          <w:p w14:paraId="0A7EE2B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WS/T 303</w:t>
            </w:r>
          </w:p>
        </w:tc>
      </w:tr>
      <w:tr w14:paraId="1839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14B35A4B">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F9B9AC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4F8DB296">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卫生信息数据模式描述指南</w:t>
            </w:r>
          </w:p>
        </w:tc>
        <w:tc>
          <w:tcPr>
            <w:tcW w:w="2546" w:type="dxa"/>
            <w:vAlign w:val="center"/>
          </w:tcPr>
          <w:p w14:paraId="0A090CB9">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WS/T 304</w:t>
            </w:r>
          </w:p>
        </w:tc>
      </w:tr>
      <w:tr w14:paraId="2312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9E3699E">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2457C232">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55C1ABF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卫生信息数据集元数据规范</w:t>
            </w:r>
          </w:p>
        </w:tc>
        <w:tc>
          <w:tcPr>
            <w:tcW w:w="2546" w:type="dxa"/>
            <w:vAlign w:val="center"/>
          </w:tcPr>
          <w:p w14:paraId="01EE03B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WS/T 305</w:t>
            </w:r>
          </w:p>
        </w:tc>
      </w:tr>
      <w:tr w14:paraId="5D8D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066AF69F">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5083E011">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6E37CFC1">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卫生信息数据集分类与编码规则</w:t>
            </w:r>
          </w:p>
        </w:tc>
        <w:tc>
          <w:tcPr>
            <w:tcW w:w="2546" w:type="dxa"/>
            <w:vAlign w:val="center"/>
          </w:tcPr>
          <w:p w14:paraId="6E2A084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WS/T 306</w:t>
            </w:r>
          </w:p>
        </w:tc>
      </w:tr>
      <w:tr w14:paraId="6535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203F41D">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0CB8D1C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29559A7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卫生信息数据元目录</w:t>
            </w:r>
          </w:p>
        </w:tc>
        <w:tc>
          <w:tcPr>
            <w:tcW w:w="2546" w:type="dxa"/>
            <w:vAlign w:val="center"/>
          </w:tcPr>
          <w:p w14:paraId="541282EB">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WS 363</w:t>
            </w:r>
          </w:p>
        </w:tc>
      </w:tr>
      <w:tr w14:paraId="3C67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4928A190">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6CAFA96">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23FC2E3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卫生信息数据元值域代码</w:t>
            </w:r>
          </w:p>
        </w:tc>
        <w:tc>
          <w:tcPr>
            <w:tcW w:w="2546" w:type="dxa"/>
            <w:vAlign w:val="center"/>
          </w:tcPr>
          <w:p w14:paraId="1C852EF9">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WS 364</w:t>
            </w:r>
          </w:p>
        </w:tc>
      </w:tr>
      <w:tr w14:paraId="2E61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668488C">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19B422D7">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2EA94EE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卫生信息基本数据集编制规范</w:t>
            </w:r>
          </w:p>
        </w:tc>
        <w:tc>
          <w:tcPr>
            <w:tcW w:w="2546" w:type="dxa"/>
            <w:vAlign w:val="center"/>
          </w:tcPr>
          <w:p w14:paraId="3043A6C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 370</w:t>
            </w:r>
          </w:p>
        </w:tc>
      </w:tr>
      <w:tr w14:paraId="5BAC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C9DD8A7">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7E8D621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10F9346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电子病历基本数据集</w:t>
            </w:r>
          </w:p>
        </w:tc>
        <w:tc>
          <w:tcPr>
            <w:tcW w:w="2546" w:type="dxa"/>
            <w:vAlign w:val="center"/>
          </w:tcPr>
          <w:p w14:paraId="435CD6E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 445</w:t>
            </w:r>
          </w:p>
        </w:tc>
      </w:tr>
      <w:tr w14:paraId="3F66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13944829">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AA0F8F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4C7B7AF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卫生信息共享文档编制规范</w:t>
            </w:r>
          </w:p>
        </w:tc>
        <w:tc>
          <w:tcPr>
            <w:tcW w:w="2546" w:type="dxa"/>
            <w:vAlign w:val="center"/>
          </w:tcPr>
          <w:p w14:paraId="382A074A">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WS</w:t>
            </w:r>
            <w:r>
              <w:rPr>
                <w:rFonts w:hAnsi="宋体" w:cs="仿宋_GB2312"/>
                <w:color w:val="000000" w:themeColor="text1"/>
                <w:highlight w:val="none"/>
                <w14:textFill>
                  <w14:solidFill>
                    <w14:schemeClr w14:val="tx1"/>
                  </w14:solidFill>
                </w14:textFill>
              </w:rPr>
              <w:t>/</w:t>
            </w:r>
            <w:r>
              <w:rPr>
                <w:rFonts w:hint="eastAsia" w:hAnsi="宋体" w:cs="仿宋_GB2312"/>
                <w:color w:val="000000" w:themeColor="text1"/>
                <w:highlight w:val="none"/>
                <w14:textFill>
                  <w14:solidFill>
                    <w14:schemeClr w14:val="tx1"/>
                  </w14:solidFill>
                </w14:textFill>
              </w:rPr>
              <w:t>T 482</w:t>
            </w:r>
          </w:p>
        </w:tc>
      </w:tr>
      <w:tr w14:paraId="5BB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58188BBA">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40B53137">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022DF23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卫生统计指标</w:t>
            </w:r>
          </w:p>
        </w:tc>
        <w:tc>
          <w:tcPr>
            <w:tcW w:w="2546" w:type="dxa"/>
            <w:vAlign w:val="center"/>
          </w:tcPr>
          <w:p w14:paraId="37B2A6D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WS</w:t>
            </w:r>
            <w:r>
              <w:rPr>
                <w:rFonts w:hAnsi="宋体" w:cs="仿宋_GB2312"/>
                <w:color w:val="000000" w:themeColor="text1"/>
                <w:highlight w:val="none"/>
                <w14:textFill>
                  <w14:solidFill>
                    <w14:schemeClr w14:val="tx1"/>
                  </w14:solidFill>
                </w14:textFill>
              </w:rPr>
              <w:t>/</w:t>
            </w:r>
            <w:r>
              <w:rPr>
                <w:rFonts w:hint="eastAsia" w:hAnsi="宋体" w:cs="仿宋_GB2312"/>
                <w:color w:val="000000" w:themeColor="text1"/>
                <w:highlight w:val="none"/>
                <w14:textFill>
                  <w14:solidFill>
                    <w14:schemeClr w14:val="tx1"/>
                  </w14:solidFill>
                </w14:textFill>
              </w:rPr>
              <w:t>T 598</w:t>
            </w:r>
          </w:p>
        </w:tc>
      </w:tr>
      <w:tr w14:paraId="196F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B48EEFF">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805AB7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行业标准</w:t>
            </w:r>
          </w:p>
        </w:tc>
        <w:tc>
          <w:tcPr>
            <w:tcW w:w="4706" w:type="dxa"/>
            <w:vAlign w:val="center"/>
          </w:tcPr>
          <w:p w14:paraId="4C90C82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卫生信息标识体系</w:t>
            </w:r>
            <w:r>
              <w:rPr>
                <w:rFonts w:hAnsi="宋体" w:cs="仿宋_GB2312"/>
                <w:color w:val="000000" w:themeColor="text1"/>
                <w:highlight w:val="none"/>
                <w14:textFill>
                  <w14:solidFill>
                    <w14:schemeClr w14:val="tx1"/>
                  </w14:solidFill>
                </w14:textFill>
              </w:rPr>
              <w:t xml:space="preserve"> </w:t>
            </w:r>
            <w:r>
              <w:rPr>
                <w:rFonts w:hint="eastAsia" w:hAnsi="宋体" w:cs="仿宋_GB2312"/>
                <w:color w:val="000000" w:themeColor="text1"/>
                <w:highlight w:val="none"/>
                <w14:textFill>
                  <w14:solidFill>
                    <w14:schemeClr w14:val="tx1"/>
                  </w14:solidFill>
                </w14:textFill>
              </w:rPr>
              <w:t>对象标识符编号结构与基本规则</w:t>
            </w:r>
          </w:p>
        </w:tc>
        <w:tc>
          <w:tcPr>
            <w:tcW w:w="2546" w:type="dxa"/>
            <w:vAlign w:val="center"/>
          </w:tcPr>
          <w:p w14:paraId="695C6A8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WS/T 682</w:t>
            </w:r>
          </w:p>
        </w:tc>
      </w:tr>
      <w:tr w14:paraId="27B8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5FDE16C9">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661CFF19">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0173595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国家医疗健康信息医院信息互联互通标准化成熟度测评方案（2020年版）</w:t>
            </w:r>
          </w:p>
        </w:tc>
        <w:tc>
          <w:tcPr>
            <w:tcW w:w="2546" w:type="dxa"/>
            <w:vAlign w:val="center"/>
          </w:tcPr>
          <w:p w14:paraId="41384B9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国卫统信便函〔2020〕30号</w:t>
            </w:r>
          </w:p>
        </w:tc>
      </w:tr>
      <w:tr w14:paraId="7B13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7E8F25C">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6EA69A9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0885BDF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电子病历系统应用水平分级评价管理办法（试行）</w:t>
            </w:r>
          </w:p>
        </w:tc>
        <w:tc>
          <w:tcPr>
            <w:tcW w:w="2546" w:type="dxa"/>
            <w:vAlign w:val="center"/>
          </w:tcPr>
          <w:p w14:paraId="0DD68E0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国卫办医函〔2018〕1079号</w:t>
            </w:r>
          </w:p>
        </w:tc>
      </w:tr>
      <w:tr w14:paraId="3929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6D95715">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7AEE757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291CBF27">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电子病历应用管理规范（试行）</w:t>
            </w:r>
          </w:p>
        </w:tc>
        <w:tc>
          <w:tcPr>
            <w:tcW w:w="2546" w:type="dxa"/>
            <w:vAlign w:val="center"/>
          </w:tcPr>
          <w:p w14:paraId="4EDE171B">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国卫办医发〔2017〕8号</w:t>
            </w:r>
          </w:p>
        </w:tc>
      </w:tr>
      <w:tr w14:paraId="48E3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DE71A61">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25EBFA52">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68EED1A9">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医院信息化建设应用技术指引（2017版）</w:t>
            </w:r>
          </w:p>
        </w:tc>
        <w:tc>
          <w:tcPr>
            <w:tcW w:w="2546" w:type="dxa"/>
            <w:vAlign w:val="center"/>
          </w:tcPr>
          <w:p w14:paraId="2CEE313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国卫办规划函〔201</w:t>
            </w:r>
            <w:r>
              <w:rPr>
                <w:rFonts w:hAnsi="宋体" w:cs="仿宋_GB2312"/>
                <w:color w:val="000000" w:themeColor="text1"/>
                <w:highlight w:val="none"/>
                <w14:textFill>
                  <w14:solidFill>
                    <w14:schemeClr w14:val="tx1"/>
                  </w14:solidFill>
                </w14:textFill>
              </w:rPr>
              <w:t>7</w:t>
            </w:r>
            <w:r>
              <w:rPr>
                <w:rFonts w:hint="eastAsia" w:hAnsi="宋体" w:cs="仿宋_GB2312"/>
                <w:color w:val="000000" w:themeColor="text1"/>
                <w:highlight w:val="none"/>
                <w14:textFill>
                  <w14:solidFill>
                    <w14:schemeClr w14:val="tx1"/>
                  </w14:solidFill>
                </w14:textFill>
              </w:rPr>
              <w:t>〕1</w:t>
            </w:r>
            <w:r>
              <w:rPr>
                <w:rFonts w:hAnsi="宋体" w:cs="仿宋_GB2312"/>
                <w:color w:val="000000" w:themeColor="text1"/>
                <w:highlight w:val="none"/>
                <w14:textFill>
                  <w14:solidFill>
                    <w14:schemeClr w14:val="tx1"/>
                  </w14:solidFill>
                </w14:textFill>
              </w:rPr>
              <w:t>232</w:t>
            </w:r>
            <w:r>
              <w:rPr>
                <w:rFonts w:hint="eastAsia" w:hAnsi="宋体" w:cs="仿宋_GB2312"/>
                <w:color w:val="000000" w:themeColor="text1"/>
                <w:highlight w:val="none"/>
                <w14:textFill>
                  <w14:solidFill>
                    <w14:schemeClr w14:val="tx1"/>
                  </w14:solidFill>
                </w14:textFill>
              </w:rPr>
              <w:t>号</w:t>
            </w:r>
          </w:p>
        </w:tc>
      </w:tr>
      <w:tr w14:paraId="0F7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35A6E6A">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1F4ACD06">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13A823F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医院信息平台应用功能指引</w:t>
            </w:r>
          </w:p>
        </w:tc>
        <w:tc>
          <w:tcPr>
            <w:tcW w:w="2546" w:type="dxa"/>
            <w:vAlign w:val="center"/>
          </w:tcPr>
          <w:p w14:paraId="34788AD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国卫办规划函〔201</w:t>
            </w:r>
            <w:r>
              <w:rPr>
                <w:rFonts w:hAnsi="宋体" w:cs="仿宋_GB2312"/>
                <w:color w:val="000000" w:themeColor="text1"/>
                <w:highlight w:val="none"/>
                <w14:textFill>
                  <w14:solidFill>
                    <w14:schemeClr w14:val="tx1"/>
                  </w14:solidFill>
                </w14:textFill>
              </w:rPr>
              <w:t>6</w:t>
            </w:r>
            <w:r>
              <w:rPr>
                <w:rFonts w:hint="eastAsia" w:hAnsi="宋体" w:cs="仿宋_GB2312"/>
                <w:color w:val="000000" w:themeColor="text1"/>
                <w:highlight w:val="none"/>
                <w14:textFill>
                  <w14:solidFill>
                    <w14:schemeClr w14:val="tx1"/>
                  </w14:solidFill>
                </w14:textFill>
              </w:rPr>
              <w:t>〕1</w:t>
            </w:r>
            <w:r>
              <w:rPr>
                <w:rFonts w:hAnsi="宋体" w:cs="仿宋_GB2312"/>
                <w:color w:val="000000" w:themeColor="text1"/>
                <w:highlight w:val="none"/>
                <w14:textFill>
                  <w14:solidFill>
                    <w14:schemeClr w14:val="tx1"/>
                  </w14:solidFill>
                </w14:textFill>
              </w:rPr>
              <w:t>110</w:t>
            </w:r>
            <w:r>
              <w:rPr>
                <w:rFonts w:hint="eastAsia" w:hAnsi="宋体" w:cs="仿宋_GB2312"/>
                <w:color w:val="000000" w:themeColor="text1"/>
                <w:highlight w:val="none"/>
                <w14:textFill>
                  <w14:solidFill>
                    <w14:schemeClr w14:val="tx1"/>
                  </w14:solidFill>
                </w14:textFill>
              </w:rPr>
              <w:t>号</w:t>
            </w:r>
          </w:p>
        </w:tc>
      </w:tr>
      <w:tr w14:paraId="4BA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415D37B8">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02F781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281EF9E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中医医院信息系统基本功能规范</w:t>
            </w:r>
          </w:p>
        </w:tc>
        <w:tc>
          <w:tcPr>
            <w:tcW w:w="2546" w:type="dxa"/>
            <w:vAlign w:val="center"/>
          </w:tcPr>
          <w:p w14:paraId="4766BE55">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Ansi="宋体" w:cs="仿宋_GB2312"/>
                <w:color w:val="000000" w:themeColor="text1"/>
                <w:highlight w:val="none"/>
                <w14:textFill>
                  <w14:solidFill>
                    <w14:schemeClr w14:val="tx1"/>
                  </w14:solidFill>
                </w14:textFill>
              </w:rPr>
              <w:t>国中医药办发〔2011〕46号</w:t>
            </w:r>
          </w:p>
        </w:tc>
      </w:tr>
      <w:tr w14:paraId="4FA6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AB79B60">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20D0B287">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015DBA2A">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医院信息系统基本功能规范</w:t>
            </w:r>
          </w:p>
        </w:tc>
        <w:tc>
          <w:tcPr>
            <w:tcW w:w="2546" w:type="dxa"/>
            <w:vAlign w:val="center"/>
          </w:tcPr>
          <w:p w14:paraId="03BB9DED">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卫办法（2</w:t>
            </w:r>
            <w:r>
              <w:rPr>
                <w:rFonts w:hAnsi="宋体" w:cs="仿宋_GB2312"/>
                <w:color w:val="000000" w:themeColor="text1"/>
                <w:highlight w:val="none"/>
                <w14:textFill>
                  <w14:solidFill>
                    <w14:schemeClr w14:val="tx1"/>
                  </w14:solidFill>
                </w14:textFill>
              </w:rPr>
              <w:t>002</w:t>
            </w:r>
            <w:r>
              <w:rPr>
                <w:rFonts w:hint="eastAsia" w:hAnsi="宋体" w:cs="仿宋_GB2312"/>
                <w:color w:val="000000" w:themeColor="text1"/>
                <w:highlight w:val="none"/>
                <w14:textFill>
                  <w14:solidFill>
                    <w14:schemeClr w14:val="tx1"/>
                  </w14:solidFill>
                </w14:textFill>
              </w:rPr>
              <w:t>）1</w:t>
            </w:r>
            <w:r>
              <w:rPr>
                <w:rFonts w:hAnsi="宋体" w:cs="仿宋_GB2312"/>
                <w:color w:val="000000" w:themeColor="text1"/>
                <w:highlight w:val="none"/>
                <w14:textFill>
                  <w14:solidFill>
                    <w14:schemeClr w14:val="tx1"/>
                  </w14:solidFill>
                </w14:textFill>
              </w:rPr>
              <w:t>16</w:t>
            </w:r>
            <w:r>
              <w:rPr>
                <w:rFonts w:hint="eastAsia" w:hAnsi="宋体" w:cs="仿宋_GB2312"/>
                <w:color w:val="000000" w:themeColor="text1"/>
                <w:highlight w:val="none"/>
                <w14:textFill>
                  <w14:solidFill>
                    <w14:schemeClr w14:val="tx1"/>
                  </w14:solidFill>
                </w14:textFill>
              </w:rPr>
              <w:t>号</w:t>
            </w:r>
          </w:p>
        </w:tc>
      </w:tr>
      <w:tr w14:paraId="60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36A0D4BD">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530E212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601A2AAF">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国家健康医疗大数据标准、安全和服务管理办法（试行）</w:t>
            </w:r>
          </w:p>
        </w:tc>
        <w:tc>
          <w:tcPr>
            <w:tcW w:w="2546" w:type="dxa"/>
            <w:vAlign w:val="center"/>
          </w:tcPr>
          <w:p w14:paraId="66E455C9">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国卫规划发〔2018〕23号</w:t>
            </w:r>
          </w:p>
        </w:tc>
      </w:tr>
      <w:tr w14:paraId="7CF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25A0F08E">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2A3947B0">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727FE51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卫生行业信息安全等级保护工作的指导意见</w:t>
            </w:r>
          </w:p>
        </w:tc>
        <w:tc>
          <w:tcPr>
            <w:tcW w:w="2546" w:type="dxa"/>
            <w:vAlign w:val="center"/>
          </w:tcPr>
          <w:p w14:paraId="2F842EAC">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卫办发〔2011〕85号</w:t>
            </w:r>
          </w:p>
        </w:tc>
      </w:tr>
      <w:tr w14:paraId="4A82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67582596">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3BA6D31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09FE07C2">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卫生系统电子认证服务管理办法（试行）</w:t>
            </w:r>
          </w:p>
        </w:tc>
        <w:tc>
          <w:tcPr>
            <w:tcW w:w="2546" w:type="dxa"/>
            <w:vAlign w:val="center"/>
          </w:tcPr>
          <w:p w14:paraId="717C597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卫办发〔2009〕125号</w:t>
            </w:r>
          </w:p>
        </w:tc>
      </w:tr>
      <w:tr w14:paraId="6D4B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7D9B67FC">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4DF1277B">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37847A1E">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全国医院信息化建设标准与规范</w:t>
            </w:r>
          </w:p>
        </w:tc>
        <w:tc>
          <w:tcPr>
            <w:tcW w:w="2546" w:type="dxa"/>
            <w:vAlign w:val="center"/>
          </w:tcPr>
          <w:p w14:paraId="704DA1F8">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国卫办规划发〔2018〕4号</w:t>
            </w:r>
          </w:p>
        </w:tc>
      </w:tr>
      <w:tr w14:paraId="57C4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3" w:type="dxa"/>
            <w:vAlign w:val="center"/>
          </w:tcPr>
          <w:p w14:paraId="07B1BF24">
            <w:pPr>
              <w:pStyle w:val="50"/>
              <w:widowControl w:val="0"/>
              <w:numPr>
                <w:ilvl w:val="0"/>
                <w:numId w:val="2"/>
              </w:numPr>
              <w:tabs>
                <w:tab w:val="left" w:pos="257"/>
              </w:tabs>
              <w:ind w:left="0" w:firstLine="0" w:firstLineChars="0"/>
              <w:jc w:val="both"/>
              <w:rPr>
                <w:rFonts w:hint="eastAsia"/>
                <w:color w:val="000000" w:themeColor="text1"/>
                <w:sz w:val="21"/>
                <w:szCs w:val="21"/>
                <w:highlight w:val="none"/>
                <w14:textFill>
                  <w14:solidFill>
                    <w14:schemeClr w14:val="tx1"/>
                  </w14:solidFill>
                </w14:textFill>
              </w:rPr>
            </w:pPr>
          </w:p>
        </w:tc>
        <w:tc>
          <w:tcPr>
            <w:tcW w:w="1482" w:type="dxa"/>
            <w:vAlign w:val="center"/>
          </w:tcPr>
          <w:p w14:paraId="48FE7183">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行业规范</w:t>
            </w:r>
          </w:p>
        </w:tc>
        <w:tc>
          <w:tcPr>
            <w:tcW w:w="4706" w:type="dxa"/>
            <w:vAlign w:val="center"/>
          </w:tcPr>
          <w:p w14:paraId="64559996">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全国医院数据上报管理方案</w:t>
            </w:r>
          </w:p>
        </w:tc>
        <w:tc>
          <w:tcPr>
            <w:tcW w:w="2546" w:type="dxa"/>
            <w:vAlign w:val="center"/>
          </w:tcPr>
          <w:p w14:paraId="42F1F804">
            <w:pPr>
              <w:adjustRightInd w:val="0"/>
              <w:snapToGrid w:val="0"/>
              <w:spacing w:line="240" w:lineRule="auto"/>
              <w:ind w:firstLine="0" w:firstLineChars="0"/>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14:textFill>
                  <w14:solidFill>
                    <w14:schemeClr w14:val="tx1"/>
                  </w14:solidFill>
                </w14:textFill>
              </w:rPr>
              <w:t>国卫办规划函〔2019〕380号</w:t>
            </w:r>
          </w:p>
        </w:tc>
      </w:tr>
    </w:tbl>
    <w:p w14:paraId="340967CE">
      <w:pPr>
        <w:pStyle w:val="2"/>
        <w:numPr>
          <w:ilvl w:val="0"/>
          <w:numId w:val="0"/>
        </w:numPr>
        <w:rPr>
          <w:rFonts w:hint="eastAsia"/>
          <w:sz w:val="32"/>
          <w:szCs w:val="32"/>
          <w:highlight w:val="none"/>
        </w:rPr>
      </w:pPr>
      <w:r>
        <w:rPr>
          <w:rFonts w:hint="eastAsia" w:ascii="宋体" w:eastAsia="宋体" w:hAnsiTheme="minorHAnsi" w:cstheme="minorBidi"/>
          <w:b/>
          <w:bCs/>
          <w:kern w:val="44"/>
          <w:sz w:val="32"/>
          <w:szCs w:val="32"/>
          <w:highlight w:val="none"/>
          <w:lang w:val="en-US" w:eastAsia="zh-CN" w:bidi="ar-SA"/>
        </w:rPr>
        <w:t>4</w:t>
      </w:r>
      <w:r>
        <w:rPr>
          <w:rFonts w:hint="eastAsia" w:cstheme="minorBidi"/>
          <w:b/>
          <w:bCs/>
          <w:kern w:val="44"/>
          <w:sz w:val="32"/>
          <w:szCs w:val="32"/>
          <w:highlight w:val="none"/>
          <w:lang w:val="en-US" w:eastAsia="zh-CN" w:bidi="ar-SA"/>
        </w:rPr>
        <w:t>.</w:t>
      </w:r>
      <w:r>
        <w:rPr>
          <w:rFonts w:hint="eastAsia"/>
          <w:sz w:val="32"/>
          <w:szCs w:val="32"/>
          <w:highlight w:val="none"/>
        </w:rPr>
        <w:t>系统功能、技术规格及要求</w:t>
      </w:r>
    </w:p>
    <w:p w14:paraId="450D31E5">
      <w:pPr>
        <w:pStyle w:val="3"/>
        <w:numPr>
          <w:ilvl w:val="1"/>
          <w:numId w:val="0"/>
        </w:numPr>
        <w:jc w:val="left"/>
        <w:rPr>
          <w:sz w:val="30"/>
          <w:szCs w:val="30"/>
          <w:highlight w:val="none"/>
        </w:rPr>
      </w:pPr>
      <w:r>
        <w:rPr>
          <w:rFonts w:hint="eastAsia"/>
          <w:sz w:val="30"/>
          <w:szCs w:val="30"/>
          <w:highlight w:val="none"/>
        </w:rPr>
        <w:t>4.1总体架构</w:t>
      </w:r>
    </w:p>
    <w:p w14:paraId="51D403FB">
      <w:pPr>
        <w:ind w:firstLine="480"/>
        <w:rPr>
          <w:rFonts w:hint="eastAsia" w:ascii="宋体" w:hAnsi="宋体" w:eastAsia="宋体"/>
          <w:sz w:val="24"/>
          <w:szCs w:val="24"/>
          <w:highlight w:val="none"/>
        </w:rPr>
      </w:pPr>
      <w:r>
        <w:rPr>
          <w:rFonts w:hint="eastAsia" w:ascii="宋体" w:hAnsi="宋体" w:eastAsia="宋体"/>
          <w:sz w:val="24"/>
          <w:szCs w:val="24"/>
          <w:highlight w:val="none"/>
        </w:rPr>
        <w:t>本项目总体架构图分为四个主要层次：表现层、业务逻辑层、数据访问层和数据存储层。</w:t>
      </w:r>
    </w:p>
    <w:p w14:paraId="4DA98E79">
      <w:pPr>
        <w:ind w:firstLine="0" w:firstLineChars="0"/>
        <w:rPr>
          <w:highlight w:val="none"/>
        </w:rPr>
      </w:pPr>
      <w:r>
        <w:rPr>
          <w:highlight w:val="none"/>
        </w:rPr>
        <w:drawing>
          <wp:inline distT="0" distB="0" distL="114300" distR="114300">
            <wp:extent cx="5269230" cy="2519045"/>
            <wp:effectExtent l="0" t="0" r="1270" b="8255"/>
            <wp:docPr id="1" name="图片 4"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图形用户界面, 应用程序&#10;&#10;描述已自动生成"/>
                    <pic:cNvPicPr>
                      <a:picLocks noChangeAspect="1"/>
                    </pic:cNvPicPr>
                  </pic:nvPicPr>
                  <pic:blipFill>
                    <a:blip r:embed="rId6"/>
                    <a:stretch>
                      <a:fillRect/>
                    </a:stretch>
                  </pic:blipFill>
                  <pic:spPr>
                    <a:xfrm>
                      <a:off x="0" y="0"/>
                      <a:ext cx="5269230" cy="2519045"/>
                    </a:xfrm>
                    <a:prstGeom prst="rect">
                      <a:avLst/>
                    </a:prstGeom>
                    <a:noFill/>
                    <a:ln>
                      <a:noFill/>
                    </a:ln>
                  </pic:spPr>
                </pic:pic>
              </a:graphicData>
            </a:graphic>
          </wp:inline>
        </w:drawing>
      </w:r>
    </w:p>
    <w:p w14:paraId="7CCB8D12">
      <w:pPr>
        <w:pStyle w:val="49"/>
        <w:rPr>
          <w:rFonts w:hint="eastAsia" w:ascii="宋体" w:hAnsi="宋体" w:eastAsia="宋体"/>
          <w:sz w:val="24"/>
          <w:szCs w:val="28"/>
          <w:highlight w:val="none"/>
        </w:rPr>
      </w:pPr>
      <w:r>
        <w:rPr>
          <w:rFonts w:hint="eastAsia" w:ascii="宋体" w:hAnsi="宋体" w:eastAsia="宋体"/>
          <w:sz w:val="24"/>
          <w:szCs w:val="28"/>
          <w:highlight w:val="none"/>
        </w:rPr>
        <w:t>以下是针对架构图的描述：</w:t>
      </w:r>
    </w:p>
    <w:p w14:paraId="27EFF8EE">
      <w:pPr>
        <w:pStyle w:val="49"/>
        <w:rPr>
          <w:rFonts w:hint="eastAsia" w:ascii="宋体" w:hAnsi="宋体" w:eastAsia="宋体"/>
          <w:sz w:val="24"/>
          <w:szCs w:val="28"/>
          <w:highlight w:val="none"/>
        </w:rPr>
      </w:pPr>
      <w:r>
        <w:rPr>
          <w:rFonts w:hint="eastAsia" w:ascii="宋体" w:hAnsi="宋体" w:eastAsia="宋体"/>
          <w:sz w:val="24"/>
          <w:szCs w:val="28"/>
          <w:highlight w:val="none"/>
        </w:rPr>
        <w:t>数据存储层：数据存储层是系统存储数据的地方，包括社工用户信息表、个案服务记录表、志愿者活动信息表、课程费用信息表、满意度记录表等多个数据表。这些表结构清晰，便于数据的存储和管理。</w:t>
      </w:r>
    </w:p>
    <w:p w14:paraId="3C2D9302">
      <w:pPr>
        <w:pStyle w:val="49"/>
        <w:rPr>
          <w:rFonts w:hint="eastAsia" w:ascii="宋体" w:hAnsi="宋体" w:eastAsia="宋体"/>
          <w:sz w:val="24"/>
          <w:szCs w:val="28"/>
          <w:highlight w:val="none"/>
        </w:rPr>
      </w:pPr>
      <w:r>
        <w:rPr>
          <w:rFonts w:hint="eastAsia" w:ascii="宋体" w:hAnsi="宋体" w:eastAsia="宋体"/>
          <w:sz w:val="24"/>
          <w:szCs w:val="28"/>
          <w:highlight w:val="none"/>
        </w:rPr>
        <w:t>数据访问层：数据访问层负责数据的访问和操作，包括数据同步、数据缓存、数据更新、数据查询和数据权限管理等功能。它确保了系统能够高效、安全地访问和操作数据，为业务逻辑层提供数据支持。同时支持与医院原有的医生站、护士站、患者视图系统进行业务互通。</w:t>
      </w:r>
    </w:p>
    <w:p w14:paraId="3B6D97AE">
      <w:pPr>
        <w:pStyle w:val="49"/>
        <w:rPr>
          <w:rFonts w:hint="eastAsia" w:ascii="宋体" w:hAnsi="宋体" w:eastAsia="宋体"/>
          <w:sz w:val="24"/>
          <w:szCs w:val="28"/>
          <w:highlight w:val="none"/>
        </w:rPr>
      </w:pPr>
      <w:r>
        <w:rPr>
          <w:rFonts w:hint="eastAsia" w:ascii="宋体" w:hAnsi="宋体" w:eastAsia="宋体"/>
          <w:sz w:val="24"/>
          <w:szCs w:val="28"/>
          <w:highlight w:val="none"/>
        </w:rPr>
        <w:t>业务逻辑层：业务逻辑层是系统的核心部分，负责处理各种业务逻辑。它包含了多个功能模块，如社工工作处理、社工志愿者管理、残疾人管理等。每个功能模块都进一步细分为多个子功能，如个案服务、督导审签、随访、院内社工管理、院外社工管理、主题设置、人员管理等。这些子功能共同协作，实现了系统的各项业务需求。</w:t>
      </w:r>
    </w:p>
    <w:p w14:paraId="6276904D">
      <w:pPr>
        <w:pStyle w:val="49"/>
        <w:ind w:firstLine="480"/>
        <w:rPr>
          <w:rFonts w:hint="eastAsia" w:ascii="宋体"/>
          <w:szCs w:val="28"/>
          <w:highlight w:val="none"/>
        </w:rPr>
      </w:pPr>
      <w:r>
        <w:rPr>
          <w:rFonts w:hint="eastAsia" w:ascii="宋体" w:hAnsi="宋体" w:eastAsia="宋体"/>
          <w:sz w:val="24"/>
          <w:szCs w:val="28"/>
          <w:highlight w:val="none"/>
        </w:rPr>
        <w:t>表现层：表现层是用户与系统交互的界面，包括社工用户操作界面、志愿者管理操作界面和残疾人管理操作界面。这些界面为用户提供了直观、易用的操作方式，方便用户进行各种业务操作。</w:t>
      </w:r>
    </w:p>
    <w:p w14:paraId="12B6B28F">
      <w:pPr>
        <w:pStyle w:val="3"/>
        <w:numPr>
          <w:ilvl w:val="1"/>
          <w:numId w:val="0"/>
        </w:numPr>
        <w:jc w:val="left"/>
        <w:rPr>
          <w:rFonts w:hint="eastAsia"/>
          <w:sz w:val="30"/>
          <w:szCs w:val="30"/>
          <w:highlight w:val="none"/>
        </w:rPr>
      </w:pPr>
      <w:r>
        <w:rPr>
          <w:rFonts w:hint="eastAsia" w:ascii="宋体" w:eastAsia="宋体" w:hAnsiTheme="majorHAnsi" w:cstheme="majorBidi"/>
          <w:b/>
          <w:bCs/>
          <w:kern w:val="2"/>
          <w:sz w:val="30"/>
          <w:szCs w:val="30"/>
          <w:highlight w:val="none"/>
          <w:lang w:val="en-US" w:eastAsia="zh-CN" w:bidi="ar-SA"/>
        </w:rPr>
        <w:t>4.</w:t>
      </w:r>
      <w:r>
        <w:rPr>
          <w:rFonts w:hint="eastAsia" w:cstheme="majorBidi"/>
          <w:b/>
          <w:bCs/>
          <w:kern w:val="2"/>
          <w:sz w:val="30"/>
          <w:szCs w:val="30"/>
          <w:highlight w:val="none"/>
          <w:lang w:val="en-US" w:eastAsia="zh-CN" w:bidi="ar-SA"/>
        </w:rPr>
        <w:t>2</w:t>
      </w:r>
      <w:r>
        <w:rPr>
          <w:rFonts w:hint="eastAsia"/>
          <w:sz w:val="30"/>
          <w:szCs w:val="30"/>
          <w:highlight w:val="none"/>
        </w:rPr>
        <w:t>总体要求</w:t>
      </w:r>
    </w:p>
    <w:p w14:paraId="5932FAA2">
      <w:pPr>
        <w:bidi w:val="0"/>
        <w:rPr>
          <w:rFonts w:hint="eastAsia"/>
          <w:highlight w:val="none"/>
          <w:lang w:val="en-US" w:eastAsia="zh-CN"/>
        </w:rPr>
      </w:pPr>
      <w:r>
        <w:rPr>
          <w:rFonts w:hint="eastAsia"/>
          <w:highlight w:val="none"/>
          <w:lang w:val="en-US" w:eastAsia="zh-CN"/>
        </w:rPr>
        <w:t>4.2.1、架构要求</w:t>
      </w:r>
    </w:p>
    <w:p w14:paraId="13C60ECB">
      <w:pPr>
        <w:pStyle w:val="49"/>
        <w:ind w:firstLine="480"/>
        <w:jc w:val="both"/>
        <w:rPr>
          <w:rFonts w:hint="eastAsia" w:ascii="宋体"/>
          <w:szCs w:val="28"/>
          <w:highlight w:val="none"/>
        </w:rPr>
      </w:pPr>
      <w:r>
        <w:rPr>
          <w:rFonts w:hint="eastAsia" w:ascii="宋体"/>
          <w:szCs w:val="28"/>
          <w:highlight w:val="none"/>
          <w:lang w:eastAsia="zh-CN"/>
        </w:rPr>
        <w:t>供应商</w:t>
      </w:r>
      <w:r>
        <w:rPr>
          <w:rFonts w:hint="eastAsia" w:ascii="宋体"/>
          <w:szCs w:val="28"/>
          <w:highlight w:val="none"/>
        </w:rPr>
        <w:t>提供的系统平台建设应满足以下要求：</w:t>
      </w:r>
    </w:p>
    <w:p w14:paraId="3032317A">
      <w:pPr>
        <w:pStyle w:val="49"/>
        <w:ind w:firstLine="480"/>
        <w:jc w:val="both"/>
        <w:rPr>
          <w:rFonts w:hint="eastAsia" w:ascii="宋体"/>
          <w:szCs w:val="28"/>
          <w:highlight w:val="none"/>
        </w:rPr>
      </w:pPr>
      <w:r>
        <w:rPr>
          <w:rFonts w:hint="eastAsia" w:ascii="宋体"/>
          <w:szCs w:val="28"/>
          <w:highlight w:val="none"/>
        </w:rPr>
        <w:t>1.系统可用性要求</w:t>
      </w:r>
    </w:p>
    <w:p w14:paraId="10A0E3D9">
      <w:pPr>
        <w:pStyle w:val="49"/>
        <w:ind w:firstLine="480"/>
        <w:jc w:val="both"/>
        <w:rPr>
          <w:rFonts w:hint="eastAsia" w:ascii="宋体"/>
          <w:szCs w:val="28"/>
          <w:highlight w:val="none"/>
        </w:rPr>
      </w:pPr>
      <w:r>
        <w:rPr>
          <w:rFonts w:hint="eastAsia" w:ascii="宋体"/>
          <w:szCs w:val="28"/>
          <w:highlight w:val="none"/>
        </w:rPr>
        <w:t>1）具备负载均衡能力，能够实现系统的热部署。</w:t>
      </w:r>
    </w:p>
    <w:p w14:paraId="0751BD19">
      <w:pPr>
        <w:pStyle w:val="49"/>
        <w:ind w:firstLine="480"/>
        <w:jc w:val="both"/>
        <w:rPr>
          <w:rFonts w:hint="eastAsia" w:ascii="宋体"/>
          <w:szCs w:val="28"/>
          <w:highlight w:val="none"/>
        </w:rPr>
      </w:pPr>
      <w:r>
        <w:rPr>
          <w:rFonts w:hint="eastAsia" w:ascii="宋体"/>
          <w:szCs w:val="28"/>
          <w:highlight w:val="none"/>
        </w:rPr>
        <w:t>2）平台软件产品应具备高可用性特性，以及更为长期的高可用性设计。</w:t>
      </w:r>
    </w:p>
    <w:p w14:paraId="65D02393">
      <w:pPr>
        <w:pStyle w:val="49"/>
        <w:ind w:firstLine="480"/>
        <w:jc w:val="both"/>
        <w:rPr>
          <w:rFonts w:hint="eastAsia" w:ascii="宋体"/>
          <w:szCs w:val="28"/>
          <w:highlight w:val="none"/>
        </w:rPr>
      </w:pPr>
      <w:r>
        <w:rPr>
          <w:rFonts w:hint="eastAsia" w:ascii="宋体"/>
          <w:szCs w:val="28"/>
          <w:highlight w:val="none"/>
        </w:rPr>
        <w:t>3）要求平台软件具备高容错性，支持集群服务和网络负载均衡(NLB)特性、以及事务对等复制等技术，利用软硬件冗余设计来提供容错功能。</w:t>
      </w:r>
    </w:p>
    <w:p w14:paraId="7CF1A0C8">
      <w:pPr>
        <w:pStyle w:val="49"/>
        <w:ind w:firstLine="480"/>
        <w:jc w:val="both"/>
        <w:rPr>
          <w:rFonts w:hint="eastAsia" w:ascii="宋体"/>
          <w:szCs w:val="28"/>
          <w:highlight w:val="none"/>
        </w:rPr>
      </w:pPr>
      <w:r>
        <w:rPr>
          <w:rFonts w:hint="eastAsia" w:ascii="宋体"/>
          <w:szCs w:val="28"/>
          <w:highlight w:val="none"/>
        </w:rPr>
        <w:t>2.具有良好的可扩展性，预留与其他医疗机构的接口，以后可快速接入。中标方应根据甲方要求提供与其他第三方系统的对接支持。</w:t>
      </w:r>
    </w:p>
    <w:p w14:paraId="5CB20573">
      <w:pPr>
        <w:pStyle w:val="49"/>
        <w:ind w:firstLine="480"/>
        <w:jc w:val="both"/>
        <w:rPr>
          <w:rFonts w:hint="eastAsia" w:ascii="宋体"/>
          <w:szCs w:val="28"/>
          <w:highlight w:val="none"/>
        </w:rPr>
      </w:pPr>
      <w:r>
        <w:rPr>
          <w:rFonts w:hint="eastAsia" w:ascii="宋体"/>
          <w:szCs w:val="28"/>
          <w:highlight w:val="none"/>
        </w:rPr>
        <w:t>3.</w:t>
      </w:r>
      <w:r>
        <w:rPr>
          <w:rFonts w:hint="eastAsia" w:ascii="宋体"/>
          <w:szCs w:val="28"/>
          <w:highlight w:val="none"/>
          <w:lang w:eastAsia="zh-CN"/>
        </w:rPr>
        <w:t>供应商</w:t>
      </w:r>
      <w:r>
        <w:rPr>
          <w:rFonts w:hint="eastAsia" w:ascii="宋体"/>
          <w:szCs w:val="28"/>
          <w:highlight w:val="none"/>
        </w:rPr>
        <w:t>需提供针对本项目的系统架构设计图及说明。</w:t>
      </w:r>
    </w:p>
    <w:p w14:paraId="34880317">
      <w:pPr>
        <w:pStyle w:val="49"/>
        <w:ind w:firstLine="480"/>
        <w:jc w:val="both"/>
        <w:rPr>
          <w:rFonts w:hint="eastAsia" w:ascii="宋体"/>
          <w:szCs w:val="28"/>
          <w:highlight w:val="none"/>
        </w:rPr>
      </w:pPr>
      <w:r>
        <w:rPr>
          <w:rFonts w:hint="eastAsia" w:ascii="宋体"/>
          <w:szCs w:val="28"/>
          <w:highlight w:val="none"/>
        </w:rPr>
        <w:t>4.按照医院要求，完成单点登录、多因素认证等适配改造工作。</w:t>
      </w:r>
      <w:r>
        <w:rPr>
          <w:rFonts w:hint="eastAsia" w:ascii="宋体"/>
          <w:bCs/>
          <w:color w:val="000000"/>
          <w:szCs w:val="21"/>
          <w:highlight w:val="none"/>
        </w:rPr>
        <w:t>不限注册用户数及并发数。</w:t>
      </w:r>
    </w:p>
    <w:p w14:paraId="60EB5BED">
      <w:pPr>
        <w:pStyle w:val="49"/>
        <w:ind w:firstLine="480"/>
        <w:jc w:val="both"/>
        <w:rPr>
          <w:rFonts w:hint="eastAsia" w:ascii="宋体"/>
          <w:szCs w:val="28"/>
          <w:highlight w:val="none"/>
        </w:rPr>
      </w:pPr>
      <w:r>
        <w:rPr>
          <w:rFonts w:hint="eastAsia" w:ascii="宋体"/>
          <w:szCs w:val="28"/>
          <w:highlight w:val="none"/>
        </w:rPr>
        <w:t>5.按照医院要求，本次建设的相关系统需满足PC端和移动端应用。</w:t>
      </w:r>
    </w:p>
    <w:p w14:paraId="26C7E5ED">
      <w:pPr>
        <w:pStyle w:val="49"/>
        <w:ind w:firstLine="480"/>
        <w:jc w:val="both"/>
        <w:rPr>
          <w:rFonts w:hint="eastAsia" w:ascii="宋体" w:eastAsia="宋体"/>
          <w:szCs w:val="28"/>
          <w:highlight w:val="none"/>
          <w:lang w:eastAsia="zh-CN"/>
        </w:rPr>
      </w:pPr>
      <w:r>
        <w:rPr>
          <w:rFonts w:hint="eastAsia" w:ascii="宋体"/>
          <w:szCs w:val="28"/>
          <w:highlight w:val="none"/>
          <w:lang w:val="en-US" w:eastAsia="zh-CN"/>
        </w:rPr>
        <w:t>6.</w:t>
      </w:r>
      <w:r>
        <w:rPr>
          <w:rFonts w:hint="eastAsia" w:ascii="宋体"/>
          <w:szCs w:val="28"/>
          <w:highlight w:val="none"/>
        </w:rPr>
        <w:t>按照医院要求，系统应提供定制化用户界面（UI）设计服务，整体风格需符合医院自身定位、业务特点及人文关怀理念</w:t>
      </w:r>
      <w:r>
        <w:rPr>
          <w:rFonts w:hint="eastAsia" w:ascii="宋体"/>
          <w:szCs w:val="28"/>
          <w:highlight w:val="none"/>
          <w:lang w:eastAsia="zh-CN"/>
        </w:rPr>
        <w:t>。</w:t>
      </w:r>
    </w:p>
    <w:p w14:paraId="40327361">
      <w:pPr>
        <w:bidi w:val="0"/>
        <w:rPr>
          <w:rFonts w:hint="eastAsia"/>
          <w:highlight w:val="none"/>
        </w:rPr>
      </w:pPr>
      <w:r>
        <w:rPr>
          <w:rFonts w:hint="eastAsia"/>
          <w:highlight w:val="none"/>
          <w:lang w:val="en-US" w:eastAsia="zh-CN"/>
        </w:rPr>
        <w:t>4.2.2</w:t>
      </w:r>
      <w:r>
        <w:rPr>
          <w:rFonts w:hint="eastAsia"/>
          <w:highlight w:val="none"/>
        </w:rPr>
        <w:t>安全要求</w:t>
      </w:r>
    </w:p>
    <w:p w14:paraId="6A8139BC">
      <w:pPr>
        <w:pStyle w:val="49"/>
        <w:ind w:firstLine="480"/>
        <w:jc w:val="both"/>
        <w:rPr>
          <w:rFonts w:hint="eastAsia" w:ascii="宋体"/>
          <w:szCs w:val="28"/>
          <w:highlight w:val="none"/>
        </w:rPr>
      </w:pPr>
      <w:r>
        <w:rPr>
          <w:rFonts w:hint="eastAsia" w:ascii="宋体"/>
          <w:szCs w:val="28"/>
          <w:highlight w:val="none"/>
        </w:rPr>
        <w:t>根据《中华人民共和国数据安全法》、《中华人民共和国个人信息保护法》相关要求，本项目建设需满足以下安全要求：</w:t>
      </w:r>
    </w:p>
    <w:p w14:paraId="7A90D7E8">
      <w:pPr>
        <w:pStyle w:val="49"/>
        <w:ind w:firstLine="480"/>
        <w:jc w:val="both"/>
        <w:rPr>
          <w:rFonts w:hint="eastAsia" w:ascii="宋体" w:eastAsia="宋体"/>
          <w:szCs w:val="28"/>
          <w:highlight w:val="none"/>
          <w:lang w:eastAsia="zh-CN"/>
        </w:rPr>
      </w:pPr>
      <w:r>
        <w:rPr>
          <w:rFonts w:hint="eastAsia" w:ascii="宋体"/>
          <w:szCs w:val="28"/>
          <w:highlight w:val="none"/>
        </w:rPr>
        <w:t>1.严格执行信息安全和健康医疗数据保密规定，建立完善个人隐私信息保护制度</w:t>
      </w:r>
      <w:r>
        <w:rPr>
          <w:rFonts w:hint="eastAsia" w:ascii="宋体"/>
          <w:szCs w:val="28"/>
          <w:highlight w:val="none"/>
          <w:lang w:eastAsia="zh-CN"/>
        </w:rPr>
        <w:t>。</w:t>
      </w:r>
    </w:p>
    <w:p w14:paraId="21B7CDBA">
      <w:pPr>
        <w:pStyle w:val="49"/>
        <w:ind w:firstLine="480"/>
        <w:jc w:val="both"/>
        <w:rPr>
          <w:rFonts w:hint="eastAsia" w:ascii="宋体" w:eastAsia="宋体"/>
          <w:szCs w:val="28"/>
          <w:highlight w:val="none"/>
          <w:lang w:eastAsia="zh-CN"/>
        </w:rPr>
      </w:pPr>
      <w:r>
        <w:rPr>
          <w:rFonts w:hint="eastAsia" w:ascii="宋体"/>
          <w:szCs w:val="28"/>
          <w:highlight w:val="none"/>
        </w:rPr>
        <w:t>2.满足网络安全等级保护三级等相关要求</w:t>
      </w:r>
      <w:r>
        <w:rPr>
          <w:rFonts w:hint="eastAsia" w:ascii="宋体"/>
          <w:szCs w:val="28"/>
          <w:highlight w:val="none"/>
          <w:lang w:eastAsia="zh-CN"/>
        </w:rPr>
        <w:t>。</w:t>
      </w:r>
    </w:p>
    <w:p w14:paraId="235C2885">
      <w:pPr>
        <w:pStyle w:val="49"/>
        <w:ind w:firstLine="480"/>
        <w:jc w:val="both"/>
        <w:rPr>
          <w:rFonts w:hint="eastAsia" w:ascii="宋体"/>
          <w:szCs w:val="28"/>
          <w:highlight w:val="none"/>
        </w:rPr>
      </w:pPr>
      <w:r>
        <w:rPr>
          <w:rFonts w:hint="eastAsia" w:ascii="宋体"/>
          <w:szCs w:val="28"/>
          <w:highlight w:val="none"/>
        </w:rPr>
        <w:t>3.满足国家对商用密码应用安全的相关要求。</w:t>
      </w:r>
    </w:p>
    <w:p w14:paraId="0030C4A5">
      <w:pPr>
        <w:pStyle w:val="49"/>
        <w:ind w:firstLine="480"/>
        <w:jc w:val="both"/>
        <w:rPr>
          <w:rFonts w:hint="eastAsia" w:ascii="宋体"/>
          <w:szCs w:val="28"/>
          <w:highlight w:val="none"/>
          <w:lang w:val="en-US" w:eastAsia="zh-CN"/>
        </w:rPr>
      </w:pPr>
      <w:r>
        <w:rPr>
          <w:rFonts w:hint="eastAsia" w:ascii="宋体"/>
          <w:szCs w:val="28"/>
          <w:highlight w:val="none"/>
          <w:lang w:val="en-US" w:eastAsia="zh-CN"/>
        </w:rPr>
        <w:t>4.禁用默认账号/弱口令，数据库、中间件、服务器关闭不必要端口与服务，开启日志、审计、告警。</w:t>
      </w:r>
    </w:p>
    <w:p w14:paraId="24BED7F9">
      <w:pPr>
        <w:pStyle w:val="49"/>
        <w:ind w:firstLine="480"/>
        <w:jc w:val="both"/>
        <w:rPr>
          <w:rFonts w:hint="default" w:ascii="宋体"/>
          <w:szCs w:val="28"/>
          <w:highlight w:val="none"/>
          <w:lang w:val="en-US" w:eastAsia="zh-CN"/>
        </w:rPr>
      </w:pPr>
      <w:r>
        <w:rPr>
          <w:rFonts w:hint="eastAsia" w:ascii="宋体"/>
          <w:szCs w:val="28"/>
          <w:highlight w:val="none"/>
          <w:lang w:val="en-US" w:eastAsia="zh-CN"/>
        </w:rPr>
        <w:t>5.明确数据分类分级、隐私保护、日志留存、权限管理、备份、加密等要求。涉及患者隐私、电子病历、检验检查数据的必须符合相关法律法规要求。</w:t>
      </w:r>
    </w:p>
    <w:p w14:paraId="7103B6A4">
      <w:pPr>
        <w:ind w:firstLine="439" w:firstLineChars="183"/>
        <w:jc w:val="both"/>
        <w:rPr>
          <w:rFonts w:hint="default" w:ascii="宋体"/>
          <w:szCs w:val="28"/>
          <w:highlight w:val="none"/>
          <w:lang w:val="en-US" w:eastAsia="zh-CN"/>
        </w:rPr>
      </w:pPr>
      <w:r>
        <w:rPr>
          <w:rFonts w:hint="eastAsia" w:ascii="宋体"/>
          <w:szCs w:val="22"/>
          <w:highlight w:val="none"/>
          <w:lang w:val="en-US" w:eastAsia="zh-CN"/>
        </w:rPr>
        <w:t>4.</w:t>
      </w:r>
      <w:r>
        <w:rPr>
          <w:rFonts w:hint="eastAsia"/>
          <w:szCs w:val="22"/>
          <w:highlight w:val="none"/>
          <w:lang w:val="en-US" w:eastAsia="zh-CN"/>
        </w:rPr>
        <w:t>2</w:t>
      </w:r>
      <w:r>
        <w:rPr>
          <w:rFonts w:hint="eastAsia" w:ascii="宋体"/>
          <w:szCs w:val="22"/>
          <w:highlight w:val="none"/>
          <w:lang w:val="en-US" w:eastAsia="zh-CN"/>
        </w:rPr>
        <w:t>.3</w:t>
      </w:r>
      <w:r>
        <w:rPr>
          <w:rFonts w:hint="default" w:ascii="宋体"/>
          <w:szCs w:val="28"/>
          <w:highlight w:val="none"/>
          <w:lang w:val="en-US" w:eastAsia="zh-CN"/>
        </w:rPr>
        <w:t>测评</w:t>
      </w:r>
      <w:r>
        <w:rPr>
          <w:rFonts w:hint="eastAsia"/>
          <w:szCs w:val="28"/>
          <w:highlight w:val="none"/>
          <w:lang w:val="en-US" w:eastAsia="zh-CN"/>
        </w:rPr>
        <w:t>要求</w:t>
      </w:r>
    </w:p>
    <w:p w14:paraId="1D9FE437">
      <w:pPr>
        <w:pStyle w:val="49"/>
        <w:ind w:firstLine="420" w:firstLineChars="0"/>
        <w:jc w:val="both"/>
        <w:rPr>
          <w:rFonts w:hint="default" w:ascii="宋体"/>
          <w:szCs w:val="28"/>
          <w:highlight w:val="none"/>
          <w:lang w:val="en-US" w:eastAsia="zh-CN"/>
        </w:rPr>
      </w:pPr>
      <w:r>
        <w:rPr>
          <w:rFonts w:hint="default" w:ascii="宋体"/>
          <w:szCs w:val="28"/>
          <w:highlight w:val="none"/>
          <w:lang w:val="en-US" w:eastAsia="zh-CN"/>
        </w:rPr>
        <w:t>1.按照</w:t>
      </w:r>
      <w:r>
        <w:rPr>
          <w:rFonts w:hint="eastAsia" w:ascii="宋体"/>
          <w:szCs w:val="28"/>
          <w:highlight w:val="none"/>
          <w:lang w:val="en-US" w:eastAsia="zh-CN"/>
        </w:rPr>
        <w:t>XC、密码测评、三级等保相关要求完成系统建设。供应商应</w:t>
      </w:r>
      <w:r>
        <w:rPr>
          <w:rFonts w:hint="default" w:ascii="宋体"/>
          <w:szCs w:val="28"/>
          <w:highlight w:val="none"/>
          <w:lang w:val="en-US" w:eastAsia="zh-CN"/>
        </w:rPr>
        <w:t>配合完成相关测评工作，</w:t>
      </w:r>
      <w:r>
        <w:rPr>
          <w:rFonts w:hint="eastAsia" w:ascii="宋体"/>
          <w:szCs w:val="28"/>
          <w:highlight w:val="none"/>
          <w:lang w:val="en-US" w:eastAsia="zh-CN"/>
        </w:rPr>
        <w:t>在项目验收前通过</w:t>
      </w:r>
      <w:r>
        <w:rPr>
          <w:rFonts w:hint="default" w:ascii="宋体"/>
          <w:szCs w:val="28"/>
          <w:highlight w:val="none"/>
          <w:lang w:val="en-US" w:eastAsia="zh-CN"/>
        </w:rPr>
        <w:t>软件测评、安全测评、密码测评。</w:t>
      </w:r>
    </w:p>
    <w:p w14:paraId="0912ACEA">
      <w:pPr>
        <w:pStyle w:val="49"/>
        <w:ind w:firstLine="420" w:firstLineChars="0"/>
        <w:jc w:val="both"/>
        <w:rPr>
          <w:rFonts w:hint="eastAsia" w:ascii="宋体"/>
          <w:szCs w:val="28"/>
          <w:highlight w:val="none"/>
          <w:lang w:val="en-US" w:eastAsia="zh-CN"/>
        </w:rPr>
      </w:pPr>
      <w:r>
        <w:rPr>
          <w:rFonts w:hint="eastAsia" w:ascii="宋体"/>
          <w:szCs w:val="22"/>
          <w:highlight w:val="none"/>
          <w:lang w:val="en-US" w:eastAsia="zh-CN"/>
        </w:rPr>
        <w:t>4.2.4</w:t>
      </w:r>
      <w:r>
        <w:rPr>
          <w:rFonts w:hint="default" w:ascii="宋体"/>
          <w:szCs w:val="28"/>
          <w:highlight w:val="none"/>
          <w:lang w:val="en-US" w:eastAsia="zh-CN"/>
        </w:rPr>
        <w:t>其他</w:t>
      </w:r>
      <w:r>
        <w:rPr>
          <w:rFonts w:hint="eastAsia" w:ascii="宋体"/>
          <w:szCs w:val="28"/>
          <w:highlight w:val="none"/>
          <w:lang w:val="en-US" w:eastAsia="zh-CN"/>
        </w:rPr>
        <w:t>要求</w:t>
      </w:r>
    </w:p>
    <w:p w14:paraId="58C1B4EC">
      <w:pPr>
        <w:pStyle w:val="19"/>
        <w:ind w:firstLine="480"/>
        <w:rPr>
          <w:rFonts w:hint="default" w:ascii="宋体" w:hAnsi="宋体"/>
          <w:highlight w:val="none"/>
          <w:lang w:val="en-US" w:eastAsia="zh-CN"/>
        </w:rPr>
      </w:pPr>
      <w:r>
        <w:rPr>
          <w:rFonts w:hint="eastAsia" w:ascii="宋体" w:hAnsi="宋体"/>
          <w:highlight w:val="none"/>
          <w:lang w:val="en-US" w:eastAsia="zh-CN"/>
        </w:rPr>
        <w:t>1.完成与医院在用系统的对接实现数据互通与业务协同，包括但不限于HIS、LIS、超声放射、EMR、CIS、集成平台、线上服务、自助机、科研平台等</w:t>
      </w:r>
      <w:r>
        <w:rPr>
          <w:rFonts w:hint="eastAsia" w:hAnsi="宋体"/>
          <w:highlight w:val="none"/>
          <w:lang w:val="en-US" w:eastAsia="zh-CN"/>
        </w:rPr>
        <w:t>，如涉及第三方系统接口费用应由本项目供应商支付。投标方应提供系统对接专项方案。</w:t>
      </w:r>
    </w:p>
    <w:p w14:paraId="697FEF18">
      <w:pPr>
        <w:pStyle w:val="49"/>
        <w:ind w:firstLine="420" w:firstLineChars="0"/>
        <w:jc w:val="both"/>
        <w:rPr>
          <w:rFonts w:hint="default" w:ascii="宋体"/>
          <w:szCs w:val="28"/>
          <w:highlight w:val="none"/>
          <w:lang w:val="en-US" w:eastAsia="zh-CN"/>
        </w:rPr>
      </w:pPr>
      <w:r>
        <w:rPr>
          <w:rFonts w:hint="eastAsia" w:ascii="宋体"/>
          <w:szCs w:val="28"/>
          <w:highlight w:val="none"/>
          <w:lang w:val="en-US" w:eastAsia="zh-CN"/>
        </w:rPr>
        <w:t>2</w:t>
      </w:r>
      <w:r>
        <w:rPr>
          <w:rFonts w:hint="default" w:ascii="宋体"/>
          <w:szCs w:val="28"/>
          <w:highlight w:val="none"/>
          <w:lang w:val="en-US" w:eastAsia="zh-CN"/>
        </w:rPr>
        <w:t>.按照要求完成与申康、卫健委、残联等机构的数据对接与上报</w:t>
      </w:r>
      <w:r>
        <w:rPr>
          <w:rFonts w:hint="eastAsia" w:ascii="宋体"/>
          <w:szCs w:val="28"/>
          <w:highlight w:val="none"/>
          <w:lang w:val="en-US" w:eastAsia="zh-CN"/>
        </w:rPr>
        <w:t>（包括数据上链）</w:t>
      </w:r>
      <w:r>
        <w:rPr>
          <w:rFonts w:hint="default" w:ascii="宋体"/>
          <w:szCs w:val="28"/>
          <w:highlight w:val="none"/>
          <w:lang w:val="en-US" w:eastAsia="zh-CN"/>
        </w:rPr>
        <w:t>，完成医院需要的统计报表制作，完成与医院现有系统的门户接入与展示、统一认证，实现无缝衔接，满足良好的用户体验。</w:t>
      </w:r>
    </w:p>
    <w:p w14:paraId="11B2D4F1">
      <w:pPr>
        <w:pStyle w:val="49"/>
        <w:ind w:firstLine="420" w:firstLineChars="0"/>
        <w:jc w:val="both"/>
        <w:rPr>
          <w:rFonts w:hint="default" w:ascii="宋体"/>
          <w:szCs w:val="28"/>
          <w:highlight w:val="none"/>
          <w:lang w:val="en-US" w:eastAsia="zh-CN"/>
        </w:rPr>
      </w:pPr>
      <w:r>
        <w:rPr>
          <w:rFonts w:hint="eastAsia" w:ascii="宋体"/>
          <w:szCs w:val="28"/>
          <w:highlight w:val="none"/>
          <w:lang w:val="en-US" w:eastAsia="zh-CN"/>
        </w:rPr>
        <w:t>3</w:t>
      </w:r>
      <w:r>
        <w:rPr>
          <w:rFonts w:hint="default" w:ascii="宋体"/>
          <w:szCs w:val="28"/>
          <w:highlight w:val="none"/>
          <w:lang w:val="en-US" w:eastAsia="zh-CN"/>
        </w:rPr>
        <w:t>.按照要求完成单点登录、CA签名对接工作。</w:t>
      </w:r>
    </w:p>
    <w:p w14:paraId="4272D221">
      <w:pPr>
        <w:pStyle w:val="49"/>
        <w:ind w:firstLine="420" w:firstLineChars="0"/>
        <w:jc w:val="both"/>
        <w:rPr>
          <w:rFonts w:hint="default" w:ascii="宋体"/>
          <w:szCs w:val="28"/>
          <w:highlight w:val="none"/>
          <w:lang w:val="en-US" w:eastAsia="zh-CN"/>
        </w:rPr>
      </w:pPr>
      <w:r>
        <w:rPr>
          <w:rFonts w:hint="eastAsia" w:ascii="宋体"/>
          <w:szCs w:val="28"/>
          <w:highlight w:val="none"/>
          <w:lang w:val="en-US" w:eastAsia="zh-CN"/>
        </w:rPr>
        <w:t>4</w:t>
      </w:r>
      <w:r>
        <w:rPr>
          <w:rFonts w:hint="default" w:ascii="宋体"/>
          <w:szCs w:val="28"/>
          <w:highlight w:val="none"/>
          <w:lang w:val="en-US" w:eastAsia="zh-CN"/>
        </w:rPr>
        <w:t>.系统建设需符合国家电子病历六级、互联互通成熟度测评五级、智慧服务三级、智慧管理三级和三级甲等康复医院相关评审要求，并配合医院做好评级相关适配改造。</w:t>
      </w:r>
    </w:p>
    <w:p w14:paraId="03F21786">
      <w:pPr>
        <w:pStyle w:val="49"/>
        <w:ind w:firstLine="420" w:firstLineChars="0"/>
        <w:jc w:val="both"/>
        <w:rPr>
          <w:rFonts w:hint="default" w:ascii="宋体"/>
          <w:szCs w:val="28"/>
          <w:highlight w:val="none"/>
          <w:lang w:val="en-US" w:eastAsia="zh-CN"/>
        </w:rPr>
      </w:pPr>
      <w:r>
        <w:rPr>
          <w:rFonts w:hint="eastAsia" w:ascii="宋体"/>
          <w:szCs w:val="28"/>
          <w:highlight w:val="none"/>
          <w:lang w:val="en-US" w:eastAsia="zh-CN"/>
        </w:rPr>
        <w:t>5</w:t>
      </w:r>
      <w:r>
        <w:rPr>
          <w:rFonts w:hint="default" w:ascii="宋体"/>
          <w:szCs w:val="28"/>
          <w:highlight w:val="none"/>
          <w:lang w:val="en-US" w:eastAsia="zh-CN"/>
        </w:rPr>
        <w:t>.提供信息系统的安全配置文档、应急方案、备份方案等。</w:t>
      </w:r>
    </w:p>
    <w:p w14:paraId="2A1320AB">
      <w:pPr>
        <w:pStyle w:val="3"/>
        <w:numPr>
          <w:ilvl w:val="1"/>
          <w:numId w:val="0"/>
        </w:numPr>
        <w:rPr>
          <w:rFonts w:hint="eastAsia"/>
          <w:sz w:val="30"/>
          <w:szCs w:val="30"/>
          <w:highlight w:val="none"/>
        </w:rPr>
      </w:pPr>
      <w:r>
        <w:rPr>
          <w:rFonts w:hint="eastAsia" w:ascii="宋体" w:eastAsia="宋体" w:hAnsiTheme="majorHAnsi" w:cstheme="majorBidi"/>
          <w:b/>
          <w:bCs/>
          <w:kern w:val="2"/>
          <w:sz w:val="30"/>
          <w:szCs w:val="30"/>
          <w:highlight w:val="none"/>
          <w:lang w:val="en-US" w:eastAsia="zh-CN" w:bidi="ar-SA"/>
        </w:rPr>
        <w:t>4.</w:t>
      </w:r>
      <w:r>
        <w:rPr>
          <w:rFonts w:hint="eastAsia" w:cstheme="majorBidi"/>
          <w:b/>
          <w:bCs/>
          <w:kern w:val="2"/>
          <w:sz w:val="30"/>
          <w:szCs w:val="30"/>
          <w:highlight w:val="none"/>
          <w:lang w:val="en-US" w:eastAsia="zh-CN" w:bidi="ar-SA"/>
        </w:rPr>
        <w:t>3</w:t>
      </w:r>
      <w:r>
        <w:rPr>
          <w:rFonts w:hint="eastAsia"/>
          <w:sz w:val="30"/>
          <w:szCs w:val="30"/>
          <w:highlight w:val="none"/>
        </w:rPr>
        <w:t>应用软件系统功能要求</w:t>
      </w:r>
    </w:p>
    <w:p w14:paraId="75902689">
      <w:pPr>
        <w:bidi w:val="0"/>
        <w:rPr>
          <w:b/>
          <w:bCs/>
          <w:highlight w:val="none"/>
        </w:rPr>
      </w:pPr>
      <w:r>
        <w:rPr>
          <w:b/>
          <w:bCs/>
          <w:highlight w:val="none"/>
          <w:lang w:val="en-US" w:eastAsia="zh-CN"/>
        </w:rPr>
        <w:t>4.</w:t>
      </w:r>
      <w:r>
        <w:rPr>
          <w:rFonts w:hint="eastAsia"/>
          <w:b/>
          <w:bCs/>
          <w:highlight w:val="none"/>
          <w:lang w:val="en-US" w:eastAsia="zh-CN"/>
        </w:rPr>
        <w:t>3</w:t>
      </w:r>
      <w:r>
        <w:rPr>
          <w:b/>
          <w:bCs/>
          <w:highlight w:val="none"/>
          <w:lang w:val="en-US" w:eastAsia="zh-CN"/>
        </w:rPr>
        <w:t>.1</w:t>
      </w:r>
      <w:r>
        <w:rPr>
          <w:rFonts w:hint="eastAsia"/>
          <w:b/>
          <w:bCs/>
          <w:highlight w:val="none"/>
          <w:lang w:eastAsia="zh-CN"/>
        </w:rPr>
        <w:t>残疾人临床社工服务管理模块</w:t>
      </w:r>
    </w:p>
    <w:p w14:paraId="1214F8F5">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highlight w:val="none"/>
        </w:rPr>
        <w:t>个案首页</w:t>
      </w:r>
    </w:p>
    <w:p w14:paraId="499F85B4">
      <w:pPr>
        <w:ind w:firstLine="480"/>
        <w:rPr>
          <w:rFonts w:hint="eastAsia"/>
          <w:highlight w:val="none"/>
        </w:rPr>
      </w:pPr>
      <w:r>
        <w:rPr>
          <w:rFonts w:hint="eastAsia"/>
          <w:highlight w:val="none"/>
        </w:rPr>
        <w:t>系统支持对个案患者进行临床社工视角的数据整合、数据汇总和指标展示，个案首页提供快速进行个案服务链接功能。</w:t>
      </w:r>
    </w:p>
    <w:p w14:paraId="07D914CC">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2</w:t>
      </w:r>
      <w:r>
        <w:rPr>
          <w:rFonts w:hint="eastAsia"/>
          <w:highlight w:val="none"/>
        </w:rPr>
        <w:t>转介开案</w:t>
      </w:r>
    </w:p>
    <w:p w14:paraId="2DFF97BF">
      <w:pPr>
        <w:numPr>
          <w:ilvl w:val="0"/>
          <w:numId w:val="3"/>
        </w:numPr>
        <w:tabs>
          <w:tab w:val="left" w:pos="-375"/>
        </w:tabs>
        <w:ind w:firstLine="480"/>
        <w:rPr>
          <w:rFonts w:hint="eastAsia" w:hAnsi="宋体" w:cs="仿宋"/>
          <w:szCs w:val="24"/>
          <w:highlight w:val="none"/>
        </w:rPr>
      </w:pPr>
      <w:r>
        <w:rPr>
          <w:rFonts w:hint="eastAsia" w:hAnsi="宋体" w:cs="仿宋"/>
          <w:szCs w:val="24"/>
          <w:highlight w:val="none"/>
        </w:rPr>
        <w:t>系统支持由医生、护士在其信息系统中发现符合条件的患者，并进行初步的判断通过系统接口形式将其推送至临床社工信息系统，业务系统支持直接调用社工系统页面，通过接口传输用户信息和患者信息，临床社工端可以接收到医生、护士</w:t>
      </w:r>
      <w:r>
        <w:rPr>
          <w:rFonts w:hint="eastAsia" w:hAnsi="宋体" w:cs="仿宋"/>
          <w:szCs w:val="24"/>
          <w:highlight w:val="none"/>
          <w:lang w:val="en-US" w:eastAsia="zh-CN"/>
        </w:rPr>
        <w:t>在</w:t>
      </w:r>
      <w:r>
        <w:rPr>
          <w:rFonts w:hint="eastAsia" w:hAnsi="宋体" w:cs="仿宋"/>
          <w:szCs w:val="24"/>
          <w:highlight w:val="none"/>
        </w:rPr>
        <w:t>个案转介中填写的个案信息。</w:t>
      </w:r>
    </w:p>
    <w:p w14:paraId="416D58B9">
      <w:pPr>
        <w:numPr>
          <w:ilvl w:val="0"/>
          <w:numId w:val="3"/>
        </w:numPr>
        <w:tabs>
          <w:tab w:val="left" w:pos="-375"/>
        </w:tabs>
        <w:ind w:firstLine="480"/>
        <w:rPr>
          <w:rFonts w:hint="eastAsia" w:hAnsi="宋体" w:cs="仿宋"/>
          <w:szCs w:val="24"/>
          <w:highlight w:val="none"/>
        </w:rPr>
      </w:pPr>
      <w:r>
        <w:rPr>
          <w:rFonts w:hint="eastAsia" w:hAnsi="宋体" w:cs="仿宋"/>
          <w:szCs w:val="24"/>
          <w:highlight w:val="none"/>
        </w:rPr>
        <w:t>系统支持转介患者在患者视图中给出标记，社工可选择转介患者进行开案评估，首次评估单模板分为成人、儿童两种，并根据评估结果选择是否开案。</w:t>
      </w:r>
    </w:p>
    <w:p w14:paraId="1AF17EFC">
      <w:pPr>
        <w:numPr>
          <w:ilvl w:val="0"/>
          <w:numId w:val="3"/>
        </w:numPr>
        <w:tabs>
          <w:tab w:val="left" w:pos="-375"/>
        </w:tabs>
        <w:ind w:firstLine="480"/>
        <w:rPr>
          <w:rFonts w:hint="eastAsia" w:hAnsi="宋体" w:cs="仿宋"/>
          <w:szCs w:val="24"/>
          <w:highlight w:val="none"/>
        </w:rPr>
      </w:pPr>
      <w:r>
        <w:rPr>
          <w:rFonts w:hint="eastAsia" w:hAnsi="宋体" w:cs="仿宋"/>
          <w:szCs w:val="24"/>
          <w:highlight w:val="none"/>
        </w:rPr>
        <w:t>系统支持开案患者默认由评估社工跟进，社工开案时默认首次干预时间为七天后，社工可进行手动调整，确认后生成工作日历。</w:t>
      </w:r>
    </w:p>
    <w:p w14:paraId="3DA151DA">
      <w:pPr>
        <w:numPr>
          <w:ilvl w:val="0"/>
          <w:numId w:val="3"/>
        </w:numPr>
        <w:tabs>
          <w:tab w:val="left" w:pos="-375"/>
        </w:tabs>
        <w:ind w:firstLine="480"/>
        <w:rPr>
          <w:rFonts w:hint="eastAsia" w:ascii="仿宋" w:hAnsi="仿宋" w:eastAsia="仿宋" w:cs="仿宋"/>
          <w:sz w:val="28"/>
          <w:szCs w:val="28"/>
          <w:highlight w:val="none"/>
        </w:rPr>
      </w:pPr>
      <w:r>
        <w:rPr>
          <w:rFonts w:hint="eastAsia" w:hAnsi="宋体" w:cs="仿宋"/>
          <w:szCs w:val="24"/>
          <w:highlight w:val="none"/>
        </w:rPr>
        <w:t>系统支持个案默认跟进周期为28天，从首次评估开始计算，开案时结束时间默认为28天以后，社工可进行手动调整。</w:t>
      </w:r>
    </w:p>
    <w:p w14:paraId="70CDFCE5">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3</w:t>
      </w:r>
      <w:r>
        <w:rPr>
          <w:rFonts w:hint="eastAsia"/>
          <w:highlight w:val="none"/>
        </w:rPr>
        <w:t>主动开案</w:t>
      </w:r>
    </w:p>
    <w:p w14:paraId="296BE231">
      <w:pPr>
        <w:numPr>
          <w:ilvl w:val="0"/>
          <w:numId w:val="4"/>
        </w:numPr>
        <w:ind w:firstLine="480"/>
        <w:rPr>
          <w:rFonts w:hint="eastAsia" w:hAnsi="宋体" w:cs="仿宋"/>
          <w:szCs w:val="24"/>
          <w:highlight w:val="none"/>
        </w:rPr>
      </w:pPr>
      <w:r>
        <w:rPr>
          <w:rFonts w:hint="eastAsia" w:hAnsi="宋体" w:cs="仿宋"/>
          <w:szCs w:val="24"/>
          <w:highlight w:val="none"/>
        </w:rPr>
        <w:t>系统支持针对首次入区患者提供标记，临床社工的临床查房中可以选取患者进行开案评估，首次评估单模板分为成人、儿童两种，并根据评估结果选择是否开案。</w:t>
      </w:r>
    </w:p>
    <w:p w14:paraId="2AD1352A">
      <w:pPr>
        <w:numPr>
          <w:ilvl w:val="0"/>
          <w:numId w:val="4"/>
        </w:numPr>
        <w:ind w:firstLine="480"/>
        <w:rPr>
          <w:rFonts w:hint="eastAsia" w:hAnsi="宋体" w:cs="仿宋"/>
          <w:szCs w:val="24"/>
          <w:highlight w:val="none"/>
        </w:rPr>
      </w:pPr>
      <w:r>
        <w:rPr>
          <w:rFonts w:hint="eastAsia" w:hAnsi="宋体" w:cs="仿宋"/>
          <w:szCs w:val="24"/>
          <w:highlight w:val="none"/>
        </w:rPr>
        <w:t>系统支持社工主动开案患者默认由社工跟进，社工开案时默认首次干预时间为七天后，社工可进行手动调整，确认后生成工作日历。</w:t>
      </w:r>
    </w:p>
    <w:p w14:paraId="36F14B0C">
      <w:pPr>
        <w:numPr>
          <w:ilvl w:val="0"/>
          <w:numId w:val="4"/>
        </w:numPr>
        <w:ind w:firstLine="480"/>
        <w:rPr>
          <w:rFonts w:hint="eastAsia" w:hAnsi="宋体" w:cs="仿宋"/>
          <w:szCs w:val="24"/>
          <w:highlight w:val="none"/>
        </w:rPr>
      </w:pPr>
      <w:r>
        <w:rPr>
          <w:rFonts w:hint="eastAsia" w:hAnsi="宋体" w:cs="仿宋"/>
          <w:szCs w:val="24"/>
          <w:highlight w:val="none"/>
        </w:rPr>
        <w:t>系统支持个案默认跟进周期为28天，从首次评估开始计算，开案时结束时间默认为28天以后，社工可进行手动调整。</w:t>
      </w:r>
    </w:p>
    <w:p w14:paraId="61D8ED70">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4</w:t>
      </w:r>
      <w:r>
        <w:rPr>
          <w:rFonts w:hint="eastAsia"/>
          <w:highlight w:val="none"/>
        </w:rPr>
        <w:t>量表评估</w:t>
      </w:r>
    </w:p>
    <w:p w14:paraId="5A19D8F9">
      <w:pPr>
        <w:numPr>
          <w:ilvl w:val="0"/>
          <w:numId w:val="5"/>
        </w:numPr>
        <w:ind w:firstLine="480"/>
        <w:rPr>
          <w:rFonts w:hint="eastAsia" w:hAnsi="宋体" w:cs="仿宋"/>
          <w:szCs w:val="24"/>
          <w:highlight w:val="none"/>
        </w:rPr>
      </w:pPr>
      <w:r>
        <w:rPr>
          <w:rFonts w:hint="eastAsia" w:hAnsi="宋体" w:cs="仿宋"/>
          <w:szCs w:val="24"/>
          <w:highlight w:val="none"/>
        </w:rPr>
        <w:t>系统支持满足医院所需要的评估量表，具体评估量表可以根据医院实际需求进行适度调整。</w:t>
      </w:r>
    </w:p>
    <w:p w14:paraId="2CA5A8E4">
      <w:pPr>
        <w:numPr>
          <w:ilvl w:val="0"/>
          <w:numId w:val="5"/>
        </w:numPr>
        <w:ind w:firstLine="480"/>
        <w:rPr>
          <w:rFonts w:hint="eastAsia" w:hAnsi="宋体" w:cs="仿宋"/>
          <w:szCs w:val="24"/>
          <w:highlight w:val="none"/>
        </w:rPr>
      </w:pPr>
      <w:r>
        <w:rPr>
          <w:rFonts w:hint="eastAsia" w:hAnsi="宋体" w:cs="仿宋"/>
          <w:szCs w:val="24"/>
          <w:highlight w:val="none"/>
        </w:rPr>
        <w:t>系统支持量表可以集成嵌入在个案服务表单的特定节点，并支持计算出的量表结果自动填充到个案服务表单中。</w:t>
      </w:r>
    </w:p>
    <w:p w14:paraId="6A4D03E6">
      <w:pPr>
        <w:numPr>
          <w:ilvl w:val="0"/>
          <w:numId w:val="5"/>
        </w:numPr>
        <w:ind w:firstLine="480"/>
        <w:rPr>
          <w:rFonts w:hint="eastAsia" w:hAnsi="宋体" w:cs="仿宋"/>
          <w:szCs w:val="24"/>
          <w:highlight w:val="none"/>
        </w:rPr>
      </w:pPr>
      <w:r>
        <w:rPr>
          <w:rFonts w:hint="eastAsia" w:hAnsi="宋体" w:cs="仿宋"/>
          <w:szCs w:val="24"/>
          <w:highlight w:val="none"/>
        </w:rPr>
        <w:t>系统支持同一个患者多次评估单个量表，对于数值型的量表结果支持折线图时间轴横向查看调阅。</w:t>
      </w:r>
    </w:p>
    <w:p w14:paraId="279B7CED">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5</w:t>
      </w:r>
      <w:r>
        <w:rPr>
          <w:rFonts w:hint="eastAsia"/>
          <w:highlight w:val="none"/>
        </w:rPr>
        <w:t>个案服务</w:t>
      </w:r>
    </w:p>
    <w:p w14:paraId="131458EE">
      <w:pPr>
        <w:numPr>
          <w:ilvl w:val="0"/>
          <w:numId w:val="6"/>
        </w:numPr>
        <w:ind w:firstLine="480"/>
        <w:rPr>
          <w:rFonts w:hint="eastAsia" w:hAnsi="宋体" w:cs="仿宋"/>
          <w:szCs w:val="24"/>
          <w:highlight w:val="none"/>
        </w:rPr>
      </w:pPr>
      <w:r>
        <w:rPr>
          <w:rFonts w:hint="eastAsia" w:hAnsi="宋体" w:cs="仿宋"/>
          <w:szCs w:val="24"/>
          <w:highlight w:val="none"/>
        </w:rPr>
        <w:t>系统支持创建《个案记录表》表单，《个案记录表》支持后台数据库结构化保存，支持其他表单引用当前表单数据，同时系统提供表单修改、删除、打印、导出等功能。</w:t>
      </w:r>
    </w:p>
    <w:p w14:paraId="0EA46B38">
      <w:pPr>
        <w:numPr>
          <w:ilvl w:val="0"/>
          <w:numId w:val="6"/>
        </w:numPr>
        <w:ind w:firstLine="480"/>
        <w:rPr>
          <w:rFonts w:hint="eastAsia" w:hAnsi="宋体" w:cs="仿宋"/>
          <w:szCs w:val="24"/>
          <w:highlight w:val="none"/>
        </w:rPr>
      </w:pPr>
      <w:r>
        <w:rPr>
          <w:rFonts w:hint="eastAsia" w:hAnsi="宋体" w:cs="仿宋"/>
          <w:szCs w:val="24"/>
          <w:highlight w:val="none"/>
        </w:rPr>
        <w:t>系统支持个案全区所有社工都可查看，但社工只能修改自己针对个案进行的评估/记录/服务等。</w:t>
      </w:r>
    </w:p>
    <w:p w14:paraId="54B20521">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6</w:t>
      </w:r>
      <w:r>
        <w:rPr>
          <w:rFonts w:hint="eastAsia"/>
          <w:highlight w:val="none"/>
        </w:rPr>
        <w:t>督导审签</w:t>
      </w:r>
    </w:p>
    <w:p w14:paraId="4C7BAF42">
      <w:pPr>
        <w:ind w:firstLine="480"/>
        <w:rPr>
          <w:rFonts w:hint="eastAsia" w:hAnsi="宋体" w:cs="仿宋"/>
          <w:sz w:val="28"/>
          <w:szCs w:val="28"/>
          <w:highlight w:val="none"/>
        </w:rPr>
      </w:pPr>
      <w:r>
        <w:rPr>
          <w:rFonts w:hint="eastAsia" w:hAnsi="宋体" w:cs="仿宋"/>
          <w:szCs w:val="24"/>
          <w:highlight w:val="none"/>
        </w:rPr>
        <w:t>系统支持接案评估，个案服务，阶段评估，结案评估等表单在编辑时进行督导申请表单创建。督导员角色可以在系统中接收查看督导申请单，并支持督导员创建《督导记录单》表单。《督导记录单》进入个案数据，并支持后台数据库结构化保存，支持其他表单引用当前表单数据，同时系统提供表单修改、删除、打印、导出等功能。督导员角色支持发起督导，同时选择多个个案进行督导，记录督导记录的单。督导员角色新增任务后可在工作日历中体现。</w:t>
      </w:r>
    </w:p>
    <w:p w14:paraId="3FFF62E0">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7</w:t>
      </w:r>
      <w:r>
        <w:rPr>
          <w:rFonts w:hint="eastAsia"/>
          <w:highlight w:val="none"/>
        </w:rPr>
        <w:t>阶段评估</w:t>
      </w:r>
    </w:p>
    <w:p w14:paraId="4380F46E">
      <w:pPr>
        <w:pStyle w:val="37"/>
        <w:numPr>
          <w:ilvl w:val="0"/>
          <w:numId w:val="7"/>
        </w:numPr>
        <w:ind w:left="0" w:firstLine="480"/>
        <w:rPr>
          <w:rFonts w:hint="eastAsia" w:hAnsi="宋体" w:cs="仿宋"/>
          <w:szCs w:val="24"/>
          <w:highlight w:val="none"/>
        </w:rPr>
      </w:pPr>
      <w:r>
        <w:rPr>
          <w:rFonts w:hint="eastAsia" w:hAnsi="宋体" w:cs="仿宋"/>
          <w:szCs w:val="24"/>
          <w:highlight w:val="none"/>
        </w:rPr>
        <w:t>系统支持创建《阶段性评估表》表单，《阶段性评估表》支持后台数据库结构化保存，并自动计算总服务次数，总服务时长。</w:t>
      </w:r>
    </w:p>
    <w:p w14:paraId="452DFD9F">
      <w:pPr>
        <w:pStyle w:val="37"/>
        <w:numPr>
          <w:ilvl w:val="0"/>
          <w:numId w:val="7"/>
        </w:numPr>
        <w:ind w:left="0" w:firstLine="480"/>
        <w:rPr>
          <w:rFonts w:hint="eastAsia" w:hAnsi="宋体" w:cs="仿宋"/>
          <w:szCs w:val="24"/>
          <w:highlight w:val="none"/>
        </w:rPr>
      </w:pPr>
      <w:r>
        <w:rPr>
          <w:rFonts w:hint="eastAsia" w:hAnsi="宋体" w:cs="仿宋"/>
          <w:szCs w:val="24"/>
          <w:highlight w:val="none"/>
        </w:rPr>
        <w:t>系统支持其他表单引用当前表单数据，同时系统提供表单修改、删除、打印、导出等功能。</w:t>
      </w:r>
    </w:p>
    <w:p w14:paraId="1067988D">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8</w:t>
      </w:r>
      <w:r>
        <w:rPr>
          <w:rFonts w:hint="eastAsia"/>
          <w:highlight w:val="none"/>
        </w:rPr>
        <w:t>结案评估</w:t>
      </w:r>
    </w:p>
    <w:p w14:paraId="71542041">
      <w:pPr>
        <w:pStyle w:val="37"/>
        <w:numPr>
          <w:ilvl w:val="0"/>
          <w:numId w:val="8"/>
        </w:numPr>
        <w:ind w:left="0" w:firstLine="480"/>
        <w:rPr>
          <w:rFonts w:hint="eastAsia" w:hAnsi="宋体" w:cs="仿宋"/>
          <w:szCs w:val="24"/>
          <w:highlight w:val="none"/>
        </w:rPr>
      </w:pPr>
      <w:r>
        <w:rPr>
          <w:rFonts w:hint="eastAsia" w:hAnsi="宋体" w:cs="仿宋"/>
          <w:szCs w:val="24"/>
          <w:highlight w:val="none"/>
        </w:rPr>
        <w:t>系统支持创建《结案评估表》表单，《结案评估表》支持后台数据库结构化保存，并自动计算总服务次数，总服务时长。</w:t>
      </w:r>
    </w:p>
    <w:p w14:paraId="43663EF2">
      <w:pPr>
        <w:pStyle w:val="37"/>
        <w:numPr>
          <w:ilvl w:val="0"/>
          <w:numId w:val="8"/>
        </w:numPr>
        <w:ind w:left="0" w:firstLine="480"/>
        <w:rPr>
          <w:rFonts w:hint="eastAsia" w:hAnsi="宋体" w:cs="仿宋"/>
          <w:szCs w:val="24"/>
          <w:highlight w:val="none"/>
        </w:rPr>
      </w:pPr>
      <w:r>
        <w:rPr>
          <w:rFonts w:hint="eastAsia" w:hAnsi="宋体" w:cs="仿宋"/>
          <w:szCs w:val="24"/>
          <w:highlight w:val="none"/>
        </w:rPr>
        <w:t>系统支持其他表单引用当前表单数据，同时系统提供表单修改、删除、打印、导出等功能。</w:t>
      </w:r>
    </w:p>
    <w:p w14:paraId="4489A1F4">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9</w:t>
      </w:r>
      <w:r>
        <w:rPr>
          <w:rFonts w:hint="eastAsia"/>
          <w:highlight w:val="none"/>
        </w:rPr>
        <w:t>历史转介记录</w:t>
      </w:r>
    </w:p>
    <w:p w14:paraId="6F16F7E3">
      <w:pPr>
        <w:pStyle w:val="37"/>
        <w:numPr>
          <w:ilvl w:val="0"/>
          <w:numId w:val="9"/>
        </w:numPr>
        <w:ind w:left="0" w:firstLine="480"/>
        <w:rPr>
          <w:rFonts w:hint="eastAsia" w:hAnsi="宋体" w:cs="仿宋"/>
          <w:szCs w:val="24"/>
          <w:highlight w:val="none"/>
        </w:rPr>
      </w:pPr>
      <w:r>
        <w:rPr>
          <w:rFonts w:hint="eastAsia" w:hAnsi="宋体" w:cs="仿宋"/>
          <w:szCs w:val="24"/>
          <w:highlight w:val="none"/>
        </w:rPr>
        <w:t>系统支持展示当前个案的历史转介记录，并且用户可以选择切换历史转介记录，选择后自动跳转到上次的转介详情中，对于已经结案的个案历史记录用户只能调阅查看，不开放修改删除功能。</w:t>
      </w:r>
    </w:p>
    <w:p w14:paraId="5F30AF08">
      <w:pPr>
        <w:pStyle w:val="37"/>
        <w:numPr>
          <w:ilvl w:val="0"/>
          <w:numId w:val="9"/>
        </w:numPr>
        <w:ind w:left="0" w:firstLine="480"/>
        <w:rPr>
          <w:rFonts w:hint="eastAsia" w:hAnsi="宋体" w:cs="仿宋"/>
          <w:szCs w:val="24"/>
          <w:highlight w:val="none"/>
        </w:rPr>
      </w:pPr>
      <w:r>
        <w:rPr>
          <w:rFonts w:hint="eastAsia" w:hAnsi="宋体" w:cs="仿宋"/>
          <w:szCs w:val="24"/>
          <w:highlight w:val="none"/>
        </w:rPr>
        <w:t>系统支持同一个患者多次开案干预的记录可在个案界面进行查看，包括就诊记录（科室/就诊时间）/干预周期（开案/结案）/首次评估内容/个案服务/量表评估/阶段评估/参与小组活动记录。点击参与小组活动记录直接跳转至小组活动记录。</w:t>
      </w:r>
    </w:p>
    <w:p w14:paraId="69B7B193">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0</w:t>
      </w:r>
      <w:r>
        <w:rPr>
          <w:rFonts w:hint="eastAsia"/>
          <w:highlight w:val="none"/>
        </w:rPr>
        <w:t>随访</w:t>
      </w:r>
    </w:p>
    <w:p w14:paraId="47245547">
      <w:pPr>
        <w:pStyle w:val="37"/>
        <w:numPr>
          <w:ilvl w:val="0"/>
          <w:numId w:val="10"/>
        </w:numPr>
        <w:ind w:left="0" w:firstLine="480"/>
        <w:rPr>
          <w:rFonts w:hint="eastAsia" w:hAnsi="宋体" w:cs="仿宋"/>
          <w:szCs w:val="24"/>
          <w:highlight w:val="none"/>
        </w:rPr>
      </w:pPr>
      <w:r>
        <w:rPr>
          <w:rFonts w:hint="eastAsia" w:hAnsi="宋体" w:cs="仿宋"/>
          <w:szCs w:val="24"/>
          <w:highlight w:val="none"/>
        </w:rPr>
        <w:t>系统支持创建《随访记录表》表单，《随访评估表》支持后台数据结构化保存，随访内容支持记录是否返岗并在统计分析中生成返岗率统计报表，随访次数和时长单独统计，不计入总服务次数和时长。同时系统提供表单修改、删除、打印、导出等功能。</w:t>
      </w:r>
    </w:p>
    <w:p w14:paraId="57E86ED1">
      <w:pPr>
        <w:pStyle w:val="37"/>
        <w:numPr>
          <w:ilvl w:val="0"/>
          <w:numId w:val="10"/>
        </w:numPr>
        <w:ind w:left="0" w:firstLine="480"/>
        <w:rPr>
          <w:rFonts w:hint="eastAsia" w:hAnsi="宋体" w:cs="仿宋"/>
          <w:szCs w:val="24"/>
          <w:highlight w:val="none"/>
        </w:rPr>
      </w:pPr>
      <w:r>
        <w:rPr>
          <w:rFonts w:hint="eastAsia" w:hAnsi="宋体" w:cs="仿宋"/>
          <w:szCs w:val="24"/>
          <w:highlight w:val="none"/>
        </w:rPr>
        <w:t>系统支持根据患者就诊类型/科室提取患者并生成随访患者名单。</w:t>
      </w:r>
    </w:p>
    <w:p w14:paraId="45C254E9">
      <w:pPr>
        <w:pStyle w:val="37"/>
        <w:numPr>
          <w:ilvl w:val="0"/>
          <w:numId w:val="10"/>
        </w:numPr>
        <w:ind w:left="0" w:firstLine="480"/>
        <w:rPr>
          <w:rFonts w:hint="eastAsia" w:hAnsi="宋体" w:cs="仿宋"/>
          <w:szCs w:val="24"/>
          <w:highlight w:val="none"/>
        </w:rPr>
      </w:pPr>
      <w:r>
        <w:rPr>
          <w:rFonts w:hint="eastAsia" w:hAnsi="宋体" w:cs="仿宋"/>
          <w:szCs w:val="24"/>
          <w:highlight w:val="none"/>
        </w:rPr>
        <w:t>构建标准化接口，支持AI随访模块及大模型能力的接入与扩展。</w:t>
      </w:r>
    </w:p>
    <w:p w14:paraId="0AF02298">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1</w:t>
      </w:r>
      <w:r>
        <w:rPr>
          <w:rFonts w:hint="eastAsia"/>
          <w:highlight w:val="none"/>
        </w:rPr>
        <w:t>临床日程</w:t>
      </w:r>
    </w:p>
    <w:p w14:paraId="396BCC74">
      <w:pPr>
        <w:ind w:firstLine="480"/>
        <w:rPr>
          <w:rFonts w:hint="eastAsia" w:hAnsi="宋体" w:cs="仿宋"/>
          <w:szCs w:val="24"/>
          <w:highlight w:val="none"/>
        </w:rPr>
      </w:pPr>
      <w:r>
        <w:rPr>
          <w:rFonts w:hint="eastAsia" w:hAnsi="宋体" w:cs="仿宋"/>
          <w:szCs w:val="24"/>
          <w:highlight w:val="none"/>
        </w:rPr>
        <w:t>系统支持在用户个案服务后，填写选择下次个案服务的预期时间。系统根据预期时间自动生成临床社工的临床日程。可以通过临床日常中的个案预告信息链接到对应的个案首页。</w:t>
      </w:r>
    </w:p>
    <w:p w14:paraId="778F508F">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2</w:t>
      </w:r>
      <w:r>
        <w:rPr>
          <w:rFonts w:hint="eastAsia"/>
          <w:highlight w:val="none"/>
        </w:rPr>
        <w:t>跟进提醒</w:t>
      </w:r>
    </w:p>
    <w:p w14:paraId="501276A8">
      <w:pPr>
        <w:ind w:firstLine="480"/>
        <w:rPr>
          <w:rFonts w:hint="eastAsia"/>
          <w:highlight w:val="none"/>
        </w:rPr>
      </w:pPr>
      <w:r>
        <w:rPr>
          <w:rFonts w:hint="eastAsia"/>
          <w:highlight w:val="none"/>
        </w:rPr>
        <w:t>系统支持当前用户的待办事项轮播推送展示。各种类型和形式的业务通知与提醒，包括转介提醒（有无）、接案评估提醒（时间）、服务更新提醒（时间）、住院患者提醒（状态）。消息内容根据不同的用户，不同的角色权限展示。点击代办事项可以快速链接到对应的事项。</w:t>
      </w:r>
    </w:p>
    <w:p w14:paraId="6F5EFCD8">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3</w:t>
      </w:r>
      <w:r>
        <w:rPr>
          <w:rFonts w:hint="eastAsia"/>
          <w:highlight w:val="none"/>
        </w:rPr>
        <w:t>重点个案自动推送</w:t>
      </w:r>
    </w:p>
    <w:p w14:paraId="2A16E74D">
      <w:pPr>
        <w:ind w:firstLine="480"/>
        <w:rPr>
          <w:rFonts w:hint="eastAsia"/>
          <w:highlight w:val="none"/>
        </w:rPr>
      </w:pPr>
      <w:r>
        <w:rPr>
          <w:rFonts w:hint="eastAsia"/>
          <w:highlight w:val="none"/>
        </w:rPr>
        <w:t>系统支持符合以下条件的门急诊和住院病人，自动进入“待分配”列表包括评估结果、诊断代码等，例如：护理评估有高风险（医院护理系统结构化评估结果支持的前提下）虐待、自杀/自伤、弃童、疑似被动吸毒、无人陪护等；疾病因素有以下代码：自我伤害相关诊断代码（医院临床系统结构化诊断值支持的前提下）。</w:t>
      </w:r>
    </w:p>
    <w:p w14:paraId="4BB44020">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w:t>
      </w:r>
      <w:r>
        <w:rPr>
          <w:rFonts w:hint="eastAsia"/>
          <w:color w:val="000000" w:themeColor="text1"/>
          <w:szCs w:val="28"/>
          <w:highlight w:val="none"/>
          <w:lang w:val="en-US" w:eastAsia="zh-CN"/>
          <w14:textFill>
            <w14:solidFill>
              <w14:schemeClr w14:val="tx1"/>
            </w14:solidFill>
          </w14:textFill>
        </w:rPr>
        <w:t>4</w:t>
      </w:r>
      <w:r>
        <w:rPr>
          <w:rFonts w:hint="eastAsia"/>
          <w:highlight w:val="none"/>
        </w:rPr>
        <w:t>系统角色权限管理</w:t>
      </w:r>
    </w:p>
    <w:p w14:paraId="5D0CEC95">
      <w:pPr>
        <w:ind w:firstLine="480"/>
        <w:rPr>
          <w:rFonts w:hint="eastAsia"/>
          <w:highlight w:val="none"/>
        </w:rPr>
      </w:pPr>
      <w:r>
        <w:rPr>
          <w:rFonts w:hint="eastAsia"/>
          <w:highlight w:val="none"/>
        </w:rPr>
        <w:t>系统支持主任、督导、临床统筹、临床社工、实习社工等系统角色。并且每个角色控制特定的系统数据浏览编辑审签权限。</w:t>
      </w:r>
    </w:p>
    <w:p w14:paraId="53DCEB9E">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5</w:t>
      </w:r>
      <w:r>
        <w:rPr>
          <w:rFonts w:hint="eastAsia"/>
          <w:highlight w:val="none"/>
        </w:rPr>
        <w:t>统计分析</w:t>
      </w:r>
    </w:p>
    <w:p w14:paraId="5D47DDEB">
      <w:pPr>
        <w:ind w:firstLine="480"/>
        <w:rPr>
          <w:rFonts w:hint="eastAsia"/>
          <w:highlight w:val="none"/>
        </w:rPr>
      </w:pPr>
      <w:r>
        <w:rPr>
          <w:rFonts w:hint="eastAsia"/>
          <w:highlight w:val="none"/>
        </w:rPr>
        <w:t>系统支持各种维度的个案服务数据分析统计。系统支持满足临床社工工作量统计分析，满足科室内绩效管控。</w:t>
      </w:r>
    </w:p>
    <w:p w14:paraId="29197230">
      <w:pPr>
        <w:bidi w:val="0"/>
        <w:rPr>
          <w:rFonts w:hint="eastAsia"/>
          <w:highlight w:val="none"/>
        </w:rPr>
      </w:pPr>
      <w:r>
        <w:rPr>
          <w:rFonts w:hint="eastAsia" w:ascii="宋体"/>
          <w:color w:val="000000" w:themeColor="text1"/>
          <w:szCs w:val="28"/>
          <w:highlight w:val="none"/>
          <w14:textFill>
            <w14:solidFill>
              <w14:schemeClr w14:val="tx1"/>
            </w14:solidFill>
          </w14:textFill>
        </w:rPr>
        <w:t>4.</w:t>
      </w:r>
      <w:r>
        <w:rPr>
          <w:rFonts w:hint="eastAsia"/>
          <w:color w:val="000000" w:themeColor="text1"/>
          <w:szCs w:val="28"/>
          <w:highlight w:val="none"/>
          <w:lang w:val="en-US" w:eastAsia="zh-CN"/>
          <w14:textFill>
            <w14:solidFill>
              <w14:schemeClr w14:val="tx1"/>
            </w14:solidFill>
          </w14:textFill>
        </w:rPr>
        <w:t>3</w:t>
      </w:r>
      <w:r>
        <w:rPr>
          <w:rFonts w:hint="eastAsia" w:ascii="宋体"/>
          <w:color w:val="000000" w:themeColor="text1"/>
          <w:szCs w:val="28"/>
          <w:highlight w:val="none"/>
          <w14:textFill>
            <w14:solidFill>
              <w14:schemeClr w14:val="tx1"/>
            </w14:solidFill>
          </w14:textFill>
        </w:rPr>
        <w:t>.1.1</w:t>
      </w:r>
      <w:r>
        <w:rPr>
          <w:rFonts w:hint="eastAsia"/>
          <w:color w:val="000000" w:themeColor="text1"/>
          <w:szCs w:val="28"/>
          <w:highlight w:val="none"/>
          <w:lang w:val="en-US" w:eastAsia="zh-CN"/>
          <w14:textFill>
            <w14:solidFill>
              <w14:schemeClr w14:val="tx1"/>
            </w14:solidFill>
          </w14:textFill>
        </w:rPr>
        <w:t>6</w:t>
      </w:r>
      <w:r>
        <w:rPr>
          <w:rFonts w:hint="eastAsia"/>
          <w:highlight w:val="none"/>
        </w:rPr>
        <w:t>小组工作</w:t>
      </w:r>
    </w:p>
    <w:p w14:paraId="503E71E7">
      <w:pPr>
        <w:ind w:firstLine="480"/>
        <w:rPr>
          <w:rFonts w:hint="eastAsia"/>
          <w:highlight w:val="none"/>
        </w:rPr>
      </w:pPr>
      <w:r>
        <w:rPr>
          <w:rFonts w:hint="eastAsia"/>
          <w:highlight w:val="none"/>
        </w:rPr>
        <w:t>系统支持上传小组计划书、每一节次小组记录、过程与结果评估、嵌入小组前侧后侧评估量表，选取添加组员（包括患者、患者家属、医务人员三种类型）。</w:t>
      </w:r>
    </w:p>
    <w:p w14:paraId="0483647B">
      <w:pPr>
        <w:bidi w:val="0"/>
        <w:rPr>
          <w:rFonts w:hint="eastAsia" w:eastAsia="宋体"/>
          <w:b/>
          <w:bCs/>
          <w:highlight w:val="none"/>
          <w:lang w:eastAsia="zh-CN"/>
        </w:rPr>
      </w:pPr>
      <w:bookmarkStart w:id="0" w:name="_Toc11506"/>
      <w:bookmarkStart w:id="1" w:name="_Toc28294"/>
      <w:bookmarkStart w:id="2" w:name="_Toc5032"/>
      <w:r>
        <w:rPr>
          <w:rFonts w:hint="eastAsia"/>
          <w:b/>
          <w:bCs/>
          <w:highlight w:val="none"/>
          <w:lang w:val="en-US" w:eastAsia="zh-CN"/>
        </w:rPr>
        <w:t>4.3.2</w:t>
      </w:r>
      <w:bookmarkEnd w:id="0"/>
      <w:bookmarkEnd w:id="1"/>
      <w:bookmarkEnd w:id="2"/>
      <w:r>
        <w:rPr>
          <w:rFonts w:hint="eastAsia"/>
          <w:b/>
          <w:bCs/>
          <w:highlight w:val="none"/>
          <w:lang w:eastAsia="zh-CN"/>
        </w:rPr>
        <w:t>助残志愿者管理模块</w:t>
      </w:r>
    </w:p>
    <w:p w14:paraId="095D2446">
      <w:pPr>
        <w:bidi w:val="0"/>
        <w:rPr>
          <w:rFonts w:hint="eastAsia"/>
          <w:highlight w:val="none"/>
        </w:rPr>
      </w:pPr>
      <w:r>
        <w:rPr>
          <w:rFonts w:hint="eastAsia"/>
          <w:highlight w:val="none"/>
          <w:lang w:val="en-US" w:eastAsia="zh-CN"/>
        </w:rPr>
        <w:t>4.3.2.1</w:t>
      </w:r>
      <w:r>
        <w:rPr>
          <w:rFonts w:hint="eastAsia"/>
          <w:highlight w:val="none"/>
        </w:rPr>
        <w:t>院内</w:t>
      </w:r>
      <w:r>
        <w:rPr>
          <w:rFonts w:hint="eastAsia"/>
          <w:highlight w:val="none"/>
          <w:lang w:val="en-US" w:eastAsia="zh-CN"/>
        </w:rPr>
        <w:t>志愿者</w:t>
      </w:r>
      <w:r>
        <w:rPr>
          <w:rFonts w:hint="eastAsia"/>
          <w:highlight w:val="none"/>
        </w:rPr>
        <w:t>管理</w:t>
      </w:r>
    </w:p>
    <w:p w14:paraId="55455251">
      <w:pPr>
        <w:widowControl w:val="0"/>
        <w:numPr>
          <w:ilvl w:val="0"/>
          <w:numId w:val="11"/>
        </w:numPr>
        <w:ind w:firstLine="480"/>
        <w:rPr>
          <w:rFonts w:hint="eastAsia" w:hAnsi="宋体" w:cs="仿宋"/>
          <w:szCs w:val="24"/>
          <w:highlight w:val="none"/>
        </w:rPr>
      </w:pPr>
      <w:r>
        <w:rPr>
          <w:rFonts w:hint="eastAsia" w:hAnsi="宋体" w:cs="仿宋"/>
          <w:szCs w:val="24"/>
          <w:highlight w:val="none"/>
        </w:rPr>
        <w:t>系统支持院内志愿者身份信息管理：满足院内医务人员志愿者服务身份信息管理，包括个人信息。</w:t>
      </w:r>
    </w:p>
    <w:p w14:paraId="5F73D2CD">
      <w:pPr>
        <w:widowControl w:val="0"/>
        <w:numPr>
          <w:ilvl w:val="0"/>
          <w:numId w:val="11"/>
        </w:numPr>
        <w:ind w:firstLine="480"/>
        <w:rPr>
          <w:rFonts w:hint="eastAsia" w:hAnsi="宋体" w:cs="仿宋"/>
          <w:szCs w:val="24"/>
          <w:highlight w:val="none"/>
        </w:rPr>
      </w:pPr>
      <w:r>
        <w:rPr>
          <w:rFonts w:hint="eastAsia" w:hAnsi="宋体" w:cs="仿宋"/>
          <w:szCs w:val="24"/>
          <w:highlight w:val="none"/>
        </w:rPr>
        <w:t xml:space="preserve">系统支持医院根据实际情况进行志愿者人员的新增、修改和删除。 </w:t>
      </w:r>
    </w:p>
    <w:p w14:paraId="796AF975">
      <w:pPr>
        <w:widowControl w:val="0"/>
        <w:numPr>
          <w:ilvl w:val="0"/>
          <w:numId w:val="11"/>
        </w:numPr>
        <w:ind w:firstLine="480"/>
        <w:rPr>
          <w:rFonts w:hint="eastAsia" w:hAnsi="宋体" w:cs="仿宋"/>
          <w:szCs w:val="24"/>
          <w:highlight w:val="none"/>
        </w:rPr>
      </w:pPr>
      <w:r>
        <w:rPr>
          <w:rFonts w:hint="eastAsia" w:hAnsi="宋体" w:cs="仿宋"/>
          <w:szCs w:val="24"/>
          <w:highlight w:val="none"/>
        </w:rPr>
        <w:t>系统支持医务人员个人基本信息录入：包括姓名、工号、志愿者编号、身份证号、党、团员身份、科室等。</w:t>
      </w:r>
    </w:p>
    <w:p w14:paraId="17F0E86E">
      <w:pPr>
        <w:bidi w:val="0"/>
        <w:rPr>
          <w:rFonts w:hint="eastAsia"/>
          <w:highlight w:val="none"/>
        </w:rPr>
      </w:pPr>
      <w:r>
        <w:rPr>
          <w:rFonts w:hint="eastAsia"/>
          <w:highlight w:val="none"/>
          <w:lang w:val="en-US" w:eastAsia="zh-CN"/>
        </w:rPr>
        <w:t>4.3.2.2</w:t>
      </w:r>
      <w:r>
        <w:rPr>
          <w:rFonts w:hint="eastAsia"/>
          <w:highlight w:val="none"/>
        </w:rPr>
        <w:t>院外</w:t>
      </w:r>
      <w:r>
        <w:rPr>
          <w:rFonts w:hint="eastAsia"/>
          <w:highlight w:val="none"/>
          <w:lang w:val="en-US" w:eastAsia="zh-CN"/>
        </w:rPr>
        <w:t>志愿者</w:t>
      </w:r>
      <w:r>
        <w:rPr>
          <w:rFonts w:hint="eastAsia"/>
          <w:highlight w:val="none"/>
        </w:rPr>
        <w:t>管理</w:t>
      </w:r>
    </w:p>
    <w:p w14:paraId="10117F3C">
      <w:pPr>
        <w:widowControl w:val="0"/>
        <w:numPr>
          <w:ilvl w:val="0"/>
          <w:numId w:val="12"/>
        </w:numPr>
        <w:ind w:firstLine="480"/>
        <w:rPr>
          <w:rFonts w:hint="eastAsia" w:hAnsi="宋体" w:cs="仿宋"/>
          <w:szCs w:val="24"/>
          <w:highlight w:val="none"/>
        </w:rPr>
      </w:pPr>
      <w:r>
        <w:rPr>
          <w:rFonts w:hint="eastAsia" w:hAnsi="宋体" w:cs="仿宋"/>
          <w:szCs w:val="24"/>
          <w:highlight w:val="none"/>
        </w:rPr>
        <w:t>系统支持院外志愿者身份信息管理：满足院外志愿者身份信息管理，包括个人信息和志愿者信息。</w:t>
      </w:r>
    </w:p>
    <w:p w14:paraId="0A4AC7EA">
      <w:pPr>
        <w:widowControl w:val="0"/>
        <w:numPr>
          <w:ilvl w:val="0"/>
          <w:numId w:val="12"/>
        </w:numPr>
        <w:ind w:firstLine="480"/>
        <w:rPr>
          <w:rFonts w:hint="eastAsia" w:hAnsi="宋体" w:cs="仿宋"/>
          <w:szCs w:val="24"/>
          <w:highlight w:val="none"/>
        </w:rPr>
      </w:pPr>
      <w:r>
        <w:rPr>
          <w:rFonts w:hint="eastAsia" w:hAnsi="宋体" w:cs="仿宋"/>
          <w:szCs w:val="24"/>
          <w:highlight w:val="none"/>
        </w:rPr>
        <w:t>系统支持手动添加和人员名单导入。</w:t>
      </w:r>
    </w:p>
    <w:p w14:paraId="71E40870">
      <w:pPr>
        <w:bidi w:val="0"/>
        <w:rPr>
          <w:rFonts w:hint="eastAsia"/>
          <w:highlight w:val="none"/>
        </w:rPr>
      </w:pPr>
      <w:r>
        <w:rPr>
          <w:rFonts w:hint="eastAsia"/>
          <w:highlight w:val="none"/>
          <w:lang w:val="en-US" w:eastAsia="zh-CN"/>
        </w:rPr>
        <w:t>4.3.2.3志愿者</w:t>
      </w:r>
      <w:r>
        <w:rPr>
          <w:rFonts w:hint="eastAsia"/>
          <w:highlight w:val="none"/>
        </w:rPr>
        <w:t>活动管理</w:t>
      </w:r>
    </w:p>
    <w:p w14:paraId="5424A5E0">
      <w:pPr>
        <w:widowControl w:val="0"/>
        <w:numPr>
          <w:ilvl w:val="0"/>
          <w:numId w:val="13"/>
        </w:numPr>
        <w:ind w:firstLine="480"/>
        <w:rPr>
          <w:rFonts w:hint="eastAsia" w:hAnsi="宋体" w:cs="仿宋"/>
          <w:szCs w:val="24"/>
          <w:highlight w:val="none"/>
        </w:rPr>
      </w:pPr>
      <w:r>
        <w:rPr>
          <w:rFonts w:hint="eastAsia" w:hAnsi="宋体" w:cs="仿宋"/>
          <w:szCs w:val="24"/>
          <w:highlight w:val="none"/>
        </w:rPr>
        <w:t>系统支持医院多层级项目管理，支持医院根据实际需求建立一级主题和下设的二级主题，支持在主题下新增活动项目，包括活动名称、活动负责人、活动时长、活动参与人</w:t>
      </w:r>
      <w:r>
        <w:rPr>
          <w:rFonts w:hint="eastAsia" w:hAnsi="宋体" w:cs="仿宋"/>
          <w:szCs w:val="24"/>
          <w:highlight w:val="none"/>
          <w:lang w:eastAsia="zh-CN"/>
        </w:rPr>
        <w:t>、</w:t>
      </w:r>
      <w:r>
        <w:rPr>
          <w:rFonts w:hint="eastAsia" w:ascii="宋体" w:hAnsi="宋体" w:eastAsia="宋体" w:cs="仿宋"/>
          <w:kern w:val="2"/>
          <w:sz w:val="24"/>
          <w:szCs w:val="24"/>
          <w:highlight w:val="none"/>
          <w:lang w:val="en-US" w:eastAsia="zh-CN" w:bidi="ar-SA"/>
        </w:rPr>
        <w:t>服务人次统计</w:t>
      </w:r>
      <w:r>
        <w:rPr>
          <w:rFonts w:hint="eastAsia" w:hAnsi="宋体" w:cs="仿宋"/>
          <w:szCs w:val="24"/>
          <w:highlight w:val="none"/>
        </w:rPr>
        <w:t>。</w:t>
      </w:r>
    </w:p>
    <w:p w14:paraId="1CFC5F83">
      <w:pPr>
        <w:widowControl w:val="0"/>
        <w:numPr>
          <w:ilvl w:val="0"/>
          <w:numId w:val="13"/>
        </w:numPr>
        <w:ind w:firstLine="480"/>
        <w:rPr>
          <w:rFonts w:hint="eastAsia" w:hAnsi="宋体" w:cs="仿宋"/>
          <w:szCs w:val="24"/>
          <w:highlight w:val="none"/>
        </w:rPr>
      </w:pPr>
      <w:r>
        <w:rPr>
          <w:rFonts w:hint="eastAsia" w:hAnsi="宋体" w:cs="仿宋"/>
          <w:szCs w:val="24"/>
          <w:highlight w:val="none"/>
        </w:rPr>
        <w:t>系统支持维护活动项目：支持根据医院实际情况维护活动项目，进行活动项目的新增、修改和删除。</w:t>
      </w:r>
    </w:p>
    <w:p w14:paraId="18E8F5F7">
      <w:pPr>
        <w:widowControl w:val="0"/>
        <w:numPr>
          <w:ilvl w:val="0"/>
          <w:numId w:val="13"/>
        </w:numPr>
        <w:ind w:firstLine="480"/>
        <w:rPr>
          <w:rFonts w:hint="eastAsia" w:hAnsi="宋体" w:cs="仿宋"/>
          <w:szCs w:val="24"/>
          <w:highlight w:val="none"/>
        </w:rPr>
      </w:pPr>
      <w:r>
        <w:rPr>
          <w:rFonts w:hint="eastAsia" w:hAnsi="宋体" w:cs="仿宋"/>
          <w:szCs w:val="24"/>
          <w:highlight w:val="none"/>
        </w:rPr>
        <w:t>系统支持管理活动项目：支持管理活动项目名称、活动记录填写信息、必填项目、创建时间、停用时间、创建人等。</w:t>
      </w:r>
    </w:p>
    <w:p w14:paraId="3C30C23F">
      <w:pPr>
        <w:bidi w:val="0"/>
        <w:rPr>
          <w:rFonts w:hint="eastAsia"/>
          <w:highlight w:val="none"/>
        </w:rPr>
      </w:pPr>
      <w:r>
        <w:rPr>
          <w:rFonts w:hint="eastAsia"/>
          <w:highlight w:val="none"/>
          <w:lang w:val="en-US" w:eastAsia="zh-CN"/>
        </w:rPr>
        <w:t>4.3.2.4</w:t>
      </w:r>
      <w:r>
        <w:rPr>
          <w:rFonts w:hint="eastAsia"/>
          <w:highlight w:val="none"/>
        </w:rPr>
        <w:t>志愿者服务活动记录</w:t>
      </w:r>
    </w:p>
    <w:p w14:paraId="501E0392">
      <w:pPr>
        <w:widowControl w:val="0"/>
        <w:numPr>
          <w:ilvl w:val="0"/>
          <w:numId w:val="14"/>
        </w:numPr>
        <w:ind w:firstLine="480"/>
        <w:rPr>
          <w:rFonts w:hint="eastAsia" w:hAnsi="宋体" w:cs="仿宋"/>
          <w:szCs w:val="24"/>
          <w:highlight w:val="none"/>
        </w:rPr>
      </w:pPr>
      <w:r>
        <w:rPr>
          <w:rFonts w:hint="eastAsia" w:hAnsi="宋体" w:cs="仿宋"/>
          <w:szCs w:val="24"/>
          <w:highlight w:val="none"/>
        </w:rPr>
        <w:t>系统支持志愿者移动端扫码登记参与活动信息，确认和修改个人身份，填写活动内容、评价、感想，上传活动照片等。</w:t>
      </w:r>
    </w:p>
    <w:p w14:paraId="417ABCD6">
      <w:pPr>
        <w:widowControl w:val="0"/>
        <w:numPr>
          <w:ilvl w:val="0"/>
          <w:numId w:val="14"/>
        </w:numPr>
        <w:ind w:firstLine="480"/>
        <w:rPr>
          <w:rFonts w:hint="eastAsia" w:hAnsi="宋体" w:cs="仿宋"/>
          <w:szCs w:val="24"/>
          <w:highlight w:val="none"/>
        </w:rPr>
      </w:pPr>
      <w:r>
        <w:rPr>
          <w:rFonts w:hint="eastAsia" w:hAnsi="宋体" w:cs="仿宋"/>
          <w:szCs w:val="24"/>
          <w:highlight w:val="none"/>
        </w:rPr>
        <w:t>系统支持自动关联人员管理：根据扫码人员填写的工号，自动关联人员管理，带入个人信息。</w:t>
      </w:r>
    </w:p>
    <w:p w14:paraId="1CAB37CF">
      <w:pPr>
        <w:widowControl w:val="0"/>
        <w:numPr>
          <w:ilvl w:val="0"/>
          <w:numId w:val="14"/>
        </w:numPr>
        <w:ind w:firstLine="480"/>
        <w:rPr>
          <w:rFonts w:hint="eastAsia" w:hAnsi="宋体" w:cs="仿宋"/>
          <w:szCs w:val="24"/>
          <w:highlight w:val="none"/>
        </w:rPr>
      </w:pPr>
      <w:r>
        <w:rPr>
          <w:rFonts w:hint="eastAsia" w:hAnsi="宋体" w:cs="仿宋"/>
          <w:szCs w:val="24"/>
          <w:highlight w:val="none"/>
        </w:rPr>
        <w:t>系统支持根据活动项目类别，加载记录填写内容和必填项目。</w:t>
      </w:r>
    </w:p>
    <w:p w14:paraId="6F88C069">
      <w:pPr>
        <w:widowControl w:val="0"/>
        <w:numPr>
          <w:ilvl w:val="0"/>
          <w:numId w:val="14"/>
        </w:numPr>
        <w:ind w:firstLine="480"/>
        <w:rPr>
          <w:rFonts w:hint="eastAsia" w:hAnsi="宋体" w:cs="仿宋"/>
          <w:szCs w:val="24"/>
          <w:highlight w:val="none"/>
        </w:rPr>
      </w:pPr>
      <w:r>
        <w:rPr>
          <w:rFonts w:hint="eastAsia" w:hAnsi="宋体" w:cs="仿宋"/>
          <w:szCs w:val="24"/>
          <w:highlight w:val="none"/>
        </w:rPr>
        <w:t>系统支持填写活动记录的非必填项。</w:t>
      </w:r>
    </w:p>
    <w:p w14:paraId="6C4A6F88">
      <w:pPr>
        <w:bidi w:val="0"/>
        <w:rPr>
          <w:rFonts w:hint="eastAsia"/>
          <w:highlight w:val="none"/>
        </w:rPr>
      </w:pPr>
      <w:r>
        <w:rPr>
          <w:rFonts w:hint="eastAsia"/>
          <w:highlight w:val="none"/>
          <w:lang w:val="en-US" w:eastAsia="zh-CN"/>
        </w:rPr>
        <w:t>4.3.2.5</w:t>
      </w:r>
      <w:r>
        <w:rPr>
          <w:rFonts w:hint="eastAsia"/>
          <w:highlight w:val="none"/>
        </w:rPr>
        <w:t>上报管理</w:t>
      </w:r>
    </w:p>
    <w:p w14:paraId="7EA5AA1D">
      <w:pPr>
        <w:widowControl w:val="0"/>
        <w:numPr>
          <w:ilvl w:val="0"/>
          <w:numId w:val="15"/>
        </w:numPr>
        <w:ind w:firstLine="480"/>
        <w:rPr>
          <w:rFonts w:hint="eastAsia" w:hAnsi="宋体" w:cs="仿宋"/>
          <w:szCs w:val="24"/>
          <w:highlight w:val="none"/>
        </w:rPr>
      </w:pPr>
      <w:r>
        <w:rPr>
          <w:rFonts w:hint="eastAsia" w:hAnsi="宋体" w:cs="仿宋"/>
          <w:szCs w:val="24"/>
          <w:highlight w:val="none"/>
        </w:rPr>
        <w:t>系统支持数据统计分析：支持根据活动维度、个人维度、全院维度汇总分析数据。</w:t>
      </w:r>
    </w:p>
    <w:p w14:paraId="347C2886">
      <w:pPr>
        <w:widowControl w:val="0"/>
        <w:numPr>
          <w:ilvl w:val="0"/>
          <w:numId w:val="15"/>
        </w:numPr>
        <w:ind w:firstLine="480"/>
        <w:rPr>
          <w:rFonts w:hint="eastAsia" w:hAnsi="宋体" w:cs="仿宋"/>
          <w:szCs w:val="24"/>
          <w:highlight w:val="none"/>
        </w:rPr>
      </w:pPr>
      <w:r>
        <w:rPr>
          <w:rFonts w:hint="eastAsia" w:hAnsi="宋体" w:cs="仿宋"/>
          <w:szCs w:val="24"/>
          <w:highlight w:val="none"/>
        </w:rPr>
        <w:t>系统支持报表生成：支持生成统计分析报表</w:t>
      </w:r>
      <w:r>
        <w:rPr>
          <w:rFonts w:hint="eastAsia" w:hAnsi="宋体" w:cs="仿宋"/>
          <w:szCs w:val="24"/>
          <w:highlight w:val="none"/>
          <w:lang w:eastAsia="zh-CN"/>
        </w:rPr>
        <w:t>：可以生成六大主题活动的活动次数、志愿者人次、服务人次、服务时长（每次小活动的服务时长为活动时长乘以志愿者人数）的报表</w:t>
      </w:r>
      <w:r>
        <w:rPr>
          <w:rFonts w:hint="eastAsia" w:hAnsi="宋体" w:cs="仿宋"/>
          <w:szCs w:val="24"/>
          <w:highlight w:val="none"/>
        </w:rPr>
        <w:t>。</w:t>
      </w:r>
    </w:p>
    <w:p w14:paraId="1A2B7E9D">
      <w:pPr>
        <w:numPr>
          <w:ilvl w:val="0"/>
          <w:numId w:val="15"/>
        </w:numPr>
        <w:ind w:left="0" w:leftChars="0" w:firstLine="480" w:firstLineChars="200"/>
        <w:rPr>
          <w:rFonts w:hint="eastAsia" w:hAnsi="宋体" w:cs="仿宋"/>
          <w:szCs w:val="24"/>
          <w:highlight w:val="none"/>
        </w:rPr>
      </w:pPr>
      <w:r>
        <w:rPr>
          <w:rFonts w:hint="eastAsia" w:hAnsi="宋体" w:cs="仿宋"/>
          <w:szCs w:val="24"/>
          <w:highlight w:val="none"/>
        </w:rPr>
        <w:t>系统支持上报至上海志愿者网站：支持将志愿者参与活动时长上报至上海志愿者网站。</w:t>
      </w:r>
    </w:p>
    <w:p w14:paraId="3A04DC2E">
      <w:pPr>
        <w:numPr>
          <w:ilvl w:val="0"/>
          <w:numId w:val="15"/>
        </w:numPr>
        <w:bidi w:val="0"/>
        <w:rPr>
          <w:rFonts w:hint="eastAsia"/>
          <w:highlight w:val="none"/>
          <w:lang w:val="en-US" w:eastAsia="zh-CN"/>
        </w:rPr>
      </w:pPr>
      <w:r>
        <w:rPr>
          <w:rFonts w:hint="eastAsia"/>
          <w:highlight w:val="none"/>
          <w:lang w:val="en-US" w:eastAsia="zh-CN"/>
        </w:rPr>
        <w:t>上报至中国红十字会网站：支持将志愿者参与活动时长上报至中国红十字会网站</w:t>
      </w:r>
    </w:p>
    <w:p w14:paraId="2EE190B9">
      <w:pPr>
        <w:bidi w:val="0"/>
        <w:rPr>
          <w:rFonts w:hint="eastAsia" w:eastAsia="宋体"/>
          <w:b/>
          <w:bCs/>
          <w:highlight w:val="none"/>
          <w:lang w:eastAsia="zh-CN"/>
        </w:rPr>
      </w:pPr>
      <w:bookmarkStart w:id="3" w:name="_Toc3822"/>
      <w:bookmarkStart w:id="4" w:name="_Toc4031"/>
      <w:bookmarkStart w:id="5" w:name="_Toc26418"/>
      <w:r>
        <w:rPr>
          <w:rFonts w:hint="eastAsia"/>
          <w:b/>
          <w:bCs/>
          <w:highlight w:val="none"/>
          <w:lang w:val="en-US" w:eastAsia="zh-CN"/>
        </w:rPr>
        <w:t>4.3.3</w:t>
      </w:r>
      <w:r>
        <w:rPr>
          <w:b/>
          <w:bCs/>
          <w:color w:val="000000"/>
          <w:sz w:val="24"/>
          <w:szCs w:val="24"/>
          <w:highlight w:val="none"/>
        </w:rPr>
        <w:t>残疾人社会化康复服务管理</w:t>
      </w:r>
      <w:bookmarkEnd w:id="3"/>
      <w:bookmarkEnd w:id="4"/>
      <w:bookmarkEnd w:id="5"/>
      <w:r>
        <w:rPr>
          <w:rFonts w:hint="eastAsia"/>
          <w:b/>
          <w:bCs/>
          <w:highlight w:val="none"/>
          <w:lang w:val="en-US" w:eastAsia="zh-CN"/>
        </w:rPr>
        <w:t>模块</w:t>
      </w:r>
    </w:p>
    <w:p w14:paraId="1D8FC81E">
      <w:pPr>
        <w:bidi w:val="0"/>
        <w:rPr>
          <w:rFonts w:hint="eastAsia"/>
          <w:highlight w:val="none"/>
        </w:rPr>
      </w:pPr>
      <w:r>
        <w:rPr>
          <w:rFonts w:hint="eastAsia"/>
          <w:highlight w:val="none"/>
          <w:lang w:val="en-US" w:eastAsia="zh-CN"/>
        </w:rPr>
        <w:t>4.3.3.1</w:t>
      </w:r>
      <w:r>
        <w:rPr>
          <w:rFonts w:hint="eastAsia"/>
          <w:highlight w:val="none"/>
        </w:rPr>
        <w:t>主题设置</w:t>
      </w:r>
    </w:p>
    <w:p w14:paraId="2FFCDA4D">
      <w:pPr>
        <w:widowControl w:val="0"/>
        <w:numPr>
          <w:ilvl w:val="0"/>
          <w:numId w:val="16"/>
        </w:numPr>
        <w:ind w:firstLine="480"/>
        <w:rPr>
          <w:rFonts w:hint="eastAsia" w:hAnsi="宋体" w:cs="仿宋"/>
          <w:szCs w:val="24"/>
          <w:highlight w:val="none"/>
        </w:rPr>
      </w:pPr>
      <w:r>
        <w:rPr>
          <w:rFonts w:hint="eastAsia" w:hAnsi="宋体" w:cs="仿宋"/>
          <w:szCs w:val="24"/>
          <w:highlight w:val="none"/>
        </w:rPr>
        <w:t>系统支持医院对服务主题进行管理，包括编辑主题名称、主题床位等。支持功能：</w:t>
      </w:r>
    </w:p>
    <w:p w14:paraId="124F86AE">
      <w:pPr>
        <w:widowControl w:val="0"/>
        <w:numPr>
          <w:ilvl w:val="0"/>
          <w:numId w:val="16"/>
        </w:numPr>
        <w:ind w:firstLine="480"/>
        <w:rPr>
          <w:rFonts w:hint="eastAsia" w:hAnsi="宋体" w:cs="仿宋"/>
          <w:szCs w:val="24"/>
          <w:highlight w:val="none"/>
        </w:rPr>
      </w:pPr>
      <w:r>
        <w:rPr>
          <w:rFonts w:hint="eastAsia" w:hAnsi="宋体" w:cs="仿宋"/>
          <w:szCs w:val="24"/>
          <w:highlight w:val="none"/>
        </w:rPr>
        <w:t>系统支持医院对服务主题进行新增、删除、修改操作。</w:t>
      </w:r>
    </w:p>
    <w:p w14:paraId="0FEE785D">
      <w:pPr>
        <w:widowControl w:val="0"/>
        <w:numPr>
          <w:ilvl w:val="0"/>
          <w:numId w:val="16"/>
        </w:numPr>
        <w:ind w:firstLine="480"/>
        <w:rPr>
          <w:rFonts w:hint="eastAsia" w:hAnsi="宋体" w:cs="仿宋"/>
          <w:szCs w:val="24"/>
          <w:highlight w:val="none"/>
        </w:rPr>
      </w:pPr>
      <w:r>
        <w:rPr>
          <w:rFonts w:hint="eastAsia" w:hAnsi="宋体" w:cs="仿宋"/>
          <w:szCs w:val="24"/>
          <w:highlight w:val="none"/>
        </w:rPr>
        <w:t>系统支持床位管理：支持对主题下设床位进行管理，包括新增、修改、删除。</w:t>
      </w:r>
    </w:p>
    <w:p w14:paraId="4A8C2F46">
      <w:pPr>
        <w:bidi w:val="0"/>
        <w:rPr>
          <w:rFonts w:hint="eastAsia"/>
          <w:highlight w:val="none"/>
        </w:rPr>
      </w:pPr>
      <w:r>
        <w:rPr>
          <w:rFonts w:hint="eastAsia"/>
          <w:highlight w:val="none"/>
          <w:lang w:val="en-US" w:eastAsia="zh-CN"/>
        </w:rPr>
        <w:t>4.3.3.2</w:t>
      </w:r>
      <w:r>
        <w:rPr>
          <w:rFonts w:hint="eastAsia"/>
          <w:highlight w:val="none"/>
        </w:rPr>
        <w:t>收费项目管理</w:t>
      </w:r>
    </w:p>
    <w:p w14:paraId="7EFE5FB3">
      <w:pPr>
        <w:widowControl w:val="0"/>
        <w:numPr>
          <w:ilvl w:val="0"/>
          <w:numId w:val="17"/>
        </w:numPr>
        <w:ind w:firstLine="480"/>
        <w:rPr>
          <w:rFonts w:hint="eastAsia" w:hAnsi="宋体" w:cs="仿宋"/>
          <w:szCs w:val="24"/>
          <w:highlight w:val="none"/>
        </w:rPr>
      </w:pPr>
      <w:r>
        <w:rPr>
          <w:rFonts w:hint="eastAsia" w:hAnsi="宋体" w:cs="仿宋"/>
          <w:szCs w:val="24"/>
          <w:highlight w:val="none"/>
        </w:rPr>
        <w:t>系统支持医院进行课程项目管理，设置项目名称和项目费用。项目包管理：</w:t>
      </w:r>
    </w:p>
    <w:p w14:paraId="7FAA5CF8">
      <w:pPr>
        <w:widowControl w:val="0"/>
        <w:numPr>
          <w:ilvl w:val="0"/>
          <w:numId w:val="17"/>
        </w:numPr>
        <w:ind w:firstLine="480"/>
        <w:rPr>
          <w:rFonts w:hint="eastAsia" w:hAnsi="宋体" w:cs="仿宋"/>
          <w:szCs w:val="24"/>
          <w:highlight w:val="none"/>
        </w:rPr>
      </w:pPr>
      <w:r>
        <w:rPr>
          <w:rFonts w:hint="eastAsia" w:hAnsi="宋体" w:cs="仿宋"/>
          <w:szCs w:val="24"/>
          <w:highlight w:val="none"/>
        </w:rPr>
        <w:t>系统支持多选项目，维护项目包，项目内容修改后，已开立的项目包内容不变。</w:t>
      </w:r>
    </w:p>
    <w:p w14:paraId="45BD9B8B">
      <w:pPr>
        <w:widowControl w:val="0"/>
        <w:numPr>
          <w:ilvl w:val="0"/>
          <w:numId w:val="17"/>
        </w:numPr>
        <w:ind w:firstLine="480"/>
        <w:rPr>
          <w:rFonts w:hint="eastAsia" w:hAnsi="宋体" w:cs="仿宋"/>
          <w:szCs w:val="24"/>
          <w:highlight w:val="none"/>
        </w:rPr>
      </w:pPr>
      <w:r>
        <w:rPr>
          <w:rFonts w:hint="eastAsia" w:hAnsi="宋体" w:cs="仿宋"/>
          <w:szCs w:val="24"/>
          <w:highlight w:val="none"/>
        </w:rPr>
        <w:t>系统支持对项目和项目包进行新增、修改、删除。</w:t>
      </w:r>
    </w:p>
    <w:p w14:paraId="1604EA4E">
      <w:pPr>
        <w:widowControl w:val="0"/>
        <w:numPr>
          <w:ilvl w:val="0"/>
          <w:numId w:val="17"/>
        </w:numPr>
        <w:ind w:firstLine="480"/>
        <w:rPr>
          <w:rFonts w:hint="eastAsia" w:hAnsi="宋体" w:cs="仿宋"/>
          <w:szCs w:val="24"/>
          <w:highlight w:val="none"/>
        </w:rPr>
      </w:pPr>
      <w:r>
        <w:rPr>
          <w:rFonts w:hint="eastAsia" w:hAnsi="宋体" w:cs="仿宋"/>
          <w:szCs w:val="24"/>
          <w:highlight w:val="none"/>
        </w:rPr>
        <w:t>系统支持设置课程并将课程与收费包和收费项目进行绑定。</w:t>
      </w:r>
    </w:p>
    <w:p w14:paraId="3B7812EF">
      <w:pPr>
        <w:widowControl w:val="0"/>
        <w:numPr>
          <w:ilvl w:val="0"/>
          <w:numId w:val="17"/>
        </w:numPr>
        <w:ind w:firstLine="480"/>
        <w:rPr>
          <w:rFonts w:hint="eastAsia" w:hAnsi="宋体" w:cs="仿宋"/>
          <w:szCs w:val="24"/>
          <w:highlight w:val="none"/>
        </w:rPr>
      </w:pPr>
      <w:r>
        <w:rPr>
          <w:rFonts w:hint="eastAsia" w:hAnsi="宋体" w:cs="仿宋"/>
          <w:szCs w:val="24"/>
          <w:highlight w:val="none"/>
          <w:lang w:eastAsia="zh-CN"/>
        </w:rPr>
        <w:t>支持对学员进行单个项目或收费包记账，对已记账项目进行删除，对已离院学员进行记账项目修改，支持批量记账。</w:t>
      </w:r>
    </w:p>
    <w:p w14:paraId="559D7EC3">
      <w:pPr>
        <w:bidi w:val="0"/>
        <w:rPr>
          <w:rFonts w:hint="eastAsia"/>
          <w:highlight w:val="none"/>
        </w:rPr>
      </w:pPr>
      <w:r>
        <w:rPr>
          <w:rFonts w:hint="eastAsia"/>
          <w:highlight w:val="none"/>
          <w:lang w:val="en-US" w:eastAsia="zh-CN"/>
        </w:rPr>
        <w:t>4.3.3.3</w:t>
      </w:r>
      <w:r>
        <w:rPr>
          <w:rFonts w:hint="eastAsia"/>
          <w:highlight w:val="none"/>
        </w:rPr>
        <w:t>人员管理</w:t>
      </w:r>
    </w:p>
    <w:p w14:paraId="1614E32C">
      <w:pPr>
        <w:widowControl w:val="0"/>
        <w:numPr>
          <w:ilvl w:val="0"/>
          <w:numId w:val="18"/>
        </w:numPr>
        <w:ind w:firstLine="480"/>
        <w:rPr>
          <w:rFonts w:hint="eastAsia" w:hAnsi="宋体" w:cs="仿宋"/>
          <w:szCs w:val="24"/>
          <w:highlight w:val="none"/>
        </w:rPr>
      </w:pPr>
      <w:r>
        <w:rPr>
          <w:rFonts w:hint="eastAsia" w:hAnsi="宋体" w:cs="仿宋"/>
          <w:szCs w:val="24"/>
          <w:highlight w:val="none"/>
        </w:rPr>
        <w:t>系统支持医院对系统使用人员进行同步。</w:t>
      </w:r>
    </w:p>
    <w:p w14:paraId="3A5BCAC7">
      <w:pPr>
        <w:widowControl w:val="0"/>
        <w:numPr>
          <w:ilvl w:val="0"/>
          <w:numId w:val="18"/>
        </w:numPr>
        <w:ind w:firstLine="480"/>
        <w:rPr>
          <w:rFonts w:hint="eastAsia" w:hAnsi="宋体" w:cs="仿宋"/>
          <w:szCs w:val="24"/>
          <w:highlight w:val="none"/>
        </w:rPr>
      </w:pPr>
      <w:r>
        <w:rPr>
          <w:rFonts w:hint="eastAsia" w:hAnsi="宋体" w:cs="仿宋"/>
          <w:szCs w:val="24"/>
          <w:highlight w:val="none"/>
        </w:rPr>
        <w:t>系统支持权限设置：支持设置人员对应主题权限。</w:t>
      </w:r>
    </w:p>
    <w:p w14:paraId="1B034363">
      <w:pPr>
        <w:widowControl w:val="0"/>
        <w:numPr>
          <w:ilvl w:val="0"/>
          <w:numId w:val="18"/>
        </w:numPr>
        <w:ind w:firstLine="480"/>
        <w:rPr>
          <w:rFonts w:hint="eastAsia" w:hAnsi="宋体" w:cs="仿宋"/>
          <w:szCs w:val="24"/>
          <w:highlight w:val="none"/>
        </w:rPr>
      </w:pPr>
      <w:r>
        <w:rPr>
          <w:rFonts w:hint="eastAsia" w:hAnsi="宋体" w:cs="仿宋"/>
          <w:szCs w:val="24"/>
          <w:highlight w:val="none"/>
        </w:rPr>
        <w:t>系统支持管理员、主任、社工、医生、护士、康复师等角色管理</w:t>
      </w:r>
    </w:p>
    <w:p w14:paraId="673CFE69">
      <w:pPr>
        <w:widowControl w:val="0"/>
        <w:numPr>
          <w:ilvl w:val="0"/>
          <w:numId w:val="18"/>
        </w:numPr>
        <w:ind w:firstLine="480"/>
        <w:rPr>
          <w:rFonts w:hint="eastAsia" w:hAnsi="宋体" w:cs="仿宋"/>
          <w:szCs w:val="24"/>
          <w:highlight w:val="none"/>
        </w:rPr>
      </w:pPr>
      <w:r>
        <w:rPr>
          <w:rFonts w:hint="eastAsia" w:hAnsi="宋体" w:cs="仿宋"/>
          <w:szCs w:val="24"/>
          <w:highlight w:val="none"/>
        </w:rPr>
        <w:t>系统支持关联人员设置角色</w:t>
      </w:r>
    </w:p>
    <w:p w14:paraId="29F8ECFE">
      <w:pPr>
        <w:widowControl w:val="0"/>
        <w:numPr>
          <w:ilvl w:val="0"/>
          <w:numId w:val="18"/>
        </w:numPr>
        <w:ind w:firstLine="480"/>
        <w:rPr>
          <w:rFonts w:hint="eastAsia" w:hAnsi="宋体" w:cs="仿宋"/>
          <w:szCs w:val="24"/>
          <w:highlight w:val="none"/>
        </w:rPr>
      </w:pPr>
      <w:r>
        <w:rPr>
          <w:rFonts w:hint="eastAsia" w:hAnsi="宋体" w:cs="仿宋"/>
          <w:szCs w:val="24"/>
          <w:highlight w:val="none"/>
        </w:rPr>
        <w:t>系统支持针对角色设置权限模块</w:t>
      </w:r>
    </w:p>
    <w:p w14:paraId="783EEEED">
      <w:pPr>
        <w:outlineLvl w:val="3"/>
        <w:rPr>
          <w:rFonts w:hint="eastAsia" w:ascii="宋体" w:eastAsia="宋体"/>
          <w:sz w:val="24"/>
          <w:szCs w:val="22"/>
          <w:highlight w:val="none"/>
          <w:lang w:eastAsia="zh-CN"/>
        </w:rPr>
      </w:pPr>
      <w:r>
        <w:rPr>
          <w:rFonts w:hint="eastAsia"/>
          <w:highlight w:val="none"/>
          <w:lang w:val="en-US" w:eastAsia="zh-CN"/>
        </w:rPr>
        <w:t>4.2.3.4</w:t>
      </w:r>
      <w:r>
        <w:rPr>
          <w:rFonts w:hint="eastAsia" w:ascii="宋体" w:eastAsia="宋体"/>
          <w:sz w:val="24"/>
          <w:szCs w:val="22"/>
          <w:highlight w:val="none"/>
          <w:lang w:eastAsia="zh-CN"/>
        </w:rPr>
        <w:t>角色管理</w:t>
      </w:r>
    </w:p>
    <w:p w14:paraId="2160F369">
      <w:pPr>
        <w:rPr>
          <w:rFonts w:hint="eastAsia" w:ascii="宋体" w:eastAsia="宋体"/>
          <w:sz w:val="24"/>
          <w:szCs w:val="22"/>
          <w:highlight w:val="none"/>
          <w:lang w:eastAsia="zh-CN"/>
        </w:rPr>
      </w:pPr>
      <w:r>
        <w:rPr>
          <w:rFonts w:hint="eastAsia" w:ascii="宋体" w:eastAsia="宋体"/>
          <w:sz w:val="24"/>
          <w:szCs w:val="22"/>
          <w:highlight w:val="none"/>
          <w:lang w:eastAsia="zh-CN"/>
        </w:rPr>
        <w:t>支持管理员、主任、社工、医生、护士、康复师等角色管理</w:t>
      </w:r>
    </w:p>
    <w:p w14:paraId="1F66B99F">
      <w:pPr>
        <w:rPr>
          <w:rFonts w:hint="eastAsia" w:ascii="宋体" w:eastAsia="宋体"/>
          <w:sz w:val="24"/>
          <w:szCs w:val="22"/>
          <w:highlight w:val="none"/>
          <w:lang w:eastAsia="zh-CN"/>
        </w:rPr>
      </w:pPr>
      <w:r>
        <w:rPr>
          <w:rFonts w:hint="eastAsia" w:ascii="宋体" w:eastAsia="宋体"/>
          <w:sz w:val="24"/>
          <w:szCs w:val="22"/>
          <w:highlight w:val="none"/>
          <w:lang w:eastAsia="zh-CN"/>
        </w:rPr>
        <w:t>支持关联人员设置角色</w:t>
      </w:r>
    </w:p>
    <w:p w14:paraId="42EBBE43">
      <w:pPr>
        <w:rPr>
          <w:rFonts w:hint="eastAsia" w:ascii="宋体" w:eastAsia="宋体"/>
          <w:sz w:val="24"/>
          <w:szCs w:val="22"/>
          <w:highlight w:val="none"/>
          <w:lang w:eastAsia="zh-CN"/>
        </w:rPr>
      </w:pPr>
      <w:r>
        <w:rPr>
          <w:rFonts w:hint="eastAsia" w:ascii="宋体" w:eastAsia="宋体"/>
          <w:sz w:val="24"/>
          <w:szCs w:val="22"/>
          <w:highlight w:val="none"/>
          <w:lang w:eastAsia="zh-CN"/>
        </w:rPr>
        <w:t>支持针对角色设置权限模块</w:t>
      </w:r>
    </w:p>
    <w:p w14:paraId="4DA8A6DC">
      <w:pPr>
        <w:bidi w:val="0"/>
        <w:rPr>
          <w:rFonts w:hint="eastAsia"/>
          <w:highlight w:val="none"/>
        </w:rPr>
      </w:pPr>
      <w:r>
        <w:rPr>
          <w:rFonts w:hint="eastAsia"/>
          <w:highlight w:val="none"/>
          <w:lang w:val="en-US" w:eastAsia="zh-CN"/>
        </w:rPr>
        <w:t>4.3.3.5</w:t>
      </w:r>
      <w:r>
        <w:rPr>
          <w:rFonts w:hint="eastAsia"/>
          <w:highlight w:val="none"/>
        </w:rPr>
        <w:t>满意度调查维护</w:t>
      </w:r>
    </w:p>
    <w:p w14:paraId="5A1636EA">
      <w:pPr>
        <w:ind w:firstLine="480"/>
        <w:rPr>
          <w:rFonts w:hint="eastAsia" w:hAnsi="宋体" w:cs="仿宋"/>
          <w:sz w:val="28"/>
          <w:szCs w:val="28"/>
          <w:highlight w:val="none"/>
        </w:rPr>
      </w:pPr>
      <w:r>
        <w:rPr>
          <w:rFonts w:hint="eastAsia" w:hAnsi="宋体" w:cs="仿宋"/>
          <w:szCs w:val="24"/>
          <w:highlight w:val="none"/>
        </w:rPr>
        <w:t>系统支持维护多个满意度调查表单，包含多选题、单选题、填空题，并生成二维码供学员扫码填写。</w:t>
      </w:r>
    </w:p>
    <w:p w14:paraId="2145858D">
      <w:pPr>
        <w:bidi w:val="0"/>
        <w:rPr>
          <w:rFonts w:hint="eastAsia"/>
          <w:highlight w:val="none"/>
        </w:rPr>
      </w:pPr>
      <w:r>
        <w:rPr>
          <w:rFonts w:hint="eastAsia"/>
          <w:highlight w:val="none"/>
          <w:lang w:val="en-US" w:eastAsia="zh-CN"/>
        </w:rPr>
        <w:t>4.3.3.6</w:t>
      </w:r>
      <w:r>
        <w:rPr>
          <w:rFonts w:hint="eastAsia"/>
          <w:highlight w:val="none"/>
        </w:rPr>
        <w:t>评估和记录单管理</w:t>
      </w:r>
    </w:p>
    <w:p w14:paraId="03214433">
      <w:pPr>
        <w:widowControl w:val="0"/>
        <w:numPr>
          <w:ilvl w:val="0"/>
          <w:numId w:val="19"/>
        </w:numPr>
        <w:ind w:firstLine="480"/>
        <w:rPr>
          <w:rFonts w:hint="eastAsia" w:hAnsi="宋体" w:cs="仿宋"/>
          <w:szCs w:val="24"/>
          <w:highlight w:val="none"/>
        </w:rPr>
      </w:pPr>
      <w:r>
        <w:rPr>
          <w:rFonts w:hint="eastAsia" w:hAnsi="宋体" w:cs="仿宋"/>
          <w:szCs w:val="24"/>
          <w:highlight w:val="none"/>
        </w:rPr>
        <w:t>系统支持临床评估表设置，包含首次评估单、日常评估和个案评估。个案记录：</w:t>
      </w:r>
    </w:p>
    <w:p w14:paraId="2E420111">
      <w:pPr>
        <w:widowControl w:val="0"/>
        <w:numPr>
          <w:ilvl w:val="0"/>
          <w:numId w:val="19"/>
        </w:numPr>
        <w:ind w:firstLine="480"/>
        <w:rPr>
          <w:rFonts w:hint="eastAsia" w:hAnsi="宋体" w:cs="仿宋"/>
          <w:szCs w:val="24"/>
          <w:highlight w:val="none"/>
        </w:rPr>
      </w:pPr>
      <w:r>
        <w:rPr>
          <w:rFonts w:hint="eastAsia" w:hAnsi="宋体" w:cs="仿宋"/>
          <w:szCs w:val="24"/>
          <w:highlight w:val="none"/>
        </w:rPr>
        <w:t>系统支持设置个案记录单，用于记录个案学员的情况。</w:t>
      </w:r>
    </w:p>
    <w:p w14:paraId="352FA6EC">
      <w:pPr>
        <w:widowControl w:val="0"/>
        <w:numPr>
          <w:ilvl w:val="0"/>
          <w:numId w:val="19"/>
        </w:numPr>
        <w:ind w:firstLine="480"/>
        <w:rPr>
          <w:rFonts w:hint="eastAsia" w:hAnsi="宋体" w:cs="仿宋"/>
          <w:szCs w:val="24"/>
          <w:highlight w:val="none"/>
        </w:rPr>
      </w:pPr>
      <w:r>
        <w:rPr>
          <w:rFonts w:hint="eastAsia" w:hAnsi="宋体" w:cs="仿宋"/>
          <w:szCs w:val="24"/>
          <w:highlight w:val="none"/>
        </w:rPr>
        <w:t>系统支持设置总结记录模板，用于记录课程整体情况。</w:t>
      </w:r>
    </w:p>
    <w:p w14:paraId="002369A1">
      <w:pPr>
        <w:bidi w:val="0"/>
        <w:rPr>
          <w:rFonts w:hint="eastAsia"/>
          <w:highlight w:val="none"/>
        </w:rPr>
      </w:pPr>
      <w:r>
        <w:rPr>
          <w:rFonts w:hint="eastAsia"/>
          <w:highlight w:val="none"/>
          <w:lang w:val="en-US" w:eastAsia="zh-CN"/>
        </w:rPr>
        <w:t>4.3.3.7</w:t>
      </w:r>
      <w:r>
        <w:rPr>
          <w:rFonts w:hint="eastAsia"/>
          <w:highlight w:val="none"/>
        </w:rPr>
        <w:t>学员管理</w:t>
      </w:r>
    </w:p>
    <w:p w14:paraId="6997FA4F">
      <w:pPr>
        <w:widowControl w:val="0"/>
        <w:numPr>
          <w:ilvl w:val="0"/>
          <w:numId w:val="20"/>
        </w:numPr>
        <w:ind w:firstLine="480"/>
        <w:rPr>
          <w:rFonts w:hint="eastAsia" w:hAnsi="宋体" w:cs="仿宋"/>
          <w:szCs w:val="24"/>
          <w:highlight w:val="none"/>
        </w:rPr>
      </w:pPr>
      <w:r>
        <w:rPr>
          <w:rFonts w:hint="eastAsia" w:hAnsi="宋体" w:cs="仿宋"/>
          <w:szCs w:val="24"/>
          <w:highlight w:val="none"/>
        </w:rPr>
        <w:t>系统支持学员登记：支持对学员进行登记，包括学员姓名、性别、年龄、出生日期、身份证号、户籍所在地、现居地等信息，并展示当前时间五年内学员参与课程情况。</w:t>
      </w:r>
    </w:p>
    <w:p w14:paraId="066AAB14">
      <w:pPr>
        <w:widowControl w:val="0"/>
        <w:numPr>
          <w:ilvl w:val="0"/>
          <w:numId w:val="20"/>
        </w:numPr>
        <w:ind w:firstLine="480"/>
        <w:rPr>
          <w:rFonts w:hint="eastAsia" w:hAnsi="宋体" w:cs="仿宋"/>
          <w:szCs w:val="24"/>
          <w:highlight w:val="none"/>
        </w:rPr>
      </w:pPr>
      <w:r>
        <w:rPr>
          <w:rFonts w:hint="eastAsia" w:hAnsi="宋体" w:cs="仿宋"/>
          <w:szCs w:val="24"/>
          <w:highlight w:val="none"/>
        </w:rPr>
        <w:t>系统支持身份证读取：支持刷身份证进行学员信息读取。</w:t>
      </w:r>
    </w:p>
    <w:p w14:paraId="4531E23A">
      <w:pPr>
        <w:widowControl w:val="0"/>
        <w:numPr>
          <w:ilvl w:val="0"/>
          <w:numId w:val="20"/>
        </w:numPr>
        <w:ind w:firstLine="480"/>
        <w:rPr>
          <w:rFonts w:hint="eastAsia" w:hAnsi="宋体" w:cs="仿宋"/>
          <w:szCs w:val="24"/>
          <w:highlight w:val="none"/>
        </w:rPr>
      </w:pPr>
      <w:r>
        <w:rPr>
          <w:rFonts w:hint="eastAsia" w:hAnsi="宋体" w:cs="仿宋"/>
          <w:szCs w:val="24"/>
          <w:highlight w:val="none"/>
        </w:rPr>
        <w:t>系统支持床位和课程安排：支持进行登记学员后为学员安排床位并且为学员选择课程。</w:t>
      </w:r>
    </w:p>
    <w:p w14:paraId="25C09B3F">
      <w:pPr>
        <w:widowControl w:val="0"/>
        <w:numPr>
          <w:ilvl w:val="0"/>
          <w:numId w:val="20"/>
        </w:numPr>
        <w:ind w:firstLine="480"/>
        <w:rPr>
          <w:rFonts w:hint="eastAsia" w:hAnsi="宋体" w:cs="仿宋"/>
          <w:szCs w:val="24"/>
          <w:highlight w:val="none"/>
        </w:rPr>
      </w:pPr>
      <w:r>
        <w:rPr>
          <w:rFonts w:hint="eastAsia" w:hAnsi="宋体" w:cs="仿宋"/>
          <w:szCs w:val="24"/>
          <w:highlight w:val="none"/>
        </w:rPr>
        <w:t>系统支持登记学员时需要查询学员历史参与课程情况，若患者在当前时间五年内，累计参与课程超过三次，弹出提示强制不予登记。</w:t>
      </w:r>
    </w:p>
    <w:p w14:paraId="691080FF">
      <w:pPr>
        <w:bidi w:val="0"/>
        <w:rPr>
          <w:rFonts w:hint="eastAsia"/>
          <w:highlight w:val="none"/>
        </w:rPr>
      </w:pPr>
      <w:r>
        <w:rPr>
          <w:rFonts w:hint="eastAsia"/>
          <w:highlight w:val="none"/>
          <w:lang w:val="en-US" w:eastAsia="zh-CN"/>
        </w:rPr>
        <w:t>4.3.3.8</w:t>
      </w:r>
      <w:r>
        <w:rPr>
          <w:rFonts w:hint="eastAsia"/>
          <w:highlight w:val="none"/>
        </w:rPr>
        <w:t>学员项目管理</w:t>
      </w:r>
    </w:p>
    <w:p w14:paraId="3931B0EC">
      <w:pPr>
        <w:widowControl w:val="0"/>
        <w:numPr>
          <w:ilvl w:val="0"/>
          <w:numId w:val="21"/>
        </w:numPr>
        <w:ind w:firstLine="480"/>
        <w:rPr>
          <w:rFonts w:hint="eastAsia" w:hAnsi="宋体" w:cs="仿宋"/>
          <w:szCs w:val="24"/>
          <w:highlight w:val="none"/>
        </w:rPr>
      </w:pPr>
      <w:r>
        <w:rPr>
          <w:rFonts w:hint="eastAsia" w:hAnsi="宋体" w:cs="仿宋"/>
          <w:szCs w:val="24"/>
          <w:highlight w:val="none"/>
        </w:rPr>
        <w:t>系统支持计费项目生成：选择课程后根据课程关联为学员生成计费项目。</w:t>
      </w:r>
    </w:p>
    <w:p w14:paraId="425D11FF">
      <w:pPr>
        <w:widowControl w:val="0"/>
        <w:numPr>
          <w:ilvl w:val="0"/>
          <w:numId w:val="21"/>
        </w:numPr>
        <w:ind w:firstLine="480"/>
        <w:rPr>
          <w:rFonts w:hint="eastAsia" w:hAnsi="宋体" w:cs="仿宋"/>
          <w:szCs w:val="24"/>
          <w:highlight w:val="none"/>
        </w:rPr>
      </w:pPr>
      <w:r>
        <w:rPr>
          <w:rFonts w:hint="eastAsia" w:hAnsi="宋体" w:cs="仿宋"/>
          <w:szCs w:val="24"/>
          <w:highlight w:val="none"/>
        </w:rPr>
        <w:t>系统支持记账管理：支持选择学员，并选择课程进行项目包或项目的记账。</w:t>
      </w:r>
    </w:p>
    <w:p w14:paraId="07882953">
      <w:pPr>
        <w:widowControl w:val="0"/>
        <w:numPr>
          <w:ilvl w:val="0"/>
          <w:numId w:val="21"/>
        </w:numPr>
        <w:ind w:firstLine="480"/>
        <w:rPr>
          <w:rFonts w:hint="eastAsia" w:hAnsi="宋体" w:cs="仿宋"/>
          <w:szCs w:val="24"/>
          <w:highlight w:val="none"/>
        </w:rPr>
      </w:pPr>
      <w:r>
        <w:rPr>
          <w:rFonts w:hint="eastAsia" w:hAnsi="宋体" w:cs="仿宋"/>
          <w:szCs w:val="24"/>
          <w:highlight w:val="none"/>
        </w:rPr>
        <w:t>系统支持多学员记账：支持选择收费项目包和收费项目后多选学员进行多学员同时记账。</w:t>
      </w:r>
    </w:p>
    <w:p w14:paraId="0DA605C9">
      <w:pPr>
        <w:widowControl w:val="0"/>
        <w:numPr>
          <w:ilvl w:val="0"/>
          <w:numId w:val="21"/>
        </w:numPr>
        <w:ind w:firstLine="480"/>
        <w:rPr>
          <w:rFonts w:hint="eastAsia" w:hAnsi="宋体" w:cs="仿宋"/>
          <w:szCs w:val="24"/>
          <w:highlight w:val="none"/>
        </w:rPr>
      </w:pPr>
      <w:r>
        <w:rPr>
          <w:rFonts w:hint="eastAsia" w:hAnsi="宋体" w:cs="仿宋"/>
          <w:szCs w:val="24"/>
          <w:highlight w:val="none"/>
        </w:rPr>
        <w:t>系统支持记账管理：支持对学员记账进行管理，包括新增、修改、删除。</w:t>
      </w:r>
    </w:p>
    <w:p w14:paraId="35389F13">
      <w:pPr>
        <w:bidi w:val="0"/>
        <w:rPr>
          <w:rFonts w:hint="eastAsia"/>
          <w:highlight w:val="none"/>
        </w:rPr>
      </w:pPr>
      <w:r>
        <w:rPr>
          <w:rFonts w:hint="eastAsia"/>
          <w:highlight w:val="none"/>
          <w:lang w:val="en-US" w:eastAsia="zh-CN"/>
        </w:rPr>
        <w:t>4.3.3.9</w:t>
      </w:r>
      <w:r>
        <w:rPr>
          <w:rFonts w:hint="eastAsia"/>
          <w:highlight w:val="none"/>
        </w:rPr>
        <w:t>学员主页</w:t>
      </w:r>
    </w:p>
    <w:p w14:paraId="583B7870">
      <w:pPr>
        <w:widowControl w:val="0"/>
        <w:numPr>
          <w:ilvl w:val="0"/>
          <w:numId w:val="22"/>
        </w:numPr>
        <w:ind w:firstLine="480"/>
        <w:rPr>
          <w:rFonts w:hint="eastAsia" w:hAnsi="宋体" w:cs="仿宋"/>
          <w:szCs w:val="24"/>
          <w:highlight w:val="none"/>
        </w:rPr>
      </w:pPr>
      <w:r>
        <w:rPr>
          <w:rFonts w:hint="eastAsia" w:hAnsi="宋体" w:cs="仿宋"/>
          <w:szCs w:val="24"/>
          <w:highlight w:val="none"/>
        </w:rPr>
        <w:t>系统支持信息展示：展示学员基本信息，并展示学员历次课程参与记录，参与记录中可查看学员参与课程页、收费明细页、评估单页、个案记录页，并支持标记患者为个案。</w:t>
      </w:r>
    </w:p>
    <w:p w14:paraId="7C884709">
      <w:pPr>
        <w:widowControl w:val="0"/>
        <w:numPr>
          <w:ilvl w:val="0"/>
          <w:numId w:val="22"/>
        </w:numPr>
        <w:ind w:firstLine="480"/>
        <w:rPr>
          <w:rFonts w:hint="eastAsia" w:hAnsi="宋体" w:cs="仿宋"/>
          <w:szCs w:val="24"/>
          <w:highlight w:val="none"/>
        </w:rPr>
      </w:pPr>
      <w:r>
        <w:rPr>
          <w:rFonts w:hint="eastAsia" w:hAnsi="宋体" w:cs="仿宋"/>
          <w:szCs w:val="24"/>
          <w:highlight w:val="none"/>
        </w:rPr>
        <w:t>系统支持详细信息：选择课程参与记录，课程页、收费明细页、评估单页、个案记录页展示对应参与记录的内容。</w:t>
      </w:r>
    </w:p>
    <w:p w14:paraId="131A291F">
      <w:pPr>
        <w:widowControl w:val="0"/>
        <w:numPr>
          <w:ilvl w:val="0"/>
          <w:numId w:val="22"/>
        </w:numPr>
        <w:ind w:firstLine="480"/>
        <w:rPr>
          <w:rFonts w:hint="eastAsia" w:hAnsi="宋体" w:cs="仿宋"/>
          <w:szCs w:val="24"/>
          <w:highlight w:val="none"/>
        </w:rPr>
      </w:pPr>
      <w:r>
        <w:rPr>
          <w:rFonts w:hint="eastAsia" w:hAnsi="宋体" w:cs="仿宋"/>
          <w:szCs w:val="24"/>
          <w:highlight w:val="none"/>
        </w:rPr>
        <w:t>系统支持课程管理：课程页展示课程明细，课程名称、课程记录人，课程记录时间，支持对课程进行新增、删除和修改。</w:t>
      </w:r>
    </w:p>
    <w:p w14:paraId="6DA83FAF">
      <w:pPr>
        <w:widowControl w:val="0"/>
        <w:numPr>
          <w:ilvl w:val="0"/>
          <w:numId w:val="22"/>
        </w:numPr>
        <w:ind w:firstLine="480"/>
        <w:rPr>
          <w:rFonts w:hint="eastAsia" w:hAnsi="宋体" w:cs="仿宋"/>
          <w:szCs w:val="24"/>
          <w:highlight w:val="none"/>
        </w:rPr>
      </w:pPr>
      <w:r>
        <w:rPr>
          <w:rFonts w:hint="eastAsia" w:hAnsi="宋体" w:cs="仿宋"/>
          <w:szCs w:val="24"/>
          <w:highlight w:val="none"/>
        </w:rPr>
        <w:t>系统支持收费明细：收费明细页展示患者收费项目明细，项目包明细，项目包记账时间，记账人，支持对项目和项目包进行新增、删除和修改。</w:t>
      </w:r>
    </w:p>
    <w:p w14:paraId="6AA009F8">
      <w:pPr>
        <w:widowControl w:val="0"/>
        <w:numPr>
          <w:ilvl w:val="0"/>
          <w:numId w:val="22"/>
        </w:numPr>
        <w:ind w:firstLine="480"/>
        <w:rPr>
          <w:rFonts w:hint="eastAsia" w:hAnsi="宋体" w:cs="仿宋"/>
          <w:szCs w:val="24"/>
          <w:highlight w:val="none"/>
        </w:rPr>
      </w:pPr>
      <w:r>
        <w:rPr>
          <w:rFonts w:hint="eastAsia" w:hAnsi="宋体" w:cs="仿宋"/>
          <w:szCs w:val="24"/>
          <w:highlight w:val="none"/>
        </w:rPr>
        <w:t>系统支持评估记录：评估单页展示患者所有已评价的评估单，及最新得分和评估人、评估时间，支持选择全部评估单进行评估，支持新增评估记录，已评估内容仅支持主任和评估人修改。</w:t>
      </w:r>
    </w:p>
    <w:p w14:paraId="18AB506E">
      <w:pPr>
        <w:widowControl w:val="0"/>
        <w:numPr>
          <w:ilvl w:val="0"/>
          <w:numId w:val="22"/>
        </w:numPr>
        <w:ind w:firstLine="480"/>
        <w:rPr>
          <w:rFonts w:hint="eastAsia" w:ascii="仿宋" w:hAnsi="仿宋" w:eastAsia="仿宋" w:cs="仿宋"/>
          <w:sz w:val="28"/>
          <w:szCs w:val="28"/>
          <w:highlight w:val="none"/>
        </w:rPr>
      </w:pPr>
      <w:r>
        <w:rPr>
          <w:rFonts w:hint="eastAsia" w:hAnsi="宋体" w:cs="仿宋"/>
          <w:szCs w:val="24"/>
          <w:highlight w:val="none"/>
        </w:rPr>
        <w:t>系统支持个案记录：针对被标记为个案的患者，展示个案记录内容页展示患者记录内容，记录内容支持新增、编辑和修改。已保存的记录仅支持主任和创建人修改。</w:t>
      </w:r>
    </w:p>
    <w:p w14:paraId="7F393D8F">
      <w:pPr>
        <w:bidi w:val="0"/>
        <w:rPr>
          <w:rFonts w:hint="eastAsia"/>
          <w:highlight w:val="none"/>
        </w:rPr>
      </w:pPr>
      <w:r>
        <w:rPr>
          <w:rFonts w:hint="eastAsia"/>
          <w:highlight w:val="none"/>
          <w:lang w:val="en-US" w:eastAsia="zh-CN"/>
        </w:rPr>
        <w:t>4.3.3.10</w:t>
      </w:r>
      <w:r>
        <w:rPr>
          <w:rFonts w:hint="eastAsia"/>
          <w:highlight w:val="none"/>
        </w:rPr>
        <w:t>课程总结</w:t>
      </w:r>
    </w:p>
    <w:p w14:paraId="51FBA097">
      <w:pPr>
        <w:widowControl w:val="0"/>
        <w:numPr>
          <w:ilvl w:val="0"/>
          <w:numId w:val="23"/>
        </w:numPr>
        <w:ind w:firstLine="480"/>
        <w:rPr>
          <w:rFonts w:hint="eastAsia" w:hAnsi="宋体" w:cs="仿宋"/>
          <w:szCs w:val="24"/>
          <w:highlight w:val="none"/>
        </w:rPr>
      </w:pPr>
      <w:r>
        <w:rPr>
          <w:rFonts w:hint="eastAsia" w:hAnsi="宋体" w:cs="仿宋"/>
          <w:szCs w:val="24"/>
          <w:highlight w:val="none"/>
        </w:rPr>
        <w:t>系统支持根据角色展示课程内容，社工角色展示登录人负责课程，主任展示项目全部课程。</w:t>
      </w:r>
    </w:p>
    <w:p w14:paraId="3D4CB49F">
      <w:pPr>
        <w:widowControl w:val="0"/>
        <w:numPr>
          <w:ilvl w:val="0"/>
          <w:numId w:val="23"/>
        </w:numPr>
        <w:ind w:firstLine="480"/>
        <w:rPr>
          <w:rFonts w:hint="eastAsia" w:hAnsi="宋体" w:cs="仿宋"/>
          <w:szCs w:val="24"/>
          <w:highlight w:val="none"/>
        </w:rPr>
      </w:pPr>
      <w:r>
        <w:rPr>
          <w:rFonts w:hint="eastAsia" w:hAnsi="宋体" w:cs="仿宋"/>
          <w:szCs w:val="24"/>
          <w:highlight w:val="none"/>
        </w:rPr>
        <w:t>系统支持总结填写：支持对课程进行总结填写。</w:t>
      </w:r>
    </w:p>
    <w:p w14:paraId="42BA0397">
      <w:pPr>
        <w:widowControl w:val="0"/>
        <w:numPr>
          <w:ilvl w:val="0"/>
          <w:numId w:val="23"/>
        </w:numPr>
        <w:ind w:firstLine="480"/>
        <w:rPr>
          <w:rFonts w:hint="eastAsia" w:hAnsi="宋体" w:cs="仿宋"/>
          <w:szCs w:val="24"/>
          <w:highlight w:val="none"/>
        </w:rPr>
      </w:pPr>
      <w:r>
        <w:rPr>
          <w:rFonts w:hint="eastAsia" w:hAnsi="宋体" w:cs="仿宋"/>
          <w:szCs w:val="24"/>
          <w:highlight w:val="none"/>
        </w:rPr>
        <w:t>系统支持课程列表：课程列表展示课程名称、负责人、创建时间、总结次数、最新总结时间，支持查看历次总结内容。</w:t>
      </w:r>
    </w:p>
    <w:p w14:paraId="75288ACC">
      <w:pPr>
        <w:bidi w:val="0"/>
        <w:rPr>
          <w:rFonts w:hint="eastAsia"/>
          <w:highlight w:val="none"/>
        </w:rPr>
      </w:pPr>
      <w:r>
        <w:rPr>
          <w:rFonts w:hint="eastAsia"/>
          <w:highlight w:val="none"/>
          <w:lang w:val="en-US" w:eastAsia="zh-CN"/>
        </w:rPr>
        <w:t>4.2.3.11</w:t>
      </w:r>
      <w:r>
        <w:rPr>
          <w:rFonts w:hint="eastAsia"/>
          <w:highlight w:val="none"/>
        </w:rPr>
        <w:t>满意度调查</w:t>
      </w:r>
    </w:p>
    <w:p w14:paraId="53850AB6">
      <w:pPr>
        <w:widowControl w:val="0"/>
        <w:numPr>
          <w:ilvl w:val="0"/>
          <w:numId w:val="24"/>
        </w:numPr>
        <w:ind w:firstLine="480"/>
        <w:rPr>
          <w:rFonts w:hint="eastAsia" w:hAnsi="宋体" w:cs="仿宋"/>
          <w:szCs w:val="24"/>
          <w:highlight w:val="none"/>
        </w:rPr>
      </w:pPr>
      <w:r>
        <w:rPr>
          <w:rFonts w:hint="eastAsia" w:ascii="宋体" w:hAnsi="宋体" w:eastAsia="宋体" w:cs="仿宋"/>
          <w:szCs w:val="24"/>
          <w:highlight w:val="none"/>
        </w:rPr>
        <w:t>填写调查：学员扫描满意度调查二维码后，提供手机端页面，可填写满意度调查表单，表单提交后不允许修改。</w:t>
      </w:r>
    </w:p>
    <w:p w14:paraId="75180BA9">
      <w:pPr>
        <w:pStyle w:val="54"/>
        <w:spacing w:line="500" w:lineRule="exact"/>
        <w:ind w:firstLine="560"/>
        <w:outlineLvl w:val="3"/>
        <w:rPr>
          <w:rFonts w:hint="eastAsia" w:ascii="宋体" w:eastAsia="宋体" w:hAnsiTheme="minorHAnsi"/>
          <w:kern w:val="2"/>
          <w:sz w:val="24"/>
          <w:szCs w:val="22"/>
          <w:highlight w:val="none"/>
          <w:lang w:eastAsia="zh-CN"/>
        </w:rPr>
      </w:pPr>
      <w:r>
        <w:rPr>
          <w:rFonts w:hint="eastAsia"/>
          <w:highlight w:val="none"/>
          <w:lang w:val="en-US" w:eastAsia="zh-CN"/>
        </w:rPr>
        <w:t>4.3.3.</w:t>
      </w:r>
      <w:r>
        <w:rPr>
          <w:rFonts w:hint="eastAsia" w:ascii="宋体" w:eastAsia="宋体" w:hAnsiTheme="minorHAnsi"/>
          <w:kern w:val="2"/>
          <w:sz w:val="24"/>
          <w:szCs w:val="22"/>
          <w:highlight w:val="none"/>
          <w:lang w:eastAsia="zh-CN"/>
        </w:rPr>
        <w:t>12</w:t>
      </w:r>
      <w:r>
        <w:rPr>
          <w:rFonts w:hint="eastAsia" w:hAnsiTheme="minorHAnsi"/>
          <w:kern w:val="2"/>
          <w:sz w:val="24"/>
          <w:szCs w:val="22"/>
          <w:highlight w:val="none"/>
          <w:lang w:val="en-US" w:eastAsia="zh-CN"/>
        </w:rPr>
        <w:t xml:space="preserve"> </w:t>
      </w:r>
      <w:r>
        <w:rPr>
          <w:rFonts w:hint="eastAsia" w:ascii="宋体" w:eastAsia="宋体" w:hAnsiTheme="minorHAnsi"/>
          <w:kern w:val="2"/>
          <w:sz w:val="24"/>
          <w:szCs w:val="22"/>
          <w:highlight w:val="none"/>
          <w:lang w:eastAsia="zh-CN"/>
        </w:rPr>
        <w:t>满意度调查结果</w:t>
      </w:r>
    </w:p>
    <w:p w14:paraId="368438F9">
      <w:pPr>
        <w:pStyle w:val="54"/>
        <w:spacing w:line="500" w:lineRule="exact"/>
        <w:ind w:firstLine="560"/>
        <w:rPr>
          <w:rFonts w:hint="eastAsia" w:ascii="宋体" w:eastAsia="宋体" w:cs="仿宋"/>
          <w:kern w:val="2"/>
          <w:sz w:val="24"/>
          <w:szCs w:val="24"/>
          <w:highlight w:val="none"/>
          <w:lang w:eastAsia="zh-CN"/>
        </w:rPr>
      </w:pPr>
      <w:r>
        <w:rPr>
          <w:rFonts w:hint="eastAsia" w:ascii="宋体" w:eastAsia="宋体" w:cs="仿宋"/>
          <w:kern w:val="2"/>
          <w:sz w:val="24"/>
          <w:szCs w:val="24"/>
          <w:highlight w:val="none"/>
          <w:lang w:eastAsia="zh-CN"/>
        </w:rPr>
        <w:t>支持查看满意度调查填写情况，包括填写问卷名称、填写人、填写时间、填写结果，支持对满意度调查填写结果进行修改。</w:t>
      </w:r>
    </w:p>
    <w:p w14:paraId="53114CDA">
      <w:pPr>
        <w:bidi w:val="0"/>
        <w:rPr>
          <w:rFonts w:hint="eastAsia"/>
          <w:highlight w:val="none"/>
        </w:rPr>
      </w:pPr>
      <w:r>
        <w:rPr>
          <w:rFonts w:hint="eastAsia"/>
          <w:highlight w:val="none"/>
          <w:lang w:val="en-US" w:eastAsia="zh-CN"/>
        </w:rPr>
        <w:t>4.3.3.13</w:t>
      </w:r>
      <w:r>
        <w:rPr>
          <w:rFonts w:hint="eastAsia"/>
          <w:highlight w:val="none"/>
        </w:rPr>
        <w:t>课程设置</w:t>
      </w:r>
    </w:p>
    <w:p w14:paraId="59BE23CE">
      <w:pPr>
        <w:widowControl w:val="0"/>
        <w:numPr>
          <w:ilvl w:val="0"/>
          <w:numId w:val="24"/>
        </w:numPr>
        <w:ind w:firstLine="480"/>
        <w:rPr>
          <w:rFonts w:hint="eastAsia" w:hAnsi="宋体" w:cs="仿宋"/>
          <w:szCs w:val="24"/>
          <w:highlight w:val="none"/>
        </w:rPr>
      </w:pPr>
      <w:r>
        <w:rPr>
          <w:rFonts w:hint="eastAsia" w:hAnsi="宋体" w:cs="仿宋"/>
          <w:szCs w:val="24"/>
          <w:highlight w:val="none"/>
        </w:rPr>
        <w:t>系统支持课程表格：提供七日课程设置表格供设置课程表。</w:t>
      </w:r>
    </w:p>
    <w:p w14:paraId="6E708327">
      <w:pPr>
        <w:widowControl w:val="0"/>
        <w:numPr>
          <w:ilvl w:val="0"/>
          <w:numId w:val="24"/>
        </w:numPr>
        <w:ind w:firstLine="480"/>
        <w:rPr>
          <w:rFonts w:hint="eastAsia" w:hAnsi="宋体" w:cs="仿宋"/>
          <w:szCs w:val="24"/>
          <w:highlight w:val="none"/>
        </w:rPr>
      </w:pPr>
      <w:r>
        <w:rPr>
          <w:rFonts w:hint="eastAsia" w:hAnsi="宋体" w:cs="仿宋"/>
          <w:szCs w:val="24"/>
          <w:highlight w:val="none"/>
        </w:rPr>
        <w:t>系统支持课程时间：课程表支持选择课程开始日期和结束日期，默认开始日期为下周一。</w:t>
      </w:r>
    </w:p>
    <w:p w14:paraId="6D646FE4">
      <w:pPr>
        <w:widowControl w:val="0"/>
        <w:numPr>
          <w:ilvl w:val="0"/>
          <w:numId w:val="24"/>
        </w:numPr>
        <w:ind w:firstLine="480"/>
        <w:rPr>
          <w:rFonts w:hint="eastAsia" w:hAnsi="宋体" w:cs="仿宋"/>
          <w:szCs w:val="24"/>
          <w:highlight w:val="none"/>
        </w:rPr>
      </w:pPr>
      <w:r>
        <w:rPr>
          <w:rFonts w:hint="eastAsia" w:hAnsi="宋体" w:cs="仿宋"/>
          <w:szCs w:val="24"/>
          <w:highlight w:val="none"/>
        </w:rPr>
        <w:t>系统支持课程时段：课程表分为上午和下午，支持设置上午和下午课程总时长，点击上午支持增加课程，设置课程名称、负责人、主要内容、开始结束时间，并自动计算显示时长。点击已设置课程时段可对课程进行新增、删除和修改，点击空白时段可新增课程。</w:t>
      </w:r>
    </w:p>
    <w:p w14:paraId="4125806E">
      <w:pPr>
        <w:widowControl w:val="0"/>
        <w:numPr>
          <w:ilvl w:val="0"/>
          <w:numId w:val="24"/>
        </w:numPr>
        <w:ind w:firstLine="480"/>
        <w:rPr>
          <w:rFonts w:hint="eastAsia" w:hAnsi="宋体" w:cs="仿宋"/>
          <w:szCs w:val="24"/>
          <w:highlight w:val="none"/>
        </w:rPr>
      </w:pPr>
      <w:r>
        <w:rPr>
          <w:rFonts w:hint="eastAsia" w:hAnsi="宋体" w:cs="仿宋"/>
          <w:szCs w:val="24"/>
          <w:highlight w:val="none"/>
        </w:rPr>
        <w:t>系统支持导出和打印：课程表支持导出和打印。</w:t>
      </w:r>
    </w:p>
    <w:p w14:paraId="56BCC683">
      <w:pPr>
        <w:widowControl w:val="0"/>
        <w:numPr>
          <w:ilvl w:val="0"/>
          <w:numId w:val="24"/>
        </w:numPr>
        <w:ind w:firstLine="480"/>
        <w:rPr>
          <w:rFonts w:hint="eastAsia" w:hAnsi="宋体" w:cs="仿宋"/>
          <w:szCs w:val="24"/>
          <w:highlight w:val="none"/>
        </w:rPr>
      </w:pPr>
      <w:r>
        <w:rPr>
          <w:rFonts w:hint="eastAsia" w:hAnsi="宋体" w:cs="仿宋"/>
          <w:szCs w:val="24"/>
          <w:highlight w:val="none"/>
        </w:rPr>
        <w:t>系统支持多张课程表：同一主题支持多张课程表。</w:t>
      </w:r>
    </w:p>
    <w:p w14:paraId="23188587">
      <w:pPr>
        <w:bidi w:val="0"/>
        <w:rPr>
          <w:rFonts w:hint="eastAsia"/>
          <w:highlight w:val="none"/>
        </w:rPr>
      </w:pPr>
      <w:r>
        <w:rPr>
          <w:rFonts w:hint="eastAsia"/>
          <w:highlight w:val="none"/>
          <w:lang w:val="en-US" w:eastAsia="zh-CN"/>
        </w:rPr>
        <w:t>4.3.3.14</w:t>
      </w:r>
      <w:r>
        <w:rPr>
          <w:rFonts w:hint="eastAsia"/>
          <w:highlight w:val="none"/>
        </w:rPr>
        <w:t>统计分析</w:t>
      </w:r>
    </w:p>
    <w:p w14:paraId="7EC76222">
      <w:pPr>
        <w:ind w:firstLine="480"/>
        <w:rPr>
          <w:rFonts w:hint="eastAsia"/>
          <w:highlight w:val="none"/>
        </w:rPr>
      </w:pPr>
      <w:r>
        <w:rPr>
          <w:rFonts w:hint="eastAsia"/>
          <w:highlight w:val="none"/>
        </w:rPr>
        <w:t>系统支持报表生成：支持选择时间范围进行课程维度、学员维度的统计报表生成。</w:t>
      </w:r>
    </w:p>
    <w:p w14:paraId="28F0914A">
      <w:pPr>
        <w:spacing w:line="360" w:lineRule="auto"/>
        <w:ind w:firstLine="480"/>
        <w:outlineLvl w:val="9"/>
        <w:rPr>
          <w:rFonts w:hint="eastAsia" w:ascii="宋体" w:eastAsia="宋体" w:hAnsiTheme="minorHAnsi" w:cstheme="minorBidi"/>
          <w:b/>
          <w:kern w:val="2"/>
          <w:sz w:val="24"/>
          <w:szCs w:val="22"/>
          <w:highlight w:val="none"/>
          <w:lang w:val="en-US" w:eastAsia="zh-CN" w:bidi="ar-SA"/>
        </w:rPr>
      </w:pPr>
      <w:bookmarkStart w:id="6" w:name="_Toc20173"/>
      <w:bookmarkStart w:id="7" w:name="_Toc26610"/>
      <w:r>
        <w:rPr>
          <w:rFonts w:hint="eastAsia" w:ascii="宋体" w:eastAsia="宋体" w:hAnsiTheme="minorHAnsi" w:cstheme="minorBidi"/>
          <w:b/>
          <w:kern w:val="2"/>
          <w:sz w:val="24"/>
          <w:szCs w:val="22"/>
          <w:highlight w:val="none"/>
          <w:lang w:val="en-US" w:eastAsia="zh-CN" w:bidi="ar-SA"/>
        </w:rPr>
        <w:t>4.</w:t>
      </w:r>
      <w:r>
        <w:rPr>
          <w:rFonts w:hint="eastAsia" w:cstheme="minorBidi"/>
          <w:b/>
          <w:kern w:val="2"/>
          <w:sz w:val="24"/>
          <w:szCs w:val="22"/>
          <w:highlight w:val="none"/>
          <w:lang w:val="en-US" w:eastAsia="zh-CN" w:bidi="ar-SA"/>
        </w:rPr>
        <w:t>3</w:t>
      </w:r>
      <w:r>
        <w:rPr>
          <w:rFonts w:hint="eastAsia" w:ascii="宋体" w:eastAsia="宋体" w:hAnsiTheme="minorHAnsi" w:cstheme="minorBidi"/>
          <w:b/>
          <w:kern w:val="2"/>
          <w:sz w:val="24"/>
          <w:szCs w:val="22"/>
          <w:highlight w:val="none"/>
          <w:lang w:val="en-US" w:eastAsia="zh-CN" w:bidi="ar-SA"/>
        </w:rPr>
        <w:t>.4.密码接口改造</w:t>
      </w:r>
      <w:bookmarkEnd w:id="6"/>
      <w:bookmarkEnd w:id="7"/>
    </w:p>
    <w:p w14:paraId="39B6B593">
      <w:pPr>
        <w:spacing w:line="360" w:lineRule="auto"/>
        <w:ind w:firstLine="200"/>
        <w:outlineLvl w:val="9"/>
        <w:rPr>
          <w:rFonts w:hint="eastAsia" w:ascii="宋体" w:eastAsia="宋体" w:hAnsiTheme="minorHAnsi" w:cstheme="minorBidi"/>
          <w:b/>
          <w:kern w:val="2"/>
          <w:sz w:val="24"/>
          <w:szCs w:val="22"/>
          <w:highlight w:val="none"/>
          <w:lang w:val="en-US" w:eastAsia="zh-CN" w:bidi="ar-SA"/>
        </w:rPr>
      </w:pPr>
      <w:r>
        <w:rPr>
          <w:rFonts w:hint="eastAsia" w:ascii="宋体" w:eastAsia="宋体" w:hAnsiTheme="minorHAnsi" w:cstheme="minorBidi"/>
          <w:b/>
          <w:kern w:val="2"/>
          <w:sz w:val="24"/>
          <w:szCs w:val="22"/>
          <w:highlight w:val="none"/>
          <w:lang w:val="en-US" w:eastAsia="zh-CN" w:bidi="ar-SA"/>
        </w:rPr>
        <w:t>4.</w:t>
      </w:r>
      <w:r>
        <w:rPr>
          <w:rFonts w:hint="eastAsia" w:cstheme="minorBidi"/>
          <w:b/>
          <w:kern w:val="2"/>
          <w:sz w:val="24"/>
          <w:szCs w:val="22"/>
          <w:highlight w:val="none"/>
          <w:lang w:val="en-US" w:eastAsia="zh-CN" w:bidi="ar-SA"/>
        </w:rPr>
        <w:t>3</w:t>
      </w:r>
      <w:r>
        <w:rPr>
          <w:rFonts w:hint="eastAsia" w:ascii="宋体" w:eastAsia="宋体" w:hAnsiTheme="minorHAnsi" w:cstheme="minorBidi"/>
          <w:b/>
          <w:kern w:val="2"/>
          <w:sz w:val="24"/>
          <w:szCs w:val="22"/>
          <w:highlight w:val="none"/>
          <w:lang w:val="en-US" w:eastAsia="zh-CN" w:bidi="ar-SA"/>
        </w:rPr>
        <w:t>.4.1.密码接口改造1</w:t>
      </w:r>
    </w:p>
    <w:p w14:paraId="29E8256D">
      <w:pPr>
        <w:spacing w:line="360" w:lineRule="auto"/>
        <w:ind w:firstLine="480"/>
        <w:rPr>
          <w:rFonts w:hint="eastAsia" w:ascii="宋体" w:eastAsia="宋体" w:hAnsiTheme="minorHAnsi" w:cstheme="minorBidi"/>
          <w:kern w:val="2"/>
          <w:sz w:val="24"/>
          <w:szCs w:val="22"/>
          <w:highlight w:val="none"/>
          <w:lang w:val="en-US" w:eastAsia="zh-CN" w:bidi="ar-SA"/>
        </w:rPr>
      </w:pPr>
      <w:r>
        <w:rPr>
          <w:rFonts w:hint="eastAsia" w:ascii="宋体" w:eastAsia="宋体" w:hAnsiTheme="minorHAnsi" w:cstheme="minorBidi"/>
          <w:kern w:val="2"/>
          <w:sz w:val="24"/>
          <w:szCs w:val="22"/>
          <w:highlight w:val="none"/>
          <w:lang w:val="en-US" w:eastAsia="zh-CN" w:bidi="ar-SA"/>
        </w:rPr>
        <w:t>密码接口改造主要包括：用户身份认证机制模块、业务重要数据安全传输模块、服务器设备日志/访问控制信息完整性模块、重要可执行程序完整性。</w:t>
      </w:r>
    </w:p>
    <w:p w14:paraId="182426F1">
      <w:pPr>
        <w:spacing w:line="360" w:lineRule="auto"/>
        <w:ind w:firstLine="439" w:firstLineChars="183"/>
        <w:outlineLvl w:val="9"/>
        <w:rPr>
          <w:rFonts w:hint="eastAsia" w:ascii="宋体" w:eastAsia="宋体"/>
          <w:b/>
          <w:sz w:val="24"/>
          <w:szCs w:val="22"/>
          <w:highlight w:val="none"/>
          <w:lang w:eastAsia="zh-CN"/>
        </w:rPr>
      </w:pPr>
      <w:r>
        <w:rPr>
          <w:rFonts w:hint="eastAsia" w:ascii="宋体" w:eastAsia="宋体" w:hAnsiTheme="minorHAnsi" w:cstheme="minorBidi"/>
          <w:b/>
          <w:kern w:val="2"/>
          <w:sz w:val="24"/>
          <w:szCs w:val="22"/>
          <w:highlight w:val="none"/>
          <w:lang w:val="en-US" w:eastAsia="zh-CN" w:bidi="ar-SA"/>
        </w:rPr>
        <w:t>4.</w:t>
      </w:r>
      <w:r>
        <w:rPr>
          <w:rFonts w:hint="eastAsia" w:cstheme="minorBidi"/>
          <w:b/>
          <w:kern w:val="2"/>
          <w:sz w:val="24"/>
          <w:szCs w:val="22"/>
          <w:highlight w:val="none"/>
          <w:lang w:val="en-US" w:eastAsia="zh-CN" w:bidi="ar-SA"/>
        </w:rPr>
        <w:t>3</w:t>
      </w:r>
      <w:r>
        <w:rPr>
          <w:rFonts w:hint="eastAsia" w:ascii="宋体" w:eastAsia="宋体"/>
          <w:b/>
          <w:sz w:val="24"/>
          <w:szCs w:val="22"/>
          <w:highlight w:val="none"/>
          <w:lang w:eastAsia="zh-CN"/>
        </w:rPr>
        <w:t>.4.2.密码接口改造2</w:t>
      </w:r>
    </w:p>
    <w:p w14:paraId="149E5904">
      <w:pPr>
        <w:spacing w:line="360" w:lineRule="auto"/>
        <w:ind w:firstLine="480" w:firstLineChars="0"/>
        <w:rPr>
          <w:rFonts w:hint="eastAsia" w:ascii="宋体" w:eastAsia="宋体" w:hAnsiTheme="minorHAnsi" w:cstheme="minorBidi"/>
          <w:kern w:val="2"/>
          <w:sz w:val="24"/>
          <w:szCs w:val="22"/>
          <w:highlight w:val="none"/>
          <w:lang w:val="en-US" w:eastAsia="zh-CN" w:bidi="ar-SA"/>
        </w:rPr>
      </w:pPr>
      <w:r>
        <w:rPr>
          <w:rFonts w:hint="eastAsia" w:ascii="宋体" w:eastAsia="宋体" w:hAnsiTheme="minorHAnsi" w:cstheme="minorBidi"/>
          <w:kern w:val="2"/>
          <w:sz w:val="24"/>
          <w:szCs w:val="22"/>
          <w:highlight w:val="none"/>
          <w:lang w:val="en-US" w:eastAsia="zh-CN" w:bidi="ar-SA"/>
        </w:rPr>
        <w:t>来源真实性模块、用户访问控制信息签名验签模块、应用系统重要数据加解密模块、应用系统重要数据签名验签模块。</w:t>
      </w:r>
    </w:p>
    <w:p w14:paraId="318BFE3D">
      <w:pPr>
        <w:pStyle w:val="2"/>
        <w:numPr>
          <w:ilvl w:val="0"/>
          <w:numId w:val="0"/>
        </w:numPr>
        <w:rPr>
          <w:rFonts w:hint="eastAsia" w:hAnsi="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bidi="ar-SA"/>
          <w14:textFill>
            <w14:solidFill>
              <w14:schemeClr w14:val="tx1"/>
            </w14:solidFill>
          </w14:textFill>
        </w:rPr>
        <w:t>5</w:t>
      </w:r>
      <w:r>
        <w:rPr>
          <w:rFonts w:hint="eastAsia" w:hAnsi="宋体" w:cs="宋体"/>
          <w:b/>
          <w:bCs/>
          <w:color w:val="000000" w:themeColor="text1"/>
          <w:kern w:val="44"/>
          <w:sz w:val="32"/>
          <w:szCs w:val="32"/>
          <w:highlight w:val="none"/>
          <w:lang w:val="en-US" w:eastAsia="zh-CN" w:bidi="ar-SA"/>
          <w14:textFill>
            <w14:solidFill>
              <w14:schemeClr w14:val="tx1"/>
            </w14:solidFill>
          </w14:textFill>
        </w:rPr>
        <w:t>.</w:t>
      </w:r>
      <w:r>
        <w:rPr>
          <w:rFonts w:hint="eastAsia" w:hAnsi="宋体" w:cs="宋体"/>
          <w:color w:val="000000" w:themeColor="text1"/>
          <w:sz w:val="32"/>
          <w:szCs w:val="32"/>
          <w:highlight w:val="none"/>
          <w14:textFill>
            <w14:solidFill>
              <w14:schemeClr w14:val="tx1"/>
            </w14:solidFill>
          </w14:textFill>
        </w:rPr>
        <w:t>实施、验收与售后服务要求</w:t>
      </w:r>
    </w:p>
    <w:p w14:paraId="62A53011">
      <w:pPr>
        <w:pStyle w:val="3"/>
        <w:numPr>
          <w:ilvl w:val="1"/>
          <w:numId w:val="0"/>
        </w:numPr>
        <w:rPr>
          <w:rFonts w:hint="eastAsia" w:hAnsi="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5.1</w:t>
      </w:r>
      <w:r>
        <w:rPr>
          <w:rFonts w:hint="eastAsia" w:hAnsi="宋体" w:cs="宋体"/>
          <w:color w:val="000000" w:themeColor="text1"/>
          <w:sz w:val="30"/>
          <w:szCs w:val="30"/>
          <w:highlight w:val="none"/>
          <w14:textFill>
            <w14:solidFill>
              <w14:schemeClr w14:val="tx1"/>
            </w14:solidFill>
          </w14:textFill>
        </w:rPr>
        <w:t>总体要求</w:t>
      </w:r>
    </w:p>
    <w:p w14:paraId="7631E812">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有固定的售后服务团队</w:t>
      </w:r>
      <w:r>
        <w:rPr>
          <w:rFonts w:hint="eastAsia" w:hAnsi="宋体" w:cs="宋体"/>
          <w:color w:val="000000" w:themeColor="text1"/>
          <w:szCs w:val="24"/>
          <w:highlight w:val="none"/>
          <w:lang w:eastAsia="zh-CN"/>
          <w14:textFill>
            <w14:solidFill>
              <w14:schemeClr w14:val="tx1"/>
            </w14:solidFill>
          </w14:textFill>
        </w:rPr>
        <w:t>，能够满足本项目售后服务要求</w:t>
      </w:r>
      <w:r>
        <w:rPr>
          <w:rFonts w:hint="eastAsia" w:hAnsi="宋体" w:cs="宋体"/>
          <w:color w:val="000000" w:themeColor="text1"/>
          <w:szCs w:val="24"/>
          <w:highlight w:val="none"/>
          <w14:textFill>
            <w14:solidFill>
              <w14:schemeClr w14:val="tx1"/>
            </w14:solidFill>
          </w14:textFill>
        </w:rPr>
        <w:t>。</w:t>
      </w:r>
    </w:p>
    <w:p w14:paraId="73A0E9F4">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应本着认真负责态度，组织技术队伍，认真做好项目的实施工作。在签订合同前，提出具体实施、服务、维护以及今后技术支持的措施计划和承诺。</w:t>
      </w:r>
    </w:p>
    <w:p w14:paraId="7F3C39BC">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提供项目实施计划，经用户方同意后，严格执行。如果遇到问题，由项目组提出项目变更说明，经用户方和系统提供商确定后，修改计划。</w:t>
      </w:r>
    </w:p>
    <w:p w14:paraId="447FEA7E">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应负责在项目验收时将系统的全部有关技术文件、资料、及安装、测试、验收报告等文档汇集成册交付用户方。</w:t>
      </w:r>
    </w:p>
    <w:p w14:paraId="7A53ADB9">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结合实际情况，拟定详细的系统实施计划，包括和医院现有信息系统的对接、个性化定制、测试、试运行、培训及上线计划。承诺保证在合同规定时间内上线及上线后系统平稳运行。</w:t>
      </w:r>
    </w:p>
    <w:p w14:paraId="773C9D1F">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在实施过程中，需结合医院现有设备和需采购的设备，参照信息系统安全等级保护三级要求建设。</w:t>
      </w:r>
    </w:p>
    <w:p w14:paraId="4660A075">
      <w:pPr>
        <w:widowControl w:val="0"/>
        <w:numPr>
          <w:ilvl w:val="4"/>
          <w:numId w:val="25"/>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技术架构满足XC要求。</w:t>
      </w:r>
    </w:p>
    <w:p w14:paraId="6B64A578">
      <w:pPr>
        <w:pStyle w:val="3"/>
        <w:numPr>
          <w:ilvl w:val="1"/>
          <w:numId w:val="0"/>
        </w:numPr>
        <w:rPr>
          <w:rFonts w:hint="eastAsia"/>
          <w:highlight w:val="none"/>
          <w:lang w:val="en-US" w:eastAsia="zh-CN"/>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5.2项目实施</w:t>
      </w:r>
      <w:r>
        <w:rPr>
          <w:rFonts w:hint="eastAsia" w:hAnsi="宋体" w:cs="宋体"/>
          <w:color w:val="000000" w:themeColor="text1"/>
          <w:sz w:val="30"/>
          <w:szCs w:val="30"/>
          <w:highlight w:val="none"/>
          <w:lang w:val="en-US" w:eastAsia="zh-CN"/>
          <w14:textFill>
            <w14:solidFill>
              <w14:schemeClr w14:val="tx1"/>
            </w14:solidFill>
          </w14:textFill>
        </w:rPr>
        <w:t>要求</w:t>
      </w:r>
    </w:p>
    <w:p w14:paraId="71A2964B">
      <w:pPr>
        <w:bidi w:val="0"/>
        <w:rPr>
          <w:rFonts w:hint="eastAsia" w:hAnsi="宋体" w:cs="宋体"/>
          <w:szCs w:val="24"/>
          <w:highlight w:val="none"/>
          <w:lang w:val="en-US" w:eastAsia="zh-CN"/>
        </w:rPr>
      </w:pPr>
      <w:r>
        <w:rPr>
          <w:rFonts w:hint="eastAsia" w:hAnsi="宋体" w:cs="宋体"/>
          <w:szCs w:val="24"/>
          <w:highlight w:val="none"/>
        </w:rPr>
        <w:t xml:space="preserve">5.2.1 </w:t>
      </w:r>
      <w:r>
        <w:rPr>
          <w:rFonts w:hint="eastAsia" w:hAnsi="宋体" w:cs="宋体"/>
          <w:szCs w:val="24"/>
          <w:highlight w:val="none"/>
          <w:lang w:val="en-US" w:eastAsia="zh-CN"/>
        </w:rPr>
        <w:t>数据对接要求</w:t>
      </w:r>
    </w:p>
    <w:p w14:paraId="1CC06683">
      <w:pPr>
        <w:bidi w:val="0"/>
        <w:rPr>
          <w:rFonts w:hint="eastAsia" w:ascii="宋体" w:hAnsi="宋体" w:eastAsia="宋体" w:cs="宋体"/>
          <w:sz w:val="24"/>
          <w:szCs w:val="24"/>
          <w:highlight w:val="none"/>
          <w:lang w:eastAsia="zh-CN"/>
        </w:rPr>
      </w:pPr>
      <w:r>
        <w:rPr>
          <w:rFonts w:hint="eastAsia" w:hAnsi="宋体" w:cs="宋体"/>
          <w:szCs w:val="24"/>
          <w:highlight w:val="none"/>
          <w:lang w:val="en-US" w:eastAsia="zh-CN"/>
        </w:rPr>
        <w:t>完成与医院HIS/CDR的接口开发，实现</w:t>
      </w:r>
      <w:r>
        <w:rPr>
          <w:rFonts w:hint="eastAsia" w:ascii="宋体" w:hAnsi="宋体" w:eastAsia="宋体" w:cs="宋体"/>
          <w:sz w:val="24"/>
          <w:szCs w:val="24"/>
          <w:highlight w:val="none"/>
          <w:lang w:eastAsia="zh-CN"/>
        </w:rPr>
        <w:t>患者</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lang w:eastAsia="zh-CN"/>
        </w:rPr>
        <w:t>信息、</w:t>
      </w:r>
      <w:r>
        <w:rPr>
          <w:rFonts w:hint="eastAsia" w:ascii="宋体" w:hAnsi="宋体" w:eastAsia="宋体" w:cs="宋体"/>
          <w:sz w:val="24"/>
          <w:szCs w:val="24"/>
          <w:highlight w:val="none"/>
          <w:lang w:val="en-US" w:eastAsia="zh-CN"/>
        </w:rPr>
        <w:t>诊断信息等</w:t>
      </w:r>
      <w:r>
        <w:rPr>
          <w:rFonts w:hint="eastAsia" w:ascii="宋体" w:hAnsi="宋体" w:eastAsia="宋体" w:cs="宋体"/>
          <w:sz w:val="24"/>
          <w:szCs w:val="24"/>
          <w:highlight w:val="none"/>
          <w:lang w:eastAsia="zh-CN"/>
        </w:rPr>
        <w:t>数据交换，实施严格的数据加密和访问控制机制，保护患者隐私和数据安全，</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lang w:eastAsia="zh-CN"/>
        </w:rPr>
        <w:t>确保数据交换的实时性和准确性。</w:t>
      </w:r>
    </w:p>
    <w:p w14:paraId="0F2CEC80">
      <w:pPr>
        <w:bidi w:val="0"/>
        <w:rPr>
          <w:rFonts w:hint="eastAsia"/>
          <w:highlight w:val="none"/>
        </w:rPr>
      </w:pPr>
      <w:r>
        <w:rPr>
          <w:rFonts w:hint="eastAsia"/>
          <w:highlight w:val="none"/>
        </w:rPr>
        <w:t>5.2.</w:t>
      </w:r>
      <w:r>
        <w:rPr>
          <w:rFonts w:hint="eastAsia"/>
          <w:highlight w:val="none"/>
          <w:lang w:val="en-US" w:eastAsia="zh-CN"/>
        </w:rPr>
        <w:t>2</w:t>
      </w:r>
      <w:r>
        <w:rPr>
          <w:rFonts w:hint="eastAsia"/>
          <w:highlight w:val="none"/>
        </w:rPr>
        <w:t>实施进度</w:t>
      </w:r>
    </w:p>
    <w:p w14:paraId="4979A060">
      <w:pPr>
        <w:adjustRightInd w:val="0"/>
        <w:snapToGrid w:val="0"/>
        <w:ind w:firstLine="360" w:firstLineChars="15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应按照下表的时间进度，制定相应的项目实施详细进度计划。</w:t>
      </w:r>
    </w:p>
    <w:p w14:paraId="5A0A4D5A">
      <w:pPr>
        <w:adjustRightInd w:val="0"/>
        <w:snapToGrid w:val="0"/>
        <w:ind w:firstLine="360" w:firstLineChars="150"/>
        <w:rPr>
          <w:rFonts w:hint="eastAsia" w:hAnsi="宋体" w:cs="宋体"/>
          <w:szCs w:val="24"/>
          <w:highlight w:val="none"/>
        </w:rPr>
      </w:pPr>
      <w:r>
        <w:rPr>
          <w:rFonts w:hint="eastAsia" w:hAnsi="宋体" w:cs="宋体"/>
          <w:szCs w:val="24"/>
          <w:highlight w:val="none"/>
        </w:rPr>
        <w:t>项目建设周期共</w:t>
      </w:r>
      <w:r>
        <w:rPr>
          <w:rFonts w:hint="eastAsia" w:hAnsi="宋体" w:cs="宋体"/>
          <w:szCs w:val="24"/>
          <w:highlight w:val="none"/>
          <w:lang w:val="en-US" w:eastAsia="zh-CN"/>
        </w:rPr>
        <w:t>4</w:t>
      </w:r>
      <w:r>
        <w:rPr>
          <w:rFonts w:hint="eastAsia" w:hAnsi="宋体" w:cs="宋体"/>
          <w:szCs w:val="24"/>
          <w:highlight w:val="none"/>
        </w:rPr>
        <w:t>个月。</w:t>
      </w:r>
    </w:p>
    <w:tbl>
      <w:tblPr>
        <w:tblStyle w:val="20"/>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0B88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shd w:val="clear" w:color="auto" w:fill="D8D8D8" w:themeFill="background1" w:themeFillShade="D9"/>
            <w:vAlign w:val="center"/>
          </w:tcPr>
          <w:p w14:paraId="584664AA">
            <w:pPr>
              <w:pStyle w:val="17"/>
              <w:adjustRightInd w:val="0"/>
              <w:snapToGrid w:val="0"/>
              <w:spacing w:after="0"/>
              <w:ind w:left="0" w:leftChars="0"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w:t>
            </w:r>
          </w:p>
        </w:tc>
        <w:tc>
          <w:tcPr>
            <w:tcW w:w="3929" w:type="dxa"/>
            <w:shd w:val="clear" w:color="auto" w:fill="D8D8D8" w:themeFill="background1" w:themeFillShade="D9"/>
            <w:vAlign w:val="center"/>
          </w:tcPr>
          <w:p w14:paraId="1F90A7F9">
            <w:pPr>
              <w:pStyle w:val="17"/>
              <w:adjustRightInd w:val="0"/>
              <w:snapToGrid w:val="0"/>
              <w:spacing w:after="0"/>
              <w:ind w:left="0" w:leftChars="0"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日期</w:t>
            </w:r>
          </w:p>
        </w:tc>
      </w:tr>
      <w:tr w14:paraId="519F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19AB2A75">
            <w:pPr>
              <w:pStyle w:val="17"/>
              <w:adjustRightInd w:val="0"/>
              <w:snapToGrid w:val="0"/>
              <w:spacing w:after="0"/>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应用软件部署上线</w:t>
            </w:r>
          </w:p>
        </w:tc>
        <w:tc>
          <w:tcPr>
            <w:tcW w:w="3929" w:type="dxa"/>
            <w:vAlign w:val="center"/>
          </w:tcPr>
          <w:p w14:paraId="56889A9A">
            <w:pPr>
              <w:pStyle w:val="17"/>
              <w:adjustRightInd w:val="0"/>
              <w:snapToGrid w:val="0"/>
              <w:spacing w:after="0"/>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合同生效后</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个月内</w:t>
            </w:r>
          </w:p>
        </w:tc>
      </w:tr>
      <w:tr w14:paraId="3E1B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41F0D6C6">
            <w:pPr>
              <w:pStyle w:val="17"/>
              <w:adjustRightInd w:val="0"/>
              <w:snapToGrid w:val="0"/>
              <w:spacing w:after="0"/>
              <w:ind w:left="0" w:leftChars="0" w:firstLine="48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第三方测评</w:t>
            </w:r>
          </w:p>
        </w:tc>
        <w:tc>
          <w:tcPr>
            <w:tcW w:w="3929" w:type="dxa"/>
            <w:vAlign w:val="center"/>
          </w:tcPr>
          <w:p w14:paraId="713BACD3">
            <w:pPr>
              <w:pStyle w:val="17"/>
              <w:adjustRightInd w:val="0"/>
              <w:snapToGrid w:val="0"/>
              <w:spacing w:after="0"/>
              <w:ind w:left="0" w:leftChars="0" w:firstLine="48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合同生效后3个月内</w:t>
            </w:r>
          </w:p>
        </w:tc>
      </w:tr>
      <w:tr w14:paraId="5954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7E58C82E">
            <w:pPr>
              <w:pStyle w:val="17"/>
              <w:adjustRightInd w:val="0"/>
              <w:snapToGrid w:val="0"/>
              <w:spacing w:after="0"/>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项目试运行</w:t>
            </w:r>
          </w:p>
        </w:tc>
        <w:tc>
          <w:tcPr>
            <w:tcW w:w="3929" w:type="dxa"/>
            <w:vAlign w:val="center"/>
          </w:tcPr>
          <w:p w14:paraId="2F0476F6">
            <w:pPr>
              <w:pStyle w:val="17"/>
              <w:adjustRightInd w:val="0"/>
              <w:snapToGrid w:val="0"/>
              <w:spacing w:after="0"/>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试运行至少1个月</w:t>
            </w:r>
          </w:p>
        </w:tc>
      </w:tr>
    </w:tbl>
    <w:p w14:paraId="1D515CCB">
      <w:pPr>
        <w:pStyle w:val="49"/>
        <w:ind w:firstLine="480"/>
        <w:jc w:val="both"/>
        <w:outlineLvl w:val="2"/>
        <w:rPr>
          <w:rFonts w:hint="eastAsia" w:ascii="宋体"/>
          <w:color w:val="000000" w:themeColor="text1"/>
          <w:highlight w:val="none"/>
          <w14:textFill>
            <w14:solidFill>
              <w14:schemeClr w14:val="tx1"/>
            </w14:solidFill>
          </w14:textFill>
        </w:rPr>
      </w:pPr>
      <w:r>
        <w:rPr>
          <w:rFonts w:hint="eastAsia" w:ascii="宋体"/>
          <w:highlight w:val="none"/>
        </w:rPr>
        <w:t>5.2.</w:t>
      </w:r>
      <w:r>
        <w:rPr>
          <w:rFonts w:hint="eastAsia" w:ascii="宋体"/>
          <w:highlight w:val="none"/>
          <w:lang w:val="en-US" w:eastAsia="zh-CN"/>
        </w:rPr>
        <w:t>3</w:t>
      </w:r>
      <w:r>
        <w:rPr>
          <w:rFonts w:hint="eastAsia" w:ascii="宋体"/>
          <w:color w:val="000000" w:themeColor="text1"/>
          <w:highlight w:val="none"/>
          <w14:textFill>
            <w14:solidFill>
              <w14:schemeClr w14:val="tx1"/>
            </w14:solidFill>
          </w14:textFill>
        </w:rPr>
        <w:t>实施人员的要求</w:t>
      </w:r>
    </w:p>
    <w:p w14:paraId="55619AA8">
      <w:pPr>
        <w:widowControl w:val="0"/>
        <w:numPr>
          <w:ilvl w:val="0"/>
          <w:numId w:val="26"/>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为保证项目的顺利实施，</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应成立商务与技术支持小组，全方位配合用户。</w:t>
      </w:r>
    </w:p>
    <w:p w14:paraId="1C7700BE">
      <w:pPr>
        <w:widowControl w:val="0"/>
        <w:numPr>
          <w:ilvl w:val="0"/>
          <w:numId w:val="26"/>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应在响应文件中提供项目实施详细进度计划和项目小组人员名单和职责。</w:t>
      </w:r>
    </w:p>
    <w:p w14:paraId="1C64271B">
      <w:pPr>
        <w:widowControl w:val="0"/>
        <w:numPr>
          <w:ilvl w:val="0"/>
          <w:numId w:val="26"/>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供应商需提供不少于</w:t>
      </w:r>
      <w:r>
        <w:rPr>
          <w:rFonts w:hint="eastAsia" w:hAnsi="宋体" w:cs="宋体"/>
          <w:color w:val="000000" w:themeColor="text1"/>
          <w:szCs w:val="24"/>
          <w:highlight w:val="none"/>
          <w:lang w:val="en-US" w:eastAsia="zh-CN"/>
          <w14:textFill>
            <w14:solidFill>
              <w14:schemeClr w14:val="tx1"/>
            </w14:solidFill>
          </w14:textFill>
        </w:rPr>
        <w:t>10</w:t>
      </w:r>
      <w:r>
        <w:rPr>
          <w:rFonts w:hAnsi="宋体" w:cs="宋体"/>
          <w:color w:val="000000" w:themeColor="text1"/>
          <w:szCs w:val="24"/>
          <w:highlight w:val="none"/>
          <w14:textFill>
            <w14:solidFill>
              <w14:schemeClr w14:val="tx1"/>
            </w14:solidFill>
          </w14:textFill>
        </w:rPr>
        <w:t>人的项目团队</w:t>
      </w:r>
      <w:r>
        <w:rPr>
          <w:rFonts w:hint="eastAsia" w:hAnsi="宋体" w:cs="宋体"/>
          <w:color w:val="000000" w:themeColor="text1"/>
          <w:szCs w:val="24"/>
          <w:highlight w:val="none"/>
          <w14:textFill>
            <w14:solidFill>
              <w14:schemeClr w14:val="tx1"/>
            </w14:solidFill>
          </w14:textFill>
        </w:rPr>
        <w:t>，系统在通过验收前确保医院现场留驻至少</w:t>
      </w:r>
      <w:r>
        <w:rPr>
          <w:rFonts w:hint="eastAsia" w:hAnsi="宋体" w:cs="宋体"/>
          <w:color w:val="000000" w:themeColor="text1"/>
          <w:szCs w:val="24"/>
          <w:highlight w:val="none"/>
          <w:lang w:val="en-US" w:eastAsia="zh-CN"/>
          <w14:textFill>
            <w14:solidFill>
              <w14:schemeClr w14:val="tx1"/>
            </w14:solidFill>
          </w14:textFill>
        </w:rPr>
        <w:t>2</w:t>
      </w:r>
      <w:r>
        <w:rPr>
          <w:rFonts w:hAnsi="宋体" w:cs="宋体"/>
          <w:color w:val="000000" w:themeColor="text1"/>
          <w:szCs w:val="24"/>
          <w:highlight w:val="none"/>
          <w14:textFill>
            <w14:solidFill>
              <w14:schemeClr w14:val="tx1"/>
            </w14:solidFill>
          </w14:textFill>
        </w:rPr>
        <w:t>名具有类似信息系统开发经验的实施人员</w:t>
      </w:r>
      <w:r>
        <w:rPr>
          <w:rFonts w:hint="eastAsia" w:hAnsi="宋体" w:cs="宋体"/>
          <w:color w:val="000000" w:themeColor="text1"/>
          <w:szCs w:val="24"/>
          <w:highlight w:val="none"/>
          <w14:textFill>
            <w14:solidFill>
              <w14:schemeClr w14:val="tx1"/>
            </w14:solidFill>
          </w14:textFill>
        </w:rPr>
        <w:t>。</w:t>
      </w:r>
    </w:p>
    <w:p w14:paraId="4508353F">
      <w:pPr>
        <w:widowControl w:val="0"/>
        <w:numPr>
          <w:ilvl w:val="0"/>
          <w:numId w:val="26"/>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系统在通过验收前现场需留驻足够的实施人员。</w:t>
      </w:r>
    </w:p>
    <w:p w14:paraId="66EF8B80">
      <w:pPr>
        <w:widowControl w:val="0"/>
        <w:numPr>
          <w:ilvl w:val="0"/>
          <w:numId w:val="26"/>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用户方有权根据实施情况要求更换项目经理和实施人员。</w:t>
      </w:r>
    </w:p>
    <w:p w14:paraId="0EC790A2">
      <w:pPr>
        <w:widowControl w:val="0"/>
        <w:numPr>
          <w:ilvl w:val="0"/>
          <w:numId w:val="26"/>
        </w:numPr>
        <w:adjustRightInd w:val="0"/>
        <w:snapToGrid w:val="0"/>
        <w:ind w:left="0" w:firstLine="480" w:firstLineChars="0"/>
        <w:jc w:val="left"/>
        <w:rPr>
          <w:rFonts w:hint="eastAsia" w:hAnsi="宋体" w:cs="宋体"/>
          <w:bCs/>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对</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项目经理等级基本要求：要求</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针对本项目成立项目小组，在响应文件中提供书面名单，核心人员应具有相当资质。人员一旦得到确认，未得到用户方书面同意的情况下不得随意更换。项目经理具有信息系统项目管理师</w:t>
      </w:r>
      <w:r>
        <w:rPr>
          <w:rFonts w:hint="eastAsia" w:hAnsi="宋体" w:cs="宋体"/>
          <w:color w:val="000000" w:themeColor="text1"/>
          <w:szCs w:val="24"/>
          <w:highlight w:val="none"/>
          <w:lang w:eastAsia="zh-CN"/>
          <w14:textFill>
            <w14:solidFill>
              <w14:schemeClr w14:val="tx1"/>
            </w14:solidFill>
          </w14:textFill>
        </w:rPr>
        <w:t>资格</w:t>
      </w:r>
      <w:r>
        <w:rPr>
          <w:rFonts w:hint="eastAsia" w:hAnsi="宋体" w:cs="宋体"/>
          <w:color w:val="000000" w:themeColor="text1"/>
          <w:szCs w:val="24"/>
          <w:highlight w:val="none"/>
          <w14:textFill>
            <w14:solidFill>
              <w14:schemeClr w14:val="tx1"/>
            </w14:solidFill>
          </w14:textFill>
        </w:rPr>
        <w:t>。</w:t>
      </w:r>
    </w:p>
    <w:p w14:paraId="1904563E">
      <w:pPr>
        <w:bidi w:val="0"/>
        <w:rPr>
          <w:rFonts w:hint="eastAsia"/>
          <w:highlight w:val="none"/>
        </w:rPr>
      </w:pPr>
      <w:r>
        <w:rPr>
          <w:rFonts w:hint="eastAsia"/>
          <w:highlight w:val="none"/>
        </w:rPr>
        <w:t>5.2.</w:t>
      </w:r>
      <w:r>
        <w:rPr>
          <w:rFonts w:hint="eastAsia"/>
          <w:highlight w:val="none"/>
          <w:lang w:val="en-US" w:eastAsia="zh-CN"/>
        </w:rPr>
        <w:t>4</w:t>
      </w:r>
      <w:r>
        <w:rPr>
          <w:rFonts w:hint="eastAsia"/>
          <w:highlight w:val="none"/>
        </w:rPr>
        <w:t>安装、调试</w:t>
      </w:r>
    </w:p>
    <w:p w14:paraId="566D55A0">
      <w:pPr>
        <w:widowControl w:val="0"/>
        <w:numPr>
          <w:ilvl w:val="0"/>
          <w:numId w:val="27"/>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合同签订一周内，</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向用户提交软件开发环境的要求。软件实施安装7天以前，</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向用户提交软件安装、测试和安装验收的计划方案，该计划方案需经过用户同意方可作为软件安装、测试和安装验收的依据。</w:t>
      </w:r>
    </w:p>
    <w:p w14:paraId="3B7AB171">
      <w:pPr>
        <w:widowControl w:val="0"/>
        <w:numPr>
          <w:ilvl w:val="0"/>
          <w:numId w:val="27"/>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应承担所供产品的安装、调试和配置工作，同时应提供完整的安装调试文档及系统配置文件。</w:t>
      </w:r>
    </w:p>
    <w:p w14:paraId="6CF61F7A">
      <w:pPr>
        <w:widowControl w:val="0"/>
        <w:numPr>
          <w:ilvl w:val="0"/>
          <w:numId w:val="27"/>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应全力与用户及其他相关产品供应商配合，保证系统按时、正常地投入运行。</w:t>
      </w:r>
    </w:p>
    <w:p w14:paraId="39228CF2">
      <w:pPr>
        <w:widowControl w:val="0"/>
        <w:numPr>
          <w:ilvl w:val="0"/>
          <w:numId w:val="27"/>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需保证所配置的软件产品有合法的使用权。</w:t>
      </w:r>
    </w:p>
    <w:p w14:paraId="7D86030A">
      <w:pPr>
        <w:pStyle w:val="3"/>
        <w:numPr>
          <w:ilvl w:val="1"/>
          <w:numId w:val="0"/>
        </w:numPr>
        <w:rPr>
          <w:rFonts w:hint="eastAsia" w:hAnsi="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5.3</w:t>
      </w:r>
      <w:r>
        <w:rPr>
          <w:rFonts w:hint="eastAsia" w:hAnsi="宋体" w:cs="宋体"/>
          <w:color w:val="000000" w:themeColor="text1"/>
          <w:sz w:val="30"/>
          <w:szCs w:val="30"/>
          <w:highlight w:val="none"/>
          <w14:textFill>
            <w14:solidFill>
              <w14:schemeClr w14:val="tx1"/>
            </w14:solidFill>
          </w14:textFill>
        </w:rPr>
        <w:t>项目验收</w:t>
      </w:r>
    </w:p>
    <w:p w14:paraId="6351F9AC">
      <w:pPr>
        <w:rPr>
          <w:rFonts w:hint="eastAsia" w:hAnsi="宋体" w:cs="宋体"/>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5.3.1 验收标准</w:t>
      </w:r>
    </w:p>
    <w:p w14:paraId="259B0FD7">
      <w:pPr>
        <w:widowControl w:val="0"/>
        <w:numPr>
          <w:ilvl w:val="-1"/>
          <w:numId w:val="0"/>
        </w:numPr>
        <w:adjustRightInd w:val="0"/>
        <w:snapToGrid w:val="0"/>
        <w:ind w:left="0"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系统验收的条件至少满足以下三个要求：试运行时性能满足合同要求；测试和试运行验收时出现的问题已被解决；已提供了合同的全部货物和资料。</w:t>
      </w:r>
    </w:p>
    <w:p w14:paraId="10815B4E">
      <w:pPr>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所有子系统通过试运行后进行软件系统验收。医院将邀请相关行业专家、监理与</w:t>
      </w:r>
      <w:r>
        <w:rPr>
          <w:rFonts w:hint="eastAsia" w:hAnsi="宋体" w:cs="宋体"/>
          <w:color w:val="000000" w:themeColor="text1"/>
          <w:szCs w:val="24"/>
          <w:highlight w:val="none"/>
          <w:lang w:val="en-US" w:eastAsia="zh-CN"/>
          <w14:textFill>
            <w14:solidFill>
              <w14:schemeClr w14:val="tx1"/>
            </w14:solidFill>
          </w14:textFill>
        </w:rPr>
        <w:t>医院业务科室</w:t>
      </w:r>
      <w:r>
        <w:rPr>
          <w:rFonts w:hint="eastAsia" w:hAnsi="宋体" w:cs="宋体"/>
          <w:color w:val="000000" w:themeColor="text1"/>
          <w:szCs w:val="24"/>
          <w:highlight w:val="none"/>
          <w14:textFill>
            <w14:solidFill>
              <w14:schemeClr w14:val="tx1"/>
            </w14:solidFill>
          </w14:textFill>
        </w:rPr>
        <w:t>一起验收</w:t>
      </w:r>
      <w:r>
        <w:rPr>
          <w:rFonts w:hint="eastAsia" w:hAnsi="宋体" w:cs="宋体"/>
          <w:color w:val="000000" w:themeColor="text1"/>
          <w:szCs w:val="24"/>
          <w:highlight w:val="none"/>
          <w:lang w:eastAsia="zh-CN"/>
          <w14:textFill>
            <w14:solidFill>
              <w14:schemeClr w14:val="tx1"/>
            </w14:solidFill>
          </w14:textFill>
        </w:rPr>
        <w:t>。</w:t>
      </w:r>
    </w:p>
    <w:p w14:paraId="46D6FA19">
      <w:pPr>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5.3.1.1 功能验收</w:t>
      </w:r>
    </w:p>
    <w:p w14:paraId="1FE46DBE">
      <w:pPr>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所有功能按照招标文件要求实现，满足业务流程需求，无功能缺失。</w:t>
      </w:r>
    </w:p>
    <w:p w14:paraId="62D5DA09">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5.3.1.2性能验收：</w:t>
      </w:r>
    </w:p>
    <w:p w14:paraId="3BE98198">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(1) 响应时间：系统平均响应时间应不超过2秒。</w:t>
      </w:r>
    </w:p>
    <w:p w14:paraId="3B707729">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(2) 并发处理能力：系统应支持至少100个并发用户同时操作，且性能不明显下降。</w:t>
      </w:r>
    </w:p>
    <w:p w14:paraId="3654E049">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(3) 数据准确性：系统应确保数据的准确性，数据错误率应不超过0.1%。</w:t>
      </w:r>
    </w:p>
    <w:p w14:paraId="6E378422">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(4) 系统稳定性：系统应保证7x24小时不间断运行，年故障时间不超过8小时。</w:t>
      </w:r>
    </w:p>
    <w:p w14:paraId="5DF9EC36">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(5) 可扩展性：系统应具备良好的可扩展性，能够方便地添加新功能、新模块。</w:t>
      </w:r>
    </w:p>
    <w:p w14:paraId="5E36D39B">
      <w:pPr>
        <w:rPr>
          <w:rFonts w:hint="eastAsia" w:hAnsi="宋体" w:cs="宋体"/>
          <w:b w:val="0"/>
          <w:bCs w:val="0"/>
          <w:color w:val="000000" w:themeColor="text1"/>
          <w:sz w:val="24"/>
          <w:szCs w:val="24"/>
          <w:highlight w:val="none"/>
          <w:lang w:eastAsia="zh-CN"/>
          <w14:textFill>
            <w14:solidFill>
              <w14:schemeClr w14:val="tx1"/>
            </w14:solidFill>
          </w14:textFill>
        </w:rPr>
      </w:pPr>
      <w:r>
        <w:rPr>
          <w:rFonts w:hint="eastAsia" w:hAnsi="宋体" w:cs="宋体"/>
          <w:b w:val="0"/>
          <w:bCs w:val="0"/>
          <w:color w:val="000000" w:themeColor="text1"/>
          <w:sz w:val="24"/>
          <w:szCs w:val="24"/>
          <w:highlight w:val="none"/>
          <w:lang w:eastAsia="zh-CN"/>
          <w14:textFill>
            <w14:solidFill>
              <w14:schemeClr w14:val="tx1"/>
            </w14:solidFill>
          </w14:textFill>
        </w:rPr>
        <w:t>(6) 安全性：系统应具备完善的安全机制，包括数据加密、访问控制、备份恢复等。</w:t>
      </w:r>
    </w:p>
    <w:p w14:paraId="5D0A58CA">
      <w:pPr>
        <w:rPr>
          <w:rFonts w:hint="eastAsia" w:hAnsi="宋体" w:eastAsia="仿宋_GB2312"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(7) 系统集成度：</w:t>
      </w:r>
      <w:r>
        <w:rPr>
          <w:rFonts w:hint="eastAsia" w:ascii="仿宋_GB2312" w:hAnsi="仿宋_GB2312" w:eastAsia="仿宋_GB2312"/>
          <w:highlight w:val="none"/>
        </w:rPr>
        <w:t>系统间数据交互成功率100%</w:t>
      </w:r>
      <w:r>
        <w:rPr>
          <w:rFonts w:hint="eastAsia" w:ascii="仿宋_GB2312" w:hAnsi="仿宋_GB2312" w:eastAsia="仿宋_GB2312"/>
          <w:highlight w:val="none"/>
          <w:lang w:eastAsia="zh-CN"/>
        </w:rPr>
        <w:t>。</w:t>
      </w:r>
    </w:p>
    <w:p w14:paraId="51380D7C">
      <w:pPr>
        <w:rPr>
          <w:rFonts w:hint="default" w:hAnsi="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5.3.1.3 安全验收</w:t>
      </w:r>
    </w:p>
    <w:p w14:paraId="695CC50A">
      <w:pPr>
        <w:bidi w:val="0"/>
        <w:rPr>
          <w:rFonts w:hint="eastAsia"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满足密测以及</w:t>
      </w:r>
      <w:r>
        <w:rPr>
          <w:rFonts w:hint="eastAsia" w:ascii="宋体" w:hAnsi="宋体" w:eastAsia="宋体" w:cs="宋体"/>
          <w:color w:val="000000" w:themeColor="text1"/>
          <w:sz w:val="24"/>
          <w:szCs w:val="24"/>
          <w:highlight w:val="none"/>
          <w:lang w:val="en-US" w:eastAsia="zh-CN"/>
          <w14:textFill>
            <w14:solidFill>
              <w14:schemeClr w14:val="tx1"/>
            </w14:solidFill>
          </w14:textFill>
        </w:rPr>
        <w:t>软件安全测评，数据加密，访问控制等</w:t>
      </w:r>
      <w:r>
        <w:rPr>
          <w:rFonts w:hint="eastAsia" w:ascii="宋体" w:hAnsi="宋体" w:eastAsia="宋体" w:cs="宋体"/>
          <w:color w:val="000000" w:themeColor="text1"/>
          <w:sz w:val="24"/>
          <w:szCs w:val="24"/>
          <w:highlight w:val="none"/>
          <w:lang w:eastAsia="zh-CN"/>
          <w14:textFill>
            <w14:solidFill>
              <w14:schemeClr w14:val="tx1"/>
            </w14:solidFill>
          </w14:textFill>
        </w:rPr>
        <w:t>相关安全要求；</w:t>
      </w:r>
    </w:p>
    <w:p w14:paraId="454701CD">
      <w:pPr>
        <w:rPr>
          <w:rFonts w:hint="eastAsia" w:hAnsi="宋体" w:cs="宋体"/>
          <w:color w:val="000000" w:themeColor="text1"/>
          <w:sz w:val="24"/>
          <w:szCs w:val="24"/>
          <w:highlight w:val="none"/>
          <w14:textFill>
            <w14:solidFill>
              <w14:schemeClr w14:val="tx1"/>
            </w14:solidFill>
          </w14:textFill>
        </w:rPr>
      </w:pPr>
      <w:r>
        <w:rPr>
          <w:rFonts w:hint="eastAsia" w:hAnsi="宋体" w:cs="宋体"/>
          <w:b w:val="0"/>
          <w:bCs w:val="0"/>
          <w:color w:val="000000" w:themeColor="text1"/>
          <w:kern w:val="2"/>
          <w:sz w:val="24"/>
          <w:szCs w:val="24"/>
          <w:highlight w:val="none"/>
          <w:lang w:val="en-US" w:eastAsia="zh-CN" w:bidi="ar-SA"/>
          <w14:textFill>
            <w14:solidFill>
              <w14:schemeClr w14:val="tx1"/>
            </w14:solidFill>
          </w14:textFill>
        </w:rPr>
        <w:t>5.3.1.</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hAnsi="宋体" w:cs="宋体"/>
          <w:color w:val="000000" w:themeColor="text1"/>
          <w:sz w:val="24"/>
          <w:szCs w:val="24"/>
          <w:highlight w:val="none"/>
          <w14:textFill>
            <w14:solidFill>
              <w14:schemeClr w14:val="tx1"/>
            </w14:solidFill>
          </w14:textFill>
        </w:rPr>
        <w:t>文档</w:t>
      </w:r>
      <w:r>
        <w:rPr>
          <w:rFonts w:hint="eastAsia" w:hAnsi="宋体" w:cs="宋体"/>
          <w:b w:val="0"/>
          <w:bCs w:val="0"/>
          <w:color w:val="000000" w:themeColor="text1"/>
          <w:sz w:val="24"/>
          <w:szCs w:val="24"/>
          <w:highlight w:val="none"/>
          <w:lang w:val="en-US" w:eastAsia="zh-CN"/>
          <w14:textFill>
            <w14:solidFill>
              <w14:schemeClr w14:val="tx1"/>
            </w14:solidFill>
          </w14:textFill>
        </w:rPr>
        <w:t>验收</w:t>
      </w:r>
    </w:p>
    <w:p w14:paraId="501CF18F">
      <w:pPr>
        <w:adjustRightInd/>
        <w:snapToGrid/>
        <w:ind w:firstLine="0"/>
        <w:rPr>
          <w:rFonts w:hint="eastAsia" w:hAnsi="宋体" w:cs="宋体"/>
          <w:bCs w:val="0"/>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系统验收后</w:t>
      </w:r>
      <w:r>
        <w:rPr>
          <w:rFonts w:hint="eastAsia" w:hAnsi="宋体" w:cs="宋体"/>
          <w:bCs w:val="0"/>
          <w:color w:val="000000" w:themeColor="text1"/>
          <w:szCs w:val="24"/>
          <w:highlight w:val="none"/>
          <w:lang w:eastAsia="zh-CN"/>
          <w14:textFill>
            <w14:solidFill>
              <w14:schemeClr w14:val="tx1"/>
            </w14:solidFill>
          </w14:textFill>
        </w:rPr>
        <w:t>供应商</w:t>
      </w:r>
      <w:r>
        <w:rPr>
          <w:rFonts w:hint="eastAsia" w:hAnsi="宋体" w:cs="宋体"/>
          <w:bCs w:val="0"/>
          <w:color w:val="000000" w:themeColor="text1"/>
          <w:szCs w:val="24"/>
          <w:highlight w:val="none"/>
          <w14:textFill>
            <w14:solidFill>
              <w14:schemeClr w14:val="tx1"/>
            </w14:solidFill>
          </w14:textFill>
        </w:rPr>
        <w:t>需提供详细的软件相关技术文档（含数据结构、数据流程图、系统字典说明等）、使用说明书、维护手册等文档资料。提供系统应急方案，提供本项目中形成的技术支持工具。文档包括但不限于以下内容：</w:t>
      </w:r>
    </w:p>
    <w:p w14:paraId="016BDDDC">
      <w:pPr>
        <w:widowControl/>
        <w:numPr>
          <w:ilvl w:val="-1"/>
          <w:numId w:val="0"/>
        </w:numPr>
        <w:adjustRightInd/>
        <w:snapToGrid/>
        <w:ind w:left="0" w:firstLine="480" w:firstLineChars="200"/>
        <w:rPr>
          <w:rFonts w:hint="eastAsia" w:hAnsi="宋体" w:cs="宋体"/>
          <w:bCs w:val="0"/>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项目实施方案；</w:t>
      </w:r>
    </w:p>
    <w:p w14:paraId="222AEB69">
      <w:pPr>
        <w:widowControl/>
        <w:numPr>
          <w:ilvl w:val="-1"/>
          <w:numId w:val="0"/>
        </w:numPr>
        <w:adjustRightInd/>
        <w:snapToGrid/>
        <w:ind w:left="0" w:firstLine="480" w:firstLineChars="200"/>
        <w:rPr>
          <w:rFonts w:hint="eastAsia" w:hAnsi="宋体" w:cs="宋体"/>
          <w:bCs w:val="0"/>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需求说明书、设计说明书；</w:t>
      </w:r>
    </w:p>
    <w:p w14:paraId="6395CE3F">
      <w:pPr>
        <w:widowControl/>
        <w:numPr>
          <w:ilvl w:val="-1"/>
          <w:numId w:val="0"/>
        </w:numPr>
        <w:adjustRightInd/>
        <w:snapToGrid/>
        <w:ind w:left="0" w:firstLine="480" w:firstLineChars="200"/>
        <w:rPr>
          <w:rFonts w:hint="eastAsia" w:hAnsi="宋体" w:cs="宋体"/>
          <w:bCs w:val="0"/>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测试报告；</w:t>
      </w:r>
    </w:p>
    <w:p w14:paraId="05162796">
      <w:pPr>
        <w:widowControl/>
        <w:numPr>
          <w:ilvl w:val="-1"/>
          <w:numId w:val="0"/>
        </w:numPr>
        <w:adjustRightInd/>
        <w:snapToGrid/>
        <w:ind w:left="0" w:firstLine="480" w:firstLineChars="200"/>
        <w:rPr>
          <w:rFonts w:hint="eastAsia" w:hAnsi="宋体" w:cs="宋体"/>
          <w:bCs w:val="0"/>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用户操作手册、系统运维手册以及培训文档等；</w:t>
      </w:r>
    </w:p>
    <w:p w14:paraId="3DF95572">
      <w:pPr>
        <w:widowControl/>
        <w:numPr>
          <w:ilvl w:val="-1"/>
          <w:numId w:val="0"/>
        </w:numPr>
        <w:adjustRightInd/>
        <w:snapToGrid/>
        <w:ind w:left="0"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bCs w:val="0"/>
          <w:color w:val="000000" w:themeColor="text1"/>
          <w:szCs w:val="24"/>
          <w:highlight w:val="none"/>
          <w14:textFill>
            <w14:solidFill>
              <w14:schemeClr w14:val="tx1"/>
            </w14:solidFill>
          </w14:textFill>
        </w:rPr>
        <w:t>试运行报告、项目总结报告、验收报告等</w:t>
      </w:r>
      <w:r>
        <w:rPr>
          <w:rFonts w:hint="eastAsia" w:hAnsi="宋体" w:cs="宋体"/>
          <w:bCs w:val="0"/>
          <w:color w:val="000000" w:themeColor="text1"/>
          <w:szCs w:val="24"/>
          <w:highlight w:val="none"/>
          <w:lang w:eastAsia="zh-CN"/>
          <w14:textFill>
            <w14:solidFill>
              <w14:schemeClr w14:val="tx1"/>
            </w14:solidFill>
          </w14:textFill>
        </w:rPr>
        <w:t>；</w:t>
      </w:r>
    </w:p>
    <w:p w14:paraId="66EB7E6B">
      <w:pPr>
        <w:widowControl/>
        <w:numPr>
          <w:ilvl w:val="-1"/>
          <w:numId w:val="0"/>
        </w:numPr>
        <w:adjustRightInd/>
        <w:snapToGrid/>
        <w:ind w:left="0"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程序源代码；</w:t>
      </w:r>
    </w:p>
    <w:p w14:paraId="59F8EE3C">
      <w:pPr>
        <w:widowControl/>
        <w:numPr>
          <w:ilvl w:val="-1"/>
          <w:numId w:val="0"/>
        </w:numPr>
        <w:adjustRightInd/>
        <w:snapToGrid/>
        <w:ind w:left="0"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数据字典。</w:t>
      </w:r>
    </w:p>
    <w:p w14:paraId="214FD9D9">
      <w:pPr>
        <w:pStyle w:val="3"/>
        <w:numPr>
          <w:ilvl w:val="1"/>
          <w:numId w:val="0"/>
        </w:num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5.5系统维护、售后服务和培训</w:t>
      </w:r>
    </w:p>
    <w:p w14:paraId="0F650EBC">
      <w:pPr>
        <w:bidi w:val="0"/>
        <w:rPr>
          <w:rFonts w:hint="eastAsia"/>
          <w:highlight w:val="none"/>
        </w:rPr>
      </w:pPr>
      <w:r>
        <w:rPr>
          <w:rFonts w:hint="eastAsia"/>
          <w:highlight w:val="none"/>
        </w:rPr>
        <w:t>5.5.1 支持服务保证</w:t>
      </w:r>
    </w:p>
    <w:p w14:paraId="32F2FEEA">
      <w:pPr>
        <w:ind w:firstLine="480"/>
        <w:rPr>
          <w:rFonts w:hint="eastAsia" w:hAnsi="宋体" w:cs="宋体"/>
          <w:szCs w:val="24"/>
          <w:highlight w:val="none"/>
        </w:rPr>
      </w:pPr>
      <w:r>
        <w:rPr>
          <w:rFonts w:hint="eastAsia" w:hAnsi="宋体" w:cs="宋体"/>
          <w:szCs w:val="24"/>
          <w:highlight w:val="none"/>
        </w:rPr>
        <w:t>针对本次建设项目，</w:t>
      </w:r>
      <w:r>
        <w:rPr>
          <w:rFonts w:hint="eastAsia" w:hAnsi="宋体" w:cs="宋体"/>
          <w:szCs w:val="24"/>
          <w:highlight w:val="none"/>
          <w:lang w:eastAsia="zh-CN"/>
        </w:rPr>
        <w:t>供应商</w:t>
      </w:r>
      <w:r>
        <w:rPr>
          <w:rFonts w:hint="eastAsia" w:hAnsi="宋体" w:cs="宋体"/>
          <w:szCs w:val="24"/>
          <w:highlight w:val="none"/>
        </w:rPr>
        <w:t>需支持如下服务保证：</w:t>
      </w:r>
    </w:p>
    <w:p w14:paraId="2F2A2ED3">
      <w:pPr>
        <w:ind w:firstLine="48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lang w:eastAsia="zh-CN"/>
        </w:rPr>
        <w:t>供应商</w:t>
      </w:r>
      <w:r>
        <w:rPr>
          <w:rFonts w:hint="eastAsia" w:hAnsi="宋体" w:cs="宋体"/>
          <w:szCs w:val="24"/>
          <w:highlight w:val="none"/>
        </w:rPr>
        <w:t>必须提供支持服务以保证系统的平稳运行。</w:t>
      </w:r>
    </w:p>
    <w:p w14:paraId="00532A00">
      <w:pPr>
        <w:ind w:firstLine="48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lang w:eastAsia="zh-CN"/>
        </w:rPr>
        <w:t>供应商</w:t>
      </w:r>
      <w:r>
        <w:rPr>
          <w:rFonts w:hint="eastAsia" w:hAnsi="宋体" w:cs="宋体"/>
          <w:szCs w:val="24"/>
          <w:highlight w:val="none"/>
        </w:rPr>
        <w:t>需要与采购人共同合作，统一安排运维管理，保证系统(特别是应用模块)的有效运转。</w:t>
      </w:r>
    </w:p>
    <w:p w14:paraId="117EF135">
      <w:pPr>
        <w:ind w:firstLine="480"/>
        <w:rPr>
          <w:rFonts w:hint="eastAsia" w:hAnsi="宋体" w:cs="宋体"/>
          <w:szCs w:val="24"/>
          <w:highlight w:val="none"/>
        </w:rPr>
      </w:pPr>
      <w:r>
        <w:rPr>
          <w:rFonts w:hint="eastAsia" w:hAnsi="宋体" w:cs="宋体"/>
          <w:szCs w:val="24"/>
          <w:highlight w:val="none"/>
        </w:rPr>
        <w:t>3）</w:t>
      </w:r>
      <w:r>
        <w:rPr>
          <w:rFonts w:hint="eastAsia" w:hAnsi="宋体" w:cs="宋体"/>
          <w:szCs w:val="24"/>
          <w:highlight w:val="none"/>
          <w:lang w:eastAsia="zh-CN"/>
        </w:rPr>
        <w:t>供应商</w:t>
      </w:r>
      <w:r>
        <w:rPr>
          <w:rFonts w:hint="eastAsia" w:hAnsi="宋体" w:cs="宋体"/>
          <w:szCs w:val="24"/>
          <w:highlight w:val="none"/>
        </w:rPr>
        <w:t>需要制定全面的工作计划，保证按照工作计划进行运维管理。</w:t>
      </w:r>
    </w:p>
    <w:p w14:paraId="4DF8425D">
      <w:pPr>
        <w:ind w:firstLine="480"/>
        <w:rPr>
          <w:rFonts w:hint="eastAsia" w:hAnsi="宋体" w:cs="宋体"/>
          <w:szCs w:val="24"/>
          <w:highlight w:val="none"/>
        </w:rPr>
      </w:pPr>
      <w:r>
        <w:rPr>
          <w:rFonts w:hint="eastAsia" w:hAnsi="宋体" w:cs="宋体"/>
          <w:szCs w:val="24"/>
          <w:highlight w:val="none"/>
        </w:rPr>
        <w:t>4）</w:t>
      </w:r>
      <w:r>
        <w:rPr>
          <w:rFonts w:hint="eastAsia" w:hAnsi="宋体" w:cs="宋体"/>
          <w:szCs w:val="24"/>
          <w:highlight w:val="none"/>
          <w:lang w:eastAsia="zh-CN"/>
        </w:rPr>
        <w:t>供应商</w:t>
      </w:r>
      <w:r>
        <w:rPr>
          <w:rFonts w:hint="eastAsia" w:hAnsi="宋体" w:cs="宋体"/>
          <w:szCs w:val="24"/>
          <w:highlight w:val="none"/>
        </w:rPr>
        <w:t>应在合同期内将系统的所有变动详细记录，并有反馈。</w:t>
      </w:r>
    </w:p>
    <w:p w14:paraId="4816D643">
      <w:pPr>
        <w:ind w:firstLine="480"/>
        <w:rPr>
          <w:rFonts w:hint="eastAsia" w:hAnsi="宋体" w:cs="宋体"/>
          <w:szCs w:val="24"/>
          <w:highlight w:val="none"/>
        </w:rPr>
      </w:pPr>
      <w:r>
        <w:rPr>
          <w:rFonts w:hint="eastAsia" w:hAnsi="宋体" w:cs="宋体"/>
          <w:szCs w:val="24"/>
          <w:highlight w:val="none"/>
        </w:rPr>
        <w:t>5）</w:t>
      </w:r>
      <w:r>
        <w:rPr>
          <w:rFonts w:hint="eastAsia" w:hAnsi="宋体" w:cs="宋体"/>
          <w:szCs w:val="24"/>
          <w:highlight w:val="none"/>
          <w:lang w:eastAsia="zh-CN"/>
        </w:rPr>
        <w:t>供应商</w:t>
      </w:r>
      <w:r>
        <w:rPr>
          <w:rFonts w:hint="eastAsia" w:hAnsi="宋体" w:cs="宋体"/>
          <w:szCs w:val="24"/>
          <w:highlight w:val="none"/>
        </w:rPr>
        <w:t>必须保证版本的控制，对所有的应用系统配置、源程序代码、文档等进行有效的管理。</w:t>
      </w:r>
    </w:p>
    <w:p w14:paraId="2F26AAA6">
      <w:pPr>
        <w:ind w:firstLine="480"/>
        <w:rPr>
          <w:rFonts w:hint="eastAsia" w:hAnsi="宋体" w:cs="宋体"/>
          <w:szCs w:val="24"/>
          <w:highlight w:val="none"/>
        </w:rPr>
      </w:pPr>
      <w:r>
        <w:rPr>
          <w:rFonts w:hint="eastAsia" w:hAnsi="宋体" w:cs="宋体"/>
          <w:szCs w:val="24"/>
          <w:highlight w:val="none"/>
        </w:rPr>
        <w:t>6）</w:t>
      </w:r>
      <w:r>
        <w:rPr>
          <w:rFonts w:hint="eastAsia" w:hAnsi="宋体" w:cs="宋体"/>
          <w:szCs w:val="24"/>
          <w:highlight w:val="none"/>
          <w:lang w:eastAsia="zh-CN"/>
        </w:rPr>
        <w:t>供应商</w:t>
      </w:r>
      <w:r>
        <w:rPr>
          <w:rFonts w:hint="eastAsia" w:hAnsi="宋体" w:cs="宋体"/>
          <w:szCs w:val="24"/>
          <w:highlight w:val="none"/>
        </w:rPr>
        <w:t>必须制定安全管理手册，保证系统的可靠性。</w:t>
      </w:r>
    </w:p>
    <w:p w14:paraId="796D61C4">
      <w:pPr>
        <w:ind w:firstLine="480"/>
        <w:rPr>
          <w:rFonts w:hint="eastAsia" w:hAnsi="宋体" w:cs="宋体"/>
          <w:szCs w:val="24"/>
          <w:highlight w:val="none"/>
        </w:rPr>
      </w:pPr>
      <w:r>
        <w:rPr>
          <w:rFonts w:hint="eastAsia" w:hAnsi="宋体" w:cs="宋体"/>
          <w:szCs w:val="24"/>
          <w:highlight w:val="none"/>
        </w:rPr>
        <w:t>7）</w:t>
      </w:r>
      <w:r>
        <w:rPr>
          <w:rFonts w:hint="eastAsia" w:hAnsi="宋体" w:cs="宋体"/>
          <w:szCs w:val="24"/>
          <w:highlight w:val="none"/>
          <w:lang w:eastAsia="zh-CN"/>
        </w:rPr>
        <w:t>供应商</w:t>
      </w:r>
      <w:r>
        <w:rPr>
          <w:rFonts w:hint="eastAsia" w:hAnsi="宋体" w:cs="宋体"/>
          <w:szCs w:val="24"/>
          <w:highlight w:val="none"/>
        </w:rPr>
        <w:t>必须遵从国家卫健委、地方卫生管理机构的统一安全标准。</w:t>
      </w:r>
    </w:p>
    <w:p w14:paraId="744C96A2">
      <w:pPr>
        <w:ind w:firstLine="480"/>
        <w:rPr>
          <w:rFonts w:hint="eastAsia" w:hAnsi="宋体" w:cs="宋体"/>
          <w:szCs w:val="24"/>
          <w:highlight w:val="none"/>
        </w:rPr>
      </w:pPr>
      <w:r>
        <w:rPr>
          <w:rFonts w:hint="eastAsia" w:hAnsi="宋体" w:cs="宋体"/>
          <w:szCs w:val="24"/>
          <w:highlight w:val="none"/>
        </w:rPr>
        <w:t>8）</w:t>
      </w:r>
      <w:r>
        <w:rPr>
          <w:rFonts w:hint="eastAsia" w:hAnsi="宋体" w:cs="宋体"/>
          <w:szCs w:val="24"/>
          <w:highlight w:val="none"/>
          <w:lang w:eastAsia="zh-CN"/>
        </w:rPr>
        <w:t>供应商</w:t>
      </w:r>
      <w:r>
        <w:rPr>
          <w:rFonts w:hint="eastAsia" w:hAnsi="宋体" w:cs="宋体"/>
          <w:szCs w:val="24"/>
          <w:highlight w:val="none"/>
        </w:rPr>
        <w:t>对系统的任何改动都应该通知采购人。</w:t>
      </w:r>
    </w:p>
    <w:p w14:paraId="393BBD90">
      <w:pPr>
        <w:bidi w:val="0"/>
        <w:rPr>
          <w:rFonts w:hint="eastAsia"/>
          <w:highlight w:val="none"/>
        </w:rPr>
      </w:pPr>
      <w:r>
        <w:rPr>
          <w:rFonts w:hint="eastAsia"/>
          <w:highlight w:val="none"/>
        </w:rPr>
        <w:t>5.5.2 需求收集及开发</w:t>
      </w:r>
    </w:p>
    <w:p w14:paraId="43E408C4">
      <w:pPr>
        <w:ind w:firstLine="48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lang w:eastAsia="zh-CN"/>
        </w:rPr>
        <w:t>供应商</w:t>
      </w:r>
      <w:r>
        <w:rPr>
          <w:rFonts w:hint="eastAsia" w:hAnsi="宋体" w:cs="宋体"/>
          <w:szCs w:val="24"/>
          <w:highlight w:val="none"/>
        </w:rPr>
        <w:t>承担从医院收集需求的工作，用户需求规格说明书将由采购人签字盖章后确认。</w:t>
      </w:r>
    </w:p>
    <w:p w14:paraId="1E311DAC">
      <w:pPr>
        <w:ind w:firstLine="480"/>
        <w:rPr>
          <w:rFonts w:hint="eastAsia" w:hAnsi="宋体" w:cs="宋体"/>
          <w:szCs w:val="24"/>
          <w:highlight w:val="none"/>
        </w:rPr>
      </w:pPr>
      <w:r>
        <w:rPr>
          <w:rFonts w:hint="eastAsia" w:hAnsi="宋体" w:cs="宋体"/>
          <w:szCs w:val="24"/>
          <w:highlight w:val="none"/>
        </w:rPr>
        <w:t>2）每个模块需要依据医院指定的业务科室负责人，对</w:t>
      </w:r>
      <w:r>
        <w:rPr>
          <w:rFonts w:hint="eastAsia" w:hAnsi="宋体" w:cs="宋体"/>
          <w:szCs w:val="24"/>
          <w:highlight w:val="none"/>
          <w:lang w:eastAsia="zh-CN"/>
        </w:rPr>
        <w:t>供应商</w:t>
      </w:r>
      <w:r>
        <w:rPr>
          <w:rFonts w:hint="eastAsia" w:hAnsi="宋体" w:cs="宋体"/>
          <w:szCs w:val="24"/>
          <w:highlight w:val="none"/>
        </w:rPr>
        <w:t>收集的需求进行确认。在不超出模块整体业务架构的前提下，以业务科室确认的需求作为开发、上线和验收依据。</w:t>
      </w:r>
    </w:p>
    <w:p w14:paraId="5D4C1A7C">
      <w:pPr>
        <w:ind w:firstLine="480"/>
        <w:rPr>
          <w:rFonts w:hint="eastAsia" w:hAnsi="宋体" w:cs="宋体"/>
          <w:szCs w:val="24"/>
          <w:highlight w:val="none"/>
        </w:rPr>
      </w:pPr>
      <w:r>
        <w:rPr>
          <w:rFonts w:hint="eastAsia" w:hAnsi="宋体" w:cs="宋体"/>
          <w:szCs w:val="24"/>
          <w:highlight w:val="none"/>
        </w:rPr>
        <w:t>3）</w:t>
      </w:r>
      <w:r>
        <w:rPr>
          <w:rFonts w:hint="eastAsia" w:hAnsi="宋体" w:cs="宋体"/>
          <w:szCs w:val="24"/>
          <w:highlight w:val="none"/>
          <w:lang w:eastAsia="zh-CN"/>
        </w:rPr>
        <w:t>供应商</w:t>
      </w:r>
      <w:r>
        <w:rPr>
          <w:rFonts w:hint="eastAsia" w:hAnsi="宋体" w:cs="宋体"/>
          <w:szCs w:val="24"/>
          <w:highlight w:val="none"/>
        </w:rPr>
        <w:t>需要对用户需求做进一步的分析与处理，并将其转化成技术需求规格，报告给采购人。</w:t>
      </w:r>
    </w:p>
    <w:p w14:paraId="4BA1006E">
      <w:pPr>
        <w:ind w:firstLine="480"/>
        <w:rPr>
          <w:rFonts w:hint="eastAsia" w:hAnsi="宋体" w:cs="宋体"/>
          <w:szCs w:val="24"/>
          <w:highlight w:val="none"/>
        </w:rPr>
      </w:pPr>
      <w:r>
        <w:rPr>
          <w:rFonts w:hint="eastAsia" w:hAnsi="宋体" w:cs="宋体"/>
          <w:szCs w:val="24"/>
          <w:highlight w:val="none"/>
        </w:rPr>
        <w:t>4）通过对医院现有系统产生数据的梳理，</w:t>
      </w:r>
      <w:r>
        <w:rPr>
          <w:rFonts w:hint="eastAsia" w:hAnsi="宋体" w:cs="宋体"/>
          <w:szCs w:val="24"/>
          <w:highlight w:val="none"/>
          <w:lang w:eastAsia="zh-CN"/>
        </w:rPr>
        <w:t>供应商</w:t>
      </w:r>
      <w:r>
        <w:rPr>
          <w:rFonts w:hint="eastAsia" w:hAnsi="宋体" w:cs="宋体"/>
          <w:szCs w:val="24"/>
          <w:highlight w:val="none"/>
        </w:rPr>
        <w:t>应对医院业务信息系统中的不合理环节提出改进意见，以帮助采购人提高整体信息化建设的水平。</w:t>
      </w:r>
    </w:p>
    <w:p w14:paraId="7A9A5FB0">
      <w:pPr>
        <w:bidi w:val="0"/>
        <w:rPr>
          <w:rFonts w:hint="eastAsia"/>
          <w:highlight w:val="none"/>
        </w:rPr>
      </w:pPr>
      <w:r>
        <w:rPr>
          <w:rFonts w:hint="eastAsia"/>
          <w:highlight w:val="none"/>
        </w:rPr>
        <w:t>5.5.3 平台软件的支持服务</w:t>
      </w:r>
    </w:p>
    <w:p w14:paraId="0F55DA14">
      <w:pPr>
        <w:ind w:firstLine="48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lang w:eastAsia="zh-CN"/>
        </w:rPr>
        <w:t>供应商</w:t>
      </w:r>
      <w:r>
        <w:rPr>
          <w:rFonts w:hint="eastAsia" w:hAnsi="宋体" w:cs="宋体"/>
          <w:szCs w:val="24"/>
          <w:highlight w:val="none"/>
        </w:rPr>
        <w:t>应该提供各类技术人员的职责与联系方式，方便用户与相关人员的沟通，协助制定系统的操作规范。</w:t>
      </w:r>
    </w:p>
    <w:p w14:paraId="6B9BDD8C">
      <w:pPr>
        <w:ind w:firstLine="48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lang w:eastAsia="zh-CN"/>
        </w:rPr>
        <w:t>供应商</w:t>
      </w:r>
      <w:r>
        <w:rPr>
          <w:rFonts w:hint="eastAsia" w:hAnsi="宋体" w:cs="宋体"/>
          <w:szCs w:val="24"/>
          <w:highlight w:val="none"/>
        </w:rPr>
        <w:t>应该在项目的实施过程中提供软件支持的服务，这些服务应该包括：</w:t>
      </w:r>
    </w:p>
    <w:p w14:paraId="558F2B1C">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对影响到系统平稳作业以及应用模块操作使用的问题解答与分析，并提出解决方案；</w:t>
      </w:r>
    </w:p>
    <w:p w14:paraId="7075B6B2">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定期进行程序错误的修改、维护、实施；</w:t>
      </w:r>
    </w:p>
    <w:p w14:paraId="6EEECF96">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对所有的维护活动进行记录，并形成规范的文档，例如记录时间、地点、原因等，最后还要注明完成的时间和人员；</w:t>
      </w:r>
    </w:p>
    <w:p w14:paraId="5A9E9052">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提供7*24小时的现场维护和故障解决；</w:t>
      </w:r>
    </w:p>
    <w:p w14:paraId="10138A1C">
      <w:pPr>
        <w:ind w:firstLine="480"/>
        <w:rPr>
          <w:rFonts w:hint="eastAsia" w:hAnsi="宋体" w:cs="宋体"/>
          <w:szCs w:val="24"/>
          <w:highlight w:val="none"/>
        </w:rPr>
      </w:pPr>
      <w:r>
        <w:rPr>
          <w:rFonts w:hint="eastAsia" w:hAnsi="宋体" w:cs="宋体"/>
          <w:szCs w:val="24"/>
          <w:highlight w:val="none"/>
        </w:rPr>
        <w:t>3）</w:t>
      </w:r>
      <w:r>
        <w:rPr>
          <w:rFonts w:hint="eastAsia" w:hAnsi="宋体" w:cs="宋体"/>
          <w:szCs w:val="24"/>
          <w:highlight w:val="none"/>
          <w:lang w:eastAsia="zh-CN"/>
        </w:rPr>
        <w:t>供应商</w:t>
      </w:r>
      <w:r>
        <w:rPr>
          <w:rFonts w:hint="eastAsia" w:hAnsi="宋体" w:cs="宋体"/>
          <w:szCs w:val="24"/>
          <w:highlight w:val="none"/>
        </w:rPr>
        <w:t>应提供系统的维护服务，维护服务包含但不局限于以下几点：</w:t>
      </w:r>
    </w:p>
    <w:p w14:paraId="58A6125C">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管理、维护系统以及与其他系统的接口；</w:t>
      </w:r>
    </w:p>
    <w:p w14:paraId="761B4A7B">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问题解答、问题分析、与其他合作方的协作；</w:t>
      </w:r>
    </w:p>
    <w:p w14:paraId="10054294">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修正应用软件的错误；</w:t>
      </w:r>
    </w:p>
    <w:p w14:paraId="34D7DED7">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维护服务必须保证系统的一致性与稳定性，不能因维护导致系统故障宕机；</w:t>
      </w:r>
    </w:p>
    <w:p w14:paraId="588CA4FD">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对医院系统的每一次改变或是升级都必须对照用户需求，确保每次改变或升级后原有应用功能都能正常运行；</w:t>
      </w:r>
    </w:p>
    <w:p w14:paraId="26A2514F">
      <w:pPr>
        <w:pStyle w:val="37"/>
        <w:widowControl w:val="0"/>
        <w:numPr>
          <w:ilvl w:val="0"/>
          <w:numId w:val="28"/>
        </w:numPr>
        <w:tabs>
          <w:tab w:val="left" w:pos="312"/>
        </w:tabs>
        <w:ind w:left="480" w:hanging="480" w:firstLineChars="0"/>
        <w:rPr>
          <w:rFonts w:hint="eastAsia" w:hAnsi="宋体" w:cs="宋体"/>
          <w:szCs w:val="24"/>
          <w:highlight w:val="none"/>
        </w:rPr>
      </w:pPr>
      <w:r>
        <w:rPr>
          <w:rFonts w:hint="eastAsia" w:hAnsi="宋体" w:cs="宋体"/>
          <w:szCs w:val="24"/>
          <w:highlight w:val="none"/>
        </w:rPr>
        <w:t>评估并保证建议的解决方案完全符合采购方目前的操作模式，对现有系统的正常运作没有影响，所有的调优或修改建议不得降低系统和现有业务信息系统的性能与可用性。</w:t>
      </w:r>
    </w:p>
    <w:p w14:paraId="3C15FD8B">
      <w:pPr>
        <w:bidi w:val="0"/>
        <w:rPr>
          <w:rFonts w:hint="eastAsia"/>
          <w:highlight w:val="none"/>
        </w:rPr>
      </w:pPr>
      <w:r>
        <w:rPr>
          <w:rFonts w:hint="eastAsia"/>
          <w:highlight w:val="none"/>
        </w:rPr>
        <w:t>5.5.4 免费维护期</w:t>
      </w:r>
    </w:p>
    <w:p w14:paraId="32ACA007">
      <w:pPr>
        <w:pStyle w:val="53"/>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设立常驻售后服务机构，提供应用软件验收后1年的7*24小时的免费维护。</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所提供的应用软件维护服务需包括但不限于免费功能增强性维护、软件升级和免费技术维护服务（如系统维护、跟踪检测等），保证</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所投软件系统的正常运行。免费维护期内</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应对系统进行优化和常规安全检查，提供</w:t>
      </w:r>
      <w:r>
        <w:rPr>
          <w:rFonts w:ascii="宋体" w:hAnsi="宋体" w:cs="宋体"/>
          <w:color w:val="000000" w:themeColor="text1"/>
          <w:sz w:val="24"/>
          <w:szCs w:val="24"/>
          <w:highlight w:val="none"/>
          <w14:textFill>
            <w14:solidFill>
              <w14:schemeClr w14:val="tx1"/>
            </w14:solidFill>
          </w14:textFill>
        </w:rPr>
        <w:t>7*24小时故障响应人工热线</w:t>
      </w:r>
      <w:r>
        <w:rPr>
          <w:rFonts w:hint="eastAsia" w:ascii="宋体" w:hAnsi="宋体" w:cs="宋体"/>
          <w:color w:val="000000" w:themeColor="text1"/>
          <w:sz w:val="24"/>
          <w:szCs w:val="24"/>
          <w:highlight w:val="none"/>
          <w14:textFill>
            <w14:solidFill>
              <w14:schemeClr w14:val="tx1"/>
            </w14:solidFill>
          </w14:textFill>
        </w:rPr>
        <w:t>，并提供每</w:t>
      </w:r>
      <w:r>
        <w:rPr>
          <w:rFonts w:hint="eastAsia" w:ascii="宋体" w:hAnsi="宋体" w:cs="宋体"/>
          <w:color w:val="000000" w:themeColor="text1"/>
          <w:sz w:val="24"/>
          <w:szCs w:val="24"/>
          <w:highlight w:val="none"/>
          <w:lang w:val="en-US" w:eastAsia="zh-CN"/>
          <w14:textFill>
            <w14:solidFill>
              <w14:schemeClr w14:val="tx1"/>
            </w14:solidFill>
          </w14:textFill>
        </w:rPr>
        <w:t>周不少于1</w:t>
      </w:r>
      <w:r>
        <w:rPr>
          <w:rFonts w:hint="eastAsia" w:ascii="宋体" w:hAnsi="宋体" w:cs="宋体"/>
          <w:color w:val="000000" w:themeColor="text1"/>
          <w:sz w:val="24"/>
          <w:szCs w:val="24"/>
          <w:highlight w:val="none"/>
          <w14:textFill>
            <w14:solidFill>
              <w14:schemeClr w14:val="tx1"/>
            </w14:solidFill>
          </w14:textFill>
        </w:rPr>
        <w:t>次的</w:t>
      </w:r>
      <w:r>
        <w:rPr>
          <w:rFonts w:hint="eastAsia" w:ascii="宋体" w:hAnsi="宋体" w:cs="宋体"/>
          <w:color w:val="000000" w:themeColor="text1"/>
          <w:sz w:val="24"/>
          <w:szCs w:val="24"/>
          <w:highlight w:val="none"/>
          <w:lang w:val="en-US" w:eastAsia="zh-CN"/>
          <w14:textFill>
            <w14:solidFill>
              <w14:schemeClr w14:val="tx1"/>
            </w14:solidFill>
          </w14:textFill>
        </w:rPr>
        <w:t>每周巡检</w:t>
      </w:r>
      <w:r>
        <w:rPr>
          <w:rFonts w:hint="eastAsia" w:ascii="宋体" w:hAnsi="宋体" w:cs="宋体"/>
          <w:color w:val="000000" w:themeColor="text1"/>
          <w:sz w:val="24"/>
          <w:szCs w:val="24"/>
          <w:highlight w:val="none"/>
          <w14:textFill>
            <w14:solidFill>
              <w14:schemeClr w14:val="tx1"/>
            </w14:solidFill>
          </w14:textFill>
        </w:rPr>
        <w:t>服务；工作日白天（</w:t>
      </w:r>
      <w:r>
        <w:rPr>
          <w:rFonts w:ascii="宋体" w:hAnsi="宋体" w:cs="宋体"/>
          <w:color w:val="000000" w:themeColor="text1"/>
          <w:sz w:val="24"/>
          <w:szCs w:val="24"/>
          <w:highlight w:val="none"/>
          <w14:textFill>
            <w14:solidFill>
              <w14:schemeClr w14:val="tx1"/>
            </w14:solidFill>
          </w14:textFill>
        </w:rPr>
        <w:t>8:00-17:30）故障响应时间不超过10分钟，</w:t>
      </w:r>
      <w:r>
        <w:rPr>
          <w:rFonts w:hint="eastAsia" w:ascii="宋体" w:hAnsi="宋体" w:cs="宋体"/>
          <w:color w:val="000000" w:themeColor="text1"/>
          <w:sz w:val="24"/>
          <w:szCs w:val="24"/>
          <w:highlight w:val="none"/>
          <w:lang w:val="en-US" w:eastAsia="zh-CN"/>
          <w14:textFill>
            <w14:solidFill>
              <w14:schemeClr w14:val="tx1"/>
            </w14:solidFill>
          </w14:textFill>
        </w:rPr>
        <w:t>半</w:t>
      </w:r>
      <w:r>
        <w:rPr>
          <w:rFonts w:ascii="宋体" w:hAnsi="宋体" w:cs="宋体"/>
          <w:color w:val="000000" w:themeColor="text1"/>
          <w:sz w:val="24"/>
          <w:szCs w:val="24"/>
          <w:highlight w:val="none"/>
          <w14:textFill>
            <w14:solidFill>
              <w14:schemeClr w14:val="tx1"/>
            </w14:solidFill>
          </w14:textFill>
        </w:rPr>
        <w:t>小时到达现场；非工作日及夜间故障响应时间为不超过30分钟，</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小时到达现场；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小时内修复。</w:t>
      </w:r>
    </w:p>
    <w:p w14:paraId="238400EA">
      <w:pPr>
        <w:pStyle w:val="53"/>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w:t>
      </w:r>
      <w:r>
        <w:rPr>
          <w:rFonts w:hint="eastAsia" w:ascii="宋体" w:hAnsi="宋体" w:cs="宋体"/>
          <w:color w:val="000000" w:themeColor="text1"/>
          <w:sz w:val="24"/>
          <w:szCs w:val="24"/>
          <w:highlight w:val="none"/>
          <w14:textFill>
            <w14:solidFill>
              <w14:schemeClr w14:val="tx1"/>
            </w14:solidFill>
          </w14:textFill>
        </w:rPr>
        <w:t>免费维护期为自验收</w:t>
      </w:r>
      <w:r>
        <w:rPr>
          <w:rFonts w:hint="eastAsia" w:ascii="宋体" w:hAnsi="宋体" w:cs="宋体"/>
          <w:color w:val="000000" w:themeColor="text1"/>
          <w:sz w:val="24"/>
          <w:szCs w:val="24"/>
          <w:highlight w:val="none"/>
          <w:lang w:val="en-US" w:eastAsia="zh-CN"/>
          <w14:textFill>
            <w14:solidFill>
              <w14:schemeClr w14:val="tx1"/>
            </w14:solidFill>
          </w14:textFill>
        </w:rPr>
        <w:t>通过</w:t>
      </w:r>
      <w:r>
        <w:rPr>
          <w:rFonts w:hint="eastAsia" w:ascii="宋体" w:hAnsi="宋体" w:cs="宋体"/>
          <w:color w:val="000000" w:themeColor="text1"/>
          <w:sz w:val="24"/>
          <w:szCs w:val="24"/>
          <w:highlight w:val="none"/>
          <w14:textFill>
            <w14:solidFill>
              <w14:schemeClr w14:val="tx1"/>
            </w14:solidFill>
          </w14:textFill>
        </w:rPr>
        <w:t>之日起1年。</w:t>
      </w:r>
    </w:p>
    <w:p w14:paraId="6C3DB7CC">
      <w:pPr>
        <w:bidi w:val="0"/>
        <w:rPr>
          <w:rFonts w:hint="eastAsia"/>
          <w:highlight w:val="none"/>
        </w:rPr>
      </w:pPr>
      <w:r>
        <w:rPr>
          <w:rFonts w:hint="eastAsia"/>
          <w:highlight w:val="none"/>
        </w:rPr>
        <w:t>5.5.5 售后服务</w:t>
      </w:r>
    </w:p>
    <w:p w14:paraId="16C10CB7">
      <w:pPr>
        <w:widowControl w:val="0"/>
        <w:numPr>
          <w:ilvl w:val="0"/>
          <w:numId w:val="29"/>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负责所供软件及配套产品的售后服务，包括提供所供产品技术咨询、技术培训、</w:t>
      </w:r>
      <w:r>
        <w:rPr>
          <w:rFonts w:hint="eastAsia" w:hAnsi="宋体" w:cs="宋体"/>
          <w:color w:val="000000" w:themeColor="text1"/>
          <w:szCs w:val="24"/>
          <w:highlight w:val="none"/>
          <w14:textFill>
            <w14:solidFill>
              <w14:schemeClr w14:val="tx1"/>
            </w14:solidFill>
          </w14:textFill>
        </w:rPr>
        <w:t>到货验收、安装调试以及负责所供产品的保修及其它售后技术服务。</w:t>
      </w:r>
    </w:p>
    <w:p w14:paraId="071188D9">
      <w:pPr>
        <w:widowControl w:val="0"/>
        <w:numPr>
          <w:ilvl w:val="0"/>
          <w:numId w:val="29"/>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需作出无推诿承诺。即</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应提供特殊措施，无论由于哪一方产生的问题而使系统发生不正常情况时，在得到用户方通知后，立即派工程师到现场，全力协助系统集成商和其他供应商，使系统尽快恢复正常。</w:t>
      </w:r>
    </w:p>
    <w:p w14:paraId="46BBA16E">
      <w:pPr>
        <w:widowControl w:val="0"/>
        <w:numPr>
          <w:ilvl w:val="0"/>
          <w:numId w:val="29"/>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应提供中文电话免费咨询服务。</w:t>
      </w:r>
    </w:p>
    <w:p w14:paraId="272CE66F">
      <w:pPr>
        <w:widowControl w:val="0"/>
        <w:numPr>
          <w:ilvl w:val="0"/>
          <w:numId w:val="29"/>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在质保期结束前，需由</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工程师和用户代表进行一次全面检查，任何缺陷由</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负责修理，在修理之后，</w:t>
      </w: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应将缺陷原因、修理内容、完成修理及恢复正常的时间和日期等报告给用户，报告一式两份。</w:t>
      </w:r>
    </w:p>
    <w:p w14:paraId="0090F244">
      <w:pPr>
        <w:widowControl w:val="0"/>
        <w:numPr>
          <w:ilvl w:val="0"/>
          <w:numId w:val="29"/>
        </w:numPr>
        <w:adjustRightInd w:val="0"/>
        <w:snapToGrid w:val="0"/>
        <w:ind w:left="0" w:firstLine="48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为切实保障应用软件功能系统的顺利运行，总体方案需要考虑相关的培训功能。为工程提供优质的整体服务，保障工程的整体质量。培训应包括对运行平台的技术培训，以及对应用功能软件的操作培训。</w:t>
      </w:r>
    </w:p>
    <w:p w14:paraId="7B5FEE7D">
      <w:pPr>
        <w:bidi w:val="0"/>
        <w:rPr>
          <w:rFonts w:hint="eastAsia"/>
          <w:highlight w:val="none"/>
        </w:rPr>
      </w:pPr>
      <w:r>
        <w:rPr>
          <w:rFonts w:hint="eastAsia"/>
          <w:highlight w:val="none"/>
        </w:rPr>
        <w:t>5.5.6 人员培训</w:t>
      </w:r>
    </w:p>
    <w:p w14:paraId="2A4D2002">
      <w:pPr>
        <w:autoSpaceDE w:val="0"/>
        <w:autoSpaceDN w:val="0"/>
        <w:adjustRightInd w:val="0"/>
        <w:snapToGrid w:val="0"/>
        <w:ind w:firstLine="480"/>
        <w:rPr>
          <w:rFonts w:hint="eastAsia" w:hAnsi="宋体" w:cs="宋体"/>
          <w:bCs/>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供应商</w:t>
      </w:r>
      <w:r>
        <w:rPr>
          <w:rFonts w:hint="eastAsia" w:hAnsi="宋体" w:cs="宋体"/>
          <w:color w:val="000000" w:themeColor="text1"/>
          <w:szCs w:val="24"/>
          <w:highlight w:val="none"/>
          <w14:textFill>
            <w14:solidFill>
              <w14:schemeClr w14:val="tx1"/>
            </w14:solidFill>
          </w14:textFill>
        </w:rPr>
        <w:t>应负责使用人员的培训及考核。并在项目实施后继续按照用户方要求继续定期培训和考核（包括远程在线培训以及培训过程的DVD、视频录制）。培训对象包括用户方的系统管理员、日常维护人员、技术层面人员（包括系统开发、程序版本控制、数据库维护）；用户方和各医院的管理人员、操作员。系统管理人员培训内容为系统中涉及的相关技术内容；管理人员培训内容为系统流程和相关管理思想；操作员培训内容为系统的操作培训</w:t>
      </w:r>
      <w:r>
        <w:rPr>
          <w:rFonts w:hint="eastAsia" w:hAnsi="宋体" w:cs="宋体"/>
          <w:bCs/>
          <w:color w:val="000000" w:themeColor="text1"/>
          <w:szCs w:val="24"/>
          <w:highlight w:val="none"/>
          <w14:textFill>
            <w14:solidFill>
              <w14:schemeClr w14:val="tx1"/>
            </w14:solidFill>
          </w14:textFill>
        </w:rPr>
        <w:t>。</w:t>
      </w:r>
    </w:p>
    <w:p w14:paraId="6D41631C">
      <w:pPr>
        <w:autoSpaceDE w:val="0"/>
        <w:autoSpaceDN w:val="0"/>
        <w:adjustRightInd w:val="0"/>
        <w:snapToGrid w:val="0"/>
        <w:ind w:firstLine="48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val="en-US" w:eastAsia="zh-CN"/>
          <w14:textFill>
            <w14:solidFill>
              <w14:schemeClr w14:val="tx1"/>
            </w14:solidFill>
          </w14:textFill>
        </w:rPr>
        <w:t>5.5.7</w:t>
      </w:r>
      <w:r>
        <w:rPr>
          <w:rFonts w:hint="eastAsia" w:hAnsi="宋体" w:cs="宋体"/>
          <w:bCs/>
          <w:color w:val="000000" w:themeColor="text1"/>
          <w:szCs w:val="24"/>
          <w:highlight w:val="none"/>
          <w14:textFill>
            <w14:solidFill>
              <w14:schemeClr w14:val="tx1"/>
            </w14:solidFill>
          </w14:textFill>
        </w:rPr>
        <w:t>免费维护期后服务</w:t>
      </w:r>
    </w:p>
    <w:p w14:paraId="77E19A74">
      <w:pPr>
        <w:autoSpaceDE w:val="0"/>
        <w:autoSpaceDN w:val="0"/>
        <w:adjustRightInd w:val="0"/>
        <w:snapToGrid w:val="0"/>
        <w:ind w:firstLine="480"/>
        <w:rPr>
          <w:rFonts w:hint="eastAsia" w:hAnsi="宋体" w:eastAsia="宋体" w:cs="宋体"/>
          <w:bCs/>
          <w:color w:val="000000" w:themeColor="text1"/>
          <w:szCs w:val="24"/>
          <w:highlight w:val="none"/>
          <w:lang w:eastAsia="zh-CN"/>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供应商对</w:t>
      </w:r>
      <w:r>
        <w:rPr>
          <w:rFonts w:hint="eastAsia" w:hAnsi="宋体" w:cs="宋体"/>
          <w:bCs/>
          <w:color w:val="000000" w:themeColor="text1"/>
          <w:szCs w:val="24"/>
          <w:highlight w:val="none"/>
          <w14:textFill>
            <w14:solidFill>
              <w14:schemeClr w14:val="tx1"/>
            </w14:solidFill>
          </w14:textFill>
        </w:rPr>
        <w:t>免费维护期后的服务方案情况及年维护费用报价</w:t>
      </w:r>
      <w:r>
        <w:rPr>
          <w:rFonts w:hint="eastAsia" w:hAnsi="宋体" w:cs="宋体"/>
          <w:bCs/>
          <w:color w:val="000000" w:themeColor="text1"/>
          <w:szCs w:val="24"/>
          <w:highlight w:val="none"/>
          <w:lang w:eastAsia="zh-CN"/>
          <w14:textFill>
            <w14:solidFill>
              <w14:schemeClr w14:val="tx1"/>
            </w14:solidFill>
          </w14:textFill>
        </w:rPr>
        <w:t>作出说明。</w:t>
      </w:r>
    </w:p>
    <w:p w14:paraId="6BD1A419">
      <w:pPr>
        <w:pStyle w:val="3"/>
        <w:numPr>
          <w:ilvl w:val="1"/>
          <w:numId w:val="0"/>
        </w:numPr>
        <w:rPr>
          <w:rFonts w:hint="eastAsia" w:hAnsi="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5.6</w:t>
      </w:r>
      <w:r>
        <w:rPr>
          <w:rFonts w:hint="eastAsia" w:hAnsi="宋体" w:cs="宋体"/>
          <w:color w:val="000000" w:themeColor="text1"/>
          <w:sz w:val="30"/>
          <w:szCs w:val="30"/>
          <w:highlight w:val="none"/>
          <w14:textFill>
            <w14:solidFill>
              <w14:schemeClr w14:val="tx1"/>
            </w14:solidFill>
          </w14:textFill>
        </w:rPr>
        <w:t>知识产权承诺</w:t>
      </w:r>
    </w:p>
    <w:p w14:paraId="649135D6">
      <w:pPr>
        <w:widowControl w:val="0"/>
        <w:numPr>
          <w:ilvl w:val="0"/>
          <w:numId w:val="30"/>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本项目中形成的知识产权（包含需求分析、系统设计、软件程序、核心技术、数据标准、接口规范、知识库、专有方法、模板、工具包、培训材料、专有数据、技术文档、服务模式、运作模式、系统建设指南等，但不限于上述形式）归建设单位所有。</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向建设单位交付的信息系统已享有知识产权的，建设单位在许可范围内合理使用。</w:t>
      </w:r>
    </w:p>
    <w:p w14:paraId="31CB3C2B">
      <w:pPr>
        <w:widowControl w:val="0"/>
        <w:numPr>
          <w:ilvl w:val="0"/>
          <w:numId w:val="30"/>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本项目中形成的知识产权的申请权、所有权与利益（包括：专利权、商标权、著作权、</w:t>
      </w:r>
      <w:r>
        <w:rPr>
          <w:highlight w:val="none"/>
        </w:rPr>
        <w:fldChar w:fldCharType="begin"/>
      </w:r>
      <w:r>
        <w:rPr>
          <w:highlight w:val="none"/>
        </w:rP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rPr>
          <w:highlight w:val="none"/>
        </w:rPr>
        <w:fldChar w:fldCharType="separate"/>
      </w:r>
      <w:r>
        <w:rPr>
          <w:rFonts w:hint="eastAsia" w:hAnsi="宋体" w:cs="宋体"/>
          <w:bCs/>
          <w:color w:val="000000" w:themeColor="text1"/>
          <w:szCs w:val="24"/>
          <w:highlight w:val="none"/>
          <w14:textFill>
            <w14:solidFill>
              <w14:schemeClr w14:val="tx1"/>
            </w14:solidFill>
          </w14:textFill>
        </w:rPr>
        <w:t>商业秘密</w:t>
      </w:r>
      <w:r>
        <w:rPr>
          <w:rFonts w:hint="eastAsia" w:hAnsi="宋体" w:cs="宋体"/>
          <w:bCs/>
          <w:color w:val="000000" w:themeColor="text1"/>
          <w:szCs w:val="24"/>
          <w:highlight w:val="none"/>
          <w14:textFill>
            <w14:solidFill>
              <w14:schemeClr w14:val="tx1"/>
            </w14:solidFill>
          </w14:textFill>
        </w:rPr>
        <w:fldChar w:fldCharType="end"/>
      </w:r>
      <w:r>
        <w:rPr>
          <w:rFonts w:hint="eastAsia" w:hAnsi="宋体" w:cs="宋体"/>
          <w:bCs/>
          <w:color w:val="000000" w:themeColor="text1"/>
          <w:szCs w:val="24"/>
          <w:highlight w:val="none"/>
          <w14:textFill>
            <w14:solidFill>
              <w14:schemeClr w14:val="tx1"/>
            </w14:solidFill>
          </w14:textFill>
        </w:rPr>
        <w:t>专有权等，但不限于上述权益的申请权）归建设单位所有。未经建设单位书面同意，</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不得以任何形式申请。</w:t>
      </w:r>
    </w:p>
    <w:p w14:paraId="5CD006E6">
      <w:pPr>
        <w:widowControl w:val="0"/>
        <w:numPr>
          <w:ilvl w:val="0"/>
          <w:numId w:val="30"/>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不得以任何形式侵害本项目中形成的知识产权。未经建设单位书面同意，</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不得以任何形式提供或出售给同行业/同性质单位使用。若发生侵害行为，</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则全额赔付建设单位本项目中标金额以及</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通过侵害行为获得的全部收益。</w:t>
      </w:r>
    </w:p>
    <w:p w14:paraId="33A5981F">
      <w:pPr>
        <w:widowControl w:val="0"/>
        <w:numPr>
          <w:ilvl w:val="0"/>
          <w:numId w:val="30"/>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没有建设单位明示的书面同意，</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不能作出关于本项目或者其条款的任何新闻公告、媒体宣传或其他形式的公开披露。</w:t>
      </w:r>
    </w:p>
    <w:p w14:paraId="72C9ACAF">
      <w:pPr>
        <w:widowControl w:val="0"/>
        <w:numPr>
          <w:ilvl w:val="0"/>
          <w:numId w:val="30"/>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提供的产品和服务等不得侵犯任何第三方的知识产权。若发生侵权行为，一切法律责任、后果及损失均由</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承担，建设单位不承担任何法律责任及后果，且保留追责权。</w:t>
      </w:r>
    </w:p>
    <w:p w14:paraId="3DF2A418">
      <w:pPr>
        <w:pStyle w:val="3"/>
        <w:numPr>
          <w:ilvl w:val="1"/>
          <w:numId w:val="0"/>
        </w:numPr>
        <w:rPr>
          <w:rFonts w:hint="eastAsia" w:hAnsi="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5.7</w:t>
      </w:r>
      <w:r>
        <w:rPr>
          <w:rFonts w:hint="eastAsia" w:hAnsi="宋体" w:cs="宋体"/>
          <w:color w:val="000000" w:themeColor="text1"/>
          <w:sz w:val="30"/>
          <w:szCs w:val="30"/>
          <w:highlight w:val="none"/>
          <w14:textFill>
            <w14:solidFill>
              <w14:schemeClr w14:val="tx1"/>
            </w14:solidFill>
          </w14:textFill>
        </w:rPr>
        <w:t>保密承诺</w:t>
      </w:r>
    </w:p>
    <w:p w14:paraId="208E0390">
      <w:pPr>
        <w:widowControl w:val="0"/>
        <w:numPr>
          <w:ilvl w:val="0"/>
          <w:numId w:val="31"/>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w:t>
      </w: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将承担由此产生的一切后果。</w:t>
      </w:r>
    </w:p>
    <w:p w14:paraId="032B72CC">
      <w:pPr>
        <w:widowControl w:val="0"/>
        <w:numPr>
          <w:ilvl w:val="0"/>
          <w:numId w:val="31"/>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lang w:eastAsia="zh-CN"/>
          <w14:textFill>
            <w14:solidFill>
              <w14:schemeClr w14:val="tx1"/>
            </w14:solidFill>
          </w14:textFill>
        </w:rPr>
        <w:t>供应商</w:t>
      </w:r>
      <w:r>
        <w:rPr>
          <w:rFonts w:hint="eastAsia" w:hAnsi="宋体" w:cs="宋体"/>
          <w:bCs/>
          <w:color w:val="000000" w:themeColor="text1"/>
          <w:szCs w:val="24"/>
          <w:highlight w:val="none"/>
          <w14:textFill>
            <w14:solidFill>
              <w14:schemeClr w14:val="tx1"/>
            </w14:solidFill>
          </w14:textFill>
        </w:rPr>
        <w:t>不以实施项目为名，侵害本项目各参与单位的技术、商业秘密或者知识产权。</w:t>
      </w:r>
    </w:p>
    <w:p w14:paraId="48EE5FC5">
      <w:pPr>
        <w:pStyle w:val="3"/>
        <w:numPr>
          <w:ilvl w:val="1"/>
          <w:numId w:val="0"/>
        </w:numPr>
        <w:outlineLvl w:val="1"/>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5.</w:t>
      </w:r>
      <w:r>
        <w:rPr>
          <w:rFonts w:hint="eastAsia" w:hAnsi="宋体" w:cs="宋体"/>
          <w:b/>
          <w:bCs/>
          <w:color w:val="000000" w:themeColor="text1"/>
          <w:kern w:val="2"/>
          <w:sz w:val="30"/>
          <w:szCs w:val="30"/>
          <w:highlight w:val="none"/>
          <w:lang w:val="en-US" w:eastAsia="zh-CN" w:bidi="ar-SA"/>
          <w14:textFill>
            <w14:solidFill>
              <w14:schemeClr w14:val="tx1"/>
            </w14:solidFill>
          </w14:textFill>
        </w:rPr>
        <w:t>8</w:t>
      </w:r>
      <w:r>
        <w:rPr>
          <w:rFonts w:hint="eastAsia" w:ascii="宋体" w:hAnsi="宋体" w:eastAsia="宋体" w:cs="宋体"/>
          <w:color w:val="000000" w:themeColor="text1"/>
          <w:sz w:val="30"/>
          <w:szCs w:val="30"/>
          <w:highlight w:val="none"/>
          <w:lang w:eastAsia="zh-CN"/>
          <w14:textFill>
            <w14:solidFill>
              <w14:schemeClr w14:val="tx1"/>
            </w14:solidFill>
          </w14:textFill>
        </w:rPr>
        <w:t>数据上链</w:t>
      </w:r>
    </w:p>
    <w:p w14:paraId="42AA2ABC">
      <w:pPr>
        <w:pStyle w:val="54"/>
        <w:spacing w:line="500" w:lineRule="exact"/>
        <w:ind w:firstLine="560"/>
        <w:rPr>
          <w:rFonts w:hint="eastAsia"/>
          <w:highlight w:val="none"/>
        </w:rPr>
      </w:pPr>
      <w:r>
        <w:rPr>
          <w:rFonts w:hint="eastAsia" w:ascii="宋体" w:eastAsia="宋体" w:cs="宋体"/>
          <w:bCs/>
          <w:color w:val="000000" w:themeColor="text1"/>
          <w:kern w:val="2"/>
          <w:sz w:val="24"/>
          <w:szCs w:val="24"/>
          <w:highlight w:val="none"/>
          <w:lang w:eastAsia="zh-CN"/>
          <w14:textFill>
            <w14:solidFill>
              <w14:schemeClr w14:val="tx1"/>
            </w14:solidFill>
          </w14:textFill>
        </w:rPr>
        <w:t>按照市数据局数字化项目管理要求推进数据上链工作。项目建成运行后预计可产生的数据资源为：助残志愿者服务记录、残疾人临床社工服务记录、残疾人临床社工活动记录、残疾人学员信息等；核心数据项预计包括：助残志愿者姓名、服务时长、服务地点、服务时间、残疾人学员信息等。</w:t>
      </w:r>
    </w:p>
    <w:p w14:paraId="34DFBA87">
      <w:pPr>
        <w:pStyle w:val="3"/>
        <w:keepNext/>
        <w:keepLines/>
        <w:pageBreakBefore w:val="0"/>
        <w:widowControl/>
        <w:numPr>
          <w:ilvl w:val="1"/>
          <w:numId w:val="0"/>
        </w:numPr>
        <w:kinsoku/>
        <w:wordWrap/>
        <w:overflowPunct/>
        <w:topLinePunct w:val="0"/>
        <w:autoSpaceDE/>
        <w:autoSpaceDN/>
        <w:bidi w:val="0"/>
        <w:adjustRightInd/>
        <w:snapToGrid/>
        <w:spacing w:line="240" w:lineRule="auto"/>
        <w:textAlignment w:val="auto"/>
        <w:outlineLvl w:val="1"/>
        <w:rPr>
          <w:rFonts w:hint="eastAsia" w:hAnsi="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bidi="ar-SA"/>
          <w14:textFill>
            <w14:solidFill>
              <w14:schemeClr w14:val="tx1"/>
            </w14:solidFill>
          </w14:textFill>
        </w:rPr>
        <w:t>6</w:t>
      </w:r>
      <w:r>
        <w:rPr>
          <w:rFonts w:hint="eastAsia" w:hAnsi="宋体" w:cs="宋体"/>
          <w:b/>
          <w:bCs/>
          <w:color w:val="000000" w:themeColor="text1"/>
          <w:kern w:val="44"/>
          <w:sz w:val="32"/>
          <w:szCs w:val="32"/>
          <w:highlight w:val="none"/>
          <w:lang w:val="en-US" w:eastAsia="zh-CN" w:bidi="ar-SA"/>
          <w14:textFill>
            <w14:solidFill>
              <w14:schemeClr w14:val="tx1"/>
            </w14:solidFill>
          </w14:textFill>
        </w:rPr>
        <w:t>.</w:t>
      </w:r>
      <w:r>
        <w:rPr>
          <w:rFonts w:hint="eastAsia" w:hAnsi="宋体" w:cs="宋体"/>
          <w:color w:val="000000" w:themeColor="text1"/>
          <w:sz w:val="32"/>
          <w:szCs w:val="32"/>
          <w:highlight w:val="none"/>
          <w14:textFill>
            <w14:solidFill>
              <w14:schemeClr w14:val="tx1"/>
            </w14:solidFill>
          </w14:textFill>
        </w:rPr>
        <w:t>响应供应商要求</w:t>
      </w:r>
    </w:p>
    <w:p w14:paraId="06038C4A">
      <w:pPr>
        <w:widowControl w:val="0"/>
        <w:numPr>
          <w:ilvl w:val="0"/>
          <w:numId w:val="32"/>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响应供应商需提供相应的技术服务，在满足用户方的应用与需求的前提下，配合完成与相关的系统集成工作。</w:t>
      </w:r>
    </w:p>
    <w:p w14:paraId="5129A2B0">
      <w:pPr>
        <w:widowControl w:val="0"/>
        <w:numPr>
          <w:ilvl w:val="0"/>
          <w:numId w:val="32"/>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响应供应商提供的产品及其配置应该是安全、可靠和成熟的，不是技术上已经或即将淘汰的。</w:t>
      </w:r>
    </w:p>
    <w:p w14:paraId="45530F6E">
      <w:pPr>
        <w:widowControl w:val="0"/>
        <w:numPr>
          <w:ilvl w:val="0"/>
          <w:numId w:val="32"/>
        </w:numPr>
        <w:adjustRightInd w:val="0"/>
        <w:snapToGrid w:val="0"/>
        <w:ind w:left="0" w:firstLine="480" w:firstLineChars="0"/>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响应供应商提供的产品在升级、扩展时不应改变整个系统的结构、通信方式、管理模式，不应破坏应用软件的正常工作环境。</w:t>
      </w:r>
    </w:p>
    <w:p w14:paraId="61CCEEB8">
      <w:pPr>
        <w:widowControl w:val="0"/>
        <w:numPr>
          <w:ilvl w:val="0"/>
          <w:numId w:val="32"/>
        </w:numPr>
        <w:adjustRightInd w:val="0"/>
        <w:snapToGrid w:val="0"/>
        <w:ind w:left="0" w:firstLine="480" w:firstLineChars="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响应供应商应该保证所提供的所有产品皆不侵犯任何第三方的版权、知识产权和其他合法权利。</w:t>
      </w:r>
    </w:p>
    <w:p w14:paraId="38A1EB9B">
      <w:pPr>
        <w:widowControl w:val="0"/>
        <w:numPr>
          <w:ilvl w:val="-1"/>
          <w:numId w:val="0"/>
        </w:numPr>
        <w:adjustRightInd w:val="0"/>
        <w:snapToGrid w:val="0"/>
        <w:ind w:left="480" w:leftChars="200" w:firstLine="0" w:firstLineChars="0"/>
        <w:rPr>
          <w:rFonts w:hint="default"/>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Light">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B2B6"/>
    <w:multiLevelType w:val="singleLevel"/>
    <w:tmpl w:val="9A12B2B6"/>
    <w:lvl w:ilvl="0" w:tentative="0">
      <w:start w:val="1"/>
      <w:numFmt w:val="decimal"/>
      <w:suff w:val="nothing"/>
      <w:lvlText w:val="%1．"/>
      <w:lvlJc w:val="left"/>
      <w:pPr>
        <w:ind w:left="0" w:firstLine="400"/>
      </w:pPr>
      <w:rPr>
        <w:rFonts w:hint="default"/>
      </w:rPr>
    </w:lvl>
  </w:abstractNum>
  <w:abstractNum w:abstractNumId="1">
    <w:nsid w:val="B1B7B4F8"/>
    <w:multiLevelType w:val="singleLevel"/>
    <w:tmpl w:val="B1B7B4F8"/>
    <w:lvl w:ilvl="0" w:tentative="0">
      <w:start w:val="1"/>
      <w:numFmt w:val="decimal"/>
      <w:suff w:val="space"/>
      <w:lvlText w:val="%1."/>
      <w:lvlJc w:val="left"/>
    </w:lvl>
  </w:abstractNum>
  <w:abstractNum w:abstractNumId="2">
    <w:nsid w:val="C5F30532"/>
    <w:multiLevelType w:val="singleLevel"/>
    <w:tmpl w:val="C5F30532"/>
    <w:lvl w:ilvl="0" w:tentative="0">
      <w:start w:val="1"/>
      <w:numFmt w:val="decimal"/>
      <w:suff w:val="nothing"/>
      <w:lvlText w:val="%1．"/>
      <w:lvlJc w:val="left"/>
      <w:pPr>
        <w:ind w:left="0" w:firstLine="400"/>
      </w:pPr>
      <w:rPr>
        <w:rFonts w:hint="default"/>
      </w:rPr>
    </w:lvl>
  </w:abstractNum>
  <w:abstractNum w:abstractNumId="3">
    <w:nsid w:val="CE62BBA7"/>
    <w:multiLevelType w:val="singleLevel"/>
    <w:tmpl w:val="CE62BBA7"/>
    <w:lvl w:ilvl="0" w:tentative="0">
      <w:start w:val="1"/>
      <w:numFmt w:val="decimal"/>
      <w:suff w:val="space"/>
      <w:lvlText w:val="%1."/>
      <w:lvlJc w:val="left"/>
    </w:lvl>
  </w:abstractNum>
  <w:abstractNum w:abstractNumId="4">
    <w:nsid w:val="D0377808"/>
    <w:multiLevelType w:val="singleLevel"/>
    <w:tmpl w:val="D0377808"/>
    <w:lvl w:ilvl="0" w:tentative="0">
      <w:start w:val="1"/>
      <w:numFmt w:val="decimal"/>
      <w:suff w:val="nothing"/>
      <w:lvlText w:val="%1．"/>
      <w:lvlJc w:val="left"/>
      <w:pPr>
        <w:ind w:left="0" w:firstLine="400"/>
      </w:pPr>
      <w:rPr>
        <w:rFonts w:hint="default"/>
      </w:rPr>
    </w:lvl>
  </w:abstractNum>
  <w:abstractNum w:abstractNumId="5">
    <w:nsid w:val="D0B3410C"/>
    <w:multiLevelType w:val="singleLevel"/>
    <w:tmpl w:val="D0B3410C"/>
    <w:lvl w:ilvl="0" w:tentative="0">
      <w:start w:val="1"/>
      <w:numFmt w:val="decimal"/>
      <w:suff w:val="nothing"/>
      <w:lvlText w:val="%1．"/>
      <w:lvlJc w:val="left"/>
      <w:pPr>
        <w:ind w:left="0" w:firstLine="400"/>
      </w:pPr>
      <w:rPr>
        <w:rFonts w:hint="default"/>
      </w:rPr>
    </w:lvl>
  </w:abstractNum>
  <w:abstractNum w:abstractNumId="6">
    <w:nsid w:val="D4F7FC77"/>
    <w:multiLevelType w:val="singleLevel"/>
    <w:tmpl w:val="D4F7FC77"/>
    <w:lvl w:ilvl="0" w:tentative="0">
      <w:start w:val="1"/>
      <w:numFmt w:val="decimal"/>
      <w:suff w:val="nothing"/>
      <w:lvlText w:val="%1．"/>
      <w:lvlJc w:val="left"/>
      <w:pPr>
        <w:ind w:left="0" w:firstLine="400"/>
      </w:pPr>
      <w:rPr>
        <w:rFonts w:hint="default"/>
      </w:rPr>
    </w:lvl>
  </w:abstractNum>
  <w:abstractNum w:abstractNumId="7">
    <w:nsid w:val="DE6ED2A6"/>
    <w:multiLevelType w:val="singleLevel"/>
    <w:tmpl w:val="DE6ED2A6"/>
    <w:lvl w:ilvl="0" w:tentative="0">
      <w:start w:val="1"/>
      <w:numFmt w:val="decimal"/>
      <w:suff w:val="nothing"/>
      <w:lvlText w:val="%1．"/>
      <w:lvlJc w:val="left"/>
      <w:pPr>
        <w:ind w:left="0" w:firstLine="400"/>
      </w:pPr>
      <w:rPr>
        <w:rFonts w:hint="default"/>
      </w:rPr>
    </w:lvl>
  </w:abstractNum>
  <w:abstractNum w:abstractNumId="8">
    <w:nsid w:val="E03EDFD2"/>
    <w:multiLevelType w:val="singleLevel"/>
    <w:tmpl w:val="E03EDFD2"/>
    <w:lvl w:ilvl="0" w:tentative="0">
      <w:start w:val="1"/>
      <w:numFmt w:val="decimal"/>
      <w:suff w:val="nothing"/>
      <w:lvlText w:val="%1．"/>
      <w:lvlJc w:val="left"/>
      <w:pPr>
        <w:ind w:left="0" w:firstLine="400"/>
      </w:pPr>
      <w:rPr>
        <w:rFonts w:hint="default"/>
      </w:rPr>
    </w:lvl>
  </w:abstractNum>
  <w:abstractNum w:abstractNumId="9">
    <w:nsid w:val="FED5A91F"/>
    <w:multiLevelType w:val="singleLevel"/>
    <w:tmpl w:val="FED5A91F"/>
    <w:lvl w:ilvl="0" w:tentative="0">
      <w:start w:val="1"/>
      <w:numFmt w:val="decimal"/>
      <w:suff w:val="nothing"/>
      <w:lvlText w:val="%1．"/>
      <w:lvlJc w:val="left"/>
      <w:pPr>
        <w:ind w:left="0" w:firstLine="400"/>
      </w:pPr>
      <w:rPr>
        <w:rFonts w:hint="default"/>
      </w:rPr>
    </w:lvl>
  </w:abstractNum>
  <w:abstractNum w:abstractNumId="10">
    <w:nsid w:val="00000026"/>
    <w:multiLevelType w:val="multilevel"/>
    <w:tmpl w:val="00000026"/>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786" w:hanging="360"/>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11">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2">
    <w:nsid w:val="027B45C7"/>
    <w:multiLevelType w:val="multilevel"/>
    <w:tmpl w:val="027B45C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0C2A4B90"/>
    <w:multiLevelType w:val="multilevel"/>
    <w:tmpl w:val="0C2A4B90"/>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C4279E8"/>
    <w:multiLevelType w:val="multilevel"/>
    <w:tmpl w:val="0C4279E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5">
    <w:nsid w:val="14DE4A01"/>
    <w:multiLevelType w:val="multilevel"/>
    <w:tmpl w:val="14DE4A01"/>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6">
    <w:nsid w:val="2A02BBCE"/>
    <w:multiLevelType w:val="singleLevel"/>
    <w:tmpl w:val="2A02BBCE"/>
    <w:lvl w:ilvl="0" w:tentative="0">
      <w:start w:val="1"/>
      <w:numFmt w:val="decimal"/>
      <w:suff w:val="nothing"/>
      <w:lvlText w:val="%1．"/>
      <w:lvlJc w:val="left"/>
      <w:pPr>
        <w:ind w:left="0" w:firstLine="400"/>
      </w:pPr>
      <w:rPr>
        <w:rFonts w:hint="default"/>
      </w:rPr>
    </w:lvl>
  </w:abstractNum>
  <w:abstractNum w:abstractNumId="17">
    <w:nsid w:val="2BE531C3"/>
    <w:multiLevelType w:val="multilevel"/>
    <w:tmpl w:val="2BE531C3"/>
    <w:lvl w:ilvl="0" w:tentative="0">
      <w:start w:val="1"/>
      <w:numFmt w:val="decimal"/>
      <w:lvlText w:val="%1."/>
      <w:lvlJc w:val="left"/>
      <w:pPr>
        <w:ind w:left="1000" w:hanging="440"/>
      </w:pPr>
      <w:rPr>
        <w:rFonts w:hint="eastAsia"/>
        <w:spacing w:val="0"/>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8">
    <w:nsid w:val="2C396F10"/>
    <w:multiLevelType w:val="singleLevel"/>
    <w:tmpl w:val="2C396F10"/>
    <w:lvl w:ilvl="0" w:tentative="0">
      <w:start w:val="1"/>
      <w:numFmt w:val="decimal"/>
      <w:suff w:val="nothing"/>
      <w:lvlText w:val="%1．"/>
      <w:lvlJc w:val="left"/>
      <w:pPr>
        <w:ind w:left="0" w:firstLine="400"/>
      </w:pPr>
      <w:rPr>
        <w:rFonts w:hint="default"/>
      </w:rPr>
    </w:lvl>
  </w:abstractNum>
  <w:abstractNum w:abstractNumId="19">
    <w:nsid w:val="41BEE203"/>
    <w:multiLevelType w:val="singleLevel"/>
    <w:tmpl w:val="41BEE203"/>
    <w:lvl w:ilvl="0" w:tentative="0">
      <w:start w:val="1"/>
      <w:numFmt w:val="decimal"/>
      <w:suff w:val="nothing"/>
      <w:lvlText w:val="%1．"/>
      <w:lvlJc w:val="left"/>
      <w:pPr>
        <w:ind w:left="0" w:firstLine="400"/>
      </w:pPr>
      <w:rPr>
        <w:rFonts w:hint="default"/>
      </w:rPr>
    </w:lvl>
  </w:abstractNum>
  <w:abstractNum w:abstractNumId="20">
    <w:nsid w:val="429E6A85"/>
    <w:multiLevelType w:val="singleLevel"/>
    <w:tmpl w:val="429E6A85"/>
    <w:lvl w:ilvl="0" w:tentative="0">
      <w:start w:val="1"/>
      <w:numFmt w:val="decimal"/>
      <w:suff w:val="nothing"/>
      <w:lvlText w:val="%1．"/>
      <w:lvlJc w:val="left"/>
      <w:pPr>
        <w:ind w:left="0" w:firstLine="400"/>
      </w:pPr>
      <w:rPr>
        <w:rFonts w:hint="default"/>
      </w:rPr>
    </w:lvl>
  </w:abstractNum>
  <w:abstractNum w:abstractNumId="21">
    <w:nsid w:val="4B9D0C99"/>
    <w:multiLevelType w:val="multilevel"/>
    <w:tmpl w:val="4B9D0C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2">
    <w:nsid w:val="4E5BB708"/>
    <w:multiLevelType w:val="singleLevel"/>
    <w:tmpl w:val="4E5BB708"/>
    <w:lvl w:ilvl="0" w:tentative="0">
      <w:start w:val="1"/>
      <w:numFmt w:val="decimal"/>
      <w:suff w:val="nothing"/>
      <w:lvlText w:val="%1．"/>
      <w:lvlJc w:val="left"/>
      <w:pPr>
        <w:ind w:left="0" w:firstLine="400"/>
      </w:pPr>
      <w:rPr>
        <w:rFonts w:hint="default"/>
      </w:rPr>
    </w:lvl>
  </w:abstractNum>
  <w:abstractNum w:abstractNumId="23">
    <w:nsid w:val="5496460D"/>
    <w:multiLevelType w:val="singleLevel"/>
    <w:tmpl w:val="5496460D"/>
    <w:lvl w:ilvl="0" w:tentative="0">
      <w:start w:val="1"/>
      <w:numFmt w:val="decimal"/>
      <w:suff w:val="space"/>
      <w:lvlText w:val="%1."/>
      <w:lvlJc w:val="left"/>
    </w:lvl>
  </w:abstractNum>
  <w:abstractNum w:abstractNumId="24">
    <w:nsid w:val="57DEC84E"/>
    <w:multiLevelType w:val="singleLevel"/>
    <w:tmpl w:val="57DEC84E"/>
    <w:lvl w:ilvl="0" w:tentative="0">
      <w:start w:val="1"/>
      <w:numFmt w:val="decimal"/>
      <w:suff w:val="nothing"/>
      <w:lvlText w:val="%1．"/>
      <w:lvlJc w:val="left"/>
      <w:pPr>
        <w:ind w:left="0" w:firstLine="400"/>
      </w:pPr>
      <w:rPr>
        <w:rFonts w:hint="default"/>
      </w:rPr>
    </w:lvl>
  </w:abstractNum>
  <w:abstractNum w:abstractNumId="25">
    <w:nsid w:val="5BAF119E"/>
    <w:multiLevelType w:val="multilevel"/>
    <w:tmpl w:val="5BAF119E"/>
    <w:lvl w:ilvl="0" w:tentative="0">
      <w:start w:val="1"/>
      <w:numFmt w:val="decimal"/>
      <w:lvlText w:val="%1."/>
      <w:lvlJc w:val="left"/>
      <w:pPr>
        <w:ind w:left="1000" w:hanging="440"/>
      </w:pPr>
      <w:rPr>
        <w:rFonts w:hint="eastAsia"/>
        <w:spacing w:val="0"/>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6">
    <w:nsid w:val="5FA4E4A9"/>
    <w:multiLevelType w:val="singleLevel"/>
    <w:tmpl w:val="5FA4E4A9"/>
    <w:lvl w:ilvl="0" w:tentative="0">
      <w:start w:val="1"/>
      <w:numFmt w:val="decimal"/>
      <w:suff w:val="nothing"/>
      <w:lvlText w:val="%1．"/>
      <w:lvlJc w:val="left"/>
      <w:pPr>
        <w:ind w:left="0" w:firstLine="400"/>
      </w:pPr>
      <w:rPr>
        <w:rFonts w:hint="default"/>
      </w:rPr>
    </w:lvl>
  </w:abstractNum>
  <w:abstractNum w:abstractNumId="27">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8">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5635583"/>
    <w:multiLevelType w:val="multilevel"/>
    <w:tmpl w:val="65635583"/>
    <w:lvl w:ilvl="0" w:tentative="0">
      <w:start w:val="1"/>
      <w:numFmt w:val="decimal"/>
      <w:lvlText w:val="%1."/>
      <w:lvlJc w:val="left"/>
      <w:pPr>
        <w:ind w:left="1000" w:hanging="440"/>
      </w:pPr>
      <w:rPr>
        <w:rFonts w:hint="eastAsia"/>
        <w:spacing w:val="0"/>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0">
    <w:nsid w:val="6ECB2A78"/>
    <w:multiLevelType w:val="multilevel"/>
    <w:tmpl w:val="6ECB2A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1">
    <w:nsid w:val="7FD31A26"/>
    <w:multiLevelType w:val="multilevel"/>
    <w:tmpl w:val="7FD31A26"/>
    <w:lvl w:ilvl="0" w:tentative="0">
      <w:start w:val="1"/>
      <w:numFmt w:val="decimal"/>
      <w:lvlText w:val="%1."/>
      <w:lvlJc w:val="left"/>
      <w:pPr>
        <w:ind w:left="1000" w:hanging="440"/>
      </w:pPr>
      <w:rPr>
        <w:rFonts w:hint="eastAsia"/>
        <w:spacing w:val="0"/>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30"/>
  </w:num>
  <w:num w:numId="2">
    <w:abstractNumId w:val="13"/>
  </w:num>
  <w:num w:numId="3">
    <w:abstractNumId w:val="22"/>
  </w:num>
  <w:num w:numId="4">
    <w:abstractNumId w:val="18"/>
  </w:num>
  <w:num w:numId="5">
    <w:abstractNumId w:val="9"/>
  </w:num>
  <w:num w:numId="6">
    <w:abstractNumId w:val="0"/>
  </w:num>
  <w:num w:numId="7">
    <w:abstractNumId w:val="25"/>
  </w:num>
  <w:num w:numId="8">
    <w:abstractNumId w:val="29"/>
  </w:num>
  <w:num w:numId="9">
    <w:abstractNumId w:val="17"/>
  </w:num>
  <w:num w:numId="10">
    <w:abstractNumId w:val="31"/>
  </w:num>
  <w:num w:numId="11">
    <w:abstractNumId w:val="20"/>
  </w:num>
  <w:num w:numId="12">
    <w:abstractNumId w:val="3"/>
  </w:num>
  <w:num w:numId="13">
    <w:abstractNumId w:val="5"/>
  </w:num>
  <w:num w:numId="14">
    <w:abstractNumId w:val="7"/>
  </w:num>
  <w:num w:numId="15">
    <w:abstractNumId w:val="23"/>
  </w:num>
  <w:num w:numId="16">
    <w:abstractNumId w:val="6"/>
  </w:num>
  <w:num w:numId="17">
    <w:abstractNumId w:val="8"/>
  </w:num>
  <w:num w:numId="18">
    <w:abstractNumId w:val="2"/>
  </w:num>
  <w:num w:numId="19">
    <w:abstractNumId w:val="24"/>
  </w:num>
  <w:num w:numId="20">
    <w:abstractNumId w:val="1"/>
  </w:num>
  <w:num w:numId="21">
    <w:abstractNumId w:val="16"/>
  </w:num>
  <w:num w:numId="22">
    <w:abstractNumId w:val="19"/>
  </w:num>
  <w:num w:numId="23">
    <w:abstractNumId w:val="4"/>
  </w:num>
  <w:num w:numId="24">
    <w:abstractNumId w:val="26"/>
  </w:num>
  <w:num w:numId="25">
    <w:abstractNumId w:val="10"/>
  </w:num>
  <w:num w:numId="26">
    <w:abstractNumId w:val="28"/>
  </w:num>
  <w:num w:numId="27">
    <w:abstractNumId w:val="27"/>
  </w:num>
  <w:num w:numId="28">
    <w:abstractNumId w:val="12"/>
  </w:num>
  <w:num w:numId="29">
    <w:abstractNumId w:val="11"/>
  </w:num>
  <w:num w:numId="30">
    <w:abstractNumId w:val="14"/>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D3"/>
    <w:rsid w:val="000505D3"/>
    <w:rsid w:val="000A34BC"/>
    <w:rsid w:val="00167D05"/>
    <w:rsid w:val="001709E3"/>
    <w:rsid w:val="001920F7"/>
    <w:rsid w:val="001F28BD"/>
    <w:rsid w:val="002219B2"/>
    <w:rsid w:val="00287DE1"/>
    <w:rsid w:val="003A0C84"/>
    <w:rsid w:val="00424A12"/>
    <w:rsid w:val="004479E5"/>
    <w:rsid w:val="004553EC"/>
    <w:rsid w:val="0047225B"/>
    <w:rsid w:val="004B69FA"/>
    <w:rsid w:val="004B7D3C"/>
    <w:rsid w:val="004E2D1F"/>
    <w:rsid w:val="00542AE0"/>
    <w:rsid w:val="005A0BD4"/>
    <w:rsid w:val="005A0D96"/>
    <w:rsid w:val="00617F97"/>
    <w:rsid w:val="0067623A"/>
    <w:rsid w:val="006C00EC"/>
    <w:rsid w:val="007200AE"/>
    <w:rsid w:val="007B5895"/>
    <w:rsid w:val="007F1B6C"/>
    <w:rsid w:val="007F7728"/>
    <w:rsid w:val="00807885"/>
    <w:rsid w:val="00812A6C"/>
    <w:rsid w:val="00816933"/>
    <w:rsid w:val="00816CEB"/>
    <w:rsid w:val="0087069D"/>
    <w:rsid w:val="00873095"/>
    <w:rsid w:val="008C25B4"/>
    <w:rsid w:val="008D502A"/>
    <w:rsid w:val="008D7BC5"/>
    <w:rsid w:val="00957B3E"/>
    <w:rsid w:val="00981216"/>
    <w:rsid w:val="009A4E57"/>
    <w:rsid w:val="009B244C"/>
    <w:rsid w:val="009E717C"/>
    <w:rsid w:val="00A53222"/>
    <w:rsid w:val="00A601E5"/>
    <w:rsid w:val="00A64169"/>
    <w:rsid w:val="00A72171"/>
    <w:rsid w:val="00A72D38"/>
    <w:rsid w:val="00AD0D59"/>
    <w:rsid w:val="00AE3A43"/>
    <w:rsid w:val="00B1342B"/>
    <w:rsid w:val="00B160A3"/>
    <w:rsid w:val="00BA25A9"/>
    <w:rsid w:val="00BB27C2"/>
    <w:rsid w:val="00BB7C7E"/>
    <w:rsid w:val="00BC38A4"/>
    <w:rsid w:val="00C7584E"/>
    <w:rsid w:val="00CD1F6B"/>
    <w:rsid w:val="00D510D7"/>
    <w:rsid w:val="00D73527"/>
    <w:rsid w:val="00DF37C1"/>
    <w:rsid w:val="00DF45C1"/>
    <w:rsid w:val="00E04599"/>
    <w:rsid w:val="00E31AE3"/>
    <w:rsid w:val="00E536C6"/>
    <w:rsid w:val="00E664D6"/>
    <w:rsid w:val="00E77F6D"/>
    <w:rsid w:val="00EA058C"/>
    <w:rsid w:val="00EC4596"/>
    <w:rsid w:val="00EE121E"/>
    <w:rsid w:val="00FC09FB"/>
    <w:rsid w:val="01084D82"/>
    <w:rsid w:val="01145609"/>
    <w:rsid w:val="01253372"/>
    <w:rsid w:val="01465165"/>
    <w:rsid w:val="018207C5"/>
    <w:rsid w:val="019422A6"/>
    <w:rsid w:val="01973B44"/>
    <w:rsid w:val="01A85D51"/>
    <w:rsid w:val="01D46B46"/>
    <w:rsid w:val="01F11CD4"/>
    <w:rsid w:val="02242076"/>
    <w:rsid w:val="022B0E5C"/>
    <w:rsid w:val="022E44A8"/>
    <w:rsid w:val="0236247D"/>
    <w:rsid w:val="023D46EC"/>
    <w:rsid w:val="02555ED9"/>
    <w:rsid w:val="02866093"/>
    <w:rsid w:val="02E103FD"/>
    <w:rsid w:val="03092820"/>
    <w:rsid w:val="033C2BF5"/>
    <w:rsid w:val="03474830"/>
    <w:rsid w:val="03522419"/>
    <w:rsid w:val="03990047"/>
    <w:rsid w:val="03BE360A"/>
    <w:rsid w:val="03C74BB5"/>
    <w:rsid w:val="03FD05D6"/>
    <w:rsid w:val="040A684F"/>
    <w:rsid w:val="040F20B8"/>
    <w:rsid w:val="041D7B33"/>
    <w:rsid w:val="046B23CD"/>
    <w:rsid w:val="04730898"/>
    <w:rsid w:val="048605CC"/>
    <w:rsid w:val="049B6A64"/>
    <w:rsid w:val="04A62A1C"/>
    <w:rsid w:val="04F63474"/>
    <w:rsid w:val="04FCB4D2"/>
    <w:rsid w:val="052B4CCF"/>
    <w:rsid w:val="05404C1F"/>
    <w:rsid w:val="054144F3"/>
    <w:rsid w:val="055B3806"/>
    <w:rsid w:val="05852631"/>
    <w:rsid w:val="058A7C48"/>
    <w:rsid w:val="05A056BD"/>
    <w:rsid w:val="05DC421B"/>
    <w:rsid w:val="06127C3D"/>
    <w:rsid w:val="0624009C"/>
    <w:rsid w:val="06485A7E"/>
    <w:rsid w:val="064D2FF2"/>
    <w:rsid w:val="06500E91"/>
    <w:rsid w:val="065821AB"/>
    <w:rsid w:val="06712BB6"/>
    <w:rsid w:val="067D155B"/>
    <w:rsid w:val="06A92350"/>
    <w:rsid w:val="06AC1E40"/>
    <w:rsid w:val="06D7510F"/>
    <w:rsid w:val="072A7934"/>
    <w:rsid w:val="072F6D5A"/>
    <w:rsid w:val="07487DBA"/>
    <w:rsid w:val="074D53D1"/>
    <w:rsid w:val="07750484"/>
    <w:rsid w:val="078A0196"/>
    <w:rsid w:val="079E79DA"/>
    <w:rsid w:val="07DD2C74"/>
    <w:rsid w:val="08071A24"/>
    <w:rsid w:val="080F2686"/>
    <w:rsid w:val="086A4C37"/>
    <w:rsid w:val="086E1AA3"/>
    <w:rsid w:val="08862D45"/>
    <w:rsid w:val="089645E3"/>
    <w:rsid w:val="08C96CD9"/>
    <w:rsid w:val="08D12D1A"/>
    <w:rsid w:val="08D174BA"/>
    <w:rsid w:val="08E458C1"/>
    <w:rsid w:val="08F655F4"/>
    <w:rsid w:val="09240330"/>
    <w:rsid w:val="09B54260"/>
    <w:rsid w:val="09BC63DC"/>
    <w:rsid w:val="0A075D0B"/>
    <w:rsid w:val="0A3060E9"/>
    <w:rsid w:val="0A5345F0"/>
    <w:rsid w:val="0A8A693C"/>
    <w:rsid w:val="0AB85257"/>
    <w:rsid w:val="0AE977B2"/>
    <w:rsid w:val="0AFB3396"/>
    <w:rsid w:val="0B495EAF"/>
    <w:rsid w:val="0B4A6E3C"/>
    <w:rsid w:val="0B6272A9"/>
    <w:rsid w:val="0B835865"/>
    <w:rsid w:val="0BAF665A"/>
    <w:rsid w:val="0BC65752"/>
    <w:rsid w:val="0BCA471C"/>
    <w:rsid w:val="0BEB4E9C"/>
    <w:rsid w:val="0C2741AE"/>
    <w:rsid w:val="0C8007B5"/>
    <w:rsid w:val="0CF307C8"/>
    <w:rsid w:val="0D244E26"/>
    <w:rsid w:val="0D531267"/>
    <w:rsid w:val="0D604CBC"/>
    <w:rsid w:val="0D703BC7"/>
    <w:rsid w:val="0D8B0A01"/>
    <w:rsid w:val="0DBF4B4E"/>
    <w:rsid w:val="0DC40E67"/>
    <w:rsid w:val="0DF20A80"/>
    <w:rsid w:val="0DF742E8"/>
    <w:rsid w:val="0E0407B3"/>
    <w:rsid w:val="0E1C5AFD"/>
    <w:rsid w:val="0E2B5D40"/>
    <w:rsid w:val="0E440BB0"/>
    <w:rsid w:val="0E897539"/>
    <w:rsid w:val="0EB421D9"/>
    <w:rsid w:val="0EC15A8E"/>
    <w:rsid w:val="0F067BFD"/>
    <w:rsid w:val="0F3059C8"/>
    <w:rsid w:val="0F5D461F"/>
    <w:rsid w:val="0F5D63CD"/>
    <w:rsid w:val="0F5F3EF3"/>
    <w:rsid w:val="0FC41FA8"/>
    <w:rsid w:val="0FD53874"/>
    <w:rsid w:val="100D7367"/>
    <w:rsid w:val="103233B6"/>
    <w:rsid w:val="105D2427"/>
    <w:rsid w:val="105D7FFC"/>
    <w:rsid w:val="1065378B"/>
    <w:rsid w:val="109A5D46"/>
    <w:rsid w:val="10A51AAA"/>
    <w:rsid w:val="10DB57FB"/>
    <w:rsid w:val="10F60887"/>
    <w:rsid w:val="11020FDA"/>
    <w:rsid w:val="1143279B"/>
    <w:rsid w:val="114A472F"/>
    <w:rsid w:val="11540A32"/>
    <w:rsid w:val="11566C8C"/>
    <w:rsid w:val="117A3266"/>
    <w:rsid w:val="11AF0A31"/>
    <w:rsid w:val="11D34725"/>
    <w:rsid w:val="11D5049D"/>
    <w:rsid w:val="120E39AF"/>
    <w:rsid w:val="12152F8F"/>
    <w:rsid w:val="1218482D"/>
    <w:rsid w:val="123F625E"/>
    <w:rsid w:val="12617F82"/>
    <w:rsid w:val="126B0E01"/>
    <w:rsid w:val="12940358"/>
    <w:rsid w:val="12F64B6E"/>
    <w:rsid w:val="12F901BB"/>
    <w:rsid w:val="12FB03D7"/>
    <w:rsid w:val="13143247"/>
    <w:rsid w:val="13405DEA"/>
    <w:rsid w:val="134C29E0"/>
    <w:rsid w:val="13685340"/>
    <w:rsid w:val="13C06F2A"/>
    <w:rsid w:val="13C92283"/>
    <w:rsid w:val="14024A47"/>
    <w:rsid w:val="141334FE"/>
    <w:rsid w:val="142A3B2F"/>
    <w:rsid w:val="14CA3360"/>
    <w:rsid w:val="15067630"/>
    <w:rsid w:val="150F1F18"/>
    <w:rsid w:val="15177BFE"/>
    <w:rsid w:val="151A266A"/>
    <w:rsid w:val="151B4D60"/>
    <w:rsid w:val="154F1817"/>
    <w:rsid w:val="155F1C82"/>
    <w:rsid w:val="15A417A0"/>
    <w:rsid w:val="15B4486D"/>
    <w:rsid w:val="16154968"/>
    <w:rsid w:val="16161BC3"/>
    <w:rsid w:val="162B2D81"/>
    <w:rsid w:val="1672571B"/>
    <w:rsid w:val="16AD19E8"/>
    <w:rsid w:val="16B17A67"/>
    <w:rsid w:val="16E178E4"/>
    <w:rsid w:val="16FC234B"/>
    <w:rsid w:val="171952CF"/>
    <w:rsid w:val="172F68A1"/>
    <w:rsid w:val="173C2D6C"/>
    <w:rsid w:val="176A5B2B"/>
    <w:rsid w:val="176F3141"/>
    <w:rsid w:val="17966920"/>
    <w:rsid w:val="17CE7E68"/>
    <w:rsid w:val="17DE6025"/>
    <w:rsid w:val="17E256C1"/>
    <w:rsid w:val="18341AE3"/>
    <w:rsid w:val="185540E5"/>
    <w:rsid w:val="18A575F7"/>
    <w:rsid w:val="191C4C03"/>
    <w:rsid w:val="193C47BA"/>
    <w:rsid w:val="19A277FE"/>
    <w:rsid w:val="19B72B7E"/>
    <w:rsid w:val="19C257AA"/>
    <w:rsid w:val="19F0614A"/>
    <w:rsid w:val="19F33BB6"/>
    <w:rsid w:val="1A0933D9"/>
    <w:rsid w:val="1A534654"/>
    <w:rsid w:val="1A756CC1"/>
    <w:rsid w:val="1A846F04"/>
    <w:rsid w:val="1A8E38DF"/>
    <w:rsid w:val="1AB5121A"/>
    <w:rsid w:val="1AD03EF7"/>
    <w:rsid w:val="1AE71241"/>
    <w:rsid w:val="1AFA5418"/>
    <w:rsid w:val="1AFC4198"/>
    <w:rsid w:val="1AFE1E17"/>
    <w:rsid w:val="1AFE6AD5"/>
    <w:rsid w:val="1B23561C"/>
    <w:rsid w:val="1B2F50C2"/>
    <w:rsid w:val="1B3A3A66"/>
    <w:rsid w:val="1B430B6D"/>
    <w:rsid w:val="1BA50EE0"/>
    <w:rsid w:val="1BD52E3F"/>
    <w:rsid w:val="1BFB31F6"/>
    <w:rsid w:val="1C891AAE"/>
    <w:rsid w:val="1C9571A6"/>
    <w:rsid w:val="1CAE64BA"/>
    <w:rsid w:val="1CBA52D0"/>
    <w:rsid w:val="1CEB5018"/>
    <w:rsid w:val="1D0936F0"/>
    <w:rsid w:val="1D1D719C"/>
    <w:rsid w:val="1D230C56"/>
    <w:rsid w:val="1D5202A2"/>
    <w:rsid w:val="1DB30BE0"/>
    <w:rsid w:val="1DB55626"/>
    <w:rsid w:val="1DCA5BA4"/>
    <w:rsid w:val="1DCC02CE"/>
    <w:rsid w:val="1E0431FF"/>
    <w:rsid w:val="1E286BEF"/>
    <w:rsid w:val="1E462818"/>
    <w:rsid w:val="1E6A1572"/>
    <w:rsid w:val="1EA25BAA"/>
    <w:rsid w:val="1EB47989"/>
    <w:rsid w:val="1ECE4BF1"/>
    <w:rsid w:val="1EF67CA4"/>
    <w:rsid w:val="1F040EBC"/>
    <w:rsid w:val="1F642E60"/>
    <w:rsid w:val="1F8B2AE2"/>
    <w:rsid w:val="1FD77AD6"/>
    <w:rsid w:val="1FDE1C1E"/>
    <w:rsid w:val="1FE126E5"/>
    <w:rsid w:val="20624734"/>
    <w:rsid w:val="20BB11A5"/>
    <w:rsid w:val="20C53DD2"/>
    <w:rsid w:val="20CA13E8"/>
    <w:rsid w:val="20DD111C"/>
    <w:rsid w:val="20F16975"/>
    <w:rsid w:val="21513560"/>
    <w:rsid w:val="215A54C1"/>
    <w:rsid w:val="2161798A"/>
    <w:rsid w:val="21645399"/>
    <w:rsid w:val="216D3F7F"/>
    <w:rsid w:val="217F0425"/>
    <w:rsid w:val="218E5F13"/>
    <w:rsid w:val="21A36214"/>
    <w:rsid w:val="21B52CFF"/>
    <w:rsid w:val="21F93D33"/>
    <w:rsid w:val="220C6958"/>
    <w:rsid w:val="22105252"/>
    <w:rsid w:val="22325497"/>
    <w:rsid w:val="22394A78"/>
    <w:rsid w:val="22445508"/>
    <w:rsid w:val="22ED7C37"/>
    <w:rsid w:val="22EE7610"/>
    <w:rsid w:val="22F14EDB"/>
    <w:rsid w:val="22F17100"/>
    <w:rsid w:val="232272BA"/>
    <w:rsid w:val="235651B5"/>
    <w:rsid w:val="235D02F2"/>
    <w:rsid w:val="2375388E"/>
    <w:rsid w:val="23AD32A3"/>
    <w:rsid w:val="23B26890"/>
    <w:rsid w:val="23C40371"/>
    <w:rsid w:val="23EA427B"/>
    <w:rsid w:val="24283320"/>
    <w:rsid w:val="2492046F"/>
    <w:rsid w:val="249B37C8"/>
    <w:rsid w:val="249C5741"/>
    <w:rsid w:val="24A26904"/>
    <w:rsid w:val="25290DD3"/>
    <w:rsid w:val="25461985"/>
    <w:rsid w:val="25566989"/>
    <w:rsid w:val="25E35426"/>
    <w:rsid w:val="25ED1E01"/>
    <w:rsid w:val="26561F2A"/>
    <w:rsid w:val="26722306"/>
    <w:rsid w:val="268F4C66"/>
    <w:rsid w:val="269825CF"/>
    <w:rsid w:val="26A06E73"/>
    <w:rsid w:val="26BC17D3"/>
    <w:rsid w:val="26CA0473"/>
    <w:rsid w:val="26D51C85"/>
    <w:rsid w:val="26E054C2"/>
    <w:rsid w:val="27127645"/>
    <w:rsid w:val="272730F1"/>
    <w:rsid w:val="273C33CE"/>
    <w:rsid w:val="27457A1B"/>
    <w:rsid w:val="27547C5E"/>
    <w:rsid w:val="27814EF7"/>
    <w:rsid w:val="27F03E2A"/>
    <w:rsid w:val="281178FD"/>
    <w:rsid w:val="28123DA1"/>
    <w:rsid w:val="28247630"/>
    <w:rsid w:val="283D5A8C"/>
    <w:rsid w:val="28680B8D"/>
    <w:rsid w:val="28926C90"/>
    <w:rsid w:val="293D309F"/>
    <w:rsid w:val="294837F2"/>
    <w:rsid w:val="295647E3"/>
    <w:rsid w:val="29583A35"/>
    <w:rsid w:val="29804E7F"/>
    <w:rsid w:val="2991703A"/>
    <w:rsid w:val="29B8339B"/>
    <w:rsid w:val="29C0408E"/>
    <w:rsid w:val="29E21F77"/>
    <w:rsid w:val="29E5397B"/>
    <w:rsid w:val="2A094D30"/>
    <w:rsid w:val="2A1A6F3D"/>
    <w:rsid w:val="2A420242"/>
    <w:rsid w:val="2A810D6A"/>
    <w:rsid w:val="2A832B5A"/>
    <w:rsid w:val="2ABA0DFC"/>
    <w:rsid w:val="2AED2B71"/>
    <w:rsid w:val="2AFE23BA"/>
    <w:rsid w:val="2B3571E1"/>
    <w:rsid w:val="2B7B7EAF"/>
    <w:rsid w:val="2B830B12"/>
    <w:rsid w:val="2B964CE9"/>
    <w:rsid w:val="2C332538"/>
    <w:rsid w:val="2C3C763E"/>
    <w:rsid w:val="2C9A4365"/>
    <w:rsid w:val="2CB371D5"/>
    <w:rsid w:val="2D224CAC"/>
    <w:rsid w:val="2D3E73E6"/>
    <w:rsid w:val="2D4241AC"/>
    <w:rsid w:val="2D6F5AE5"/>
    <w:rsid w:val="2D880661"/>
    <w:rsid w:val="2D963233"/>
    <w:rsid w:val="2D9D56E0"/>
    <w:rsid w:val="2DB2017D"/>
    <w:rsid w:val="2DD65871"/>
    <w:rsid w:val="2DF434B8"/>
    <w:rsid w:val="2E70537D"/>
    <w:rsid w:val="2EA25753"/>
    <w:rsid w:val="2EA43279"/>
    <w:rsid w:val="2EB83212"/>
    <w:rsid w:val="2EBE1672"/>
    <w:rsid w:val="2EE45D6B"/>
    <w:rsid w:val="2F150A5D"/>
    <w:rsid w:val="2F662C24"/>
    <w:rsid w:val="2F723377"/>
    <w:rsid w:val="2F7C41F6"/>
    <w:rsid w:val="2F9A6E0F"/>
    <w:rsid w:val="2FA21EAE"/>
    <w:rsid w:val="2FA5374C"/>
    <w:rsid w:val="2FD7117B"/>
    <w:rsid w:val="2FE654EF"/>
    <w:rsid w:val="2FE9188B"/>
    <w:rsid w:val="2FF76693"/>
    <w:rsid w:val="30242A3A"/>
    <w:rsid w:val="304E16EE"/>
    <w:rsid w:val="30801AC4"/>
    <w:rsid w:val="3086532C"/>
    <w:rsid w:val="309D08C8"/>
    <w:rsid w:val="309F019C"/>
    <w:rsid w:val="30AE744F"/>
    <w:rsid w:val="310D77FB"/>
    <w:rsid w:val="311566B0"/>
    <w:rsid w:val="31576CC8"/>
    <w:rsid w:val="3163477A"/>
    <w:rsid w:val="31C679AA"/>
    <w:rsid w:val="31E22A36"/>
    <w:rsid w:val="32186603"/>
    <w:rsid w:val="32405C99"/>
    <w:rsid w:val="327D450D"/>
    <w:rsid w:val="328E04C8"/>
    <w:rsid w:val="330B7D6A"/>
    <w:rsid w:val="331A1D5C"/>
    <w:rsid w:val="333170A5"/>
    <w:rsid w:val="33466FF4"/>
    <w:rsid w:val="335214F5"/>
    <w:rsid w:val="33837901"/>
    <w:rsid w:val="33B026C0"/>
    <w:rsid w:val="33B757FC"/>
    <w:rsid w:val="33BA52ED"/>
    <w:rsid w:val="33F702EF"/>
    <w:rsid w:val="34812838"/>
    <w:rsid w:val="3491604D"/>
    <w:rsid w:val="34AC1AE8"/>
    <w:rsid w:val="34DC3341"/>
    <w:rsid w:val="350607E9"/>
    <w:rsid w:val="35187BC7"/>
    <w:rsid w:val="35215623"/>
    <w:rsid w:val="352671FC"/>
    <w:rsid w:val="352B4654"/>
    <w:rsid w:val="35492DCC"/>
    <w:rsid w:val="35633E8E"/>
    <w:rsid w:val="357240D1"/>
    <w:rsid w:val="358838F4"/>
    <w:rsid w:val="359C73A0"/>
    <w:rsid w:val="35A95619"/>
    <w:rsid w:val="35B23CF5"/>
    <w:rsid w:val="35B84990"/>
    <w:rsid w:val="360447A6"/>
    <w:rsid w:val="362A0508"/>
    <w:rsid w:val="366E21E2"/>
    <w:rsid w:val="36932F30"/>
    <w:rsid w:val="36940077"/>
    <w:rsid w:val="36C559EF"/>
    <w:rsid w:val="36CE17DB"/>
    <w:rsid w:val="36E26803"/>
    <w:rsid w:val="372B09DB"/>
    <w:rsid w:val="377063EE"/>
    <w:rsid w:val="37773C20"/>
    <w:rsid w:val="37977E1F"/>
    <w:rsid w:val="379D2DB9"/>
    <w:rsid w:val="37B66251"/>
    <w:rsid w:val="37FC11D6"/>
    <w:rsid w:val="38064FA4"/>
    <w:rsid w:val="3842422E"/>
    <w:rsid w:val="384664B6"/>
    <w:rsid w:val="38BB18EB"/>
    <w:rsid w:val="38D66725"/>
    <w:rsid w:val="391C5191"/>
    <w:rsid w:val="39227BBC"/>
    <w:rsid w:val="39316051"/>
    <w:rsid w:val="394A0EC1"/>
    <w:rsid w:val="395040F9"/>
    <w:rsid w:val="39684D15"/>
    <w:rsid w:val="399C6926"/>
    <w:rsid w:val="39C40C73"/>
    <w:rsid w:val="3A0374CF"/>
    <w:rsid w:val="3A064DE8"/>
    <w:rsid w:val="3A2940F7"/>
    <w:rsid w:val="3A360EFD"/>
    <w:rsid w:val="3A4F4D7F"/>
    <w:rsid w:val="3A5B6F04"/>
    <w:rsid w:val="3A7C32FC"/>
    <w:rsid w:val="3A824DB6"/>
    <w:rsid w:val="3A834553"/>
    <w:rsid w:val="3A974D07"/>
    <w:rsid w:val="3AC74947"/>
    <w:rsid w:val="3B190B4B"/>
    <w:rsid w:val="3B885B5D"/>
    <w:rsid w:val="3B892174"/>
    <w:rsid w:val="3B8D35B4"/>
    <w:rsid w:val="3BBA28F3"/>
    <w:rsid w:val="3BD51F1F"/>
    <w:rsid w:val="3BE61375"/>
    <w:rsid w:val="3C0969F8"/>
    <w:rsid w:val="3C123F18"/>
    <w:rsid w:val="3C410508"/>
    <w:rsid w:val="3C53008C"/>
    <w:rsid w:val="3C885F88"/>
    <w:rsid w:val="3CC72F54"/>
    <w:rsid w:val="3CDC008F"/>
    <w:rsid w:val="3D053A7C"/>
    <w:rsid w:val="3D1C3E56"/>
    <w:rsid w:val="3D1E4B3E"/>
    <w:rsid w:val="3D42082D"/>
    <w:rsid w:val="3DA46DF1"/>
    <w:rsid w:val="3E077380"/>
    <w:rsid w:val="3E1321C9"/>
    <w:rsid w:val="3E2D5039"/>
    <w:rsid w:val="3E4D7489"/>
    <w:rsid w:val="3EAD43CC"/>
    <w:rsid w:val="3EFF7C95"/>
    <w:rsid w:val="3F3643C1"/>
    <w:rsid w:val="3F3A354E"/>
    <w:rsid w:val="3FA733CA"/>
    <w:rsid w:val="3FC01EDD"/>
    <w:rsid w:val="3FFD4EDF"/>
    <w:rsid w:val="3FFF787A"/>
    <w:rsid w:val="403E62C3"/>
    <w:rsid w:val="405121E4"/>
    <w:rsid w:val="40683D5C"/>
    <w:rsid w:val="40726065"/>
    <w:rsid w:val="407451A1"/>
    <w:rsid w:val="40774C91"/>
    <w:rsid w:val="40B437EF"/>
    <w:rsid w:val="40C81049"/>
    <w:rsid w:val="4101455B"/>
    <w:rsid w:val="410F0A26"/>
    <w:rsid w:val="41115E7E"/>
    <w:rsid w:val="41301ECD"/>
    <w:rsid w:val="41654AEA"/>
    <w:rsid w:val="41770B29"/>
    <w:rsid w:val="417B430D"/>
    <w:rsid w:val="417B56B5"/>
    <w:rsid w:val="41810892"/>
    <w:rsid w:val="420E6F2F"/>
    <w:rsid w:val="42120659"/>
    <w:rsid w:val="4258464E"/>
    <w:rsid w:val="430130C2"/>
    <w:rsid w:val="43364990"/>
    <w:rsid w:val="438F22F2"/>
    <w:rsid w:val="438F5E4E"/>
    <w:rsid w:val="43B6787E"/>
    <w:rsid w:val="43D34CF7"/>
    <w:rsid w:val="4416656F"/>
    <w:rsid w:val="441F3676"/>
    <w:rsid w:val="442B201A"/>
    <w:rsid w:val="443864E5"/>
    <w:rsid w:val="448750D5"/>
    <w:rsid w:val="448C7472"/>
    <w:rsid w:val="44D206E8"/>
    <w:rsid w:val="44FA379B"/>
    <w:rsid w:val="453D79BF"/>
    <w:rsid w:val="45A55DFD"/>
    <w:rsid w:val="45B57D13"/>
    <w:rsid w:val="45E0003D"/>
    <w:rsid w:val="462065BD"/>
    <w:rsid w:val="46386C71"/>
    <w:rsid w:val="463E3B5B"/>
    <w:rsid w:val="466E4440"/>
    <w:rsid w:val="468C28CE"/>
    <w:rsid w:val="46B03787"/>
    <w:rsid w:val="46C54336"/>
    <w:rsid w:val="46C71DA3"/>
    <w:rsid w:val="46CB0CA3"/>
    <w:rsid w:val="46D1436F"/>
    <w:rsid w:val="46FC37FA"/>
    <w:rsid w:val="470E01B0"/>
    <w:rsid w:val="47290367"/>
    <w:rsid w:val="47460F19"/>
    <w:rsid w:val="474D5751"/>
    <w:rsid w:val="47617B01"/>
    <w:rsid w:val="477AA984"/>
    <w:rsid w:val="47B3026B"/>
    <w:rsid w:val="47B9793D"/>
    <w:rsid w:val="47F70466"/>
    <w:rsid w:val="48027536"/>
    <w:rsid w:val="4812529F"/>
    <w:rsid w:val="481D13EB"/>
    <w:rsid w:val="48531B40"/>
    <w:rsid w:val="485633DE"/>
    <w:rsid w:val="485B09F4"/>
    <w:rsid w:val="489363E0"/>
    <w:rsid w:val="489D100D"/>
    <w:rsid w:val="48A91760"/>
    <w:rsid w:val="48D80297"/>
    <w:rsid w:val="48DA5DBD"/>
    <w:rsid w:val="48EA3B26"/>
    <w:rsid w:val="48EE1869"/>
    <w:rsid w:val="48F551E6"/>
    <w:rsid w:val="49156DF5"/>
    <w:rsid w:val="491C0184"/>
    <w:rsid w:val="49431385"/>
    <w:rsid w:val="494406C6"/>
    <w:rsid w:val="494B261B"/>
    <w:rsid w:val="499F0FD8"/>
    <w:rsid w:val="49B44860"/>
    <w:rsid w:val="49E36EF3"/>
    <w:rsid w:val="49EF3AEA"/>
    <w:rsid w:val="4A8F0E29"/>
    <w:rsid w:val="4A9D70A2"/>
    <w:rsid w:val="4AEC1C86"/>
    <w:rsid w:val="4B577B99"/>
    <w:rsid w:val="4BD016F9"/>
    <w:rsid w:val="4BDF013B"/>
    <w:rsid w:val="4BF30F0E"/>
    <w:rsid w:val="4C0A7253"/>
    <w:rsid w:val="4C215795"/>
    <w:rsid w:val="4C362151"/>
    <w:rsid w:val="4C575977"/>
    <w:rsid w:val="4C9E3D41"/>
    <w:rsid w:val="4C9E7102"/>
    <w:rsid w:val="4CA94E4F"/>
    <w:rsid w:val="4CDD7C2A"/>
    <w:rsid w:val="4CE27936"/>
    <w:rsid w:val="4CE94821"/>
    <w:rsid w:val="4CEC14D0"/>
    <w:rsid w:val="4D106251"/>
    <w:rsid w:val="4D1473C4"/>
    <w:rsid w:val="4D2A6BE7"/>
    <w:rsid w:val="4D4B77F1"/>
    <w:rsid w:val="4D8C33FE"/>
    <w:rsid w:val="4DDC2BF0"/>
    <w:rsid w:val="4DF55447"/>
    <w:rsid w:val="4E2A50F1"/>
    <w:rsid w:val="4E3009A0"/>
    <w:rsid w:val="4E395334"/>
    <w:rsid w:val="4E453CD9"/>
    <w:rsid w:val="4E550F77"/>
    <w:rsid w:val="4E5B79A0"/>
    <w:rsid w:val="4E724CEA"/>
    <w:rsid w:val="4EDE5EDB"/>
    <w:rsid w:val="4EF92D15"/>
    <w:rsid w:val="4F4163E9"/>
    <w:rsid w:val="4F583EE0"/>
    <w:rsid w:val="4F6603AB"/>
    <w:rsid w:val="4F6939F7"/>
    <w:rsid w:val="4FAC0EB5"/>
    <w:rsid w:val="4FBF5D0D"/>
    <w:rsid w:val="4FC6107D"/>
    <w:rsid w:val="4FE45773"/>
    <w:rsid w:val="4FE47521"/>
    <w:rsid w:val="4FF61433"/>
    <w:rsid w:val="5006393C"/>
    <w:rsid w:val="505F4DFA"/>
    <w:rsid w:val="50E220B2"/>
    <w:rsid w:val="51330ADB"/>
    <w:rsid w:val="51387B25"/>
    <w:rsid w:val="514E10F6"/>
    <w:rsid w:val="515A3F3F"/>
    <w:rsid w:val="515D57DD"/>
    <w:rsid w:val="51846A38"/>
    <w:rsid w:val="518C7E71"/>
    <w:rsid w:val="51976F41"/>
    <w:rsid w:val="51C23892"/>
    <w:rsid w:val="51DE4D5C"/>
    <w:rsid w:val="51FF0643"/>
    <w:rsid w:val="52846D9A"/>
    <w:rsid w:val="528D3EA0"/>
    <w:rsid w:val="528F19C6"/>
    <w:rsid w:val="52B10FFE"/>
    <w:rsid w:val="52B9474D"/>
    <w:rsid w:val="53226CDE"/>
    <w:rsid w:val="53303AC0"/>
    <w:rsid w:val="533B1B4E"/>
    <w:rsid w:val="533B56AA"/>
    <w:rsid w:val="534C5B09"/>
    <w:rsid w:val="5367649F"/>
    <w:rsid w:val="53BF442C"/>
    <w:rsid w:val="53E60FC5"/>
    <w:rsid w:val="53FF492A"/>
    <w:rsid w:val="5455724B"/>
    <w:rsid w:val="54907C78"/>
    <w:rsid w:val="549A0AF6"/>
    <w:rsid w:val="54AF45A2"/>
    <w:rsid w:val="54CF48A7"/>
    <w:rsid w:val="55081F04"/>
    <w:rsid w:val="55264138"/>
    <w:rsid w:val="552C79A0"/>
    <w:rsid w:val="55713605"/>
    <w:rsid w:val="557D0C2B"/>
    <w:rsid w:val="557E17CA"/>
    <w:rsid w:val="55B81234"/>
    <w:rsid w:val="55CD58BC"/>
    <w:rsid w:val="55CD7F2E"/>
    <w:rsid w:val="55D035FE"/>
    <w:rsid w:val="564927D4"/>
    <w:rsid w:val="56570A4D"/>
    <w:rsid w:val="56576C9F"/>
    <w:rsid w:val="568455BA"/>
    <w:rsid w:val="56955A19"/>
    <w:rsid w:val="56A160C1"/>
    <w:rsid w:val="56F40992"/>
    <w:rsid w:val="574865E8"/>
    <w:rsid w:val="57833AC4"/>
    <w:rsid w:val="579B2BBB"/>
    <w:rsid w:val="57BE68AA"/>
    <w:rsid w:val="57CF2865"/>
    <w:rsid w:val="58242BB1"/>
    <w:rsid w:val="582E57DE"/>
    <w:rsid w:val="584003C5"/>
    <w:rsid w:val="58535244"/>
    <w:rsid w:val="586438F5"/>
    <w:rsid w:val="58AD0DF8"/>
    <w:rsid w:val="58B3387C"/>
    <w:rsid w:val="59084281"/>
    <w:rsid w:val="593705EE"/>
    <w:rsid w:val="594869A2"/>
    <w:rsid w:val="59531856"/>
    <w:rsid w:val="59701E26"/>
    <w:rsid w:val="59777658"/>
    <w:rsid w:val="59791E37"/>
    <w:rsid w:val="5A156465"/>
    <w:rsid w:val="5A4A10DF"/>
    <w:rsid w:val="5A875679"/>
    <w:rsid w:val="5AA4622B"/>
    <w:rsid w:val="5ADC59C5"/>
    <w:rsid w:val="5AE25B8E"/>
    <w:rsid w:val="5AFE65E2"/>
    <w:rsid w:val="5B445318"/>
    <w:rsid w:val="5B7B46A1"/>
    <w:rsid w:val="5B827889"/>
    <w:rsid w:val="5B9E711E"/>
    <w:rsid w:val="5BA9088B"/>
    <w:rsid w:val="5BFB00CD"/>
    <w:rsid w:val="5C013209"/>
    <w:rsid w:val="5CBA1D36"/>
    <w:rsid w:val="5CC901CB"/>
    <w:rsid w:val="5D347D3A"/>
    <w:rsid w:val="5D812854"/>
    <w:rsid w:val="5DBC0A01"/>
    <w:rsid w:val="5DDB6408"/>
    <w:rsid w:val="5DEC4F9E"/>
    <w:rsid w:val="5E337FF2"/>
    <w:rsid w:val="5EC30764"/>
    <w:rsid w:val="5EC5741C"/>
    <w:rsid w:val="5EDF50B7"/>
    <w:rsid w:val="5EE017FC"/>
    <w:rsid w:val="5F025C16"/>
    <w:rsid w:val="5F1919AA"/>
    <w:rsid w:val="5F28567D"/>
    <w:rsid w:val="5F3D500E"/>
    <w:rsid w:val="5F41673E"/>
    <w:rsid w:val="5F462D1E"/>
    <w:rsid w:val="5FB37036"/>
    <w:rsid w:val="5FD924D3"/>
    <w:rsid w:val="5FEB1323"/>
    <w:rsid w:val="5FFC4413"/>
    <w:rsid w:val="5FFE36C4"/>
    <w:rsid w:val="5FFFBA5A"/>
    <w:rsid w:val="60004E3D"/>
    <w:rsid w:val="60235E44"/>
    <w:rsid w:val="606177C6"/>
    <w:rsid w:val="607E12CC"/>
    <w:rsid w:val="608E59B3"/>
    <w:rsid w:val="60DB227B"/>
    <w:rsid w:val="619F774C"/>
    <w:rsid w:val="61C471B3"/>
    <w:rsid w:val="6240283F"/>
    <w:rsid w:val="626F5370"/>
    <w:rsid w:val="627B1F67"/>
    <w:rsid w:val="627E55B4"/>
    <w:rsid w:val="62830E1C"/>
    <w:rsid w:val="62EC6671"/>
    <w:rsid w:val="632F4BB7"/>
    <w:rsid w:val="633839B4"/>
    <w:rsid w:val="636C7B02"/>
    <w:rsid w:val="637A221F"/>
    <w:rsid w:val="638906B4"/>
    <w:rsid w:val="639A7FCB"/>
    <w:rsid w:val="63D77E29"/>
    <w:rsid w:val="63E458EA"/>
    <w:rsid w:val="64041AE8"/>
    <w:rsid w:val="643A375C"/>
    <w:rsid w:val="64601415"/>
    <w:rsid w:val="64CFAE03"/>
    <w:rsid w:val="64D70FAB"/>
    <w:rsid w:val="64F15C1C"/>
    <w:rsid w:val="65384140"/>
    <w:rsid w:val="656C5B97"/>
    <w:rsid w:val="65905D2A"/>
    <w:rsid w:val="659D0447"/>
    <w:rsid w:val="65B205AE"/>
    <w:rsid w:val="65D75707"/>
    <w:rsid w:val="65FE7137"/>
    <w:rsid w:val="660951F0"/>
    <w:rsid w:val="662F0F06"/>
    <w:rsid w:val="664020B8"/>
    <w:rsid w:val="664B60B7"/>
    <w:rsid w:val="669453A6"/>
    <w:rsid w:val="66D8039D"/>
    <w:rsid w:val="66F619F5"/>
    <w:rsid w:val="67010561"/>
    <w:rsid w:val="671D183F"/>
    <w:rsid w:val="67787CAA"/>
    <w:rsid w:val="67C27CF0"/>
    <w:rsid w:val="67FF476C"/>
    <w:rsid w:val="68307E99"/>
    <w:rsid w:val="68415DB6"/>
    <w:rsid w:val="68444162"/>
    <w:rsid w:val="689F6284"/>
    <w:rsid w:val="68B863FB"/>
    <w:rsid w:val="68C30390"/>
    <w:rsid w:val="68D157BD"/>
    <w:rsid w:val="68D777CC"/>
    <w:rsid w:val="68EC74D7"/>
    <w:rsid w:val="694F7CAA"/>
    <w:rsid w:val="69B67D29"/>
    <w:rsid w:val="69D41F5D"/>
    <w:rsid w:val="69FB573C"/>
    <w:rsid w:val="6A276531"/>
    <w:rsid w:val="6A42336B"/>
    <w:rsid w:val="6A4C5F97"/>
    <w:rsid w:val="6A7259FE"/>
    <w:rsid w:val="6A794FDE"/>
    <w:rsid w:val="6A982DA3"/>
    <w:rsid w:val="6A9E67F3"/>
    <w:rsid w:val="6AA9176C"/>
    <w:rsid w:val="6B150582"/>
    <w:rsid w:val="6B2E3E2B"/>
    <w:rsid w:val="6B7D46C2"/>
    <w:rsid w:val="6BA37E39"/>
    <w:rsid w:val="6BB32772"/>
    <w:rsid w:val="6BC25ACB"/>
    <w:rsid w:val="6BCD2628"/>
    <w:rsid w:val="6BD149A6"/>
    <w:rsid w:val="6BDB7763"/>
    <w:rsid w:val="6BF410A9"/>
    <w:rsid w:val="6C68355C"/>
    <w:rsid w:val="6CB57FF9"/>
    <w:rsid w:val="6CBC11B2"/>
    <w:rsid w:val="6CED5810"/>
    <w:rsid w:val="6D8B0547"/>
    <w:rsid w:val="6D8C3768"/>
    <w:rsid w:val="6DA027CB"/>
    <w:rsid w:val="6DB66549"/>
    <w:rsid w:val="6DC156C6"/>
    <w:rsid w:val="6DC26C9C"/>
    <w:rsid w:val="6DD8201C"/>
    <w:rsid w:val="6E0E3C8F"/>
    <w:rsid w:val="6E4FFF54"/>
    <w:rsid w:val="6E622E1B"/>
    <w:rsid w:val="6E906D9A"/>
    <w:rsid w:val="6EAD16FA"/>
    <w:rsid w:val="6EF966EE"/>
    <w:rsid w:val="6F1277AF"/>
    <w:rsid w:val="6F543924"/>
    <w:rsid w:val="6F8B7EA3"/>
    <w:rsid w:val="70441BEA"/>
    <w:rsid w:val="707F66DA"/>
    <w:rsid w:val="70A24B63"/>
    <w:rsid w:val="70AD603D"/>
    <w:rsid w:val="70BB79D3"/>
    <w:rsid w:val="70C42917"/>
    <w:rsid w:val="71023D91"/>
    <w:rsid w:val="71190EE3"/>
    <w:rsid w:val="716651F8"/>
    <w:rsid w:val="71846805"/>
    <w:rsid w:val="71DB20DB"/>
    <w:rsid w:val="71F1466A"/>
    <w:rsid w:val="71FE226D"/>
    <w:rsid w:val="72001B41"/>
    <w:rsid w:val="721D18D3"/>
    <w:rsid w:val="724709FB"/>
    <w:rsid w:val="727D5888"/>
    <w:rsid w:val="72987FCC"/>
    <w:rsid w:val="72D02FAF"/>
    <w:rsid w:val="730514D1"/>
    <w:rsid w:val="7306762B"/>
    <w:rsid w:val="732301DD"/>
    <w:rsid w:val="733E6DC5"/>
    <w:rsid w:val="7354659D"/>
    <w:rsid w:val="737A3B75"/>
    <w:rsid w:val="73B40E35"/>
    <w:rsid w:val="73B52DFF"/>
    <w:rsid w:val="73BB13C7"/>
    <w:rsid w:val="73C53042"/>
    <w:rsid w:val="73FB1E5F"/>
    <w:rsid w:val="74065409"/>
    <w:rsid w:val="74275AAB"/>
    <w:rsid w:val="74327FF0"/>
    <w:rsid w:val="74890514"/>
    <w:rsid w:val="74AE3AD6"/>
    <w:rsid w:val="74D3353D"/>
    <w:rsid w:val="74DB6895"/>
    <w:rsid w:val="74F160B9"/>
    <w:rsid w:val="74F52D04"/>
    <w:rsid w:val="74F811F5"/>
    <w:rsid w:val="752D2A24"/>
    <w:rsid w:val="753B2425"/>
    <w:rsid w:val="757A60AE"/>
    <w:rsid w:val="757F083C"/>
    <w:rsid w:val="75D457BF"/>
    <w:rsid w:val="75DC28C5"/>
    <w:rsid w:val="75E7084F"/>
    <w:rsid w:val="760D23F9"/>
    <w:rsid w:val="7621652A"/>
    <w:rsid w:val="765C6AF6"/>
    <w:rsid w:val="768371E5"/>
    <w:rsid w:val="76C515AB"/>
    <w:rsid w:val="76D11CFE"/>
    <w:rsid w:val="76F21588"/>
    <w:rsid w:val="76F36118"/>
    <w:rsid w:val="77221B1B"/>
    <w:rsid w:val="77632FEC"/>
    <w:rsid w:val="77642B72"/>
    <w:rsid w:val="779F1DFC"/>
    <w:rsid w:val="77A86F03"/>
    <w:rsid w:val="77B44E34"/>
    <w:rsid w:val="77D05D13"/>
    <w:rsid w:val="780954C8"/>
    <w:rsid w:val="781400F4"/>
    <w:rsid w:val="78702E03"/>
    <w:rsid w:val="78773421"/>
    <w:rsid w:val="78BD019A"/>
    <w:rsid w:val="78DC47E1"/>
    <w:rsid w:val="78E0447A"/>
    <w:rsid w:val="78EC72C3"/>
    <w:rsid w:val="791A5BDE"/>
    <w:rsid w:val="793547C6"/>
    <w:rsid w:val="794744F9"/>
    <w:rsid w:val="794C5FB4"/>
    <w:rsid w:val="799366C2"/>
    <w:rsid w:val="79DA35C0"/>
    <w:rsid w:val="79E63D12"/>
    <w:rsid w:val="79E77FA9"/>
    <w:rsid w:val="79FC3536"/>
    <w:rsid w:val="7A4078C7"/>
    <w:rsid w:val="7A462A03"/>
    <w:rsid w:val="7A4B0019"/>
    <w:rsid w:val="7A6510DB"/>
    <w:rsid w:val="7AAF67FA"/>
    <w:rsid w:val="7ACA7190"/>
    <w:rsid w:val="7AD941A7"/>
    <w:rsid w:val="7B31720F"/>
    <w:rsid w:val="7B637D31"/>
    <w:rsid w:val="7BA774D1"/>
    <w:rsid w:val="7C120DEF"/>
    <w:rsid w:val="7C232FFC"/>
    <w:rsid w:val="7C336FB7"/>
    <w:rsid w:val="7C6C24D1"/>
    <w:rsid w:val="7C7750F6"/>
    <w:rsid w:val="7CE32B26"/>
    <w:rsid w:val="7CFA77D1"/>
    <w:rsid w:val="7D4E40A8"/>
    <w:rsid w:val="7D731D61"/>
    <w:rsid w:val="7D7F24B4"/>
    <w:rsid w:val="7D84347F"/>
    <w:rsid w:val="7D937D0D"/>
    <w:rsid w:val="7E252B18"/>
    <w:rsid w:val="7E722019"/>
    <w:rsid w:val="7E7879D5"/>
    <w:rsid w:val="7E7FA2D1"/>
    <w:rsid w:val="7E927FC5"/>
    <w:rsid w:val="7EAB4AA0"/>
    <w:rsid w:val="7EC363D0"/>
    <w:rsid w:val="7ECB7C05"/>
    <w:rsid w:val="7ECF2FC7"/>
    <w:rsid w:val="7F2826D7"/>
    <w:rsid w:val="7F761695"/>
    <w:rsid w:val="7F8738A2"/>
    <w:rsid w:val="7F922126"/>
    <w:rsid w:val="7F9E0BEB"/>
    <w:rsid w:val="7FBB0EEA"/>
    <w:rsid w:val="7FD5583B"/>
    <w:rsid w:val="7FDDCD84"/>
    <w:rsid w:val="7FFF72CD"/>
    <w:rsid w:val="9D7FAC12"/>
    <w:rsid w:val="BBFEEDAE"/>
    <w:rsid w:val="BF3D2A8C"/>
    <w:rsid w:val="D7BED7D7"/>
    <w:rsid w:val="DDFD1B41"/>
    <w:rsid w:val="DFA739AB"/>
    <w:rsid w:val="E63EEC22"/>
    <w:rsid w:val="E86DBE43"/>
    <w:rsid w:val="EDBFBE89"/>
    <w:rsid w:val="EFB6D5C7"/>
    <w:rsid w:val="EFF5D277"/>
    <w:rsid w:val="FEFEF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宋体" w:eastAsia="宋体" w:hAnsiTheme="minorHAnsi" w:cstheme="minorBidi"/>
      <w:kern w:val="2"/>
      <w:sz w:val="24"/>
      <w:szCs w:val="22"/>
      <w:lang w:val="en-US" w:eastAsia="zh-CN" w:bidi="ar-SA"/>
    </w:rPr>
  </w:style>
  <w:style w:type="paragraph" w:styleId="2">
    <w:name w:val="heading 1"/>
    <w:basedOn w:val="1"/>
    <w:next w:val="1"/>
    <w:link w:val="24"/>
    <w:qFormat/>
    <w:uiPriority w:val="9"/>
    <w:pPr>
      <w:keepNext/>
      <w:keepLines/>
      <w:numPr>
        <w:ilvl w:val="0"/>
        <w:numId w:val="1"/>
      </w:numPr>
      <w:ind w:firstLine="0" w:firstLineChars="0"/>
      <w:outlineLvl w:val="0"/>
    </w:pPr>
    <w:rPr>
      <w:b/>
      <w:bCs/>
      <w:kern w:val="44"/>
      <w:szCs w:val="44"/>
    </w:rPr>
  </w:style>
  <w:style w:type="paragraph" w:styleId="3">
    <w:name w:val="heading 2"/>
    <w:basedOn w:val="1"/>
    <w:next w:val="1"/>
    <w:link w:val="25"/>
    <w:unhideWhenUsed/>
    <w:qFormat/>
    <w:uiPriority w:val="9"/>
    <w:pPr>
      <w:keepNext/>
      <w:keepLines/>
      <w:numPr>
        <w:ilvl w:val="1"/>
        <w:numId w:val="1"/>
      </w:numPr>
      <w:ind w:firstLine="0" w:firstLineChars="0"/>
      <w:outlineLvl w:val="1"/>
    </w:pPr>
    <w:rPr>
      <w:rFonts w:hAnsiTheme="majorHAnsi" w:cstheme="majorBidi"/>
      <w:b/>
      <w:bCs/>
      <w:szCs w:val="32"/>
    </w:rPr>
  </w:style>
  <w:style w:type="paragraph" w:styleId="4">
    <w:name w:val="heading 3"/>
    <w:basedOn w:val="1"/>
    <w:next w:val="1"/>
    <w:link w:val="26"/>
    <w:unhideWhenUsed/>
    <w:qFormat/>
    <w:uiPriority w:val="9"/>
    <w:pPr>
      <w:keepNext/>
      <w:keepLines/>
      <w:numPr>
        <w:ilvl w:val="2"/>
        <w:numId w:val="1"/>
      </w:numPr>
      <w:ind w:firstLine="0" w:firstLineChars="0"/>
      <w:outlineLvl w:val="2"/>
    </w:pPr>
    <w:rPr>
      <w:b/>
      <w:bCs/>
      <w:szCs w:val="32"/>
    </w:rPr>
  </w:style>
  <w:style w:type="paragraph" w:styleId="5">
    <w:name w:val="heading 4"/>
    <w:basedOn w:val="1"/>
    <w:next w:val="1"/>
    <w:link w:val="27"/>
    <w:semiHidden/>
    <w:unhideWhenUsed/>
    <w:qFormat/>
    <w:uiPriority w:val="9"/>
    <w:pPr>
      <w:keepNext/>
      <w:keepLines/>
      <w:numPr>
        <w:ilvl w:val="3"/>
        <w:numId w:val="1"/>
      </w:numPr>
      <w:ind w:firstLine="0" w:firstLineChars="0"/>
      <w:outlineLvl w:val="3"/>
    </w:pPr>
    <w:rPr>
      <w:rFonts w:hAnsiTheme="majorHAnsi" w:cstheme="majorBidi"/>
      <w:b/>
      <w:bCs/>
      <w:szCs w:val="28"/>
    </w:rPr>
  </w:style>
  <w:style w:type="paragraph" w:styleId="6">
    <w:name w:val="heading 5"/>
    <w:basedOn w:val="1"/>
    <w:next w:val="1"/>
    <w:link w:val="28"/>
    <w:semiHidden/>
    <w:unhideWhenUsed/>
    <w:qFormat/>
    <w:uiPriority w:val="9"/>
    <w:pPr>
      <w:keepNext/>
      <w:keepLines/>
      <w:numPr>
        <w:ilvl w:val="4"/>
        <w:numId w:val="1"/>
      </w:numPr>
      <w:ind w:firstLine="0" w:firstLineChars="0"/>
      <w:outlineLvl w:val="4"/>
    </w:pPr>
    <w:rPr>
      <w:b/>
      <w:bCs/>
      <w:szCs w:val="28"/>
    </w:rPr>
  </w:style>
  <w:style w:type="paragraph" w:styleId="7">
    <w:name w:val="heading 6"/>
    <w:basedOn w:val="1"/>
    <w:next w:val="1"/>
    <w:link w:val="29"/>
    <w:semiHidden/>
    <w:unhideWhenUsed/>
    <w:qFormat/>
    <w:uiPriority w:val="9"/>
    <w:pPr>
      <w:keepNext/>
      <w:keepLines/>
      <w:numPr>
        <w:ilvl w:val="5"/>
        <w:numId w:val="1"/>
      </w:numPr>
      <w:ind w:firstLine="0" w:firstLineChars="0"/>
      <w:outlineLvl w:val="5"/>
    </w:pPr>
    <w:rPr>
      <w:rFonts w:hAnsiTheme="majorHAnsi" w:cstheme="majorBidi"/>
      <w:b/>
      <w:bCs/>
      <w:szCs w:val="24"/>
    </w:rPr>
  </w:style>
  <w:style w:type="paragraph" w:styleId="8">
    <w:name w:val="heading 7"/>
    <w:basedOn w:val="1"/>
    <w:next w:val="1"/>
    <w:link w:val="30"/>
    <w:semiHidden/>
    <w:unhideWhenUsed/>
    <w:qFormat/>
    <w:uiPriority w:val="9"/>
    <w:pPr>
      <w:keepNext/>
      <w:keepLines/>
      <w:numPr>
        <w:ilvl w:val="6"/>
        <w:numId w:val="1"/>
      </w:numPr>
      <w:ind w:firstLine="0" w:firstLineChars="0"/>
      <w:outlineLvl w:val="6"/>
    </w:pPr>
    <w:rPr>
      <w:b/>
      <w:bCs/>
      <w:szCs w:val="24"/>
    </w:rPr>
  </w:style>
  <w:style w:type="paragraph" w:styleId="9">
    <w:name w:val="heading 8"/>
    <w:basedOn w:val="1"/>
    <w:next w:val="1"/>
    <w:link w:val="31"/>
    <w:semiHidden/>
    <w:unhideWhenUsed/>
    <w:qFormat/>
    <w:uiPriority w:val="9"/>
    <w:pPr>
      <w:keepNext/>
      <w:keepLines/>
      <w:numPr>
        <w:ilvl w:val="7"/>
        <w:numId w:val="1"/>
      </w:numPr>
      <w:ind w:firstLine="0" w:firstLineChars="0"/>
      <w:outlineLvl w:val="7"/>
    </w:pPr>
    <w:rPr>
      <w:rFonts w:hAnsiTheme="majorHAnsi" w:cstheme="majorBidi"/>
      <w:szCs w:val="24"/>
    </w:rPr>
  </w:style>
  <w:style w:type="paragraph" w:styleId="10">
    <w:name w:val="heading 9"/>
    <w:basedOn w:val="1"/>
    <w:next w:val="1"/>
    <w:link w:val="32"/>
    <w:semiHidden/>
    <w:unhideWhenUsed/>
    <w:qFormat/>
    <w:uiPriority w:val="9"/>
    <w:pPr>
      <w:keepNext/>
      <w:keepLines/>
      <w:numPr>
        <w:ilvl w:val="8"/>
        <w:numId w:val="1"/>
      </w:numPr>
      <w:ind w:firstLine="0" w:firstLineChars="0"/>
      <w:outlineLvl w:val="8"/>
    </w:pPr>
    <w:rPr>
      <w:rFonts w:hAnsiTheme="majorHAnsi" w:cstheme="majorBidi"/>
      <w:szCs w:val="21"/>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pPr>
      <w:spacing w:line="240" w:lineRule="auto"/>
      <w:ind w:firstLine="0" w:firstLineChars="0"/>
      <w:jc w:val="left"/>
    </w:pPr>
    <w:rPr>
      <w:rFonts w:asciiTheme="minorHAnsi" w:eastAsiaTheme="minorEastAsia"/>
      <w:sz w:val="21"/>
    </w:rPr>
  </w:style>
  <w:style w:type="paragraph" w:styleId="12">
    <w:name w:val="Body Text Indent"/>
    <w:basedOn w:val="1"/>
    <w:unhideWhenUsed/>
    <w:qFormat/>
    <w:uiPriority w:val="99"/>
    <w:pPr>
      <w:spacing w:after="120"/>
      <w:ind w:left="420" w:leftChars="200"/>
    </w:pPr>
  </w:style>
  <w:style w:type="paragraph" w:styleId="13">
    <w:name w:val="Plain Text"/>
    <w:basedOn w:val="1"/>
    <w:link w:val="51"/>
    <w:semiHidden/>
    <w:unhideWhenUsed/>
    <w:qFormat/>
    <w:uiPriority w:val="99"/>
    <w:rPr>
      <w:rFonts w:hAnsi="Courier New" w:cs="Courier New" w:asciiTheme="minorEastAsia" w:eastAsiaTheme="minorEastAsia"/>
    </w:rPr>
  </w:style>
  <w:style w:type="paragraph" w:styleId="14">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4"/>
    <w:qFormat/>
    <w:uiPriority w:val="11"/>
    <w:pPr>
      <w:spacing w:before="240" w:after="60" w:line="312" w:lineRule="auto"/>
      <w:jc w:val="center"/>
      <w:outlineLvl w:val="1"/>
    </w:pPr>
    <w:rPr>
      <w:rFonts w:asciiTheme="minorHAnsi" w:eastAsiaTheme="minorEastAsia"/>
      <w:b/>
      <w:bCs/>
      <w:kern w:val="28"/>
      <w:sz w:val="32"/>
      <w:szCs w:val="32"/>
    </w:rPr>
  </w:style>
  <w:style w:type="paragraph" w:styleId="17">
    <w:name w:val="Body Text Indent 3"/>
    <w:basedOn w:val="1"/>
    <w:link w:val="52"/>
    <w:unhideWhenUsed/>
    <w:qFormat/>
    <w:uiPriority w:val="99"/>
    <w:pPr>
      <w:widowControl w:val="0"/>
      <w:spacing w:after="120"/>
      <w:ind w:left="420" w:leftChars="200" w:firstLine="0" w:firstLineChars="0"/>
    </w:pPr>
    <w:rPr>
      <w:rFonts w:asciiTheme="minorHAnsi" w:eastAsiaTheme="minorEastAsia"/>
      <w:sz w:val="16"/>
      <w:szCs w:val="16"/>
    </w:rPr>
  </w:style>
  <w:style w:type="paragraph" w:styleId="18">
    <w:name w:val="Title"/>
    <w:basedOn w:val="1"/>
    <w:next w:val="1"/>
    <w:link w:val="3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9">
    <w:name w:val="Body Text First Indent 2"/>
    <w:basedOn w:val="12"/>
    <w:qFormat/>
    <w:uiPriority w:val="0"/>
    <w:pPr>
      <w:spacing w:after="0"/>
      <w:ind w:left="0" w:leftChars="0" w:firstLine="200" w:firstLineChars="200"/>
    </w:pPr>
    <w:rPr>
      <w:rFonts w:eastAsia="宋体"/>
      <w:sz w:val="24"/>
    </w:rPr>
  </w:style>
  <w:style w:type="character" w:styleId="22">
    <w:name w:val="Strong"/>
    <w:basedOn w:val="21"/>
    <w:qFormat/>
    <w:uiPriority w:val="0"/>
    <w:rPr>
      <w:b/>
    </w:rPr>
  </w:style>
  <w:style w:type="character" w:styleId="23">
    <w:name w:val="annotation reference"/>
    <w:basedOn w:val="21"/>
    <w:autoRedefine/>
    <w:semiHidden/>
    <w:unhideWhenUsed/>
    <w:qFormat/>
    <w:uiPriority w:val="99"/>
    <w:rPr>
      <w:sz w:val="21"/>
      <w:szCs w:val="21"/>
    </w:rPr>
  </w:style>
  <w:style w:type="character" w:customStyle="1" w:styleId="24">
    <w:name w:val="标题 1 字符"/>
    <w:basedOn w:val="21"/>
    <w:link w:val="2"/>
    <w:qFormat/>
    <w:uiPriority w:val="9"/>
    <w:rPr>
      <w:rFonts w:ascii="宋体" w:eastAsia="宋体"/>
      <w:b/>
      <w:bCs/>
      <w:kern w:val="44"/>
      <w:sz w:val="24"/>
      <w:szCs w:val="44"/>
    </w:rPr>
  </w:style>
  <w:style w:type="character" w:customStyle="1" w:styleId="25">
    <w:name w:val="标题 2 字符"/>
    <w:basedOn w:val="21"/>
    <w:link w:val="3"/>
    <w:qFormat/>
    <w:uiPriority w:val="9"/>
    <w:rPr>
      <w:rFonts w:ascii="宋体" w:eastAsia="宋体" w:hAnsiTheme="majorHAnsi" w:cstheme="majorBidi"/>
      <w:b/>
      <w:bCs/>
      <w:sz w:val="24"/>
      <w:szCs w:val="32"/>
    </w:rPr>
  </w:style>
  <w:style w:type="character" w:customStyle="1" w:styleId="26">
    <w:name w:val="标题 3 字符"/>
    <w:basedOn w:val="21"/>
    <w:link w:val="4"/>
    <w:qFormat/>
    <w:uiPriority w:val="9"/>
    <w:rPr>
      <w:rFonts w:ascii="宋体" w:eastAsia="宋体"/>
      <w:b/>
      <w:bCs/>
      <w:sz w:val="24"/>
      <w:szCs w:val="32"/>
    </w:rPr>
  </w:style>
  <w:style w:type="character" w:customStyle="1" w:styleId="27">
    <w:name w:val="标题 4 字符"/>
    <w:basedOn w:val="21"/>
    <w:link w:val="5"/>
    <w:semiHidden/>
    <w:qFormat/>
    <w:uiPriority w:val="9"/>
    <w:rPr>
      <w:rFonts w:ascii="宋体" w:eastAsia="宋体" w:hAnsiTheme="majorHAnsi" w:cstheme="majorBidi"/>
      <w:b/>
      <w:bCs/>
      <w:sz w:val="24"/>
      <w:szCs w:val="28"/>
    </w:rPr>
  </w:style>
  <w:style w:type="character" w:customStyle="1" w:styleId="28">
    <w:name w:val="标题 5 字符"/>
    <w:basedOn w:val="21"/>
    <w:link w:val="6"/>
    <w:semiHidden/>
    <w:qFormat/>
    <w:uiPriority w:val="9"/>
    <w:rPr>
      <w:rFonts w:ascii="宋体" w:eastAsia="宋体"/>
      <w:b/>
      <w:bCs/>
      <w:sz w:val="24"/>
      <w:szCs w:val="28"/>
    </w:rPr>
  </w:style>
  <w:style w:type="character" w:customStyle="1" w:styleId="29">
    <w:name w:val="标题 6 字符"/>
    <w:basedOn w:val="21"/>
    <w:link w:val="7"/>
    <w:semiHidden/>
    <w:qFormat/>
    <w:uiPriority w:val="9"/>
    <w:rPr>
      <w:rFonts w:ascii="宋体" w:eastAsia="宋体" w:hAnsiTheme="majorHAnsi" w:cstheme="majorBidi"/>
      <w:b/>
      <w:bCs/>
      <w:sz w:val="24"/>
      <w:szCs w:val="24"/>
    </w:rPr>
  </w:style>
  <w:style w:type="character" w:customStyle="1" w:styleId="30">
    <w:name w:val="标题 7 字符"/>
    <w:basedOn w:val="21"/>
    <w:link w:val="8"/>
    <w:semiHidden/>
    <w:qFormat/>
    <w:uiPriority w:val="9"/>
    <w:rPr>
      <w:rFonts w:ascii="宋体" w:eastAsia="宋体"/>
      <w:b/>
      <w:bCs/>
      <w:sz w:val="24"/>
      <w:szCs w:val="24"/>
    </w:rPr>
  </w:style>
  <w:style w:type="character" w:customStyle="1" w:styleId="31">
    <w:name w:val="标题 8 字符"/>
    <w:basedOn w:val="21"/>
    <w:link w:val="9"/>
    <w:semiHidden/>
    <w:qFormat/>
    <w:uiPriority w:val="9"/>
    <w:rPr>
      <w:rFonts w:ascii="宋体" w:eastAsia="宋体" w:hAnsiTheme="majorHAnsi" w:cstheme="majorBidi"/>
      <w:sz w:val="24"/>
      <w:szCs w:val="24"/>
    </w:rPr>
  </w:style>
  <w:style w:type="character" w:customStyle="1" w:styleId="32">
    <w:name w:val="标题 9 字符"/>
    <w:basedOn w:val="21"/>
    <w:link w:val="10"/>
    <w:semiHidden/>
    <w:qFormat/>
    <w:uiPriority w:val="9"/>
    <w:rPr>
      <w:rFonts w:ascii="宋体" w:eastAsia="宋体" w:hAnsiTheme="majorHAnsi" w:cstheme="majorBidi"/>
      <w:sz w:val="24"/>
      <w:szCs w:val="21"/>
    </w:rPr>
  </w:style>
  <w:style w:type="character" w:customStyle="1" w:styleId="33">
    <w:name w:val="标题 字符"/>
    <w:basedOn w:val="21"/>
    <w:link w:val="18"/>
    <w:qFormat/>
    <w:uiPriority w:val="10"/>
    <w:rPr>
      <w:rFonts w:asciiTheme="majorHAnsi" w:hAnsiTheme="majorHAnsi" w:eastAsiaTheme="majorEastAsia" w:cstheme="majorBidi"/>
      <w:b/>
      <w:bCs/>
      <w:sz w:val="32"/>
      <w:szCs w:val="32"/>
    </w:rPr>
  </w:style>
  <w:style w:type="character" w:customStyle="1" w:styleId="34">
    <w:name w:val="副标题 字符"/>
    <w:basedOn w:val="21"/>
    <w:link w:val="16"/>
    <w:qFormat/>
    <w:uiPriority w:val="11"/>
    <w:rPr>
      <w:b/>
      <w:bCs/>
      <w:kern w:val="28"/>
      <w:sz w:val="32"/>
      <w:szCs w:val="32"/>
    </w:rPr>
  </w:style>
  <w:style w:type="paragraph" w:styleId="35">
    <w:name w:val="Quote"/>
    <w:basedOn w:val="1"/>
    <w:next w:val="1"/>
    <w:link w:val="3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rFonts w:ascii="宋体" w:eastAsia="宋体"/>
      <w:i/>
      <w:iCs/>
      <w:color w:val="404040" w:themeColor="text1" w:themeTint="BF"/>
      <w:sz w:val="24"/>
      <w14:textFill>
        <w14:solidFill>
          <w14:schemeClr w14:val="tx1">
            <w14:lumMod w14:val="75000"/>
            <w14:lumOff w14:val="25000"/>
          </w14:schemeClr>
        </w14:solidFill>
      </w14:textFill>
    </w:rPr>
  </w:style>
  <w:style w:type="paragraph" w:styleId="37">
    <w:name w:val="List Paragraph"/>
    <w:basedOn w:val="1"/>
    <w:qFormat/>
    <w:uiPriority w:val="34"/>
    <w:pPr>
      <w:ind w:firstLine="420"/>
    </w:pPr>
  </w:style>
  <w:style w:type="character" w:customStyle="1" w:styleId="38">
    <w:name w:val="Intense Emphasis"/>
    <w:basedOn w:val="21"/>
    <w:qFormat/>
    <w:uiPriority w:val="21"/>
    <w:rPr>
      <w:i/>
      <w:iCs/>
      <w:color w:val="156082" w:themeColor="accent1"/>
      <w14:textFill>
        <w14:solidFill>
          <w14:schemeClr w14:val="accent1"/>
        </w14:solidFill>
      </w14:textFill>
    </w:rPr>
  </w:style>
  <w:style w:type="paragraph" w:styleId="39">
    <w:name w:val="Intense Quote"/>
    <w:basedOn w:val="1"/>
    <w:next w:val="1"/>
    <w:link w:val="40"/>
    <w:qFormat/>
    <w:uiPriority w:val="30"/>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40">
    <w:name w:val="明显引用 字符"/>
    <w:basedOn w:val="21"/>
    <w:link w:val="39"/>
    <w:qFormat/>
    <w:uiPriority w:val="30"/>
    <w:rPr>
      <w:rFonts w:ascii="宋体" w:eastAsia="宋体"/>
      <w:i/>
      <w:iCs/>
      <w:color w:val="156082" w:themeColor="accent1"/>
      <w:sz w:val="24"/>
      <w14:textFill>
        <w14:solidFill>
          <w14:schemeClr w14:val="accent1"/>
        </w14:solidFill>
      </w14:textFill>
    </w:rPr>
  </w:style>
  <w:style w:type="character" w:customStyle="1" w:styleId="41">
    <w:name w:val="Intense Reference"/>
    <w:basedOn w:val="21"/>
    <w:qFormat/>
    <w:uiPriority w:val="32"/>
    <w:rPr>
      <w:b/>
      <w:bCs/>
      <w:smallCaps/>
      <w:color w:val="156082" w:themeColor="accent1"/>
      <w:spacing w:val="5"/>
      <w14:textFill>
        <w14:solidFill>
          <w14:schemeClr w14:val="accent1"/>
        </w14:solidFill>
      </w14:textFill>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 w:type="paragraph" w:styleId="44">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character" w:customStyle="1" w:styleId="45">
    <w:name w:val="Subtle Emphasis"/>
    <w:basedOn w:val="21"/>
    <w:qFormat/>
    <w:uiPriority w:val="19"/>
    <w:rPr>
      <w:i/>
      <w:iCs/>
      <w:color w:val="404040" w:themeColor="text1" w:themeTint="BF"/>
      <w14:textFill>
        <w14:solidFill>
          <w14:schemeClr w14:val="tx1">
            <w14:lumMod w14:val="75000"/>
            <w14:lumOff w14:val="25000"/>
          </w14:schemeClr>
        </w14:solidFill>
      </w14:textFill>
    </w:rPr>
  </w:style>
  <w:style w:type="character" w:customStyle="1" w:styleId="46">
    <w:name w:val="批注文字 字符"/>
    <w:basedOn w:val="21"/>
    <w:link w:val="11"/>
    <w:semiHidden/>
    <w:qFormat/>
    <w:uiPriority w:val="99"/>
  </w:style>
  <w:style w:type="character" w:customStyle="1" w:styleId="47">
    <w:name w:val="font31"/>
    <w:basedOn w:val="21"/>
    <w:qFormat/>
    <w:uiPriority w:val="0"/>
    <w:rPr>
      <w:rFonts w:ascii="Arial" w:hAnsi="Arial" w:cs="Arial"/>
      <w:color w:val="000000"/>
      <w:sz w:val="24"/>
      <w:szCs w:val="24"/>
      <w:u w:val="none"/>
    </w:rPr>
  </w:style>
  <w:style w:type="character" w:customStyle="1" w:styleId="48">
    <w:name w:val="font11"/>
    <w:basedOn w:val="21"/>
    <w:qFormat/>
    <w:uiPriority w:val="0"/>
    <w:rPr>
      <w:rFonts w:hint="eastAsia" w:ascii="宋体" w:hAnsi="宋体" w:eastAsia="宋体" w:cs="宋体"/>
      <w:color w:val="000000"/>
      <w:sz w:val="24"/>
      <w:szCs w:val="24"/>
      <w:u w:val="none"/>
    </w:rPr>
  </w:style>
  <w:style w:type="paragraph" w:customStyle="1" w:styleId="49">
    <w:name w:val="正文-SM"/>
    <w:basedOn w:val="13"/>
    <w:qFormat/>
    <w:uiPriority w:val="0"/>
    <w:pPr>
      <w:jc w:val="left"/>
    </w:pPr>
    <w:rPr>
      <w:rFonts w:ascii="Times New Roman" w:hAnsi="宋体" w:eastAsia="宋体" w:cs="宋体"/>
      <w:kern w:val="0"/>
      <w:szCs w:val="24"/>
    </w:rPr>
  </w:style>
  <w:style w:type="paragraph" w:customStyle="1" w:styleId="50">
    <w:name w:val="列表段落11"/>
    <w:basedOn w:val="1"/>
    <w:qFormat/>
    <w:uiPriority w:val="0"/>
    <w:pPr>
      <w:spacing w:line="240" w:lineRule="auto"/>
      <w:ind w:firstLine="420"/>
      <w:jc w:val="left"/>
    </w:pPr>
    <w:rPr>
      <w:rFonts w:hAnsi="宋体" w:cs="宋体"/>
      <w:kern w:val="0"/>
      <w:szCs w:val="24"/>
    </w:rPr>
  </w:style>
  <w:style w:type="character" w:customStyle="1" w:styleId="51">
    <w:name w:val="纯文本 字符"/>
    <w:basedOn w:val="21"/>
    <w:link w:val="13"/>
    <w:semiHidden/>
    <w:qFormat/>
    <w:uiPriority w:val="99"/>
    <w:rPr>
      <w:rFonts w:hAnsi="Courier New" w:cs="Courier New" w:asciiTheme="minorEastAsia"/>
      <w:sz w:val="24"/>
    </w:rPr>
  </w:style>
  <w:style w:type="character" w:customStyle="1" w:styleId="52">
    <w:name w:val="正文文本缩进 3 字符"/>
    <w:basedOn w:val="21"/>
    <w:link w:val="17"/>
    <w:qFormat/>
    <w:uiPriority w:val="99"/>
    <w:rPr>
      <w:sz w:val="16"/>
      <w:szCs w:val="16"/>
    </w:rPr>
  </w:style>
  <w:style w:type="paragraph" w:customStyle="1" w:styleId="53">
    <w:name w:val="_Style 85"/>
    <w:basedOn w:val="1"/>
    <w:next w:val="1"/>
    <w:qFormat/>
    <w:uiPriority w:val="99"/>
    <w:pPr>
      <w:widowControl w:val="0"/>
      <w:spacing w:line="240" w:lineRule="auto"/>
      <w:ind w:firstLine="420"/>
    </w:pPr>
    <w:rPr>
      <w:rFonts w:ascii="Calibri" w:hAnsi="Calibri" w:cs="Times New Roman"/>
      <w:sz w:val="21"/>
    </w:rPr>
  </w:style>
  <w:style w:type="paragraph" w:customStyle="1" w:styleId="54">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 w:type="character" w:customStyle="1" w:styleId="55">
    <w:name w:val="font41"/>
    <w:basedOn w:val="21"/>
    <w:qFormat/>
    <w:uiPriority w:val="0"/>
    <w:rPr>
      <w:rFonts w:hint="eastAsia" w:ascii="宋体" w:hAnsi="宋体" w:eastAsia="宋体" w:cs="宋体"/>
      <w:color w:val="000000"/>
      <w:sz w:val="21"/>
      <w:szCs w:val="21"/>
      <w:u w:val="none"/>
    </w:rPr>
  </w:style>
  <w:style w:type="character" w:customStyle="1" w:styleId="56">
    <w:name w:val="font8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13317</Words>
  <Characters>13977</Characters>
  <Lines>88</Lines>
  <Paragraphs>24</Paragraphs>
  <TotalTime>13</TotalTime>
  <ScaleCrop>false</ScaleCrop>
  <LinksUpToDate>false</LinksUpToDate>
  <CharactersWithSpaces>14018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2026-01-01T08:06:00Z</dcterms:created>
  <dc:creator>A</dc:creator>
  <cp:lastModifiedBy>顾文林</cp:lastModifiedBy>
  <dcterms:modified xsi:type="dcterms:W3CDTF">2026-05-22T10:18:04Z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eyJoZGlkIjoiMDI1Yzc3N2IzMTdjZjU3YmI5YjQxYTNkZjdjNzJiYmUiLCJ1c2VySWQiOiI1MTIwOTQ1NjkifQ==</vt:lpwstr>
  </property>
  <property fmtid="{D5CDD505-2E9C-101B-9397-08002B2CF9AE}" pid="3" name="KSOProductBuildVer">
    <vt:lpwstr>2052-12.1.2.22550</vt:lpwstr>
  </property>
  <property fmtid="{D5CDD505-2E9C-101B-9397-08002B2CF9AE}" pid="4" name="ICV">
    <vt:lpwstr>F73252F0C3DF434DA6AC0E6A73916D35_43</vt:lpwstr>
  </property>
</Properties>
</file>