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52"/>
        </w:rPr>
        <w:t>上海开放大学教育资源生成中心技术支持服务需求说明书</w:t>
      </w:r>
    </w:p>
    <w:p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32"/>
        </w:rPr>
        <w:t>一、项目概述</w:t>
      </w:r>
      <w:bookmarkEnd w:id="0"/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30"/>
        </w:rPr>
        <w:t>（一）项目背景</w:t>
      </w:r>
      <w:bookmarkEnd w:id="1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为贯彻落实教育部等九部门《关于加快推进教育数字化的意见》，践行教育数字化战略指示精神，上海开放大学全面落实国家及上海市教育数字化战略部署，响应《&lt;上海开放大学全面深化综合改革方案&gt;任务分工方案》要求，依据《上海开放大学学习资源中心三年行动计划（2024-2026年）》工作安排，以教学资源供需匹配为导向，深度整合"三教一校"优质资源，充分发挥人工智能技术赋能作用，探索生成式教育资源建设新模式，优化资源建设与全流程管理体系，筑牢资源意识形态审核防线。学校通过统一存储等技术手段，汇聚覆盖各类学习平台的海量优质资源，为"一网通学"终身学习资源公共服务平台提供核心支撑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截至2025年，资源生成中心已全面建成基础服务能力，打造形成"生成-汇聚-审核-管理"一体化服务体系；建成"三教一校"多模态标准化资源仓库，实现跨平台资源统一汇聚入库；为教师、分校/部门、总校提供三级分级资源空间服务，支撑核心业务落地，显著提升资源使用效率与精细化管理水平；构建多层级并行审核体系，保障资源合规审查的可靠性与时效性；同时为一线教师提供文本大模型、文档类资源智能生成等工具，赋能教学创作。2026年，本项目将在巩固基础服务能力的前提下，进一步优化审核流程与智能化生成工具，全面升级标准化人脸特征数据库、基于大模型的深度语义审核、教育行业专属智能知识库等新一代AI核心能力，新增全维度数据分析统计功能，实现教育资源全链路智能化、可视化、可量化升级，全面提升平台的安全性、合规性、高效性与创新能力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30"/>
        </w:rPr>
        <w:t>（二）服务目标</w:t>
      </w:r>
      <w:bookmarkEnd w:id="2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本项目聚焦资源生成中心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资源处理能力升级、资源意识形态合规审核、教师资源生成工作台赋能、系统运维保障</w:t>
      </w:r>
      <w:r>
        <w:rPr>
          <w:rFonts w:hint="eastAsia" w:asciiTheme="minorEastAsia" w:hAnsiTheme="minorEastAsia" w:eastAsiaTheme="minorEastAsia" w:cstheme="minorEastAsia"/>
          <w:sz w:val="22"/>
        </w:rPr>
        <w:t>四大核心任务，以"保障资源管理合规高效、审核体系智能精准、技术赋能教学实践、系统运行安全稳定"为核心导向，全面提升资源生成中心的服务效能与管理水平，为学校教育教学高质量发展提供坚实的技术支撑。</w:t>
      </w:r>
    </w:p>
    <w:p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32"/>
        </w:rPr>
        <w:t>二、服务内容</w:t>
      </w:r>
      <w:bookmarkEnd w:id="3"/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4" w:name="heading_4"/>
      <w:r>
        <w:rPr>
          <w:rFonts w:hint="eastAsia" w:asciiTheme="minorEastAsia" w:hAnsiTheme="minorEastAsia" w:eastAsiaTheme="minorEastAsia" w:cstheme="minorEastAsia"/>
          <w:b/>
          <w:sz w:val="30"/>
        </w:rPr>
        <w:t>（一）资源处理能力升级服务</w:t>
      </w:r>
      <w:bookmarkEnd w:id="4"/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5" w:name="heading_5"/>
      <w:r>
        <w:rPr>
          <w:rFonts w:hint="eastAsia" w:asciiTheme="minorEastAsia" w:hAnsiTheme="minorEastAsia" w:eastAsiaTheme="minorEastAsia" w:cstheme="minorEastAsia"/>
          <w:b/>
          <w:sz w:val="28"/>
        </w:rPr>
        <w:t>1. 资源标签标准化加工与全生命周期管理服务</w:t>
      </w:r>
      <w:bookmarkEnd w:id="5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(1) 标签分级与结构化建设：完成不少于2万条有效教学资源的标准化入库；提取视频关键帧特征并构建标准化特征数据集，基于预设标签体系调用智能模型自动生成标签，结合人工复核校验，形成不少于20万条有效资源标签；构建多层级标签体系，明确标签层级从属关系；补充标签权重、来源、生效状态等元数据属性，实现标签全生命周期可追溯、可管控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(2) 标签清洗与校验：对20万条生成标签进行全量去重、同义合并与格式统一，过滤敏感违规标签、修正语义表述错误，确保标签合规性、语义一致性与可读性。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(3) 标签关联与入库：构建标签关联网络，完成标签与对应教学资源的精准绑定，按照学校资源管理规范存入资源管理系统，保障标签可检索、可调用。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(4) 质量校验与迭代优化：采用抽样核查方式验证标签分级合理性与关联准确性，针对发现的问题优化智能模型参数、完善标签体系。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(5) AI标签关联资源数据分析：基于平台资源调用日志，生成多维度数据可视化分析结果，支持按日、周、月、年等周期维度切换，清晰展示AI标签关联资源的使用频率及热门标签热度变化趋势，为学校资源优化配置与教学决策提供数据支撑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6" w:name="heading_6"/>
      <w:r>
        <w:rPr>
          <w:rFonts w:hint="eastAsia" w:asciiTheme="minorEastAsia" w:hAnsiTheme="minorEastAsia" w:eastAsiaTheme="minorEastAsia" w:cstheme="minorEastAsia"/>
          <w:b/>
          <w:sz w:val="28"/>
        </w:rPr>
        <w:t>2. 关键性标引信息库建设服务</w:t>
      </w:r>
      <w:bookmarkEnd w:id="6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全面建设审核工作所需的各类关键性标引信息库，显著提升多级审核体系的多模态内容识别精度与检索效率，强化关键性风险信息的拦截有效率。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(1) 教育行业专属敏感词库升级：完善政治类、法律法规类、教育违规类三大专题敏感词库建设，项目期内累计入库有效词条不少于5000条，并按月进行更新维护。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(2) 教育行业专属人脸特征库体系建设：构建包含合规人物白名单库、敏感人物黑名单库、公共人物标准特征库、教师数字人特征库的标准化人脸特征库，统一特征格式、向量维度与入库校验标准。项目期内完成不少于1万条人脸特征数据的标准化入库，库内数据格式标准化率达到100%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(3) 人脸特征库核心能力提升：实现全画面人脸检测、多帧比对、特征提取与相似度判断功能；支持虚拟数字人形象合规校验、教师人脸与数字人身份绑定；特征检索响应时间≤0.8秒，支持高吞吐批量比对。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(4) 标引信息库安全与运维能力建设：对教育专属敏感词库、人脸特征库实施数据脱敏与加密存储，建立分级权限管控机制；完善版本管理、更新日志与回滚机制，按月迭代更新；实现与多级审核系统、教师工作台、资源管理系统的无缝对接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7" w:name="heading_7"/>
      <w:r>
        <w:rPr>
          <w:rFonts w:hint="eastAsia" w:asciiTheme="minorEastAsia" w:hAnsiTheme="minorEastAsia" w:eastAsiaTheme="minorEastAsia" w:cstheme="minorEastAsia"/>
          <w:b/>
          <w:sz w:val="28"/>
        </w:rPr>
        <w:t>3. 多维度分析统计支持服务</w:t>
      </w:r>
      <w:bookmarkEnd w:id="7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(1) 审核分析统计：覆盖总审核量、审核通过率、驳回率、复审率及意识形态审核专项维度的全量统计；人脸审核专项统计，包含检测量、通过率、拦截率、复核率、误报/漏报率；开展审核效率、单节点耗时与流程瓶颈分析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(2) 资源管理分析统计：统计资源入库总量、分类分布、来源分布与存储空间占用情况；统计AI标签生成量、覆盖率、准确率与检索调用频次；统计三级资源空间的资源使用排行、共享频次与利用率。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(3) 用户行为分析统计：统计教师工作台登录次数、AI工具使用次数与课件生成量；统计培训参与率、功能使用率与用户满意度；分析用户活跃度、操作习惯与高频使用功能。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(4) 系统运行分析统计：监控并统计CPU、GPU、内存、带宽使用率及服务可用性；统计视频转码、拆条、识别、审核等核心环节的性能指标；监控CDN覆盖范围、资源访问速度与高并发负载情况。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(5) 安全合规分析统计：统计风险告警、敏感词命中、异常操作与漏洞整改情况；统计数据加密、权限审计与操作日志的合规性。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(6) 可视化与报表输出：建设管理驾驶舱，实现审核态势、资源总量、风险预警、系统运行状态等核心内容的大屏可视化展示，核心看板页面响应时间≤3秒；支持日报、周报、月报、年报自动生成，提供Excel/PDF格式一键导出功能，报表生成成功率≥95%；支持对标中期/终期验收指标自动展示完成进度与达成率，统计数据按日更新，核心运行数据支持实时或准实时刷新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8" w:name="heading_8"/>
      <w:r>
        <w:rPr>
          <w:rFonts w:hint="eastAsia" w:asciiTheme="minorEastAsia" w:hAnsiTheme="minorEastAsia" w:eastAsiaTheme="minorEastAsia" w:cstheme="minorEastAsia"/>
          <w:b/>
          <w:sz w:val="30"/>
        </w:rPr>
        <w:t>（二）资源意识形态审核服务</w:t>
      </w:r>
      <w:bookmarkEnd w:id="8"/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9" w:name="heading_9"/>
      <w:r>
        <w:rPr>
          <w:rFonts w:hint="eastAsia" w:asciiTheme="minorEastAsia" w:hAnsiTheme="minorEastAsia" w:eastAsiaTheme="minorEastAsia" w:cstheme="minorEastAsia"/>
          <w:b/>
          <w:sz w:val="28"/>
        </w:rPr>
        <w:t>1. 智能化批量审核服务</w:t>
      </w:r>
      <w:bookmarkEnd w:id="9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依托自动化处理技术、大语言模型及多模态人工智能技术，对视频、图文、课件等各类教学资源进行涉政、涉暴、涉黄、违规广告及其他敏感信息筛查；精准识别不良与违规内容，生成详细审核清单，支持审核结果的查看、筛选与导出，大幅提升审核效率、减轻人工审核负担，保障资源入库合规性。要求批量审核任务完成率100%，审核结果实时生成，端到端延迟≤30秒，项目期内累计完成批量审核资源不少于5万个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0" w:name="heading_10"/>
      <w:r>
        <w:rPr>
          <w:rFonts w:hint="eastAsia" w:asciiTheme="minorEastAsia" w:hAnsiTheme="minorEastAsia" w:eastAsiaTheme="minorEastAsia" w:cstheme="minorEastAsia"/>
          <w:b/>
          <w:sz w:val="28"/>
        </w:rPr>
        <w:t>2. 周期性巡检审核服务</w:t>
      </w:r>
      <w:bookmarkEnd w:id="10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支持灵活配置巡检周期，系统自动比对平台已入库及新增资源与预设审核标准，生成巡检报告并清晰标注问题资源，实现资源质量的动态监控与持续优化，保障资源长期合规可用。要求服务期内完成不少于2次全面周期性巡检，可根据学校实际需求随时增加巡检频次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1" w:name="heading_11"/>
      <w:r>
        <w:rPr>
          <w:rFonts w:hint="eastAsia" w:asciiTheme="minorEastAsia" w:hAnsiTheme="minorEastAsia" w:eastAsiaTheme="minorEastAsia" w:cstheme="minorEastAsia"/>
          <w:b/>
          <w:sz w:val="28"/>
        </w:rPr>
        <w:t>3. 多级审核流程服务</w:t>
      </w:r>
      <w:bookmarkEnd w:id="11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支持初审-复审-终审全流程自定义配置，实现多部门、多角色的精细化权限管理；提供审核意见提交、审核状态查看、操作日志留存、审核结果导出与全流程追溯功能；保障视频转码、拆条、OCR识别、语音转写等环节的性能指标，资源检索响应时间≤2秒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优化大模型深度语义审核、智能知识库检索与多模态融合判断能力；支持按资源类型差异化配置审核策略，实现风险标签可视化展示；优化审核流程节点配置、状态展示与意见反馈机制；提升系统高并发处理能力，保障大模型推理、人脸审核、视频解析服务稳定运行；完善操作日志、统计查询与数据导出功能，强化审计追溯能力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期内完成不少于3级审核流程的配置与上线；常规资源检索响应时间≤2秒，审核结果查询与导出成功率≥95%；审核流程节点留痕率100%，审核日志留存率100%；系统在并发审核场景下稳定运行，月度服务可用性不低于99%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2" w:name="heading_12"/>
      <w:r>
        <w:rPr>
          <w:rFonts w:hint="eastAsia" w:asciiTheme="minorEastAsia" w:hAnsiTheme="minorEastAsia" w:eastAsiaTheme="minorEastAsia" w:cstheme="minorEastAsia"/>
          <w:b/>
          <w:sz w:val="28"/>
        </w:rPr>
        <w:t>4. 人脸特征库专项审核服务</w:t>
      </w:r>
      <w:bookmarkEnd w:id="12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基于标准化人脸特征库，实现对视频、图片、课件及数字人形象的人脸合规审核；支持白名单人员自动通过、黑名单人员实时拦截、未知人脸自动推送复审；人脸检测覆盖全画面、全帧、遮挡、侧脸、低分辨率等复杂场景，有效降低误报与漏报率；人脸特征数据采用脱敏加密方式存储，所有操作全程留痕，符合国家数据安全相关法律法规要求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3" w:name="heading_13"/>
      <w:r>
        <w:rPr>
          <w:rFonts w:hint="eastAsia" w:asciiTheme="minorEastAsia" w:hAnsiTheme="minorEastAsia" w:eastAsiaTheme="minorEastAsia" w:cstheme="minorEastAsia"/>
          <w:b/>
          <w:sz w:val="28"/>
        </w:rPr>
        <w:t>5. 审核运行保障与策略维护</w:t>
      </w:r>
      <w:bookmarkEnd w:id="13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对审核系统进行7×24小时持续监控，及时预警、定位并处理系统异常；建立常态化监控与审核策略维护机制，远程可解决的问题需在2小时内完成修复。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项目期内敏感词库、热词库及审核规则按月更新，重大政策调整需在3个工作日内完成对应规则的升级；累计形成不少于12期系统运行报告、12期审核数据分析报告及1期年度总结报告。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14" w:name="heading_14"/>
      <w:r>
        <w:rPr>
          <w:rFonts w:hint="eastAsia" w:asciiTheme="minorEastAsia" w:hAnsiTheme="minorEastAsia" w:eastAsiaTheme="minorEastAsia" w:cstheme="minorEastAsia"/>
          <w:b/>
          <w:sz w:val="30"/>
        </w:rPr>
        <w:t>（三）教师资源生成工作台支持服务</w:t>
      </w:r>
      <w:bookmarkEnd w:id="14"/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5" w:name="heading_15"/>
      <w:r>
        <w:rPr>
          <w:rFonts w:hint="eastAsia" w:asciiTheme="minorEastAsia" w:hAnsiTheme="minorEastAsia" w:eastAsiaTheme="minorEastAsia" w:cstheme="minorEastAsia"/>
          <w:b/>
          <w:sz w:val="28"/>
        </w:rPr>
        <w:t>1. 教师工作台统一空间支撑服务</w:t>
      </w:r>
      <w:bookmarkEnd w:id="15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为实现教师教学工作全流程一体化管理，本服务需支撑教师教学统一空间建设，整合教学、课程体系等核心模块，覆盖教师全场景教学工作需求。具体要求如下：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(1) 教务与教学信息整合：整合排课信息、考务信息等教务数据，以及资源信息、活动信息、作业信息、形成性考核信息等教学数据，实现教师一站式查看各类教学相关信息，提升工作便捷性。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(2) 课程与教研体系支撑：对接校内课程体系与资源体系，整合教研活动管理、学术论文管理等功能，为教师备课、教研、教学评价提供全方位技术支撑。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(3) 系统对接：与学校"一校通办"门户实现无缝对接，支持统一身份认证与单点登录。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6" w:name="heading_16"/>
      <w:r>
        <w:rPr>
          <w:rFonts w:hint="eastAsia" w:asciiTheme="minorEastAsia" w:hAnsiTheme="minorEastAsia" w:eastAsiaTheme="minorEastAsia" w:cstheme="minorEastAsia"/>
          <w:b/>
          <w:sz w:val="28"/>
        </w:rPr>
        <w:t>2. 多模态资源智能创作与混合编辑服务</w:t>
      </w:r>
      <w:bookmarkEnd w:id="16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(1) 多模态资源接入与生成：支持主流格式教学资源一键导入，单批次可导入各类教学资源不少于20份，单教师单日可导入资源总量不少于100份，导入过程自动解析、分类归档，无卡顿延迟；自动解析资源内容结构并生成可编辑的模块化资源库；支持文本指令驱动的AI创作，输入教学主题、知识点等信息，自动生成适配的图文素材、动画片段、旁白文案等教学资源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支持AI生成素材与本地导入资源的自由组合与灵活排版，编辑效果实时预览；支持AI自动为所有资源添加知识点、资源类型等多维度标签，形成标准化可检索标签库，方便快速筛选调取。单份资源自动生成标签数量≥5个，单教师可管理的资源标签库条目≥100个，同时支持教师自定义新增标签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(2) 智能教案与大纲设计优化：依托专业/课程知识图谱，智能生成教案、教学大纲初稿框架；支持对现有教案、大纲进行智能分析，从逻辑结构、知识点覆盖度、教学环节合理性等方面给出修订建议。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(3) 多形态课件生成：支持按知识点拆分生成课件微单元，教师可根据教学逻辑选择转场方式串联微单元，亦可一键打包为系列课程包，适配成人碎片化学习需求；支持按教学需求制作课件分段脚本，各片段可灵活集成现有资源或多模态AI生成片段，实现图文、音视频、动画等资源形态的有机融合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7" w:name="heading_17"/>
      <w:r>
        <w:rPr>
          <w:rFonts w:hint="eastAsia" w:asciiTheme="minorEastAsia" w:hAnsiTheme="minorEastAsia" w:eastAsiaTheme="minorEastAsia" w:cstheme="minorEastAsia"/>
          <w:b/>
          <w:sz w:val="28"/>
        </w:rPr>
        <w:t>3. 多智能体协同备课支持服务</w:t>
      </w:r>
      <w:bookmarkEnd w:id="17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(1) 备课全流程支撑：覆盖学情智能分析、AI智能备课设计、教学资源智能装配等备课全流程核心环节，形成闭环式备课能力。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(2) 关键环节自动化：各模块严格贴合学校在线课程建设标准与学科教学大纲，支持多智能体协同完成备课关键环节的自动化生成。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(3) 个性化调整支持：教师可自主修改、优化和完善智能生成的备课内容与资源搭配；支持备课方案、资源装配模板等内容一键保存与重复复用，提升备课效率与质量，适配不同学科、不同教学场景的备课需求。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18" w:name="heading_18"/>
      <w:r>
        <w:rPr>
          <w:rFonts w:hint="eastAsia" w:asciiTheme="minorEastAsia" w:hAnsiTheme="minorEastAsia" w:eastAsiaTheme="minorEastAsia" w:cstheme="minorEastAsia"/>
          <w:b/>
          <w:sz w:val="28"/>
        </w:rPr>
        <w:t>4. 资源生成工作台与学习平台深度对接服务</w:t>
      </w:r>
      <w:bookmarkEnd w:id="18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为打通教学资源全流程数据壁垒，实现工作台与校内教师教学平台的无缝联动，提出如下系统对接需求：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(1) 统一入口与单点登录：依托学校统一身份认证体系，实现账号互通与单点登录，支持一键跳转，适配教师原有操作习惯，降低操作成本。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(2) 资源双向流转：搭建资源同步通道，实现工作台与教学平台之间资源的实时互通与无缝调用。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(3) 数据标准统一：遵循校内数据标准，统一标签与分类规范，沿用原有资源审核流程，保障资源管控的规范性。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(4) 权限与安全管控：同步教学平台的权限层级，资源传输全程加密，保留所有操作日志，保障数据安全合规。</w:t>
      </w:r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(5) 协同功能对接：打通协同备课与教研模块，实现教研成果自动同步；支持智能学伴配置与授课系统的实时同步，提升教学效果。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19" w:name="heading_19"/>
      <w:r>
        <w:rPr>
          <w:rFonts w:hint="eastAsia" w:asciiTheme="minorEastAsia" w:hAnsiTheme="minorEastAsia" w:eastAsiaTheme="minorEastAsia" w:cstheme="minorEastAsia"/>
          <w:b/>
          <w:sz w:val="30"/>
        </w:rPr>
        <w:t>（四）资源生成中心运维保障支持服务</w:t>
      </w:r>
      <w:bookmarkEnd w:id="19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以系统安全与稳定运行为核心，构建全流程、多层次的安全防护与运行保障体系，确保资源生成中心持续可靠运行，为各项业务开展提供坚实基础。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20" w:name="heading_20"/>
      <w:r>
        <w:rPr>
          <w:rFonts w:hint="eastAsia" w:asciiTheme="minorEastAsia" w:hAnsiTheme="minorEastAsia" w:eastAsiaTheme="minorEastAsia" w:cstheme="minorEastAsia"/>
          <w:b/>
          <w:sz w:val="28"/>
        </w:rPr>
        <w:t>1. Web安全防护支持服务</w:t>
      </w:r>
      <w:bookmarkEnd w:id="20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提供常态化Web安全漏洞扫描服务，精准识别高、中、低三级安全漏洞，形成详细漏洞分析报告并在规定时限内完成修复，保障系统安全可靠运行；建立漏洞动态监控机制，及时响应最新安全漏洞预警，持续优化系统安全防护能力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21" w:name="heading_21"/>
      <w:r>
        <w:rPr>
          <w:rFonts w:hint="eastAsia" w:asciiTheme="minorEastAsia" w:hAnsiTheme="minorEastAsia" w:eastAsiaTheme="minorEastAsia" w:cstheme="minorEastAsia"/>
          <w:b/>
          <w:sz w:val="28"/>
        </w:rPr>
        <w:t>2. 数据传输与存储安全服务</w:t>
      </w:r>
      <w:bookmarkEnd w:id="21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采用SSL/TLS协议对平台网络传输数据进行全程加密，确保客户端与服务器之间的数据传输安全，防止数据被窃取或篡改；对数据库中用户密码、个人信息等敏感数据采用高强度加密算法进行加密存储，严格控制敏感数据访问权限，防止数据非授权访问与泄露，保障用户信息与资源数据安全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22" w:name="heading_22"/>
      <w:r>
        <w:rPr>
          <w:rFonts w:hint="eastAsia" w:asciiTheme="minorEastAsia" w:hAnsiTheme="minorEastAsia" w:eastAsiaTheme="minorEastAsia" w:cstheme="minorEastAsia"/>
          <w:b/>
          <w:sz w:val="28"/>
        </w:rPr>
        <w:t>3. 资源CDN点播分发服务</w:t>
      </w:r>
      <w:bookmarkEnd w:id="22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整合文本、图片、音视频等各类教学资源，实现资源的快速缓存与精准分发；具备高并发场景下的负载均衡能力，能够有效应对大规模用户同时访问，保障资源传输速度与稳定性，提升用户访问体验；支持防盗链、黑白名单等安全功能，可根据需求灵活配置访问权限，防止数据泄露与恶意攻击。</w:t>
      </w:r>
    </w:p>
    <w:p>
      <w:pPr>
        <w:spacing w:before="260" w:after="120" w:line="288" w:lineRule="auto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23" w:name="heading_23"/>
      <w:r>
        <w:rPr>
          <w:rFonts w:hint="eastAsia" w:asciiTheme="minorEastAsia" w:hAnsiTheme="minorEastAsia" w:eastAsiaTheme="minorEastAsia" w:cstheme="minorEastAsia"/>
          <w:b/>
          <w:sz w:val="28"/>
        </w:rPr>
        <w:t>4. 身份认证与权限管理服务</w:t>
      </w:r>
      <w:bookmarkEnd w:id="23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依托学校用户身份认证与权限管理体系，采用JWT身份认证机制，实现教师、分校、总校等多级用户的身份精准核验；基于角色的权限配置与资源访问策略，实现访问权限的精细化控制，严格限制未授权用户对敏感资源的访问。</w:t>
      </w:r>
    </w:p>
    <w:p>
      <w:pPr>
        <w:spacing w:before="260" w:after="120" w:line="288" w:lineRule="auto"/>
        <w:ind w:left="0"/>
        <w:jc w:val="left"/>
        <w:outlineLvl w:val="3"/>
        <w:rPr>
          <w:rFonts w:hint="eastAsia" w:asciiTheme="minorEastAsia" w:hAnsiTheme="minorEastAsia" w:eastAsiaTheme="minorEastAsia" w:cstheme="minorEastAsia"/>
        </w:rPr>
      </w:pPr>
      <w:bookmarkStart w:id="24" w:name="heading_24"/>
      <w:r>
        <w:rPr>
          <w:rFonts w:hint="eastAsia" w:asciiTheme="minorEastAsia" w:hAnsiTheme="minorEastAsia" w:eastAsiaTheme="minorEastAsia" w:cstheme="minorEastAsia"/>
          <w:b/>
          <w:sz w:val="28"/>
        </w:rPr>
        <w:t>5. 操作审计与日志管理服务</w:t>
      </w:r>
      <w:bookmarkEnd w:id="24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建立全流程操作审计机制，全程追踪用户对系统的所有操作行为，详细记录操作人、操作时间、操作内容、操作结果等信息，形成完整的操作日志；定期对日志数据进行备份与安全分析，及时发现异常操作行为并发出预警，形成完整的操作追溯链条，为安全事件排查与责任认定提供依据。</w:t>
      </w:r>
    </w:p>
    <w:p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</w:rPr>
      </w:pPr>
      <w:bookmarkStart w:id="25" w:name="heading_25"/>
      <w:r>
        <w:rPr>
          <w:rFonts w:hint="eastAsia" w:asciiTheme="minorEastAsia" w:hAnsiTheme="minorEastAsia" w:eastAsiaTheme="minorEastAsia" w:cstheme="minorEastAsia"/>
          <w:b/>
          <w:sz w:val="32"/>
        </w:rPr>
        <w:t>三、服务要求</w:t>
      </w:r>
      <w:bookmarkEnd w:id="25"/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26" w:name="heading_26"/>
      <w:r>
        <w:rPr>
          <w:rFonts w:hint="eastAsia" w:asciiTheme="minorEastAsia" w:hAnsiTheme="minorEastAsia" w:eastAsiaTheme="minorEastAsia" w:cstheme="minorEastAsia"/>
          <w:b/>
          <w:sz w:val="30"/>
        </w:rPr>
        <w:t>（一）项目预算及服务期限</w:t>
      </w:r>
      <w:bookmarkEnd w:id="26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本项目总预算为180万元，服务周期自合同签订之日起至2026年12月31日</w:t>
      </w:r>
      <w:r>
        <w:rPr>
          <w:rFonts w:hint="eastAsia" w:asciiTheme="minorEastAsia" w:hAnsiTheme="minorEastAsia" w:cstheme="minorEastAsia"/>
          <w:sz w:val="22"/>
          <w:lang w:eastAsia="zh-CN"/>
        </w:rPr>
        <w:t>前完成建设并通过验收。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27" w:name="heading_27"/>
      <w:r>
        <w:rPr>
          <w:rFonts w:hint="eastAsia" w:asciiTheme="minorEastAsia" w:hAnsiTheme="minorEastAsia" w:eastAsiaTheme="minorEastAsia" w:cstheme="minorEastAsia"/>
          <w:b/>
          <w:sz w:val="30"/>
        </w:rPr>
        <w:t>（二）服务保障要求</w:t>
      </w:r>
      <w:bookmarkEnd w:id="27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项目验收前，供应商应根据采购人的合理意见，对已交付的项目成果进行免费的适应性调整与优化，确保全面满足采购人的业务需求。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项目交付后，若项目涉及的技术成果物出现故障，供应商需在20分钟内响应，60分钟内到达现场进行处理；若为远程可解决的问题，需在响应后2小时内完成修复。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供应商需配备专职客户服务人员，通过电话、电子邮件等方式及时与采购人沟通，定期开展服务回访，提供及时、周到的个性化服务，主动了解系统使用情况并解决相关问题。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28" w:name="heading_29"/>
      <w:r>
        <w:rPr>
          <w:rFonts w:hint="eastAsia" w:asciiTheme="minorEastAsia" w:hAnsiTheme="minorEastAsia" w:eastAsiaTheme="minorEastAsia" w:cstheme="minorEastAsia"/>
          <w:b/>
          <w:sz w:val="30"/>
        </w:rPr>
        <w:t>（四）项目团队及实施要求</w:t>
      </w:r>
      <w:bookmarkEnd w:id="28"/>
    </w:p>
    <w:p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供应商须组建不少于10人的专项技术服务团队，岗位配置涵盖项目经理、核心技术工程师、需求分析师、项目策划师、安全工程师、客户服务专员等，人员组成可根据项目实际需要扩展。团队采用"驻场支撑+二线技术保障"的协同服务模式，配置驻场技术人员3名，二线技术支撑人员不少于7名，保障项目全周期的服务响应能力。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项目实施期间，服务团队须定期向采购人汇报项目进展，主动接受采购人的监督管理，严格落实各项服务标准，确保项目服务质量与实施成效。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供应商须提供拟投入本项目的团队主要成员清单，同步提交成员相关项目实施经验、工作经历、</w:t>
      </w:r>
      <w:r>
        <w:rPr>
          <w:rFonts w:hint="eastAsia" w:asciiTheme="minorEastAsia" w:hAnsiTheme="minorEastAsia" w:cstheme="minorEastAsia"/>
          <w:sz w:val="22"/>
          <w:lang w:eastAsia="zh-CN"/>
        </w:rPr>
        <w:t>最近一个季度</w:t>
      </w:r>
      <w:r>
        <w:rPr>
          <w:rFonts w:hint="eastAsia" w:asciiTheme="minorEastAsia" w:hAnsiTheme="minorEastAsia" w:eastAsiaTheme="minorEastAsia" w:cstheme="minorEastAsia"/>
          <w:sz w:val="22"/>
        </w:rPr>
        <w:t>任意一个月的社保缴纳证明等材料。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驻场服务人员须熟悉教育信息化相关业务流程，具备高效的项目协调能力，具体工作职责服从采购人安排，能够适配采购人常规业务需求；3名驻场技术人员均须具备同类项目实施经验。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供应商须确保所有服务人员签署并严格遵守保密协议，履行保密义务，保障项目相关信息安全。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驻场服务期限：自合同签订之日起至2026年12月31日止；驻场地点：</w:t>
      </w:r>
      <w:r>
        <w:rPr>
          <w:rFonts w:hint="eastAsia" w:asciiTheme="minorEastAsia" w:hAnsiTheme="minorEastAsia" w:cstheme="minorEastAsia"/>
          <w:sz w:val="22"/>
          <w:lang w:eastAsia="zh-CN"/>
        </w:rPr>
        <w:t>国顺路288号</w:t>
      </w:r>
      <w:r>
        <w:rPr>
          <w:rFonts w:hint="eastAsia" w:asciiTheme="minorEastAsia" w:hAnsiTheme="minorEastAsia" w:eastAsiaTheme="minorEastAsia" w:cstheme="minorEastAsia"/>
          <w:sz w:val="22"/>
        </w:rPr>
        <w:t>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项目团队须按照软件工程标准流程实施项目，设立需求调研、方案设计、开发实施、测试上线、验收交付等阶段，确保项目过程文档齐全、规范、有效。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29" w:name="heading_30"/>
      <w:r>
        <w:rPr>
          <w:rFonts w:hint="eastAsia" w:asciiTheme="minorEastAsia" w:hAnsiTheme="minorEastAsia" w:eastAsiaTheme="minorEastAsia" w:cstheme="minorEastAsia"/>
          <w:b/>
          <w:sz w:val="30"/>
        </w:rPr>
        <w:t>（五）保密要求</w:t>
      </w:r>
      <w:bookmarkEnd w:id="29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供应商须与采购人签订书面保密协议，明确约定双方在合作过程中涉及的商业秘密、技术资料、用户信息等保密内容的使用范围、保密期限及违约责任。未经采购人书面授权，供应商不得向任何第三方披露任何保密信息。</w:t>
      </w:r>
    </w:p>
    <w:p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</w:rPr>
      </w:pPr>
      <w:bookmarkStart w:id="30" w:name="heading_31"/>
      <w:r>
        <w:rPr>
          <w:rFonts w:hint="eastAsia" w:asciiTheme="minorEastAsia" w:hAnsiTheme="minorEastAsia" w:eastAsiaTheme="minorEastAsia" w:cstheme="minorEastAsia"/>
          <w:b/>
          <w:sz w:val="32"/>
        </w:rPr>
        <w:t>四、服务验收</w:t>
      </w:r>
      <w:bookmarkEnd w:id="30"/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31" w:name="heading_32"/>
      <w:r>
        <w:rPr>
          <w:rFonts w:hint="eastAsia" w:asciiTheme="minorEastAsia" w:hAnsiTheme="minorEastAsia" w:eastAsiaTheme="minorEastAsia" w:cstheme="minorEastAsia"/>
          <w:b/>
          <w:sz w:val="30"/>
        </w:rPr>
        <w:t>（一）</w:t>
      </w:r>
      <w:r>
        <w:rPr>
          <w:rFonts w:hint="eastAsia" w:asciiTheme="minorEastAsia" w:hAnsiTheme="minorEastAsia" w:cstheme="minorEastAsia"/>
          <w:b/>
          <w:sz w:val="30"/>
          <w:lang w:eastAsia="zh-CN"/>
        </w:rPr>
        <w:t>中期检查</w:t>
      </w:r>
      <w:r>
        <w:rPr>
          <w:rFonts w:hint="eastAsia" w:asciiTheme="minorEastAsia" w:hAnsiTheme="minorEastAsia" w:eastAsiaTheme="minorEastAsia" w:cstheme="minorEastAsia"/>
          <w:b/>
          <w:sz w:val="30"/>
        </w:rPr>
        <w:t>要求</w:t>
      </w:r>
      <w:bookmarkEnd w:id="31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供应商需在项目实施中期，按照采购人制定的</w:t>
      </w:r>
      <w:r>
        <w:rPr>
          <w:rFonts w:hint="eastAsia" w:asciiTheme="minorEastAsia" w:hAnsiTheme="minorEastAsia" w:cstheme="minorEastAsia"/>
          <w:sz w:val="22"/>
          <w:lang w:eastAsia="zh-CN"/>
        </w:rPr>
        <w:t>中期检查</w:t>
      </w:r>
      <w:r>
        <w:rPr>
          <w:rFonts w:hint="eastAsia" w:asciiTheme="minorEastAsia" w:hAnsiTheme="minorEastAsia" w:eastAsiaTheme="minorEastAsia" w:cstheme="minorEastAsia"/>
          <w:sz w:val="22"/>
        </w:rPr>
        <w:t>标准，准备完整的过程性验收材料。采购人负责组织</w:t>
      </w:r>
      <w:r>
        <w:rPr>
          <w:rFonts w:hint="eastAsia" w:asciiTheme="minorEastAsia" w:hAnsiTheme="minorEastAsia" w:cstheme="minorEastAsia"/>
          <w:sz w:val="22"/>
          <w:lang w:eastAsia="zh-CN"/>
        </w:rPr>
        <w:t>中期检查</w:t>
      </w:r>
      <w:r>
        <w:rPr>
          <w:rFonts w:hint="eastAsia" w:asciiTheme="minorEastAsia" w:hAnsiTheme="minorEastAsia" w:eastAsiaTheme="minorEastAsia" w:cstheme="minorEastAsia"/>
          <w:sz w:val="22"/>
        </w:rPr>
        <w:t>，并在验收单上签字加盖单位印章，</w:t>
      </w:r>
      <w:r>
        <w:rPr>
          <w:rFonts w:hint="eastAsia" w:asciiTheme="minorEastAsia" w:hAnsiTheme="minorEastAsia" w:cstheme="minorEastAsia"/>
          <w:sz w:val="22"/>
          <w:lang w:eastAsia="zh-CN"/>
        </w:rPr>
        <w:t>中期检查</w:t>
      </w:r>
      <w:r>
        <w:rPr>
          <w:rFonts w:hint="eastAsia" w:asciiTheme="minorEastAsia" w:hAnsiTheme="minorEastAsia" w:eastAsiaTheme="minorEastAsia" w:cstheme="minorEastAsia"/>
          <w:sz w:val="22"/>
        </w:rPr>
        <w:t>工作须于2026年9月中旬前完成。</w:t>
      </w:r>
    </w:p>
    <w:p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</w:t>
      </w:r>
      <w:r>
        <w:rPr>
          <w:rFonts w:hint="eastAsia" w:asciiTheme="minorEastAsia" w:hAnsiTheme="minorEastAsia" w:cstheme="minorEastAsia"/>
          <w:sz w:val="22"/>
          <w:lang w:eastAsia="zh-CN"/>
        </w:rPr>
        <w:t>中期检查</w:t>
      </w:r>
      <w:r>
        <w:rPr>
          <w:rFonts w:hint="eastAsia" w:asciiTheme="minorEastAsia" w:hAnsiTheme="minorEastAsia" w:eastAsiaTheme="minorEastAsia" w:cstheme="minorEastAsia"/>
          <w:sz w:val="22"/>
        </w:rPr>
        <w:t>核心指标：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完成教师资源生成工作台核心功能上线并投入试运行；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完成不少于1万条新增资源的汇聚与标准化入库，生成有效资源标签不少于10万条；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完成1次全面的资源周期性巡检；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建成政治类、法律法规类、教育违规类3类专题敏感词库，累计入库有效词条不少于5000条；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完成不少于1万条人脸特征数据的标准化入库。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32" w:name="heading_33"/>
      <w:r>
        <w:rPr>
          <w:rFonts w:hint="eastAsia" w:asciiTheme="minorEastAsia" w:hAnsiTheme="minorEastAsia" w:eastAsiaTheme="minorEastAsia" w:cstheme="minorEastAsia"/>
          <w:b/>
          <w:sz w:val="30"/>
        </w:rPr>
        <w:t>（二）终期验收要求</w:t>
      </w:r>
      <w:bookmarkEnd w:id="32"/>
    </w:p>
    <w:p>
      <w:pPr>
        <w:spacing w:before="120" w:after="120" w:line="288" w:lineRule="auto"/>
        <w:ind w:left="0" w:firstLine="44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供应商需在项目实施终期，按照采购人制定的终期验收标准，准备完整的验收材料。采购人负责组织终期验收，并在验收单上签字加盖单位印章，完成项目终验工作。</w:t>
      </w:r>
    </w:p>
    <w:p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项目终期验收核心指标：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累计完成不少于2万条新增资源的汇聚与标准化入库，生成有效资源标签不少于20万条；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完成不少于2次全面的资源周期性巡检；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累计提交不少于12期系统运行报告、12期审核数据分析报告及1期年度总结报告；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累计完成不少于5万个教学资源的意识形态合规审核；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全面完成教师资源生成工作台所有功能开发与上线，通过功能验收；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全面完成资源生成中心运维保障服务内容，通过服务验收；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完成资源生成中心Web漏洞扫描、渗透测试等安全服务，出具正式的安全检测报告。</w:t>
      </w:r>
    </w:p>
    <w:p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bookmarkStart w:id="33" w:name="_GoBack"/>
      <w:bookmarkEnd w:id="33"/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DCBA6B53"/>
    <w:multiLevelType w:val="singleLevel"/>
    <w:tmpl w:val="DCBA6B53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E640482"/>
    <w:multiLevelType w:val="singleLevel"/>
    <w:tmpl w:val="0E64048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5">
    <w:nsid w:val="46A08BB8"/>
    <w:multiLevelType w:val="singleLevel"/>
    <w:tmpl w:val="46A08BB8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6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5A241D34"/>
    <w:multiLevelType w:val="singleLevel"/>
    <w:tmpl w:val="5A241D34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20">
    <w:nsid w:val="60382F6E"/>
    <w:multiLevelType w:val="singleLevel"/>
    <w:tmpl w:val="60382F6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1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10"/>
  </w:num>
  <w:num w:numId="5">
    <w:abstractNumId w:val="13"/>
  </w:num>
  <w:num w:numId="6">
    <w:abstractNumId w:val="21"/>
  </w:num>
  <w:num w:numId="7">
    <w:abstractNumId w:val="9"/>
  </w:num>
  <w:num w:numId="8">
    <w:abstractNumId w:val="0"/>
  </w:num>
  <w:num w:numId="9">
    <w:abstractNumId w:val="14"/>
  </w:num>
  <w:num w:numId="10">
    <w:abstractNumId w:val="19"/>
  </w:num>
  <w:num w:numId="11">
    <w:abstractNumId w:val="3"/>
  </w:num>
  <w:num w:numId="12">
    <w:abstractNumId w:val="17"/>
  </w:num>
  <w:num w:numId="13">
    <w:abstractNumId w:val="7"/>
  </w:num>
  <w:num w:numId="14">
    <w:abstractNumId w:val="12"/>
  </w:num>
  <w:num w:numId="15">
    <w:abstractNumId w:val="6"/>
  </w:num>
  <w:num w:numId="16">
    <w:abstractNumId w:val="5"/>
  </w:num>
  <w:num w:numId="17">
    <w:abstractNumId w:val="1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6F63"/>
    <w:rsid w:val="137A20FF"/>
    <w:rsid w:val="17F453F5"/>
    <w:rsid w:val="26E44CAF"/>
    <w:rsid w:val="42EC7730"/>
    <w:rsid w:val="4580184C"/>
    <w:rsid w:val="65B03CD6"/>
    <w:rsid w:val="6AEC1B8F"/>
    <w:rsid w:val="BFFF5DEA"/>
    <w:rsid w:val="EBCFB027"/>
    <w:rsid w:val="FF7EC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7282</Words>
  <Characters>7488</Characters>
  <TotalTime>251</TotalTime>
  <ScaleCrop>false</ScaleCrop>
  <LinksUpToDate>false</LinksUpToDate>
  <CharactersWithSpaces>7534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2026-04-14T05:57:00Z</dcterms:created>
  <dc:creator>Apache POI</dc:creator>
  <cp:lastModifiedBy>user</cp:lastModifiedBy>
  <dcterms:modified xsi:type="dcterms:W3CDTF">2026-05-09T11:17:33Z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eyJoZGlkIjoiMDFkMjBhNTNkMGFkOTE1NWFkNTI4NGVlOGI1NWY1MTUiLCJ1c2VySWQiOiIxNzkyMzg3MzY4In0=</vt:lpwstr>
  </property>
  <property fmtid="{D5CDD505-2E9C-101B-9397-08002B2CF9AE}" pid="3" name="KSOProductBuildVer">
    <vt:lpwstr>2052-12.8.2.1113</vt:lpwstr>
  </property>
  <property fmtid="{D5CDD505-2E9C-101B-9397-08002B2CF9AE}" pid="4" name="ICV">
    <vt:lpwstr>20EBD3A6895F4A9FABC39B603FC6A8E7_13</vt:lpwstr>
  </property>
</Properties>
</file>