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tabs>
          <w:tab w:val="left" w:pos="7030"/>
        </w:tabs>
        <w:spacing w:line="600" w:lineRule="auto"/>
        <w:jc w:val="left"/>
        <w:rPr>
          <w:rFonts w:hint="eastAsia" w:ascii="仿宋" w:hAnsi="仿宋" w:eastAsia="仿宋" w:cs="仿宋"/>
          <w:b/>
          <w:sz w:val="36"/>
          <w:szCs w:val="36"/>
        </w:rPr>
      </w:pPr>
      <w:r>
        <w:rPr>
          <w:rFonts w:ascii="仿宋" w:hAnsi="仿宋" w:eastAsia="仿宋" w:cs="仿宋"/>
          <w:b/>
          <w:sz w:val="36"/>
          <w:szCs w:val="36"/>
        </w:rPr>
        <w:tab/>
      </w:r>
    </w:p>
    <w:p>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lang w:val="en-US" w:eastAsia="zh-CN"/>
        </w:rPr>
        <w:t>中心本部</w:t>
      </w:r>
      <w:r>
        <w:rPr>
          <w:rFonts w:hint="eastAsia" w:ascii="方正小标宋_GBK" w:hAnsi="仿宋" w:eastAsia="方正小标宋_GBK" w:cs="仿宋"/>
          <w:sz w:val="44"/>
          <w:szCs w:val="44"/>
        </w:rPr>
        <w:t>2026年等保测评服务项目</w:t>
      </w:r>
    </w:p>
    <w:p>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采购需求</w:t>
      </w: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pPr>
    </w:p>
    <w:p>
      <w:pPr>
        <w:spacing w:line="600" w:lineRule="auto"/>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pStyle w:val="2"/>
        <w:ind w:left="0"/>
        <w:rPr>
          <w:rFonts w:hint="eastAsia" w:ascii="仿宋" w:hAnsi="仿宋" w:eastAsia="仿宋" w:cs="仿宋"/>
        </w:rPr>
      </w:pPr>
      <w:bookmarkStart w:id="0" w:name="_Toc69194644"/>
      <w:r>
        <w:rPr>
          <w:rFonts w:hint="eastAsia" w:ascii="仿宋" w:hAnsi="仿宋" w:eastAsia="仿宋" w:cs="仿宋"/>
        </w:rPr>
        <w:t>项目概述</w:t>
      </w:r>
      <w:bookmarkEnd w:id="0"/>
    </w:p>
    <w:p>
      <w:pPr>
        <w:ind w:firstLine="560" w:firstLineChars="200"/>
        <w:rPr>
          <w:rFonts w:hint="eastAsia" w:ascii="仿宋" w:hAnsi="仿宋" w:eastAsia="仿宋" w:cs="仿宋"/>
          <w:strike/>
          <w:sz w:val="28"/>
          <w:szCs w:val="28"/>
        </w:rPr>
      </w:pPr>
      <w:r>
        <w:rPr>
          <w:rFonts w:hint="eastAsia" w:ascii="仿宋" w:hAnsi="仿宋" w:eastAsia="仿宋" w:cs="仿宋"/>
          <w:sz w:val="28"/>
          <w:szCs w:val="28"/>
        </w:rPr>
        <w:t>项目背景：根据《中华人民共和国网络安全法》、《信息安全等级保护管理办法》、《网络安全等级保护测评高风险判定实施指引(试行)》等相关规定，结合上海市大数据中心信息系统等级保护工作要求，</w:t>
      </w:r>
      <w:r>
        <w:rPr>
          <w:rFonts w:hint="eastAsia" w:ascii="仿宋" w:hAnsi="仿宋" w:eastAsia="仿宋" w:cs="仿宋"/>
          <w:sz w:val="28"/>
          <w:szCs w:val="28"/>
          <w:highlight w:val="none"/>
        </w:rPr>
        <w:t>上海市大数据</w:t>
      </w:r>
      <w:r>
        <w:rPr>
          <w:rFonts w:hint="eastAsia" w:ascii="仿宋" w:hAnsi="仿宋" w:eastAsia="仿宋" w:cs="仿宋"/>
          <w:sz w:val="28"/>
          <w:szCs w:val="28"/>
          <w:highlight w:val="none"/>
          <w:lang w:eastAsia="zh-CN"/>
        </w:rPr>
        <w:t>中心</w:t>
      </w:r>
      <w:r>
        <w:rPr>
          <w:rFonts w:hint="eastAsia" w:ascii="仿宋" w:hAnsi="仿宋" w:eastAsia="仿宋" w:cs="仿宋"/>
          <w:sz w:val="28"/>
          <w:szCs w:val="28"/>
          <w:highlight w:val="none"/>
        </w:rPr>
        <w:t>(以下简称“</w:t>
      </w:r>
      <w:r>
        <w:rPr>
          <w:rFonts w:hint="eastAsia" w:ascii="仿宋" w:hAnsi="仿宋" w:eastAsia="仿宋" w:cs="仿宋"/>
          <w:sz w:val="28"/>
          <w:szCs w:val="28"/>
          <w:highlight w:val="none"/>
          <w:lang w:val="en-US" w:eastAsia="zh-CN"/>
        </w:rPr>
        <w:t>中心</w:t>
      </w:r>
      <w:r>
        <w:rPr>
          <w:rFonts w:hint="eastAsia" w:ascii="仿宋" w:hAnsi="仿宋" w:eastAsia="仿宋" w:cs="仿宋"/>
          <w:sz w:val="28"/>
          <w:szCs w:val="28"/>
          <w:highlight w:val="none"/>
        </w:rPr>
        <w:t>”)为</w:t>
      </w:r>
      <w:r>
        <w:rPr>
          <w:rFonts w:hint="eastAsia" w:ascii="仿宋" w:hAnsi="仿宋" w:eastAsia="仿宋" w:cs="仿宋"/>
          <w:sz w:val="28"/>
          <w:szCs w:val="28"/>
        </w:rPr>
        <w:t>更好</w:t>
      </w: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中心</w:t>
      </w:r>
      <w:r>
        <w:rPr>
          <w:rFonts w:hint="eastAsia" w:ascii="仿宋" w:hAnsi="仿宋" w:eastAsia="仿宋" w:cs="仿宋"/>
          <w:sz w:val="28"/>
          <w:szCs w:val="28"/>
        </w:rPr>
        <w:t>信息系统等级保护需求，有序开展2026年信息系统网络安全等级保护测评和等保备案更新等工作，深入查找信息系统安全隐患和薄弱环节，夯实</w:t>
      </w:r>
      <w:r>
        <w:rPr>
          <w:rFonts w:hint="eastAsia" w:ascii="仿宋" w:hAnsi="仿宋" w:eastAsia="仿宋" w:cs="仿宋"/>
          <w:sz w:val="28"/>
          <w:szCs w:val="28"/>
          <w:lang w:val="en-US" w:eastAsia="zh-CN"/>
        </w:rPr>
        <w:t>中心</w:t>
      </w:r>
      <w:r>
        <w:rPr>
          <w:rFonts w:hint="eastAsia" w:ascii="仿宋" w:hAnsi="仿宋" w:eastAsia="仿宋" w:cs="仿宋"/>
          <w:sz w:val="28"/>
          <w:szCs w:val="28"/>
        </w:rPr>
        <w:t>常态化等级保护管理基础，提升</w:t>
      </w:r>
      <w:r>
        <w:rPr>
          <w:rFonts w:hint="eastAsia" w:ascii="仿宋" w:hAnsi="仿宋" w:eastAsia="仿宋" w:cs="仿宋"/>
          <w:sz w:val="28"/>
          <w:szCs w:val="28"/>
          <w:lang w:val="en-US" w:eastAsia="zh-CN"/>
        </w:rPr>
        <w:t>中心</w:t>
      </w:r>
      <w:r>
        <w:rPr>
          <w:rFonts w:hint="eastAsia" w:ascii="仿宋" w:hAnsi="仿宋" w:eastAsia="仿宋" w:cs="仿宋"/>
          <w:sz w:val="28"/>
          <w:szCs w:val="28"/>
        </w:rPr>
        <w:t>业务数据、信息系统安全管控能力，有效确保</w:t>
      </w:r>
      <w:r>
        <w:rPr>
          <w:rFonts w:hint="eastAsia" w:ascii="仿宋" w:hAnsi="仿宋" w:eastAsia="仿宋" w:cs="仿宋"/>
          <w:sz w:val="28"/>
          <w:szCs w:val="28"/>
          <w:lang w:val="en-US" w:eastAsia="zh-CN"/>
        </w:rPr>
        <w:t>中心</w:t>
      </w:r>
      <w:r>
        <w:rPr>
          <w:rFonts w:hint="eastAsia" w:ascii="仿宋" w:hAnsi="仿宋" w:eastAsia="仿宋" w:cs="仿宋"/>
          <w:sz w:val="28"/>
          <w:szCs w:val="28"/>
        </w:rPr>
        <w:t>2026年网络和数据安全保障工作顺利开展。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服务期限：合同签订之日起至</w:t>
      </w:r>
      <w:r>
        <w:rPr>
          <w:rFonts w:hint="eastAsia" w:ascii="仿宋" w:hAnsi="仿宋" w:eastAsia="仿宋" w:cs="仿宋"/>
          <w:sz w:val="28"/>
          <w:szCs w:val="28"/>
          <w:highlight w:val="none"/>
        </w:rPr>
        <w:t>2026年12月31日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服务地点：上海市大数据中心</w:t>
      </w:r>
    </w:p>
    <w:p>
      <w:pPr>
        <w:widowControl/>
        <w:ind w:firstLine="560" w:firstLineChars="200"/>
        <w:jc w:val="both"/>
        <w:rPr>
          <w:rFonts w:hint="eastAsia" w:ascii="仿宋" w:hAnsi="仿宋" w:eastAsia="仿宋"/>
          <w:sz w:val="28"/>
          <w:szCs w:val="28"/>
        </w:rPr>
      </w:pPr>
      <w:r>
        <w:rPr>
          <w:rFonts w:hint="eastAsia" w:ascii="仿宋" w:hAnsi="仿宋" w:eastAsia="仿宋"/>
          <w:sz w:val="28"/>
          <w:szCs w:val="28"/>
        </w:rPr>
        <w:t>预算总金额：</w:t>
      </w:r>
      <w:r>
        <w:rPr>
          <w:rFonts w:hint="default" w:ascii="仿宋" w:hAnsi="仿宋" w:eastAsia="仿宋"/>
          <w:sz w:val="28"/>
          <w:szCs w:val="28"/>
          <w:lang w:val="en-US"/>
        </w:rPr>
        <w:t>2</w:t>
      </w:r>
      <w:r>
        <w:rPr>
          <w:rFonts w:hint="eastAsia" w:ascii="仿宋" w:hAnsi="仿宋" w:eastAsia="仿宋"/>
          <w:sz w:val="28"/>
          <w:szCs w:val="28"/>
        </w:rPr>
        <w:t>,</w:t>
      </w:r>
      <w:r>
        <w:rPr>
          <w:rFonts w:hint="default" w:ascii="仿宋" w:hAnsi="仿宋" w:eastAsia="仿宋"/>
          <w:sz w:val="28"/>
          <w:szCs w:val="28"/>
          <w:lang w:val="en-US"/>
        </w:rPr>
        <w:t>058</w:t>
      </w:r>
      <w:r>
        <w:rPr>
          <w:rFonts w:hint="eastAsia" w:ascii="仿宋" w:hAnsi="仿宋" w:eastAsia="仿宋"/>
          <w:sz w:val="28"/>
          <w:szCs w:val="28"/>
        </w:rPr>
        <w:t>,</w:t>
      </w:r>
      <w:r>
        <w:rPr>
          <w:rFonts w:hint="default" w:ascii="仿宋" w:hAnsi="仿宋" w:eastAsia="仿宋"/>
          <w:sz w:val="28"/>
          <w:szCs w:val="28"/>
          <w:lang w:val="en-US"/>
        </w:rPr>
        <w:t>512</w:t>
      </w:r>
      <w:r>
        <w:rPr>
          <w:rFonts w:hint="eastAsia" w:ascii="仿宋" w:hAnsi="仿宋" w:eastAsia="仿宋"/>
          <w:sz w:val="28"/>
          <w:szCs w:val="28"/>
        </w:rPr>
        <w:t>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当年度预算金额：</w:t>
      </w:r>
      <w:r>
        <w:rPr>
          <w:rFonts w:hint="default" w:ascii="仿宋" w:hAnsi="仿宋" w:eastAsia="仿宋"/>
          <w:sz w:val="28"/>
          <w:szCs w:val="28"/>
          <w:lang w:val="en-US"/>
        </w:rPr>
        <w:t>2</w:t>
      </w:r>
      <w:r>
        <w:rPr>
          <w:rFonts w:hint="eastAsia" w:ascii="仿宋" w:hAnsi="仿宋" w:eastAsia="仿宋"/>
          <w:sz w:val="28"/>
          <w:szCs w:val="28"/>
        </w:rPr>
        <w:t>,</w:t>
      </w:r>
      <w:r>
        <w:rPr>
          <w:rFonts w:hint="default" w:ascii="仿宋" w:hAnsi="仿宋" w:eastAsia="仿宋"/>
          <w:sz w:val="28"/>
          <w:szCs w:val="28"/>
          <w:lang w:val="en-US"/>
        </w:rPr>
        <w:t>058</w:t>
      </w:r>
      <w:r>
        <w:rPr>
          <w:rFonts w:hint="eastAsia" w:ascii="仿宋" w:hAnsi="仿宋" w:eastAsia="仿宋"/>
          <w:sz w:val="28"/>
          <w:szCs w:val="28"/>
        </w:rPr>
        <w:t>,</w:t>
      </w:r>
      <w:r>
        <w:rPr>
          <w:rFonts w:hint="default" w:ascii="仿宋" w:hAnsi="仿宋" w:eastAsia="仿宋"/>
          <w:sz w:val="28"/>
          <w:szCs w:val="28"/>
          <w:lang w:val="en-US"/>
        </w:rPr>
        <w:t>512</w:t>
      </w:r>
      <w:r>
        <w:rPr>
          <w:rFonts w:hint="eastAsia" w:ascii="仿宋" w:hAnsi="仿宋" w:eastAsia="仿宋"/>
          <w:sz w:val="28"/>
          <w:szCs w:val="28"/>
          <w:highlight w:val="none"/>
        </w:rPr>
        <w:t>元</w:t>
      </w:r>
    </w:p>
    <w:p>
      <w:pPr>
        <w:ind w:firstLine="560" w:firstLineChars="200"/>
        <w:rPr>
          <w:rFonts w:hint="eastAsia" w:ascii="仿宋" w:hAnsi="仿宋" w:eastAsia="仿宋" w:cs="仿宋"/>
          <w:color w:val="FF0000"/>
          <w:sz w:val="28"/>
        </w:rPr>
      </w:pPr>
      <w:r>
        <w:rPr>
          <w:rFonts w:hint="eastAsia" w:ascii="仿宋" w:hAnsi="仿宋" w:eastAsia="仿宋" w:cs="仿宋"/>
          <w:sz w:val="28"/>
          <w:szCs w:val="28"/>
        </w:rPr>
        <w:t>采购金额（最高限价）</w:t>
      </w:r>
      <w:r>
        <w:rPr>
          <w:rFonts w:hint="eastAsia" w:ascii="仿宋" w:hAnsi="仿宋" w:eastAsia="仿宋" w:cs="仿宋"/>
          <w:sz w:val="28"/>
          <w:szCs w:val="28"/>
          <w:highlight w:val="none"/>
        </w:rPr>
        <w:t>：</w:t>
      </w:r>
      <w:r>
        <w:rPr>
          <w:rFonts w:hint="default" w:ascii="仿宋" w:hAnsi="仿宋" w:eastAsia="仿宋"/>
          <w:sz w:val="28"/>
          <w:szCs w:val="28"/>
          <w:lang w:val="en-US"/>
        </w:rPr>
        <w:t>2</w:t>
      </w:r>
      <w:r>
        <w:rPr>
          <w:rFonts w:hint="eastAsia" w:ascii="仿宋" w:hAnsi="仿宋" w:eastAsia="仿宋"/>
          <w:sz w:val="28"/>
          <w:szCs w:val="28"/>
        </w:rPr>
        <w:t>,</w:t>
      </w:r>
      <w:r>
        <w:rPr>
          <w:rFonts w:hint="default" w:ascii="仿宋" w:hAnsi="仿宋" w:eastAsia="仿宋"/>
          <w:sz w:val="28"/>
          <w:szCs w:val="28"/>
          <w:lang w:val="en-US"/>
        </w:rPr>
        <w:t>058</w:t>
      </w:r>
      <w:r>
        <w:rPr>
          <w:rFonts w:hint="eastAsia" w:ascii="仿宋" w:hAnsi="仿宋" w:eastAsia="仿宋"/>
          <w:sz w:val="28"/>
          <w:szCs w:val="28"/>
        </w:rPr>
        <w:t>,</w:t>
      </w:r>
      <w:r>
        <w:rPr>
          <w:rFonts w:hint="default" w:ascii="仿宋" w:hAnsi="仿宋" w:eastAsia="仿宋"/>
          <w:sz w:val="28"/>
          <w:szCs w:val="28"/>
          <w:lang w:val="en-US"/>
        </w:rPr>
        <w:t>512</w:t>
      </w:r>
      <w:r>
        <w:rPr>
          <w:rFonts w:hint="eastAsia" w:ascii="仿宋" w:hAnsi="仿宋" w:eastAsia="仿宋"/>
          <w:sz w:val="28"/>
          <w:szCs w:val="28"/>
          <w:highlight w:val="none"/>
        </w:rPr>
        <w:t>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组织形式：集中采购</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采购方式：</w:t>
      </w:r>
      <w:r>
        <w:rPr>
          <w:rFonts w:hint="eastAsia" w:ascii="仿宋" w:hAnsi="仿宋" w:eastAsia="仿宋" w:cs="仿宋"/>
          <w:sz w:val="28"/>
          <w:szCs w:val="28"/>
          <w:lang w:val="en-US" w:eastAsia="zh-CN"/>
        </w:rPr>
        <w:t>竞争性磋商</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面向企业类型：</w:t>
      </w:r>
      <w:r>
        <w:rPr>
          <w:rFonts w:hint="eastAsia" w:ascii="仿宋" w:hAnsi="仿宋" w:eastAsia="仿宋" w:cs="仿宋"/>
          <w:sz w:val="28"/>
          <w:szCs w:val="28"/>
          <w:lang w:val="en-US" w:eastAsia="zh-CN"/>
        </w:rPr>
        <w:t>大</w:t>
      </w:r>
      <w:r>
        <w:rPr>
          <w:rFonts w:hint="eastAsia" w:ascii="仿宋" w:hAnsi="仿宋" w:eastAsia="仿宋" w:cs="仿宋"/>
          <w:sz w:val="28"/>
          <w:szCs w:val="28"/>
        </w:rPr>
        <w:t>中小企业</w:t>
      </w:r>
      <w:r>
        <w:rPr>
          <w:rFonts w:hint="eastAsia" w:ascii="仿宋" w:hAnsi="仿宋" w:eastAsia="仿宋" w:cs="仿宋"/>
          <w:sz w:val="28"/>
          <w:szCs w:val="28"/>
          <w:lang w:val="en-US" w:eastAsia="zh-CN"/>
        </w:rPr>
        <w:t>及各类供应商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是否接受联合体</w:t>
      </w:r>
      <w:r>
        <w:rPr>
          <w:rFonts w:hint="eastAsia" w:ascii="仿宋" w:hAnsi="仿宋" w:eastAsia="仿宋" w:cs="仿宋"/>
          <w:sz w:val="28"/>
          <w:szCs w:val="28"/>
          <w:lang w:eastAsia="zh-CN"/>
        </w:rPr>
        <w:t>响应</w:t>
      </w:r>
      <w:r>
        <w:rPr>
          <w:rFonts w:hint="eastAsia" w:ascii="仿宋" w:hAnsi="仿宋" w:eastAsia="仿宋" w:cs="仿宋"/>
          <w:sz w:val="28"/>
          <w:szCs w:val="28"/>
        </w:rPr>
        <w:t>：否</w:t>
      </w:r>
    </w:p>
    <w:p>
      <w:pPr>
        <w:ind w:firstLine="0" w:firstLineChars="0"/>
        <w:rPr>
          <w:rFonts w:hint="eastAsia" w:ascii="仿宋" w:hAnsi="仿宋" w:eastAsia="仿宋" w:cs="仿宋"/>
          <w:strike/>
          <w:sz w:val="28"/>
          <w:szCs w:val="28"/>
        </w:rPr>
      </w:pPr>
    </w:p>
    <w:p>
      <w:pPr>
        <w:pStyle w:val="2"/>
        <w:ind w:left="0"/>
        <w:rPr>
          <w:rFonts w:hint="eastAsia" w:ascii="仿宋" w:hAnsi="仿宋" w:eastAsia="仿宋" w:cs="仿宋"/>
        </w:rPr>
      </w:pPr>
      <w:bookmarkStart w:id="1" w:name="_Toc69194645"/>
      <w:r>
        <w:rPr>
          <w:rFonts w:hint="eastAsia" w:ascii="仿宋" w:hAnsi="仿宋" w:eastAsia="仿宋" w:cs="仿宋"/>
        </w:rPr>
        <w:t>服务范围</w:t>
      </w:r>
      <w:bookmarkEnd w:id="1"/>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本项目</w:t>
      </w:r>
      <w:r>
        <w:rPr>
          <w:rFonts w:hint="eastAsia" w:ascii="仿宋" w:hAnsi="仿宋" w:eastAsia="仿宋" w:cs="仿宋"/>
          <w:sz w:val="28"/>
          <w:szCs w:val="28"/>
        </w:rPr>
        <w:t>的服务范围覆盖</w:t>
      </w:r>
      <w:r>
        <w:rPr>
          <w:rFonts w:hint="eastAsia" w:ascii="仿宋" w:hAnsi="仿宋" w:eastAsia="仿宋" w:cs="仿宋"/>
          <w:sz w:val="28"/>
          <w:szCs w:val="28"/>
          <w:lang w:val="en-US" w:eastAsia="zh-CN"/>
        </w:rPr>
        <w:t>中心</w:t>
      </w:r>
      <w:r>
        <w:rPr>
          <w:rFonts w:hint="eastAsia" w:ascii="仿宋" w:hAnsi="仿宋" w:eastAsia="仿宋" w:cs="仿宋"/>
          <w:sz w:val="28"/>
          <w:szCs w:val="28"/>
        </w:rPr>
        <w:t>下属</w:t>
      </w:r>
      <w:r>
        <w:rPr>
          <w:rFonts w:hint="eastAsia" w:ascii="仿宋" w:hAnsi="仿宋" w:eastAsia="仿宋" w:cs="仿宋"/>
          <w:sz w:val="28"/>
          <w:szCs w:val="28"/>
          <w:lang w:val="en-US" w:eastAsia="zh-CN"/>
        </w:rPr>
        <w:t>5</w:t>
      </w:r>
      <w:r>
        <w:rPr>
          <w:rFonts w:hint="eastAsia" w:ascii="仿宋" w:hAnsi="仿宋" w:eastAsia="仿宋" w:cs="仿宋"/>
          <w:sz w:val="28"/>
          <w:szCs w:val="28"/>
        </w:rPr>
        <w:t>个</w:t>
      </w:r>
      <w:r>
        <w:rPr>
          <w:rFonts w:hint="eastAsia" w:ascii="仿宋" w:hAnsi="仿宋" w:eastAsia="仿宋" w:cs="仿宋"/>
          <w:sz w:val="28"/>
          <w:szCs w:val="28"/>
          <w:lang w:val="en-US" w:eastAsia="zh-CN"/>
        </w:rPr>
        <w:t>部门</w:t>
      </w:r>
      <w:r>
        <w:rPr>
          <w:rFonts w:hint="eastAsia" w:ascii="仿宋" w:hAnsi="仿宋" w:eastAsia="仿宋" w:cs="仿宋"/>
          <w:sz w:val="28"/>
          <w:szCs w:val="28"/>
        </w:rPr>
        <w:t>：办公室（政策法规部）</w:t>
      </w:r>
      <w:r>
        <w:rPr>
          <w:rFonts w:hint="eastAsia" w:ascii="仿宋" w:hAnsi="仿宋" w:eastAsia="仿宋" w:cs="仿宋"/>
          <w:sz w:val="28"/>
          <w:szCs w:val="28"/>
          <w:lang w:eastAsia="zh-CN"/>
        </w:rPr>
        <w:t>、信息化服务部、数据安全部、应用开发部（</w:t>
      </w:r>
      <w:r>
        <w:rPr>
          <w:rFonts w:hint="eastAsia" w:ascii="仿宋" w:hAnsi="仿宋" w:eastAsia="仿宋" w:cs="仿宋"/>
          <w:sz w:val="28"/>
          <w:szCs w:val="28"/>
          <w:lang w:val="en-US" w:eastAsia="zh-CN"/>
        </w:rPr>
        <w:t>门户网站部</w:t>
      </w:r>
      <w:r>
        <w:rPr>
          <w:rFonts w:hint="eastAsia" w:ascii="仿宋" w:hAnsi="仿宋" w:eastAsia="仿宋" w:cs="仿宋"/>
          <w:sz w:val="28"/>
          <w:szCs w:val="28"/>
          <w:lang w:eastAsia="zh-CN"/>
        </w:rPr>
        <w:t>）、基础设施部</w:t>
      </w:r>
      <w:r>
        <w:rPr>
          <w:rFonts w:hint="eastAsia" w:ascii="仿宋" w:hAnsi="仿宋" w:eastAsia="仿宋" w:cs="仿宋"/>
          <w:sz w:val="28"/>
          <w:szCs w:val="28"/>
          <w:lang w:val="en-US" w:eastAsia="zh-CN"/>
        </w:rPr>
        <w:t>的14个信息系统</w:t>
      </w:r>
      <w:r>
        <w:rPr>
          <w:rFonts w:hint="eastAsia" w:ascii="仿宋" w:hAnsi="仿宋" w:eastAsia="仿宋" w:cs="仿宋"/>
          <w:sz w:val="28"/>
          <w:szCs w:val="28"/>
        </w:rPr>
        <w:t>所属的各项网络安全等级保护测评工作。</w:t>
      </w:r>
    </w:p>
    <w:p>
      <w:pPr>
        <w:pStyle w:val="3"/>
        <w:rPr>
          <w:rFonts w:hint="eastAsia" w:ascii="仿宋" w:hAnsi="仿宋" w:cs="仿宋"/>
        </w:rPr>
      </w:pPr>
      <w:r>
        <w:rPr>
          <w:rFonts w:hint="eastAsia" w:ascii="仿宋" w:hAnsi="仿宋" w:cs="仿宋"/>
          <w:bCs w:val="0"/>
          <w:szCs w:val="28"/>
        </w:rPr>
        <w:t>网络安全等级保护测评清单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本项目为以下系统提供网络安全等级保护测评服务，具体以实际服务范围为准：</w:t>
      </w:r>
    </w:p>
    <w:tbl>
      <w:tblPr>
        <w:tblStyle w:val="25"/>
        <w:tblW w:w="6861" w:type="dxa"/>
        <w:jc w:val="center"/>
        <w:tblLayout w:type="fixed"/>
        <w:tblCellMar>
          <w:top w:w="0" w:type="dxa"/>
          <w:left w:w="108" w:type="dxa"/>
          <w:bottom w:w="0" w:type="dxa"/>
          <w:right w:w="108" w:type="dxa"/>
        </w:tblCellMar>
      </w:tblPr>
      <w:tblGrid>
        <w:gridCol w:w="571"/>
        <w:gridCol w:w="1767"/>
        <w:gridCol w:w="3000"/>
        <w:gridCol w:w="804"/>
        <w:gridCol w:w="719"/>
      </w:tblGrid>
      <w:tr>
        <w:tblPrEx>
          <w:tblCellMar>
            <w:top w:w="0" w:type="dxa"/>
            <w:left w:w="108" w:type="dxa"/>
            <w:bottom w:w="0" w:type="dxa"/>
            <w:right w:w="108" w:type="dxa"/>
          </w:tblCellMar>
        </w:tblPrEx>
        <w:trPr>
          <w:trHeight w:val="569"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单位名称</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系统名称</w:t>
            </w:r>
          </w:p>
        </w:tc>
        <w:tc>
          <w:tcPr>
            <w:tcW w:w="8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测评次数</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等保</w:t>
            </w:r>
          </w:p>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等级</w:t>
            </w: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4"/>
                <w:szCs w:val="24"/>
              </w:rPr>
              <w:t>办公室（政策法规部）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 w:val="22"/>
                <w:lang w:val="en-US" w:eastAsia="zh-CN"/>
              </w:rPr>
            </w:pPr>
            <w:r>
              <w:rPr>
                <w:rFonts w:hint="eastAsia" w:ascii="仿宋" w:hAnsi="仿宋" w:eastAsia="仿宋" w:cs="仿宋"/>
                <w:color w:val="000000"/>
                <w:kern w:val="0"/>
                <w:sz w:val="22"/>
                <w:lang w:val="en-US" w:eastAsia="zh-CN" w:bidi="ar"/>
              </w:rPr>
              <w:t>市大数据中心基础设施</w:t>
            </w:r>
          </w:p>
        </w:tc>
        <w:tc>
          <w:tcPr>
            <w:tcW w:w="8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2"/>
                <w:lang w:val="en-US" w:eastAsia="zh-CN" w:bidi="ar"/>
              </w:rPr>
            </w:pPr>
            <w:r>
              <w:rPr>
                <w:rFonts w:hint="eastAsia" w:ascii="仿宋" w:hAnsi="仿宋" w:eastAsia="仿宋" w:cs="仿宋"/>
                <w:color w:val="000000"/>
                <w:kern w:val="0"/>
                <w:sz w:val="22"/>
                <w:lang w:val="en-US" w:eastAsia="zh-CN" w:bidi="ar"/>
              </w:rPr>
              <w:t>1</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4"/>
                <w:szCs w:val="24"/>
              </w:rPr>
              <w:t>办公室（政策法规部）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上海市大数据中心协同办公系统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9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信息化服务部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上海市大数据中心信息化服务管理系统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信息化服务部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进博会数字赋能服务保障一体化系统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信息化服务部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上海市政务区块链统一平台</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信息化服务部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上海市大数据中心统一运维中枢平台系统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数据安全部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电子政务云安全监管及运营管理综合系统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8</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应用开发部</w:t>
            </w:r>
            <w:r>
              <w:rPr>
                <w:rFonts w:hint="eastAsia" w:ascii="仿宋" w:hAnsi="仿宋" w:eastAsia="仿宋" w:cs="仿宋"/>
                <w:color w:val="000000"/>
                <w:kern w:val="0"/>
                <w:sz w:val="22"/>
                <w:lang w:eastAsia="zh-CN" w:bidi="ar"/>
              </w:rPr>
              <w:t>（</w:t>
            </w:r>
            <w:r>
              <w:rPr>
                <w:rFonts w:hint="eastAsia" w:ascii="仿宋" w:hAnsi="仿宋" w:eastAsia="仿宋" w:cs="仿宋"/>
                <w:color w:val="000000"/>
                <w:kern w:val="0"/>
                <w:sz w:val="22"/>
                <w:lang w:val="en-US" w:eastAsia="zh-CN" w:bidi="ar"/>
              </w:rPr>
              <w:t>门户网站部）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上海市统一综合执法系统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应用开发部</w:t>
            </w:r>
            <w:r>
              <w:rPr>
                <w:rFonts w:hint="eastAsia" w:ascii="仿宋" w:hAnsi="仿宋" w:eastAsia="仿宋" w:cs="仿宋"/>
                <w:color w:val="000000"/>
                <w:kern w:val="0"/>
                <w:sz w:val="22"/>
                <w:lang w:eastAsia="zh-CN" w:bidi="ar"/>
              </w:rPr>
              <w:t>（</w:t>
            </w:r>
            <w:r>
              <w:rPr>
                <w:rFonts w:hint="eastAsia" w:ascii="仿宋" w:hAnsi="仿宋" w:eastAsia="仿宋" w:cs="仿宋"/>
                <w:color w:val="000000"/>
                <w:kern w:val="0"/>
                <w:sz w:val="22"/>
                <w:lang w:val="en-US" w:eastAsia="zh-CN" w:bidi="ar"/>
              </w:rPr>
              <w:t>门户网站部）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上海市综合监管运行管理系统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lang w:bidi="ar"/>
              </w:rPr>
              <w:t>10</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lang w:bidi="ar"/>
              </w:rPr>
              <w:t>应用开发部</w:t>
            </w:r>
            <w:r>
              <w:rPr>
                <w:rFonts w:hint="eastAsia" w:ascii="仿宋" w:hAnsi="仿宋" w:eastAsia="仿宋" w:cs="仿宋"/>
                <w:color w:val="000000"/>
                <w:kern w:val="0"/>
                <w:sz w:val="22"/>
                <w:highlight w:val="none"/>
                <w:lang w:eastAsia="zh-CN" w:bidi="ar"/>
              </w:rPr>
              <w:t>（</w:t>
            </w:r>
            <w:r>
              <w:rPr>
                <w:rFonts w:hint="eastAsia" w:ascii="仿宋" w:hAnsi="仿宋" w:eastAsia="仿宋" w:cs="仿宋"/>
                <w:color w:val="000000"/>
                <w:kern w:val="0"/>
                <w:sz w:val="22"/>
                <w:highlight w:val="none"/>
                <w:lang w:val="en-US" w:eastAsia="zh-CN" w:bidi="ar"/>
              </w:rPr>
              <w:t>门户网站部）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highlight w:val="none"/>
              </w:rPr>
            </w:pPr>
            <w:r>
              <w:rPr>
                <w:rFonts w:hint="eastAsia" w:ascii="仿宋" w:hAnsi="仿宋" w:eastAsia="仿宋" w:cs="仿宋"/>
                <w:color w:val="000000"/>
                <w:kern w:val="0"/>
                <w:sz w:val="22"/>
                <w:highlight w:val="none"/>
                <w:lang w:bidi="ar"/>
              </w:rPr>
              <w:t>市政府门户网站综合管理系统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28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12</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基础设施部</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上海市政务云基础设施监管服务平台（包含</w:t>
            </w:r>
            <w:r>
              <w:rPr>
                <w:rFonts w:hint="eastAsia" w:ascii="仿宋" w:hAnsi="仿宋" w:eastAsia="仿宋" w:cs="仿宋"/>
                <w:color w:val="000000"/>
                <w:kern w:val="0"/>
                <w:sz w:val="22"/>
                <w:highlight w:val="none"/>
                <w:lang w:bidi="ar"/>
              </w:rPr>
              <w:t>上海市政务外网与国家政务外网对接网络平台</w:t>
            </w:r>
            <w:r>
              <w:rPr>
                <w:rFonts w:hint="eastAsia" w:ascii="仿宋" w:hAnsi="仿宋" w:eastAsia="仿宋" w:cs="仿宋"/>
                <w:i w:val="0"/>
                <w:iCs w:val="0"/>
                <w:color w:val="000000"/>
                <w:kern w:val="0"/>
                <w:sz w:val="22"/>
                <w:szCs w:val="22"/>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2</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624"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13</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基础设施部</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上海市电子政务灾难备份中心信息系统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14</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基础设施部</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color w:val="000000"/>
                <w:kern w:val="0"/>
                <w:sz w:val="22"/>
                <w:lang w:bidi="ar"/>
              </w:rPr>
            </w:pPr>
            <w:r>
              <w:rPr>
                <w:rFonts w:hint="eastAsia" w:ascii="仿宋" w:hAnsi="仿宋" w:eastAsia="仿宋" w:cs="仿宋"/>
                <w:i w:val="0"/>
                <w:iCs w:val="0"/>
                <w:color w:val="000000"/>
                <w:kern w:val="0"/>
                <w:sz w:val="22"/>
                <w:szCs w:val="22"/>
                <w:u w:val="none"/>
                <w:lang w:val="en-US" w:eastAsia="zh-CN" w:bidi="ar"/>
              </w:rPr>
              <w:t>上海市政务外网运行管理和安全监测支撑系统</w:t>
            </w:r>
          </w:p>
        </w:tc>
        <w:tc>
          <w:tcPr>
            <w:tcW w:w="8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 w:val="22"/>
              </w:rPr>
            </w:pPr>
          </w:p>
        </w:tc>
      </w:tr>
      <w:tr>
        <w:tblPrEx>
          <w:tblCellMar>
            <w:top w:w="0" w:type="dxa"/>
            <w:left w:w="108" w:type="dxa"/>
            <w:bottom w:w="0" w:type="dxa"/>
            <w:right w:w="108" w:type="dxa"/>
          </w:tblCellMar>
        </w:tblPrEx>
        <w:trPr>
          <w:trHeight w:val="560" w:hRule="atLeast"/>
          <w:jc w:val="center"/>
        </w:trPr>
        <w:tc>
          <w:tcPr>
            <w:tcW w:w="5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2"/>
                <w:lang w:bidi="ar"/>
              </w:rPr>
            </w:pPr>
            <w:bookmarkStart w:id="2" w:name="_Toc69194682"/>
          </w:p>
        </w:tc>
        <w:tc>
          <w:tcPr>
            <w:tcW w:w="6290" w:type="dxa"/>
            <w:gridSpan w:val="4"/>
            <w:tcBorders>
              <w:top w:val="single" w:color="000000" w:sz="4" w:space="0"/>
              <w:left w:val="single" w:color="000000" w:sz="4" w:space="0"/>
              <w:bottom w:val="single" w:color="000000" w:sz="4" w:space="0"/>
              <w:right w:val="single" w:color="000000" w:sz="4" w:space="0"/>
            </w:tcBorders>
            <w:vAlign w:val="center"/>
          </w:tcPr>
          <w:p>
            <w:pPr>
              <w:pStyle w:val="50"/>
              <w:spacing w:line="240" w:lineRule="auto"/>
              <w:ind w:firstLine="0" w:firstLineChars="0"/>
              <w:jc w:val="left"/>
              <w:rPr>
                <w:rFonts w:hint="eastAsia" w:ascii="仿宋" w:hAnsi="仿宋" w:eastAsia="仿宋"/>
                <w:sz w:val="22"/>
                <w:szCs w:val="22"/>
              </w:rPr>
            </w:pPr>
            <w:r>
              <w:rPr>
                <w:rFonts w:hint="eastAsia" w:ascii="仿宋" w:hAnsi="仿宋" w:eastAsia="仿宋"/>
                <w:sz w:val="22"/>
                <w:szCs w:val="22"/>
              </w:rPr>
              <w:t>备注：</w:t>
            </w:r>
          </w:p>
          <w:p>
            <w:pPr>
              <w:pStyle w:val="50"/>
              <w:spacing w:line="240" w:lineRule="auto"/>
              <w:ind w:left="0" w:leftChars="0" w:firstLine="0" w:firstLineChars="0"/>
              <w:jc w:val="left"/>
              <w:rPr>
                <w:rFonts w:hint="eastAsia" w:ascii="仿宋" w:hAnsi="仿宋" w:eastAsia="仿宋"/>
                <w:sz w:val="22"/>
                <w:szCs w:val="22"/>
              </w:rPr>
            </w:pPr>
            <w:r>
              <w:rPr>
                <w:rFonts w:hint="eastAsia" w:ascii="仿宋" w:hAnsi="仿宋" w:eastAsia="仿宋"/>
                <w:sz w:val="22"/>
                <w:szCs w:val="22"/>
              </w:rPr>
              <w:t>1、包括但不仅限于清单内的系统，以上系统清单将结合上海市大数据中心系统整合和停用情况，以实际清单为准。</w:t>
            </w:r>
          </w:p>
          <w:p>
            <w:pPr>
              <w:widowControl/>
              <w:jc w:val="center"/>
              <w:textAlignment w:val="center"/>
              <w:rPr>
                <w:rFonts w:hint="eastAsia" w:ascii="仿宋" w:hAnsi="仿宋" w:eastAsia="仿宋" w:cs="仿宋"/>
                <w:color w:val="000000"/>
                <w:sz w:val="22"/>
              </w:rPr>
            </w:pPr>
            <w:r>
              <w:rPr>
                <w:rFonts w:hint="eastAsia" w:ascii="仿宋" w:hAnsi="仿宋" w:eastAsia="仿宋"/>
                <w:sz w:val="22"/>
                <w:lang w:bidi="en-US"/>
              </w:rPr>
              <w:t>2、网络安全等级保护测评服务应涵盖上述系统内的各级子系统。</w:t>
            </w:r>
          </w:p>
        </w:tc>
      </w:tr>
    </w:tbl>
    <w:p>
      <w:pPr>
        <w:pStyle w:val="11"/>
        <w:jc w:val="center"/>
      </w:pPr>
      <w:r>
        <w:rPr>
          <w:rFonts w:hint="eastAsia" w:ascii="方正仿宋_GB2312" w:hAnsi="方正仿宋_GB2312" w:eastAsia="方正仿宋_GB2312" w:cs="方正仿宋_GB2312"/>
        </w:rPr>
        <w:t xml:space="preserve">表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STYLEREF 1 \s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SEQ 表 \* ARABIC \s 1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lang w:eastAsia="zh-CN"/>
        </w:rPr>
        <w:t xml:space="preserve"> 服务系统清单</w:t>
      </w:r>
    </w:p>
    <w:p>
      <w:pPr>
        <w:pStyle w:val="2"/>
        <w:ind w:left="0"/>
        <w:rPr>
          <w:rFonts w:hint="eastAsia" w:ascii="仿宋" w:hAnsi="仿宋" w:eastAsia="仿宋" w:cs="仿宋"/>
          <w:bCs w:val="0"/>
          <w:szCs w:val="32"/>
        </w:rPr>
      </w:pPr>
      <w:r>
        <w:rPr>
          <w:rFonts w:hint="eastAsia" w:ascii="仿宋" w:hAnsi="仿宋" w:eastAsia="仿宋" w:cs="仿宋"/>
          <w:bCs w:val="0"/>
          <w:szCs w:val="32"/>
        </w:rPr>
        <w:t>服务需求</w:t>
      </w:r>
    </w:p>
    <w:p>
      <w:pPr>
        <w:pStyle w:val="3"/>
        <w:rPr>
          <w:rFonts w:hint="eastAsia" w:ascii="仿宋" w:hAnsi="仿宋" w:cs="仿宋"/>
          <w:bCs w:val="0"/>
          <w:szCs w:val="28"/>
        </w:rPr>
      </w:pPr>
      <w:r>
        <w:rPr>
          <w:rFonts w:hint="eastAsia" w:ascii="仿宋" w:hAnsi="仿宋" w:cs="仿宋"/>
          <w:bCs w:val="0"/>
          <w:szCs w:val="28"/>
        </w:rPr>
        <w:t>网络安全等级保护保测评及定级备案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根据《中华人民共和国网络安全法》关于网络安全等级保护相关规定，结合</w:t>
      </w:r>
      <w:r>
        <w:rPr>
          <w:rFonts w:hint="eastAsia" w:ascii="仿宋" w:hAnsi="仿宋" w:eastAsia="仿宋" w:cs="仿宋"/>
          <w:sz w:val="28"/>
          <w:szCs w:val="28"/>
          <w:lang w:val="en-US" w:eastAsia="zh-CN"/>
        </w:rPr>
        <w:t>项目涉及的部门</w:t>
      </w:r>
      <w:r>
        <w:rPr>
          <w:rFonts w:hint="eastAsia" w:ascii="仿宋" w:hAnsi="仿宋" w:eastAsia="仿宋" w:cs="仿宋"/>
          <w:sz w:val="28"/>
          <w:szCs w:val="28"/>
        </w:rPr>
        <w:t>信息系统等保实际情况，由第三方等保测评机构完成不少于</w:t>
      </w:r>
      <w:r>
        <w:rPr>
          <w:rFonts w:hint="eastAsia" w:ascii="仿宋" w:hAnsi="仿宋" w:eastAsia="仿宋" w:cs="仿宋"/>
          <w:sz w:val="28"/>
          <w:szCs w:val="28"/>
          <w:lang w:val="en-US" w:eastAsia="zh-CN"/>
        </w:rPr>
        <w:t>14</w:t>
      </w:r>
      <w:r>
        <w:rPr>
          <w:rFonts w:hint="eastAsia" w:ascii="仿宋" w:hAnsi="仿宋" w:eastAsia="仿宋" w:cs="仿宋"/>
          <w:sz w:val="28"/>
          <w:szCs w:val="28"/>
        </w:rPr>
        <w:t>个应用系统或基础设施等级保护测评工作，并提供相应等保测评报告；</w:t>
      </w:r>
      <w:bookmarkStart w:id="3" w:name="OLE_LINK1"/>
      <w:r>
        <w:rPr>
          <w:rFonts w:hint="eastAsia" w:ascii="仿宋" w:hAnsi="仿宋" w:eastAsia="仿宋" w:cs="仿宋"/>
          <w:sz w:val="28"/>
          <w:szCs w:val="28"/>
        </w:rPr>
        <w:t>根据《关于进一步做好网络安全等级保护有关工作的函》（公网安〔2025〕1001号）要求，配合</w:t>
      </w:r>
      <w:r>
        <w:rPr>
          <w:rFonts w:hint="eastAsia" w:ascii="仿宋" w:hAnsi="仿宋" w:eastAsia="仿宋" w:cs="仿宋"/>
          <w:sz w:val="28"/>
          <w:szCs w:val="28"/>
          <w:lang w:eastAsia="zh-CN"/>
        </w:rPr>
        <w:t>中心</w:t>
      </w:r>
      <w:r>
        <w:rPr>
          <w:rFonts w:hint="eastAsia" w:ascii="仿宋" w:hAnsi="仿宋" w:eastAsia="仿宋" w:cs="仿宋"/>
          <w:sz w:val="28"/>
          <w:szCs w:val="28"/>
        </w:rPr>
        <w:t>完成2026年度信息系统等保备案信息更新工作；为</w:t>
      </w:r>
      <w:r>
        <w:rPr>
          <w:rFonts w:hint="eastAsia" w:ascii="仿宋" w:hAnsi="仿宋" w:eastAsia="仿宋" w:cs="仿宋"/>
          <w:sz w:val="28"/>
          <w:szCs w:val="28"/>
          <w:lang w:eastAsia="zh-CN"/>
        </w:rPr>
        <w:t>中心</w:t>
      </w:r>
      <w:r>
        <w:rPr>
          <w:rFonts w:hint="eastAsia" w:ascii="仿宋" w:hAnsi="仿宋" w:eastAsia="仿宋" w:cs="仿宋"/>
          <w:sz w:val="28"/>
          <w:szCs w:val="28"/>
        </w:rPr>
        <w:t>提供网络安全等级保护等相关安全培训服务。</w:t>
      </w:r>
      <w:bookmarkEnd w:id="3"/>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服务交付物：《网络安全等级测评报告》、《网络安全等级测评工作建议》。</w:t>
      </w:r>
    </w:p>
    <w:p>
      <w:pPr>
        <w:pStyle w:val="3"/>
        <w:rPr>
          <w:rFonts w:hint="eastAsia" w:ascii="仿宋" w:hAnsi="仿宋" w:cs="仿宋"/>
          <w:bCs w:val="0"/>
          <w:szCs w:val="28"/>
          <w:highlight w:val="none"/>
        </w:rPr>
      </w:pPr>
      <w:r>
        <w:rPr>
          <w:rFonts w:hint="eastAsia" w:ascii="仿宋" w:hAnsi="仿宋" w:cs="仿宋"/>
          <w:bCs w:val="0"/>
          <w:szCs w:val="28"/>
          <w:highlight w:val="none"/>
        </w:rPr>
        <w:t>上线前安全检测服务（含渗透测试）</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按照《上海市大数据中心重要业务系统上线安全保障方案》要求，对</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涉及</w:t>
      </w:r>
      <w:r>
        <w:rPr>
          <w:rFonts w:hint="eastAsia" w:ascii="仿宋" w:hAnsi="仿宋" w:eastAsia="仿宋" w:cs="仿宋"/>
          <w:sz w:val="28"/>
          <w:szCs w:val="28"/>
          <w:highlight w:val="none"/>
          <w:lang w:val="en-US" w:eastAsia="zh-CN"/>
        </w:rPr>
        <w:t>部门的</w:t>
      </w:r>
      <w:r>
        <w:rPr>
          <w:rFonts w:hint="eastAsia" w:ascii="仿宋" w:hAnsi="仿宋" w:eastAsia="仿宋" w:cs="仿宋"/>
          <w:sz w:val="28"/>
          <w:szCs w:val="28"/>
          <w:highlight w:val="none"/>
        </w:rPr>
        <w:t>新建信息系统正式投入运行、已运行的信息系统需上线新功能或对已有功能变更的情况，按</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涉及</w:t>
      </w:r>
      <w:r>
        <w:rPr>
          <w:rFonts w:hint="eastAsia" w:ascii="仿宋" w:hAnsi="仿宋" w:eastAsia="仿宋" w:cs="仿宋"/>
          <w:sz w:val="28"/>
          <w:szCs w:val="28"/>
          <w:highlight w:val="none"/>
          <w:lang w:val="en-US" w:eastAsia="zh-CN"/>
        </w:rPr>
        <w:t>部门的需求</w:t>
      </w:r>
      <w:r>
        <w:rPr>
          <w:rFonts w:hint="eastAsia" w:ascii="仿宋" w:hAnsi="仿宋" w:eastAsia="仿宋" w:cs="仿宋"/>
          <w:sz w:val="28"/>
          <w:szCs w:val="28"/>
          <w:highlight w:val="none"/>
        </w:rPr>
        <w:t>进行包含渗透测试在内的安全检测服务，并提供书面检测报告。</w:t>
      </w:r>
    </w:p>
    <w:p>
      <w:pPr>
        <w:numPr>
          <w:ilvl w:val="0"/>
          <w:numId w:val="2"/>
        </w:numPr>
        <w:spacing w:line="600" w:lineRule="exact"/>
        <w:rPr>
          <w:rFonts w:ascii="Times New Roman" w:hAnsi="仿宋" w:eastAsia="仿宋_GB2312" w:cs="Times New Roman"/>
          <w:szCs w:val="28"/>
          <w:highlight w:val="none"/>
        </w:rPr>
      </w:pPr>
      <w:r>
        <w:rPr>
          <w:rFonts w:hint="eastAsia" w:ascii="Times New Roman" w:hAnsi="仿宋" w:eastAsia="仿宋_GB2312" w:cs="仿宋_GB2312"/>
          <w:sz w:val="28"/>
          <w:szCs w:val="28"/>
          <w:highlight w:val="none"/>
        </w:rPr>
        <w:t>服务方式</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远程与现场相结合的方式。</w:t>
      </w:r>
    </w:p>
    <w:p>
      <w:pPr>
        <w:numPr>
          <w:ilvl w:val="0"/>
          <w:numId w:val="2"/>
        </w:numPr>
        <w:spacing w:line="600" w:lineRule="exact"/>
        <w:rPr>
          <w:rFonts w:ascii="Times New Roman" w:hAnsi="仿宋" w:eastAsia="仿宋_GB2312" w:cs="Times New Roman"/>
          <w:szCs w:val="28"/>
          <w:highlight w:val="none"/>
        </w:rPr>
      </w:pPr>
      <w:r>
        <w:rPr>
          <w:rFonts w:hint="eastAsia" w:ascii="Times New Roman" w:hAnsi="仿宋" w:eastAsia="仿宋_GB2312" w:cs="仿宋_GB2312"/>
          <w:sz w:val="28"/>
          <w:szCs w:val="28"/>
          <w:highlight w:val="none"/>
        </w:rPr>
        <w:t>服务交付物</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《上线前安全检测报告》</w:t>
      </w:r>
    </w:p>
    <w:p>
      <w:pPr>
        <w:pStyle w:val="2"/>
        <w:ind w:left="0"/>
        <w:rPr>
          <w:rFonts w:hint="eastAsia" w:ascii="仿宋" w:hAnsi="仿宋" w:eastAsia="仿宋" w:cs="仿宋"/>
        </w:rPr>
      </w:pPr>
      <w:r>
        <w:rPr>
          <w:rFonts w:hint="eastAsia" w:ascii="仿宋" w:hAnsi="仿宋" w:eastAsia="仿宋" w:cs="仿宋"/>
        </w:rPr>
        <w:t>服务质量考核</w:t>
      </w:r>
      <w:bookmarkEnd w:id="2"/>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服务质量的考核结果将作为支付合同费用的依据之一。服务质量考核结果为优秀和良好的按合同金额100%支付，服务质量考核结果为一般的按合同金额97%为上限支付。</w:t>
      </w:r>
    </w:p>
    <w:p>
      <w:pPr>
        <w:pStyle w:val="3"/>
        <w:rPr>
          <w:rFonts w:hint="eastAsia" w:ascii="仿宋" w:hAnsi="仿宋" w:cs="仿宋"/>
          <w:bCs w:val="0"/>
          <w:szCs w:val="28"/>
        </w:rPr>
      </w:pPr>
      <w:r>
        <w:rPr>
          <w:rFonts w:hint="eastAsia" w:ascii="仿宋" w:hAnsi="仿宋" w:cs="仿宋"/>
          <w:bCs w:val="0"/>
          <w:szCs w:val="28"/>
        </w:rPr>
        <w:t>考核标准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（1）根据项目要求在项目验收前完成相关等保测评服务工作；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（2）服务提供方应根据</w:t>
      </w:r>
      <w:r>
        <w:rPr>
          <w:rFonts w:hint="eastAsia" w:ascii="仿宋" w:hAnsi="仿宋" w:eastAsia="仿宋" w:cs="仿宋"/>
          <w:sz w:val="28"/>
          <w:szCs w:val="28"/>
          <w:lang w:eastAsia="zh-CN"/>
        </w:rPr>
        <w:t>中心</w:t>
      </w:r>
      <w:r>
        <w:rPr>
          <w:rFonts w:hint="eastAsia" w:ascii="仿宋" w:hAnsi="仿宋" w:eastAsia="仿宋" w:cs="仿宋"/>
          <w:sz w:val="28"/>
          <w:szCs w:val="28"/>
        </w:rPr>
        <w:t>等保测评需求，制定详细等保测评工作计划和方案；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）等保测评服务响应率=100%；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）文档完整度和准确率大于95%。</w:t>
      </w:r>
    </w:p>
    <w:p>
      <w:pPr>
        <w:ind w:firstLine="560" w:firstLineChars="200"/>
        <w:rPr>
          <w:rFonts w:ascii="仿宋" w:hAnsi="仿宋" w:eastAsia="仿宋" w:cs="仿宋"/>
          <w:sz w:val="28"/>
          <w:szCs w:val="28"/>
        </w:rPr>
      </w:pPr>
      <w:r>
        <w:rPr>
          <w:rFonts w:hint="eastAsia" w:ascii="仿宋" w:hAnsi="仿宋" w:eastAsia="仿宋" w:cs="仿宋"/>
          <w:sz w:val="28"/>
          <w:szCs w:val="28"/>
        </w:rPr>
        <w:t>优秀：考核满足上述4条标准。</w:t>
      </w:r>
    </w:p>
    <w:p>
      <w:pPr>
        <w:ind w:firstLine="560" w:firstLineChars="200"/>
        <w:rPr>
          <w:rFonts w:ascii="仿宋" w:hAnsi="仿宋" w:eastAsia="仿宋" w:cs="仿宋"/>
          <w:sz w:val="28"/>
          <w:szCs w:val="28"/>
        </w:rPr>
      </w:pPr>
      <w:r>
        <w:rPr>
          <w:rFonts w:hint="eastAsia" w:ascii="仿宋" w:hAnsi="仿宋" w:eastAsia="仿宋" w:cs="仿宋"/>
          <w:sz w:val="28"/>
          <w:szCs w:val="28"/>
        </w:rPr>
        <w:t>良好：考核满足上述3条标准。</w:t>
      </w:r>
    </w:p>
    <w:p>
      <w:pPr>
        <w:ind w:firstLine="560" w:firstLineChars="200"/>
        <w:rPr>
          <w:rFonts w:ascii="仿宋" w:hAnsi="仿宋" w:eastAsia="仿宋" w:cs="仿宋"/>
          <w:sz w:val="28"/>
          <w:szCs w:val="28"/>
        </w:rPr>
      </w:pPr>
      <w:r>
        <w:rPr>
          <w:rFonts w:hint="eastAsia" w:ascii="仿宋" w:hAnsi="仿宋" w:eastAsia="仿宋" w:cs="仿宋"/>
          <w:sz w:val="28"/>
          <w:szCs w:val="28"/>
        </w:rPr>
        <w:t>一般：考核满足上述2条标准。</w:t>
      </w:r>
    </w:p>
    <w:p>
      <w:pPr>
        <w:pStyle w:val="3"/>
        <w:rPr>
          <w:rFonts w:hint="eastAsia" w:ascii="仿宋" w:hAnsi="仿宋" w:cs="仿宋"/>
          <w:bCs w:val="0"/>
          <w:szCs w:val="28"/>
        </w:rPr>
      </w:pPr>
      <w:r>
        <w:rPr>
          <w:rFonts w:hint="eastAsia" w:ascii="仿宋" w:hAnsi="仿宋" w:cs="仿宋"/>
          <w:bCs w:val="0"/>
          <w:szCs w:val="28"/>
        </w:rPr>
        <w:t>服务质量要求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（1）在履行期限内，服务提供方应当在服务期限过半及服务验收前以书面形式向用户方递交等保测评服务工作报告，用户方在收到服务报告后的10个工作日内，完成服务质量考核。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（2）如果由于服务提供方原因致使等保测评服务未能通过考核，服务提供方应当自收到通知之日起10日内及时整改，并自行承担相关整改费用，直至服务完全符合要求。</w:t>
      </w:r>
    </w:p>
    <w:p>
      <w:pPr>
        <w:pStyle w:val="3"/>
        <w:rPr>
          <w:rFonts w:hint="eastAsia" w:ascii="仿宋" w:hAnsi="仿宋" w:cs="仿宋"/>
          <w:bCs w:val="0"/>
          <w:szCs w:val="28"/>
        </w:rPr>
      </w:pPr>
      <w:r>
        <w:rPr>
          <w:rFonts w:hint="eastAsia" w:ascii="仿宋" w:hAnsi="仿宋" w:cs="仿宋"/>
          <w:bCs w:val="0"/>
          <w:szCs w:val="28"/>
        </w:rPr>
        <w:t>考核方式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（1）项目服务过程中，服务提供方应按照</w:t>
      </w:r>
      <w:r>
        <w:rPr>
          <w:rFonts w:hint="eastAsia" w:ascii="仿宋" w:hAnsi="仿宋" w:eastAsia="仿宋" w:cs="仿宋"/>
          <w:sz w:val="28"/>
          <w:szCs w:val="28"/>
          <w:lang w:eastAsia="zh-CN"/>
        </w:rPr>
        <w:t>中心</w:t>
      </w:r>
      <w:r>
        <w:rPr>
          <w:rFonts w:hint="eastAsia" w:ascii="仿宋" w:hAnsi="仿宋" w:eastAsia="仿宋" w:cs="仿宋"/>
          <w:sz w:val="28"/>
          <w:szCs w:val="28"/>
        </w:rPr>
        <w:t>等保测评工作要求按期完成等保测评服务，服务提供方无法在规定时间内完成等保测评工作，采购方有权利无条件终止合同。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（2）项目服务过程中，</w:t>
      </w:r>
      <w:r>
        <w:rPr>
          <w:rFonts w:hint="eastAsia" w:ascii="仿宋" w:hAnsi="仿宋" w:eastAsia="仿宋" w:cs="仿宋"/>
          <w:sz w:val="28"/>
          <w:szCs w:val="28"/>
          <w:lang w:eastAsia="zh-CN"/>
        </w:rPr>
        <w:t>中心</w:t>
      </w:r>
      <w:r>
        <w:rPr>
          <w:rFonts w:hint="eastAsia" w:ascii="仿宋" w:hAnsi="仿宋" w:eastAsia="仿宋" w:cs="仿宋"/>
          <w:sz w:val="28"/>
          <w:szCs w:val="28"/>
        </w:rPr>
        <w:t>发现服务提供方等保测评服务不规范等情况，对服务提供方进行警告，服务提供方需在48小时内排查问题并整改，出具相关整改报告。</w:t>
      </w:r>
    </w:p>
    <w:p>
      <w:pPr>
        <w:pStyle w:val="2"/>
        <w:ind w:left="0"/>
        <w:rPr>
          <w:rFonts w:hint="eastAsia" w:ascii="仿宋" w:hAnsi="仿宋" w:eastAsia="仿宋" w:cs="仿宋"/>
        </w:rPr>
      </w:pPr>
      <w:bookmarkStart w:id="4" w:name="_Toc69194684"/>
      <w:r>
        <w:rPr>
          <w:rFonts w:hint="eastAsia" w:ascii="仿宋" w:hAnsi="仿宋" w:eastAsia="仿宋" w:cs="仿宋"/>
        </w:rPr>
        <w:t>验收</w:t>
      </w:r>
      <w:bookmarkEnd w:id="4"/>
      <w:r>
        <w:rPr>
          <w:rFonts w:hint="eastAsia" w:ascii="仿宋" w:hAnsi="仿宋" w:eastAsia="仿宋" w:cs="仿宋"/>
        </w:rPr>
        <w:t>要求</w:t>
      </w:r>
    </w:p>
    <w:p>
      <w:pPr>
        <w:ind w:firstLine="560" w:firstLineChars="200"/>
        <w:rPr>
          <w:rFonts w:hint="eastAsia" w:ascii="仿宋" w:hAnsi="仿宋" w:eastAsia="仿宋" w:cs="仿宋"/>
          <w:sz w:val="28"/>
          <w:szCs w:val="28"/>
          <w:lang w:val="en-GB"/>
        </w:rPr>
      </w:pPr>
      <w:r>
        <w:rPr>
          <w:rFonts w:hint="eastAsia" w:ascii="仿宋" w:hAnsi="仿宋" w:eastAsia="仿宋" w:cs="仿宋"/>
          <w:sz w:val="28"/>
          <w:szCs w:val="28"/>
          <w:lang w:val="en-GB"/>
        </w:rPr>
        <w:t>网络安全等级保护服务工作期限终止时，服务提供方应当按照采购方要求以书面形式向其提供本项目服务交付物即《网络安全等级测评报告》、《网络安全等级测评</w:t>
      </w:r>
      <w:r>
        <w:rPr>
          <w:rFonts w:hint="eastAsia" w:ascii="仿宋" w:hAnsi="仿宋" w:eastAsia="仿宋" w:cs="仿宋"/>
          <w:sz w:val="28"/>
          <w:szCs w:val="28"/>
        </w:rPr>
        <w:t>工作建议</w:t>
      </w:r>
      <w:r>
        <w:rPr>
          <w:rFonts w:hint="eastAsia" w:ascii="仿宋" w:hAnsi="仿宋" w:eastAsia="仿宋" w:cs="仿宋"/>
          <w:sz w:val="28"/>
          <w:szCs w:val="28"/>
          <w:lang w:val="en-GB"/>
        </w:rPr>
        <w:t>》、</w:t>
      </w:r>
      <w:r>
        <w:rPr>
          <w:rFonts w:hint="eastAsia" w:ascii="仿宋" w:hAnsi="仿宋" w:eastAsia="仿宋" w:cs="仿宋"/>
          <w:sz w:val="28"/>
          <w:szCs w:val="28"/>
        </w:rPr>
        <w:t>《网络安全等级测评服务总体实施方案》、《网络安全等级测评服务项目总结报告》等</w:t>
      </w:r>
      <w:r>
        <w:rPr>
          <w:rFonts w:hint="eastAsia" w:ascii="仿宋" w:hAnsi="仿宋" w:eastAsia="仿宋" w:cs="仿宋"/>
          <w:sz w:val="28"/>
          <w:szCs w:val="28"/>
          <w:lang w:val="en-GB"/>
        </w:rPr>
        <w:t>相关资料。采购方在收到服务提供方提交的相关资料后10个工作日内，对服务提供方的工作进行验收。采购方有权委托第三方机构进行验收，对此服务提供方应当配合。</w:t>
      </w:r>
    </w:p>
    <w:p>
      <w:pPr>
        <w:pStyle w:val="2"/>
        <w:ind w:left="0"/>
        <w:rPr>
          <w:rFonts w:hint="eastAsia" w:ascii="仿宋" w:hAnsi="仿宋" w:eastAsia="仿宋" w:cs="仿宋"/>
        </w:rPr>
      </w:pPr>
      <w:bookmarkStart w:id="5" w:name="_Toc69194685"/>
      <w:r>
        <w:rPr>
          <w:rFonts w:hint="eastAsia" w:ascii="仿宋" w:hAnsi="仿宋" w:eastAsia="仿宋" w:cs="仿宋"/>
        </w:rPr>
        <w:t>服务组织和人员</w:t>
      </w:r>
      <w:bookmarkEnd w:id="5"/>
      <w:r>
        <w:rPr>
          <w:rFonts w:hint="eastAsia" w:ascii="仿宋" w:hAnsi="仿宋" w:eastAsia="仿宋" w:cs="仿宋"/>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等保测评服务团队至少配备12名等保服务人员，其中项目负责人1名，测评工程师10名，档案管理员1名。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具体人员要求如下表所示：</w:t>
      </w:r>
    </w:p>
    <w:p>
      <w:pPr>
        <w:pStyle w:val="11"/>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 xml:space="preserve">表 </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STYLEREF 1 \s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六</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SEQ 表 \* ARABIC \s 1 </w:instrText>
      </w:r>
      <w:r>
        <w:rPr>
          <w:rFonts w:hint="eastAsia" w:ascii="方正仿宋_GB2312" w:hAnsi="方正仿宋_GB2312" w:eastAsia="方正仿宋_GB2312" w:cs="方正仿宋_GB2312"/>
        </w:rPr>
        <w:fldChar w:fldCharType="separate"/>
      </w:r>
      <w:r>
        <w:rPr>
          <w:rFonts w:hint="eastAsia" w:ascii="方正仿宋_GB2312" w:hAnsi="方正仿宋_GB2312" w:eastAsia="方正仿宋_GB2312" w:cs="方正仿宋_GB2312"/>
        </w:rPr>
        <w:t>1</w:t>
      </w:r>
      <w:r>
        <w:rPr>
          <w:rFonts w:hint="eastAsia" w:ascii="方正仿宋_GB2312" w:hAnsi="方正仿宋_GB2312" w:eastAsia="方正仿宋_GB2312" w:cs="方正仿宋_GB2312"/>
        </w:rPr>
        <w:fldChar w:fldCharType="end"/>
      </w:r>
      <w:r>
        <w:rPr>
          <w:rFonts w:hint="eastAsia" w:ascii="方正仿宋_GB2312" w:hAnsi="方正仿宋_GB2312" w:eastAsia="方正仿宋_GB2312" w:cs="方正仿宋_GB2312"/>
          <w:lang w:eastAsia="zh-CN"/>
        </w:rPr>
        <w:t xml:space="preserve"> 人员要求</w:t>
      </w:r>
    </w:p>
    <w:p>
      <w:pPr>
        <w:tabs>
          <w:tab w:val="left" w:pos="0"/>
          <w:tab w:val="left" w:pos="900"/>
        </w:tabs>
        <w:ind w:left="480"/>
        <w:rPr>
          <w:rFonts w:hint="eastAsia" w:ascii="仿宋" w:hAnsi="仿宋" w:eastAsia="仿宋" w:cs="仿宋"/>
          <w:sz w:val="24"/>
        </w:rPr>
      </w:pPr>
    </w:p>
    <w:tbl>
      <w:tblPr>
        <w:tblStyle w:val="25"/>
        <w:tblpPr w:leftFromText="180" w:rightFromText="180" w:vertAnchor="text" w:horzAnchor="page" w:tblpX="1970" w:tblpY="316"/>
        <w:tblOverlap w:val="never"/>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02"/>
        <w:gridCol w:w="2799"/>
        <w:gridCol w:w="884"/>
        <w:gridCol w:w="2823"/>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0" w:type="dxa"/>
            <w:shd w:val="clear" w:color="000000" w:fill="auto"/>
            <w:vAlign w:val="center"/>
          </w:tcPr>
          <w:p>
            <w:pPr>
              <w:widowControl/>
              <w:jc w:val="center"/>
              <w:rPr>
                <w:rFonts w:hint="eastAsia" w:ascii="仿宋" w:hAnsi="仿宋" w:eastAsia="仿宋" w:cs="仿宋"/>
                <w:b/>
                <w:bCs/>
                <w:color w:val="000000"/>
                <w:kern w:val="0"/>
                <w:sz w:val="24"/>
                <w:szCs w:val="24"/>
              </w:rPr>
            </w:pPr>
            <w:bookmarkStart w:id="6" w:name="_Toc69194686"/>
            <w:r>
              <w:rPr>
                <w:rFonts w:hint="eastAsia" w:ascii="仿宋" w:hAnsi="仿宋" w:eastAsia="仿宋" w:cs="仿宋"/>
                <w:b/>
                <w:bCs/>
                <w:color w:val="000000"/>
                <w:kern w:val="0"/>
                <w:sz w:val="24"/>
                <w:szCs w:val="24"/>
              </w:rPr>
              <w:t>序号</w:t>
            </w:r>
          </w:p>
        </w:tc>
        <w:tc>
          <w:tcPr>
            <w:tcW w:w="1302" w:type="dxa"/>
            <w:shd w:val="clear" w:color="000000"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角色</w:t>
            </w:r>
          </w:p>
        </w:tc>
        <w:tc>
          <w:tcPr>
            <w:tcW w:w="2799" w:type="dxa"/>
            <w:shd w:val="clear" w:color="000000"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主要职责</w:t>
            </w:r>
          </w:p>
        </w:tc>
        <w:tc>
          <w:tcPr>
            <w:tcW w:w="884" w:type="dxa"/>
            <w:shd w:val="clear" w:color="000000"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人数</w:t>
            </w:r>
          </w:p>
        </w:tc>
        <w:tc>
          <w:tcPr>
            <w:tcW w:w="2823" w:type="dxa"/>
            <w:shd w:val="clear" w:color="000000"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人员要求</w:t>
            </w:r>
          </w:p>
        </w:tc>
        <w:tc>
          <w:tcPr>
            <w:tcW w:w="1243" w:type="dxa"/>
            <w:shd w:val="clear" w:color="000000" w:fill="auto"/>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00" w:type="dxa"/>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1302" w:type="dxa"/>
            <w:noWrap/>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项目负责人</w:t>
            </w:r>
          </w:p>
        </w:tc>
        <w:tc>
          <w:tcPr>
            <w:tcW w:w="2799" w:type="dxa"/>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负责测评项目的整体协调和沟通工作，确保等保测评工作开展过程中的质量、进度和安全管理等</w:t>
            </w:r>
          </w:p>
        </w:tc>
        <w:tc>
          <w:tcPr>
            <w:tcW w:w="884" w:type="dxa"/>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2823" w:type="dxa"/>
            <w:vAlign w:val="center"/>
          </w:tcPr>
          <w:p>
            <w:pPr>
              <w:widowControl/>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具有参与过同类测评项目经验；具有</w:t>
            </w:r>
            <w:r>
              <w:rPr>
                <w:rFonts w:hint="eastAsia" w:ascii="仿宋" w:hAnsi="仿宋" w:eastAsia="仿宋" w:cs="仿宋"/>
                <w:color w:val="000000"/>
                <w:kern w:val="0"/>
                <w:sz w:val="22"/>
                <w:shd w:val="clear"/>
              </w:rPr>
              <w:t>硕士及以</w:t>
            </w:r>
            <w:r>
              <w:rPr>
                <w:rFonts w:hint="eastAsia" w:ascii="仿宋" w:hAnsi="仿宋" w:eastAsia="仿宋" w:cs="仿宋"/>
                <w:color w:val="000000"/>
                <w:kern w:val="0"/>
                <w:sz w:val="22"/>
              </w:rPr>
              <w:t>上学历；具备10年以上网络安全等级保护测评服务工作经验；具备</w:t>
            </w:r>
            <w:r>
              <w:rPr>
                <w:rFonts w:hint="eastAsia" w:ascii="仿宋" w:hAnsi="仿宋" w:eastAsia="仿宋" w:cs="仿宋"/>
                <w:color w:val="000000"/>
                <w:kern w:val="0"/>
                <w:sz w:val="22"/>
                <w:lang w:val="en-US" w:eastAsia="zh-CN"/>
              </w:rPr>
              <w:t>计算机与信息技术应用相关专业</w:t>
            </w:r>
            <w:r>
              <w:rPr>
                <w:rFonts w:hint="eastAsia" w:ascii="仿宋" w:hAnsi="仿宋" w:eastAsia="仿宋" w:cs="仿宋"/>
                <w:color w:val="000000"/>
                <w:kern w:val="0"/>
                <w:sz w:val="22"/>
              </w:rPr>
              <w:t>高级工程师及以上职称;具备</w:t>
            </w:r>
            <w:r>
              <w:rPr>
                <w:rFonts w:hint="eastAsia" w:ascii="仿宋" w:hAnsi="仿宋" w:eastAsia="仿宋" w:cs="仿宋"/>
                <w:color w:val="000000"/>
                <w:kern w:val="0"/>
                <w:sz w:val="22"/>
                <w:lang w:val="en-US" w:eastAsia="zh-CN"/>
              </w:rPr>
              <w:t>网络安全等级测评师证书DJCP</w:t>
            </w:r>
            <w:r>
              <w:rPr>
                <w:rFonts w:hint="eastAsia" w:ascii="仿宋" w:hAnsi="仿宋" w:eastAsia="仿宋" w:cs="仿宋"/>
                <w:color w:val="000000"/>
                <w:kern w:val="0"/>
                <w:sz w:val="22"/>
              </w:rPr>
              <w:t>（高级）证书</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lang w:val="en-US"/>
              </w:rPr>
              <w:t>具有注册信息安</w:t>
            </w:r>
            <w:r>
              <w:rPr>
                <w:rFonts w:hint="eastAsia" w:ascii="仿宋" w:hAnsi="仿宋" w:eastAsia="仿宋" w:cs="仿宋"/>
                <w:color w:val="000000"/>
                <w:kern w:val="0"/>
                <w:sz w:val="22"/>
                <w:szCs w:val="22"/>
                <w:lang w:val="en-US"/>
              </w:rPr>
              <w:t>全专业人员（CISP）资质</w:t>
            </w:r>
          </w:p>
        </w:tc>
        <w:tc>
          <w:tcPr>
            <w:tcW w:w="1243"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Times New Roman"/>
                <w:color w:val="000000" w:themeColor="text1"/>
                <w:szCs w:val="21"/>
                <w14:textFill>
                  <w14:solidFill>
                    <w14:schemeClr w14:val="tx1"/>
                  </w14:solidFill>
                </w14:textFill>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00" w:type="dxa"/>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2</w:t>
            </w:r>
          </w:p>
        </w:tc>
        <w:tc>
          <w:tcPr>
            <w:tcW w:w="1302" w:type="dxa"/>
            <w:noWrap/>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等保测评工程师</w:t>
            </w:r>
          </w:p>
        </w:tc>
        <w:tc>
          <w:tcPr>
            <w:tcW w:w="2799" w:type="dxa"/>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负责网络安全等级保护服务实施测评工作中具体测评工作</w:t>
            </w:r>
          </w:p>
        </w:tc>
        <w:tc>
          <w:tcPr>
            <w:tcW w:w="884" w:type="dxa"/>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2823" w:type="dxa"/>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具有参与过</w:t>
            </w:r>
            <w:r>
              <w:rPr>
                <w:rFonts w:hint="eastAsia" w:ascii="仿宋" w:hAnsi="仿宋" w:eastAsia="仿宋" w:cs="仿宋"/>
                <w:color w:val="000000"/>
                <w:kern w:val="0"/>
                <w:sz w:val="22"/>
                <w:lang w:val="en-US" w:eastAsia="zh-CN"/>
              </w:rPr>
              <w:t>政务行业等保测评类项目</w:t>
            </w:r>
            <w:r>
              <w:rPr>
                <w:rFonts w:hint="eastAsia" w:ascii="仿宋" w:hAnsi="仿宋" w:eastAsia="仿宋" w:cs="仿宋"/>
                <w:color w:val="000000"/>
                <w:kern w:val="0"/>
                <w:sz w:val="22"/>
              </w:rPr>
              <w:t>经验；具有本科及以上学历；具备3年以上网络安全等级保护测评服务工作经验；具备</w:t>
            </w:r>
            <w:r>
              <w:rPr>
                <w:rFonts w:hint="eastAsia" w:ascii="仿宋" w:hAnsi="仿宋" w:eastAsia="仿宋" w:cs="仿宋"/>
                <w:color w:val="000000"/>
                <w:kern w:val="0"/>
                <w:sz w:val="22"/>
                <w:lang w:val="en-US" w:eastAsia="zh-CN"/>
              </w:rPr>
              <w:t>网络安全等级测评师证书DJCP</w:t>
            </w:r>
            <w:r>
              <w:rPr>
                <w:rFonts w:hint="eastAsia" w:ascii="仿宋" w:hAnsi="仿宋" w:eastAsia="仿宋" w:cs="仿宋"/>
                <w:color w:val="000000"/>
                <w:kern w:val="0"/>
                <w:sz w:val="22"/>
              </w:rPr>
              <w:t>（中级）及以上证书</w:t>
            </w:r>
          </w:p>
        </w:tc>
        <w:tc>
          <w:tcPr>
            <w:tcW w:w="1243"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Times New Roman"/>
                <w:color w:val="000000" w:themeColor="text1"/>
                <w:szCs w:val="21"/>
                <w14:textFill>
                  <w14:solidFill>
                    <w14:schemeClr w14:val="tx1"/>
                  </w14:solidFill>
                </w14:textFill>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00" w:type="dxa"/>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3</w:t>
            </w:r>
          </w:p>
        </w:tc>
        <w:tc>
          <w:tcPr>
            <w:tcW w:w="1302" w:type="dxa"/>
            <w:noWrap/>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档案管理员</w:t>
            </w:r>
          </w:p>
        </w:tc>
        <w:tc>
          <w:tcPr>
            <w:tcW w:w="2799" w:type="dxa"/>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负责对项目档案的接收分类、编目等资料档案管理工作</w:t>
            </w:r>
          </w:p>
        </w:tc>
        <w:tc>
          <w:tcPr>
            <w:tcW w:w="884" w:type="dxa"/>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2823" w:type="dxa"/>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具有参与过</w:t>
            </w:r>
            <w:r>
              <w:rPr>
                <w:rFonts w:hint="eastAsia" w:ascii="仿宋" w:hAnsi="仿宋" w:eastAsia="仿宋" w:cs="仿宋"/>
                <w:color w:val="000000"/>
                <w:kern w:val="0"/>
                <w:sz w:val="22"/>
                <w:lang w:val="en-US" w:eastAsia="zh-CN"/>
              </w:rPr>
              <w:t>政务行业等保</w:t>
            </w:r>
            <w:r>
              <w:rPr>
                <w:rFonts w:hint="eastAsia" w:ascii="仿宋" w:hAnsi="仿宋" w:eastAsia="仿宋" w:cs="仿宋"/>
                <w:color w:val="000000"/>
                <w:kern w:val="0"/>
                <w:sz w:val="22"/>
              </w:rPr>
              <w:t>测评</w:t>
            </w:r>
            <w:r>
              <w:rPr>
                <w:rFonts w:hint="eastAsia" w:ascii="仿宋" w:hAnsi="仿宋" w:eastAsia="仿宋" w:cs="仿宋"/>
                <w:color w:val="000000"/>
                <w:kern w:val="0"/>
                <w:sz w:val="22"/>
                <w:lang w:val="en-US" w:eastAsia="zh-CN"/>
              </w:rPr>
              <w:t>类</w:t>
            </w:r>
            <w:r>
              <w:rPr>
                <w:rFonts w:hint="eastAsia" w:ascii="仿宋" w:hAnsi="仿宋" w:eastAsia="仿宋" w:cs="仿宋"/>
                <w:color w:val="000000"/>
                <w:kern w:val="0"/>
                <w:sz w:val="22"/>
              </w:rPr>
              <w:t>项目的文档管理经验</w:t>
            </w:r>
          </w:p>
        </w:tc>
        <w:tc>
          <w:tcPr>
            <w:tcW w:w="1243" w:type="dxa"/>
            <w:vAlign w:val="center"/>
          </w:tcPr>
          <w:p>
            <w:pPr>
              <w:jc w:val="center"/>
              <w:rPr>
                <w:rFonts w:hint="eastAsia"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根据实际需求进行驻场或远程服务</w:t>
            </w:r>
          </w:p>
        </w:tc>
      </w:tr>
    </w:tbl>
    <w:p>
      <w:pPr>
        <w:pStyle w:val="2"/>
        <w:ind w:left="0"/>
        <w:rPr>
          <w:rFonts w:hint="eastAsia" w:ascii="仿宋" w:hAnsi="仿宋" w:eastAsia="仿宋" w:cs="仿宋"/>
        </w:rPr>
      </w:pPr>
      <w:r>
        <w:rPr>
          <w:rFonts w:hint="eastAsia" w:ascii="仿宋" w:hAnsi="仿宋" w:eastAsia="仿宋" w:cs="仿宋"/>
        </w:rPr>
        <w:t>服务提供方</w:t>
      </w:r>
      <w:bookmarkEnd w:id="6"/>
      <w:r>
        <w:rPr>
          <w:rFonts w:hint="eastAsia" w:ascii="仿宋" w:hAnsi="仿宋" w:eastAsia="仿宋" w:cs="仿宋"/>
          <w:lang w:eastAsia="zh-CN"/>
        </w:rPr>
        <w:t>相关要求</w:t>
      </w:r>
    </w:p>
    <w:p>
      <w:pPr>
        <w:ind w:firstLine="560" w:firstLineChars="200"/>
        <w:rPr>
          <w:rFonts w:ascii="仿宋" w:hAnsi="仿宋" w:eastAsia="仿宋" w:cs="仿宋"/>
          <w:sz w:val="28"/>
          <w:szCs w:val="28"/>
        </w:rPr>
      </w:pPr>
      <w:r>
        <w:rPr>
          <w:rFonts w:hint="eastAsia" w:ascii="仿宋" w:hAnsi="仿宋" w:eastAsia="仿宋" w:cs="仿宋"/>
          <w:sz w:val="28"/>
          <w:szCs w:val="28"/>
        </w:rPr>
        <w:t>（一）服务提供方拥有稳定专业的测评团队，实施过类似信息系统安全测评服务项目优先考虑。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（二）供应商具备CCRC信息安全服务资质认证证书且方向为信息安全风险评估</w:t>
      </w:r>
      <w:r>
        <w:rPr>
          <w:rFonts w:hint="eastAsia" w:ascii="仿宋" w:hAnsi="仿宋" w:eastAsia="仿宋" w:cs="仿宋"/>
          <w:sz w:val="28"/>
          <w:szCs w:val="28"/>
          <w:lang w:eastAsia="zh-CN"/>
        </w:rPr>
        <w:t>、CCRC个人信息保护合规审计服务认证证书</w:t>
      </w:r>
      <w:r>
        <w:rPr>
          <w:rFonts w:hint="eastAsia" w:ascii="仿宋" w:hAnsi="仿宋" w:eastAsia="仿宋" w:cs="仿宋"/>
          <w:sz w:val="28"/>
          <w:szCs w:val="28"/>
        </w:rPr>
        <w:t>的优先考虑。</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lang w:eastAsia="zh-CN"/>
        </w:rPr>
        <w:t>供应商应</w:t>
      </w:r>
      <w:r>
        <w:rPr>
          <w:rFonts w:hint="eastAsia" w:ascii="仿宋" w:hAnsi="仿宋" w:eastAsia="仿宋" w:cs="仿宋"/>
          <w:sz w:val="28"/>
          <w:szCs w:val="28"/>
        </w:rPr>
        <w:t>具备</w:t>
      </w:r>
      <w:r>
        <w:rPr>
          <w:rFonts w:hint="eastAsia" w:ascii="仿宋" w:hAnsi="仿宋" w:eastAsia="仿宋" w:cs="仿宋"/>
          <w:sz w:val="28"/>
          <w:szCs w:val="28"/>
          <w:lang w:val="en-US" w:eastAsia="zh-CN"/>
        </w:rPr>
        <w:t>公安部认同的</w:t>
      </w:r>
      <w:r>
        <w:rPr>
          <w:rFonts w:hint="eastAsia" w:ascii="仿宋" w:hAnsi="仿宋" w:eastAsia="仿宋" w:cs="仿宋"/>
          <w:sz w:val="28"/>
          <w:szCs w:val="28"/>
        </w:rPr>
        <w:t>有效的《等级保护测评服务认证》资质证</w:t>
      </w:r>
      <w:r>
        <w:rPr>
          <w:rFonts w:hint="eastAsia" w:ascii="仿宋" w:hAnsi="仿宋" w:eastAsia="仿宋" w:cs="仿宋"/>
          <w:sz w:val="28"/>
          <w:szCs w:val="28"/>
          <w:lang w:val="en-US" w:eastAsia="zh-CN"/>
        </w:rPr>
        <w:t>书。</w:t>
      </w:r>
    </w:p>
    <w:p>
      <w:pPr>
        <w:pStyle w:val="2"/>
        <w:ind w:left="0"/>
        <w:rPr>
          <w:rFonts w:hint="eastAsia" w:ascii="仿宋" w:hAnsi="仿宋" w:eastAsia="仿宋" w:cs="仿宋"/>
          <w:lang w:eastAsia="zh-CN"/>
        </w:rPr>
      </w:pPr>
      <w:r>
        <w:rPr>
          <w:rFonts w:hint="eastAsia" w:ascii="仿宋" w:hAnsi="仿宋" w:eastAsia="仿宋" w:cs="仿宋"/>
          <w:lang w:eastAsia="zh-CN"/>
        </w:rPr>
        <w:t>测评工具</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1.测评中使用业务管理平台落实全流程管理的优先考虑。</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2.测评中提供覆盖项目测试范围的测评工具，包括应用扫描工具、主机扫描工具、数据库扫描工具及渗透测试工具中3个类别的优先考虑。</w:t>
      </w:r>
    </w:p>
    <w:p>
      <w:pPr>
        <w:pStyle w:val="2"/>
        <w:ind w:left="0"/>
        <w:rPr>
          <w:rFonts w:hint="eastAsia" w:ascii="仿宋" w:hAnsi="仿宋" w:eastAsia="仿宋" w:cs="仿宋"/>
          <w:bCs w:val="0"/>
          <w:szCs w:val="32"/>
        </w:rPr>
      </w:pPr>
      <w:bookmarkStart w:id="7" w:name="_Toc67249662"/>
      <w:bookmarkStart w:id="8" w:name="_Toc38354903"/>
      <w:bookmarkStart w:id="9" w:name="_Toc69194690"/>
      <w:r>
        <w:rPr>
          <w:rFonts w:hint="eastAsia" w:ascii="仿宋" w:hAnsi="仿宋" w:eastAsia="仿宋" w:cs="仿宋"/>
          <w:bCs w:val="0"/>
          <w:szCs w:val="32"/>
        </w:rPr>
        <w:t>应急服务</w:t>
      </w:r>
      <w:bookmarkEnd w:id="7"/>
    </w:p>
    <w:p>
      <w:pPr>
        <w:pStyle w:val="3"/>
        <w:rPr>
          <w:rFonts w:hint="eastAsia" w:ascii="仿宋" w:hAnsi="仿宋" w:cs="仿宋"/>
          <w:bCs w:val="0"/>
          <w:szCs w:val="28"/>
        </w:rPr>
      </w:pPr>
      <w:r>
        <w:rPr>
          <w:rFonts w:hint="eastAsia" w:ascii="仿宋" w:hAnsi="仿宋" w:cs="仿宋"/>
          <w:bCs w:val="0"/>
          <w:szCs w:val="28"/>
        </w:rPr>
        <w:t>编制应急预案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为了避免测评工作引入新的安全风险，服务方应紧密结合等保测评实际情况，在正式启动网络安全等级保护测评工作前精心编制应急预案，应在风险揭示、工具验证、连续性考虑和工作纪律等方面进行风险规避。</w:t>
      </w:r>
    </w:p>
    <w:p>
      <w:pPr>
        <w:pStyle w:val="3"/>
        <w:rPr>
          <w:rFonts w:hint="eastAsia" w:ascii="仿宋" w:hAnsi="仿宋" w:cs="仿宋"/>
          <w:bCs w:val="0"/>
          <w:szCs w:val="28"/>
        </w:rPr>
      </w:pPr>
      <w:r>
        <w:rPr>
          <w:rFonts w:hint="eastAsia" w:ascii="仿宋" w:hAnsi="仿宋" w:cs="仿宋"/>
          <w:bCs w:val="0"/>
          <w:szCs w:val="28"/>
        </w:rPr>
        <w:t>应急响应要求</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1、服务提供方坚持主动预防、迅速高效的原则，紧密结合实际情况，精心编制并持续完善应急措施。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2、依据故障时间及故障范围划分故障级别，故障级别分为四级，依次为Ⅰ级（紧急）、Ⅱ级（严重）、Ⅲ级（较大）和Ⅳ级（一般），分别定义如下：</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Ⅰ级（紧急）故障为工作时间段（8：30——17：30）内大范围故障；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Ⅱ级（严重）故障为非工作时间段（17：30——次日8：30）内大范围故障；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Ⅲ级（较大）故障为工作时间段（8：30——17：30）内小范围故障；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Ⅳ级（一般）故障为非工作时间段（17：30——次日8：30）内小范围故障；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当：</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a、发生Ⅰ级（紧急）故障后0.5小时内无法通过电话或远程支持服务排除故障，如采购人要求提供现场支持，服务提供方应2小时内到达用户现场；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b、发生Ⅱ级（严重）故障后0.5小时内无法通过电话或远程支持服务排除故障，如采购人要求提供现场支持，服务提供方应3小时内到达用户现场；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c、发生Ⅲ级（较大）故障后1小时内无法通过电话或远程支持服务排除故障，如采购人要求提供现场支持，服务提供方应3小时内到达用户现场；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d、发生Ⅳ级（一般）故障后1小时内无法通过电话或远程支持服务排除故障，如采购人要求提供现场支持，服务提供方应4小时内到达用户现场。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3、如发生故障，服务提供方应严格按照制定的应急预案中故障处理流程实施故障排除操作。</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4、当故障排除操作全部完成后，服务提供方应向采购单位提交故障报告，经采购单位验证通过后签字确认并归档保存，同时组织更新相关文档。</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5、如遇有重大事件（包括汛期、节假日、政治军事活动等），服务提供方应科学编制安全保障方案，并根据采购单位需要提供现场保障服务。</w:t>
      </w:r>
    </w:p>
    <w:p>
      <w:pPr>
        <w:pStyle w:val="2"/>
        <w:ind w:left="0"/>
        <w:rPr>
          <w:rFonts w:hint="eastAsia" w:ascii="仿宋" w:hAnsi="仿宋" w:eastAsia="仿宋" w:cs="仿宋"/>
          <w:bCs w:val="0"/>
          <w:szCs w:val="32"/>
        </w:rPr>
      </w:pPr>
      <w:r>
        <w:rPr>
          <w:rFonts w:hint="eastAsia" w:ascii="仿宋" w:hAnsi="仿宋" w:eastAsia="仿宋" w:cs="仿宋"/>
          <w:bCs w:val="0"/>
          <w:szCs w:val="32"/>
        </w:rPr>
        <w:t>备份与恢复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服务提供方在开展</w:t>
      </w:r>
      <w:r>
        <w:rPr>
          <w:rFonts w:hint="eastAsia" w:ascii="仿宋" w:hAnsi="仿宋" w:eastAsia="仿宋" w:cs="仿宋"/>
          <w:sz w:val="28"/>
          <w:szCs w:val="28"/>
        </w:rPr>
        <w:t>等保测评</w:t>
      </w:r>
      <w:r>
        <w:rPr>
          <w:rFonts w:ascii="仿宋" w:hAnsi="仿宋" w:eastAsia="仿宋" w:cs="仿宋"/>
          <w:sz w:val="28"/>
          <w:szCs w:val="28"/>
        </w:rPr>
        <w:t>及相关服务前，需告知用户信息系统可能遇到的数据安全风险，提示用户做好数据备份与恢复工作。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服务提供方需配合用户采取应对措施以规避服务过程中可能出现的信息系统数据安全风险。</w:t>
      </w:r>
    </w:p>
    <w:p>
      <w:pPr>
        <w:pStyle w:val="2"/>
        <w:ind w:left="0"/>
        <w:rPr>
          <w:rFonts w:hint="eastAsia" w:ascii="仿宋" w:hAnsi="仿宋" w:eastAsia="仿宋" w:cs="仿宋"/>
          <w:bCs w:val="0"/>
          <w:szCs w:val="32"/>
        </w:rPr>
      </w:pPr>
      <w:r>
        <w:rPr>
          <w:rFonts w:hint="eastAsia" w:ascii="仿宋" w:hAnsi="仿宋" w:eastAsia="仿宋" w:cs="仿宋"/>
          <w:bCs w:val="0"/>
          <w:szCs w:val="32"/>
        </w:rPr>
        <w:t>网络和数据安全管理要求</w:t>
      </w:r>
    </w:p>
    <w:p>
      <w:pPr>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rPr>
        <w:t>服务提供方在提供</w:t>
      </w:r>
      <w:r>
        <w:rPr>
          <w:rFonts w:hint="eastAsia" w:ascii="仿宋_GB2312" w:hAnsi="仿宋" w:eastAsia="仿宋_GB2312" w:cs="仿宋"/>
          <w:sz w:val="28"/>
          <w:szCs w:val="28"/>
          <w:lang w:val="en-US" w:eastAsia="zh-CN"/>
        </w:rPr>
        <w:t>测评</w:t>
      </w:r>
      <w:r>
        <w:rPr>
          <w:rFonts w:hint="eastAsia" w:ascii="仿宋_GB2312" w:hAnsi="仿宋" w:eastAsia="仿宋_GB2312" w:cs="仿宋"/>
          <w:sz w:val="28"/>
          <w:szCs w:val="28"/>
        </w:rPr>
        <w:t>服务过程中应严格按照“同步规划、同步建设、同步使用”原则落实项目安全技术措施，</w:t>
      </w:r>
      <w:r>
        <w:rPr>
          <w:rFonts w:hint="eastAsia" w:ascii="仿宋_GB2312" w:hAnsi="仿宋" w:eastAsia="仿宋_GB2312" w:cs="仿宋"/>
          <w:sz w:val="28"/>
          <w:szCs w:val="28"/>
          <w:highlight w:val="none"/>
        </w:rPr>
        <w:t>将系统安全运营相关监控措施纳入方案。</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若运维项目为涉密项目，服务提供方还须参考市保密部门管理要求，严格按照国家《中华人民共和国保守国家秘密法》等相关保密法律法规进行管理，并接受中心保密延伸检查。</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1、在提供</w:t>
      </w:r>
      <w:r>
        <w:rPr>
          <w:rFonts w:hint="eastAsia" w:ascii="仿宋_GB2312" w:hAnsi="仿宋" w:eastAsia="仿宋_GB2312" w:cs="仿宋"/>
          <w:sz w:val="28"/>
          <w:szCs w:val="28"/>
          <w:lang w:val="en-US" w:eastAsia="zh-CN"/>
        </w:rPr>
        <w:t>测评</w:t>
      </w:r>
      <w:r>
        <w:rPr>
          <w:rFonts w:hint="eastAsia" w:ascii="仿宋_GB2312" w:hAnsi="仿宋" w:eastAsia="仿宋_GB2312" w:cs="仿宋"/>
          <w:sz w:val="28"/>
          <w:szCs w:val="28"/>
        </w:rPr>
        <w:t>服务过程中，服务提供方应在中心限定的办公区域内、访问或使用中心限定的信息资产（包括但不限于场地办公设施、计算机、服务器等），并在规定的安全环境中进行数据处理、开发测试、运维监控等活动，遵守环境安全监控的要求，在开发测试工作中，不得使用真实生产数据、不得越级操作；</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2、提供</w:t>
      </w:r>
      <w:r>
        <w:rPr>
          <w:rFonts w:hint="eastAsia" w:ascii="仿宋_GB2312" w:hAnsi="仿宋" w:eastAsia="仿宋_GB2312" w:cs="仿宋"/>
          <w:sz w:val="28"/>
          <w:szCs w:val="28"/>
          <w:lang w:val="en-US" w:eastAsia="zh-CN"/>
        </w:rPr>
        <w:t>测评</w:t>
      </w:r>
      <w:r>
        <w:rPr>
          <w:rFonts w:hint="eastAsia" w:ascii="仿宋_GB2312" w:hAnsi="仿宋" w:eastAsia="仿宋_GB2312" w:cs="仿宋"/>
          <w:sz w:val="28"/>
          <w:szCs w:val="28"/>
        </w:rPr>
        <w:t>服务过程中若涉及开源软件、组件等产品的使用，服务提供方应在使用前向中心提供项目涉及产品的完整清单，并附相应产品的漏洞扫描报告、安全评估报告等证明材料，审核通过后方可使用；</w:t>
      </w:r>
    </w:p>
    <w:p>
      <w:pPr>
        <w:ind w:firstLine="560" w:firstLineChars="200"/>
        <w:rPr>
          <w:rFonts w:hint="eastAsia" w:ascii="仿宋_GB2312" w:hAnsi="仿宋" w:eastAsia="仿宋_GB2312" w:cs="仿宋"/>
          <w:sz w:val="28"/>
          <w:szCs w:val="28"/>
          <w:highlight w:val="yellow"/>
          <w:lang w:eastAsia="zh-CN"/>
        </w:rPr>
      </w:pPr>
      <w:r>
        <w:rPr>
          <w:rFonts w:hint="eastAsia" w:ascii="仿宋_GB2312" w:hAnsi="仿宋" w:eastAsia="仿宋_GB2312" w:cs="仿宋"/>
          <w:sz w:val="28"/>
          <w:szCs w:val="28"/>
        </w:rPr>
        <w:t>3、服务提供方提供</w:t>
      </w:r>
      <w:r>
        <w:rPr>
          <w:rFonts w:hint="eastAsia" w:ascii="仿宋_GB2312" w:hAnsi="仿宋" w:eastAsia="仿宋_GB2312" w:cs="仿宋"/>
          <w:sz w:val="28"/>
          <w:szCs w:val="28"/>
          <w:lang w:val="en-US" w:eastAsia="zh-CN"/>
        </w:rPr>
        <w:t>测评</w:t>
      </w:r>
      <w:r>
        <w:rPr>
          <w:rFonts w:hint="eastAsia" w:ascii="仿宋_GB2312" w:hAnsi="仿宋" w:eastAsia="仿宋_GB2312" w:cs="仿宋"/>
          <w:sz w:val="28"/>
          <w:szCs w:val="28"/>
        </w:rPr>
        <w:t>服务过程中须保障现有系统的网络通畅、系统可用和数据安全。严格落实网络和数据安全防护能力、密码应用、信创应用等运维、运营工作要求</w:t>
      </w:r>
      <w:r>
        <w:rPr>
          <w:rFonts w:hint="eastAsia" w:ascii="仿宋_GB2312" w:hAnsi="仿宋" w:eastAsia="仿宋_GB2312" w:cs="仿宋"/>
          <w:sz w:val="28"/>
          <w:szCs w:val="28"/>
          <w:lang w:val="en-US" w:eastAsia="zh-CN"/>
        </w:rPr>
        <w:t>;</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rPr>
        <w:t>、服务提供方须提供自身的网络与数据安全管理制度、保密管理制度，并在</w:t>
      </w:r>
      <w:r>
        <w:rPr>
          <w:rFonts w:hint="eastAsia" w:ascii="仿宋_GB2312" w:hAnsi="仿宋" w:eastAsia="仿宋_GB2312" w:cs="仿宋"/>
          <w:sz w:val="28"/>
          <w:szCs w:val="28"/>
          <w:lang w:eastAsia="zh-CN"/>
        </w:rPr>
        <w:t>成交后</w:t>
      </w:r>
      <w:r>
        <w:rPr>
          <w:rFonts w:hint="eastAsia" w:ascii="仿宋_GB2312" w:hAnsi="仿宋" w:eastAsia="仿宋_GB2312" w:cs="仿宋"/>
          <w:sz w:val="28"/>
          <w:szCs w:val="28"/>
        </w:rPr>
        <w:t>提供人员、财务及安全管理情况报告，发生造成中心及项目受影响的变动，应及时向中心报告；</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、服务提供方</w:t>
      </w:r>
      <w:r>
        <w:rPr>
          <w:rFonts w:hint="eastAsia" w:ascii="仿宋_GB2312" w:hAnsi="仿宋" w:eastAsia="仿宋_GB2312" w:cs="仿宋"/>
          <w:sz w:val="28"/>
          <w:szCs w:val="28"/>
          <w:lang w:eastAsia="zh-CN"/>
        </w:rPr>
        <w:t>成交后</w:t>
      </w:r>
      <w:r>
        <w:rPr>
          <w:rFonts w:hint="eastAsia" w:ascii="仿宋_GB2312" w:hAnsi="仿宋" w:eastAsia="仿宋_GB2312" w:cs="仿宋"/>
          <w:sz w:val="28"/>
          <w:szCs w:val="28"/>
        </w:rPr>
        <w:t>与中心签订保密协议，同时服务提供方应对项目相关人员开展安全培训，并与该项目人员的签订保密协议，且保证用于项目实施工作的相关终端安装正版杀毒软件及防火墙；</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、提供</w:t>
      </w:r>
      <w:r>
        <w:rPr>
          <w:rFonts w:hint="eastAsia" w:ascii="仿宋_GB2312" w:hAnsi="仿宋" w:eastAsia="仿宋_GB2312" w:cs="仿宋"/>
          <w:sz w:val="28"/>
          <w:szCs w:val="28"/>
          <w:lang w:val="en-US" w:eastAsia="zh-CN"/>
        </w:rPr>
        <w:t>测评</w:t>
      </w:r>
      <w:r>
        <w:rPr>
          <w:rFonts w:hint="eastAsia" w:ascii="仿宋_GB2312" w:hAnsi="仿宋" w:eastAsia="仿宋_GB2312" w:cs="仿宋"/>
          <w:sz w:val="28"/>
          <w:szCs w:val="28"/>
        </w:rPr>
        <w:t>服务过程中，服务提供方需要对收集到的所有信息严格管理，严禁在网络上传播、散布和出售，牟取商业利益；服务提供方人员不得以任何方式泄露、公开或传播项目涉及的内容及成果；不得非法篡改数据、非法入侵中心网络，不得影响数据的完整性及可用性；不得留存任何安全风险隐患；参与项目建设与质保、维修的个人，不得私自拷贝和留存上述信息副本；</w:t>
      </w:r>
    </w:p>
    <w:p>
      <w:pPr>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lang w:val="en-US" w:eastAsia="zh-CN"/>
        </w:rPr>
        <w:t>7</w:t>
      </w:r>
      <w:r>
        <w:rPr>
          <w:rFonts w:hint="eastAsia" w:ascii="仿宋_GB2312" w:hAnsi="仿宋" w:eastAsia="仿宋_GB2312" w:cs="仿宋"/>
          <w:sz w:val="28"/>
          <w:szCs w:val="28"/>
          <w:highlight w:val="none"/>
        </w:rPr>
        <w:t>、指定专人负责项目实施过程中的安全工作，接受中心数据安全部门的直接管理和考核，协助开展安全检查等工作；</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8</w:t>
      </w:r>
      <w:r>
        <w:rPr>
          <w:rFonts w:hint="eastAsia" w:ascii="仿宋_GB2312" w:hAnsi="仿宋" w:eastAsia="仿宋_GB2312" w:cs="仿宋"/>
          <w:sz w:val="28"/>
          <w:szCs w:val="28"/>
        </w:rPr>
        <w:t>、服务提供方若需互联网端功能测试，应经中心批准同意，结束后应及时关闭测试系统，删除测试数据，并将结果及时报备中心；</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lang w:val="en-US" w:eastAsia="zh-CN"/>
        </w:rPr>
        <w:t>9</w:t>
      </w:r>
      <w:r>
        <w:rPr>
          <w:rFonts w:hint="eastAsia" w:ascii="仿宋_GB2312" w:hAnsi="仿宋" w:eastAsia="仿宋_GB2312" w:cs="仿宋"/>
          <w:sz w:val="28"/>
          <w:szCs w:val="28"/>
        </w:rPr>
        <w:t>、服务提供方通过项目获取到的中心数据禁止超过合同限定范围使用，以及违规转发第三方；</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、服务提供方应按中心规定申请数据服务接口，加强认证和鉴权防护，保护中心敏感数据不被泄露；</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w:t>
      </w:r>
      <w:r>
        <w:rPr>
          <w:rFonts w:hint="eastAsia" w:ascii="仿宋_GB2312" w:hAnsi="仿宋" w:eastAsia="仿宋_GB2312" w:cs="仿宋"/>
          <w:sz w:val="28"/>
          <w:szCs w:val="28"/>
          <w:lang w:val="en-US" w:eastAsia="zh-CN"/>
        </w:rPr>
        <w:t>1</w:t>
      </w:r>
      <w:r>
        <w:rPr>
          <w:rFonts w:hint="eastAsia" w:ascii="仿宋_GB2312" w:hAnsi="仿宋" w:eastAsia="仿宋_GB2312" w:cs="仿宋"/>
          <w:sz w:val="28"/>
          <w:szCs w:val="28"/>
        </w:rPr>
        <w:t>、服务提供方禁止将管理后台、数据库服务端口暴露在互联网；</w:t>
      </w:r>
    </w:p>
    <w:p>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加强对项目人员的安全管理。进入项目前，项目人员应参加安全培训并通过考核，接受背景调查，提供本人无犯罪记录证明，与中心签订保密协议。入场前，项目人员应填写入场申请，按需申请系统账号、云桌面账号和工位。入场后，项目人员应在中心规定的安全环境中进行数据处理、开发测试等活动，遵守环境安全监控的要求，禁止共用账号、拍照等。在开发测试工作中，依据要求将生产数据脱敏使用，禁止将生产数据导入个人电脑、将中心代码或敏感数据泄露或公开。禁止个人私自搭服务端和共享网络、终端跨互联网和政务外网。禁止在互联网传输中心敏感文件。非驻场人员，按需提出入网申请，并安装终端管理工具。禁止将中心数据在个人电脑上留存使用，因需求调研或设计获取数据的，禁止将中心敏感数据外发，或存储在共有云上，数据使用后应进行销毁。</w:t>
      </w:r>
    </w:p>
    <w:p>
      <w:pPr>
        <w:ind w:firstLine="560" w:firstLineChars="200"/>
        <w:rPr>
          <w:rFonts w:hint="eastAsia" w:ascii="仿宋" w:hAnsi="仿宋" w:eastAsia="仿宋" w:cs="仿宋"/>
          <w:sz w:val="28"/>
          <w:szCs w:val="28"/>
        </w:rPr>
      </w:pPr>
      <w:r>
        <w:rPr>
          <w:rFonts w:hint="eastAsia" w:ascii="仿宋_GB2312" w:hAnsi="仿宋" w:eastAsia="仿宋_GB2312" w:cs="仿宋"/>
          <w:sz w:val="28"/>
          <w:szCs w:val="28"/>
          <w:highlight w:val="none"/>
          <w:lang w:val="en-US" w:eastAsia="zh-CN"/>
        </w:rPr>
        <w:t>13、</w:t>
      </w:r>
      <w:r>
        <w:rPr>
          <w:rFonts w:hint="eastAsia" w:ascii="仿宋_GB2312" w:hAnsi="仿宋" w:eastAsia="仿宋_GB2312" w:cs="仿宋"/>
          <w:sz w:val="28"/>
          <w:szCs w:val="28"/>
          <w:highlight w:val="none"/>
        </w:rPr>
        <w:t>服务提供方</w:t>
      </w:r>
      <w:r>
        <w:rPr>
          <w:rFonts w:hint="eastAsia" w:ascii="仿宋_GB2312" w:hAnsi="仿宋" w:eastAsia="仿宋_GB2312" w:cs="仿宋"/>
          <w:color w:val="auto"/>
          <w:sz w:val="28"/>
          <w:szCs w:val="28"/>
          <w:highlight w:val="none"/>
          <w:lang w:val="en-US" w:eastAsia="zh-CN"/>
        </w:rPr>
        <w:t>应按照甲方场地及人员管理制度，加强人员管理，并配合甲方落实人员背调、入离场、终端管理、网络限制、数据权限最小化等管控措施。</w:t>
      </w:r>
    </w:p>
    <w:bookmarkEnd w:id="8"/>
    <w:p>
      <w:pPr>
        <w:pStyle w:val="2"/>
        <w:shd w:val="clear"/>
        <w:ind w:left="0"/>
        <w:rPr>
          <w:rFonts w:hint="eastAsia" w:ascii="仿宋" w:hAnsi="仿宋" w:eastAsia="仿宋" w:cs="仿宋"/>
          <w:highlight w:val="none"/>
        </w:rPr>
      </w:pPr>
      <w:r>
        <w:rPr>
          <w:rFonts w:ascii="仿宋" w:hAnsi="仿宋" w:eastAsia="仿宋" w:cs="仿宋"/>
          <w:highlight w:val="none"/>
        </w:rPr>
        <w:t>网络和数据安全处罚措施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如供应商在服务周期内发生网络和数据安全工作违约情况，对中心系统造成网络安全或数据安全影响的，按照引发的安全事件等级和次数，中心将采取以下处罚措施，具体处罚措施由中心安全管理部门确定：</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（1）限期整改；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（2）约谈企业负责人；</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）上报主管部门，必要时终止项目合同并追究相关刑事责任。</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供应商应承担服务过程中出现赔偿责任（包括但不限于直接损失、间接损失、律师费、诉讼费/仲裁费、调查费、公证费、保全保险费/担保费）。</w:t>
      </w:r>
    </w:p>
    <w:p>
      <w:pPr>
        <w:spacing w:line="560" w:lineRule="exact"/>
        <w:ind w:firstLine="560" w:firstLineChars="200"/>
        <w:rPr>
          <w:rFonts w:hint="default" w:ascii="仿宋" w:hAnsi="仿宋" w:eastAsia="仿宋" w:cs="仿宋"/>
          <w:sz w:val="28"/>
          <w:szCs w:val="28"/>
        </w:rPr>
      </w:pPr>
      <w:r>
        <w:rPr>
          <w:rFonts w:hint="eastAsia" w:ascii="仿宋" w:hAnsi="仿宋" w:eastAsia="仿宋" w:cs="仿宋"/>
          <w:sz w:val="28"/>
          <w:szCs w:val="28"/>
        </w:rPr>
        <w:t>事件类型与等级及与之相应的处罚措施详见附表。</w:t>
      </w:r>
    </w:p>
    <w:p>
      <w:pPr>
        <w:pStyle w:val="2"/>
        <w:ind w:left="0"/>
        <w:rPr>
          <w:rFonts w:ascii="仿宋" w:hAnsi="仿宋" w:eastAsia="仿宋" w:cs="仿宋"/>
        </w:rPr>
      </w:pPr>
      <w:r>
        <w:rPr>
          <w:rFonts w:hint="eastAsia" w:ascii="仿宋" w:hAnsi="仿宋" w:eastAsia="仿宋" w:cs="仿宋"/>
        </w:rPr>
        <w:t>保密责任</w:t>
      </w:r>
    </w:p>
    <w:p>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成交供应商</w:t>
      </w:r>
      <w:r>
        <w:rPr>
          <w:rFonts w:hint="eastAsia" w:ascii="仿宋" w:hAnsi="仿宋" w:eastAsia="仿宋" w:cs="仿宋"/>
          <w:sz w:val="28"/>
          <w:szCs w:val="28"/>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ascii="仿宋" w:hAnsi="仿宋" w:eastAsia="仿宋" w:cs="仿宋"/>
          <w:sz w:val="28"/>
          <w:szCs w:val="28"/>
          <w:lang w:eastAsia="zh-CN"/>
        </w:rPr>
        <w:t>成交供应商</w:t>
      </w:r>
      <w:r>
        <w:rPr>
          <w:rFonts w:hint="eastAsia" w:ascii="仿宋" w:hAnsi="仿宋" w:eastAsia="仿宋" w:cs="仿宋"/>
          <w:sz w:val="28"/>
          <w:szCs w:val="28"/>
        </w:rPr>
        <w:t>不得对外泄露采购人要求保密的信息，不得用于其他用途，否则</w:t>
      </w:r>
      <w:r>
        <w:rPr>
          <w:rFonts w:hint="eastAsia" w:ascii="仿宋" w:hAnsi="仿宋" w:eastAsia="仿宋" w:cs="仿宋"/>
          <w:sz w:val="28"/>
          <w:szCs w:val="28"/>
          <w:lang w:eastAsia="zh-CN"/>
        </w:rPr>
        <w:t>成交供应商</w:t>
      </w:r>
      <w:r>
        <w:rPr>
          <w:rFonts w:hint="eastAsia" w:ascii="仿宋" w:hAnsi="仿宋" w:eastAsia="仿宋" w:cs="仿宋"/>
          <w:sz w:val="28"/>
          <w:szCs w:val="28"/>
        </w:rPr>
        <w:t>需承担由此引起的法律责任和经济责任，包括但不限于直接损失、间接损失、律师费、诉讼费/仲裁费、调查费、公证费等。</w:t>
      </w:r>
    </w:p>
    <w:p>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成交供应商</w:t>
      </w:r>
      <w:r>
        <w:rPr>
          <w:rFonts w:hint="eastAsia" w:ascii="仿宋" w:hAnsi="仿宋" w:eastAsia="仿宋" w:cs="仿宋"/>
          <w:sz w:val="28"/>
          <w:szCs w:val="28"/>
        </w:rPr>
        <w:t>应采取必要的有效措施保证其参与本项目的人员（包括</w:t>
      </w:r>
      <w:r>
        <w:rPr>
          <w:rFonts w:hint="eastAsia" w:ascii="仿宋" w:hAnsi="仿宋" w:eastAsia="仿宋" w:cs="仿宋"/>
          <w:sz w:val="28"/>
          <w:szCs w:val="28"/>
          <w:lang w:eastAsia="zh-CN"/>
        </w:rPr>
        <w:t>成交供应商</w:t>
      </w:r>
      <w:r>
        <w:rPr>
          <w:rFonts w:hint="eastAsia" w:ascii="仿宋" w:hAnsi="仿宋" w:eastAsia="仿宋" w:cs="仿宋"/>
          <w:sz w:val="28"/>
          <w:szCs w:val="28"/>
        </w:rPr>
        <w:t>聘用的人员、借调的人员、实习的人员）无论是在职或离职后，以及</w:t>
      </w:r>
      <w:r>
        <w:rPr>
          <w:rFonts w:hint="eastAsia" w:ascii="仿宋" w:hAnsi="仿宋" w:eastAsia="仿宋" w:cs="仿宋"/>
          <w:sz w:val="28"/>
          <w:szCs w:val="28"/>
          <w:lang w:eastAsia="zh-CN"/>
        </w:rPr>
        <w:t>成交供应商</w:t>
      </w:r>
      <w:r>
        <w:rPr>
          <w:rFonts w:hint="eastAsia" w:ascii="仿宋" w:hAnsi="仿宋" w:eastAsia="仿宋" w:cs="仿宋"/>
          <w:sz w:val="28"/>
          <w:szCs w:val="28"/>
        </w:rPr>
        <w:t>的合作方无论是合作中或合作终止后，都能够履行本项目约定的保密义务。若</w:t>
      </w:r>
      <w:r>
        <w:rPr>
          <w:rFonts w:hint="eastAsia" w:ascii="仿宋" w:hAnsi="仿宋" w:eastAsia="仿宋" w:cs="仿宋"/>
          <w:sz w:val="28"/>
          <w:szCs w:val="28"/>
          <w:lang w:eastAsia="zh-CN"/>
        </w:rPr>
        <w:t>成交供应商</w:t>
      </w:r>
      <w:r>
        <w:rPr>
          <w:rFonts w:hint="eastAsia" w:ascii="仿宋" w:hAnsi="仿宋" w:eastAsia="仿宋" w:cs="仿宋"/>
          <w:sz w:val="28"/>
          <w:szCs w:val="28"/>
        </w:rPr>
        <w:t>人员或</w:t>
      </w:r>
      <w:r>
        <w:rPr>
          <w:rFonts w:hint="eastAsia" w:ascii="仿宋" w:hAnsi="仿宋" w:eastAsia="仿宋" w:cs="仿宋"/>
          <w:sz w:val="28"/>
          <w:szCs w:val="28"/>
          <w:lang w:eastAsia="zh-CN"/>
        </w:rPr>
        <w:t>成交供应商</w:t>
      </w:r>
      <w:r>
        <w:rPr>
          <w:rFonts w:hint="eastAsia" w:ascii="仿宋" w:hAnsi="仿宋" w:eastAsia="仿宋" w:cs="仿宋"/>
          <w:sz w:val="28"/>
          <w:szCs w:val="28"/>
        </w:rPr>
        <w:t>合作方违反保密规定，</w:t>
      </w:r>
      <w:r>
        <w:rPr>
          <w:rFonts w:hint="eastAsia" w:ascii="仿宋" w:hAnsi="仿宋" w:eastAsia="仿宋" w:cs="仿宋"/>
          <w:sz w:val="28"/>
          <w:szCs w:val="28"/>
          <w:lang w:eastAsia="zh-CN"/>
        </w:rPr>
        <w:t>成交供应商</w:t>
      </w:r>
      <w:r>
        <w:rPr>
          <w:rFonts w:hint="eastAsia" w:ascii="仿宋" w:hAnsi="仿宋" w:eastAsia="仿宋" w:cs="仿宋"/>
          <w:sz w:val="28"/>
          <w:szCs w:val="28"/>
        </w:rPr>
        <w:t>应承担连带责任。</w:t>
      </w:r>
    </w:p>
    <w:p>
      <w:pPr>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成交供应商</w:t>
      </w:r>
      <w:r>
        <w:rPr>
          <w:rFonts w:hint="eastAsia" w:ascii="仿宋" w:hAnsi="仿宋" w:eastAsia="仿宋" w:cs="仿宋"/>
          <w:sz w:val="28"/>
          <w:szCs w:val="28"/>
        </w:rPr>
        <w:t>（含</w:t>
      </w:r>
      <w:r>
        <w:rPr>
          <w:rFonts w:hint="eastAsia" w:ascii="仿宋" w:hAnsi="仿宋" w:eastAsia="仿宋" w:cs="仿宋"/>
          <w:sz w:val="28"/>
          <w:szCs w:val="28"/>
          <w:lang w:eastAsia="zh-CN"/>
        </w:rPr>
        <w:t>成交供应商</w:t>
      </w:r>
      <w:r>
        <w:rPr>
          <w:rFonts w:hint="eastAsia" w:ascii="仿宋" w:hAnsi="仿宋" w:eastAsia="仿宋" w:cs="仿宋"/>
          <w:sz w:val="28"/>
          <w:szCs w:val="28"/>
        </w:rPr>
        <w:t>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pPr>
        <w:ind w:firstLine="560" w:firstLineChars="200"/>
        <w:rPr>
          <w:rFonts w:ascii="仿宋" w:hAnsi="仿宋" w:eastAsia="仿宋" w:cs="仿宋"/>
          <w:sz w:val="28"/>
          <w:szCs w:val="28"/>
        </w:rPr>
      </w:pPr>
      <w:r>
        <w:rPr>
          <w:rFonts w:hint="eastAsia" w:ascii="仿宋" w:hAnsi="仿宋" w:eastAsia="仿宋" w:cs="仿宋"/>
          <w:sz w:val="28"/>
          <w:szCs w:val="28"/>
        </w:rPr>
        <w:t>4、以上内容的保密期限自</w:t>
      </w:r>
      <w:r>
        <w:rPr>
          <w:rFonts w:hint="eastAsia" w:ascii="仿宋" w:hAnsi="仿宋" w:eastAsia="仿宋" w:cs="仿宋"/>
          <w:sz w:val="28"/>
          <w:szCs w:val="28"/>
          <w:lang w:eastAsia="zh-CN"/>
        </w:rPr>
        <w:t>成交供应商</w:t>
      </w:r>
      <w:r>
        <w:rPr>
          <w:rFonts w:hint="eastAsia" w:ascii="仿宋" w:hAnsi="仿宋" w:eastAsia="仿宋" w:cs="仿宋"/>
          <w:sz w:val="28"/>
          <w:szCs w:val="28"/>
        </w:rPr>
        <w:t>知悉保密信息起始至保密信息被合法公开之日止。</w:t>
      </w:r>
    </w:p>
    <w:p>
      <w:pPr>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成交供应商</w:t>
      </w:r>
      <w:r>
        <w:rPr>
          <w:rFonts w:hint="eastAsia" w:ascii="仿宋" w:hAnsi="仿宋" w:eastAsia="仿宋" w:cs="仿宋"/>
          <w:sz w:val="28"/>
          <w:szCs w:val="28"/>
        </w:rPr>
        <w:t>对采购人提供的临时使用账号要保密，不得公开，对组件开发的账号密码需进行加密，避免信息安全的泄露。未经采购人的同意不得利用采购人的网络及平台进行短信、彩信、微信、邮件等发送,造成的一切后果由</w:t>
      </w:r>
      <w:r>
        <w:rPr>
          <w:rFonts w:hint="eastAsia" w:ascii="仿宋" w:hAnsi="仿宋" w:eastAsia="仿宋" w:cs="仿宋"/>
          <w:sz w:val="28"/>
          <w:szCs w:val="28"/>
          <w:lang w:eastAsia="zh-CN"/>
        </w:rPr>
        <w:t>成交供应商</w:t>
      </w:r>
      <w:r>
        <w:rPr>
          <w:rFonts w:hint="eastAsia" w:ascii="仿宋" w:hAnsi="仿宋" w:eastAsia="仿宋" w:cs="仿宋"/>
          <w:sz w:val="28"/>
          <w:szCs w:val="28"/>
        </w:rPr>
        <w:t>负责。</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运维过程</w:t>
      </w:r>
      <w:r>
        <w:rPr>
          <w:rFonts w:hint="eastAsia" w:ascii="仿宋_GB2312" w:hAnsi="仿宋" w:eastAsia="仿宋_GB2312" w:cs="仿宋"/>
          <w:sz w:val="28"/>
          <w:szCs w:val="28"/>
          <w:lang w:eastAsia="zh-CN"/>
        </w:rPr>
        <w:t>成交供应商</w:t>
      </w:r>
      <w:r>
        <w:rPr>
          <w:rFonts w:hint="eastAsia" w:ascii="仿宋_GB2312" w:hAnsi="仿宋" w:eastAsia="仿宋_GB2312" w:cs="仿宋"/>
          <w:sz w:val="28"/>
          <w:szCs w:val="28"/>
        </w:rPr>
        <w:t>如出现失、窃密事情，参照网络和数据安全事件处罚措施同等处置，具体处罚措施由中心保密管理部门确定。</w:t>
      </w:r>
    </w:p>
    <w:p>
      <w:pPr>
        <w:rPr>
          <w:rFonts w:hint="eastAsia" w:ascii="仿宋" w:hAnsi="仿宋" w:eastAsia="仿宋" w:cs="仿宋"/>
          <w:sz w:val="28"/>
          <w:szCs w:val="28"/>
        </w:rPr>
      </w:pPr>
    </w:p>
    <w:bookmarkEnd w:id="9"/>
    <w:p>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br w:type="page"/>
      </w:r>
    </w:p>
    <w:p>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附表</w:t>
      </w:r>
      <w:r>
        <w:rPr>
          <w:rFonts w:hint="eastAsia" w:ascii="仿宋" w:hAnsi="仿宋" w:eastAsia="仿宋" w:cs="仿宋"/>
          <w:b/>
          <w:color w:val="auto"/>
          <w:sz w:val="28"/>
          <w:szCs w:val="28"/>
          <w:lang w:val="en-US" w:eastAsia="zh-CN"/>
        </w:rPr>
        <w:t>一</w:t>
      </w:r>
      <w:r>
        <w:rPr>
          <w:rFonts w:hint="eastAsia" w:ascii="仿宋" w:hAnsi="仿宋" w:eastAsia="仿宋" w:cs="仿宋"/>
          <w:b/>
          <w:sz w:val="28"/>
          <w:szCs w:val="28"/>
        </w:rPr>
        <w:t>：网络和数据安全事件处罚措施</w:t>
      </w:r>
    </w:p>
    <w:tbl>
      <w:tblPr>
        <w:tblStyle w:val="25"/>
        <w:tblpPr w:leftFromText="180" w:rightFromText="180" w:vertAnchor="text" w:horzAnchor="page" w:tblpXSpec="center" w:tblpY="544"/>
        <w:tblOverlap w:val="never"/>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60"/>
        <w:gridCol w:w="2429"/>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序号</w:t>
            </w:r>
          </w:p>
        </w:tc>
        <w:tc>
          <w:tcPr>
            <w:tcW w:w="146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类型</w:t>
            </w:r>
          </w:p>
        </w:tc>
        <w:tc>
          <w:tcPr>
            <w:tcW w:w="2429"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负面行为分级情况</w:t>
            </w:r>
          </w:p>
        </w:tc>
        <w:tc>
          <w:tcPr>
            <w:tcW w:w="3827"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追究措施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1460" w:type="dxa"/>
            <w:vMerge w:val="restart"/>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安全事件</w:t>
            </w: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1、发生网络安全事件或数据泄露事件，每发生一起，按不同级别进行追究。</w:t>
            </w:r>
          </w:p>
        </w:tc>
        <w:tc>
          <w:tcPr>
            <w:tcW w:w="3827" w:type="dxa"/>
            <w:noWrap/>
          </w:tcPr>
          <w:p>
            <w:pPr>
              <w:widowControl/>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（1）发生重大（Ⅱ级）及以上网络和数据安全事件的；</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3、扣除项目运维费用的3%；</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4、上报主管部门，必要时终止项目合同并追究相关刑事责任。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（2）发生较大网络安全和数据事件（Ⅲ级）的；</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4</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（3）发生一般网络和数据安全事件（Ⅳ级）的。</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5</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2、被主管部门通报安全事件，每发生一起，按不同级别进行追究。</w:t>
            </w:r>
          </w:p>
        </w:tc>
        <w:tc>
          <w:tcPr>
            <w:tcW w:w="3827" w:type="dxa"/>
            <w:noWrap/>
          </w:tcPr>
          <w:p>
            <w:pPr>
              <w:widowControl/>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6</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（1）被中央有关部门通报，并核实的。</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7</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（2）被本市有关部门通报，并核实的。</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8</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（3）被中心通报，对业务造成影响。</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3、一个服务周期内累计发生3次及以上的，扣除项目运维费用的1%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9</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（4）被重要用户投诉，影响中心形象、声誉。</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3、一个服务周期内累计发生2次及以上的，扣除项目运维费用的2%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10</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3、在日常安全监控和检查中，发现服务厂商建设、运维的系统被非法登陆、信息泄露或篡改、病毒或黑客攻击等安全事件。</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11</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4、在上级主管单位对中心进行安全检查中，发现问题的。</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3、在一次检查中发现2个及以上高危问题的，扣除项目运维费用的2%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12</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5、未经批准，擅自在各种媒体发表与中心有关的评论或言论。</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13</w:t>
            </w:r>
          </w:p>
        </w:tc>
        <w:tc>
          <w:tcPr>
            <w:tcW w:w="1460" w:type="dxa"/>
            <w:vMerge w:val="restart"/>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故障</w:t>
            </w: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1、发生A1、A2级故障。</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14</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2、发生B1、B2级故障。</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3、一个服务周期内累计2次及以上的，扣除项目运维费用的2%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15</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3、发生C+级故障。</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3、一个服务周期内累计3次及以上的，扣除项目运维费用的1%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16</w:t>
            </w:r>
          </w:p>
        </w:tc>
        <w:tc>
          <w:tcPr>
            <w:tcW w:w="1460" w:type="dxa"/>
            <w:vMerge w:val="restart"/>
            <w:noWrap/>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漏洞</w:t>
            </w: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1、运维项目，未按要求上报产品漏洞情况，未及时更新版本</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3、每发现一次未上报或未及时更新且存在漏洞发生安全事件的，按事件等级进行项目金额扣除。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80" w:type="dxa"/>
            <w:vAlign w:val="center"/>
          </w:tcPr>
          <w:p>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17</w:t>
            </w:r>
          </w:p>
        </w:tc>
        <w:tc>
          <w:tcPr>
            <w:tcW w:w="1460" w:type="dxa"/>
            <w:vMerge w:val="continue"/>
            <w:vAlign w:val="center"/>
          </w:tcPr>
          <w:p>
            <w:pPr>
              <w:widowControl/>
              <w:jc w:val="left"/>
              <w:rPr>
                <w:rFonts w:hint="eastAsia" w:ascii="仿宋_GB2312" w:hAnsi="等线" w:eastAsia="仿宋_GB2312" w:cs="宋体"/>
                <w:color w:val="000000"/>
                <w:kern w:val="0"/>
                <w:sz w:val="22"/>
              </w:rPr>
            </w:pPr>
          </w:p>
        </w:tc>
        <w:tc>
          <w:tcPr>
            <w:tcW w:w="2429"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2、存在漏洞风险，未按要求及时修复漏洞或采取防护措施</w:t>
            </w:r>
          </w:p>
        </w:tc>
        <w:tc>
          <w:tcPr>
            <w:tcW w:w="3827" w:type="dxa"/>
            <w:vAlign w:val="center"/>
          </w:tcPr>
          <w:p>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3、一个服务周期内累计3次及以上的中高危漏洞未按期整改的，扣除项目运维费用的2%；</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4、每发现一次未按时修复且发生安全事件的，按事件等级进行项目金额扣除。</w:t>
            </w:r>
          </w:p>
        </w:tc>
      </w:tr>
    </w:tbl>
    <w:p>
      <w:pPr>
        <w:spacing w:line="560" w:lineRule="exact"/>
        <w:ind w:firstLine="562" w:firstLineChars="200"/>
        <w:rPr>
          <w:rFonts w:hint="eastAsia" w:ascii="仿宋_GB2312" w:hAnsi="仿宋" w:eastAsia="仿宋_GB2312" w:cs="仿宋"/>
          <w:b/>
          <w:sz w:val="28"/>
          <w:szCs w:val="28"/>
        </w:rPr>
      </w:pPr>
    </w:p>
    <w:p>
      <w:pPr>
        <w:spacing w:line="560" w:lineRule="exact"/>
        <w:ind w:firstLine="560" w:firstLineChars="200"/>
        <w:rPr>
          <w:rFonts w:hint="eastAsia" w:ascii="仿宋" w:hAnsi="仿宋" w:eastAsia="仿宋" w:cs="仿宋"/>
          <w:sz w:val="28"/>
          <w:szCs w:val="28"/>
        </w:rPr>
      </w:pPr>
    </w:p>
    <w:p>
      <w:pPr>
        <w:spacing w:line="560" w:lineRule="exact"/>
        <w:ind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240" w:lineRule="auto"/>
        <w:ind w:firstLine="0" w:firstLineChars="0"/>
        <w:rPr>
          <w:rFonts w:hint="eastAsia" w:ascii="仿宋" w:hAnsi="仿宋" w:eastAsia="仿宋" w:cs="仿宋"/>
          <w:b/>
          <w:sz w:val="28"/>
          <w:szCs w:val="28"/>
        </w:rPr>
      </w:pPr>
      <w:r>
        <w:rPr>
          <w:rFonts w:hint="eastAsia" w:ascii="仿宋" w:hAnsi="仿宋" w:eastAsia="仿宋" w:cs="仿宋"/>
          <w:b/>
          <w:sz w:val="28"/>
          <w:szCs w:val="28"/>
        </w:rPr>
        <w:br w:type="page"/>
      </w:r>
    </w:p>
    <w:p>
      <w:pPr>
        <w:widowControl/>
        <w:jc w:val="center"/>
        <w:rPr>
          <w:rFonts w:hint="eastAsia" w:ascii="仿宋_GB2312" w:hAnsi="等线" w:eastAsia="仿宋_GB2312" w:cs="宋体"/>
          <w:color w:val="000000"/>
          <w:kern w:val="0"/>
          <w:sz w:val="22"/>
        </w:rPr>
      </w:pPr>
      <w:bookmarkStart w:id="10" w:name="_GoBack"/>
    </w:p>
    <w:bookmarkEnd w:id="1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altName w:val="方正仿宋_GBK"/>
    <w:panose1 w:val="02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pPr>
          <w:pStyle w:val="17"/>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8A116"/>
    <w:multiLevelType w:val="multilevel"/>
    <w:tmpl w:val="EFE8A116"/>
    <w:lvl w:ilvl="0" w:tentative="0">
      <w:start w:val="1"/>
      <w:numFmt w:val="bullet"/>
      <w:lvlText w:val=""/>
      <w:lvlJc w:val="left"/>
      <w:pPr>
        <w:ind w:left="420" w:firstLine="0"/>
      </w:pPr>
      <w:rPr>
        <w:rFonts w:hint="default" w:ascii="Wingdings" w:hAnsi="Wingdings" w:cs="Wingdings"/>
      </w:rPr>
    </w:lvl>
    <w:lvl w:ilvl="1" w:tentative="0">
      <w:start w:val="1"/>
      <w:numFmt w:val="bullet"/>
      <w:lvlText w:val=""/>
      <w:lvlJc w:val="left"/>
      <w:pPr>
        <w:ind w:left="840" w:firstLine="0"/>
      </w:pPr>
      <w:rPr>
        <w:rFonts w:hint="default" w:ascii="Wingdings" w:hAnsi="Wingdings" w:cs="Wingdings"/>
      </w:rPr>
    </w:lvl>
    <w:lvl w:ilvl="2" w:tentative="0">
      <w:start w:val="1"/>
      <w:numFmt w:val="bullet"/>
      <w:lvlText w:val=""/>
      <w:lvlJc w:val="left"/>
      <w:pPr>
        <w:ind w:left="1260" w:firstLine="0"/>
      </w:pPr>
      <w:rPr>
        <w:rFonts w:hint="default" w:ascii="Wingdings" w:hAnsi="Wingdings" w:cs="Wingdings"/>
      </w:rPr>
    </w:lvl>
    <w:lvl w:ilvl="3" w:tentative="0">
      <w:start w:val="1"/>
      <w:numFmt w:val="bullet"/>
      <w:lvlText w:val=""/>
      <w:lvlJc w:val="left"/>
      <w:pPr>
        <w:ind w:left="1680" w:firstLine="0"/>
      </w:pPr>
      <w:rPr>
        <w:rFonts w:hint="default" w:ascii="Wingdings" w:hAnsi="Wingdings" w:cs="Wingdings"/>
      </w:rPr>
    </w:lvl>
    <w:lvl w:ilvl="4" w:tentative="0">
      <w:start w:val="1"/>
      <w:numFmt w:val="bullet"/>
      <w:lvlText w:val=""/>
      <w:lvlJc w:val="left"/>
      <w:pPr>
        <w:ind w:left="2100" w:firstLine="0"/>
      </w:pPr>
      <w:rPr>
        <w:rFonts w:hint="default" w:ascii="Wingdings" w:hAnsi="Wingdings" w:cs="Wingdings"/>
      </w:rPr>
    </w:lvl>
    <w:lvl w:ilvl="5" w:tentative="0">
      <w:start w:val="1"/>
      <w:numFmt w:val="bullet"/>
      <w:lvlText w:val=""/>
      <w:lvlJc w:val="left"/>
      <w:pPr>
        <w:ind w:left="2520" w:firstLine="0"/>
      </w:pPr>
      <w:rPr>
        <w:rFonts w:hint="default" w:ascii="Wingdings" w:hAnsi="Wingdings" w:cs="Wingdings"/>
      </w:rPr>
    </w:lvl>
    <w:lvl w:ilvl="6" w:tentative="0">
      <w:start w:val="1"/>
      <w:numFmt w:val="bullet"/>
      <w:lvlText w:val=""/>
      <w:lvlJc w:val="left"/>
      <w:pPr>
        <w:ind w:left="2940" w:firstLine="0"/>
      </w:pPr>
      <w:rPr>
        <w:rFonts w:hint="default" w:ascii="Wingdings" w:hAnsi="Wingdings" w:cs="Wingdings"/>
      </w:rPr>
    </w:lvl>
    <w:lvl w:ilvl="7" w:tentative="0">
      <w:start w:val="1"/>
      <w:numFmt w:val="bullet"/>
      <w:lvlText w:val=""/>
      <w:lvlJc w:val="left"/>
      <w:pPr>
        <w:ind w:left="3360" w:firstLine="0"/>
      </w:pPr>
      <w:rPr>
        <w:rFonts w:hint="default" w:ascii="Wingdings" w:hAnsi="Wingdings" w:cs="Wingdings"/>
      </w:rPr>
    </w:lvl>
    <w:lvl w:ilvl="8" w:tentative="0">
      <w:start w:val="1"/>
      <w:numFmt w:val="bullet"/>
      <w:lvlText w:val=""/>
      <w:lvlJc w:val="left"/>
      <w:pPr>
        <w:ind w:left="3780" w:firstLine="0"/>
      </w:pPr>
      <w:rPr>
        <w:rFonts w:hint="default" w:ascii="Wingdings" w:hAnsi="Wingdings" w:cs="Wingdings"/>
      </w:rPr>
    </w:lvl>
  </w:abstractNum>
  <w:abstractNum w:abstractNumId="1">
    <w:nsid w:val="4B414E94"/>
    <w:multiLevelType w:val="multilevel"/>
    <w:tmpl w:val="4B414E94"/>
    <w:lvl w:ilvl="0" w:tentative="0">
      <w:start w:val="1"/>
      <w:numFmt w:val="chineseCountingThousand"/>
      <w:pStyle w:val="2"/>
      <w:suff w:val="nothing"/>
      <w:lvlText w:val="%1、"/>
      <w:lvlJc w:val="left"/>
      <w:pPr>
        <w:ind w:left="4536"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4"/>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567" w:firstLine="0"/>
      </w:pPr>
      <w:rPr>
        <w:rFonts w:hint="default" w:ascii="Times New Roman" w:hAnsi="Times New Roman" w:eastAsia="宋体"/>
        <w:b/>
        <w:i w:val="0"/>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NjQ3NDAzODk0ZTcwYTA4NzlmZTU1ZTI2NmE1MzYifQ=="/>
  </w:docVars>
  <w:rsids>
    <w:rsidRoot w:val="00A65D43"/>
    <w:rsid w:val="0000190C"/>
    <w:rsid w:val="00001BEB"/>
    <w:rsid w:val="00003534"/>
    <w:rsid w:val="00010B05"/>
    <w:rsid w:val="0002058A"/>
    <w:rsid w:val="00024DCE"/>
    <w:rsid w:val="00025A0A"/>
    <w:rsid w:val="00025B47"/>
    <w:rsid w:val="00025D33"/>
    <w:rsid w:val="00031146"/>
    <w:rsid w:val="00031E82"/>
    <w:rsid w:val="0003289E"/>
    <w:rsid w:val="000337EC"/>
    <w:rsid w:val="0003480C"/>
    <w:rsid w:val="0004197E"/>
    <w:rsid w:val="00042982"/>
    <w:rsid w:val="000440DD"/>
    <w:rsid w:val="000452B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92749"/>
    <w:rsid w:val="00093E3D"/>
    <w:rsid w:val="000945B3"/>
    <w:rsid w:val="00094EBE"/>
    <w:rsid w:val="000977A7"/>
    <w:rsid w:val="000A0130"/>
    <w:rsid w:val="000A0DA6"/>
    <w:rsid w:val="000A1FA8"/>
    <w:rsid w:val="000A267E"/>
    <w:rsid w:val="000B17AA"/>
    <w:rsid w:val="000B36E1"/>
    <w:rsid w:val="000B3767"/>
    <w:rsid w:val="000B43E3"/>
    <w:rsid w:val="000B513D"/>
    <w:rsid w:val="000C0E2D"/>
    <w:rsid w:val="000C11CE"/>
    <w:rsid w:val="000C229F"/>
    <w:rsid w:val="000C39D4"/>
    <w:rsid w:val="000C40E3"/>
    <w:rsid w:val="000C6061"/>
    <w:rsid w:val="000C745E"/>
    <w:rsid w:val="000D3F43"/>
    <w:rsid w:val="000E0768"/>
    <w:rsid w:val="000E0C83"/>
    <w:rsid w:val="000E2143"/>
    <w:rsid w:val="000E619B"/>
    <w:rsid w:val="000E63B0"/>
    <w:rsid w:val="000F007B"/>
    <w:rsid w:val="000F1D58"/>
    <w:rsid w:val="000F31FD"/>
    <w:rsid w:val="000F57AB"/>
    <w:rsid w:val="00101576"/>
    <w:rsid w:val="0010311A"/>
    <w:rsid w:val="00107F82"/>
    <w:rsid w:val="0011070E"/>
    <w:rsid w:val="001136B4"/>
    <w:rsid w:val="00120E27"/>
    <w:rsid w:val="00121B5E"/>
    <w:rsid w:val="0012223B"/>
    <w:rsid w:val="0012452D"/>
    <w:rsid w:val="00125811"/>
    <w:rsid w:val="001270CE"/>
    <w:rsid w:val="0012793C"/>
    <w:rsid w:val="00130FCC"/>
    <w:rsid w:val="00137BAC"/>
    <w:rsid w:val="00137FAE"/>
    <w:rsid w:val="001406EF"/>
    <w:rsid w:val="00160956"/>
    <w:rsid w:val="00161EA9"/>
    <w:rsid w:val="00163401"/>
    <w:rsid w:val="00164C26"/>
    <w:rsid w:val="0016607D"/>
    <w:rsid w:val="001660F1"/>
    <w:rsid w:val="00166D53"/>
    <w:rsid w:val="001672AA"/>
    <w:rsid w:val="0017051B"/>
    <w:rsid w:val="00171011"/>
    <w:rsid w:val="00172318"/>
    <w:rsid w:val="00172A39"/>
    <w:rsid w:val="001746C1"/>
    <w:rsid w:val="00175D08"/>
    <w:rsid w:val="001828C7"/>
    <w:rsid w:val="00184C81"/>
    <w:rsid w:val="00190408"/>
    <w:rsid w:val="001909B8"/>
    <w:rsid w:val="001926A6"/>
    <w:rsid w:val="00193EBA"/>
    <w:rsid w:val="00197692"/>
    <w:rsid w:val="001A177B"/>
    <w:rsid w:val="001A55FD"/>
    <w:rsid w:val="001A7FBD"/>
    <w:rsid w:val="001B1382"/>
    <w:rsid w:val="001B2EE0"/>
    <w:rsid w:val="001B477C"/>
    <w:rsid w:val="001B651B"/>
    <w:rsid w:val="001C0AE6"/>
    <w:rsid w:val="001C16CC"/>
    <w:rsid w:val="001C242D"/>
    <w:rsid w:val="001C3789"/>
    <w:rsid w:val="001C7D33"/>
    <w:rsid w:val="001D3CEF"/>
    <w:rsid w:val="001F0DF5"/>
    <w:rsid w:val="001F50E7"/>
    <w:rsid w:val="001F6740"/>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61E0"/>
    <w:rsid w:val="00282819"/>
    <w:rsid w:val="002833A5"/>
    <w:rsid w:val="00287B81"/>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7659"/>
    <w:rsid w:val="00300628"/>
    <w:rsid w:val="00300B40"/>
    <w:rsid w:val="00302277"/>
    <w:rsid w:val="003027C1"/>
    <w:rsid w:val="00315DF0"/>
    <w:rsid w:val="0031725F"/>
    <w:rsid w:val="0031738C"/>
    <w:rsid w:val="00321EF2"/>
    <w:rsid w:val="00322118"/>
    <w:rsid w:val="003221B6"/>
    <w:rsid w:val="00326CDD"/>
    <w:rsid w:val="00335D02"/>
    <w:rsid w:val="003367F4"/>
    <w:rsid w:val="00341E6E"/>
    <w:rsid w:val="003425D4"/>
    <w:rsid w:val="00343950"/>
    <w:rsid w:val="00343C84"/>
    <w:rsid w:val="00345CCF"/>
    <w:rsid w:val="00352E81"/>
    <w:rsid w:val="00354770"/>
    <w:rsid w:val="0035514A"/>
    <w:rsid w:val="00355D5B"/>
    <w:rsid w:val="00360FF2"/>
    <w:rsid w:val="00364DA3"/>
    <w:rsid w:val="0036537E"/>
    <w:rsid w:val="003703AC"/>
    <w:rsid w:val="003716F7"/>
    <w:rsid w:val="003753E3"/>
    <w:rsid w:val="00377ED4"/>
    <w:rsid w:val="00382966"/>
    <w:rsid w:val="0038556C"/>
    <w:rsid w:val="00385A19"/>
    <w:rsid w:val="00390500"/>
    <w:rsid w:val="003940D3"/>
    <w:rsid w:val="00394958"/>
    <w:rsid w:val="00396222"/>
    <w:rsid w:val="00396860"/>
    <w:rsid w:val="003A1769"/>
    <w:rsid w:val="003A1C71"/>
    <w:rsid w:val="003C161F"/>
    <w:rsid w:val="003C76FF"/>
    <w:rsid w:val="003D4AAD"/>
    <w:rsid w:val="003D4FFA"/>
    <w:rsid w:val="003D77C8"/>
    <w:rsid w:val="003E267F"/>
    <w:rsid w:val="003E5CC7"/>
    <w:rsid w:val="003E7705"/>
    <w:rsid w:val="003E7C4E"/>
    <w:rsid w:val="003F0EAC"/>
    <w:rsid w:val="003F1C5F"/>
    <w:rsid w:val="003F2DCE"/>
    <w:rsid w:val="003F58D4"/>
    <w:rsid w:val="003F5A09"/>
    <w:rsid w:val="003F5E92"/>
    <w:rsid w:val="003F709B"/>
    <w:rsid w:val="00400947"/>
    <w:rsid w:val="00406FDA"/>
    <w:rsid w:val="004072C9"/>
    <w:rsid w:val="0041192C"/>
    <w:rsid w:val="00414FD9"/>
    <w:rsid w:val="004167D8"/>
    <w:rsid w:val="00416AC4"/>
    <w:rsid w:val="004218F4"/>
    <w:rsid w:val="00433C77"/>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6562"/>
    <w:rsid w:val="00467227"/>
    <w:rsid w:val="0046728E"/>
    <w:rsid w:val="0047122D"/>
    <w:rsid w:val="00474F1F"/>
    <w:rsid w:val="00475369"/>
    <w:rsid w:val="004769AC"/>
    <w:rsid w:val="004778BA"/>
    <w:rsid w:val="00477B6D"/>
    <w:rsid w:val="00483268"/>
    <w:rsid w:val="004842F3"/>
    <w:rsid w:val="00492544"/>
    <w:rsid w:val="00493DB3"/>
    <w:rsid w:val="0049407C"/>
    <w:rsid w:val="00496673"/>
    <w:rsid w:val="004A3D05"/>
    <w:rsid w:val="004A55D8"/>
    <w:rsid w:val="004A65FD"/>
    <w:rsid w:val="004B3662"/>
    <w:rsid w:val="004B493B"/>
    <w:rsid w:val="004B50C3"/>
    <w:rsid w:val="004C15CC"/>
    <w:rsid w:val="004C45D9"/>
    <w:rsid w:val="004C5671"/>
    <w:rsid w:val="004C6629"/>
    <w:rsid w:val="004C7655"/>
    <w:rsid w:val="004D0A39"/>
    <w:rsid w:val="004D0D52"/>
    <w:rsid w:val="004D1BAD"/>
    <w:rsid w:val="004D2172"/>
    <w:rsid w:val="004D3536"/>
    <w:rsid w:val="004D4CF1"/>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34B6"/>
    <w:rsid w:val="00524EE2"/>
    <w:rsid w:val="00527A1F"/>
    <w:rsid w:val="00530ADB"/>
    <w:rsid w:val="00537389"/>
    <w:rsid w:val="00540B5F"/>
    <w:rsid w:val="005441AF"/>
    <w:rsid w:val="00544CB4"/>
    <w:rsid w:val="00551059"/>
    <w:rsid w:val="005524F5"/>
    <w:rsid w:val="0055263B"/>
    <w:rsid w:val="00557899"/>
    <w:rsid w:val="005703FC"/>
    <w:rsid w:val="005740FD"/>
    <w:rsid w:val="00581D9F"/>
    <w:rsid w:val="00582CB9"/>
    <w:rsid w:val="005835B1"/>
    <w:rsid w:val="00584094"/>
    <w:rsid w:val="005846CD"/>
    <w:rsid w:val="0059045D"/>
    <w:rsid w:val="00594679"/>
    <w:rsid w:val="005973D9"/>
    <w:rsid w:val="005A1FF7"/>
    <w:rsid w:val="005A43F1"/>
    <w:rsid w:val="005A54B0"/>
    <w:rsid w:val="005A5EDC"/>
    <w:rsid w:val="005B1543"/>
    <w:rsid w:val="005B22A3"/>
    <w:rsid w:val="005B26E9"/>
    <w:rsid w:val="005B2D3E"/>
    <w:rsid w:val="005B6881"/>
    <w:rsid w:val="005B6DD7"/>
    <w:rsid w:val="005C0222"/>
    <w:rsid w:val="005D42F7"/>
    <w:rsid w:val="005D6DF6"/>
    <w:rsid w:val="005E2AB9"/>
    <w:rsid w:val="005E735A"/>
    <w:rsid w:val="005F2F13"/>
    <w:rsid w:val="005F546D"/>
    <w:rsid w:val="005F76CC"/>
    <w:rsid w:val="006026FE"/>
    <w:rsid w:val="006053F9"/>
    <w:rsid w:val="00610873"/>
    <w:rsid w:val="006113D2"/>
    <w:rsid w:val="006119F0"/>
    <w:rsid w:val="00611E45"/>
    <w:rsid w:val="006122D6"/>
    <w:rsid w:val="00613433"/>
    <w:rsid w:val="0061489A"/>
    <w:rsid w:val="00614F12"/>
    <w:rsid w:val="00616540"/>
    <w:rsid w:val="00630599"/>
    <w:rsid w:val="006315F0"/>
    <w:rsid w:val="00637922"/>
    <w:rsid w:val="00644879"/>
    <w:rsid w:val="00646FC0"/>
    <w:rsid w:val="00655366"/>
    <w:rsid w:val="006554FA"/>
    <w:rsid w:val="00660575"/>
    <w:rsid w:val="00662ACC"/>
    <w:rsid w:val="0066422E"/>
    <w:rsid w:val="00665245"/>
    <w:rsid w:val="00667272"/>
    <w:rsid w:val="006679D9"/>
    <w:rsid w:val="00673B08"/>
    <w:rsid w:val="00681AA8"/>
    <w:rsid w:val="00682516"/>
    <w:rsid w:val="00685790"/>
    <w:rsid w:val="0069087D"/>
    <w:rsid w:val="00690C00"/>
    <w:rsid w:val="006930A9"/>
    <w:rsid w:val="00695AAA"/>
    <w:rsid w:val="0069674E"/>
    <w:rsid w:val="00697BD6"/>
    <w:rsid w:val="006A54CA"/>
    <w:rsid w:val="006A7076"/>
    <w:rsid w:val="006B6696"/>
    <w:rsid w:val="006B6AB5"/>
    <w:rsid w:val="006B783F"/>
    <w:rsid w:val="006C04A7"/>
    <w:rsid w:val="006C59DD"/>
    <w:rsid w:val="006C6E24"/>
    <w:rsid w:val="006C6E6C"/>
    <w:rsid w:val="006C7159"/>
    <w:rsid w:val="006D163C"/>
    <w:rsid w:val="006D1C16"/>
    <w:rsid w:val="006D6A81"/>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35DA2"/>
    <w:rsid w:val="0073658D"/>
    <w:rsid w:val="00740013"/>
    <w:rsid w:val="00741457"/>
    <w:rsid w:val="00741C36"/>
    <w:rsid w:val="00746CDC"/>
    <w:rsid w:val="007473C3"/>
    <w:rsid w:val="0075027C"/>
    <w:rsid w:val="00751587"/>
    <w:rsid w:val="007602C8"/>
    <w:rsid w:val="0076132F"/>
    <w:rsid w:val="007613F1"/>
    <w:rsid w:val="00765592"/>
    <w:rsid w:val="007655E8"/>
    <w:rsid w:val="007707E5"/>
    <w:rsid w:val="0077350D"/>
    <w:rsid w:val="00774CF1"/>
    <w:rsid w:val="00781C63"/>
    <w:rsid w:val="00781FC3"/>
    <w:rsid w:val="0078744D"/>
    <w:rsid w:val="007906E3"/>
    <w:rsid w:val="00791991"/>
    <w:rsid w:val="00795BB2"/>
    <w:rsid w:val="007B1FCE"/>
    <w:rsid w:val="007B35BA"/>
    <w:rsid w:val="007C63E1"/>
    <w:rsid w:val="007C7E29"/>
    <w:rsid w:val="007D352C"/>
    <w:rsid w:val="007D5DC5"/>
    <w:rsid w:val="007E62E2"/>
    <w:rsid w:val="007E7326"/>
    <w:rsid w:val="007F2F89"/>
    <w:rsid w:val="007F4004"/>
    <w:rsid w:val="007F41A9"/>
    <w:rsid w:val="007F663D"/>
    <w:rsid w:val="007F6F17"/>
    <w:rsid w:val="00803EDB"/>
    <w:rsid w:val="00804993"/>
    <w:rsid w:val="00805D30"/>
    <w:rsid w:val="0081779E"/>
    <w:rsid w:val="0082757A"/>
    <w:rsid w:val="00831F51"/>
    <w:rsid w:val="00832F81"/>
    <w:rsid w:val="00834AED"/>
    <w:rsid w:val="00836F09"/>
    <w:rsid w:val="008416DB"/>
    <w:rsid w:val="0084319B"/>
    <w:rsid w:val="00843D5A"/>
    <w:rsid w:val="0085046F"/>
    <w:rsid w:val="0085361C"/>
    <w:rsid w:val="00864D04"/>
    <w:rsid w:val="00865925"/>
    <w:rsid w:val="0086794E"/>
    <w:rsid w:val="00870CED"/>
    <w:rsid w:val="008710FA"/>
    <w:rsid w:val="00871C3B"/>
    <w:rsid w:val="0087497F"/>
    <w:rsid w:val="00881BB2"/>
    <w:rsid w:val="008828CB"/>
    <w:rsid w:val="0088470D"/>
    <w:rsid w:val="0089044D"/>
    <w:rsid w:val="0089135B"/>
    <w:rsid w:val="00894B0B"/>
    <w:rsid w:val="008A2E57"/>
    <w:rsid w:val="008A7DEE"/>
    <w:rsid w:val="008B0544"/>
    <w:rsid w:val="008B17D9"/>
    <w:rsid w:val="008B3309"/>
    <w:rsid w:val="008B3475"/>
    <w:rsid w:val="008B5CC0"/>
    <w:rsid w:val="008C0A77"/>
    <w:rsid w:val="008C4254"/>
    <w:rsid w:val="008C4521"/>
    <w:rsid w:val="008C5A95"/>
    <w:rsid w:val="008E08A9"/>
    <w:rsid w:val="008E51D6"/>
    <w:rsid w:val="008E6A7A"/>
    <w:rsid w:val="008F01BC"/>
    <w:rsid w:val="008F1228"/>
    <w:rsid w:val="008F32A5"/>
    <w:rsid w:val="008F4A83"/>
    <w:rsid w:val="009000B6"/>
    <w:rsid w:val="0090149E"/>
    <w:rsid w:val="00901765"/>
    <w:rsid w:val="009025B2"/>
    <w:rsid w:val="00906CC4"/>
    <w:rsid w:val="009110E2"/>
    <w:rsid w:val="00913AC8"/>
    <w:rsid w:val="00915569"/>
    <w:rsid w:val="009242EC"/>
    <w:rsid w:val="00924CEF"/>
    <w:rsid w:val="009307EC"/>
    <w:rsid w:val="00933201"/>
    <w:rsid w:val="00934A0D"/>
    <w:rsid w:val="00935C42"/>
    <w:rsid w:val="00944385"/>
    <w:rsid w:val="00944D0C"/>
    <w:rsid w:val="00950749"/>
    <w:rsid w:val="00955BB2"/>
    <w:rsid w:val="009659B1"/>
    <w:rsid w:val="00972B75"/>
    <w:rsid w:val="00980447"/>
    <w:rsid w:val="00982D0F"/>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B00"/>
    <w:rsid w:val="009D7951"/>
    <w:rsid w:val="009D7961"/>
    <w:rsid w:val="009E2B63"/>
    <w:rsid w:val="009E5077"/>
    <w:rsid w:val="009E54B5"/>
    <w:rsid w:val="009E676E"/>
    <w:rsid w:val="009F3060"/>
    <w:rsid w:val="009F7B44"/>
    <w:rsid w:val="009F7DE0"/>
    <w:rsid w:val="00A00603"/>
    <w:rsid w:val="00A013D2"/>
    <w:rsid w:val="00A1240F"/>
    <w:rsid w:val="00A14083"/>
    <w:rsid w:val="00A142AD"/>
    <w:rsid w:val="00A15B60"/>
    <w:rsid w:val="00A255A6"/>
    <w:rsid w:val="00A30027"/>
    <w:rsid w:val="00A3391A"/>
    <w:rsid w:val="00A3474A"/>
    <w:rsid w:val="00A36137"/>
    <w:rsid w:val="00A43B72"/>
    <w:rsid w:val="00A44AF6"/>
    <w:rsid w:val="00A50045"/>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E74"/>
    <w:rsid w:val="00AA447D"/>
    <w:rsid w:val="00AA6345"/>
    <w:rsid w:val="00AB2369"/>
    <w:rsid w:val="00AB25BB"/>
    <w:rsid w:val="00AB35D7"/>
    <w:rsid w:val="00AB5544"/>
    <w:rsid w:val="00AC06EF"/>
    <w:rsid w:val="00AC32FA"/>
    <w:rsid w:val="00AC671C"/>
    <w:rsid w:val="00AD36B2"/>
    <w:rsid w:val="00AE200A"/>
    <w:rsid w:val="00AF18B9"/>
    <w:rsid w:val="00AF2BBA"/>
    <w:rsid w:val="00AF3B3F"/>
    <w:rsid w:val="00B00D01"/>
    <w:rsid w:val="00B00F70"/>
    <w:rsid w:val="00B01B41"/>
    <w:rsid w:val="00B07259"/>
    <w:rsid w:val="00B10247"/>
    <w:rsid w:val="00B11267"/>
    <w:rsid w:val="00B11610"/>
    <w:rsid w:val="00B22300"/>
    <w:rsid w:val="00B27D1C"/>
    <w:rsid w:val="00B30387"/>
    <w:rsid w:val="00B31342"/>
    <w:rsid w:val="00B31503"/>
    <w:rsid w:val="00B32C36"/>
    <w:rsid w:val="00B425B1"/>
    <w:rsid w:val="00B44A5F"/>
    <w:rsid w:val="00B525FA"/>
    <w:rsid w:val="00B54582"/>
    <w:rsid w:val="00B553CC"/>
    <w:rsid w:val="00B56CAB"/>
    <w:rsid w:val="00B6035A"/>
    <w:rsid w:val="00B6157C"/>
    <w:rsid w:val="00B65B3D"/>
    <w:rsid w:val="00B77714"/>
    <w:rsid w:val="00B842EF"/>
    <w:rsid w:val="00B9334E"/>
    <w:rsid w:val="00B95536"/>
    <w:rsid w:val="00B95A2E"/>
    <w:rsid w:val="00BB09EE"/>
    <w:rsid w:val="00BB1E2F"/>
    <w:rsid w:val="00BB7FDA"/>
    <w:rsid w:val="00BC190E"/>
    <w:rsid w:val="00BC5363"/>
    <w:rsid w:val="00BD2590"/>
    <w:rsid w:val="00BD74A2"/>
    <w:rsid w:val="00BD77B8"/>
    <w:rsid w:val="00BE2DAC"/>
    <w:rsid w:val="00BE42E4"/>
    <w:rsid w:val="00BE458C"/>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4588"/>
    <w:rsid w:val="00C5489F"/>
    <w:rsid w:val="00C56A55"/>
    <w:rsid w:val="00C60DBC"/>
    <w:rsid w:val="00C62983"/>
    <w:rsid w:val="00C650AF"/>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6FDE"/>
    <w:rsid w:val="00CA7A9E"/>
    <w:rsid w:val="00CD2E9F"/>
    <w:rsid w:val="00CD310E"/>
    <w:rsid w:val="00CD41FE"/>
    <w:rsid w:val="00CD7C3F"/>
    <w:rsid w:val="00CE1825"/>
    <w:rsid w:val="00CE3282"/>
    <w:rsid w:val="00CE3F8F"/>
    <w:rsid w:val="00CF0FCF"/>
    <w:rsid w:val="00CF1A74"/>
    <w:rsid w:val="00CF5E7B"/>
    <w:rsid w:val="00D003D9"/>
    <w:rsid w:val="00D031E4"/>
    <w:rsid w:val="00D03CF8"/>
    <w:rsid w:val="00D053F2"/>
    <w:rsid w:val="00D110D8"/>
    <w:rsid w:val="00D24559"/>
    <w:rsid w:val="00D35570"/>
    <w:rsid w:val="00D41C60"/>
    <w:rsid w:val="00D41E0D"/>
    <w:rsid w:val="00D44901"/>
    <w:rsid w:val="00D454CF"/>
    <w:rsid w:val="00D5502A"/>
    <w:rsid w:val="00D55D5F"/>
    <w:rsid w:val="00D60716"/>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5563"/>
    <w:rsid w:val="00DA0E9D"/>
    <w:rsid w:val="00DA5608"/>
    <w:rsid w:val="00DB350D"/>
    <w:rsid w:val="00DB67FF"/>
    <w:rsid w:val="00DC2D44"/>
    <w:rsid w:val="00DC7A1E"/>
    <w:rsid w:val="00DC7F53"/>
    <w:rsid w:val="00DD584D"/>
    <w:rsid w:val="00DD676C"/>
    <w:rsid w:val="00DD7137"/>
    <w:rsid w:val="00DD77F8"/>
    <w:rsid w:val="00DE3003"/>
    <w:rsid w:val="00DF3899"/>
    <w:rsid w:val="00DF532F"/>
    <w:rsid w:val="00DF6717"/>
    <w:rsid w:val="00DF6B5F"/>
    <w:rsid w:val="00DF7885"/>
    <w:rsid w:val="00E0002D"/>
    <w:rsid w:val="00E011C9"/>
    <w:rsid w:val="00E02DAD"/>
    <w:rsid w:val="00E03E68"/>
    <w:rsid w:val="00E05823"/>
    <w:rsid w:val="00E11E94"/>
    <w:rsid w:val="00E168BD"/>
    <w:rsid w:val="00E21A00"/>
    <w:rsid w:val="00E21B30"/>
    <w:rsid w:val="00E22A3F"/>
    <w:rsid w:val="00E22BCB"/>
    <w:rsid w:val="00E24FE1"/>
    <w:rsid w:val="00E30766"/>
    <w:rsid w:val="00E30CEE"/>
    <w:rsid w:val="00E34B2F"/>
    <w:rsid w:val="00E34F8C"/>
    <w:rsid w:val="00E44410"/>
    <w:rsid w:val="00E46E20"/>
    <w:rsid w:val="00E47FEF"/>
    <w:rsid w:val="00E5392E"/>
    <w:rsid w:val="00E5540E"/>
    <w:rsid w:val="00E63625"/>
    <w:rsid w:val="00E641C3"/>
    <w:rsid w:val="00E65682"/>
    <w:rsid w:val="00E67442"/>
    <w:rsid w:val="00E70FE0"/>
    <w:rsid w:val="00E75FF2"/>
    <w:rsid w:val="00E8032D"/>
    <w:rsid w:val="00E82768"/>
    <w:rsid w:val="00E82DB1"/>
    <w:rsid w:val="00E85851"/>
    <w:rsid w:val="00E92152"/>
    <w:rsid w:val="00E92A5A"/>
    <w:rsid w:val="00E95A78"/>
    <w:rsid w:val="00E96E46"/>
    <w:rsid w:val="00EA1EDC"/>
    <w:rsid w:val="00EA251E"/>
    <w:rsid w:val="00EA521C"/>
    <w:rsid w:val="00EA5BDF"/>
    <w:rsid w:val="00EA7639"/>
    <w:rsid w:val="00EC03D4"/>
    <w:rsid w:val="00EC0C8B"/>
    <w:rsid w:val="00EC2E5E"/>
    <w:rsid w:val="00EC7E35"/>
    <w:rsid w:val="00ED5518"/>
    <w:rsid w:val="00EE06C1"/>
    <w:rsid w:val="00EE0CE9"/>
    <w:rsid w:val="00EE4F10"/>
    <w:rsid w:val="00EE5FB5"/>
    <w:rsid w:val="00EF2458"/>
    <w:rsid w:val="00EF3DDF"/>
    <w:rsid w:val="00EF540F"/>
    <w:rsid w:val="00F04147"/>
    <w:rsid w:val="00F04B9F"/>
    <w:rsid w:val="00F0690F"/>
    <w:rsid w:val="00F06BB0"/>
    <w:rsid w:val="00F06DC8"/>
    <w:rsid w:val="00F0758D"/>
    <w:rsid w:val="00F10071"/>
    <w:rsid w:val="00F139EA"/>
    <w:rsid w:val="00F14449"/>
    <w:rsid w:val="00F14AF4"/>
    <w:rsid w:val="00F1559C"/>
    <w:rsid w:val="00F17F1F"/>
    <w:rsid w:val="00F279D9"/>
    <w:rsid w:val="00F3006E"/>
    <w:rsid w:val="00F339C4"/>
    <w:rsid w:val="00F344A6"/>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25A"/>
    <w:rsid w:val="00FA35D9"/>
    <w:rsid w:val="00FA4B1A"/>
    <w:rsid w:val="00FA68C3"/>
    <w:rsid w:val="00FB71EA"/>
    <w:rsid w:val="00FC0AF1"/>
    <w:rsid w:val="00FC49DA"/>
    <w:rsid w:val="00FC7386"/>
    <w:rsid w:val="00FD3218"/>
    <w:rsid w:val="00FD3A5C"/>
    <w:rsid w:val="00FD57D3"/>
    <w:rsid w:val="00FD71D5"/>
    <w:rsid w:val="00FE30AE"/>
    <w:rsid w:val="00FE62D1"/>
    <w:rsid w:val="00FE6F61"/>
    <w:rsid w:val="00FF0077"/>
    <w:rsid w:val="00FF27A9"/>
    <w:rsid w:val="00FF30D7"/>
    <w:rsid w:val="00FF78D3"/>
    <w:rsid w:val="014D2E53"/>
    <w:rsid w:val="016B1DF1"/>
    <w:rsid w:val="037C775C"/>
    <w:rsid w:val="039C2E56"/>
    <w:rsid w:val="04175472"/>
    <w:rsid w:val="05053757"/>
    <w:rsid w:val="05587FC5"/>
    <w:rsid w:val="069A72A0"/>
    <w:rsid w:val="073D31FE"/>
    <w:rsid w:val="07480470"/>
    <w:rsid w:val="07D17DB0"/>
    <w:rsid w:val="08436857"/>
    <w:rsid w:val="0AEF5CC1"/>
    <w:rsid w:val="0B163EB1"/>
    <w:rsid w:val="0B4B53A9"/>
    <w:rsid w:val="0B78396B"/>
    <w:rsid w:val="0BDF4AF8"/>
    <w:rsid w:val="0BEE1A2D"/>
    <w:rsid w:val="0D187EE2"/>
    <w:rsid w:val="0D8F227C"/>
    <w:rsid w:val="0ED63D33"/>
    <w:rsid w:val="0EE5457E"/>
    <w:rsid w:val="10347723"/>
    <w:rsid w:val="11856B2E"/>
    <w:rsid w:val="12296A3A"/>
    <w:rsid w:val="12B502CE"/>
    <w:rsid w:val="12CC1A95"/>
    <w:rsid w:val="134C619E"/>
    <w:rsid w:val="1355718A"/>
    <w:rsid w:val="137D0DEC"/>
    <w:rsid w:val="143F579C"/>
    <w:rsid w:val="14726477"/>
    <w:rsid w:val="148C46D8"/>
    <w:rsid w:val="15501A8D"/>
    <w:rsid w:val="15C42D02"/>
    <w:rsid w:val="164A2BA1"/>
    <w:rsid w:val="180970F2"/>
    <w:rsid w:val="196A3BC0"/>
    <w:rsid w:val="1A951D0C"/>
    <w:rsid w:val="1ADD03C2"/>
    <w:rsid w:val="1B3E0655"/>
    <w:rsid w:val="1BA9C687"/>
    <w:rsid w:val="1BD417C5"/>
    <w:rsid w:val="1EE7180F"/>
    <w:rsid w:val="1F8229C3"/>
    <w:rsid w:val="214B51A0"/>
    <w:rsid w:val="233174FD"/>
    <w:rsid w:val="25200E2E"/>
    <w:rsid w:val="25654A05"/>
    <w:rsid w:val="25AD512F"/>
    <w:rsid w:val="25DA1459"/>
    <w:rsid w:val="2650046F"/>
    <w:rsid w:val="26B20955"/>
    <w:rsid w:val="27281650"/>
    <w:rsid w:val="27A723D7"/>
    <w:rsid w:val="27B0513B"/>
    <w:rsid w:val="285F4B0C"/>
    <w:rsid w:val="29C713DA"/>
    <w:rsid w:val="2A807095"/>
    <w:rsid w:val="2B330B47"/>
    <w:rsid w:val="2B563FA5"/>
    <w:rsid w:val="2CDE032B"/>
    <w:rsid w:val="2CFB75FF"/>
    <w:rsid w:val="2E2D602A"/>
    <w:rsid w:val="2F7B7A69"/>
    <w:rsid w:val="2FC87D11"/>
    <w:rsid w:val="2FE7D7FE"/>
    <w:rsid w:val="31306A57"/>
    <w:rsid w:val="31362024"/>
    <w:rsid w:val="31750EFD"/>
    <w:rsid w:val="31B16664"/>
    <w:rsid w:val="31D668B9"/>
    <w:rsid w:val="321366D4"/>
    <w:rsid w:val="33E67E90"/>
    <w:rsid w:val="33FBDA48"/>
    <w:rsid w:val="34F82570"/>
    <w:rsid w:val="368D1DFA"/>
    <w:rsid w:val="37F7CAD0"/>
    <w:rsid w:val="3914549F"/>
    <w:rsid w:val="39FB24A2"/>
    <w:rsid w:val="3A9C74FA"/>
    <w:rsid w:val="3AE072E2"/>
    <w:rsid w:val="3BAA5C8C"/>
    <w:rsid w:val="3BBE7056"/>
    <w:rsid w:val="3BFC3547"/>
    <w:rsid w:val="3BFF140C"/>
    <w:rsid w:val="3BFFFF64"/>
    <w:rsid w:val="3C7704C4"/>
    <w:rsid w:val="3CE21B3C"/>
    <w:rsid w:val="3DE051EE"/>
    <w:rsid w:val="3E778F65"/>
    <w:rsid w:val="3F20067F"/>
    <w:rsid w:val="404951E8"/>
    <w:rsid w:val="419418DC"/>
    <w:rsid w:val="424662D1"/>
    <w:rsid w:val="43B01B78"/>
    <w:rsid w:val="43B835F7"/>
    <w:rsid w:val="442962A2"/>
    <w:rsid w:val="449C4CC6"/>
    <w:rsid w:val="44D51F86"/>
    <w:rsid w:val="44E4041B"/>
    <w:rsid w:val="4509390C"/>
    <w:rsid w:val="473A2575"/>
    <w:rsid w:val="47B33C75"/>
    <w:rsid w:val="48CF3E1E"/>
    <w:rsid w:val="490557B4"/>
    <w:rsid w:val="4A1A21BA"/>
    <w:rsid w:val="4E9F1EFB"/>
    <w:rsid w:val="4EAE4AC6"/>
    <w:rsid w:val="4ED70203"/>
    <w:rsid w:val="4F614F8E"/>
    <w:rsid w:val="4FEC63D6"/>
    <w:rsid w:val="51EC090F"/>
    <w:rsid w:val="521354A9"/>
    <w:rsid w:val="5232077C"/>
    <w:rsid w:val="548E5012"/>
    <w:rsid w:val="54DB2196"/>
    <w:rsid w:val="55BC81C9"/>
    <w:rsid w:val="55C71477"/>
    <w:rsid w:val="561A2B39"/>
    <w:rsid w:val="56665134"/>
    <w:rsid w:val="56E60023"/>
    <w:rsid w:val="580249E9"/>
    <w:rsid w:val="58853CBF"/>
    <w:rsid w:val="58A02E0D"/>
    <w:rsid w:val="5A4B460C"/>
    <w:rsid w:val="5AFB7B3C"/>
    <w:rsid w:val="5B0D5D9D"/>
    <w:rsid w:val="5CBF10FA"/>
    <w:rsid w:val="5CF76AE6"/>
    <w:rsid w:val="5D1F6D17"/>
    <w:rsid w:val="5D1F9300"/>
    <w:rsid w:val="5E426EB5"/>
    <w:rsid w:val="5EE756D6"/>
    <w:rsid w:val="5F2B5531"/>
    <w:rsid w:val="5FFB4F31"/>
    <w:rsid w:val="604F34B9"/>
    <w:rsid w:val="615362B5"/>
    <w:rsid w:val="61DE298E"/>
    <w:rsid w:val="62635B85"/>
    <w:rsid w:val="62A62CAA"/>
    <w:rsid w:val="62B131DE"/>
    <w:rsid w:val="62CA2823"/>
    <w:rsid w:val="62DF19C7"/>
    <w:rsid w:val="649D3E7C"/>
    <w:rsid w:val="65A26A4F"/>
    <w:rsid w:val="66E071CA"/>
    <w:rsid w:val="676A6785"/>
    <w:rsid w:val="67C12384"/>
    <w:rsid w:val="67CE0712"/>
    <w:rsid w:val="67DF6AF4"/>
    <w:rsid w:val="67F26828"/>
    <w:rsid w:val="693F3B6B"/>
    <w:rsid w:val="69D63CD1"/>
    <w:rsid w:val="6A1E1EFF"/>
    <w:rsid w:val="6A6634FD"/>
    <w:rsid w:val="6B6D613A"/>
    <w:rsid w:val="6E8E6B7E"/>
    <w:rsid w:val="6F1D5F33"/>
    <w:rsid w:val="6F4A21CC"/>
    <w:rsid w:val="6F694A76"/>
    <w:rsid w:val="6FBA6204"/>
    <w:rsid w:val="6FD131C7"/>
    <w:rsid w:val="6FDF26D2"/>
    <w:rsid w:val="70471BC9"/>
    <w:rsid w:val="72D8187A"/>
    <w:rsid w:val="736C79BB"/>
    <w:rsid w:val="75E4506E"/>
    <w:rsid w:val="768C1198"/>
    <w:rsid w:val="77AD62C7"/>
    <w:rsid w:val="77BA6350"/>
    <w:rsid w:val="77DC57AA"/>
    <w:rsid w:val="784B788E"/>
    <w:rsid w:val="79334995"/>
    <w:rsid w:val="797F5A41"/>
    <w:rsid w:val="7A221398"/>
    <w:rsid w:val="7A4153ED"/>
    <w:rsid w:val="7AED10D1"/>
    <w:rsid w:val="7B2113C8"/>
    <w:rsid w:val="7B4C77FE"/>
    <w:rsid w:val="7C2B0D47"/>
    <w:rsid w:val="7CD616F3"/>
    <w:rsid w:val="7D831878"/>
    <w:rsid w:val="7D9D3FCB"/>
    <w:rsid w:val="7DEB5D9B"/>
    <w:rsid w:val="7E915AF8"/>
    <w:rsid w:val="7ED87E5C"/>
    <w:rsid w:val="7EF02FB9"/>
    <w:rsid w:val="7F32447E"/>
    <w:rsid w:val="7F4ECFE0"/>
    <w:rsid w:val="7F6A35B6"/>
    <w:rsid w:val="7F9F75EC"/>
    <w:rsid w:val="7FAAA8EF"/>
    <w:rsid w:val="7FBFD629"/>
    <w:rsid w:val="7FDE3EB0"/>
    <w:rsid w:val="A63D5B53"/>
    <w:rsid w:val="A7DF1B9A"/>
    <w:rsid w:val="ABF80A4C"/>
    <w:rsid w:val="B677E48F"/>
    <w:rsid w:val="BAD7AA7E"/>
    <w:rsid w:val="CFFFD391"/>
    <w:rsid w:val="D67E9B0D"/>
    <w:rsid w:val="E3B6CC12"/>
    <w:rsid w:val="E3FFD8B2"/>
    <w:rsid w:val="E5EEAF0A"/>
    <w:rsid w:val="EBAECB88"/>
    <w:rsid w:val="EEB6A9D1"/>
    <w:rsid w:val="EEFFC473"/>
    <w:rsid w:val="EFFF6D0D"/>
    <w:rsid w:val="F8DFCDC7"/>
    <w:rsid w:val="FBCA44CB"/>
    <w:rsid w:val="FD38922B"/>
    <w:rsid w:val="FDF74CF4"/>
    <w:rsid w:val="FEFD8BC8"/>
    <w:rsid w:val="FF79EC62"/>
    <w:rsid w:val="FF7D90FD"/>
    <w:rsid w:val="FFBF40CB"/>
    <w:rsid w:val="FFFE4AC2"/>
    <w:rsid w:val="FFFE7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numPr>
        <w:ilvl w:val="0"/>
        <w:numId w:val="1"/>
      </w:numPr>
      <w:spacing w:before="340" w:after="330" w:line="578" w:lineRule="auto"/>
      <w:ind w:left="852"/>
      <w:outlineLvl w:val="0"/>
    </w:pPr>
    <w:rPr>
      <w:rFonts w:eastAsia="方正小标宋_GBK"/>
      <w:b/>
      <w:bCs/>
      <w:kern w:val="44"/>
      <w:sz w:val="32"/>
      <w:szCs w:val="44"/>
    </w:rPr>
  </w:style>
  <w:style w:type="paragraph" w:styleId="3">
    <w:name w:val="heading 2"/>
    <w:basedOn w:val="1"/>
    <w:next w:val="1"/>
    <w:link w:val="33"/>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6"/>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7"/>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9"/>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0"/>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1"/>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2"/>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ascii="Arial" w:hAnsi="Arial" w:eastAsia="黑体"/>
      <w:sz w:val="20"/>
    </w:rPr>
  </w:style>
  <w:style w:type="paragraph" w:styleId="12">
    <w:name w:val="annotation text"/>
    <w:basedOn w:val="1"/>
    <w:link w:val="51"/>
    <w:unhideWhenUsed/>
    <w:qFormat/>
    <w:uiPriority w:val="99"/>
    <w:pPr>
      <w:jc w:val="left"/>
    </w:pPr>
  </w:style>
  <w:style w:type="paragraph" w:styleId="13">
    <w:name w:val="Body Text"/>
    <w:basedOn w:val="1"/>
    <w:link w:val="56"/>
    <w:semiHidden/>
    <w:unhideWhenUsed/>
    <w:qFormat/>
    <w:uiPriority w:val="99"/>
    <w:pPr>
      <w:spacing w:after="120"/>
    </w:pPr>
  </w:style>
  <w:style w:type="paragraph" w:styleId="14">
    <w:name w:val="Body Text Indent"/>
    <w:basedOn w:val="1"/>
    <w:link w:val="45"/>
    <w:semiHidden/>
    <w:unhideWhenUsed/>
    <w:qFormat/>
    <w:uiPriority w:val="99"/>
    <w:pPr>
      <w:spacing w:after="120"/>
      <w:ind w:left="420" w:leftChars="200"/>
    </w:pPr>
  </w:style>
  <w:style w:type="paragraph" w:styleId="15">
    <w:name w:val="toc 3"/>
    <w:basedOn w:val="1"/>
    <w:next w:val="1"/>
    <w:unhideWhenUsed/>
    <w:qFormat/>
    <w:uiPriority w:val="39"/>
    <w:pPr>
      <w:ind w:left="840" w:leftChars="400"/>
    </w:pPr>
  </w:style>
  <w:style w:type="paragraph" w:styleId="16">
    <w:name w:val="Balloon Text"/>
    <w:basedOn w:val="1"/>
    <w:link w:val="44"/>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footnote text"/>
    <w:basedOn w:val="1"/>
    <w:link w:val="54"/>
    <w:unhideWhenUsed/>
    <w:qFormat/>
    <w:uiPriority w:val="99"/>
    <w:pPr>
      <w:snapToGrid w:val="0"/>
      <w:jc w:val="left"/>
    </w:pPr>
    <w:rPr>
      <w:rFonts w:ascii="Calibri" w:hAnsi="Calibri" w:eastAsia="宋体" w:cs="Times New Roman"/>
      <w:sz w:val="18"/>
      <w:szCs w:val="18"/>
    </w:rPr>
  </w:style>
  <w:style w:type="paragraph" w:styleId="21">
    <w:name w:val="toc 2"/>
    <w:basedOn w:val="1"/>
    <w:next w:val="1"/>
    <w:unhideWhenUsed/>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annotation subject"/>
    <w:basedOn w:val="12"/>
    <w:next w:val="12"/>
    <w:link w:val="52"/>
    <w:semiHidden/>
    <w:unhideWhenUsed/>
    <w:qFormat/>
    <w:uiPriority w:val="99"/>
    <w:rPr>
      <w:b/>
      <w:bCs/>
    </w:rPr>
  </w:style>
  <w:style w:type="paragraph" w:styleId="24">
    <w:name w:val="Body Text First Indent 2"/>
    <w:basedOn w:val="14"/>
    <w:link w:val="46"/>
    <w:qFormat/>
    <w:uiPriority w:val="0"/>
    <w:pPr>
      <w:spacing w:line="360" w:lineRule="auto"/>
      <w:ind w:firstLine="420" w:firstLineChars="200"/>
    </w:pPr>
    <w:rPr>
      <w:rFonts w:ascii="Times New Roman" w:hAnsi="Times New Roman" w:eastAsia="宋体" w:cs="Times New Roman"/>
      <w:sz w:val="24"/>
      <w:szCs w:val="24"/>
      <w:lang w:val="zh-CN"/>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unhideWhenUsed/>
    <w:qFormat/>
    <w:uiPriority w:val="99"/>
    <w:rPr>
      <w:color w:val="0000FF" w:themeColor="hyperlink"/>
      <w:u w:val="single"/>
      <w14:textFill>
        <w14:solidFill>
          <w14:schemeClr w14:val="hlink"/>
        </w14:solidFill>
      </w14:textFill>
    </w:rPr>
  </w:style>
  <w:style w:type="character" w:styleId="29">
    <w:name w:val="annotation reference"/>
    <w:basedOn w:val="27"/>
    <w:unhideWhenUsed/>
    <w:qFormat/>
    <w:uiPriority w:val="99"/>
    <w:rPr>
      <w:sz w:val="21"/>
      <w:szCs w:val="21"/>
    </w:rPr>
  </w:style>
  <w:style w:type="character" w:customStyle="1" w:styleId="30">
    <w:name w:val="页眉 字符"/>
    <w:basedOn w:val="27"/>
    <w:link w:val="18"/>
    <w:qFormat/>
    <w:uiPriority w:val="99"/>
    <w:rPr>
      <w:sz w:val="18"/>
      <w:szCs w:val="18"/>
    </w:rPr>
  </w:style>
  <w:style w:type="character" w:customStyle="1" w:styleId="31">
    <w:name w:val="页脚 字符"/>
    <w:basedOn w:val="27"/>
    <w:link w:val="17"/>
    <w:qFormat/>
    <w:uiPriority w:val="99"/>
    <w:rPr>
      <w:sz w:val="18"/>
      <w:szCs w:val="18"/>
    </w:rPr>
  </w:style>
  <w:style w:type="paragraph" w:styleId="32">
    <w:name w:val="List Paragraph"/>
    <w:basedOn w:val="1"/>
    <w:link w:val="47"/>
    <w:qFormat/>
    <w:uiPriority w:val="34"/>
    <w:pPr>
      <w:ind w:firstLine="420" w:firstLineChars="200"/>
    </w:pPr>
  </w:style>
  <w:style w:type="character" w:customStyle="1" w:styleId="33">
    <w:name w:val="标题 2 字符"/>
    <w:basedOn w:val="27"/>
    <w:link w:val="3"/>
    <w:qFormat/>
    <w:uiPriority w:val="9"/>
    <w:rPr>
      <w:rFonts w:eastAsia="仿宋" w:asciiTheme="majorHAnsi" w:hAnsiTheme="majorHAnsi" w:cstheme="majorBidi"/>
      <w:b/>
      <w:bCs/>
      <w:kern w:val="2"/>
      <w:sz w:val="28"/>
      <w:szCs w:val="32"/>
    </w:rPr>
  </w:style>
  <w:style w:type="paragraph" w:customStyle="1" w:styleId="34">
    <w:name w:val="1册标题3"/>
    <w:basedOn w:val="1"/>
    <w:next w:val="1"/>
    <w:qFormat/>
    <w:uiPriority w:val="0"/>
    <w:pPr>
      <w:spacing w:line="360" w:lineRule="exact"/>
    </w:pPr>
    <w:rPr>
      <w:rFonts w:ascii="宋体" w:hAnsi="宋体" w:eastAsia="宋体" w:cs="Times New Roman"/>
      <w:szCs w:val="21"/>
    </w:rPr>
  </w:style>
  <w:style w:type="character" w:customStyle="1" w:styleId="35">
    <w:name w:val="标题 1 字符"/>
    <w:basedOn w:val="27"/>
    <w:link w:val="2"/>
    <w:qFormat/>
    <w:uiPriority w:val="9"/>
    <w:rPr>
      <w:rFonts w:eastAsia="方正小标宋_GBK"/>
      <w:b/>
      <w:bCs/>
      <w:kern w:val="44"/>
      <w:sz w:val="32"/>
      <w:szCs w:val="44"/>
    </w:rPr>
  </w:style>
  <w:style w:type="character" w:customStyle="1" w:styleId="36">
    <w:name w:val="标题 3 字符"/>
    <w:basedOn w:val="27"/>
    <w:link w:val="4"/>
    <w:qFormat/>
    <w:uiPriority w:val="9"/>
    <w:rPr>
      <w:rFonts w:eastAsia="仿宋"/>
      <w:b/>
      <w:bCs/>
      <w:sz w:val="28"/>
      <w:szCs w:val="32"/>
    </w:rPr>
  </w:style>
  <w:style w:type="character" w:customStyle="1" w:styleId="37">
    <w:name w:val="标题 4 字符"/>
    <w:basedOn w:val="27"/>
    <w:link w:val="5"/>
    <w:semiHidden/>
    <w:qFormat/>
    <w:uiPriority w:val="9"/>
    <w:rPr>
      <w:rFonts w:asciiTheme="majorHAnsi" w:hAnsiTheme="majorHAnsi" w:eastAsiaTheme="majorEastAsia" w:cstheme="majorBidi"/>
      <w:b/>
      <w:bCs/>
      <w:sz w:val="28"/>
      <w:szCs w:val="28"/>
    </w:rPr>
  </w:style>
  <w:style w:type="character" w:customStyle="1" w:styleId="38">
    <w:name w:val="标题 5 字符"/>
    <w:basedOn w:val="27"/>
    <w:link w:val="6"/>
    <w:semiHidden/>
    <w:qFormat/>
    <w:uiPriority w:val="9"/>
    <w:rPr>
      <w:b/>
      <w:bCs/>
      <w:sz w:val="28"/>
      <w:szCs w:val="28"/>
    </w:rPr>
  </w:style>
  <w:style w:type="character" w:customStyle="1" w:styleId="39">
    <w:name w:val="标题 6 字符"/>
    <w:basedOn w:val="27"/>
    <w:link w:val="7"/>
    <w:semiHidden/>
    <w:qFormat/>
    <w:uiPriority w:val="9"/>
    <w:rPr>
      <w:rFonts w:asciiTheme="majorHAnsi" w:hAnsiTheme="majorHAnsi" w:eastAsiaTheme="majorEastAsia" w:cstheme="majorBidi"/>
      <w:b/>
      <w:bCs/>
      <w:sz w:val="24"/>
      <w:szCs w:val="24"/>
    </w:rPr>
  </w:style>
  <w:style w:type="character" w:customStyle="1" w:styleId="40">
    <w:name w:val="标题 7 字符"/>
    <w:basedOn w:val="27"/>
    <w:link w:val="8"/>
    <w:semiHidden/>
    <w:qFormat/>
    <w:uiPriority w:val="9"/>
    <w:rPr>
      <w:b/>
      <w:bCs/>
      <w:sz w:val="24"/>
      <w:szCs w:val="24"/>
    </w:rPr>
  </w:style>
  <w:style w:type="character" w:customStyle="1" w:styleId="41">
    <w:name w:val="标题 8 字符"/>
    <w:basedOn w:val="27"/>
    <w:link w:val="9"/>
    <w:semiHidden/>
    <w:qFormat/>
    <w:uiPriority w:val="9"/>
    <w:rPr>
      <w:rFonts w:asciiTheme="majorHAnsi" w:hAnsiTheme="majorHAnsi" w:eastAsiaTheme="majorEastAsia" w:cstheme="majorBidi"/>
      <w:sz w:val="24"/>
      <w:szCs w:val="24"/>
    </w:rPr>
  </w:style>
  <w:style w:type="character" w:customStyle="1" w:styleId="42">
    <w:name w:val="标题 9 字符"/>
    <w:basedOn w:val="27"/>
    <w:link w:val="10"/>
    <w:semiHidden/>
    <w:qFormat/>
    <w:uiPriority w:val="9"/>
    <w:rPr>
      <w:rFonts w:asciiTheme="majorHAnsi" w:hAnsiTheme="majorHAnsi" w:eastAsiaTheme="majorEastAsia" w:cstheme="majorBidi"/>
      <w:szCs w:val="21"/>
    </w:rPr>
  </w:style>
  <w:style w:type="paragraph" w:customStyle="1" w:styleId="43">
    <w:name w:val="TOC 标题1"/>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批注框文本 字符"/>
    <w:basedOn w:val="27"/>
    <w:link w:val="16"/>
    <w:semiHidden/>
    <w:qFormat/>
    <w:uiPriority w:val="99"/>
    <w:rPr>
      <w:sz w:val="18"/>
      <w:szCs w:val="18"/>
    </w:rPr>
  </w:style>
  <w:style w:type="character" w:customStyle="1" w:styleId="45">
    <w:name w:val="正文文本缩进 字符"/>
    <w:basedOn w:val="27"/>
    <w:link w:val="14"/>
    <w:semiHidden/>
    <w:qFormat/>
    <w:uiPriority w:val="99"/>
  </w:style>
  <w:style w:type="character" w:customStyle="1" w:styleId="46">
    <w:name w:val="正文文本首行缩进 2 字符"/>
    <w:basedOn w:val="45"/>
    <w:link w:val="24"/>
    <w:qFormat/>
    <w:uiPriority w:val="0"/>
    <w:rPr>
      <w:rFonts w:ascii="Times New Roman" w:hAnsi="Times New Roman" w:eastAsia="宋体" w:cs="Times New Roman"/>
      <w:sz w:val="24"/>
      <w:szCs w:val="24"/>
      <w:lang w:val="zh-CN"/>
    </w:rPr>
  </w:style>
  <w:style w:type="character" w:customStyle="1" w:styleId="47">
    <w:name w:val="列表段落 字符"/>
    <w:link w:val="32"/>
    <w:qFormat/>
    <w:uiPriority w:val="34"/>
  </w:style>
  <w:style w:type="paragraph" w:customStyle="1" w:styleId="4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正文 Char"/>
    <w:link w:val="50"/>
    <w:qFormat/>
    <w:uiPriority w:val="0"/>
    <w:rPr>
      <w:rFonts w:ascii="time" w:hAnsi="time"/>
      <w:sz w:val="24"/>
      <w:szCs w:val="24"/>
      <w:lang w:bidi="en-US"/>
    </w:rPr>
  </w:style>
  <w:style w:type="paragraph" w:customStyle="1" w:styleId="50">
    <w:name w:val="*正文"/>
    <w:basedOn w:val="1"/>
    <w:link w:val="49"/>
    <w:qFormat/>
    <w:uiPriority w:val="0"/>
    <w:pPr>
      <w:widowControl/>
      <w:spacing w:line="360" w:lineRule="auto"/>
      <w:ind w:firstLine="200" w:firstLineChars="200"/>
      <w:contextualSpacing/>
    </w:pPr>
    <w:rPr>
      <w:rFonts w:ascii="time" w:hAnsi="time"/>
      <w:sz w:val="24"/>
      <w:szCs w:val="24"/>
      <w:lang w:bidi="en-US"/>
    </w:rPr>
  </w:style>
  <w:style w:type="character" w:customStyle="1" w:styleId="51">
    <w:name w:val="批注文字 字符"/>
    <w:basedOn w:val="27"/>
    <w:link w:val="12"/>
    <w:qFormat/>
    <w:uiPriority w:val="99"/>
  </w:style>
  <w:style w:type="character" w:customStyle="1" w:styleId="52">
    <w:name w:val="批注主题 字符"/>
    <w:basedOn w:val="51"/>
    <w:link w:val="23"/>
    <w:semiHidden/>
    <w:qFormat/>
    <w:uiPriority w:val="99"/>
    <w:rPr>
      <w:b/>
      <w:bCs/>
    </w:rPr>
  </w:style>
  <w:style w:type="character" w:customStyle="1" w:styleId="53">
    <w:name w:val="批注文字 字符1"/>
    <w:qFormat/>
    <w:uiPriority w:val="99"/>
    <w:rPr>
      <w:rFonts w:eastAsia="仿宋"/>
      <w:kern w:val="2"/>
      <w:sz w:val="28"/>
      <w:szCs w:val="24"/>
    </w:rPr>
  </w:style>
  <w:style w:type="character" w:customStyle="1" w:styleId="54">
    <w:name w:val="脚注文本 字符"/>
    <w:basedOn w:val="27"/>
    <w:link w:val="20"/>
    <w:qFormat/>
    <w:uiPriority w:val="99"/>
    <w:rPr>
      <w:rFonts w:ascii="Calibri" w:hAnsi="Calibri" w:eastAsia="宋体" w:cs="Times New Roman"/>
      <w:sz w:val="18"/>
      <w:szCs w:val="18"/>
    </w:rPr>
  </w:style>
  <w:style w:type="paragraph" w:customStyle="1" w:styleId="55">
    <w:name w:val="正文文字3"/>
    <w:basedOn w:val="13"/>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6">
    <w:name w:val="正文文本 字符"/>
    <w:basedOn w:val="27"/>
    <w:link w:val="13"/>
    <w:semiHidden/>
    <w:qFormat/>
    <w:uiPriority w:val="99"/>
  </w:style>
  <w:style w:type="paragraph" w:customStyle="1" w:styleId="57">
    <w:name w:val="正文缩进1"/>
    <w:basedOn w:val="1"/>
    <w:qFormat/>
    <w:uiPriority w:val="0"/>
    <w:pPr>
      <w:ind w:firstLine="420"/>
    </w:pPr>
    <w:rPr>
      <w:rFonts w:ascii="Times New Roman" w:hAnsi="Times New Roman"/>
      <w:szCs w:val="20"/>
    </w:rPr>
  </w:style>
  <w:style w:type="paragraph" w:customStyle="1" w:styleId="5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9">
    <w:name w:val="正文文本1"/>
    <w:basedOn w:val="1"/>
    <w:qFormat/>
    <w:uiPriority w:val="0"/>
    <w:pPr>
      <w:spacing w:line="378" w:lineRule="exact"/>
      <w:ind w:firstLine="400" w:firstLineChars="222"/>
    </w:pPr>
    <w:rPr>
      <w:rFonts w:ascii="宋体" w:hAnsi="宋体" w:eastAsia="宋体" w:cs="宋体"/>
      <w:sz w:val="18"/>
      <w:szCs w:val="18"/>
      <w:lang w:val="zh-CN" w:bidi="zh-CN"/>
    </w:rPr>
  </w:style>
  <w:style w:type="paragraph" w:customStyle="1" w:styleId="60">
    <w:name w:val="正文文本 (2)"/>
    <w:basedOn w:val="1"/>
    <w:qFormat/>
    <w:uiPriority w:val="0"/>
    <w:pPr>
      <w:spacing w:line="381" w:lineRule="exact"/>
      <w:ind w:firstLine="380"/>
    </w:pPr>
    <w:rPr>
      <w:rFonts w:ascii="Times New Roman" w:hAnsi="Times New Roman" w:cs="Times New Roman"/>
      <w:bCs/>
      <w:sz w:val="19"/>
      <w:szCs w:val="19"/>
      <w:lang w:val="zh-CN" w:bidi="zh-CN"/>
    </w:rPr>
  </w:style>
  <w:style w:type="paragraph" w:customStyle="1" w:styleId="6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591</Words>
  <Characters>609</Characters>
  <Lines>87</Lines>
  <Paragraphs>24</Paragraphs>
  <TotalTime>270</TotalTime>
  <ScaleCrop>false</ScaleCrop>
  <LinksUpToDate>false</LinksUpToDate>
  <CharactersWithSpaces>610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2025-12-22T08:22:00Z</dcterms:created>
  <dc:creator>ntko</dc:creator>
  <cp:lastModifiedBy>user</cp:lastModifiedBy>
  <cp:lastPrinted>2023-12-01T09:34:00Z</cp:lastPrinted>
  <dcterms:modified xsi:type="dcterms:W3CDTF">2026-03-31T13:47:48Z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D5A14078F2DD65DFE7DA8F69BDA2C057_43</vt:lpwstr>
  </property>
  <property fmtid="{D5CDD505-2E9C-101B-9397-08002B2CF9AE}" pid="4" name="KSOTemplateDocerSaveRecord">
    <vt:lpwstr>eyJoZGlkIjoiMWQ4NTkwNmFiY2M5MGQzMzUyYmZkYTI0Zjg4Nzk3MmQiLCJ1c2VySWQiOiI5OTcxNjEzNDAifQ==</vt:lpwstr>
  </property>
</Properties>
</file>