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jc w:val="center"/>
        <w:rPr>
          <w:rFonts w:ascii="黑体" w:hAnsi="黑体" w:eastAsia="黑体"/>
          <w:sz w:val="48"/>
          <w:szCs w:val="48"/>
          <w:highlight w:val="none"/>
        </w:rPr>
      </w:pPr>
    </w:p>
    <w:p>
      <w:pPr>
        <w:ind w:firstLine="0" w:firstLineChars="0"/>
        <w:jc w:val="center"/>
        <w:rPr>
          <w:rFonts w:ascii="黑体" w:hAnsi="黑体" w:eastAsia="黑体"/>
          <w:sz w:val="48"/>
          <w:szCs w:val="48"/>
          <w:highlight w:val="none"/>
        </w:rPr>
      </w:pPr>
    </w:p>
    <w:p>
      <w:pPr>
        <w:ind w:firstLine="0" w:firstLineChars="0"/>
        <w:jc w:val="center"/>
        <w:rPr>
          <w:rFonts w:ascii="黑体" w:hAnsi="黑体" w:eastAsia="黑体"/>
          <w:sz w:val="52"/>
          <w:szCs w:val="52"/>
          <w:highlight w:val="none"/>
        </w:rPr>
      </w:pPr>
      <w:r>
        <w:rPr>
          <w:rFonts w:hint="eastAsia" w:ascii="黑体" w:hAnsi="黑体" w:eastAsia="黑体"/>
          <w:sz w:val="52"/>
          <w:szCs w:val="52"/>
          <w:highlight w:val="none"/>
        </w:rPr>
        <w:t>上海市政务“工具箱”项目子系统</w:t>
      </w:r>
    </w:p>
    <w:p>
      <w:pPr>
        <w:ind w:firstLine="0" w:firstLineChars="0"/>
        <w:jc w:val="center"/>
        <w:rPr>
          <w:rFonts w:ascii="黑体" w:hAnsi="黑体" w:eastAsia="黑体"/>
          <w:sz w:val="52"/>
          <w:szCs w:val="52"/>
          <w:highlight w:val="none"/>
        </w:rPr>
      </w:pPr>
      <w:r>
        <w:rPr>
          <w:rFonts w:hint="eastAsia" w:ascii="黑体" w:hAnsi="黑体" w:eastAsia="黑体"/>
          <w:sz w:val="52"/>
          <w:szCs w:val="52"/>
          <w:highlight w:val="none"/>
        </w:rPr>
        <w:t>建设项目（2026年升级改造）</w:t>
      </w:r>
    </w:p>
    <w:p>
      <w:pPr>
        <w:ind w:firstLine="0" w:firstLineChars="0"/>
        <w:jc w:val="center"/>
        <w:rPr>
          <w:rFonts w:ascii="黑体" w:hAnsi="黑体" w:eastAsia="黑体"/>
          <w:sz w:val="52"/>
          <w:szCs w:val="52"/>
          <w:highlight w:val="none"/>
        </w:rPr>
      </w:pPr>
      <w:r>
        <w:rPr>
          <w:rFonts w:hint="eastAsia" w:ascii="黑体" w:hAnsi="黑体" w:eastAsia="黑体"/>
          <w:sz w:val="52"/>
          <w:szCs w:val="52"/>
          <w:highlight w:val="none"/>
        </w:rPr>
        <w:t>采购需求</w:t>
      </w:r>
    </w:p>
    <w:p>
      <w:pPr>
        <w:ind w:firstLine="0" w:firstLineChars="0"/>
        <w:jc w:val="center"/>
        <w:rPr>
          <w:rFonts w:ascii="黑体" w:hAnsi="黑体" w:eastAsia="黑体"/>
          <w:sz w:val="72"/>
          <w:szCs w:val="72"/>
          <w:highlight w:val="none"/>
        </w:rPr>
      </w:pPr>
    </w:p>
    <w:p>
      <w:pPr>
        <w:ind w:firstLine="0" w:firstLineChars="0"/>
        <w:jc w:val="center"/>
        <w:rPr>
          <w:rFonts w:ascii="黑体" w:hAnsi="黑体" w:eastAsia="黑体"/>
          <w:sz w:val="48"/>
          <w:szCs w:val="48"/>
          <w:highlight w:val="none"/>
        </w:rPr>
      </w:pPr>
    </w:p>
    <w:p>
      <w:pPr>
        <w:ind w:firstLine="0" w:firstLineChars="0"/>
        <w:jc w:val="center"/>
        <w:rPr>
          <w:rFonts w:ascii="黑体" w:hAnsi="黑体" w:eastAsia="黑体"/>
          <w:sz w:val="52"/>
          <w:szCs w:val="52"/>
          <w:highlight w:val="none"/>
        </w:rPr>
      </w:pPr>
    </w:p>
    <w:p>
      <w:pPr>
        <w:ind w:firstLine="1040"/>
        <w:rPr>
          <w:rFonts w:ascii="黑体" w:hAnsi="黑体" w:eastAsia="黑体"/>
          <w:sz w:val="52"/>
          <w:szCs w:val="52"/>
          <w:highlight w:val="none"/>
        </w:rPr>
      </w:pPr>
    </w:p>
    <w:p>
      <w:pPr>
        <w:rPr>
          <w:highlight w:val="none"/>
        </w:rPr>
      </w:pPr>
    </w:p>
    <w:p>
      <w:pPr>
        <w:rPr>
          <w:highlight w:val="none"/>
        </w:rPr>
      </w:pPr>
    </w:p>
    <w:p>
      <w:pPr>
        <w:rPr>
          <w:highlight w:val="none"/>
        </w:rPr>
      </w:pPr>
    </w:p>
    <w:p>
      <w:pPr>
        <w:rPr>
          <w:highlight w:val="none"/>
        </w:rPr>
      </w:pPr>
    </w:p>
    <w:p>
      <w:pPr>
        <w:rPr>
          <w:highlight w:val="none"/>
        </w:rPr>
      </w:pPr>
    </w:p>
    <w:p>
      <w:pPr>
        <w:ind w:firstLine="1040"/>
        <w:rPr>
          <w:rFonts w:ascii="黑体" w:hAnsi="黑体" w:eastAsia="黑体"/>
          <w:sz w:val="52"/>
          <w:szCs w:val="52"/>
          <w:highlight w:val="none"/>
        </w:rPr>
      </w:pPr>
    </w:p>
    <w:p>
      <w:pPr>
        <w:jc w:val="center"/>
        <w:rPr>
          <w:highlight w:val="none"/>
        </w:rPr>
        <w:sectPr>
          <w:headerReference r:id="rId7" w:type="first"/>
          <w:footerReference r:id="rId10" w:type="first"/>
          <w:headerReference r:id="rId5" w:type="default"/>
          <w:footerReference r:id="rId8" w:type="default"/>
          <w:headerReference r:id="rId6" w:type="even"/>
          <w:footerReference r:id="rId9" w:type="even"/>
          <w:pgSz w:w="11906" w:h="16838"/>
          <w:pgMar w:top="1134" w:right="1797" w:bottom="1135" w:left="1797" w:header="340" w:footer="7" w:gutter="0"/>
          <w:pgNumType w:start="1"/>
          <w:cols w:space="720" w:num="1"/>
          <w:titlePg/>
          <w:docGrid w:type="linesAndChars" w:linePitch="326" w:charSpace="0"/>
        </w:sectPr>
      </w:pPr>
    </w:p>
    <w:p>
      <w:pPr>
        <w:pStyle w:val="2"/>
        <w:rPr>
          <w:highlight w:val="none"/>
        </w:rPr>
      </w:pPr>
      <w:bookmarkStart w:id="0" w:name="_Toc63785461"/>
      <w:r>
        <w:rPr>
          <w:rFonts w:hint="eastAsia"/>
          <w:highlight w:val="none"/>
        </w:rPr>
        <w:t>项目概况</w:t>
      </w:r>
      <w:bookmarkEnd w:id="0"/>
    </w:p>
    <w:p>
      <w:pPr>
        <w:spacing w:line="560" w:lineRule="exact"/>
        <w:rPr>
          <w:highlight w:val="none"/>
        </w:rPr>
      </w:pPr>
      <w:r>
        <w:rPr>
          <w:rFonts w:hint="eastAsia"/>
          <w:highlight w:val="none"/>
        </w:rPr>
        <w:t>项目背景&amp;现状：随着数字政务的快速发展，政务信息化对软件工具的便捷性、集约化及技术创新提出了更高要求。为进一步优化政务服务效能，提升政务数字化水平。2023年，上海市政府办公厅印发《2023年上海市全面深化“一网通办”改革工作要点》的通知，其中第二十一条明确提出“推进工具箱建设与应用”的工作要求。2025年，市大数据中心构建了“上海市政务“工具箱”项目子系统建设项目”。</w:t>
      </w:r>
      <w:r>
        <w:rPr>
          <w:rFonts w:hint="eastAsia" w:cs="仿宋_GB2312"/>
          <w:kern w:val="0"/>
          <w:szCs w:val="32"/>
          <w:highlight w:val="none"/>
        </w:rPr>
        <w:t>为确保上海市政务“工具箱”建设工作的有序推进，深入落实新型数字基础设施战略部署。现市大数据中心拟在</w:t>
      </w:r>
      <w:r>
        <w:rPr>
          <w:rFonts w:hint="eastAsia"/>
          <w:highlight w:val="none"/>
        </w:rPr>
        <w:t>该项目</w:t>
      </w:r>
      <w:r>
        <w:rPr>
          <w:rFonts w:hint="eastAsia" w:cs="仿宋_GB2312"/>
          <w:kern w:val="0"/>
          <w:szCs w:val="32"/>
          <w:highlight w:val="none"/>
        </w:rPr>
        <w:t>基础上进行升级改造，本次升级旨在面向各使用单位持续提供高效、便捷且轻量化的共性工具。本项目广泛引入了办公软件、数据可视化软件以及各类基础设施软件工具等。致力于实现以全域场景带动底层技术突破和模块化、规模化赋能，助力本市数字化建设。</w:t>
      </w:r>
    </w:p>
    <w:p>
      <w:pPr>
        <w:spacing w:line="560" w:lineRule="exact"/>
        <w:rPr>
          <w:highlight w:val="none"/>
        </w:rPr>
      </w:pPr>
      <w:bookmarkStart w:id="34" w:name="_GoBack"/>
      <w:bookmarkEnd w:id="34"/>
      <w:r>
        <w:rPr>
          <w:rFonts w:hint="eastAsia"/>
          <w:highlight w:val="none"/>
        </w:rPr>
        <w:t>建设地点：上海市大数据中心</w:t>
      </w:r>
    </w:p>
    <w:p>
      <w:pPr>
        <w:spacing w:line="560" w:lineRule="exact"/>
        <w:rPr>
          <w:rFonts w:hint="eastAsia"/>
          <w:highlight w:val="none"/>
        </w:rPr>
      </w:pPr>
      <w:r>
        <w:rPr>
          <w:rFonts w:hint="eastAsia"/>
          <w:highlight w:val="none"/>
        </w:rPr>
        <w:t>组织形式：集中采购</w:t>
      </w:r>
    </w:p>
    <w:p>
      <w:pPr>
        <w:spacing w:line="560" w:lineRule="exact"/>
        <w:rPr>
          <w:rFonts w:hint="default" w:eastAsia="宋体"/>
          <w:highlight w:val="none"/>
          <w:lang w:val="en-US" w:eastAsia="zh-CN"/>
        </w:rPr>
      </w:pPr>
      <w:r>
        <w:rPr>
          <w:rFonts w:hint="eastAsia"/>
          <w:highlight w:val="none"/>
          <w:lang w:val="en-US" w:eastAsia="zh-CN"/>
        </w:rPr>
        <w:t>采购形式：公开招标</w:t>
      </w:r>
    </w:p>
    <w:p>
      <w:pPr>
        <w:rPr>
          <w:highlight w:val="none"/>
        </w:rPr>
      </w:pPr>
      <w:r>
        <w:rPr>
          <w:rFonts w:hint="eastAsia"/>
          <w:highlight w:val="none"/>
        </w:rPr>
        <w:t>是否接受联合体投标：否</w:t>
      </w:r>
    </w:p>
    <w:p>
      <w:pPr>
        <w:rPr>
          <w:highlight w:val="none"/>
        </w:rPr>
      </w:pPr>
      <w:r>
        <w:rPr>
          <w:highlight w:val="none"/>
        </w:rPr>
        <w:t>是否按</w:t>
      </w:r>
      <w:r>
        <w:rPr>
          <w:rFonts w:hint="eastAsia"/>
          <w:highlight w:val="none"/>
          <w:lang w:val="en-US" w:eastAsia="zh-CN"/>
        </w:rPr>
        <w:t>XC</w:t>
      </w:r>
      <w:r>
        <w:rPr>
          <w:highlight w:val="none"/>
        </w:rPr>
        <w:t>要求建设：是</w:t>
      </w:r>
    </w:p>
    <w:p>
      <w:pPr>
        <w:tabs>
          <w:tab w:val="left" w:pos="3120"/>
        </w:tabs>
        <w:rPr>
          <w:highlight w:val="none"/>
        </w:rPr>
      </w:pPr>
      <w:r>
        <w:rPr>
          <w:rFonts w:hint="eastAsia"/>
          <w:highlight w:val="none"/>
        </w:rPr>
        <w:t>是否采用低代码建设：否</w:t>
      </w:r>
    </w:p>
    <w:p>
      <w:pPr>
        <w:rPr>
          <w:highlight w:val="none"/>
        </w:rPr>
      </w:pPr>
      <w:r>
        <w:rPr>
          <w:rFonts w:hint="eastAsia"/>
          <w:highlight w:val="none"/>
        </w:rPr>
        <w:t>运维后所属大系统：综合运行管理系统</w:t>
      </w:r>
    </w:p>
    <w:p>
      <w:pPr>
        <w:pStyle w:val="2"/>
        <w:rPr>
          <w:highlight w:val="none"/>
        </w:rPr>
      </w:pPr>
      <w:bookmarkStart w:id="1" w:name="_Toc47532891"/>
      <w:bookmarkEnd w:id="1"/>
      <w:bookmarkStart w:id="2" w:name="_Toc47533256"/>
      <w:bookmarkEnd w:id="2"/>
      <w:bookmarkStart w:id="3" w:name="_Toc47539070"/>
      <w:bookmarkEnd w:id="3"/>
      <w:bookmarkStart w:id="4" w:name="_Toc47537134"/>
      <w:bookmarkEnd w:id="4"/>
      <w:bookmarkStart w:id="5" w:name="_Toc47532255"/>
      <w:bookmarkEnd w:id="5"/>
      <w:bookmarkStart w:id="6" w:name="_Toc47531634"/>
      <w:bookmarkEnd w:id="6"/>
      <w:bookmarkStart w:id="7" w:name="_Toc47536272"/>
      <w:bookmarkEnd w:id="7"/>
      <w:bookmarkStart w:id="8" w:name="_Toc47536644"/>
      <w:bookmarkEnd w:id="8"/>
      <w:bookmarkStart w:id="9" w:name="_Toc63785463"/>
      <w:bookmarkStart w:id="10" w:name="_Toc48223882"/>
      <w:r>
        <w:rPr>
          <w:rFonts w:hint="eastAsia"/>
          <w:highlight w:val="none"/>
        </w:rPr>
        <w:t>建设目标</w:t>
      </w:r>
      <w:bookmarkEnd w:id="9"/>
      <w:bookmarkEnd w:id="10"/>
    </w:p>
    <w:p>
      <w:pPr>
        <w:pStyle w:val="3"/>
        <w:rPr>
          <w:highlight w:val="none"/>
        </w:rPr>
      </w:pPr>
      <w:r>
        <w:rPr>
          <w:rFonts w:hint="eastAsia"/>
          <w:highlight w:val="none"/>
        </w:rPr>
        <w:t>项目目标</w:t>
      </w:r>
    </w:p>
    <w:p>
      <w:pPr>
        <w:rPr>
          <w:highlight w:val="none"/>
        </w:rPr>
      </w:pPr>
      <w:r>
        <w:rPr>
          <w:rFonts w:hint="eastAsia"/>
          <w:highlight w:val="none"/>
        </w:rPr>
        <w:t>为有力保障政务“工具箱”工作的有序开展，市大数据中心拟构建上海市政务“工具箱”项目。在总体建设目标上，</w:t>
      </w:r>
      <w:r>
        <w:rPr>
          <w:b/>
          <w:bCs/>
          <w:highlight w:val="none"/>
        </w:rPr>
        <w:t>一是</w:t>
      </w:r>
      <w:r>
        <w:rPr>
          <w:highlight w:val="none"/>
        </w:rPr>
        <w:t>为使用单位提供便捷、高效的</w:t>
      </w:r>
      <w:r>
        <w:rPr>
          <w:rFonts w:hint="eastAsia"/>
          <w:highlight w:val="none"/>
        </w:rPr>
        <w:t>“工具箱”工具</w:t>
      </w:r>
      <w:r>
        <w:rPr>
          <w:highlight w:val="none"/>
        </w:rPr>
        <w:t>，</w:t>
      </w:r>
      <w:r>
        <w:rPr>
          <w:rFonts w:hint="eastAsia"/>
          <w:highlight w:val="none"/>
        </w:rPr>
        <w:t>满足各使用单位快速使用工具的需求</w:t>
      </w:r>
      <w:r>
        <w:rPr>
          <w:highlight w:val="none"/>
        </w:rPr>
        <w:t>；</w:t>
      </w:r>
      <w:r>
        <w:rPr>
          <w:b/>
          <w:bCs/>
          <w:highlight w:val="none"/>
        </w:rPr>
        <w:t>二是</w:t>
      </w:r>
      <w:r>
        <w:rPr>
          <w:rFonts w:hint="eastAsia"/>
          <w:highlight w:val="none"/>
        </w:rPr>
        <w:t>通过统筹集约工具建设，进一步降低本市信息化建设的总体成本</w:t>
      </w:r>
      <w:r>
        <w:rPr>
          <w:highlight w:val="none"/>
        </w:rPr>
        <w:t>；</w:t>
      </w:r>
      <w:r>
        <w:rPr>
          <w:b/>
          <w:bCs/>
          <w:highlight w:val="none"/>
        </w:rPr>
        <w:t>三是</w:t>
      </w:r>
      <w:r>
        <w:rPr>
          <w:rFonts w:hint="eastAsia"/>
          <w:highlight w:val="none"/>
        </w:rPr>
        <w:t>以全域场景带动底层技术突破和模块化</w:t>
      </w:r>
      <w:r>
        <w:rPr>
          <w:highlight w:val="none"/>
        </w:rPr>
        <w:t>、</w:t>
      </w:r>
      <w:r>
        <w:rPr>
          <w:rFonts w:hint="eastAsia"/>
          <w:highlight w:val="none"/>
        </w:rPr>
        <w:t>规模化赋能，助力本市政务信息化建设</w:t>
      </w:r>
      <w:r>
        <w:rPr>
          <w:highlight w:val="none"/>
        </w:rPr>
        <w:t>；</w:t>
      </w:r>
      <w:r>
        <w:rPr>
          <w:b/>
          <w:bCs/>
          <w:highlight w:val="none"/>
        </w:rPr>
        <w:t>四是</w:t>
      </w:r>
      <w:r>
        <w:rPr>
          <w:rFonts w:hint="eastAsia"/>
          <w:highlight w:val="none"/>
        </w:rPr>
        <w:t>不断提升上海市政务“工具箱”的综合支撑能力</w:t>
      </w:r>
      <w:r>
        <w:rPr>
          <w:highlight w:val="none"/>
        </w:rPr>
        <w:t>，助力城市数字化转型。</w:t>
      </w:r>
    </w:p>
    <w:p>
      <w:pPr>
        <w:pStyle w:val="3"/>
        <w:rPr>
          <w:highlight w:val="none"/>
        </w:rPr>
      </w:pPr>
      <w:r>
        <w:rPr>
          <w:rFonts w:hint="eastAsia"/>
          <w:highlight w:val="none"/>
        </w:rPr>
        <w:t>绩效目标</w:t>
      </w:r>
    </w:p>
    <w:tbl>
      <w:tblPr>
        <w:tblStyle w:val="136"/>
        <w:tblW w:w="874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4"/>
        <w:gridCol w:w="1058"/>
        <w:gridCol w:w="1059"/>
        <w:gridCol w:w="1338"/>
        <w:gridCol w:w="2727"/>
        <w:gridCol w:w="182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744" w:type="dxa"/>
            <w:vMerge w:val="restart"/>
            <w:tcBorders>
              <w:bottom w:val="nil"/>
            </w:tcBorders>
          </w:tcPr>
          <w:p>
            <w:pPr>
              <w:spacing w:line="244" w:lineRule="auto"/>
              <w:ind w:firstLine="0" w:firstLineChars="0"/>
              <w:rPr>
                <w:rFonts w:ascii="Arial"/>
                <w:sz w:val="21"/>
                <w:highlight w:val="none"/>
              </w:rPr>
            </w:pPr>
          </w:p>
          <w:p>
            <w:pPr>
              <w:spacing w:line="244" w:lineRule="auto"/>
              <w:ind w:firstLine="0" w:firstLineChars="0"/>
              <w:rPr>
                <w:rFonts w:ascii="Arial"/>
                <w:sz w:val="21"/>
                <w:highlight w:val="none"/>
              </w:rPr>
            </w:pPr>
          </w:p>
          <w:p>
            <w:pPr>
              <w:spacing w:line="244" w:lineRule="auto"/>
              <w:ind w:firstLine="0" w:firstLineChars="0"/>
              <w:rPr>
                <w:rFonts w:ascii="Arial"/>
                <w:sz w:val="21"/>
                <w:highlight w:val="none"/>
              </w:rPr>
            </w:pPr>
          </w:p>
          <w:p>
            <w:pPr>
              <w:spacing w:line="244" w:lineRule="auto"/>
              <w:ind w:firstLine="0" w:firstLineChars="0"/>
              <w:rPr>
                <w:rFonts w:ascii="Arial"/>
                <w:sz w:val="21"/>
                <w:highlight w:val="none"/>
              </w:rPr>
            </w:pPr>
          </w:p>
          <w:p>
            <w:pPr>
              <w:spacing w:line="244" w:lineRule="auto"/>
              <w:ind w:firstLine="0" w:firstLineChars="0"/>
              <w:rPr>
                <w:rFonts w:ascii="Arial"/>
                <w:sz w:val="21"/>
                <w:highlight w:val="none"/>
              </w:rPr>
            </w:pPr>
          </w:p>
          <w:p>
            <w:pPr>
              <w:spacing w:line="245" w:lineRule="auto"/>
              <w:ind w:firstLine="0" w:firstLineChars="0"/>
              <w:rPr>
                <w:rFonts w:ascii="Arial"/>
                <w:sz w:val="21"/>
                <w:highlight w:val="none"/>
              </w:rPr>
            </w:pPr>
          </w:p>
          <w:p>
            <w:pPr>
              <w:spacing w:line="245" w:lineRule="auto"/>
              <w:ind w:firstLine="0" w:firstLineChars="0"/>
              <w:rPr>
                <w:rFonts w:ascii="Arial"/>
                <w:sz w:val="21"/>
                <w:highlight w:val="none"/>
              </w:rPr>
            </w:pPr>
          </w:p>
          <w:p>
            <w:pPr>
              <w:spacing w:line="245" w:lineRule="auto"/>
              <w:ind w:firstLine="0" w:firstLineChars="0"/>
              <w:rPr>
                <w:rFonts w:ascii="Arial"/>
                <w:sz w:val="21"/>
                <w:highlight w:val="none"/>
              </w:rPr>
            </w:pPr>
          </w:p>
          <w:p>
            <w:pPr>
              <w:spacing w:line="245" w:lineRule="auto"/>
              <w:ind w:firstLine="0" w:firstLineChars="0"/>
              <w:rPr>
                <w:rFonts w:ascii="Arial"/>
                <w:sz w:val="21"/>
                <w:highlight w:val="none"/>
              </w:rPr>
            </w:pPr>
          </w:p>
          <w:p>
            <w:pPr>
              <w:spacing w:line="245" w:lineRule="auto"/>
              <w:ind w:firstLine="0" w:firstLineChars="0"/>
              <w:rPr>
                <w:rFonts w:ascii="Arial"/>
                <w:sz w:val="21"/>
                <w:highlight w:val="none"/>
              </w:rPr>
            </w:pPr>
          </w:p>
          <w:p>
            <w:pPr>
              <w:spacing w:line="245" w:lineRule="auto"/>
              <w:ind w:firstLine="0" w:firstLineChars="0"/>
              <w:rPr>
                <w:rFonts w:ascii="Arial"/>
                <w:sz w:val="21"/>
                <w:highlight w:val="none"/>
              </w:rPr>
            </w:pPr>
          </w:p>
          <w:p>
            <w:pPr>
              <w:spacing w:line="245" w:lineRule="auto"/>
              <w:ind w:firstLine="0" w:firstLineChars="0"/>
              <w:rPr>
                <w:rFonts w:ascii="Arial"/>
                <w:sz w:val="21"/>
                <w:highlight w:val="none"/>
              </w:rPr>
            </w:pPr>
          </w:p>
          <w:p>
            <w:pPr>
              <w:spacing w:line="245" w:lineRule="auto"/>
              <w:ind w:firstLine="0" w:firstLineChars="0"/>
              <w:rPr>
                <w:rFonts w:ascii="Arial"/>
                <w:sz w:val="21"/>
                <w:highlight w:val="none"/>
              </w:rPr>
            </w:pPr>
          </w:p>
          <w:p>
            <w:pPr>
              <w:spacing w:line="245" w:lineRule="auto"/>
              <w:ind w:firstLine="0" w:firstLineChars="0"/>
              <w:rPr>
                <w:rFonts w:ascii="Arial"/>
                <w:sz w:val="21"/>
                <w:highlight w:val="none"/>
              </w:rPr>
            </w:pPr>
          </w:p>
          <w:p>
            <w:pPr>
              <w:spacing w:line="245" w:lineRule="auto"/>
              <w:ind w:firstLine="0" w:firstLineChars="0"/>
              <w:rPr>
                <w:rFonts w:ascii="Arial"/>
                <w:sz w:val="21"/>
                <w:highlight w:val="none"/>
              </w:rPr>
            </w:pPr>
          </w:p>
          <w:p>
            <w:pPr>
              <w:pStyle w:val="137"/>
              <w:spacing w:before="71" w:line="277" w:lineRule="auto"/>
              <w:ind w:left="145" w:right="132" w:firstLine="0" w:firstLineChars="0"/>
              <w:jc w:val="center"/>
              <w:rPr>
                <w:spacing w:val="-6"/>
                <w:sz w:val="22"/>
                <w:szCs w:val="22"/>
                <w:highlight w:val="none"/>
              </w:rPr>
            </w:pPr>
            <w:r>
              <w:rPr>
                <w:spacing w:val="8"/>
                <w:sz w:val="22"/>
                <w:szCs w:val="22"/>
                <w:highlight w:val="none"/>
              </w:rPr>
              <w:t>规划</w:t>
            </w:r>
            <w:r>
              <w:rPr>
                <w:spacing w:val="-6"/>
                <w:sz w:val="22"/>
                <w:szCs w:val="22"/>
                <w:highlight w:val="none"/>
              </w:rPr>
              <w:t>指</w:t>
            </w:r>
          </w:p>
          <w:p>
            <w:pPr>
              <w:pStyle w:val="137"/>
              <w:spacing w:before="71" w:line="277" w:lineRule="auto"/>
              <w:ind w:left="145" w:right="132" w:firstLine="0" w:firstLineChars="0"/>
              <w:jc w:val="center"/>
              <w:rPr>
                <w:spacing w:val="-3"/>
                <w:sz w:val="22"/>
                <w:szCs w:val="22"/>
                <w:highlight w:val="none"/>
              </w:rPr>
            </w:pPr>
            <w:r>
              <w:rPr>
                <w:spacing w:val="-6"/>
                <w:sz w:val="22"/>
                <w:szCs w:val="22"/>
                <w:highlight w:val="none"/>
              </w:rPr>
              <w:t>标</w:t>
            </w:r>
            <w:r>
              <w:rPr>
                <w:spacing w:val="-3"/>
                <w:sz w:val="22"/>
                <w:szCs w:val="22"/>
                <w:highlight w:val="none"/>
              </w:rPr>
              <w:t>参</w:t>
            </w:r>
          </w:p>
          <w:p>
            <w:pPr>
              <w:pStyle w:val="137"/>
              <w:spacing w:before="71" w:line="277" w:lineRule="auto"/>
              <w:ind w:left="145" w:right="132" w:firstLine="0" w:firstLineChars="0"/>
              <w:jc w:val="center"/>
              <w:rPr>
                <w:sz w:val="22"/>
                <w:szCs w:val="22"/>
                <w:highlight w:val="none"/>
              </w:rPr>
            </w:pPr>
            <w:r>
              <w:rPr>
                <w:spacing w:val="-3"/>
                <w:sz w:val="22"/>
                <w:szCs w:val="22"/>
                <w:highlight w:val="none"/>
              </w:rPr>
              <w:t>数</w:t>
            </w:r>
          </w:p>
        </w:tc>
        <w:tc>
          <w:tcPr>
            <w:tcW w:w="1058" w:type="dxa"/>
          </w:tcPr>
          <w:p>
            <w:pPr>
              <w:pStyle w:val="137"/>
              <w:spacing w:before="52" w:line="208" w:lineRule="auto"/>
              <w:ind w:left="81" w:firstLine="0" w:firstLineChars="0"/>
              <w:rPr>
                <w:sz w:val="22"/>
                <w:szCs w:val="22"/>
                <w:highlight w:val="none"/>
              </w:rPr>
            </w:pPr>
            <w:r>
              <w:rPr>
                <w:spacing w:val="2"/>
                <w:sz w:val="22"/>
                <w:szCs w:val="22"/>
                <w:highlight w:val="none"/>
              </w:rPr>
              <w:t>一级指标</w:t>
            </w:r>
          </w:p>
        </w:tc>
        <w:tc>
          <w:tcPr>
            <w:tcW w:w="1059" w:type="dxa"/>
          </w:tcPr>
          <w:p>
            <w:pPr>
              <w:pStyle w:val="137"/>
              <w:spacing w:before="52" w:line="208" w:lineRule="auto"/>
              <w:ind w:left="82" w:firstLine="0" w:firstLineChars="0"/>
              <w:rPr>
                <w:sz w:val="22"/>
                <w:szCs w:val="22"/>
                <w:highlight w:val="none"/>
              </w:rPr>
            </w:pPr>
            <w:r>
              <w:rPr>
                <w:spacing w:val="2"/>
                <w:sz w:val="22"/>
                <w:szCs w:val="22"/>
                <w:highlight w:val="none"/>
              </w:rPr>
              <w:t>二级指标</w:t>
            </w:r>
          </w:p>
        </w:tc>
        <w:tc>
          <w:tcPr>
            <w:tcW w:w="1338" w:type="dxa"/>
          </w:tcPr>
          <w:p>
            <w:pPr>
              <w:pStyle w:val="137"/>
              <w:spacing w:before="52" w:line="208" w:lineRule="auto"/>
              <w:ind w:left="223" w:firstLine="0" w:firstLineChars="0"/>
              <w:rPr>
                <w:sz w:val="22"/>
                <w:szCs w:val="22"/>
                <w:highlight w:val="none"/>
              </w:rPr>
            </w:pPr>
            <w:r>
              <w:rPr>
                <w:spacing w:val="-2"/>
                <w:sz w:val="22"/>
                <w:szCs w:val="22"/>
                <w:highlight w:val="none"/>
              </w:rPr>
              <w:t>三级指标</w:t>
            </w:r>
          </w:p>
        </w:tc>
        <w:tc>
          <w:tcPr>
            <w:tcW w:w="2727" w:type="dxa"/>
          </w:tcPr>
          <w:p>
            <w:pPr>
              <w:pStyle w:val="137"/>
              <w:spacing w:before="52" w:line="208" w:lineRule="auto"/>
              <w:ind w:left="925" w:firstLine="0" w:firstLineChars="0"/>
              <w:rPr>
                <w:sz w:val="22"/>
                <w:szCs w:val="22"/>
                <w:highlight w:val="none"/>
              </w:rPr>
            </w:pPr>
            <w:r>
              <w:rPr>
                <w:spacing w:val="2"/>
                <w:sz w:val="22"/>
                <w:szCs w:val="22"/>
                <w:highlight w:val="none"/>
              </w:rPr>
              <w:t>四级指标</w:t>
            </w:r>
          </w:p>
        </w:tc>
        <w:tc>
          <w:tcPr>
            <w:tcW w:w="1823" w:type="dxa"/>
          </w:tcPr>
          <w:p>
            <w:pPr>
              <w:pStyle w:val="137"/>
              <w:spacing w:before="50" w:line="209" w:lineRule="auto"/>
              <w:ind w:left="578" w:firstLine="0" w:firstLineChars="0"/>
              <w:rPr>
                <w:sz w:val="22"/>
                <w:szCs w:val="22"/>
                <w:highlight w:val="none"/>
              </w:rPr>
            </w:pPr>
            <w:r>
              <w:rPr>
                <w:spacing w:val="2"/>
                <w:sz w:val="22"/>
                <w:szCs w:val="22"/>
                <w:highlight w:val="none"/>
              </w:rPr>
              <w:t>目标值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744" w:type="dxa"/>
            <w:vMerge w:val="continue"/>
            <w:tcBorders>
              <w:top w:val="nil"/>
              <w:bottom w:val="nil"/>
            </w:tcBorders>
          </w:tcPr>
          <w:p>
            <w:pPr>
              <w:ind w:firstLine="0" w:firstLineChars="0"/>
              <w:rPr>
                <w:rFonts w:ascii="Arial"/>
                <w:sz w:val="21"/>
                <w:highlight w:val="none"/>
              </w:rPr>
            </w:pPr>
          </w:p>
        </w:tc>
        <w:tc>
          <w:tcPr>
            <w:tcW w:w="1058" w:type="dxa"/>
            <w:vMerge w:val="restart"/>
            <w:tcBorders>
              <w:bottom w:val="nil"/>
            </w:tcBorders>
          </w:tcPr>
          <w:p>
            <w:pPr>
              <w:spacing w:line="333" w:lineRule="auto"/>
              <w:ind w:firstLine="0" w:firstLineChars="0"/>
              <w:rPr>
                <w:rFonts w:ascii="Arial"/>
                <w:sz w:val="21"/>
                <w:highlight w:val="none"/>
              </w:rPr>
            </w:pPr>
          </w:p>
          <w:p>
            <w:pPr>
              <w:spacing w:line="333" w:lineRule="auto"/>
              <w:ind w:firstLine="0" w:firstLineChars="0"/>
              <w:rPr>
                <w:rFonts w:ascii="Arial"/>
                <w:sz w:val="21"/>
                <w:highlight w:val="none"/>
              </w:rPr>
            </w:pPr>
          </w:p>
          <w:p>
            <w:pPr>
              <w:pStyle w:val="137"/>
              <w:spacing w:before="71" w:line="220" w:lineRule="auto"/>
              <w:ind w:left="81" w:firstLine="0" w:firstLineChars="0"/>
              <w:rPr>
                <w:sz w:val="22"/>
                <w:szCs w:val="22"/>
                <w:highlight w:val="none"/>
              </w:rPr>
            </w:pPr>
            <w:r>
              <w:rPr>
                <w:spacing w:val="-2"/>
                <w:sz w:val="22"/>
                <w:szCs w:val="22"/>
                <w:highlight w:val="none"/>
              </w:rPr>
              <w:t>通用指标</w:t>
            </w:r>
          </w:p>
        </w:tc>
        <w:tc>
          <w:tcPr>
            <w:tcW w:w="1059" w:type="dxa"/>
            <w:vMerge w:val="restart"/>
            <w:tcBorders>
              <w:bottom w:val="nil"/>
            </w:tcBorders>
          </w:tcPr>
          <w:p>
            <w:pPr>
              <w:spacing w:line="332" w:lineRule="auto"/>
              <w:ind w:firstLine="0" w:firstLineChars="0"/>
              <w:rPr>
                <w:rFonts w:ascii="Arial"/>
                <w:sz w:val="21"/>
                <w:highlight w:val="none"/>
              </w:rPr>
            </w:pPr>
          </w:p>
          <w:p>
            <w:pPr>
              <w:spacing w:line="333" w:lineRule="auto"/>
              <w:ind w:firstLine="0" w:firstLineChars="0"/>
              <w:rPr>
                <w:rFonts w:ascii="Arial"/>
                <w:sz w:val="21"/>
                <w:highlight w:val="none"/>
              </w:rPr>
            </w:pPr>
          </w:p>
          <w:p>
            <w:pPr>
              <w:pStyle w:val="137"/>
              <w:spacing w:before="72" w:line="219" w:lineRule="auto"/>
              <w:ind w:left="82" w:firstLine="0" w:firstLineChars="0"/>
              <w:rPr>
                <w:sz w:val="22"/>
                <w:szCs w:val="22"/>
                <w:highlight w:val="none"/>
              </w:rPr>
            </w:pPr>
            <w:r>
              <w:rPr>
                <w:spacing w:val="-2"/>
                <w:sz w:val="22"/>
                <w:szCs w:val="22"/>
                <w:highlight w:val="none"/>
              </w:rPr>
              <w:t>产出指标</w:t>
            </w:r>
          </w:p>
        </w:tc>
        <w:tc>
          <w:tcPr>
            <w:tcW w:w="1338" w:type="dxa"/>
          </w:tcPr>
          <w:p>
            <w:pPr>
              <w:pStyle w:val="137"/>
              <w:spacing w:before="61" w:line="217" w:lineRule="auto"/>
              <w:ind w:left="223" w:firstLine="0" w:firstLineChars="0"/>
              <w:rPr>
                <w:sz w:val="22"/>
                <w:szCs w:val="22"/>
                <w:highlight w:val="none"/>
              </w:rPr>
            </w:pPr>
            <w:r>
              <w:rPr>
                <w:spacing w:val="-2"/>
                <w:sz w:val="22"/>
                <w:szCs w:val="22"/>
                <w:highlight w:val="none"/>
              </w:rPr>
              <w:t>产出数量</w:t>
            </w:r>
          </w:p>
        </w:tc>
        <w:tc>
          <w:tcPr>
            <w:tcW w:w="2727" w:type="dxa"/>
          </w:tcPr>
          <w:p>
            <w:pPr>
              <w:pStyle w:val="137"/>
              <w:spacing w:before="61" w:line="217" w:lineRule="auto"/>
              <w:ind w:left="106" w:firstLine="0" w:firstLineChars="0"/>
              <w:rPr>
                <w:sz w:val="22"/>
                <w:szCs w:val="22"/>
                <w:highlight w:val="none"/>
              </w:rPr>
            </w:pPr>
            <w:r>
              <w:rPr>
                <w:spacing w:val="-1"/>
                <w:sz w:val="22"/>
                <w:szCs w:val="22"/>
                <w:highlight w:val="none"/>
              </w:rPr>
              <w:t>产品软件购置完成率</w:t>
            </w:r>
          </w:p>
        </w:tc>
        <w:tc>
          <w:tcPr>
            <w:tcW w:w="1823" w:type="dxa"/>
          </w:tcPr>
          <w:p>
            <w:pPr>
              <w:pStyle w:val="137"/>
              <w:spacing w:before="82" w:line="199" w:lineRule="auto"/>
              <w:ind w:left="628" w:firstLine="0" w:firstLineChars="0"/>
              <w:rPr>
                <w:sz w:val="22"/>
                <w:szCs w:val="22"/>
                <w:highlight w:val="none"/>
              </w:rPr>
            </w:pPr>
            <w:r>
              <w:rPr>
                <w:spacing w:val="-2"/>
                <w:sz w:val="22"/>
                <w:szCs w:val="22"/>
                <w:highlight w:val="none"/>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744" w:type="dxa"/>
            <w:vMerge w:val="continue"/>
            <w:tcBorders>
              <w:top w:val="nil"/>
              <w:bottom w:val="nil"/>
            </w:tcBorders>
          </w:tcPr>
          <w:p>
            <w:pPr>
              <w:ind w:firstLine="0" w:firstLineChars="0"/>
              <w:rPr>
                <w:rFonts w:ascii="Arial"/>
                <w:sz w:val="21"/>
                <w:highlight w:val="none"/>
              </w:rPr>
            </w:pPr>
          </w:p>
        </w:tc>
        <w:tc>
          <w:tcPr>
            <w:tcW w:w="1058" w:type="dxa"/>
            <w:vMerge w:val="continue"/>
            <w:tcBorders>
              <w:top w:val="nil"/>
              <w:bottom w:val="nil"/>
            </w:tcBorders>
          </w:tcPr>
          <w:p>
            <w:pPr>
              <w:ind w:firstLine="0" w:firstLineChars="0"/>
              <w:rPr>
                <w:rFonts w:ascii="Arial"/>
                <w:sz w:val="21"/>
                <w:highlight w:val="none"/>
              </w:rPr>
            </w:pPr>
          </w:p>
        </w:tc>
        <w:tc>
          <w:tcPr>
            <w:tcW w:w="1059" w:type="dxa"/>
            <w:vMerge w:val="continue"/>
            <w:tcBorders>
              <w:top w:val="nil"/>
              <w:bottom w:val="nil"/>
            </w:tcBorders>
          </w:tcPr>
          <w:p>
            <w:pPr>
              <w:ind w:firstLine="0" w:firstLineChars="0"/>
              <w:rPr>
                <w:rFonts w:ascii="Arial"/>
                <w:sz w:val="21"/>
                <w:highlight w:val="none"/>
              </w:rPr>
            </w:pPr>
          </w:p>
        </w:tc>
        <w:tc>
          <w:tcPr>
            <w:tcW w:w="1338" w:type="dxa"/>
            <w:vMerge w:val="restart"/>
            <w:tcBorders>
              <w:bottom w:val="nil"/>
            </w:tcBorders>
          </w:tcPr>
          <w:p>
            <w:pPr>
              <w:spacing w:line="327" w:lineRule="auto"/>
              <w:ind w:firstLine="0" w:firstLineChars="0"/>
              <w:rPr>
                <w:rFonts w:ascii="Arial"/>
                <w:sz w:val="21"/>
                <w:highlight w:val="none"/>
              </w:rPr>
            </w:pPr>
          </w:p>
          <w:p>
            <w:pPr>
              <w:pStyle w:val="137"/>
              <w:spacing w:before="72" w:line="219" w:lineRule="auto"/>
              <w:ind w:left="223" w:firstLine="0" w:firstLineChars="0"/>
              <w:rPr>
                <w:sz w:val="22"/>
                <w:szCs w:val="22"/>
                <w:highlight w:val="none"/>
              </w:rPr>
            </w:pPr>
            <w:r>
              <w:rPr>
                <w:spacing w:val="-2"/>
                <w:sz w:val="22"/>
                <w:szCs w:val="22"/>
                <w:highlight w:val="none"/>
              </w:rPr>
              <w:t>产出质量</w:t>
            </w:r>
          </w:p>
        </w:tc>
        <w:tc>
          <w:tcPr>
            <w:tcW w:w="2727" w:type="dxa"/>
          </w:tcPr>
          <w:p>
            <w:pPr>
              <w:pStyle w:val="137"/>
              <w:spacing w:before="61" w:line="217" w:lineRule="auto"/>
              <w:ind w:left="106" w:firstLine="0" w:firstLineChars="0"/>
              <w:rPr>
                <w:sz w:val="22"/>
                <w:szCs w:val="22"/>
                <w:highlight w:val="none"/>
              </w:rPr>
            </w:pPr>
            <w:r>
              <w:rPr>
                <w:spacing w:val="1"/>
                <w:sz w:val="22"/>
                <w:szCs w:val="22"/>
                <w:highlight w:val="none"/>
              </w:rPr>
              <w:t>一次性验收合格率</w:t>
            </w:r>
          </w:p>
        </w:tc>
        <w:tc>
          <w:tcPr>
            <w:tcW w:w="1823" w:type="dxa"/>
          </w:tcPr>
          <w:p>
            <w:pPr>
              <w:pStyle w:val="137"/>
              <w:spacing w:before="82" w:line="199" w:lineRule="auto"/>
              <w:ind w:left="628" w:firstLine="0" w:firstLineChars="0"/>
              <w:rPr>
                <w:sz w:val="22"/>
                <w:szCs w:val="22"/>
                <w:highlight w:val="none"/>
              </w:rPr>
            </w:pPr>
            <w:r>
              <w:rPr>
                <w:spacing w:val="-2"/>
                <w:sz w:val="22"/>
                <w:szCs w:val="22"/>
                <w:highlight w:val="none"/>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744" w:type="dxa"/>
            <w:vMerge w:val="continue"/>
            <w:tcBorders>
              <w:top w:val="nil"/>
              <w:bottom w:val="nil"/>
            </w:tcBorders>
          </w:tcPr>
          <w:p>
            <w:pPr>
              <w:ind w:firstLine="0" w:firstLineChars="0"/>
              <w:rPr>
                <w:rFonts w:ascii="Arial"/>
                <w:sz w:val="21"/>
                <w:highlight w:val="none"/>
              </w:rPr>
            </w:pPr>
          </w:p>
        </w:tc>
        <w:tc>
          <w:tcPr>
            <w:tcW w:w="1058" w:type="dxa"/>
            <w:vMerge w:val="continue"/>
            <w:tcBorders>
              <w:top w:val="nil"/>
              <w:bottom w:val="nil"/>
            </w:tcBorders>
          </w:tcPr>
          <w:p>
            <w:pPr>
              <w:ind w:firstLine="0" w:firstLineChars="0"/>
              <w:rPr>
                <w:rFonts w:ascii="Arial"/>
                <w:sz w:val="21"/>
                <w:highlight w:val="none"/>
              </w:rPr>
            </w:pPr>
          </w:p>
        </w:tc>
        <w:tc>
          <w:tcPr>
            <w:tcW w:w="1059" w:type="dxa"/>
            <w:vMerge w:val="continue"/>
            <w:tcBorders>
              <w:top w:val="nil"/>
              <w:bottom w:val="nil"/>
            </w:tcBorders>
          </w:tcPr>
          <w:p>
            <w:pPr>
              <w:ind w:firstLine="0" w:firstLineChars="0"/>
              <w:rPr>
                <w:rFonts w:ascii="Arial"/>
                <w:sz w:val="21"/>
                <w:highlight w:val="none"/>
              </w:rPr>
            </w:pPr>
          </w:p>
        </w:tc>
        <w:tc>
          <w:tcPr>
            <w:tcW w:w="1338" w:type="dxa"/>
            <w:vMerge w:val="continue"/>
            <w:tcBorders>
              <w:top w:val="nil"/>
              <w:bottom w:val="nil"/>
            </w:tcBorders>
          </w:tcPr>
          <w:p>
            <w:pPr>
              <w:ind w:firstLine="0" w:firstLineChars="0"/>
              <w:rPr>
                <w:rFonts w:ascii="Arial"/>
                <w:sz w:val="21"/>
                <w:highlight w:val="none"/>
              </w:rPr>
            </w:pPr>
          </w:p>
        </w:tc>
        <w:tc>
          <w:tcPr>
            <w:tcW w:w="2727" w:type="dxa"/>
          </w:tcPr>
          <w:p>
            <w:pPr>
              <w:pStyle w:val="137"/>
              <w:spacing w:before="61" w:line="217" w:lineRule="auto"/>
              <w:ind w:left="106" w:firstLine="0" w:firstLineChars="0"/>
              <w:rPr>
                <w:sz w:val="22"/>
                <w:szCs w:val="22"/>
                <w:highlight w:val="none"/>
              </w:rPr>
            </w:pPr>
            <w:r>
              <w:rPr>
                <w:spacing w:val="1"/>
                <w:sz w:val="22"/>
                <w:szCs w:val="22"/>
                <w:highlight w:val="none"/>
              </w:rPr>
              <w:t>安全事件发生次数</w:t>
            </w:r>
          </w:p>
        </w:tc>
        <w:tc>
          <w:tcPr>
            <w:tcW w:w="1823" w:type="dxa"/>
          </w:tcPr>
          <w:p>
            <w:pPr>
              <w:pStyle w:val="137"/>
              <w:spacing w:before="61" w:line="217" w:lineRule="auto"/>
              <w:ind w:left="689" w:firstLine="0" w:firstLineChars="0"/>
              <w:rPr>
                <w:sz w:val="22"/>
                <w:szCs w:val="22"/>
                <w:highlight w:val="none"/>
              </w:rPr>
            </w:pPr>
            <w:r>
              <w:rPr>
                <w:spacing w:val="-2"/>
                <w:sz w:val="22"/>
                <w:szCs w:val="22"/>
                <w:highlight w:val="none"/>
              </w:rPr>
              <w:t>=0次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744" w:type="dxa"/>
            <w:vMerge w:val="continue"/>
            <w:tcBorders>
              <w:top w:val="nil"/>
              <w:bottom w:val="nil"/>
            </w:tcBorders>
          </w:tcPr>
          <w:p>
            <w:pPr>
              <w:ind w:firstLine="0" w:firstLineChars="0"/>
              <w:rPr>
                <w:rFonts w:ascii="Arial"/>
                <w:sz w:val="21"/>
                <w:highlight w:val="none"/>
              </w:rPr>
            </w:pPr>
          </w:p>
        </w:tc>
        <w:tc>
          <w:tcPr>
            <w:tcW w:w="1058" w:type="dxa"/>
            <w:vMerge w:val="continue"/>
            <w:tcBorders>
              <w:top w:val="nil"/>
              <w:bottom w:val="nil"/>
            </w:tcBorders>
          </w:tcPr>
          <w:p>
            <w:pPr>
              <w:ind w:firstLine="0" w:firstLineChars="0"/>
              <w:rPr>
                <w:rFonts w:ascii="Arial"/>
                <w:sz w:val="21"/>
                <w:highlight w:val="none"/>
              </w:rPr>
            </w:pPr>
          </w:p>
        </w:tc>
        <w:tc>
          <w:tcPr>
            <w:tcW w:w="1059" w:type="dxa"/>
            <w:vMerge w:val="continue"/>
            <w:tcBorders>
              <w:top w:val="nil"/>
              <w:bottom w:val="nil"/>
            </w:tcBorders>
          </w:tcPr>
          <w:p>
            <w:pPr>
              <w:ind w:firstLine="0" w:firstLineChars="0"/>
              <w:rPr>
                <w:rFonts w:ascii="Arial"/>
                <w:sz w:val="21"/>
                <w:highlight w:val="none"/>
              </w:rPr>
            </w:pPr>
          </w:p>
        </w:tc>
        <w:tc>
          <w:tcPr>
            <w:tcW w:w="1338" w:type="dxa"/>
            <w:vMerge w:val="continue"/>
            <w:tcBorders>
              <w:top w:val="nil"/>
            </w:tcBorders>
          </w:tcPr>
          <w:p>
            <w:pPr>
              <w:ind w:firstLine="0" w:firstLineChars="0"/>
              <w:rPr>
                <w:rFonts w:ascii="Arial"/>
                <w:sz w:val="21"/>
                <w:highlight w:val="none"/>
              </w:rPr>
            </w:pPr>
          </w:p>
        </w:tc>
        <w:tc>
          <w:tcPr>
            <w:tcW w:w="2727" w:type="dxa"/>
          </w:tcPr>
          <w:p>
            <w:pPr>
              <w:pStyle w:val="137"/>
              <w:spacing w:before="62" w:line="216" w:lineRule="auto"/>
              <w:ind w:left="106" w:firstLine="0" w:firstLineChars="0"/>
              <w:rPr>
                <w:sz w:val="22"/>
                <w:szCs w:val="22"/>
                <w:highlight w:val="none"/>
              </w:rPr>
            </w:pPr>
            <w:r>
              <w:rPr>
                <w:spacing w:val="1"/>
                <w:sz w:val="22"/>
                <w:szCs w:val="22"/>
                <w:highlight w:val="none"/>
              </w:rPr>
              <w:t>系统可靠性</w:t>
            </w:r>
          </w:p>
        </w:tc>
        <w:tc>
          <w:tcPr>
            <w:tcW w:w="1823" w:type="dxa"/>
          </w:tcPr>
          <w:p>
            <w:pPr>
              <w:pStyle w:val="137"/>
              <w:spacing w:before="82" w:line="199" w:lineRule="auto"/>
              <w:ind w:left="518" w:firstLine="0" w:firstLineChars="0"/>
              <w:rPr>
                <w:sz w:val="22"/>
                <w:szCs w:val="22"/>
                <w:highlight w:val="none"/>
              </w:rPr>
            </w:pPr>
            <w:r>
              <w:rPr>
                <w:spacing w:val="-5"/>
                <w:sz w:val="22"/>
                <w:szCs w:val="22"/>
                <w:highlight w:val="none"/>
              </w:rPr>
              <w:t>≥99.9%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trPr>
        <w:tc>
          <w:tcPr>
            <w:tcW w:w="744" w:type="dxa"/>
            <w:vMerge w:val="continue"/>
            <w:tcBorders>
              <w:top w:val="nil"/>
              <w:bottom w:val="nil"/>
            </w:tcBorders>
          </w:tcPr>
          <w:p>
            <w:pPr>
              <w:ind w:firstLine="0" w:firstLineChars="0"/>
              <w:rPr>
                <w:rFonts w:ascii="Arial"/>
                <w:sz w:val="21"/>
                <w:highlight w:val="none"/>
              </w:rPr>
            </w:pPr>
          </w:p>
        </w:tc>
        <w:tc>
          <w:tcPr>
            <w:tcW w:w="1058" w:type="dxa"/>
            <w:vMerge w:val="continue"/>
            <w:tcBorders>
              <w:top w:val="nil"/>
            </w:tcBorders>
          </w:tcPr>
          <w:p>
            <w:pPr>
              <w:ind w:firstLine="0" w:firstLineChars="0"/>
              <w:rPr>
                <w:rFonts w:ascii="Arial"/>
                <w:sz w:val="21"/>
                <w:highlight w:val="none"/>
              </w:rPr>
            </w:pPr>
          </w:p>
        </w:tc>
        <w:tc>
          <w:tcPr>
            <w:tcW w:w="1059" w:type="dxa"/>
            <w:vMerge w:val="continue"/>
            <w:tcBorders>
              <w:top w:val="nil"/>
            </w:tcBorders>
          </w:tcPr>
          <w:p>
            <w:pPr>
              <w:ind w:firstLine="0" w:firstLineChars="0"/>
              <w:rPr>
                <w:rFonts w:ascii="Arial"/>
                <w:sz w:val="21"/>
                <w:highlight w:val="none"/>
              </w:rPr>
            </w:pPr>
          </w:p>
        </w:tc>
        <w:tc>
          <w:tcPr>
            <w:tcW w:w="1338" w:type="dxa"/>
          </w:tcPr>
          <w:p>
            <w:pPr>
              <w:pStyle w:val="137"/>
              <w:spacing w:before="60" w:line="217" w:lineRule="auto"/>
              <w:ind w:left="223" w:firstLine="0" w:firstLineChars="0"/>
              <w:rPr>
                <w:sz w:val="22"/>
                <w:szCs w:val="22"/>
                <w:highlight w:val="none"/>
              </w:rPr>
            </w:pPr>
            <w:r>
              <w:rPr>
                <w:spacing w:val="-2"/>
                <w:sz w:val="22"/>
                <w:szCs w:val="22"/>
                <w:highlight w:val="none"/>
              </w:rPr>
              <w:t>产出时效</w:t>
            </w:r>
          </w:p>
        </w:tc>
        <w:tc>
          <w:tcPr>
            <w:tcW w:w="2727" w:type="dxa"/>
          </w:tcPr>
          <w:p>
            <w:pPr>
              <w:pStyle w:val="137"/>
              <w:spacing w:before="61" w:line="216" w:lineRule="auto"/>
              <w:ind w:left="106" w:firstLine="0" w:firstLineChars="0"/>
              <w:rPr>
                <w:sz w:val="22"/>
                <w:szCs w:val="22"/>
                <w:highlight w:val="none"/>
              </w:rPr>
            </w:pPr>
            <w:r>
              <w:rPr>
                <w:spacing w:val="2"/>
                <w:sz w:val="22"/>
                <w:szCs w:val="22"/>
                <w:highlight w:val="none"/>
              </w:rPr>
              <w:t>项目建设周期</w:t>
            </w:r>
          </w:p>
        </w:tc>
        <w:tc>
          <w:tcPr>
            <w:tcW w:w="1823" w:type="dxa"/>
          </w:tcPr>
          <w:p>
            <w:pPr>
              <w:pStyle w:val="137"/>
              <w:spacing w:before="60" w:line="217" w:lineRule="auto"/>
              <w:ind w:left="628" w:firstLine="0" w:firstLineChars="0"/>
              <w:rPr>
                <w:sz w:val="22"/>
                <w:szCs w:val="22"/>
                <w:highlight w:val="none"/>
              </w:rPr>
            </w:pPr>
            <w:r>
              <w:rPr>
                <w:spacing w:val="14"/>
                <w:sz w:val="22"/>
                <w:szCs w:val="22"/>
                <w:highlight w:val="none"/>
              </w:rPr>
              <w:t>≤6月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744" w:type="dxa"/>
            <w:vMerge w:val="continue"/>
            <w:tcBorders>
              <w:top w:val="nil"/>
              <w:bottom w:val="nil"/>
            </w:tcBorders>
          </w:tcPr>
          <w:p>
            <w:pPr>
              <w:ind w:firstLine="0" w:firstLineChars="0"/>
              <w:rPr>
                <w:rFonts w:ascii="Arial"/>
                <w:sz w:val="21"/>
                <w:highlight w:val="none"/>
              </w:rPr>
            </w:pPr>
          </w:p>
        </w:tc>
        <w:tc>
          <w:tcPr>
            <w:tcW w:w="1058" w:type="dxa"/>
            <w:vMerge w:val="restart"/>
            <w:tcBorders>
              <w:bottom w:val="nil"/>
            </w:tcBorders>
          </w:tcPr>
          <w:p>
            <w:pPr>
              <w:spacing w:line="250" w:lineRule="auto"/>
              <w:ind w:firstLine="0" w:firstLineChars="0"/>
              <w:rPr>
                <w:rFonts w:ascii="Arial"/>
                <w:sz w:val="21"/>
                <w:highlight w:val="none"/>
              </w:rPr>
            </w:pPr>
          </w:p>
          <w:p>
            <w:pPr>
              <w:spacing w:line="250" w:lineRule="auto"/>
              <w:ind w:firstLine="0" w:firstLineChars="0"/>
              <w:rPr>
                <w:rFonts w:ascii="Arial"/>
                <w:sz w:val="21"/>
                <w:highlight w:val="none"/>
              </w:rPr>
            </w:pPr>
          </w:p>
          <w:p>
            <w:pPr>
              <w:spacing w:line="250" w:lineRule="auto"/>
              <w:ind w:firstLine="0" w:firstLineChars="0"/>
              <w:rPr>
                <w:rFonts w:ascii="Arial"/>
                <w:sz w:val="21"/>
                <w:highlight w:val="none"/>
              </w:rPr>
            </w:pPr>
          </w:p>
          <w:p>
            <w:pPr>
              <w:spacing w:line="250" w:lineRule="auto"/>
              <w:ind w:firstLine="0" w:firstLineChars="0"/>
              <w:rPr>
                <w:rFonts w:ascii="Arial"/>
                <w:sz w:val="21"/>
                <w:highlight w:val="none"/>
              </w:rPr>
            </w:pPr>
          </w:p>
          <w:p>
            <w:pPr>
              <w:spacing w:line="250" w:lineRule="auto"/>
              <w:ind w:firstLine="0" w:firstLineChars="0"/>
              <w:rPr>
                <w:rFonts w:ascii="Arial"/>
                <w:sz w:val="21"/>
                <w:highlight w:val="none"/>
              </w:rPr>
            </w:pPr>
          </w:p>
          <w:p>
            <w:pPr>
              <w:spacing w:line="250" w:lineRule="auto"/>
              <w:ind w:firstLine="0" w:firstLineChars="0"/>
              <w:rPr>
                <w:rFonts w:ascii="Arial"/>
                <w:sz w:val="21"/>
                <w:highlight w:val="none"/>
              </w:rPr>
            </w:pPr>
          </w:p>
          <w:p>
            <w:pPr>
              <w:spacing w:line="250" w:lineRule="auto"/>
              <w:ind w:firstLine="0" w:firstLineChars="0"/>
              <w:rPr>
                <w:rFonts w:ascii="Arial"/>
                <w:sz w:val="21"/>
                <w:highlight w:val="none"/>
              </w:rPr>
            </w:pPr>
          </w:p>
          <w:p>
            <w:pPr>
              <w:spacing w:line="250" w:lineRule="auto"/>
              <w:ind w:firstLine="0" w:firstLineChars="0"/>
              <w:rPr>
                <w:rFonts w:ascii="Arial"/>
                <w:sz w:val="21"/>
                <w:highlight w:val="none"/>
              </w:rPr>
            </w:pPr>
          </w:p>
          <w:p>
            <w:pPr>
              <w:spacing w:line="250" w:lineRule="auto"/>
              <w:ind w:firstLine="0" w:firstLineChars="0"/>
              <w:rPr>
                <w:rFonts w:ascii="Arial"/>
                <w:sz w:val="21"/>
                <w:highlight w:val="none"/>
              </w:rPr>
            </w:pPr>
          </w:p>
          <w:p>
            <w:pPr>
              <w:spacing w:line="250" w:lineRule="auto"/>
              <w:ind w:firstLine="0" w:firstLineChars="0"/>
              <w:rPr>
                <w:rFonts w:ascii="Arial"/>
                <w:sz w:val="21"/>
                <w:highlight w:val="none"/>
              </w:rPr>
            </w:pPr>
          </w:p>
          <w:p>
            <w:pPr>
              <w:spacing w:line="251" w:lineRule="auto"/>
              <w:ind w:firstLine="0" w:firstLineChars="0"/>
              <w:rPr>
                <w:rFonts w:ascii="Arial"/>
                <w:sz w:val="21"/>
                <w:highlight w:val="none"/>
              </w:rPr>
            </w:pPr>
          </w:p>
          <w:p>
            <w:pPr>
              <w:spacing w:line="251" w:lineRule="auto"/>
              <w:ind w:firstLine="0" w:firstLineChars="0"/>
              <w:rPr>
                <w:rFonts w:ascii="Arial"/>
                <w:sz w:val="21"/>
                <w:highlight w:val="none"/>
              </w:rPr>
            </w:pPr>
          </w:p>
          <w:p>
            <w:pPr>
              <w:pStyle w:val="137"/>
              <w:spacing w:before="71" w:line="219" w:lineRule="auto"/>
              <w:ind w:left="81" w:firstLine="0" w:firstLineChars="0"/>
              <w:rPr>
                <w:sz w:val="22"/>
                <w:szCs w:val="22"/>
                <w:highlight w:val="none"/>
              </w:rPr>
            </w:pPr>
            <w:r>
              <w:rPr>
                <w:spacing w:val="-2"/>
                <w:sz w:val="22"/>
                <w:szCs w:val="22"/>
                <w:highlight w:val="none"/>
              </w:rPr>
              <w:t>业务指标</w:t>
            </w:r>
          </w:p>
        </w:tc>
        <w:tc>
          <w:tcPr>
            <w:tcW w:w="1059" w:type="dxa"/>
            <w:vMerge w:val="restart"/>
            <w:tcBorders>
              <w:bottom w:val="nil"/>
            </w:tcBorders>
          </w:tcPr>
          <w:p>
            <w:pPr>
              <w:spacing w:line="257" w:lineRule="auto"/>
              <w:ind w:firstLine="0" w:firstLineChars="0"/>
              <w:rPr>
                <w:rFonts w:ascii="Arial"/>
                <w:sz w:val="21"/>
                <w:highlight w:val="none"/>
              </w:rPr>
            </w:pPr>
          </w:p>
          <w:p>
            <w:pPr>
              <w:spacing w:line="257" w:lineRule="auto"/>
              <w:ind w:firstLine="0" w:firstLineChars="0"/>
              <w:rPr>
                <w:rFonts w:ascii="Arial"/>
                <w:sz w:val="21"/>
                <w:highlight w:val="none"/>
              </w:rPr>
            </w:pPr>
          </w:p>
          <w:p>
            <w:pPr>
              <w:spacing w:line="257" w:lineRule="auto"/>
              <w:ind w:firstLine="0" w:firstLineChars="0"/>
              <w:rPr>
                <w:rFonts w:ascii="Arial"/>
                <w:sz w:val="21"/>
                <w:highlight w:val="none"/>
              </w:rPr>
            </w:pPr>
          </w:p>
          <w:p>
            <w:pPr>
              <w:spacing w:line="257" w:lineRule="auto"/>
              <w:ind w:firstLine="0" w:firstLineChars="0"/>
              <w:rPr>
                <w:rFonts w:ascii="Arial"/>
                <w:sz w:val="21"/>
                <w:highlight w:val="none"/>
              </w:rPr>
            </w:pPr>
          </w:p>
          <w:p>
            <w:pPr>
              <w:spacing w:line="257" w:lineRule="auto"/>
              <w:ind w:firstLine="0" w:firstLineChars="0"/>
              <w:rPr>
                <w:rFonts w:ascii="Arial"/>
                <w:sz w:val="21"/>
                <w:highlight w:val="none"/>
              </w:rPr>
            </w:pPr>
          </w:p>
          <w:p>
            <w:pPr>
              <w:spacing w:line="258" w:lineRule="auto"/>
              <w:ind w:firstLine="0" w:firstLineChars="0"/>
              <w:rPr>
                <w:rFonts w:ascii="Arial"/>
                <w:sz w:val="21"/>
                <w:highlight w:val="none"/>
              </w:rPr>
            </w:pPr>
          </w:p>
          <w:p>
            <w:pPr>
              <w:spacing w:line="258" w:lineRule="auto"/>
              <w:ind w:firstLine="0" w:firstLineChars="0"/>
              <w:rPr>
                <w:rFonts w:ascii="Arial"/>
                <w:sz w:val="21"/>
                <w:highlight w:val="none"/>
              </w:rPr>
            </w:pPr>
          </w:p>
          <w:p>
            <w:pPr>
              <w:spacing w:line="258" w:lineRule="auto"/>
              <w:ind w:firstLine="0" w:firstLineChars="0"/>
              <w:rPr>
                <w:rFonts w:ascii="Arial"/>
                <w:sz w:val="21"/>
                <w:highlight w:val="none"/>
              </w:rPr>
            </w:pPr>
          </w:p>
          <w:p>
            <w:pPr>
              <w:spacing w:line="258" w:lineRule="auto"/>
              <w:ind w:firstLine="0" w:firstLineChars="0"/>
              <w:rPr>
                <w:rFonts w:ascii="Arial"/>
                <w:sz w:val="21"/>
                <w:highlight w:val="none"/>
              </w:rPr>
            </w:pPr>
          </w:p>
          <w:p>
            <w:pPr>
              <w:spacing w:line="258" w:lineRule="auto"/>
              <w:ind w:firstLine="0" w:firstLineChars="0"/>
              <w:rPr>
                <w:rFonts w:ascii="Arial"/>
                <w:sz w:val="21"/>
                <w:highlight w:val="none"/>
              </w:rPr>
            </w:pPr>
          </w:p>
          <w:p>
            <w:pPr>
              <w:spacing w:line="258" w:lineRule="auto"/>
              <w:ind w:firstLine="0" w:firstLineChars="0"/>
              <w:rPr>
                <w:rFonts w:ascii="Arial"/>
                <w:sz w:val="21"/>
                <w:highlight w:val="none"/>
              </w:rPr>
            </w:pPr>
          </w:p>
          <w:p>
            <w:pPr>
              <w:pStyle w:val="137"/>
              <w:spacing w:before="71" w:line="219" w:lineRule="auto"/>
              <w:ind w:left="82" w:firstLine="0" w:firstLineChars="0"/>
              <w:rPr>
                <w:sz w:val="22"/>
                <w:szCs w:val="22"/>
                <w:highlight w:val="none"/>
              </w:rPr>
            </w:pPr>
            <w:r>
              <w:rPr>
                <w:spacing w:val="-2"/>
                <w:sz w:val="22"/>
                <w:szCs w:val="22"/>
                <w:highlight w:val="none"/>
              </w:rPr>
              <w:t>产出指标</w:t>
            </w:r>
          </w:p>
        </w:tc>
        <w:tc>
          <w:tcPr>
            <w:tcW w:w="1338" w:type="dxa"/>
            <w:vMerge w:val="restart"/>
            <w:tcBorders>
              <w:bottom w:val="nil"/>
            </w:tcBorders>
          </w:tcPr>
          <w:p>
            <w:pPr>
              <w:spacing w:line="257" w:lineRule="auto"/>
              <w:ind w:firstLine="0" w:firstLineChars="0"/>
              <w:rPr>
                <w:rFonts w:ascii="Arial"/>
                <w:sz w:val="21"/>
                <w:highlight w:val="none"/>
              </w:rPr>
            </w:pPr>
          </w:p>
          <w:p>
            <w:pPr>
              <w:spacing w:line="257" w:lineRule="auto"/>
              <w:ind w:firstLine="0" w:firstLineChars="0"/>
              <w:rPr>
                <w:rFonts w:ascii="Arial"/>
                <w:sz w:val="21"/>
                <w:highlight w:val="none"/>
              </w:rPr>
            </w:pPr>
          </w:p>
          <w:p>
            <w:pPr>
              <w:spacing w:line="257" w:lineRule="auto"/>
              <w:ind w:firstLine="0" w:firstLineChars="0"/>
              <w:rPr>
                <w:rFonts w:ascii="Arial"/>
                <w:sz w:val="21"/>
                <w:highlight w:val="none"/>
              </w:rPr>
            </w:pPr>
          </w:p>
          <w:p>
            <w:pPr>
              <w:spacing w:line="257" w:lineRule="auto"/>
              <w:ind w:firstLine="0" w:firstLineChars="0"/>
              <w:rPr>
                <w:rFonts w:ascii="Arial"/>
                <w:sz w:val="21"/>
                <w:highlight w:val="none"/>
              </w:rPr>
            </w:pPr>
          </w:p>
          <w:p>
            <w:pPr>
              <w:spacing w:line="257" w:lineRule="auto"/>
              <w:ind w:firstLine="0" w:firstLineChars="0"/>
              <w:rPr>
                <w:rFonts w:ascii="Arial"/>
                <w:sz w:val="21"/>
                <w:highlight w:val="none"/>
              </w:rPr>
            </w:pPr>
          </w:p>
          <w:p>
            <w:pPr>
              <w:spacing w:line="258" w:lineRule="auto"/>
              <w:ind w:firstLine="0" w:firstLineChars="0"/>
              <w:rPr>
                <w:rFonts w:ascii="Arial"/>
                <w:sz w:val="21"/>
                <w:highlight w:val="none"/>
              </w:rPr>
            </w:pPr>
          </w:p>
          <w:p>
            <w:pPr>
              <w:spacing w:line="258" w:lineRule="auto"/>
              <w:ind w:firstLine="0" w:firstLineChars="0"/>
              <w:rPr>
                <w:rFonts w:ascii="Arial"/>
                <w:sz w:val="21"/>
                <w:highlight w:val="none"/>
              </w:rPr>
            </w:pPr>
          </w:p>
          <w:p>
            <w:pPr>
              <w:spacing w:line="258" w:lineRule="auto"/>
              <w:ind w:firstLine="0" w:firstLineChars="0"/>
              <w:rPr>
                <w:rFonts w:ascii="Arial"/>
                <w:sz w:val="21"/>
                <w:highlight w:val="none"/>
              </w:rPr>
            </w:pPr>
          </w:p>
          <w:p>
            <w:pPr>
              <w:spacing w:line="258" w:lineRule="auto"/>
              <w:ind w:firstLine="0" w:firstLineChars="0"/>
              <w:rPr>
                <w:rFonts w:ascii="Arial"/>
                <w:sz w:val="21"/>
                <w:highlight w:val="none"/>
              </w:rPr>
            </w:pPr>
          </w:p>
          <w:p>
            <w:pPr>
              <w:spacing w:line="258" w:lineRule="auto"/>
              <w:ind w:firstLine="0" w:firstLineChars="0"/>
              <w:rPr>
                <w:rFonts w:ascii="Arial"/>
                <w:sz w:val="21"/>
                <w:highlight w:val="none"/>
              </w:rPr>
            </w:pPr>
          </w:p>
          <w:p>
            <w:pPr>
              <w:spacing w:line="258" w:lineRule="auto"/>
              <w:ind w:firstLine="0" w:firstLineChars="0"/>
              <w:rPr>
                <w:rFonts w:ascii="Arial"/>
                <w:sz w:val="21"/>
                <w:highlight w:val="none"/>
              </w:rPr>
            </w:pPr>
          </w:p>
          <w:p>
            <w:pPr>
              <w:pStyle w:val="137"/>
              <w:spacing w:before="71" w:line="219" w:lineRule="auto"/>
              <w:ind w:left="223" w:firstLine="0" w:firstLineChars="0"/>
              <w:rPr>
                <w:sz w:val="22"/>
                <w:szCs w:val="22"/>
                <w:highlight w:val="none"/>
              </w:rPr>
            </w:pPr>
            <w:r>
              <w:rPr>
                <w:spacing w:val="-2"/>
                <w:sz w:val="22"/>
                <w:szCs w:val="22"/>
                <w:highlight w:val="none"/>
              </w:rPr>
              <w:t>产出数量</w:t>
            </w:r>
          </w:p>
        </w:tc>
        <w:tc>
          <w:tcPr>
            <w:tcW w:w="2727" w:type="dxa"/>
          </w:tcPr>
          <w:p>
            <w:pPr>
              <w:pStyle w:val="137"/>
              <w:spacing w:before="61" w:line="217" w:lineRule="auto"/>
              <w:ind w:left="106" w:firstLine="0" w:firstLineChars="0"/>
              <w:rPr>
                <w:sz w:val="22"/>
                <w:szCs w:val="22"/>
                <w:highlight w:val="none"/>
              </w:rPr>
            </w:pPr>
            <w:r>
              <w:rPr>
                <w:spacing w:val="1"/>
                <w:sz w:val="22"/>
                <w:szCs w:val="22"/>
                <w:highlight w:val="none"/>
              </w:rPr>
              <w:t>版式办公工具-</w:t>
            </w:r>
            <w:r>
              <w:rPr>
                <w:sz w:val="22"/>
                <w:szCs w:val="22"/>
                <w:highlight w:val="none"/>
              </w:rPr>
              <w:t>PC</w:t>
            </w:r>
            <w:r>
              <w:rPr>
                <w:spacing w:val="1"/>
                <w:sz w:val="22"/>
                <w:szCs w:val="22"/>
                <w:highlight w:val="none"/>
              </w:rPr>
              <w:t>端</w:t>
            </w:r>
          </w:p>
        </w:tc>
        <w:tc>
          <w:tcPr>
            <w:tcW w:w="1823" w:type="dxa"/>
          </w:tcPr>
          <w:p>
            <w:pPr>
              <w:pStyle w:val="137"/>
              <w:spacing w:before="61" w:line="217" w:lineRule="auto"/>
              <w:ind w:left="409" w:firstLine="0" w:firstLineChars="0"/>
              <w:rPr>
                <w:sz w:val="22"/>
                <w:szCs w:val="22"/>
                <w:highlight w:val="none"/>
              </w:rPr>
            </w:pPr>
            <w:r>
              <w:rPr>
                <w:spacing w:val="-1"/>
                <w:sz w:val="22"/>
                <w:szCs w:val="22"/>
                <w:highlight w:val="none"/>
              </w:rPr>
              <w:t>=488套/年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trPr>
        <w:tc>
          <w:tcPr>
            <w:tcW w:w="744" w:type="dxa"/>
            <w:vMerge w:val="continue"/>
            <w:tcBorders>
              <w:top w:val="nil"/>
              <w:bottom w:val="nil"/>
            </w:tcBorders>
          </w:tcPr>
          <w:p>
            <w:pPr>
              <w:ind w:firstLine="0" w:firstLineChars="0"/>
              <w:rPr>
                <w:rFonts w:ascii="Arial"/>
                <w:sz w:val="21"/>
                <w:highlight w:val="none"/>
              </w:rPr>
            </w:pPr>
          </w:p>
        </w:tc>
        <w:tc>
          <w:tcPr>
            <w:tcW w:w="1058" w:type="dxa"/>
            <w:vMerge w:val="continue"/>
            <w:tcBorders>
              <w:top w:val="nil"/>
              <w:bottom w:val="nil"/>
            </w:tcBorders>
          </w:tcPr>
          <w:p>
            <w:pPr>
              <w:ind w:firstLine="0" w:firstLineChars="0"/>
              <w:rPr>
                <w:rFonts w:ascii="Arial"/>
                <w:sz w:val="21"/>
                <w:highlight w:val="none"/>
              </w:rPr>
            </w:pPr>
          </w:p>
        </w:tc>
        <w:tc>
          <w:tcPr>
            <w:tcW w:w="1059" w:type="dxa"/>
            <w:vMerge w:val="continue"/>
            <w:tcBorders>
              <w:top w:val="nil"/>
              <w:bottom w:val="nil"/>
            </w:tcBorders>
          </w:tcPr>
          <w:p>
            <w:pPr>
              <w:ind w:firstLine="0" w:firstLineChars="0"/>
              <w:rPr>
                <w:rFonts w:ascii="Arial"/>
                <w:sz w:val="21"/>
                <w:highlight w:val="none"/>
              </w:rPr>
            </w:pPr>
          </w:p>
        </w:tc>
        <w:tc>
          <w:tcPr>
            <w:tcW w:w="1338" w:type="dxa"/>
            <w:vMerge w:val="continue"/>
            <w:tcBorders>
              <w:top w:val="nil"/>
              <w:bottom w:val="nil"/>
            </w:tcBorders>
          </w:tcPr>
          <w:p>
            <w:pPr>
              <w:ind w:firstLine="0" w:firstLineChars="0"/>
              <w:rPr>
                <w:rFonts w:ascii="Arial"/>
                <w:sz w:val="21"/>
                <w:highlight w:val="none"/>
              </w:rPr>
            </w:pPr>
          </w:p>
        </w:tc>
        <w:tc>
          <w:tcPr>
            <w:tcW w:w="2727" w:type="dxa"/>
          </w:tcPr>
          <w:p>
            <w:pPr>
              <w:pStyle w:val="137"/>
              <w:spacing w:before="61" w:line="216" w:lineRule="auto"/>
              <w:ind w:left="106" w:firstLine="0" w:firstLineChars="0"/>
              <w:rPr>
                <w:sz w:val="22"/>
                <w:szCs w:val="22"/>
                <w:highlight w:val="none"/>
              </w:rPr>
            </w:pPr>
            <w:r>
              <w:rPr>
                <w:spacing w:val="1"/>
                <w:sz w:val="22"/>
                <w:szCs w:val="22"/>
                <w:highlight w:val="none"/>
              </w:rPr>
              <w:t>流式办公工具-</w:t>
            </w:r>
            <w:r>
              <w:rPr>
                <w:sz w:val="22"/>
                <w:szCs w:val="22"/>
                <w:highlight w:val="none"/>
              </w:rPr>
              <w:t>PC</w:t>
            </w:r>
            <w:r>
              <w:rPr>
                <w:spacing w:val="1"/>
                <w:sz w:val="22"/>
                <w:szCs w:val="22"/>
                <w:highlight w:val="none"/>
              </w:rPr>
              <w:t>端</w:t>
            </w:r>
          </w:p>
        </w:tc>
        <w:tc>
          <w:tcPr>
            <w:tcW w:w="1823" w:type="dxa"/>
          </w:tcPr>
          <w:p>
            <w:pPr>
              <w:pStyle w:val="137"/>
              <w:spacing w:before="61" w:line="216" w:lineRule="auto"/>
              <w:ind w:left="409" w:firstLine="0" w:firstLineChars="0"/>
              <w:rPr>
                <w:sz w:val="22"/>
                <w:szCs w:val="22"/>
                <w:highlight w:val="none"/>
              </w:rPr>
            </w:pPr>
            <w:r>
              <w:rPr>
                <w:spacing w:val="-1"/>
                <w:sz w:val="22"/>
                <w:szCs w:val="22"/>
                <w:highlight w:val="none"/>
              </w:rPr>
              <w:t>=746套/年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744" w:type="dxa"/>
            <w:vMerge w:val="continue"/>
            <w:tcBorders>
              <w:top w:val="nil"/>
              <w:bottom w:val="nil"/>
            </w:tcBorders>
          </w:tcPr>
          <w:p>
            <w:pPr>
              <w:ind w:firstLine="0" w:firstLineChars="0"/>
              <w:rPr>
                <w:rFonts w:ascii="Arial"/>
                <w:sz w:val="21"/>
                <w:highlight w:val="none"/>
              </w:rPr>
            </w:pPr>
          </w:p>
        </w:tc>
        <w:tc>
          <w:tcPr>
            <w:tcW w:w="1058" w:type="dxa"/>
            <w:vMerge w:val="continue"/>
            <w:tcBorders>
              <w:top w:val="nil"/>
              <w:bottom w:val="nil"/>
            </w:tcBorders>
          </w:tcPr>
          <w:p>
            <w:pPr>
              <w:ind w:firstLine="0" w:firstLineChars="0"/>
              <w:rPr>
                <w:rFonts w:ascii="Arial"/>
                <w:sz w:val="21"/>
                <w:highlight w:val="none"/>
              </w:rPr>
            </w:pPr>
          </w:p>
        </w:tc>
        <w:tc>
          <w:tcPr>
            <w:tcW w:w="1059" w:type="dxa"/>
            <w:vMerge w:val="continue"/>
            <w:tcBorders>
              <w:top w:val="nil"/>
              <w:bottom w:val="nil"/>
            </w:tcBorders>
          </w:tcPr>
          <w:p>
            <w:pPr>
              <w:ind w:firstLine="0" w:firstLineChars="0"/>
              <w:rPr>
                <w:rFonts w:ascii="Arial"/>
                <w:sz w:val="21"/>
                <w:highlight w:val="none"/>
              </w:rPr>
            </w:pPr>
          </w:p>
        </w:tc>
        <w:tc>
          <w:tcPr>
            <w:tcW w:w="1338" w:type="dxa"/>
            <w:vMerge w:val="continue"/>
            <w:tcBorders>
              <w:top w:val="nil"/>
              <w:bottom w:val="nil"/>
            </w:tcBorders>
          </w:tcPr>
          <w:p>
            <w:pPr>
              <w:ind w:firstLine="0" w:firstLineChars="0"/>
              <w:rPr>
                <w:rFonts w:ascii="Arial"/>
                <w:sz w:val="21"/>
                <w:highlight w:val="none"/>
              </w:rPr>
            </w:pPr>
          </w:p>
        </w:tc>
        <w:tc>
          <w:tcPr>
            <w:tcW w:w="2727" w:type="dxa"/>
          </w:tcPr>
          <w:p>
            <w:pPr>
              <w:pStyle w:val="137"/>
              <w:spacing w:before="62" w:line="216" w:lineRule="auto"/>
              <w:ind w:left="106" w:firstLine="0" w:firstLineChars="0"/>
              <w:rPr>
                <w:sz w:val="22"/>
                <w:szCs w:val="22"/>
                <w:highlight w:val="none"/>
              </w:rPr>
            </w:pPr>
            <w:r>
              <w:rPr>
                <w:spacing w:val="1"/>
                <w:sz w:val="22"/>
                <w:szCs w:val="22"/>
                <w:highlight w:val="none"/>
              </w:rPr>
              <w:t>流式文档在线编辑工具</w:t>
            </w:r>
          </w:p>
        </w:tc>
        <w:tc>
          <w:tcPr>
            <w:tcW w:w="1823" w:type="dxa"/>
          </w:tcPr>
          <w:p>
            <w:pPr>
              <w:pStyle w:val="137"/>
              <w:spacing w:before="62" w:line="216" w:lineRule="auto"/>
              <w:ind w:left="469" w:firstLine="0" w:firstLineChars="0"/>
              <w:rPr>
                <w:sz w:val="22"/>
                <w:szCs w:val="22"/>
                <w:highlight w:val="none"/>
              </w:rPr>
            </w:pPr>
            <w:r>
              <w:rPr>
                <w:spacing w:val="-1"/>
                <w:sz w:val="22"/>
                <w:szCs w:val="22"/>
                <w:highlight w:val="none"/>
              </w:rPr>
              <w:t>=42套/年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trPr>
        <w:tc>
          <w:tcPr>
            <w:tcW w:w="744" w:type="dxa"/>
            <w:vMerge w:val="continue"/>
            <w:tcBorders>
              <w:top w:val="nil"/>
              <w:bottom w:val="nil"/>
            </w:tcBorders>
          </w:tcPr>
          <w:p>
            <w:pPr>
              <w:ind w:firstLine="0" w:firstLineChars="0"/>
              <w:rPr>
                <w:rFonts w:ascii="Arial"/>
                <w:sz w:val="21"/>
                <w:highlight w:val="none"/>
              </w:rPr>
            </w:pPr>
          </w:p>
        </w:tc>
        <w:tc>
          <w:tcPr>
            <w:tcW w:w="1058" w:type="dxa"/>
            <w:vMerge w:val="continue"/>
            <w:tcBorders>
              <w:top w:val="nil"/>
              <w:bottom w:val="nil"/>
            </w:tcBorders>
          </w:tcPr>
          <w:p>
            <w:pPr>
              <w:ind w:firstLine="0" w:firstLineChars="0"/>
              <w:rPr>
                <w:rFonts w:ascii="Arial"/>
                <w:sz w:val="21"/>
                <w:highlight w:val="none"/>
              </w:rPr>
            </w:pPr>
          </w:p>
        </w:tc>
        <w:tc>
          <w:tcPr>
            <w:tcW w:w="1059" w:type="dxa"/>
            <w:vMerge w:val="continue"/>
            <w:tcBorders>
              <w:top w:val="nil"/>
              <w:bottom w:val="nil"/>
            </w:tcBorders>
          </w:tcPr>
          <w:p>
            <w:pPr>
              <w:ind w:firstLine="0" w:firstLineChars="0"/>
              <w:rPr>
                <w:rFonts w:ascii="Arial"/>
                <w:sz w:val="21"/>
                <w:highlight w:val="none"/>
              </w:rPr>
            </w:pPr>
          </w:p>
        </w:tc>
        <w:tc>
          <w:tcPr>
            <w:tcW w:w="1338" w:type="dxa"/>
            <w:vMerge w:val="continue"/>
            <w:tcBorders>
              <w:top w:val="nil"/>
              <w:bottom w:val="nil"/>
            </w:tcBorders>
          </w:tcPr>
          <w:p>
            <w:pPr>
              <w:ind w:firstLine="0" w:firstLineChars="0"/>
              <w:rPr>
                <w:rFonts w:ascii="Arial"/>
                <w:sz w:val="21"/>
                <w:highlight w:val="none"/>
              </w:rPr>
            </w:pPr>
          </w:p>
        </w:tc>
        <w:tc>
          <w:tcPr>
            <w:tcW w:w="2727" w:type="dxa"/>
          </w:tcPr>
          <w:p>
            <w:pPr>
              <w:pStyle w:val="137"/>
              <w:spacing w:before="62" w:line="215" w:lineRule="auto"/>
              <w:ind w:left="106" w:firstLine="0" w:firstLineChars="0"/>
              <w:rPr>
                <w:sz w:val="22"/>
                <w:szCs w:val="22"/>
                <w:highlight w:val="none"/>
              </w:rPr>
            </w:pPr>
            <w:r>
              <w:rPr>
                <w:spacing w:val="1"/>
                <w:sz w:val="22"/>
                <w:szCs w:val="22"/>
                <w:highlight w:val="none"/>
              </w:rPr>
              <w:t>流式文档在线预览工具</w:t>
            </w:r>
          </w:p>
        </w:tc>
        <w:tc>
          <w:tcPr>
            <w:tcW w:w="1823" w:type="dxa"/>
          </w:tcPr>
          <w:p>
            <w:pPr>
              <w:pStyle w:val="137"/>
              <w:spacing w:before="62" w:line="215" w:lineRule="auto"/>
              <w:ind w:left="469" w:firstLine="0" w:firstLineChars="0"/>
              <w:rPr>
                <w:sz w:val="22"/>
                <w:szCs w:val="22"/>
                <w:highlight w:val="none"/>
              </w:rPr>
            </w:pPr>
            <w:r>
              <w:rPr>
                <w:spacing w:val="-1"/>
                <w:sz w:val="22"/>
                <w:szCs w:val="22"/>
                <w:highlight w:val="none"/>
              </w:rPr>
              <w:t>=41套/年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trPr>
        <w:tc>
          <w:tcPr>
            <w:tcW w:w="744" w:type="dxa"/>
            <w:vMerge w:val="continue"/>
            <w:tcBorders>
              <w:top w:val="nil"/>
              <w:bottom w:val="nil"/>
            </w:tcBorders>
          </w:tcPr>
          <w:p>
            <w:pPr>
              <w:ind w:firstLine="0" w:firstLineChars="0"/>
              <w:rPr>
                <w:rFonts w:ascii="Arial"/>
                <w:sz w:val="21"/>
                <w:highlight w:val="none"/>
              </w:rPr>
            </w:pPr>
          </w:p>
        </w:tc>
        <w:tc>
          <w:tcPr>
            <w:tcW w:w="1058" w:type="dxa"/>
            <w:vMerge w:val="continue"/>
            <w:tcBorders>
              <w:top w:val="nil"/>
              <w:bottom w:val="nil"/>
            </w:tcBorders>
          </w:tcPr>
          <w:p>
            <w:pPr>
              <w:ind w:firstLine="0" w:firstLineChars="0"/>
              <w:rPr>
                <w:rFonts w:ascii="Arial"/>
                <w:sz w:val="21"/>
                <w:highlight w:val="none"/>
              </w:rPr>
            </w:pPr>
          </w:p>
        </w:tc>
        <w:tc>
          <w:tcPr>
            <w:tcW w:w="1059" w:type="dxa"/>
            <w:vMerge w:val="continue"/>
            <w:tcBorders>
              <w:top w:val="nil"/>
              <w:bottom w:val="nil"/>
            </w:tcBorders>
          </w:tcPr>
          <w:p>
            <w:pPr>
              <w:ind w:firstLine="0" w:firstLineChars="0"/>
              <w:rPr>
                <w:rFonts w:ascii="Arial"/>
                <w:sz w:val="21"/>
                <w:highlight w:val="none"/>
              </w:rPr>
            </w:pPr>
          </w:p>
        </w:tc>
        <w:tc>
          <w:tcPr>
            <w:tcW w:w="1338" w:type="dxa"/>
            <w:vMerge w:val="continue"/>
            <w:tcBorders>
              <w:top w:val="nil"/>
              <w:bottom w:val="nil"/>
            </w:tcBorders>
          </w:tcPr>
          <w:p>
            <w:pPr>
              <w:ind w:firstLine="0" w:firstLineChars="0"/>
              <w:rPr>
                <w:rFonts w:ascii="Arial"/>
                <w:sz w:val="21"/>
                <w:highlight w:val="none"/>
              </w:rPr>
            </w:pPr>
          </w:p>
        </w:tc>
        <w:tc>
          <w:tcPr>
            <w:tcW w:w="2727" w:type="dxa"/>
          </w:tcPr>
          <w:p>
            <w:pPr>
              <w:pStyle w:val="137"/>
              <w:spacing w:before="63" w:line="214" w:lineRule="auto"/>
              <w:ind w:left="106" w:firstLine="0" w:firstLineChars="0"/>
              <w:rPr>
                <w:sz w:val="22"/>
                <w:szCs w:val="22"/>
                <w:highlight w:val="none"/>
              </w:rPr>
            </w:pPr>
            <w:r>
              <w:rPr>
                <w:spacing w:val="1"/>
                <w:sz w:val="22"/>
                <w:szCs w:val="22"/>
                <w:highlight w:val="none"/>
              </w:rPr>
              <w:t>文字校对工具-</w:t>
            </w:r>
            <w:r>
              <w:rPr>
                <w:sz w:val="22"/>
                <w:szCs w:val="22"/>
                <w:highlight w:val="none"/>
              </w:rPr>
              <w:t>PC</w:t>
            </w:r>
            <w:r>
              <w:rPr>
                <w:spacing w:val="1"/>
                <w:sz w:val="22"/>
                <w:szCs w:val="22"/>
                <w:highlight w:val="none"/>
              </w:rPr>
              <w:t>端</w:t>
            </w:r>
          </w:p>
        </w:tc>
        <w:tc>
          <w:tcPr>
            <w:tcW w:w="1823" w:type="dxa"/>
          </w:tcPr>
          <w:p>
            <w:pPr>
              <w:pStyle w:val="137"/>
              <w:spacing w:before="63" w:line="214" w:lineRule="auto"/>
              <w:ind w:left="409" w:firstLine="0" w:firstLineChars="0"/>
              <w:rPr>
                <w:sz w:val="22"/>
                <w:szCs w:val="22"/>
                <w:highlight w:val="none"/>
              </w:rPr>
            </w:pPr>
            <w:r>
              <w:rPr>
                <w:spacing w:val="-1"/>
                <w:sz w:val="22"/>
                <w:szCs w:val="22"/>
                <w:highlight w:val="none"/>
              </w:rPr>
              <w:t>=104套/年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744" w:type="dxa"/>
            <w:vMerge w:val="continue"/>
            <w:tcBorders>
              <w:top w:val="nil"/>
              <w:bottom w:val="nil"/>
            </w:tcBorders>
          </w:tcPr>
          <w:p>
            <w:pPr>
              <w:ind w:firstLine="0" w:firstLineChars="0"/>
              <w:rPr>
                <w:rFonts w:ascii="Arial"/>
                <w:sz w:val="21"/>
                <w:highlight w:val="none"/>
              </w:rPr>
            </w:pPr>
          </w:p>
        </w:tc>
        <w:tc>
          <w:tcPr>
            <w:tcW w:w="1058" w:type="dxa"/>
            <w:vMerge w:val="continue"/>
            <w:tcBorders>
              <w:top w:val="nil"/>
              <w:bottom w:val="nil"/>
            </w:tcBorders>
          </w:tcPr>
          <w:p>
            <w:pPr>
              <w:ind w:firstLine="0" w:firstLineChars="0"/>
              <w:rPr>
                <w:rFonts w:ascii="Arial"/>
                <w:sz w:val="21"/>
                <w:highlight w:val="none"/>
              </w:rPr>
            </w:pPr>
          </w:p>
        </w:tc>
        <w:tc>
          <w:tcPr>
            <w:tcW w:w="1059" w:type="dxa"/>
            <w:vMerge w:val="continue"/>
            <w:tcBorders>
              <w:top w:val="nil"/>
              <w:bottom w:val="nil"/>
            </w:tcBorders>
          </w:tcPr>
          <w:p>
            <w:pPr>
              <w:ind w:firstLine="0" w:firstLineChars="0"/>
              <w:rPr>
                <w:rFonts w:ascii="Arial"/>
                <w:sz w:val="21"/>
                <w:highlight w:val="none"/>
              </w:rPr>
            </w:pPr>
          </w:p>
        </w:tc>
        <w:tc>
          <w:tcPr>
            <w:tcW w:w="1338" w:type="dxa"/>
            <w:vMerge w:val="continue"/>
            <w:tcBorders>
              <w:top w:val="nil"/>
              <w:bottom w:val="nil"/>
            </w:tcBorders>
          </w:tcPr>
          <w:p>
            <w:pPr>
              <w:ind w:firstLine="0" w:firstLineChars="0"/>
              <w:rPr>
                <w:rFonts w:ascii="Arial"/>
                <w:sz w:val="21"/>
                <w:highlight w:val="none"/>
              </w:rPr>
            </w:pPr>
          </w:p>
        </w:tc>
        <w:tc>
          <w:tcPr>
            <w:tcW w:w="2727" w:type="dxa"/>
          </w:tcPr>
          <w:p>
            <w:pPr>
              <w:pStyle w:val="137"/>
              <w:spacing w:before="64" w:line="214" w:lineRule="auto"/>
              <w:ind w:left="106" w:firstLine="0" w:firstLineChars="0"/>
              <w:rPr>
                <w:sz w:val="22"/>
                <w:szCs w:val="22"/>
                <w:highlight w:val="none"/>
              </w:rPr>
            </w:pPr>
            <w:r>
              <w:rPr>
                <w:spacing w:val="1"/>
                <w:sz w:val="22"/>
                <w:szCs w:val="22"/>
                <w:highlight w:val="none"/>
              </w:rPr>
              <w:t>文字校对工具-服务器端</w:t>
            </w:r>
          </w:p>
        </w:tc>
        <w:tc>
          <w:tcPr>
            <w:tcW w:w="1823" w:type="dxa"/>
          </w:tcPr>
          <w:p>
            <w:pPr>
              <w:pStyle w:val="137"/>
              <w:spacing w:before="64" w:line="214" w:lineRule="auto"/>
              <w:ind w:left="518" w:firstLine="0" w:firstLineChars="0"/>
              <w:rPr>
                <w:sz w:val="22"/>
                <w:szCs w:val="22"/>
                <w:highlight w:val="none"/>
              </w:rPr>
            </w:pPr>
            <w:r>
              <w:rPr>
                <w:spacing w:val="-1"/>
                <w:sz w:val="22"/>
                <w:szCs w:val="22"/>
                <w:highlight w:val="none"/>
              </w:rPr>
              <w:t>=3套/年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744" w:type="dxa"/>
            <w:vMerge w:val="continue"/>
            <w:tcBorders>
              <w:top w:val="nil"/>
              <w:bottom w:val="nil"/>
            </w:tcBorders>
          </w:tcPr>
          <w:p>
            <w:pPr>
              <w:ind w:firstLine="0" w:firstLineChars="0"/>
              <w:rPr>
                <w:rFonts w:ascii="Arial"/>
                <w:sz w:val="21"/>
                <w:highlight w:val="none"/>
              </w:rPr>
            </w:pPr>
          </w:p>
        </w:tc>
        <w:tc>
          <w:tcPr>
            <w:tcW w:w="1058" w:type="dxa"/>
            <w:vMerge w:val="continue"/>
            <w:tcBorders>
              <w:top w:val="nil"/>
              <w:bottom w:val="nil"/>
            </w:tcBorders>
          </w:tcPr>
          <w:p>
            <w:pPr>
              <w:ind w:firstLine="0" w:firstLineChars="0"/>
              <w:rPr>
                <w:rFonts w:ascii="Arial"/>
                <w:sz w:val="21"/>
                <w:highlight w:val="none"/>
              </w:rPr>
            </w:pPr>
          </w:p>
        </w:tc>
        <w:tc>
          <w:tcPr>
            <w:tcW w:w="1059" w:type="dxa"/>
            <w:vMerge w:val="continue"/>
            <w:tcBorders>
              <w:top w:val="nil"/>
              <w:bottom w:val="nil"/>
            </w:tcBorders>
          </w:tcPr>
          <w:p>
            <w:pPr>
              <w:ind w:firstLine="0" w:firstLineChars="0"/>
              <w:rPr>
                <w:rFonts w:ascii="Arial"/>
                <w:sz w:val="21"/>
                <w:highlight w:val="none"/>
              </w:rPr>
            </w:pPr>
          </w:p>
        </w:tc>
        <w:tc>
          <w:tcPr>
            <w:tcW w:w="1338" w:type="dxa"/>
            <w:vMerge w:val="continue"/>
            <w:tcBorders>
              <w:top w:val="nil"/>
              <w:bottom w:val="nil"/>
            </w:tcBorders>
          </w:tcPr>
          <w:p>
            <w:pPr>
              <w:ind w:firstLine="0" w:firstLineChars="0"/>
              <w:rPr>
                <w:rFonts w:ascii="Arial"/>
                <w:sz w:val="21"/>
                <w:highlight w:val="none"/>
              </w:rPr>
            </w:pPr>
          </w:p>
        </w:tc>
        <w:tc>
          <w:tcPr>
            <w:tcW w:w="2727" w:type="dxa"/>
          </w:tcPr>
          <w:p>
            <w:pPr>
              <w:pStyle w:val="137"/>
              <w:spacing w:before="54" w:line="206" w:lineRule="auto"/>
              <w:ind w:left="106" w:firstLine="0" w:firstLineChars="0"/>
              <w:rPr>
                <w:sz w:val="22"/>
                <w:szCs w:val="22"/>
                <w:highlight w:val="none"/>
              </w:rPr>
            </w:pPr>
            <w:r>
              <w:rPr>
                <w:spacing w:val="2"/>
                <w:sz w:val="22"/>
                <w:szCs w:val="22"/>
                <w:highlight w:val="none"/>
              </w:rPr>
              <w:t>数据同步工具</w:t>
            </w:r>
          </w:p>
        </w:tc>
        <w:tc>
          <w:tcPr>
            <w:tcW w:w="1823" w:type="dxa"/>
          </w:tcPr>
          <w:p>
            <w:pPr>
              <w:pStyle w:val="137"/>
              <w:spacing w:before="54" w:line="206" w:lineRule="auto"/>
              <w:ind w:left="469" w:firstLine="0" w:firstLineChars="0"/>
              <w:rPr>
                <w:sz w:val="22"/>
                <w:szCs w:val="22"/>
                <w:highlight w:val="none"/>
              </w:rPr>
            </w:pPr>
            <w:r>
              <w:rPr>
                <w:spacing w:val="-1"/>
                <w:sz w:val="22"/>
                <w:szCs w:val="22"/>
                <w:highlight w:val="none"/>
              </w:rPr>
              <w:t>=78套/年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744" w:type="dxa"/>
            <w:vMerge w:val="continue"/>
            <w:tcBorders>
              <w:top w:val="nil"/>
              <w:bottom w:val="nil"/>
            </w:tcBorders>
          </w:tcPr>
          <w:p>
            <w:pPr>
              <w:ind w:firstLine="0" w:firstLineChars="0"/>
              <w:rPr>
                <w:rFonts w:ascii="Arial"/>
                <w:sz w:val="21"/>
                <w:highlight w:val="none"/>
              </w:rPr>
            </w:pPr>
          </w:p>
        </w:tc>
        <w:tc>
          <w:tcPr>
            <w:tcW w:w="1058" w:type="dxa"/>
            <w:vMerge w:val="continue"/>
            <w:tcBorders>
              <w:top w:val="nil"/>
              <w:bottom w:val="nil"/>
            </w:tcBorders>
          </w:tcPr>
          <w:p>
            <w:pPr>
              <w:ind w:firstLine="0" w:firstLineChars="0"/>
              <w:rPr>
                <w:rFonts w:ascii="Arial"/>
                <w:sz w:val="21"/>
                <w:highlight w:val="none"/>
              </w:rPr>
            </w:pPr>
          </w:p>
        </w:tc>
        <w:tc>
          <w:tcPr>
            <w:tcW w:w="1059" w:type="dxa"/>
            <w:vMerge w:val="continue"/>
            <w:tcBorders>
              <w:top w:val="nil"/>
              <w:bottom w:val="nil"/>
            </w:tcBorders>
          </w:tcPr>
          <w:p>
            <w:pPr>
              <w:ind w:firstLine="0" w:firstLineChars="0"/>
              <w:rPr>
                <w:rFonts w:ascii="Arial"/>
                <w:sz w:val="21"/>
                <w:highlight w:val="none"/>
              </w:rPr>
            </w:pPr>
          </w:p>
        </w:tc>
        <w:tc>
          <w:tcPr>
            <w:tcW w:w="1338" w:type="dxa"/>
            <w:vMerge w:val="continue"/>
            <w:tcBorders>
              <w:top w:val="nil"/>
              <w:bottom w:val="nil"/>
            </w:tcBorders>
          </w:tcPr>
          <w:p>
            <w:pPr>
              <w:ind w:firstLine="0" w:firstLineChars="0"/>
              <w:rPr>
                <w:rFonts w:ascii="Arial"/>
                <w:sz w:val="21"/>
                <w:highlight w:val="none"/>
              </w:rPr>
            </w:pPr>
          </w:p>
        </w:tc>
        <w:tc>
          <w:tcPr>
            <w:tcW w:w="2727" w:type="dxa"/>
          </w:tcPr>
          <w:p>
            <w:pPr>
              <w:pStyle w:val="137"/>
              <w:spacing w:before="64" w:line="214" w:lineRule="auto"/>
              <w:ind w:left="106" w:firstLine="0" w:firstLineChars="0"/>
              <w:rPr>
                <w:sz w:val="22"/>
                <w:szCs w:val="22"/>
                <w:highlight w:val="none"/>
              </w:rPr>
            </w:pPr>
            <w:r>
              <w:rPr>
                <w:spacing w:val="-1"/>
                <w:sz w:val="22"/>
                <w:szCs w:val="22"/>
                <w:highlight w:val="none"/>
              </w:rPr>
              <w:t>报表工具-通用基础报表</w:t>
            </w:r>
          </w:p>
        </w:tc>
        <w:tc>
          <w:tcPr>
            <w:tcW w:w="1823" w:type="dxa"/>
          </w:tcPr>
          <w:p>
            <w:pPr>
              <w:pStyle w:val="137"/>
              <w:spacing w:before="64" w:line="214" w:lineRule="auto"/>
              <w:ind w:left="518" w:firstLine="0" w:firstLineChars="0"/>
              <w:rPr>
                <w:sz w:val="22"/>
                <w:szCs w:val="22"/>
                <w:highlight w:val="none"/>
              </w:rPr>
            </w:pPr>
            <w:r>
              <w:rPr>
                <w:spacing w:val="-1"/>
                <w:sz w:val="22"/>
                <w:szCs w:val="22"/>
                <w:highlight w:val="none"/>
              </w:rPr>
              <w:t>=1套/年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744" w:type="dxa"/>
            <w:vMerge w:val="continue"/>
            <w:tcBorders>
              <w:top w:val="nil"/>
              <w:bottom w:val="nil"/>
            </w:tcBorders>
          </w:tcPr>
          <w:p>
            <w:pPr>
              <w:ind w:firstLine="0" w:firstLineChars="0"/>
              <w:rPr>
                <w:rFonts w:ascii="Arial"/>
                <w:sz w:val="21"/>
                <w:highlight w:val="none"/>
              </w:rPr>
            </w:pPr>
          </w:p>
        </w:tc>
        <w:tc>
          <w:tcPr>
            <w:tcW w:w="1058" w:type="dxa"/>
            <w:vMerge w:val="continue"/>
            <w:tcBorders>
              <w:top w:val="nil"/>
              <w:bottom w:val="nil"/>
            </w:tcBorders>
          </w:tcPr>
          <w:p>
            <w:pPr>
              <w:ind w:firstLine="0" w:firstLineChars="0"/>
              <w:rPr>
                <w:rFonts w:ascii="Arial"/>
                <w:sz w:val="21"/>
                <w:highlight w:val="none"/>
              </w:rPr>
            </w:pPr>
          </w:p>
        </w:tc>
        <w:tc>
          <w:tcPr>
            <w:tcW w:w="1059" w:type="dxa"/>
            <w:vMerge w:val="continue"/>
            <w:tcBorders>
              <w:top w:val="nil"/>
              <w:bottom w:val="nil"/>
            </w:tcBorders>
          </w:tcPr>
          <w:p>
            <w:pPr>
              <w:ind w:firstLine="0" w:firstLineChars="0"/>
              <w:rPr>
                <w:rFonts w:ascii="Arial"/>
                <w:sz w:val="21"/>
                <w:highlight w:val="none"/>
              </w:rPr>
            </w:pPr>
          </w:p>
        </w:tc>
        <w:tc>
          <w:tcPr>
            <w:tcW w:w="1338" w:type="dxa"/>
            <w:vMerge w:val="continue"/>
            <w:tcBorders>
              <w:top w:val="nil"/>
              <w:bottom w:val="nil"/>
            </w:tcBorders>
          </w:tcPr>
          <w:p>
            <w:pPr>
              <w:ind w:firstLine="0" w:firstLineChars="0"/>
              <w:rPr>
                <w:rFonts w:ascii="Arial"/>
                <w:sz w:val="21"/>
                <w:highlight w:val="none"/>
              </w:rPr>
            </w:pPr>
          </w:p>
        </w:tc>
        <w:tc>
          <w:tcPr>
            <w:tcW w:w="2727" w:type="dxa"/>
          </w:tcPr>
          <w:p>
            <w:pPr>
              <w:pStyle w:val="137"/>
              <w:spacing w:before="54" w:line="214" w:lineRule="auto"/>
              <w:ind w:left="106" w:firstLine="0" w:firstLineChars="0"/>
              <w:rPr>
                <w:sz w:val="22"/>
                <w:szCs w:val="22"/>
                <w:highlight w:val="none"/>
              </w:rPr>
            </w:pPr>
            <w:r>
              <w:rPr>
                <w:spacing w:val="-1"/>
                <w:sz w:val="22"/>
                <w:szCs w:val="22"/>
                <w:highlight w:val="none"/>
              </w:rPr>
              <w:t>报表工具-数据分析报表</w:t>
            </w:r>
          </w:p>
        </w:tc>
        <w:tc>
          <w:tcPr>
            <w:tcW w:w="1823" w:type="dxa"/>
          </w:tcPr>
          <w:p>
            <w:pPr>
              <w:pStyle w:val="137"/>
              <w:spacing w:before="54" w:line="214" w:lineRule="auto"/>
              <w:ind w:left="518" w:firstLine="0" w:firstLineChars="0"/>
              <w:rPr>
                <w:sz w:val="22"/>
                <w:szCs w:val="22"/>
                <w:highlight w:val="none"/>
              </w:rPr>
            </w:pPr>
            <w:r>
              <w:rPr>
                <w:spacing w:val="-1"/>
                <w:sz w:val="22"/>
                <w:szCs w:val="22"/>
                <w:highlight w:val="none"/>
              </w:rPr>
              <w:t>=</w:t>
            </w:r>
            <w:r>
              <w:rPr>
                <w:rFonts w:hint="eastAsia"/>
                <w:spacing w:val="-1"/>
                <w:sz w:val="22"/>
                <w:szCs w:val="22"/>
                <w:highlight w:val="none"/>
                <w:lang w:eastAsia="zh-CN"/>
              </w:rPr>
              <w:t>4</w:t>
            </w:r>
            <w:r>
              <w:rPr>
                <w:spacing w:val="-1"/>
                <w:sz w:val="22"/>
                <w:szCs w:val="22"/>
                <w:highlight w:val="none"/>
              </w:rPr>
              <w:t>套/年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trPr>
        <w:tc>
          <w:tcPr>
            <w:tcW w:w="744" w:type="dxa"/>
            <w:vMerge w:val="continue"/>
            <w:tcBorders>
              <w:top w:val="nil"/>
              <w:bottom w:val="nil"/>
            </w:tcBorders>
          </w:tcPr>
          <w:p>
            <w:pPr>
              <w:ind w:firstLine="0" w:firstLineChars="0"/>
              <w:rPr>
                <w:rFonts w:ascii="Arial"/>
                <w:sz w:val="21"/>
                <w:highlight w:val="none"/>
              </w:rPr>
            </w:pPr>
          </w:p>
        </w:tc>
        <w:tc>
          <w:tcPr>
            <w:tcW w:w="1058" w:type="dxa"/>
            <w:vMerge w:val="continue"/>
            <w:tcBorders>
              <w:top w:val="nil"/>
              <w:bottom w:val="nil"/>
            </w:tcBorders>
          </w:tcPr>
          <w:p>
            <w:pPr>
              <w:ind w:firstLine="0" w:firstLineChars="0"/>
              <w:rPr>
                <w:rFonts w:ascii="Arial"/>
                <w:sz w:val="21"/>
                <w:highlight w:val="none"/>
              </w:rPr>
            </w:pPr>
          </w:p>
        </w:tc>
        <w:tc>
          <w:tcPr>
            <w:tcW w:w="1059" w:type="dxa"/>
            <w:vMerge w:val="continue"/>
            <w:tcBorders>
              <w:top w:val="nil"/>
              <w:bottom w:val="nil"/>
            </w:tcBorders>
          </w:tcPr>
          <w:p>
            <w:pPr>
              <w:ind w:firstLine="0" w:firstLineChars="0"/>
              <w:rPr>
                <w:rFonts w:ascii="Arial"/>
                <w:sz w:val="21"/>
                <w:highlight w:val="none"/>
              </w:rPr>
            </w:pPr>
          </w:p>
        </w:tc>
        <w:tc>
          <w:tcPr>
            <w:tcW w:w="1338" w:type="dxa"/>
            <w:vMerge w:val="continue"/>
            <w:tcBorders>
              <w:top w:val="nil"/>
              <w:bottom w:val="nil"/>
            </w:tcBorders>
          </w:tcPr>
          <w:p>
            <w:pPr>
              <w:ind w:firstLine="0" w:firstLineChars="0"/>
              <w:rPr>
                <w:rFonts w:ascii="Arial"/>
                <w:sz w:val="21"/>
                <w:highlight w:val="none"/>
              </w:rPr>
            </w:pPr>
          </w:p>
        </w:tc>
        <w:tc>
          <w:tcPr>
            <w:tcW w:w="2727" w:type="dxa"/>
          </w:tcPr>
          <w:p>
            <w:pPr>
              <w:pStyle w:val="137"/>
              <w:spacing w:before="65" w:line="213" w:lineRule="auto"/>
              <w:ind w:left="106" w:firstLine="0" w:firstLineChars="0"/>
              <w:rPr>
                <w:sz w:val="22"/>
                <w:szCs w:val="22"/>
                <w:highlight w:val="none"/>
              </w:rPr>
            </w:pPr>
            <w:r>
              <w:rPr>
                <w:spacing w:val="2"/>
                <w:sz w:val="22"/>
                <w:szCs w:val="22"/>
                <w:highlight w:val="none"/>
              </w:rPr>
              <w:t>运维管理工具</w:t>
            </w:r>
          </w:p>
        </w:tc>
        <w:tc>
          <w:tcPr>
            <w:tcW w:w="1823" w:type="dxa"/>
          </w:tcPr>
          <w:p>
            <w:pPr>
              <w:pStyle w:val="137"/>
              <w:spacing w:before="65" w:line="213" w:lineRule="auto"/>
              <w:ind w:left="518" w:firstLine="0" w:firstLineChars="0"/>
              <w:rPr>
                <w:sz w:val="22"/>
                <w:szCs w:val="22"/>
                <w:highlight w:val="none"/>
              </w:rPr>
            </w:pPr>
            <w:r>
              <w:rPr>
                <w:spacing w:val="-1"/>
                <w:sz w:val="22"/>
                <w:szCs w:val="22"/>
                <w:highlight w:val="none"/>
              </w:rPr>
              <w:t>=3套/年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744" w:type="dxa"/>
            <w:vMerge w:val="continue"/>
            <w:tcBorders>
              <w:top w:val="nil"/>
              <w:bottom w:val="nil"/>
            </w:tcBorders>
          </w:tcPr>
          <w:p>
            <w:pPr>
              <w:ind w:firstLine="0" w:firstLineChars="0"/>
              <w:rPr>
                <w:rFonts w:ascii="Arial"/>
                <w:sz w:val="21"/>
                <w:highlight w:val="none"/>
              </w:rPr>
            </w:pPr>
          </w:p>
        </w:tc>
        <w:tc>
          <w:tcPr>
            <w:tcW w:w="1058" w:type="dxa"/>
            <w:vMerge w:val="continue"/>
            <w:tcBorders>
              <w:top w:val="nil"/>
              <w:bottom w:val="nil"/>
            </w:tcBorders>
          </w:tcPr>
          <w:p>
            <w:pPr>
              <w:ind w:firstLine="0" w:firstLineChars="0"/>
              <w:rPr>
                <w:rFonts w:ascii="Arial"/>
                <w:sz w:val="21"/>
                <w:highlight w:val="none"/>
              </w:rPr>
            </w:pPr>
          </w:p>
        </w:tc>
        <w:tc>
          <w:tcPr>
            <w:tcW w:w="1059" w:type="dxa"/>
            <w:vMerge w:val="continue"/>
            <w:tcBorders>
              <w:top w:val="nil"/>
              <w:bottom w:val="nil"/>
            </w:tcBorders>
          </w:tcPr>
          <w:p>
            <w:pPr>
              <w:ind w:firstLine="0" w:firstLineChars="0"/>
              <w:rPr>
                <w:rFonts w:ascii="Arial"/>
                <w:sz w:val="21"/>
                <w:highlight w:val="none"/>
              </w:rPr>
            </w:pPr>
          </w:p>
        </w:tc>
        <w:tc>
          <w:tcPr>
            <w:tcW w:w="1338" w:type="dxa"/>
            <w:vMerge w:val="continue"/>
            <w:tcBorders>
              <w:top w:val="nil"/>
              <w:bottom w:val="nil"/>
            </w:tcBorders>
          </w:tcPr>
          <w:p>
            <w:pPr>
              <w:ind w:firstLine="0" w:firstLineChars="0"/>
              <w:rPr>
                <w:rFonts w:ascii="Arial"/>
                <w:sz w:val="21"/>
                <w:highlight w:val="none"/>
              </w:rPr>
            </w:pPr>
          </w:p>
        </w:tc>
        <w:tc>
          <w:tcPr>
            <w:tcW w:w="2727" w:type="dxa"/>
          </w:tcPr>
          <w:p>
            <w:pPr>
              <w:pStyle w:val="137"/>
              <w:spacing w:before="66" w:line="213" w:lineRule="auto"/>
              <w:ind w:left="106" w:firstLine="0" w:firstLineChars="0"/>
              <w:rPr>
                <w:sz w:val="22"/>
                <w:szCs w:val="22"/>
                <w:highlight w:val="none"/>
              </w:rPr>
            </w:pPr>
            <w:r>
              <w:rPr>
                <w:spacing w:val="2"/>
                <w:sz w:val="22"/>
                <w:szCs w:val="22"/>
                <w:highlight w:val="none"/>
              </w:rPr>
              <w:t>数据库工具</w:t>
            </w:r>
          </w:p>
        </w:tc>
        <w:tc>
          <w:tcPr>
            <w:tcW w:w="1823" w:type="dxa"/>
          </w:tcPr>
          <w:p>
            <w:pPr>
              <w:pStyle w:val="137"/>
              <w:spacing w:before="66" w:line="213" w:lineRule="auto"/>
              <w:ind w:left="409" w:firstLine="0" w:firstLineChars="0"/>
              <w:rPr>
                <w:sz w:val="22"/>
                <w:szCs w:val="22"/>
                <w:highlight w:val="none"/>
              </w:rPr>
            </w:pPr>
            <w:r>
              <w:rPr>
                <w:spacing w:val="-1"/>
                <w:sz w:val="22"/>
                <w:szCs w:val="22"/>
                <w:highlight w:val="none"/>
              </w:rPr>
              <w:t>=116套/年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744" w:type="dxa"/>
            <w:vMerge w:val="continue"/>
            <w:tcBorders>
              <w:top w:val="nil"/>
              <w:bottom w:val="nil"/>
            </w:tcBorders>
          </w:tcPr>
          <w:p>
            <w:pPr>
              <w:ind w:firstLine="0" w:firstLineChars="0"/>
              <w:rPr>
                <w:rFonts w:ascii="Arial"/>
                <w:sz w:val="21"/>
                <w:highlight w:val="none"/>
              </w:rPr>
            </w:pPr>
          </w:p>
        </w:tc>
        <w:tc>
          <w:tcPr>
            <w:tcW w:w="1058" w:type="dxa"/>
            <w:vMerge w:val="continue"/>
            <w:tcBorders>
              <w:top w:val="nil"/>
              <w:bottom w:val="nil"/>
            </w:tcBorders>
          </w:tcPr>
          <w:p>
            <w:pPr>
              <w:ind w:firstLine="0" w:firstLineChars="0"/>
              <w:rPr>
                <w:rFonts w:ascii="Arial"/>
                <w:sz w:val="21"/>
                <w:highlight w:val="none"/>
              </w:rPr>
            </w:pPr>
          </w:p>
        </w:tc>
        <w:tc>
          <w:tcPr>
            <w:tcW w:w="1059" w:type="dxa"/>
            <w:vMerge w:val="continue"/>
            <w:tcBorders>
              <w:top w:val="nil"/>
              <w:bottom w:val="nil"/>
            </w:tcBorders>
          </w:tcPr>
          <w:p>
            <w:pPr>
              <w:ind w:firstLine="0" w:firstLineChars="0"/>
              <w:rPr>
                <w:rFonts w:ascii="Arial"/>
                <w:sz w:val="21"/>
                <w:highlight w:val="none"/>
              </w:rPr>
            </w:pPr>
          </w:p>
        </w:tc>
        <w:tc>
          <w:tcPr>
            <w:tcW w:w="1338" w:type="dxa"/>
            <w:vMerge w:val="continue"/>
            <w:tcBorders>
              <w:top w:val="nil"/>
              <w:bottom w:val="nil"/>
            </w:tcBorders>
          </w:tcPr>
          <w:p>
            <w:pPr>
              <w:ind w:firstLine="0" w:firstLineChars="0"/>
              <w:rPr>
                <w:rFonts w:ascii="Arial"/>
                <w:sz w:val="21"/>
                <w:highlight w:val="none"/>
              </w:rPr>
            </w:pPr>
          </w:p>
        </w:tc>
        <w:tc>
          <w:tcPr>
            <w:tcW w:w="2727" w:type="dxa"/>
          </w:tcPr>
          <w:p>
            <w:pPr>
              <w:pStyle w:val="137"/>
              <w:spacing w:before="66" w:line="212" w:lineRule="auto"/>
              <w:ind w:left="106" w:firstLine="0" w:firstLineChars="0"/>
              <w:rPr>
                <w:sz w:val="22"/>
                <w:szCs w:val="22"/>
                <w:highlight w:val="none"/>
              </w:rPr>
            </w:pPr>
            <w:r>
              <w:rPr>
                <w:spacing w:val="2"/>
                <w:sz w:val="22"/>
                <w:szCs w:val="22"/>
                <w:highlight w:val="none"/>
              </w:rPr>
              <w:t>中间件工具</w:t>
            </w:r>
          </w:p>
        </w:tc>
        <w:tc>
          <w:tcPr>
            <w:tcW w:w="1823" w:type="dxa"/>
          </w:tcPr>
          <w:p>
            <w:pPr>
              <w:pStyle w:val="137"/>
              <w:spacing w:before="66" w:line="212" w:lineRule="auto"/>
              <w:ind w:left="409" w:firstLine="0" w:firstLineChars="0"/>
              <w:rPr>
                <w:sz w:val="22"/>
                <w:szCs w:val="22"/>
                <w:highlight w:val="none"/>
              </w:rPr>
            </w:pPr>
            <w:r>
              <w:rPr>
                <w:spacing w:val="-1"/>
                <w:sz w:val="22"/>
                <w:szCs w:val="22"/>
                <w:highlight w:val="none"/>
              </w:rPr>
              <w:t>=180套/年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trPr>
        <w:tc>
          <w:tcPr>
            <w:tcW w:w="744" w:type="dxa"/>
            <w:vMerge w:val="continue"/>
            <w:tcBorders>
              <w:top w:val="nil"/>
              <w:bottom w:val="nil"/>
            </w:tcBorders>
          </w:tcPr>
          <w:p>
            <w:pPr>
              <w:ind w:firstLine="0" w:firstLineChars="0"/>
              <w:rPr>
                <w:rFonts w:ascii="Arial"/>
                <w:sz w:val="21"/>
                <w:highlight w:val="none"/>
              </w:rPr>
            </w:pPr>
          </w:p>
        </w:tc>
        <w:tc>
          <w:tcPr>
            <w:tcW w:w="1058" w:type="dxa"/>
            <w:vMerge w:val="continue"/>
            <w:tcBorders>
              <w:top w:val="nil"/>
              <w:bottom w:val="nil"/>
            </w:tcBorders>
          </w:tcPr>
          <w:p>
            <w:pPr>
              <w:ind w:firstLine="0" w:firstLineChars="0"/>
              <w:rPr>
                <w:rFonts w:ascii="Arial"/>
                <w:sz w:val="21"/>
                <w:highlight w:val="none"/>
              </w:rPr>
            </w:pPr>
          </w:p>
        </w:tc>
        <w:tc>
          <w:tcPr>
            <w:tcW w:w="1059" w:type="dxa"/>
            <w:vMerge w:val="continue"/>
            <w:tcBorders>
              <w:top w:val="nil"/>
              <w:bottom w:val="nil"/>
            </w:tcBorders>
          </w:tcPr>
          <w:p>
            <w:pPr>
              <w:ind w:firstLine="0" w:firstLineChars="0"/>
              <w:rPr>
                <w:rFonts w:ascii="Arial"/>
                <w:sz w:val="21"/>
                <w:highlight w:val="none"/>
              </w:rPr>
            </w:pPr>
          </w:p>
        </w:tc>
        <w:tc>
          <w:tcPr>
            <w:tcW w:w="1338" w:type="dxa"/>
            <w:vMerge w:val="continue"/>
            <w:tcBorders>
              <w:top w:val="nil"/>
              <w:bottom w:val="nil"/>
            </w:tcBorders>
          </w:tcPr>
          <w:p>
            <w:pPr>
              <w:ind w:firstLine="0" w:firstLineChars="0"/>
              <w:rPr>
                <w:rFonts w:ascii="Arial"/>
                <w:sz w:val="21"/>
                <w:highlight w:val="none"/>
              </w:rPr>
            </w:pPr>
          </w:p>
        </w:tc>
        <w:tc>
          <w:tcPr>
            <w:tcW w:w="2727" w:type="dxa"/>
          </w:tcPr>
          <w:p>
            <w:pPr>
              <w:pStyle w:val="137"/>
              <w:spacing w:before="66" w:line="212" w:lineRule="auto"/>
              <w:ind w:left="106" w:firstLine="0" w:firstLineChars="0"/>
              <w:rPr>
                <w:sz w:val="22"/>
                <w:szCs w:val="22"/>
                <w:highlight w:val="none"/>
              </w:rPr>
            </w:pPr>
            <w:r>
              <w:rPr>
                <w:sz w:val="22"/>
                <w:szCs w:val="22"/>
                <w:highlight w:val="none"/>
              </w:rPr>
              <w:t>中间件-分布式缓存中间件</w:t>
            </w:r>
          </w:p>
        </w:tc>
        <w:tc>
          <w:tcPr>
            <w:tcW w:w="1823" w:type="dxa"/>
          </w:tcPr>
          <w:p>
            <w:pPr>
              <w:pStyle w:val="137"/>
              <w:spacing w:before="66" w:line="212" w:lineRule="auto"/>
              <w:ind w:left="469" w:firstLine="0" w:firstLineChars="0"/>
              <w:rPr>
                <w:sz w:val="22"/>
                <w:szCs w:val="22"/>
                <w:highlight w:val="none"/>
              </w:rPr>
            </w:pPr>
            <w:r>
              <w:rPr>
                <w:spacing w:val="-1"/>
                <w:sz w:val="22"/>
                <w:szCs w:val="22"/>
                <w:highlight w:val="none"/>
              </w:rPr>
              <w:t>=16套/年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744" w:type="dxa"/>
            <w:vMerge w:val="continue"/>
            <w:tcBorders>
              <w:top w:val="nil"/>
              <w:bottom w:val="nil"/>
            </w:tcBorders>
          </w:tcPr>
          <w:p>
            <w:pPr>
              <w:ind w:firstLine="0" w:firstLineChars="0"/>
              <w:rPr>
                <w:rFonts w:ascii="Arial"/>
                <w:sz w:val="21"/>
                <w:highlight w:val="none"/>
              </w:rPr>
            </w:pPr>
          </w:p>
        </w:tc>
        <w:tc>
          <w:tcPr>
            <w:tcW w:w="1058" w:type="dxa"/>
            <w:vMerge w:val="continue"/>
            <w:tcBorders>
              <w:top w:val="nil"/>
              <w:bottom w:val="nil"/>
            </w:tcBorders>
          </w:tcPr>
          <w:p>
            <w:pPr>
              <w:ind w:firstLine="0" w:firstLineChars="0"/>
              <w:rPr>
                <w:rFonts w:ascii="Arial"/>
                <w:sz w:val="21"/>
                <w:highlight w:val="none"/>
              </w:rPr>
            </w:pPr>
          </w:p>
        </w:tc>
        <w:tc>
          <w:tcPr>
            <w:tcW w:w="1059" w:type="dxa"/>
            <w:vMerge w:val="continue"/>
            <w:tcBorders>
              <w:top w:val="nil"/>
              <w:bottom w:val="nil"/>
            </w:tcBorders>
          </w:tcPr>
          <w:p>
            <w:pPr>
              <w:ind w:firstLine="0" w:firstLineChars="0"/>
              <w:rPr>
                <w:rFonts w:ascii="Arial"/>
                <w:sz w:val="21"/>
                <w:highlight w:val="none"/>
              </w:rPr>
            </w:pPr>
          </w:p>
        </w:tc>
        <w:tc>
          <w:tcPr>
            <w:tcW w:w="1338" w:type="dxa"/>
            <w:vMerge w:val="continue"/>
            <w:tcBorders>
              <w:top w:val="nil"/>
              <w:bottom w:val="nil"/>
            </w:tcBorders>
          </w:tcPr>
          <w:p>
            <w:pPr>
              <w:ind w:firstLine="0" w:firstLineChars="0"/>
              <w:rPr>
                <w:rFonts w:ascii="Arial"/>
                <w:sz w:val="21"/>
                <w:highlight w:val="none"/>
              </w:rPr>
            </w:pPr>
          </w:p>
        </w:tc>
        <w:tc>
          <w:tcPr>
            <w:tcW w:w="2727" w:type="dxa"/>
          </w:tcPr>
          <w:p>
            <w:pPr>
              <w:pStyle w:val="137"/>
              <w:spacing w:before="57" w:line="212" w:lineRule="auto"/>
              <w:ind w:left="106" w:firstLine="0" w:firstLineChars="0"/>
              <w:rPr>
                <w:sz w:val="22"/>
                <w:szCs w:val="22"/>
                <w:highlight w:val="none"/>
              </w:rPr>
            </w:pPr>
            <w:r>
              <w:rPr>
                <w:sz w:val="22"/>
                <w:szCs w:val="22"/>
                <w:highlight w:val="none"/>
              </w:rPr>
              <w:t>中间件-负载均衡中间件</w:t>
            </w:r>
          </w:p>
        </w:tc>
        <w:tc>
          <w:tcPr>
            <w:tcW w:w="1823" w:type="dxa"/>
          </w:tcPr>
          <w:p>
            <w:pPr>
              <w:pStyle w:val="137"/>
              <w:spacing w:before="57" w:line="212" w:lineRule="auto"/>
              <w:ind w:left="469" w:firstLine="0" w:firstLineChars="0"/>
              <w:rPr>
                <w:sz w:val="22"/>
                <w:szCs w:val="22"/>
                <w:highlight w:val="none"/>
              </w:rPr>
            </w:pPr>
            <w:r>
              <w:rPr>
                <w:spacing w:val="-1"/>
                <w:sz w:val="22"/>
                <w:szCs w:val="22"/>
                <w:highlight w:val="none"/>
              </w:rPr>
              <w:t>=98套/年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744" w:type="dxa"/>
            <w:vMerge w:val="continue"/>
            <w:tcBorders>
              <w:top w:val="nil"/>
              <w:bottom w:val="nil"/>
            </w:tcBorders>
          </w:tcPr>
          <w:p>
            <w:pPr>
              <w:ind w:firstLine="0" w:firstLineChars="0"/>
              <w:rPr>
                <w:rFonts w:ascii="Arial"/>
                <w:sz w:val="21"/>
                <w:highlight w:val="none"/>
              </w:rPr>
            </w:pPr>
          </w:p>
        </w:tc>
        <w:tc>
          <w:tcPr>
            <w:tcW w:w="1058" w:type="dxa"/>
            <w:vMerge w:val="continue"/>
            <w:tcBorders>
              <w:top w:val="nil"/>
              <w:bottom w:val="nil"/>
            </w:tcBorders>
          </w:tcPr>
          <w:p>
            <w:pPr>
              <w:ind w:firstLine="0" w:firstLineChars="0"/>
              <w:rPr>
                <w:rFonts w:ascii="Arial"/>
                <w:sz w:val="21"/>
                <w:highlight w:val="none"/>
              </w:rPr>
            </w:pPr>
          </w:p>
        </w:tc>
        <w:tc>
          <w:tcPr>
            <w:tcW w:w="1059" w:type="dxa"/>
            <w:vMerge w:val="continue"/>
            <w:tcBorders>
              <w:top w:val="nil"/>
              <w:bottom w:val="nil"/>
            </w:tcBorders>
          </w:tcPr>
          <w:p>
            <w:pPr>
              <w:ind w:firstLine="0" w:firstLineChars="0"/>
              <w:rPr>
                <w:rFonts w:ascii="Arial"/>
                <w:sz w:val="21"/>
                <w:highlight w:val="none"/>
              </w:rPr>
            </w:pPr>
          </w:p>
        </w:tc>
        <w:tc>
          <w:tcPr>
            <w:tcW w:w="1338" w:type="dxa"/>
            <w:vMerge w:val="continue"/>
            <w:tcBorders>
              <w:top w:val="nil"/>
              <w:bottom w:val="nil"/>
            </w:tcBorders>
          </w:tcPr>
          <w:p>
            <w:pPr>
              <w:ind w:firstLine="0" w:firstLineChars="0"/>
              <w:rPr>
                <w:rFonts w:ascii="Arial"/>
                <w:sz w:val="21"/>
                <w:highlight w:val="none"/>
              </w:rPr>
            </w:pPr>
          </w:p>
        </w:tc>
        <w:tc>
          <w:tcPr>
            <w:tcW w:w="2727" w:type="dxa"/>
          </w:tcPr>
          <w:p>
            <w:pPr>
              <w:pStyle w:val="137"/>
              <w:spacing w:before="67" w:line="212" w:lineRule="auto"/>
              <w:ind w:left="106" w:firstLine="0" w:firstLineChars="0"/>
              <w:rPr>
                <w:sz w:val="22"/>
                <w:szCs w:val="22"/>
                <w:highlight w:val="none"/>
              </w:rPr>
            </w:pPr>
            <w:r>
              <w:rPr>
                <w:spacing w:val="-2"/>
                <w:sz w:val="22"/>
                <w:szCs w:val="22"/>
                <w:highlight w:val="none"/>
              </w:rPr>
              <w:t>操作系统工具</w:t>
            </w:r>
          </w:p>
        </w:tc>
        <w:tc>
          <w:tcPr>
            <w:tcW w:w="1823" w:type="dxa"/>
          </w:tcPr>
          <w:p>
            <w:pPr>
              <w:pStyle w:val="137"/>
              <w:spacing w:before="67" w:line="212" w:lineRule="auto"/>
              <w:ind w:left="409" w:firstLine="0" w:firstLineChars="0"/>
              <w:rPr>
                <w:sz w:val="22"/>
                <w:szCs w:val="22"/>
                <w:highlight w:val="none"/>
              </w:rPr>
            </w:pPr>
            <w:r>
              <w:rPr>
                <w:spacing w:val="-1"/>
                <w:sz w:val="22"/>
                <w:szCs w:val="22"/>
                <w:highlight w:val="none"/>
              </w:rPr>
              <w:t>=565套/年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744" w:type="dxa"/>
            <w:vMerge w:val="continue"/>
            <w:tcBorders>
              <w:top w:val="nil"/>
              <w:bottom w:val="nil"/>
            </w:tcBorders>
          </w:tcPr>
          <w:p>
            <w:pPr>
              <w:ind w:firstLine="0" w:firstLineChars="0"/>
              <w:rPr>
                <w:rFonts w:ascii="Arial"/>
                <w:sz w:val="21"/>
                <w:highlight w:val="none"/>
              </w:rPr>
            </w:pPr>
          </w:p>
        </w:tc>
        <w:tc>
          <w:tcPr>
            <w:tcW w:w="1058" w:type="dxa"/>
            <w:vMerge w:val="continue"/>
            <w:tcBorders>
              <w:top w:val="nil"/>
              <w:bottom w:val="nil"/>
            </w:tcBorders>
          </w:tcPr>
          <w:p>
            <w:pPr>
              <w:ind w:firstLine="0" w:firstLineChars="0"/>
              <w:rPr>
                <w:rFonts w:ascii="Arial"/>
                <w:sz w:val="21"/>
                <w:highlight w:val="none"/>
              </w:rPr>
            </w:pPr>
          </w:p>
        </w:tc>
        <w:tc>
          <w:tcPr>
            <w:tcW w:w="1059" w:type="dxa"/>
            <w:vMerge w:val="continue"/>
            <w:tcBorders>
              <w:top w:val="nil"/>
              <w:bottom w:val="nil"/>
            </w:tcBorders>
          </w:tcPr>
          <w:p>
            <w:pPr>
              <w:ind w:firstLine="0" w:firstLineChars="0"/>
              <w:rPr>
                <w:rFonts w:ascii="Arial"/>
                <w:sz w:val="21"/>
                <w:highlight w:val="none"/>
              </w:rPr>
            </w:pPr>
          </w:p>
        </w:tc>
        <w:tc>
          <w:tcPr>
            <w:tcW w:w="1338" w:type="dxa"/>
            <w:vMerge w:val="continue"/>
            <w:tcBorders>
              <w:top w:val="nil"/>
              <w:bottom w:val="nil"/>
            </w:tcBorders>
          </w:tcPr>
          <w:p>
            <w:pPr>
              <w:ind w:firstLine="0" w:firstLineChars="0"/>
              <w:rPr>
                <w:rFonts w:ascii="Arial"/>
                <w:sz w:val="21"/>
                <w:highlight w:val="none"/>
              </w:rPr>
            </w:pPr>
          </w:p>
        </w:tc>
        <w:tc>
          <w:tcPr>
            <w:tcW w:w="2727" w:type="dxa"/>
          </w:tcPr>
          <w:p>
            <w:pPr>
              <w:pStyle w:val="137"/>
              <w:spacing w:before="57" w:line="212" w:lineRule="auto"/>
              <w:ind w:left="106" w:firstLine="0" w:firstLineChars="0"/>
              <w:rPr>
                <w:sz w:val="22"/>
                <w:szCs w:val="22"/>
                <w:highlight w:val="none"/>
              </w:rPr>
            </w:pPr>
            <w:r>
              <w:rPr>
                <w:spacing w:val="2"/>
                <w:sz w:val="22"/>
                <w:szCs w:val="22"/>
                <w:highlight w:val="none"/>
              </w:rPr>
              <w:t>数据开发工具</w:t>
            </w:r>
          </w:p>
        </w:tc>
        <w:tc>
          <w:tcPr>
            <w:tcW w:w="1823" w:type="dxa"/>
          </w:tcPr>
          <w:p>
            <w:pPr>
              <w:pStyle w:val="137"/>
              <w:spacing w:before="57" w:line="212" w:lineRule="auto"/>
              <w:ind w:left="518" w:firstLine="0" w:firstLineChars="0"/>
              <w:rPr>
                <w:sz w:val="22"/>
                <w:szCs w:val="22"/>
                <w:highlight w:val="none"/>
              </w:rPr>
            </w:pPr>
            <w:r>
              <w:rPr>
                <w:spacing w:val="-1"/>
                <w:sz w:val="22"/>
                <w:szCs w:val="22"/>
                <w:highlight w:val="none"/>
              </w:rPr>
              <w:t>=3套/年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trPr>
        <w:tc>
          <w:tcPr>
            <w:tcW w:w="744" w:type="dxa"/>
            <w:vMerge w:val="continue"/>
            <w:tcBorders>
              <w:top w:val="nil"/>
              <w:bottom w:val="nil"/>
            </w:tcBorders>
          </w:tcPr>
          <w:p>
            <w:pPr>
              <w:ind w:firstLine="0" w:firstLineChars="0"/>
              <w:rPr>
                <w:rFonts w:ascii="Arial"/>
                <w:sz w:val="21"/>
                <w:highlight w:val="none"/>
              </w:rPr>
            </w:pPr>
          </w:p>
        </w:tc>
        <w:tc>
          <w:tcPr>
            <w:tcW w:w="1058" w:type="dxa"/>
            <w:vMerge w:val="continue"/>
            <w:tcBorders>
              <w:top w:val="nil"/>
              <w:bottom w:val="nil"/>
            </w:tcBorders>
          </w:tcPr>
          <w:p>
            <w:pPr>
              <w:ind w:firstLine="0" w:firstLineChars="0"/>
              <w:rPr>
                <w:rFonts w:ascii="Arial"/>
                <w:sz w:val="21"/>
                <w:highlight w:val="none"/>
              </w:rPr>
            </w:pPr>
          </w:p>
        </w:tc>
        <w:tc>
          <w:tcPr>
            <w:tcW w:w="1059" w:type="dxa"/>
            <w:vMerge w:val="continue"/>
            <w:tcBorders>
              <w:top w:val="nil"/>
              <w:bottom w:val="nil"/>
            </w:tcBorders>
          </w:tcPr>
          <w:p>
            <w:pPr>
              <w:ind w:firstLine="0" w:firstLineChars="0"/>
              <w:rPr>
                <w:rFonts w:ascii="Arial"/>
                <w:sz w:val="21"/>
                <w:highlight w:val="none"/>
              </w:rPr>
            </w:pPr>
          </w:p>
        </w:tc>
        <w:tc>
          <w:tcPr>
            <w:tcW w:w="1338" w:type="dxa"/>
            <w:vMerge w:val="continue"/>
            <w:tcBorders>
              <w:top w:val="nil"/>
              <w:bottom w:val="nil"/>
            </w:tcBorders>
          </w:tcPr>
          <w:p>
            <w:pPr>
              <w:ind w:firstLine="0" w:firstLineChars="0"/>
              <w:rPr>
                <w:rFonts w:ascii="Arial"/>
                <w:sz w:val="21"/>
                <w:highlight w:val="none"/>
              </w:rPr>
            </w:pPr>
          </w:p>
        </w:tc>
        <w:tc>
          <w:tcPr>
            <w:tcW w:w="2727" w:type="dxa"/>
          </w:tcPr>
          <w:p>
            <w:pPr>
              <w:pStyle w:val="137"/>
              <w:spacing w:before="67" w:line="211" w:lineRule="auto"/>
              <w:ind w:left="106" w:firstLine="0" w:firstLineChars="0"/>
              <w:rPr>
                <w:sz w:val="22"/>
                <w:szCs w:val="22"/>
                <w:highlight w:val="none"/>
              </w:rPr>
            </w:pPr>
            <w:r>
              <w:rPr>
                <w:spacing w:val="2"/>
                <w:sz w:val="22"/>
                <w:szCs w:val="22"/>
                <w:highlight w:val="none"/>
              </w:rPr>
              <w:t>培训管理工具</w:t>
            </w:r>
          </w:p>
        </w:tc>
        <w:tc>
          <w:tcPr>
            <w:tcW w:w="1823" w:type="dxa"/>
          </w:tcPr>
          <w:p>
            <w:pPr>
              <w:pStyle w:val="137"/>
              <w:spacing w:before="67" w:line="211" w:lineRule="auto"/>
              <w:ind w:left="518" w:firstLine="0" w:firstLineChars="0"/>
              <w:rPr>
                <w:sz w:val="22"/>
                <w:szCs w:val="22"/>
                <w:highlight w:val="none"/>
              </w:rPr>
            </w:pPr>
            <w:r>
              <w:rPr>
                <w:spacing w:val="-1"/>
                <w:sz w:val="22"/>
                <w:szCs w:val="22"/>
                <w:highlight w:val="none"/>
              </w:rPr>
              <w:t>=1套/年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trPr>
        <w:tc>
          <w:tcPr>
            <w:tcW w:w="744" w:type="dxa"/>
            <w:vMerge w:val="continue"/>
            <w:tcBorders>
              <w:top w:val="nil"/>
              <w:bottom w:val="nil"/>
            </w:tcBorders>
          </w:tcPr>
          <w:p>
            <w:pPr>
              <w:ind w:firstLine="0" w:firstLineChars="0"/>
              <w:rPr>
                <w:rFonts w:ascii="Arial"/>
                <w:sz w:val="21"/>
                <w:highlight w:val="none"/>
              </w:rPr>
            </w:pPr>
          </w:p>
        </w:tc>
        <w:tc>
          <w:tcPr>
            <w:tcW w:w="1058" w:type="dxa"/>
            <w:vMerge w:val="continue"/>
            <w:tcBorders>
              <w:top w:val="nil"/>
              <w:bottom w:val="nil"/>
            </w:tcBorders>
          </w:tcPr>
          <w:p>
            <w:pPr>
              <w:ind w:firstLine="0" w:firstLineChars="0"/>
              <w:rPr>
                <w:rFonts w:ascii="Arial"/>
                <w:sz w:val="21"/>
                <w:highlight w:val="none"/>
              </w:rPr>
            </w:pPr>
          </w:p>
        </w:tc>
        <w:tc>
          <w:tcPr>
            <w:tcW w:w="1059" w:type="dxa"/>
            <w:vMerge w:val="continue"/>
            <w:tcBorders>
              <w:top w:val="nil"/>
            </w:tcBorders>
          </w:tcPr>
          <w:p>
            <w:pPr>
              <w:ind w:firstLine="0" w:firstLineChars="0"/>
              <w:rPr>
                <w:rFonts w:ascii="Arial"/>
                <w:sz w:val="21"/>
                <w:highlight w:val="none"/>
              </w:rPr>
            </w:pPr>
          </w:p>
        </w:tc>
        <w:tc>
          <w:tcPr>
            <w:tcW w:w="1338" w:type="dxa"/>
            <w:vMerge w:val="continue"/>
            <w:tcBorders>
              <w:top w:val="nil"/>
            </w:tcBorders>
          </w:tcPr>
          <w:p>
            <w:pPr>
              <w:ind w:firstLine="0" w:firstLineChars="0"/>
              <w:rPr>
                <w:rFonts w:ascii="Arial"/>
                <w:sz w:val="21"/>
                <w:highlight w:val="none"/>
              </w:rPr>
            </w:pPr>
          </w:p>
        </w:tc>
        <w:tc>
          <w:tcPr>
            <w:tcW w:w="2727" w:type="dxa"/>
          </w:tcPr>
          <w:p>
            <w:pPr>
              <w:pStyle w:val="137"/>
              <w:spacing w:before="68" w:line="210" w:lineRule="auto"/>
              <w:ind w:left="106" w:firstLine="0" w:firstLineChars="0"/>
              <w:rPr>
                <w:sz w:val="22"/>
                <w:szCs w:val="22"/>
                <w:highlight w:val="none"/>
              </w:rPr>
            </w:pPr>
            <w:r>
              <w:rPr>
                <w:spacing w:val="2"/>
                <w:sz w:val="22"/>
                <w:szCs w:val="22"/>
                <w:highlight w:val="none"/>
              </w:rPr>
              <w:t>空间数据库</w:t>
            </w:r>
          </w:p>
        </w:tc>
        <w:tc>
          <w:tcPr>
            <w:tcW w:w="1823" w:type="dxa"/>
          </w:tcPr>
          <w:p>
            <w:pPr>
              <w:pStyle w:val="137"/>
              <w:spacing w:before="68" w:line="210" w:lineRule="auto"/>
              <w:ind w:left="518" w:firstLine="0" w:firstLineChars="0"/>
              <w:rPr>
                <w:sz w:val="22"/>
                <w:szCs w:val="22"/>
                <w:highlight w:val="none"/>
              </w:rPr>
            </w:pPr>
            <w:r>
              <w:rPr>
                <w:spacing w:val="-1"/>
                <w:sz w:val="22"/>
                <w:szCs w:val="22"/>
                <w:highlight w:val="none"/>
              </w:rPr>
              <w:t>=8套/年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744" w:type="dxa"/>
            <w:vMerge w:val="continue"/>
            <w:tcBorders>
              <w:top w:val="nil"/>
            </w:tcBorders>
          </w:tcPr>
          <w:p>
            <w:pPr>
              <w:ind w:firstLine="0" w:firstLineChars="0"/>
              <w:rPr>
                <w:rFonts w:ascii="Arial"/>
                <w:sz w:val="21"/>
                <w:highlight w:val="none"/>
              </w:rPr>
            </w:pPr>
          </w:p>
        </w:tc>
        <w:tc>
          <w:tcPr>
            <w:tcW w:w="1058" w:type="dxa"/>
            <w:vMerge w:val="continue"/>
            <w:tcBorders>
              <w:top w:val="nil"/>
            </w:tcBorders>
          </w:tcPr>
          <w:p>
            <w:pPr>
              <w:ind w:firstLine="0" w:firstLineChars="0"/>
              <w:rPr>
                <w:rFonts w:ascii="Arial"/>
                <w:sz w:val="21"/>
                <w:highlight w:val="none"/>
              </w:rPr>
            </w:pPr>
          </w:p>
        </w:tc>
        <w:tc>
          <w:tcPr>
            <w:tcW w:w="1059" w:type="dxa"/>
          </w:tcPr>
          <w:p>
            <w:pPr>
              <w:pStyle w:val="137"/>
              <w:spacing w:before="61" w:line="213" w:lineRule="auto"/>
              <w:ind w:left="82" w:firstLine="0" w:firstLineChars="0"/>
              <w:rPr>
                <w:sz w:val="22"/>
                <w:szCs w:val="22"/>
                <w:highlight w:val="none"/>
              </w:rPr>
            </w:pPr>
            <w:r>
              <w:rPr>
                <w:spacing w:val="2"/>
                <w:sz w:val="22"/>
                <w:szCs w:val="22"/>
                <w:highlight w:val="none"/>
              </w:rPr>
              <w:t>效益指标</w:t>
            </w:r>
          </w:p>
        </w:tc>
        <w:tc>
          <w:tcPr>
            <w:tcW w:w="1338" w:type="dxa"/>
          </w:tcPr>
          <w:p>
            <w:pPr>
              <w:pStyle w:val="137"/>
              <w:spacing w:before="58" w:line="215" w:lineRule="auto"/>
              <w:ind w:left="223" w:firstLine="0" w:firstLineChars="0"/>
              <w:rPr>
                <w:sz w:val="22"/>
                <w:szCs w:val="22"/>
                <w:highlight w:val="none"/>
              </w:rPr>
            </w:pPr>
            <w:r>
              <w:rPr>
                <w:spacing w:val="2"/>
                <w:sz w:val="22"/>
                <w:szCs w:val="22"/>
                <w:highlight w:val="none"/>
              </w:rPr>
              <w:t>社会效益</w:t>
            </w:r>
          </w:p>
        </w:tc>
        <w:tc>
          <w:tcPr>
            <w:tcW w:w="2727" w:type="dxa"/>
          </w:tcPr>
          <w:p>
            <w:pPr>
              <w:pStyle w:val="137"/>
              <w:spacing w:before="59" w:line="214" w:lineRule="auto"/>
              <w:ind w:left="106" w:firstLine="0" w:firstLineChars="0"/>
              <w:rPr>
                <w:sz w:val="22"/>
                <w:szCs w:val="22"/>
                <w:highlight w:val="none"/>
              </w:rPr>
            </w:pPr>
            <w:r>
              <w:rPr>
                <w:spacing w:val="-2"/>
                <w:sz w:val="22"/>
                <w:szCs w:val="22"/>
                <w:highlight w:val="none"/>
              </w:rPr>
              <w:t>支撑服务单位数量</w:t>
            </w:r>
          </w:p>
        </w:tc>
        <w:tc>
          <w:tcPr>
            <w:tcW w:w="1823" w:type="dxa"/>
          </w:tcPr>
          <w:p>
            <w:pPr>
              <w:pStyle w:val="137"/>
              <w:spacing w:before="61" w:line="213" w:lineRule="auto"/>
              <w:ind w:left="578" w:firstLine="0" w:firstLineChars="0"/>
              <w:rPr>
                <w:sz w:val="22"/>
                <w:szCs w:val="22"/>
                <w:highlight w:val="none"/>
              </w:rPr>
            </w:pPr>
            <w:r>
              <w:rPr>
                <w:spacing w:val="3"/>
                <w:sz w:val="22"/>
                <w:szCs w:val="22"/>
                <w:highlight w:val="none"/>
              </w:rPr>
              <w:t>≥20家</w:t>
            </w:r>
          </w:p>
        </w:tc>
      </w:tr>
    </w:tbl>
    <w:p>
      <w:pPr>
        <w:rPr>
          <w:highlight w:val="none"/>
        </w:rPr>
      </w:pPr>
    </w:p>
    <w:p>
      <w:pPr>
        <w:pStyle w:val="2"/>
        <w:rPr>
          <w:highlight w:val="none"/>
        </w:rPr>
      </w:pPr>
      <w:bookmarkStart w:id="11" w:name="_Toc47536676"/>
      <w:bookmarkEnd w:id="11"/>
      <w:bookmarkStart w:id="12" w:name="_Toc47537166"/>
      <w:bookmarkEnd w:id="12"/>
      <w:bookmarkStart w:id="13" w:name="_Toc47539102"/>
      <w:bookmarkEnd w:id="13"/>
      <w:bookmarkStart w:id="14" w:name="_Toc47532923"/>
      <w:bookmarkEnd w:id="14"/>
      <w:bookmarkStart w:id="15" w:name="_Toc47536304"/>
      <w:bookmarkEnd w:id="15"/>
      <w:bookmarkStart w:id="16" w:name="_Toc47533288"/>
      <w:bookmarkEnd w:id="16"/>
      <w:r>
        <w:rPr>
          <w:rFonts w:hint="eastAsia"/>
          <w:highlight w:val="none"/>
        </w:rPr>
        <w:t>项目建设内容</w:t>
      </w:r>
    </w:p>
    <w:p>
      <w:pPr>
        <w:pStyle w:val="3"/>
        <w:rPr>
          <w:highlight w:val="none"/>
        </w:rPr>
      </w:pPr>
      <w:r>
        <w:rPr>
          <w:rFonts w:hint="eastAsia"/>
          <w:highlight w:val="none"/>
        </w:rPr>
        <w:t>软件工具授权购置清单</w:t>
      </w:r>
    </w:p>
    <w:tbl>
      <w:tblPr>
        <w:tblStyle w:val="35"/>
        <w:tblW w:w="8500" w:type="dxa"/>
        <w:tblInd w:w="88" w:type="dxa"/>
        <w:tblLayout w:type="autofit"/>
        <w:tblCellMar>
          <w:top w:w="0" w:type="dxa"/>
          <w:left w:w="108" w:type="dxa"/>
          <w:bottom w:w="0" w:type="dxa"/>
          <w:right w:w="108" w:type="dxa"/>
        </w:tblCellMar>
      </w:tblPr>
      <w:tblGrid>
        <w:gridCol w:w="959"/>
        <w:gridCol w:w="1930"/>
        <w:gridCol w:w="2664"/>
        <w:gridCol w:w="1265"/>
        <w:gridCol w:w="1682"/>
      </w:tblGrid>
      <w:tr>
        <w:tblPrEx>
          <w:tblCellMar>
            <w:top w:w="0" w:type="dxa"/>
            <w:left w:w="108" w:type="dxa"/>
            <w:bottom w:w="0" w:type="dxa"/>
            <w:right w:w="108" w:type="dxa"/>
          </w:tblCellMar>
        </w:tblPrEx>
        <w:trPr>
          <w:trHeight w:val="336"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37"/>
              <w:spacing w:before="61" w:line="216" w:lineRule="auto"/>
              <w:ind w:left="106" w:firstLine="0" w:firstLineChars="0"/>
              <w:jc w:val="center"/>
              <w:rPr>
                <w:b/>
                <w:bCs/>
                <w:spacing w:val="2"/>
                <w:sz w:val="22"/>
                <w:szCs w:val="22"/>
                <w:highlight w:val="none"/>
                <w:lang w:eastAsia="zh-CN"/>
              </w:rPr>
            </w:pPr>
            <w:r>
              <w:rPr>
                <w:rFonts w:hint="eastAsia"/>
                <w:b/>
                <w:bCs/>
                <w:spacing w:val="2"/>
                <w:sz w:val="22"/>
                <w:szCs w:val="22"/>
                <w:highlight w:val="none"/>
                <w:lang w:eastAsia="zh-CN"/>
              </w:rPr>
              <w:t>序号</w:t>
            </w:r>
          </w:p>
        </w:tc>
        <w:tc>
          <w:tcPr>
            <w:tcW w:w="193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37"/>
              <w:spacing w:before="61" w:line="216" w:lineRule="auto"/>
              <w:ind w:left="106" w:firstLine="0" w:firstLineChars="0"/>
              <w:jc w:val="center"/>
              <w:rPr>
                <w:b/>
                <w:bCs/>
                <w:spacing w:val="2"/>
                <w:sz w:val="22"/>
                <w:szCs w:val="22"/>
                <w:highlight w:val="none"/>
                <w:lang w:eastAsia="zh-CN"/>
              </w:rPr>
            </w:pPr>
            <w:r>
              <w:rPr>
                <w:rFonts w:hint="eastAsia"/>
                <w:b/>
                <w:bCs/>
                <w:spacing w:val="2"/>
                <w:sz w:val="22"/>
                <w:szCs w:val="22"/>
                <w:highlight w:val="none"/>
                <w:lang w:eastAsia="zh-CN"/>
              </w:rPr>
              <w:t>工具一级分类</w:t>
            </w:r>
          </w:p>
        </w:tc>
        <w:tc>
          <w:tcPr>
            <w:tcW w:w="266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37"/>
              <w:spacing w:before="61" w:line="216" w:lineRule="auto"/>
              <w:ind w:left="106" w:firstLine="0" w:firstLineChars="0"/>
              <w:jc w:val="center"/>
              <w:rPr>
                <w:b/>
                <w:bCs/>
                <w:spacing w:val="2"/>
                <w:sz w:val="22"/>
                <w:szCs w:val="22"/>
                <w:highlight w:val="none"/>
                <w:lang w:eastAsia="zh-CN"/>
              </w:rPr>
            </w:pPr>
            <w:r>
              <w:rPr>
                <w:rFonts w:hint="eastAsia"/>
                <w:b/>
                <w:bCs/>
                <w:spacing w:val="2"/>
                <w:sz w:val="22"/>
                <w:szCs w:val="22"/>
                <w:highlight w:val="none"/>
                <w:lang w:eastAsia="zh-CN"/>
              </w:rPr>
              <w:t>工具二级分类</w:t>
            </w: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37"/>
              <w:spacing w:before="61" w:line="216" w:lineRule="auto"/>
              <w:ind w:left="106" w:firstLine="0" w:firstLineChars="0"/>
              <w:jc w:val="center"/>
              <w:rPr>
                <w:b/>
                <w:bCs/>
                <w:spacing w:val="2"/>
                <w:sz w:val="22"/>
                <w:szCs w:val="22"/>
                <w:highlight w:val="none"/>
                <w:lang w:eastAsia="zh-CN"/>
              </w:rPr>
            </w:pPr>
            <w:r>
              <w:rPr>
                <w:rFonts w:hint="eastAsia"/>
                <w:b/>
                <w:bCs/>
                <w:spacing w:val="2"/>
                <w:sz w:val="22"/>
                <w:szCs w:val="22"/>
                <w:highlight w:val="none"/>
                <w:lang w:eastAsia="zh-CN"/>
              </w:rPr>
              <w:t>数量</w:t>
            </w:r>
          </w:p>
        </w:tc>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37"/>
              <w:spacing w:before="61" w:line="216" w:lineRule="auto"/>
              <w:ind w:left="106" w:firstLine="0" w:firstLineChars="0"/>
              <w:jc w:val="center"/>
              <w:rPr>
                <w:b/>
                <w:bCs/>
                <w:spacing w:val="2"/>
                <w:sz w:val="22"/>
                <w:szCs w:val="22"/>
                <w:highlight w:val="none"/>
                <w:lang w:eastAsia="zh-CN"/>
              </w:rPr>
            </w:pPr>
            <w:r>
              <w:rPr>
                <w:rFonts w:hint="eastAsia"/>
                <w:b/>
                <w:bCs/>
                <w:spacing w:val="2"/>
                <w:sz w:val="22"/>
                <w:szCs w:val="22"/>
                <w:highlight w:val="none"/>
                <w:lang w:eastAsia="zh-CN"/>
              </w:rPr>
              <w:t>单位</w:t>
            </w:r>
          </w:p>
        </w:tc>
      </w:tr>
      <w:tr>
        <w:tblPrEx>
          <w:tblCellMar>
            <w:top w:w="0" w:type="dxa"/>
            <w:left w:w="108" w:type="dxa"/>
            <w:bottom w:w="0" w:type="dxa"/>
            <w:right w:w="108" w:type="dxa"/>
          </w:tblCellMar>
        </w:tblPrEx>
        <w:trPr>
          <w:trHeight w:val="830"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37"/>
              <w:spacing w:before="61" w:line="216" w:lineRule="auto"/>
              <w:ind w:left="106" w:firstLine="0" w:firstLineChars="0"/>
              <w:jc w:val="center"/>
              <w:rPr>
                <w:spacing w:val="2"/>
                <w:sz w:val="22"/>
                <w:szCs w:val="22"/>
                <w:highlight w:val="none"/>
                <w:lang w:eastAsia="zh-CN"/>
              </w:rPr>
            </w:pPr>
            <w:r>
              <w:rPr>
                <w:rFonts w:hint="eastAsia"/>
                <w:spacing w:val="2"/>
                <w:sz w:val="22"/>
                <w:szCs w:val="22"/>
                <w:highlight w:val="none"/>
                <w:lang w:eastAsia="zh-CN"/>
              </w:rPr>
              <w:t>1</w:t>
            </w:r>
          </w:p>
        </w:tc>
        <w:tc>
          <w:tcPr>
            <w:tcW w:w="193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37"/>
              <w:spacing w:before="61" w:line="216" w:lineRule="auto"/>
              <w:ind w:left="106" w:firstLine="0" w:firstLineChars="0"/>
              <w:jc w:val="center"/>
              <w:rPr>
                <w:spacing w:val="2"/>
                <w:sz w:val="22"/>
                <w:szCs w:val="22"/>
                <w:highlight w:val="none"/>
                <w:lang w:eastAsia="zh-CN"/>
              </w:rPr>
            </w:pPr>
            <w:r>
              <w:rPr>
                <w:rFonts w:hint="eastAsia"/>
                <w:spacing w:val="2"/>
                <w:sz w:val="22"/>
                <w:szCs w:val="22"/>
                <w:highlight w:val="none"/>
                <w:lang w:eastAsia="zh-CN"/>
              </w:rPr>
              <w:t>版式办公工具</w:t>
            </w:r>
          </w:p>
        </w:tc>
        <w:tc>
          <w:tcPr>
            <w:tcW w:w="266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37"/>
              <w:spacing w:before="61" w:line="216" w:lineRule="auto"/>
              <w:ind w:left="106" w:firstLine="0" w:firstLineChars="0"/>
              <w:jc w:val="center"/>
              <w:rPr>
                <w:spacing w:val="2"/>
                <w:sz w:val="22"/>
                <w:szCs w:val="22"/>
                <w:highlight w:val="none"/>
                <w:lang w:eastAsia="zh-CN"/>
              </w:rPr>
            </w:pPr>
            <w:r>
              <w:rPr>
                <w:rFonts w:hint="eastAsia"/>
                <w:spacing w:val="2"/>
                <w:sz w:val="22"/>
                <w:szCs w:val="22"/>
                <w:highlight w:val="none"/>
                <w:lang w:eastAsia="zh-CN"/>
              </w:rPr>
              <w:t>版式办公工具-PC端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137"/>
              <w:spacing w:before="61" w:line="216" w:lineRule="auto"/>
              <w:ind w:left="106" w:firstLine="0" w:firstLineChars="0"/>
              <w:jc w:val="center"/>
              <w:rPr>
                <w:spacing w:val="2"/>
                <w:sz w:val="22"/>
                <w:szCs w:val="22"/>
                <w:highlight w:val="none"/>
                <w:lang w:eastAsia="zh-CN"/>
              </w:rPr>
            </w:pPr>
            <w:r>
              <w:rPr>
                <w:rFonts w:hint="eastAsia"/>
                <w:spacing w:val="2"/>
                <w:sz w:val="22"/>
                <w:szCs w:val="22"/>
                <w:highlight w:val="none"/>
                <w:lang w:eastAsia="zh-CN"/>
              </w:rPr>
              <w:t>488</w:t>
            </w:r>
          </w:p>
        </w:tc>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37"/>
              <w:spacing w:before="61" w:line="216" w:lineRule="auto"/>
              <w:ind w:left="106" w:firstLine="0" w:firstLineChars="0"/>
              <w:jc w:val="center"/>
              <w:rPr>
                <w:spacing w:val="2"/>
                <w:sz w:val="22"/>
                <w:szCs w:val="22"/>
                <w:highlight w:val="none"/>
                <w:lang w:eastAsia="zh-CN"/>
              </w:rPr>
            </w:pPr>
            <w:r>
              <w:rPr>
                <w:rFonts w:hint="eastAsia"/>
                <w:spacing w:val="2"/>
                <w:sz w:val="22"/>
                <w:szCs w:val="22"/>
                <w:highlight w:val="none"/>
                <w:lang w:eastAsia="zh-CN"/>
              </w:rPr>
              <w:t>套/年</w:t>
            </w:r>
          </w:p>
        </w:tc>
      </w:tr>
      <w:tr>
        <w:tblPrEx>
          <w:tblCellMar>
            <w:top w:w="0" w:type="dxa"/>
            <w:left w:w="108" w:type="dxa"/>
            <w:bottom w:w="0" w:type="dxa"/>
            <w:right w:w="108" w:type="dxa"/>
          </w:tblCellMar>
        </w:tblPrEx>
        <w:trPr>
          <w:trHeight w:val="336"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37"/>
              <w:spacing w:before="61" w:line="216" w:lineRule="auto"/>
              <w:ind w:left="106" w:firstLine="0" w:firstLineChars="0"/>
              <w:jc w:val="center"/>
              <w:rPr>
                <w:spacing w:val="2"/>
                <w:sz w:val="22"/>
                <w:szCs w:val="22"/>
                <w:highlight w:val="none"/>
                <w:lang w:eastAsia="zh-CN"/>
              </w:rPr>
            </w:pPr>
            <w:r>
              <w:rPr>
                <w:rFonts w:hint="eastAsia"/>
                <w:spacing w:val="2"/>
                <w:sz w:val="22"/>
                <w:szCs w:val="22"/>
                <w:highlight w:val="none"/>
                <w:lang w:eastAsia="zh-CN"/>
              </w:rPr>
              <w:t>2</w:t>
            </w:r>
          </w:p>
        </w:tc>
        <w:tc>
          <w:tcPr>
            <w:tcW w:w="19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Style w:val="137"/>
              <w:spacing w:before="61" w:line="216" w:lineRule="auto"/>
              <w:ind w:left="106" w:firstLine="0" w:firstLineChars="0"/>
              <w:jc w:val="center"/>
              <w:rPr>
                <w:spacing w:val="2"/>
                <w:sz w:val="22"/>
                <w:szCs w:val="22"/>
                <w:highlight w:val="none"/>
                <w:lang w:eastAsia="zh-CN"/>
              </w:rPr>
            </w:pPr>
            <w:r>
              <w:rPr>
                <w:rFonts w:hint="eastAsia"/>
                <w:spacing w:val="2"/>
                <w:sz w:val="22"/>
                <w:szCs w:val="22"/>
                <w:highlight w:val="none"/>
                <w:lang w:eastAsia="zh-CN"/>
              </w:rPr>
              <w:t>流式办公工具</w:t>
            </w:r>
          </w:p>
        </w:tc>
        <w:tc>
          <w:tcPr>
            <w:tcW w:w="266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37"/>
              <w:spacing w:before="61" w:line="216" w:lineRule="auto"/>
              <w:ind w:left="106" w:firstLine="0" w:firstLineChars="0"/>
              <w:jc w:val="center"/>
              <w:rPr>
                <w:spacing w:val="2"/>
                <w:sz w:val="22"/>
                <w:szCs w:val="22"/>
                <w:highlight w:val="none"/>
                <w:lang w:eastAsia="zh-CN"/>
              </w:rPr>
            </w:pPr>
            <w:r>
              <w:rPr>
                <w:rFonts w:hint="eastAsia"/>
                <w:spacing w:val="2"/>
                <w:sz w:val="22"/>
                <w:szCs w:val="22"/>
                <w:highlight w:val="none"/>
                <w:lang w:eastAsia="zh-CN"/>
              </w:rPr>
              <w:t>流式办公工具-PC端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137"/>
              <w:spacing w:before="61" w:line="216" w:lineRule="auto"/>
              <w:ind w:left="106" w:firstLine="0" w:firstLineChars="0"/>
              <w:jc w:val="center"/>
              <w:rPr>
                <w:spacing w:val="2"/>
                <w:sz w:val="22"/>
                <w:szCs w:val="22"/>
                <w:highlight w:val="none"/>
                <w:lang w:eastAsia="zh-CN"/>
              </w:rPr>
            </w:pPr>
            <w:r>
              <w:rPr>
                <w:rFonts w:hint="eastAsia"/>
                <w:spacing w:val="2"/>
                <w:sz w:val="22"/>
                <w:szCs w:val="22"/>
                <w:highlight w:val="none"/>
                <w:lang w:eastAsia="zh-CN"/>
              </w:rPr>
              <w:t>746</w:t>
            </w:r>
          </w:p>
        </w:tc>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37"/>
              <w:spacing w:before="61" w:line="216" w:lineRule="auto"/>
              <w:ind w:left="106" w:firstLine="0" w:firstLineChars="0"/>
              <w:jc w:val="center"/>
              <w:rPr>
                <w:spacing w:val="2"/>
                <w:sz w:val="22"/>
                <w:szCs w:val="22"/>
                <w:highlight w:val="none"/>
                <w:lang w:eastAsia="zh-CN"/>
              </w:rPr>
            </w:pPr>
            <w:r>
              <w:rPr>
                <w:rFonts w:hint="eastAsia"/>
                <w:spacing w:val="2"/>
                <w:sz w:val="22"/>
                <w:szCs w:val="22"/>
                <w:highlight w:val="none"/>
                <w:lang w:eastAsia="zh-CN"/>
              </w:rPr>
              <w:t>套/年</w:t>
            </w:r>
          </w:p>
        </w:tc>
      </w:tr>
      <w:tr>
        <w:tblPrEx>
          <w:tblCellMar>
            <w:top w:w="0" w:type="dxa"/>
            <w:left w:w="108" w:type="dxa"/>
            <w:bottom w:w="0" w:type="dxa"/>
            <w:right w:w="108" w:type="dxa"/>
          </w:tblCellMar>
        </w:tblPrEx>
        <w:trPr>
          <w:trHeight w:val="830"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37"/>
              <w:spacing w:before="61" w:line="216" w:lineRule="auto"/>
              <w:ind w:left="106" w:firstLine="0" w:firstLineChars="0"/>
              <w:jc w:val="center"/>
              <w:rPr>
                <w:spacing w:val="2"/>
                <w:sz w:val="22"/>
                <w:szCs w:val="22"/>
                <w:highlight w:val="none"/>
                <w:lang w:eastAsia="zh-CN"/>
              </w:rPr>
            </w:pPr>
            <w:r>
              <w:rPr>
                <w:rFonts w:hint="eastAsia"/>
                <w:spacing w:val="2"/>
                <w:sz w:val="22"/>
                <w:szCs w:val="22"/>
                <w:highlight w:val="none"/>
                <w:lang w:eastAsia="zh-CN"/>
              </w:rPr>
              <w:t>3</w:t>
            </w:r>
          </w:p>
        </w:tc>
        <w:tc>
          <w:tcPr>
            <w:tcW w:w="19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137"/>
              <w:spacing w:before="61" w:line="216" w:lineRule="auto"/>
              <w:ind w:left="106" w:firstLine="0" w:firstLineChars="0"/>
              <w:jc w:val="center"/>
              <w:rPr>
                <w:spacing w:val="2"/>
                <w:sz w:val="22"/>
                <w:szCs w:val="22"/>
                <w:highlight w:val="none"/>
                <w:lang w:eastAsia="zh-CN"/>
              </w:rPr>
            </w:pPr>
          </w:p>
        </w:tc>
        <w:tc>
          <w:tcPr>
            <w:tcW w:w="266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37"/>
              <w:spacing w:before="61" w:line="216" w:lineRule="auto"/>
              <w:ind w:left="106" w:firstLine="0" w:firstLineChars="0"/>
              <w:jc w:val="center"/>
              <w:rPr>
                <w:spacing w:val="2"/>
                <w:sz w:val="22"/>
                <w:szCs w:val="22"/>
                <w:highlight w:val="none"/>
                <w:lang w:eastAsia="zh-CN"/>
              </w:rPr>
            </w:pPr>
            <w:r>
              <w:rPr>
                <w:rFonts w:hint="eastAsia"/>
                <w:spacing w:val="2"/>
                <w:sz w:val="22"/>
                <w:szCs w:val="22"/>
                <w:highlight w:val="none"/>
                <w:lang w:eastAsia="zh-CN"/>
              </w:rPr>
              <w:t>流式文档在线编辑工具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137"/>
              <w:spacing w:before="61" w:line="216" w:lineRule="auto"/>
              <w:ind w:left="106" w:firstLine="0" w:firstLineChars="0"/>
              <w:jc w:val="center"/>
              <w:rPr>
                <w:spacing w:val="2"/>
                <w:sz w:val="22"/>
                <w:szCs w:val="22"/>
                <w:highlight w:val="none"/>
                <w:lang w:eastAsia="zh-CN"/>
              </w:rPr>
            </w:pPr>
            <w:r>
              <w:rPr>
                <w:rFonts w:hint="eastAsia"/>
                <w:spacing w:val="2"/>
                <w:sz w:val="22"/>
                <w:szCs w:val="22"/>
                <w:highlight w:val="none"/>
                <w:lang w:eastAsia="zh-CN"/>
              </w:rPr>
              <w:t>42</w:t>
            </w:r>
          </w:p>
        </w:tc>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37"/>
              <w:spacing w:before="61" w:line="216" w:lineRule="auto"/>
              <w:ind w:left="106" w:firstLine="0" w:firstLineChars="0"/>
              <w:jc w:val="center"/>
              <w:rPr>
                <w:spacing w:val="2"/>
                <w:sz w:val="22"/>
                <w:szCs w:val="22"/>
                <w:highlight w:val="none"/>
                <w:lang w:eastAsia="zh-CN"/>
              </w:rPr>
            </w:pPr>
            <w:r>
              <w:rPr>
                <w:rFonts w:hint="eastAsia"/>
                <w:spacing w:val="2"/>
                <w:sz w:val="22"/>
                <w:szCs w:val="22"/>
                <w:highlight w:val="none"/>
                <w:lang w:eastAsia="zh-CN"/>
              </w:rPr>
              <w:t>套/年</w:t>
            </w:r>
          </w:p>
        </w:tc>
      </w:tr>
      <w:tr>
        <w:tblPrEx>
          <w:tblCellMar>
            <w:top w:w="0" w:type="dxa"/>
            <w:left w:w="108" w:type="dxa"/>
            <w:bottom w:w="0" w:type="dxa"/>
            <w:right w:w="108" w:type="dxa"/>
          </w:tblCellMar>
        </w:tblPrEx>
        <w:trPr>
          <w:trHeight w:val="336"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37"/>
              <w:spacing w:before="61" w:line="216" w:lineRule="auto"/>
              <w:ind w:left="106" w:firstLine="0" w:firstLineChars="0"/>
              <w:jc w:val="center"/>
              <w:rPr>
                <w:spacing w:val="2"/>
                <w:sz w:val="22"/>
                <w:szCs w:val="22"/>
                <w:highlight w:val="none"/>
                <w:lang w:eastAsia="zh-CN"/>
              </w:rPr>
            </w:pPr>
            <w:r>
              <w:rPr>
                <w:rFonts w:hint="eastAsia"/>
                <w:spacing w:val="2"/>
                <w:sz w:val="22"/>
                <w:szCs w:val="22"/>
                <w:highlight w:val="none"/>
                <w:lang w:eastAsia="zh-CN"/>
              </w:rPr>
              <w:t>4</w:t>
            </w:r>
          </w:p>
        </w:tc>
        <w:tc>
          <w:tcPr>
            <w:tcW w:w="19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137"/>
              <w:spacing w:before="61" w:line="216" w:lineRule="auto"/>
              <w:ind w:left="106" w:firstLine="0" w:firstLineChars="0"/>
              <w:jc w:val="center"/>
              <w:rPr>
                <w:spacing w:val="2"/>
                <w:sz w:val="22"/>
                <w:szCs w:val="22"/>
                <w:highlight w:val="none"/>
                <w:lang w:eastAsia="zh-CN"/>
              </w:rPr>
            </w:pPr>
          </w:p>
        </w:tc>
        <w:tc>
          <w:tcPr>
            <w:tcW w:w="266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37"/>
              <w:spacing w:before="61" w:line="216" w:lineRule="auto"/>
              <w:ind w:left="106" w:firstLine="0" w:firstLineChars="0"/>
              <w:jc w:val="center"/>
              <w:rPr>
                <w:spacing w:val="2"/>
                <w:sz w:val="22"/>
                <w:szCs w:val="22"/>
                <w:highlight w:val="none"/>
                <w:lang w:eastAsia="zh-CN"/>
              </w:rPr>
            </w:pPr>
            <w:r>
              <w:rPr>
                <w:rFonts w:hint="eastAsia"/>
                <w:spacing w:val="2"/>
                <w:sz w:val="22"/>
                <w:szCs w:val="22"/>
                <w:highlight w:val="none"/>
                <w:lang w:eastAsia="zh-CN"/>
              </w:rPr>
              <w:t>流式文档在线预览工具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137"/>
              <w:spacing w:before="61" w:line="216" w:lineRule="auto"/>
              <w:ind w:left="106" w:firstLine="0" w:firstLineChars="0"/>
              <w:jc w:val="center"/>
              <w:rPr>
                <w:spacing w:val="2"/>
                <w:sz w:val="22"/>
                <w:szCs w:val="22"/>
                <w:highlight w:val="none"/>
                <w:lang w:eastAsia="zh-CN"/>
              </w:rPr>
            </w:pPr>
            <w:r>
              <w:rPr>
                <w:rFonts w:hint="eastAsia"/>
                <w:spacing w:val="2"/>
                <w:sz w:val="22"/>
                <w:szCs w:val="22"/>
                <w:highlight w:val="none"/>
                <w:lang w:eastAsia="zh-CN"/>
              </w:rPr>
              <w:t>41</w:t>
            </w:r>
          </w:p>
        </w:tc>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37"/>
              <w:spacing w:before="61" w:line="216" w:lineRule="auto"/>
              <w:ind w:left="106" w:firstLine="0" w:firstLineChars="0"/>
              <w:jc w:val="center"/>
              <w:rPr>
                <w:spacing w:val="2"/>
                <w:sz w:val="22"/>
                <w:szCs w:val="22"/>
                <w:highlight w:val="none"/>
                <w:lang w:eastAsia="zh-CN"/>
              </w:rPr>
            </w:pPr>
            <w:r>
              <w:rPr>
                <w:rFonts w:hint="eastAsia"/>
                <w:spacing w:val="2"/>
                <w:sz w:val="22"/>
                <w:szCs w:val="22"/>
                <w:highlight w:val="none"/>
                <w:lang w:eastAsia="zh-CN"/>
              </w:rPr>
              <w:t>套/年</w:t>
            </w:r>
          </w:p>
        </w:tc>
      </w:tr>
      <w:tr>
        <w:tblPrEx>
          <w:tblCellMar>
            <w:top w:w="0" w:type="dxa"/>
            <w:left w:w="108" w:type="dxa"/>
            <w:bottom w:w="0" w:type="dxa"/>
            <w:right w:w="108" w:type="dxa"/>
          </w:tblCellMar>
        </w:tblPrEx>
        <w:trPr>
          <w:trHeight w:val="336"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37"/>
              <w:spacing w:before="61" w:line="216" w:lineRule="auto"/>
              <w:ind w:left="106" w:firstLine="0" w:firstLineChars="0"/>
              <w:jc w:val="center"/>
              <w:rPr>
                <w:spacing w:val="2"/>
                <w:sz w:val="22"/>
                <w:szCs w:val="22"/>
                <w:highlight w:val="none"/>
                <w:lang w:eastAsia="zh-CN"/>
              </w:rPr>
            </w:pPr>
            <w:r>
              <w:rPr>
                <w:rFonts w:hint="eastAsia"/>
                <w:spacing w:val="2"/>
                <w:sz w:val="22"/>
                <w:szCs w:val="22"/>
                <w:highlight w:val="none"/>
                <w:lang w:eastAsia="zh-CN"/>
              </w:rPr>
              <w:t>5</w:t>
            </w:r>
          </w:p>
        </w:tc>
        <w:tc>
          <w:tcPr>
            <w:tcW w:w="19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Style w:val="137"/>
              <w:spacing w:before="61" w:line="216" w:lineRule="auto"/>
              <w:ind w:left="106" w:firstLine="0" w:firstLineChars="0"/>
              <w:jc w:val="center"/>
              <w:rPr>
                <w:spacing w:val="2"/>
                <w:sz w:val="22"/>
                <w:szCs w:val="22"/>
                <w:highlight w:val="none"/>
                <w:lang w:eastAsia="zh-CN"/>
              </w:rPr>
            </w:pPr>
            <w:r>
              <w:rPr>
                <w:rFonts w:hint="eastAsia"/>
                <w:spacing w:val="2"/>
                <w:sz w:val="22"/>
                <w:szCs w:val="22"/>
                <w:highlight w:val="none"/>
                <w:lang w:eastAsia="zh-CN"/>
              </w:rPr>
              <w:t>文字检测工具</w:t>
            </w:r>
          </w:p>
        </w:tc>
        <w:tc>
          <w:tcPr>
            <w:tcW w:w="266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37"/>
              <w:spacing w:before="61" w:line="216" w:lineRule="auto"/>
              <w:ind w:left="106" w:firstLine="0" w:firstLineChars="0"/>
              <w:jc w:val="center"/>
              <w:rPr>
                <w:spacing w:val="2"/>
                <w:sz w:val="22"/>
                <w:szCs w:val="22"/>
                <w:highlight w:val="none"/>
                <w:lang w:eastAsia="zh-CN"/>
              </w:rPr>
            </w:pPr>
            <w:r>
              <w:rPr>
                <w:rFonts w:hint="eastAsia"/>
                <w:spacing w:val="2"/>
                <w:sz w:val="22"/>
                <w:szCs w:val="22"/>
                <w:highlight w:val="none"/>
                <w:lang w:eastAsia="zh-CN"/>
              </w:rPr>
              <w:t>文字校对工具-PC端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137"/>
              <w:spacing w:before="61" w:line="216" w:lineRule="auto"/>
              <w:ind w:left="106" w:firstLine="0" w:firstLineChars="0"/>
              <w:jc w:val="center"/>
              <w:rPr>
                <w:spacing w:val="2"/>
                <w:sz w:val="22"/>
                <w:szCs w:val="22"/>
                <w:highlight w:val="none"/>
                <w:lang w:eastAsia="zh-CN"/>
              </w:rPr>
            </w:pPr>
            <w:r>
              <w:rPr>
                <w:rFonts w:hint="eastAsia"/>
                <w:spacing w:val="2"/>
                <w:sz w:val="22"/>
                <w:szCs w:val="22"/>
                <w:highlight w:val="none"/>
                <w:lang w:eastAsia="zh-CN"/>
              </w:rPr>
              <w:t>104</w:t>
            </w:r>
          </w:p>
        </w:tc>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37"/>
              <w:spacing w:before="61" w:line="216" w:lineRule="auto"/>
              <w:ind w:left="106" w:firstLine="0" w:firstLineChars="0"/>
              <w:jc w:val="center"/>
              <w:rPr>
                <w:spacing w:val="2"/>
                <w:sz w:val="22"/>
                <w:szCs w:val="22"/>
                <w:highlight w:val="none"/>
                <w:lang w:eastAsia="zh-CN"/>
              </w:rPr>
            </w:pPr>
            <w:r>
              <w:rPr>
                <w:rFonts w:hint="eastAsia"/>
                <w:spacing w:val="2"/>
                <w:sz w:val="22"/>
                <w:szCs w:val="22"/>
                <w:highlight w:val="none"/>
                <w:lang w:eastAsia="zh-CN"/>
              </w:rPr>
              <w:t>套/年</w:t>
            </w:r>
          </w:p>
        </w:tc>
      </w:tr>
      <w:tr>
        <w:tblPrEx>
          <w:tblCellMar>
            <w:top w:w="0" w:type="dxa"/>
            <w:left w:w="108" w:type="dxa"/>
            <w:bottom w:w="0" w:type="dxa"/>
            <w:right w:w="108" w:type="dxa"/>
          </w:tblCellMar>
        </w:tblPrEx>
        <w:trPr>
          <w:trHeight w:val="830"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37"/>
              <w:spacing w:before="61" w:line="216" w:lineRule="auto"/>
              <w:ind w:left="106" w:firstLine="0" w:firstLineChars="0"/>
              <w:jc w:val="center"/>
              <w:rPr>
                <w:spacing w:val="2"/>
                <w:sz w:val="22"/>
                <w:szCs w:val="22"/>
                <w:highlight w:val="none"/>
                <w:lang w:eastAsia="zh-CN"/>
              </w:rPr>
            </w:pPr>
            <w:r>
              <w:rPr>
                <w:rFonts w:hint="eastAsia"/>
                <w:spacing w:val="2"/>
                <w:sz w:val="22"/>
                <w:szCs w:val="22"/>
                <w:highlight w:val="none"/>
                <w:lang w:eastAsia="zh-CN"/>
              </w:rPr>
              <w:t>6</w:t>
            </w:r>
          </w:p>
        </w:tc>
        <w:tc>
          <w:tcPr>
            <w:tcW w:w="19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137"/>
              <w:spacing w:before="61" w:line="216" w:lineRule="auto"/>
              <w:ind w:left="106" w:firstLine="0" w:firstLineChars="0"/>
              <w:jc w:val="center"/>
              <w:rPr>
                <w:spacing w:val="2"/>
                <w:sz w:val="22"/>
                <w:szCs w:val="22"/>
                <w:highlight w:val="none"/>
                <w:lang w:eastAsia="zh-CN"/>
              </w:rPr>
            </w:pPr>
          </w:p>
        </w:tc>
        <w:tc>
          <w:tcPr>
            <w:tcW w:w="266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37"/>
              <w:spacing w:before="61" w:line="216" w:lineRule="auto"/>
              <w:ind w:left="106" w:firstLine="0" w:firstLineChars="0"/>
              <w:jc w:val="center"/>
              <w:rPr>
                <w:spacing w:val="2"/>
                <w:sz w:val="22"/>
                <w:szCs w:val="22"/>
                <w:highlight w:val="none"/>
                <w:lang w:eastAsia="zh-CN"/>
              </w:rPr>
            </w:pPr>
            <w:r>
              <w:rPr>
                <w:rFonts w:hint="eastAsia"/>
                <w:spacing w:val="2"/>
                <w:sz w:val="22"/>
                <w:szCs w:val="22"/>
                <w:highlight w:val="none"/>
                <w:lang w:eastAsia="zh-CN"/>
              </w:rPr>
              <w:t>文字校对工具-服务器端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137"/>
              <w:spacing w:before="61" w:line="216" w:lineRule="auto"/>
              <w:ind w:left="106" w:firstLine="0" w:firstLineChars="0"/>
              <w:jc w:val="center"/>
              <w:rPr>
                <w:spacing w:val="2"/>
                <w:sz w:val="22"/>
                <w:szCs w:val="22"/>
                <w:highlight w:val="none"/>
                <w:lang w:eastAsia="zh-CN"/>
              </w:rPr>
            </w:pPr>
            <w:r>
              <w:rPr>
                <w:rFonts w:hint="eastAsia"/>
                <w:spacing w:val="2"/>
                <w:sz w:val="22"/>
                <w:szCs w:val="22"/>
                <w:highlight w:val="none"/>
                <w:lang w:eastAsia="zh-CN"/>
              </w:rPr>
              <w:t>3</w:t>
            </w:r>
          </w:p>
        </w:tc>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37"/>
              <w:spacing w:before="61" w:line="216" w:lineRule="auto"/>
              <w:ind w:left="106" w:firstLine="0" w:firstLineChars="0"/>
              <w:jc w:val="center"/>
              <w:rPr>
                <w:spacing w:val="2"/>
                <w:sz w:val="22"/>
                <w:szCs w:val="22"/>
                <w:highlight w:val="none"/>
                <w:lang w:eastAsia="zh-CN"/>
              </w:rPr>
            </w:pPr>
            <w:r>
              <w:rPr>
                <w:rFonts w:hint="eastAsia"/>
                <w:spacing w:val="2"/>
                <w:sz w:val="22"/>
                <w:szCs w:val="22"/>
                <w:highlight w:val="none"/>
                <w:lang w:eastAsia="zh-CN"/>
              </w:rPr>
              <w:t>套/年</w:t>
            </w:r>
          </w:p>
        </w:tc>
      </w:tr>
      <w:tr>
        <w:tblPrEx>
          <w:tblCellMar>
            <w:top w:w="0" w:type="dxa"/>
            <w:left w:w="108" w:type="dxa"/>
            <w:bottom w:w="0" w:type="dxa"/>
            <w:right w:w="108" w:type="dxa"/>
          </w:tblCellMar>
        </w:tblPrEx>
        <w:trPr>
          <w:trHeight w:val="336"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37"/>
              <w:spacing w:before="61" w:line="216" w:lineRule="auto"/>
              <w:ind w:left="106" w:firstLine="0" w:firstLineChars="0"/>
              <w:jc w:val="center"/>
              <w:rPr>
                <w:spacing w:val="2"/>
                <w:sz w:val="22"/>
                <w:szCs w:val="22"/>
                <w:highlight w:val="none"/>
                <w:lang w:eastAsia="zh-CN"/>
              </w:rPr>
            </w:pPr>
            <w:r>
              <w:rPr>
                <w:rFonts w:hint="eastAsia"/>
                <w:spacing w:val="2"/>
                <w:sz w:val="22"/>
                <w:szCs w:val="22"/>
                <w:highlight w:val="none"/>
                <w:lang w:eastAsia="zh-CN"/>
              </w:rPr>
              <w:t>7</w:t>
            </w:r>
          </w:p>
        </w:tc>
        <w:tc>
          <w:tcPr>
            <w:tcW w:w="193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37"/>
              <w:spacing w:before="61" w:line="216" w:lineRule="auto"/>
              <w:ind w:left="106" w:firstLine="0" w:firstLineChars="0"/>
              <w:jc w:val="center"/>
              <w:rPr>
                <w:spacing w:val="2"/>
                <w:sz w:val="22"/>
                <w:szCs w:val="22"/>
                <w:highlight w:val="none"/>
                <w:lang w:eastAsia="zh-CN"/>
              </w:rPr>
            </w:pPr>
            <w:r>
              <w:rPr>
                <w:rFonts w:hint="eastAsia"/>
                <w:spacing w:val="2"/>
                <w:sz w:val="22"/>
                <w:szCs w:val="22"/>
                <w:highlight w:val="none"/>
                <w:lang w:eastAsia="zh-CN"/>
              </w:rPr>
              <w:t>数据同步工具</w:t>
            </w:r>
          </w:p>
        </w:tc>
        <w:tc>
          <w:tcPr>
            <w:tcW w:w="266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37"/>
              <w:spacing w:before="61" w:line="216" w:lineRule="auto"/>
              <w:ind w:left="106" w:firstLine="0" w:firstLineChars="0"/>
              <w:jc w:val="center"/>
              <w:rPr>
                <w:spacing w:val="2"/>
                <w:sz w:val="22"/>
                <w:szCs w:val="22"/>
                <w:highlight w:val="none"/>
                <w:lang w:eastAsia="zh-CN"/>
              </w:rPr>
            </w:pPr>
            <w:r>
              <w:rPr>
                <w:rFonts w:hint="eastAsia"/>
                <w:spacing w:val="2"/>
                <w:sz w:val="22"/>
                <w:szCs w:val="22"/>
                <w:highlight w:val="none"/>
                <w:lang w:eastAsia="zh-CN"/>
              </w:rPr>
              <w:t>数据同步工具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137"/>
              <w:spacing w:before="61" w:line="216" w:lineRule="auto"/>
              <w:ind w:left="106" w:firstLine="0" w:firstLineChars="0"/>
              <w:jc w:val="center"/>
              <w:rPr>
                <w:spacing w:val="2"/>
                <w:sz w:val="22"/>
                <w:szCs w:val="22"/>
                <w:highlight w:val="none"/>
                <w:lang w:eastAsia="zh-CN"/>
              </w:rPr>
            </w:pPr>
            <w:r>
              <w:rPr>
                <w:rFonts w:hint="eastAsia"/>
                <w:spacing w:val="2"/>
                <w:sz w:val="22"/>
                <w:szCs w:val="22"/>
                <w:highlight w:val="none"/>
                <w:lang w:eastAsia="zh-CN"/>
              </w:rPr>
              <w:t>78</w:t>
            </w:r>
          </w:p>
        </w:tc>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37"/>
              <w:spacing w:before="61" w:line="216" w:lineRule="auto"/>
              <w:ind w:left="106" w:firstLine="0" w:firstLineChars="0"/>
              <w:jc w:val="center"/>
              <w:rPr>
                <w:spacing w:val="2"/>
                <w:sz w:val="22"/>
                <w:szCs w:val="22"/>
                <w:highlight w:val="none"/>
                <w:lang w:eastAsia="zh-CN"/>
              </w:rPr>
            </w:pPr>
            <w:r>
              <w:rPr>
                <w:rFonts w:hint="eastAsia"/>
                <w:spacing w:val="2"/>
                <w:sz w:val="22"/>
                <w:szCs w:val="22"/>
                <w:highlight w:val="none"/>
                <w:lang w:eastAsia="zh-CN"/>
              </w:rPr>
              <w:t>套/年</w:t>
            </w:r>
          </w:p>
        </w:tc>
      </w:tr>
      <w:tr>
        <w:tblPrEx>
          <w:tblCellMar>
            <w:top w:w="0" w:type="dxa"/>
            <w:left w:w="108" w:type="dxa"/>
            <w:bottom w:w="0" w:type="dxa"/>
            <w:right w:w="108" w:type="dxa"/>
          </w:tblCellMar>
        </w:tblPrEx>
        <w:trPr>
          <w:trHeight w:val="336"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37"/>
              <w:spacing w:before="61" w:line="216" w:lineRule="auto"/>
              <w:ind w:left="106" w:firstLine="0" w:firstLineChars="0"/>
              <w:jc w:val="center"/>
              <w:rPr>
                <w:spacing w:val="2"/>
                <w:sz w:val="22"/>
                <w:szCs w:val="22"/>
                <w:highlight w:val="none"/>
              </w:rPr>
            </w:pPr>
            <w:r>
              <w:rPr>
                <w:rFonts w:hint="eastAsia"/>
                <w:spacing w:val="2"/>
                <w:sz w:val="22"/>
                <w:szCs w:val="22"/>
                <w:highlight w:val="none"/>
                <w:lang w:eastAsia="zh-CN"/>
              </w:rPr>
              <w:t>8</w:t>
            </w:r>
          </w:p>
        </w:tc>
        <w:tc>
          <w:tcPr>
            <w:tcW w:w="19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Style w:val="137"/>
              <w:spacing w:before="61" w:line="216" w:lineRule="auto"/>
              <w:ind w:left="106" w:firstLine="0" w:firstLineChars="0"/>
              <w:jc w:val="center"/>
              <w:rPr>
                <w:spacing w:val="2"/>
                <w:sz w:val="22"/>
                <w:szCs w:val="22"/>
                <w:highlight w:val="none"/>
              </w:rPr>
            </w:pPr>
            <w:r>
              <w:rPr>
                <w:rFonts w:hint="eastAsia"/>
                <w:spacing w:val="2"/>
                <w:sz w:val="22"/>
                <w:szCs w:val="22"/>
                <w:highlight w:val="none"/>
                <w:lang w:eastAsia="zh-CN"/>
              </w:rPr>
              <w:t>数据可视化工具</w:t>
            </w:r>
          </w:p>
        </w:tc>
        <w:tc>
          <w:tcPr>
            <w:tcW w:w="266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37"/>
              <w:spacing w:before="61" w:line="216" w:lineRule="auto"/>
              <w:ind w:left="106" w:firstLine="0" w:firstLineChars="0"/>
              <w:jc w:val="center"/>
              <w:rPr>
                <w:spacing w:val="2"/>
                <w:sz w:val="22"/>
                <w:szCs w:val="22"/>
                <w:highlight w:val="none"/>
              </w:rPr>
            </w:pPr>
            <w:r>
              <w:rPr>
                <w:rFonts w:hint="eastAsia"/>
                <w:spacing w:val="2"/>
                <w:sz w:val="22"/>
                <w:szCs w:val="22"/>
                <w:highlight w:val="none"/>
                <w:lang w:eastAsia="zh-CN"/>
              </w:rPr>
              <w:t>报表工具-通用基础报表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137"/>
              <w:spacing w:before="61" w:line="216" w:lineRule="auto"/>
              <w:ind w:left="106" w:firstLine="0" w:firstLineChars="0"/>
              <w:jc w:val="center"/>
              <w:rPr>
                <w:spacing w:val="2"/>
                <w:sz w:val="22"/>
                <w:szCs w:val="22"/>
                <w:highlight w:val="none"/>
              </w:rPr>
            </w:pPr>
            <w:r>
              <w:rPr>
                <w:rFonts w:hint="eastAsia"/>
                <w:spacing w:val="2"/>
                <w:sz w:val="22"/>
                <w:szCs w:val="22"/>
                <w:highlight w:val="none"/>
                <w:lang w:eastAsia="zh-CN"/>
              </w:rPr>
              <w:t>1</w:t>
            </w:r>
          </w:p>
        </w:tc>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37"/>
              <w:spacing w:before="61" w:line="216" w:lineRule="auto"/>
              <w:ind w:left="106" w:firstLine="0" w:firstLineChars="0"/>
              <w:jc w:val="center"/>
              <w:rPr>
                <w:spacing w:val="2"/>
                <w:sz w:val="22"/>
                <w:szCs w:val="22"/>
                <w:highlight w:val="none"/>
              </w:rPr>
            </w:pPr>
            <w:r>
              <w:rPr>
                <w:rFonts w:hint="eastAsia"/>
                <w:spacing w:val="2"/>
                <w:sz w:val="22"/>
                <w:szCs w:val="22"/>
                <w:highlight w:val="none"/>
                <w:lang w:eastAsia="zh-CN"/>
              </w:rPr>
              <w:t>套/年</w:t>
            </w:r>
          </w:p>
        </w:tc>
      </w:tr>
      <w:tr>
        <w:tblPrEx>
          <w:tblCellMar>
            <w:top w:w="0" w:type="dxa"/>
            <w:left w:w="108" w:type="dxa"/>
            <w:bottom w:w="0" w:type="dxa"/>
            <w:right w:w="108" w:type="dxa"/>
          </w:tblCellMar>
        </w:tblPrEx>
        <w:trPr>
          <w:trHeight w:val="830"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37"/>
              <w:spacing w:before="61" w:line="216" w:lineRule="auto"/>
              <w:ind w:left="106" w:firstLine="0" w:firstLineChars="0"/>
              <w:jc w:val="center"/>
              <w:rPr>
                <w:spacing w:val="2"/>
                <w:sz w:val="22"/>
                <w:szCs w:val="22"/>
                <w:highlight w:val="none"/>
              </w:rPr>
            </w:pPr>
            <w:r>
              <w:rPr>
                <w:rFonts w:hint="eastAsia"/>
                <w:spacing w:val="2"/>
                <w:sz w:val="22"/>
                <w:szCs w:val="22"/>
                <w:highlight w:val="none"/>
                <w:lang w:eastAsia="zh-CN"/>
              </w:rPr>
              <w:t>9</w:t>
            </w:r>
          </w:p>
        </w:tc>
        <w:tc>
          <w:tcPr>
            <w:tcW w:w="19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137"/>
              <w:spacing w:before="61" w:line="216" w:lineRule="auto"/>
              <w:ind w:left="106" w:firstLine="0" w:firstLineChars="0"/>
              <w:jc w:val="center"/>
              <w:rPr>
                <w:spacing w:val="2"/>
                <w:sz w:val="22"/>
                <w:szCs w:val="22"/>
                <w:highlight w:val="none"/>
              </w:rPr>
            </w:pPr>
          </w:p>
        </w:tc>
        <w:tc>
          <w:tcPr>
            <w:tcW w:w="266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37"/>
              <w:spacing w:before="61" w:line="216" w:lineRule="auto"/>
              <w:ind w:left="106" w:firstLine="0" w:firstLineChars="0"/>
              <w:jc w:val="center"/>
              <w:rPr>
                <w:spacing w:val="2"/>
                <w:sz w:val="22"/>
                <w:szCs w:val="22"/>
                <w:highlight w:val="none"/>
              </w:rPr>
            </w:pPr>
            <w:r>
              <w:rPr>
                <w:rFonts w:hint="eastAsia"/>
                <w:spacing w:val="2"/>
                <w:sz w:val="22"/>
                <w:szCs w:val="22"/>
                <w:highlight w:val="none"/>
                <w:lang w:eastAsia="zh-CN"/>
              </w:rPr>
              <w:t>报表工具-数据分析报表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137"/>
              <w:spacing w:before="61" w:line="216" w:lineRule="auto"/>
              <w:ind w:left="106" w:firstLine="0" w:firstLineChars="0"/>
              <w:jc w:val="center"/>
              <w:rPr>
                <w:spacing w:val="2"/>
                <w:sz w:val="22"/>
                <w:szCs w:val="22"/>
                <w:highlight w:val="none"/>
              </w:rPr>
            </w:pPr>
            <w:r>
              <w:rPr>
                <w:rFonts w:hint="eastAsia"/>
                <w:spacing w:val="2"/>
                <w:sz w:val="22"/>
                <w:szCs w:val="22"/>
                <w:highlight w:val="none"/>
                <w:lang w:eastAsia="zh-CN"/>
              </w:rPr>
              <w:t>4</w:t>
            </w:r>
          </w:p>
        </w:tc>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37"/>
              <w:spacing w:before="61" w:line="216" w:lineRule="auto"/>
              <w:ind w:left="106" w:firstLine="0" w:firstLineChars="0"/>
              <w:jc w:val="center"/>
              <w:rPr>
                <w:spacing w:val="2"/>
                <w:sz w:val="22"/>
                <w:szCs w:val="22"/>
                <w:highlight w:val="none"/>
              </w:rPr>
            </w:pPr>
            <w:r>
              <w:rPr>
                <w:rFonts w:hint="eastAsia"/>
                <w:spacing w:val="2"/>
                <w:sz w:val="22"/>
                <w:szCs w:val="22"/>
                <w:highlight w:val="none"/>
                <w:lang w:eastAsia="zh-CN"/>
              </w:rPr>
              <w:t>套/年</w:t>
            </w:r>
          </w:p>
        </w:tc>
      </w:tr>
      <w:tr>
        <w:tblPrEx>
          <w:tblCellMar>
            <w:top w:w="0" w:type="dxa"/>
            <w:left w:w="108" w:type="dxa"/>
            <w:bottom w:w="0" w:type="dxa"/>
            <w:right w:w="108" w:type="dxa"/>
          </w:tblCellMar>
        </w:tblPrEx>
        <w:trPr>
          <w:trHeight w:val="336"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37"/>
              <w:spacing w:before="61" w:line="216" w:lineRule="auto"/>
              <w:ind w:left="106" w:firstLine="0" w:firstLineChars="0"/>
              <w:jc w:val="center"/>
              <w:rPr>
                <w:spacing w:val="2"/>
                <w:sz w:val="22"/>
                <w:szCs w:val="22"/>
                <w:highlight w:val="none"/>
              </w:rPr>
            </w:pPr>
            <w:r>
              <w:rPr>
                <w:rFonts w:hint="eastAsia"/>
                <w:spacing w:val="2"/>
                <w:sz w:val="22"/>
                <w:szCs w:val="22"/>
                <w:highlight w:val="none"/>
                <w:lang w:eastAsia="zh-CN"/>
              </w:rPr>
              <w:t>10</w:t>
            </w:r>
          </w:p>
        </w:tc>
        <w:tc>
          <w:tcPr>
            <w:tcW w:w="19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Style w:val="137"/>
              <w:spacing w:before="61" w:line="216" w:lineRule="auto"/>
              <w:ind w:left="106" w:firstLine="0" w:firstLineChars="0"/>
              <w:jc w:val="center"/>
              <w:rPr>
                <w:spacing w:val="2"/>
                <w:sz w:val="22"/>
                <w:szCs w:val="22"/>
                <w:highlight w:val="none"/>
              </w:rPr>
            </w:pPr>
            <w:r>
              <w:rPr>
                <w:rFonts w:hint="eastAsia"/>
                <w:spacing w:val="2"/>
                <w:sz w:val="22"/>
                <w:szCs w:val="22"/>
                <w:highlight w:val="none"/>
                <w:lang w:eastAsia="zh-CN"/>
              </w:rPr>
              <w:t>基础软件类工具</w:t>
            </w:r>
          </w:p>
        </w:tc>
        <w:tc>
          <w:tcPr>
            <w:tcW w:w="266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37"/>
              <w:spacing w:before="61" w:line="216" w:lineRule="auto"/>
              <w:ind w:left="106" w:firstLine="0" w:firstLineChars="0"/>
              <w:jc w:val="center"/>
              <w:rPr>
                <w:spacing w:val="2"/>
                <w:sz w:val="22"/>
                <w:szCs w:val="22"/>
                <w:highlight w:val="none"/>
              </w:rPr>
            </w:pPr>
            <w:r>
              <w:rPr>
                <w:rFonts w:hint="eastAsia"/>
                <w:spacing w:val="2"/>
                <w:sz w:val="22"/>
                <w:szCs w:val="22"/>
                <w:highlight w:val="none"/>
                <w:lang w:eastAsia="zh-CN"/>
              </w:rPr>
              <w:t>运维管理工具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137"/>
              <w:spacing w:before="61" w:line="216" w:lineRule="auto"/>
              <w:ind w:left="106" w:firstLine="0" w:firstLineChars="0"/>
              <w:jc w:val="center"/>
              <w:rPr>
                <w:spacing w:val="2"/>
                <w:sz w:val="22"/>
                <w:szCs w:val="22"/>
                <w:highlight w:val="none"/>
              </w:rPr>
            </w:pPr>
            <w:r>
              <w:rPr>
                <w:rFonts w:hint="eastAsia"/>
                <w:spacing w:val="2"/>
                <w:sz w:val="22"/>
                <w:szCs w:val="22"/>
                <w:highlight w:val="none"/>
                <w:lang w:eastAsia="zh-CN"/>
              </w:rPr>
              <w:t>3</w:t>
            </w:r>
          </w:p>
        </w:tc>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37"/>
              <w:spacing w:before="61" w:line="216" w:lineRule="auto"/>
              <w:ind w:left="106" w:firstLine="0" w:firstLineChars="0"/>
              <w:jc w:val="center"/>
              <w:rPr>
                <w:spacing w:val="2"/>
                <w:sz w:val="22"/>
                <w:szCs w:val="22"/>
                <w:highlight w:val="none"/>
              </w:rPr>
            </w:pPr>
            <w:r>
              <w:rPr>
                <w:rFonts w:hint="eastAsia"/>
                <w:spacing w:val="2"/>
                <w:sz w:val="22"/>
                <w:szCs w:val="22"/>
                <w:highlight w:val="none"/>
                <w:lang w:eastAsia="zh-CN"/>
              </w:rPr>
              <w:t>套/年</w:t>
            </w:r>
          </w:p>
        </w:tc>
      </w:tr>
      <w:tr>
        <w:tblPrEx>
          <w:tblCellMar>
            <w:top w:w="0" w:type="dxa"/>
            <w:left w:w="108" w:type="dxa"/>
            <w:bottom w:w="0" w:type="dxa"/>
            <w:right w:w="108" w:type="dxa"/>
          </w:tblCellMar>
        </w:tblPrEx>
        <w:trPr>
          <w:trHeight w:val="570"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37"/>
              <w:spacing w:before="61" w:line="216" w:lineRule="auto"/>
              <w:ind w:left="106" w:firstLine="0" w:firstLineChars="0"/>
              <w:jc w:val="center"/>
              <w:rPr>
                <w:spacing w:val="2"/>
                <w:sz w:val="22"/>
                <w:szCs w:val="22"/>
                <w:highlight w:val="none"/>
              </w:rPr>
            </w:pPr>
            <w:r>
              <w:rPr>
                <w:rFonts w:hint="eastAsia"/>
                <w:spacing w:val="2"/>
                <w:sz w:val="22"/>
                <w:szCs w:val="22"/>
                <w:highlight w:val="none"/>
                <w:lang w:eastAsia="zh-CN"/>
              </w:rPr>
              <w:t>11</w:t>
            </w:r>
          </w:p>
        </w:tc>
        <w:tc>
          <w:tcPr>
            <w:tcW w:w="19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137"/>
              <w:spacing w:before="61" w:line="216" w:lineRule="auto"/>
              <w:ind w:left="106" w:firstLine="0" w:firstLineChars="0"/>
              <w:jc w:val="center"/>
              <w:rPr>
                <w:spacing w:val="2"/>
                <w:sz w:val="22"/>
                <w:szCs w:val="22"/>
                <w:highlight w:val="none"/>
              </w:rPr>
            </w:pPr>
          </w:p>
        </w:tc>
        <w:tc>
          <w:tcPr>
            <w:tcW w:w="266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37"/>
              <w:spacing w:before="61" w:line="216" w:lineRule="auto"/>
              <w:ind w:left="106" w:firstLine="0" w:firstLineChars="0"/>
              <w:jc w:val="center"/>
              <w:rPr>
                <w:spacing w:val="2"/>
                <w:sz w:val="22"/>
                <w:szCs w:val="22"/>
                <w:highlight w:val="none"/>
              </w:rPr>
            </w:pPr>
            <w:r>
              <w:rPr>
                <w:rFonts w:hint="eastAsia"/>
                <w:spacing w:val="2"/>
                <w:sz w:val="22"/>
                <w:szCs w:val="22"/>
                <w:highlight w:val="none"/>
                <w:lang w:eastAsia="zh-CN"/>
              </w:rPr>
              <w:t>数据库工具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137"/>
              <w:spacing w:before="61" w:line="216" w:lineRule="auto"/>
              <w:ind w:left="106" w:firstLine="0" w:firstLineChars="0"/>
              <w:jc w:val="center"/>
              <w:rPr>
                <w:spacing w:val="2"/>
                <w:sz w:val="22"/>
                <w:szCs w:val="22"/>
                <w:highlight w:val="none"/>
              </w:rPr>
            </w:pPr>
            <w:r>
              <w:rPr>
                <w:rFonts w:hint="eastAsia"/>
                <w:spacing w:val="2"/>
                <w:sz w:val="22"/>
                <w:szCs w:val="22"/>
                <w:highlight w:val="none"/>
                <w:lang w:eastAsia="zh-CN"/>
              </w:rPr>
              <w:t>116</w:t>
            </w:r>
          </w:p>
        </w:tc>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37"/>
              <w:spacing w:before="61" w:line="216" w:lineRule="auto"/>
              <w:ind w:left="106" w:firstLine="0" w:firstLineChars="0"/>
              <w:jc w:val="center"/>
              <w:rPr>
                <w:spacing w:val="2"/>
                <w:sz w:val="22"/>
                <w:szCs w:val="22"/>
                <w:highlight w:val="none"/>
              </w:rPr>
            </w:pPr>
            <w:r>
              <w:rPr>
                <w:rFonts w:hint="eastAsia"/>
                <w:spacing w:val="2"/>
                <w:sz w:val="22"/>
                <w:szCs w:val="22"/>
                <w:highlight w:val="none"/>
                <w:lang w:eastAsia="zh-CN"/>
              </w:rPr>
              <w:t>套/年</w:t>
            </w:r>
          </w:p>
        </w:tc>
      </w:tr>
      <w:tr>
        <w:tblPrEx>
          <w:tblCellMar>
            <w:top w:w="0" w:type="dxa"/>
            <w:left w:w="108" w:type="dxa"/>
            <w:bottom w:w="0" w:type="dxa"/>
            <w:right w:w="108" w:type="dxa"/>
          </w:tblCellMar>
        </w:tblPrEx>
        <w:trPr>
          <w:trHeight w:val="336"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37"/>
              <w:spacing w:before="61" w:line="216" w:lineRule="auto"/>
              <w:ind w:left="106" w:firstLine="0" w:firstLineChars="0"/>
              <w:jc w:val="center"/>
              <w:rPr>
                <w:spacing w:val="2"/>
                <w:sz w:val="22"/>
                <w:szCs w:val="22"/>
                <w:highlight w:val="none"/>
              </w:rPr>
            </w:pPr>
            <w:r>
              <w:rPr>
                <w:rFonts w:hint="eastAsia"/>
                <w:spacing w:val="2"/>
                <w:sz w:val="22"/>
                <w:szCs w:val="22"/>
                <w:highlight w:val="none"/>
                <w:lang w:eastAsia="zh-CN"/>
              </w:rPr>
              <w:t>12</w:t>
            </w:r>
          </w:p>
        </w:tc>
        <w:tc>
          <w:tcPr>
            <w:tcW w:w="19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137"/>
              <w:spacing w:before="61" w:line="216" w:lineRule="auto"/>
              <w:ind w:left="106" w:firstLine="0" w:firstLineChars="0"/>
              <w:jc w:val="center"/>
              <w:rPr>
                <w:spacing w:val="2"/>
                <w:sz w:val="22"/>
                <w:szCs w:val="22"/>
                <w:highlight w:val="none"/>
              </w:rPr>
            </w:pPr>
          </w:p>
        </w:tc>
        <w:tc>
          <w:tcPr>
            <w:tcW w:w="266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37"/>
              <w:spacing w:before="61" w:line="216" w:lineRule="auto"/>
              <w:ind w:left="106" w:firstLine="0" w:firstLineChars="0"/>
              <w:jc w:val="center"/>
              <w:rPr>
                <w:spacing w:val="2"/>
                <w:sz w:val="22"/>
                <w:szCs w:val="22"/>
                <w:highlight w:val="none"/>
              </w:rPr>
            </w:pPr>
            <w:r>
              <w:rPr>
                <w:rFonts w:hint="eastAsia"/>
                <w:spacing w:val="2"/>
                <w:sz w:val="22"/>
                <w:szCs w:val="22"/>
                <w:highlight w:val="none"/>
                <w:lang w:eastAsia="zh-CN"/>
              </w:rPr>
              <w:t>中间件工具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137"/>
              <w:spacing w:before="61" w:line="216" w:lineRule="auto"/>
              <w:ind w:left="106" w:firstLine="0" w:firstLineChars="0"/>
              <w:jc w:val="center"/>
              <w:rPr>
                <w:spacing w:val="2"/>
                <w:sz w:val="22"/>
                <w:szCs w:val="22"/>
                <w:highlight w:val="none"/>
              </w:rPr>
            </w:pPr>
            <w:r>
              <w:rPr>
                <w:rFonts w:hint="eastAsia"/>
                <w:spacing w:val="2"/>
                <w:sz w:val="22"/>
                <w:szCs w:val="22"/>
                <w:highlight w:val="none"/>
                <w:lang w:eastAsia="zh-CN"/>
              </w:rPr>
              <w:t>180</w:t>
            </w:r>
          </w:p>
        </w:tc>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37"/>
              <w:spacing w:before="61" w:line="216" w:lineRule="auto"/>
              <w:ind w:left="106" w:firstLine="0" w:firstLineChars="0"/>
              <w:jc w:val="center"/>
              <w:rPr>
                <w:spacing w:val="2"/>
                <w:sz w:val="22"/>
                <w:szCs w:val="22"/>
                <w:highlight w:val="none"/>
              </w:rPr>
            </w:pPr>
            <w:r>
              <w:rPr>
                <w:rFonts w:hint="eastAsia"/>
                <w:spacing w:val="2"/>
                <w:sz w:val="22"/>
                <w:szCs w:val="22"/>
                <w:highlight w:val="none"/>
                <w:lang w:eastAsia="zh-CN"/>
              </w:rPr>
              <w:t>套/年</w:t>
            </w:r>
          </w:p>
        </w:tc>
      </w:tr>
      <w:tr>
        <w:tblPrEx>
          <w:tblCellMar>
            <w:top w:w="0" w:type="dxa"/>
            <w:left w:w="108" w:type="dxa"/>
            <w:bottom w:w="0" w:type="dxa"/>
            <w:right w:w="108" w:type="dxa"/>
          </w:tblCellMar>
        </w:tblPrEx>
        <w:trPr>
          <w:trHeight w:val="336"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37"/>
              <w:spacing w:before="61" w:line="216" w:lineRule="auto"/>
              <w:ind w:left="106" w:firstLine="0" w:firstLineChars="0"/>
              <w:jc w:val="center"/>
              <w:rPr>
                <w:spacing w:val="2"/>
                <w:sz w:val="22"/>
                <w:szCs w:val="22"/>
                <w:highlight w:val="none"/>
              </w:rPr>
            </w:pPr>
            <w:r>
              <w:rPr>
                <w:rFonts w:hint="eastAsia"/>
                <w:spacing w:val="2"/>
                <w:sz w:val="22"/>
                <w:szCs w:val="22"/>
                <w:highlight w:val="none"/>
                <w:lang w:eastAsia="zh-CN"/>
              </w:rPr>
              <w:t>13</w:t>
            </w:r>
          </w:p>
        </w:tc>
        <w:tc>
          <w:tcPr>
            <w:tcW w:w="19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137"/>
              <w:spacing w:before="61" w:line="216" w:lineRule="auto"/>
              <w:ind w:left="106" w:firstLine="0" w:firstLineChars="0"/>
              <w:jc w:val="center"/>
              <w:rPr>
                <w:spacing w:val="2"/>
                <w:sz w:val="22"/>
                <w:szCs w:val="22"/>
                <w:highlight w:val="none"/>
              </w:rPr>
            </w:pPr>
          </w:p>
        </w:tc>
        <w:tc>
          <w:tcPr>
            <w:tcW w:w="266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37"/>
              <w:spacing w:before="61" w:line="216" w:lineRule="auto"/>
              <w:ind w:left="106" w:firstLine="0" w:firstLineChars="0"/>
              <w:jc w:val="center"/>
              <w:rPr>
                <w:spacing w:val="2"/>
                <w:sz w:val="22"/>
                <w:szCs w:val="22"/>
                <w:highlight w:val="none"/>
              </w:rPr>
            </w:pPr>
            <w:r>
              <w:rPr>
                <w:rFonts w:hint="eastAsia"/>
                <w:spacing w:val="2"/>
                <w:sz w:val="22"/>
                <w:szCs w:val="22"/>
                <w:highlight w:val="none"/>
                <w:lang w:eastAsia="zh-CN"/>
              </w:rPr>
              <w:t>中间件-分布式缓存中间件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137"/>
              <w:spacing w:before="61" w:line="216" w:lineRule="auto"/>
              <w:ind w:left="106" w:firstLine="0" w:firstLineChars="0"/>
              <w:jc w:val="center"/>
              <w:rPr>
                <w:spacing w:val="2"/>
                <w:sz w:val="22"/>
                <w:szCs w:val="22"/>
                <w:highlight w:val="none"/>
              </w:rPr>
            </w:pPr>
            <w:r>
              <w:rPr>
                <w:rFonts w:hint="eastAsia"/>
                <w:spacing w:val="2"/>
                <w:sz w:val="22"/>
                <w:szCs w:val="22"/>
                <w:highlight w:val="none"/>
                <w:lang w:eastAsia="zh-CN"/>
              </w:rPr>
              <w:t>16</w:t>
            </w:r>
          </w:p>
        </w:tc>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37"/>
              <w:spacing w:before="61" w:line="216" w:lineRule="auto"/>
              <w:ind w:left="106" w:firstLine="0" w:firstLineChars="0"/>
              <w:jc w:val="center"/>
              <w:rPr>
                <w:spacing w:val="2"/>
                <w:sz w:val="22"/>
                <w:szCs w:val="22"/>
                <w:highlight w:val="none"/>
              </w:rPr>
            </w:pPr>
            <w:r>
              <w:rPr>
                <w:rFonts w:hint="eastAsia"/>
                <w:spacing w:val="2"/>
                <w:sz w:val="22"/>
                <w:szCs w:val="22"/>
                <w:highlight w:val="none"/>
                <w:lang w:eastAsia="zh-CN"/>
              </w:rPr>
              <w:t>套/年</w:t>
            </w:r>
          </w:p>
        </w:tc>
      </w:tr>
      <w:tr>
        <w:tblPrEx>
          <w:tblCellMar>
            <w:top w:w="0" w:type="dxa"/>
            <w:left w:w="108" w:type="dxa"/>
            <w:bottom w:w="0" w:type="dxa"/>
            <w:right w:w="108" w:type="dxa"/>
          </w:tblCellMar>
        </w:tblPrEx>
        <w:trPr>
          <w:trHeight w:val="336"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37"/>
              <w:spacing w:before="61" w:line="216" w:lineRule="auto"/>
              <w:ind w:left="106" w:firstLine="0" w:firstLineChars="0"/>
              <w:jc w:val="center"/>
              <w:rPr>
                <w:spacing w:val="2"/>
                <w:sz w:val="22"/>
                <w:szCs w:val="22"/>
                <w:highlight w:val="none"/>
              </w:rPr>
            </w:pPr>
            <w:r>
              <w:rPr>
                <w:rFonts w:hint="eastAsia"/>
                <w:spacing w:val="2"/>
                <w:sz w:val="22"/>
                <w:szCs w:val="22"/>
                <w:highlight w:val="none"/>
                <w:lang w:eastAsia="zh-CN"/>
              </w:rPr>
              <w:t>14</w:t>
            </w:r>
          </w:p>
        </w:tc>
        <w:tc>
          <w:tcPr>
            <w:tcW w:w="19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137"/>
              <w:spacing w:before="61" w:line="216" w:lineRule="auto"/>
              <w:ind w:left="106" w:firstLine="0" w:firstLineChars="0"/>
              <w:jc w:val="center"/>
              <w:rPr>
                <w:spacing w:val="2"/>
                <w:sz w:val="22"/>
                <w:szCs w:val="22"/>
                <w:highlight w:val="none"/>
              </w:rPr>
            </w:pPr>
          </w:p>
        </w:tc>
        <w:tc>
          <w:tcPr>
            <w:tcW w:w="266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37"/>
              <w:spacing w:before="61" w:line="216" w:lineRule="auto"/>
              <w:ind w:left="106" w:firstLine="0" w:firstLineChars="0"/>
              <w:jc w:val="center"/>
              <w:rPr>
                <w:spacing w:val="2"/>
                <w:sz w:val="22"/>
                <w:szCs w:val="22"/>
                <w:highlight w:val="none"/>
              </w:rPr>
            </w:pPr>
            <w:r>
              <w:rPr>
                <w:rFonts w:hint="eastAsia"/>
                <w:spacing w:val="2"/>
                <w:sz w:val="22"/>
                <w:szCs w:val="22"/>
                <w:highlight w:val="none"/>
                <w:lang w:eastAsia="zh-CN"/>
              </w:rPr>
              <w:t>中间件-负载均衡中间件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137"/>
              <w:spacing w:before="61" w:line="216" w:lineRule="auto"/>
              <w:ind w:left="106" w:firstLine="0" w:firstLineChars="0"/>
              <w:jc w:val="center"/>
              <w:rPr>
                <w:spacing w:val="2"/>
                <w:sz w:val="22"/>
                <w:szCs w:val="22"/>
                <w:highlight w:val="none"/>
              </w:rPr>
            </w:pPr>
            <w:r>
              <w:rPr>
                <w:rFonts w:hint="eastAsia"/>
                <w:spacing w:val="2"/>
                <w:sz w:val="22"/>
                <w:szCs w:val="22"/>
                <w:highlight w:val="none"/>
                <w:lang w:eastAsia="zh-CN"/>
              </w:rPr>
              <w:t>98</w:t>
            </w:r>
          </w:p>
        </w:tc>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37"/>
              <w:spacing w:before="61" w:line="216" w:lineRule="auto"/>
              <w:ind w:left="106" w:firstLine="0" w:firstLineChars="0"/>
              <w:jc w:val="center"/>
              <w:rPr>
                <w:spacing w:val="2"/>
                <w:sz w:val="22"/>
                <w:szCs w:val="22"/>
                <w:highlight w:val="none"/>
              </w:rPr>
            </w:pPr>
            <w:r>
              <w:rPr>
                <w:rFonts w:hint="eastAsia"/>
                <w:spacing w:val="2"/>
                <w:sz w:val="22"/>
                <w:szCs w:val="22"/>
                <w:highlight w:val="none"/>
                <w:lang w:eastAsia="zh-CN"/>
              </w:rPr>
              <w:t>套/年</w:t>
            </w:r>
          </w:p>
        </w:tc>
      </w:tr>
      <w:tr>
        <w:tblPrEx>
          <w:tblCellMar>
            <w:top w:w="0" w:type="dxa"/>
            <w:left w:w="108" w:type="dxa"/>
            <w:bottom w:w="0" w:type="dxa"/>
            <w:right w:w="108" w:type="dxa"/>
          </w:tblCellMar>
        </w:tblPrEx>
        <w:trPr>
          <w:trHeight w:val="336"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37"/>
              <w:spacing w:before="61" w:line="216" w:lineRule="auto"/>
              <w:ind w:left="106" w:firstLine="0" w:firstLineChars="0"/>
              <w:jc w:val="center"/>
              <w:rPr>
                <w:spacing w:val="2"/>
                <w:sz w:val="22"/>
                <w:szCs w:val="22"/>
                <w:highlight w:val="none"/>
              </w:rPr>
            </w:pPr>
            <w:r>
              <w:rPr>
                <w:rFonts w:hint="eastAsia"/>
                <w:spacing w:val="2"/>
                <w:sz w:val="22"/>
                <w:szCs w:val="22"/>
                <w:highlight w:val="none"/>
                <w:lang w:eastAsia="zh-CN"/>
              </w:rPr>
              <w:t>15</w:t>
            </w:r>
          </w:p>
        </w:tc>
        <w:tc>
          <w:tcPr>
            <w:tcW w:w="19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137"/>
              <w:spacing w:before="61" w:line="216" w:lineRule="auto"/>
              <w:ind w:left="106" w:firstLine="0" w:firstLineChars="0"/>
              <w:jc w:val="center"/>
              <w:rPr>
                <w:spacing w:val="2"/>
                <w:sz w:val="22"/>
                <w:szCs w:val="22"/>
                <w:highlight w:val="none"/>
              </w:rPr>
            </w:pPr>
          </w:p>
        </w:tc>
        <w:tc>
          <w:tcPr>
            <w:tcW w:w="266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37"/>
              <w:spacing w:before="61" w:line="216" w:lineRule="auto"/>
              <w:ind w:left="106" w:firstLine="0" w:firstLineChars="0"/>
              <w:jc w:val="center"/>
              <w:rPr>
                <w:spacing w:val="2"/>
                <w:sz w:val="22"/>
                <w:szCs w:val="22"/>
                <w:highlight w:val="none"/>
              </w:rPr>
            </w:pPr>
            <w:r>
              <w:rPr>
                <w:rFonts w:hint="eastAsia"/>
                <w:spacing w:val="2"/>
                <w:sz w:val="22"/>
                <w:szCs w:val="22"/>
                <w:highlight w:val="none"/>
                <w:lang w:eastAsia="zh-CN"/>
              </w:rPr>
              <w:t>操作系统工具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137"/>
              <w:spacing w:before="61" w:line="216" w:lineRule="auto"/>
              <w:ind w:left="106" w:firstLine="0" w:firstLineChars="0"/>
              <w:jc w:val="center"/>
              <w:rPr>
                <w:spacing w:val="2"/>
                <w:sz w:val="22"/>
                <w:szCs w:val="22"/>
                <w:highlight w:val="none"/>
              </w:rPr>
            </w:pPr>
            <w:r>
              <w:rPr>
                <w:rFonts w:hint="eastAsia"/>
                <w:spacing w:val="2"/>
                <w:sz w:val="22"/>
                <w:szCs w:val="22"/>
                <w:highlight w:val="none"/>
                <w:lang w:eastAsia="zh-CN"/>
              </w:rPr>
              <w:t>565</w:t>
            </w:r>
          </w:p>
        </w:tc>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37"/>
              <w:spacing w:before="61" w:line="216" w:lineRule="auto"/>
              <w:ind w:left="106" w:firstLine="0" w:firstLineChars="0"/>
              <w:jc w:val="center"/>
              <w:rPr>
                <w:spacing w:val="2"/>
                <w:sz w:val="22"/>
                <w:szCs w:val="22"/>
                <w:highlight w:val="none"/>
              </w:rPr>
            </w:pPr>
            <w:r>
              <w:rPr>
                <w:rFonts w:hint="eastAsia"/>
                <w:spacing w:val="2"/>
                <w:sz w:val="22"/>
                <w:szCs w:val="22"/>
                <w:highlight w:val="none"/>
                <w:lang w:eastAsia="zh-CN"/>
              </w:rPr>
              <w:t>套/年</w:t>
            </w:r>
          </w:p>
        </w:tc>
      </w:tr>
      <w:tr>
        <w:tblPrEx>
          <w:tblCellMar>
            <w:top w:w="0" w:type="dxa"/>
            <w:left w:w="108" w:type="dxa"/>
            <w:bottom w:w="0" w:type="dxa"/>
            <w:right w:w="108" w:type="dxa"/>
          </w:tblCellMar>
        </w:tblPrEx>
        <w:trPr>
          <w:trHeight w:val="336"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37"/>
              <w:spacing w:before="61" w:line="216" w:lineRule="auto"/>
              <w:ind w:left="106" w:firstLine="0" w:firstLineChars="0"/>
              <w:jc w:val="center"/>
              <w:rPr>
                <w:spacing w:val="2"/>
                <w:sz w:val="22"/>
                <w:szCs w:val="22"/>
                <w:highlight w:val="none"/>
              </w:rPr>
            </w:pPr>
            <w:r>
              <w:rPr>
                <w:rFonts w:hint="eastAsia"/>
                <w:spacing w:val="2"/>
                <w:sz w:val="22"/>
                <w:szCs w:val="22"/>
                <w:highlight w:val="none"/>
                <w:lang w:eastAsia="zh-CN"/>
              </w:rPr>
              <w:t>16</w:t>
            </w:r>
          </w:p>
        </w:tc>
        <w:tc>
          <w:tcPr>
            <w:tcW w:w="19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137"/>
              <w:spacing w:before="61" w:line="216" w:lineRule="auto"/>
              <w:ind w:left="106" w:firstLine="0" w:firstLineChars="0"/>
              <w:jc w:val="center"/>
              <w:rPr>
                <w:spacing w:val="2"/>
                <w:sz w:val="22"/>
                <w:szCs w:val="22"/>
                <w:highlight w:val="none"/>
              </w:rPr>
            </w:pPr>
          </w:p>
        </w:tc>
        <w:tc>
          <w:tcPr>
            <w:tcW w:w="266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37"/>
              <w:spacing w:before="61" w:line="216" w:lineRule="auto"/>
              <w:ind w:left="106" w:firstLine="0" w:firstLineChars="0"/>
              <w:jc w:val="center"/>
              <w:rPr>
                <w:spacing w:val="2"/>
                <w:sz w:val="22"/>
                <w:szCs w:val="22"/>
                <w:highlight w:val="none"/>
              </w:rPr>
            </w:pPr>
            <w:r>
              <w:rPr>
                <w:rFonts w:hint="eastAsia"/>
                <w:spacing w:val="2"/>
                <w:sz w:val="22"/>
                <w:szCs w:val="22"/>
                <w:highlight w:val="none"/>
                <w:lang w:eastAsia="zh-CN"/>
              </w:rPr>
              <w:t>数据开发工具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137"/>
              <w:spacing w:before="61" w:line="216" w:lineRule="auto"/>
              <w:ind w:left="106" w:firstLine="0" w:firstLineChars="0"/>
              <w:jc w:val="center"/>
              <w:rPr>
                <w:spacing w:val="2"/>
                <w:sz w:val="22"/>
                <w:szCs w:val="22"/>
                <w:highlight w:val="none"/>
              </w:rPr>
            </w:pPr>
            <w:r>
              <w:rPr>
                <w:rFonts w:hint="eastAsia"/>
                <w:spacing w:val="2"/>
                <w:sz w:val="22"/>
                <w:szCs w:val="22"/>
                <w:highlight w:val="none"/>
                <w:lang w:eastAsia="zh-CN"/>
              </w:rPr>
              <w:t>3</w:t>
            </w:r>
          </w:p>
        </w:tc>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37"/>
              <w:spacing w:before="61" w:line="216" w:lineRule="auto"/>
              <w:ind w:left="106" w:firstLine="0" w:firstLineChars="0"/>
              <w:jc w:val="center"/>
              <w:rPr>
                <w:spacing w:val="2"/>
                <w:sz w:val="22"/>
                <w:szCs w:val="22"/>
                <w:highlight w:val="none"/>
              </w:rPr>
            </w:pPr>
            <w:r>
              <w:rPr>
                <w:rFonts w:hint="eastAsia"/>
                <w:spacing w:val="2"/>
                <w:sz w:val="22"/>
                <w:szCs w:val="22"/>
                <w:highlight w:val="none"/>
                <w:lang w:eastAsia="zh-CN"/>
              </w:rPr>
              <w:t>套/年</w:t>
            </w:r>
          </w:p>
        </w:tc>
      </w:tr>
      <w:tr>
        <w:tblPrEx>
          <w:tblCellMar>
            <w:top w:w="0" w:type="dxa"/>
            <w:left w:w="108" w:type="dxa"/>
            <w:bottom w:w="0" w:type="dxa"/>
            <w:right w:w="108" w:type="dxa"/>
          </w:tblCellMar>
        </w:tblPrEx>
        <w:trPr>
          <w:trHeight w:val="336"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37"/>
              <w:spacing w:before="61" w:line="216" w:lineRule="auto"/>
              <w:ind w:left="106" w:firstLine="0" w:firstLineChars="0"/>
              <w:jc w:val="center"/>
              <w:rPr>
                <w:spacing w:val="2"/>
                <w:sz w:val="22"/>
                <w:szCs w:val="22"/>
                <w:highlight w:val="none"/>
              </w:rPr>
            </w:pPr>
            <w:r>
              <w:rPr>
                <w:rFonts w:hint="eastAsia"/>
                <w:spacing w:val="2"/>
                <w:sz w:val="22"/>
                <w:szCs w:val="22"/>
                <w:highlight w:val="none"/>
                <w:lang w:eastAsia="zh-CN"/>
              </w:rPr>
              <w:t>17</w:t>
            </w:r>
          </w:p>
        </w:tc>
        <w:tc>
          <w:tcPr>
            <w:tcW w:w="19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137"/>
              <w:spacing w:before="61" w:line="216" w:lineRule="auto"/>
              <w:ind w:left="106" w:firstLine="0" w:firstLineChars="0"/>
              <w:jc w:val="center"/>
              <w:rPr>
                <w:spacing w:val="2"/>
                <w:sz w:val="22"/>
                <w:szCs w:val="22"/>
                <w:highlight w:val="none"/>
              </w:rPr>
            </w:pPr>
          </w:p>
        </w:tc>
        <w:tc>
          <w:tcPr>
            <w:tcW w:w="266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37"/>
              <w:spacing w:before="61" w:line="216" w:lineRule="auto"/>
              <w:ind w:left="106" w:firstLine="0" w:firstLineChars="0"/>
              <w:jc w:val="center"/>
              <w:rPr>
                <w:spacing w:val="2"/>
                <w:sz w:val="22"/>
                <w:szCs w:val="22"/>
                <w:highlight w:val="none"/>
              </w:rPr>
            </w:pPr>
            <w:r>
              <w:rPr>
                <w:rFonts w:hint="eastAsia"/>
                <w:spacing w:val="2"/>
                <w:sz w:val="22"/>
                <w:szCs w:val="22"/>
                <w:highlight w:val="none"/>
                <w:lang w:eastAsia="zh-CN"/>
              </w:rPr>
              <w:t>培训管理工具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137"/>
              <w:spacing w:before="61" w:line="216" w:lineRule="auto"/>
              <w:ind w:left="106" w:firstLine="0" w:firstLineChars="0"/>
              <w:jc w:val="center"/>
              <w:rPr>
                <w:spacing w:val="2"/>
                <w:sz w:val="22"/>
                <w:szCs w:val="22"/>
                <w:highlight w:val="none"/>
              </w:rPr>
            </w:pPr>
            <w:r>
              <w:rPr>
                <w:rFonts w:hint="eastAsia"/>
                <w:spacing w:val="2"/>
                <w:sz w:val="22"/>
                <w:szCs w:val="22"/>
                <w:highlight w:val="none"/>
                <w:lang w:eastAsia="zh-CN"/>
              </w:rPr>
              <w:t>1</w:t>
            </w:r>
          </w:p>
        </w:tc>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37"/>
              <w:spacing w:before="61" w:line="216" w:lineRule="auto"/>
              <w:ind w:left="106" w:firstLine="0" w:firstLineChars="0"/>
              <w:jc w:val="center"/>
              <w:rPr>
                <w:spacing w:val="2"/>
                <w:sz w:val="22"/>
                <w:szCs w:val="22"/>
                <w:highlight w:val="none"/>
              </w:rPr>
            </w:pPr>
            <w:r>
              <w:rPr>
                <w:rFonts w:hint="eastAsia"/>
                <w:spacing w:val="2"/>
                <w:sz w:val="22"/>
                <w:szCs w:val="22"/>
                <w:highlight w:val="none"/>
                <w:lang w:eastAsia="zh-CN"/>
              </w:rPr>
              <w:t>套/年</w:t>
            </w:r>
          </w:p>
        </w:tc>
      </w:tr>
      <w:tr>
        <w:tblPrEx>
          <w:tblCellMar>
            <w:top w:w="0" w:type="dxa"/>
            <w:left w:w="108" w:type="dxa"/>
            <w:bottom w:w="0" w:type="dxa"/>
            <w:right w:w="108" w:type="dxa"/>
          </w:tblCellMar>
        </w:tblPrEx>
        <w:trPr>
          <w:trHeight w:val="336"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37"/>
              <w:spacing w:before="61" w:line="216" w:lineRule="auto"/>
              <w:ind w:left="106" w:firstLine="0" w:firstLineChars="0"/>
              <w:jc w:val="center"/>
              <w:rPr>
                <w:spacing w:val="2"/>
                <w:sz w:val="22"/>
                <w:szCs w:val="22"/>
                <w:highlight w:val="none"/>
              </w:rPr>
            </w:pPr>
            <w:r>
              <w:rPr>
                <w:rFonts w:hint="eastAsia"/>
                <w:spacing w:val="2"/>
                <w:sz w:val="22"/>
                <w:szCs w:val="22"/>
                <w:highlight w:val="none"/>
                <w:lang w:eastAsia="zh-CN"/>
              </w:rPr>
              <w:t>18</w:t>
            </w:r>
          </w:p>
        </w:tc>
        <w:tc>
          <w:tcPr>
            <w:tcW w:w="19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Style w:val="137"/>
              <w:spacing w:before="61" w:line="216" w:lineRule="auto"/>
              <w:ind w:left="106" w:firstLine="0" w:firstLineChars="0"/>
              <w:jc w:val="center"/>
              <w:rPr>
                <w:spacing w:val="2"/>
                <w:sz w:val="22"/>
                <w:szCs w:val="22"/>
                <w:highlight w:val="none"/>
              </w:rPr>
            </w:pPr>
          </w:p>
        </w:tc>
        <w:tc>
          <w:tcPr>
            <w:tcW w:w="266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37"/>
              <w:spacing w:before="61" w:line="216" w:lineRule="auto"/>
              <w:ind w:left="106" w:firstLine="0" w:firstLineChars="0"/>
              <w:jc w:val="center"/>
              <w:rPr>
                <w:spacing w:val="2"/>
                <w:sz w:val="22"/>
                <w:szCs w:val="22"/>
                <w:highlight w:val="none"/>
              </w:rPr>
            </w:pPr>
            <w:r>
              <w:rPr>
                <w:rFonts w:hint="eastAsia"/>
                <w:spacing w:val="2"/>
                <w:sz w:val="22"/>
                <w:szCs w:val="22"/>
                <w:highlight w:val="none"/>
                <w:lang w:eastAsia="zh-CN"/>
              </w:rPr>
              <w:t>空间数据库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137"/>
              <w:spacing w:before="61" w:line="216" w:lineRule="auto"/>
              <w:ind w:left="106" w:firstLine="0" w:firstLineChars="0"/>
              <w:jc w:val="center"/>
              <w:rPr>
                <w:spacing w:val="2"/>
                <w:sz w:val="22"/>
                <w:szCs w:val="22"/>
                <w:highlight w:val="none"/>
              </w:rPr>
            </w:pPr>
            <w:r>
              <w:rPr>
                <w:rFonts w:hint="eastAsia"/>
                <w:spacing w:val="2"/>
                <w:sz w:val="22"/>
                <w:szCs w:val="22"/>
                <w:highlight w:val="none"/>
                <w:lang w:eastAsia="zh-CN"/>
              </w:rPr>
              <w:t>8</w:t>
            </w:r>
          </w:p>
        </w:tc>
        <w:tc>
          <w:tcPr>
            <w:tcW w:w="168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37"/>
              <w:spacing w:before="61" w:line="216" w:lineRule="auto"/>
              <w:ind w:left="106" w:firstLine="0" w:firstLineChars="0"/>
              <w:jc w:val="center"/>
              <w:rPr>
                <w:spacing w:val="2"/>
                <w:sz w:val="22"/>
                <w:szCs w:val="22"/>
                <w:highlight w:val="none"/>
              </w:rPr>
            </w:pPr>
            <w:r>
              <w:rPr>
                <w:rFonts w:hint="eastAsia"/>
                <w:spacing w:val="2"/>
                <w:sz w:val="22"/>
                <w:szCs w:val="22"/>
                <w:highlight w:val="none"/>
                <w:lang w:eastAsia="zh-CN"/>
              </w:rPr>
              <w:t>套/年</w:t>
            </w:r>
          </w:p>
        </w:tc>
      </w:tr>
    </w:tbl>
    <w:p>
      <w:pPr>
        <w:pStyle w:val="3"/>
        <w:rPr>
          <w:highlight w:val="none"/>
        </w:rPr>
      </w:pPr>
      <w:r>
        <w:rPr>
          <w:rFonts w:hint="eastAsia"/>
          <w:highlight w:val="none"/>
        </w:rPr>
        <w:t>软件工具技术要求</w:t>
      </w:r>
    </w:p>
    <w:p>
      <w:pPr>
        <w:pStyle w:val="4"/>
        <w:rPr>
          <w:highlight w:val="none"/>
        </w:rPr>
      </w:pPr>
      <w:r>
        <w:rPr>
          <w:rFonts w:hint="eastAsia"/>
          <w:highlight w:val="none"/>
        </w:rPr>
        <w:t>版式办公工具-PC端</w:t>
      </w:r>
    </w:p>
    <w:tbl>
      <w:tblPr>
        <w:tblStyle w:val="35"/>
        <w:tblW w:w="4998" w:type="pct"/>
        <w:tblInd w:w="0" w:type="dxa"/>
        <w:tblLayout w:type="autofit"/>
        <w:tblCellMar>
          <w:top w:w="0" w:type="dxa"/>
          <w:left w:w="0" w:type="dxa"/>
          <w:bottom w:w="0" w:type="dxa"/>
          <w:right w:w="0" w:type="dxa"/>
        </w:tblCellMar>
      </w:tblPr>
      <w:tblGrid>
        <w:gridCol w:w="1718"/>
        <w:gridCol w:w="6611"/>
      </w:tblGrid>
      <w:tr>
        <w:tblPrEx>
          <w:tblCellMar>
            <w:top w:w="0" w:type="dxa"/>
            <w:left w:w="0" w:type="dxa"/>
            <w:bottom w:w="0" w:type="dxa"/>
            <w:right w:w="0" w:type="dxa"/>
          </w:tblCellMar>
        </w:tblPrEx>
        <w:trPr>
          <w:trHeight w:val="580" w:hRule="atLeast"/>
        </w:trPr>
        <w:tc>
          <w:tcPr>
            <w:tcW w:w="1031"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kern w:val="0"/>
                <w:sz w:val="21"/>
                <w:szCs w:val="21"/>
                <w:highlight w:val="none"/>
              </w:rPr>
              <w:t>工具描述</w:t>
            </w:r>
          </w:p>
        </w:tc>
        <w:tc>
          <w:tcPr>
            <w:tcW w:w="3968"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inorEastAsia" w:hAnsiTheme="minorEastAsia" w:eastAsiaTheme="minorEastAsia" w:cstheme="minorEastAsia"/>
                <w:sz w:val="21"/>
                <w:szCs w:val="21"/>
                <w:highlight w:val="none"/>
              </w:rPr>
            </w:pPr>
            <w:r>
              <w:rPr>
                <w:rFonts w:hint="eastAsia"/>
                <w:sz w:val="21"/>
                <w:szCs w:val="21"/>
                <w:highlight w:val="none"/>
              </w:rPr>
              <w:t>提供客户端版式文档处理能力，支持页面编辑、批注以及文档格式转换和合并拆分等基本功能。</w:t>
            </w:r>
          </w:p>
        </w:tc>
      </w:tr>
      <w:tr>
        <w:tblPrEx>
          <w:tblCellMar>
            <w:top w:w="0" w:type="dxa"/>
            <w:left w:w="0" w:type="dxa"/>
            <w:bottom w:w="0" w:type="dxa"/>
            <w:right w:w="0" w:type="dxa"/>
          </w:tblCellMar>
        </w:tblPrEx>
        <w:trPr>
          <w:trHeight w:val="886" w:hRule="atLeast"/>
        </w:trPr>
        <w:tc>
          <w:tcPr>
            <w:tcW w:w="1031"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kern w:val="0"/>
                <w:sz w:val="21"/>
                <w:szCs w:val="21"/>
                <w:highlight w:val="none"/>
              </w:rPr>
              <w:t>工具能力要求</w:t>
            </w:r>
          </w:p>
        </w:tc>
        <w:tc>
          <w:tcPr>
            <w:tcW w:w="3968" w:type="pct"/>
            <w:tcBorders>
              <w:top w:val="nil"/>
              <w:left w:val="single" w:color="000000" w:sz="4" w:space="0"/>
              <w:bottom w:val="single" w:color="000000" w:sz="4" w:space="0"/>
              <w:right w:val="single" w:color="000000" w:sz="4" w:space="0"/>
            </w:tcBorders>
            <w:shd w:val="clear" w:color="auto" w:fill="auto"/>
            <w:tcMar>
              <w:top w:w="10" w:type="dxa"/>
              <w:left w:w="10" w:type="dxa"/>
              <w:right w:w="10" w:type="dxa"/>
            </w:tcMar>
          </w:tcPr>
          <w:p>
            <w:pPr>
              <w:spacing w:line="240" w:lineRule="auto"/>
              <w:ind w:firstLine="0" w:firstLineChars="0"/>
              <w:rPr>
                <w:sz w:val="21"/>
                <w:szCs w:val="21"/>
                <w:highlight w:val="none"/>
              </w:rPr>
            </w:pPr>
            <w:r>
              <w:rPr>
                <w:rFonts w:hint="eastAsia"/>
                <w:sz w:val="21"/>
                <w:szCs w:val="21"/>
                <w:highlight w:val="none"/>
              </w:rPr>
              <w:t>工具能力要求包括但不限于以下内容</w:t>
            </w:r>
            <w:r>
              <w:rPr>
                <w:sz w:val="21"/>
                <w:szCs w:val="21"/>
                <w:highlight w:val="none"/>
              </w:rPr>
              <w:t>:</w:t>
            </w:r>
          </w:p>
          <w:p>
            <w:pPr>
              <w:widowControl/>
              <w:spacing w:line="240" w:lineRule="auto"/>
              <w:ind w:firstLine="0" w:firstLineChars="0"/>
              <w:jc w:val="left"/>
              <w:textAlignment w:val="top"/>
              <w:rPr>
                <w:rFonts w:asciiTheme="minorEastAsia" w:hAnsiTheme="minorEastAsia" w:eastAsiaTheme="minorEastAsia" w:cstheme="minorEastAsia"/>
                <w:sz w:val="21"/>
                <w:szCs w:val="21"/>
                <w:highlight w:val="none"/>
              </w:rPr>
            </w:pPr>
            <w:r>
              <w:rPr>
                <w:rFonts w:hint="eastAsia"/>
                <w:sz w:val="21"/>
                <w:szCs w:val="21"/>
                <w:highlight w:val="none"/>
              </w:rPr>
              <w:t>1.支持打开版式文档格式的文件，并提供复杂图文混排问题的精确解析渲染。</w:t>
            </w:r>
            <w:r>
              <w:rPr>
                <w:rFonts w:hint="eastAsia"/>
                <w:sz w:val="21"/>
                <w:szCs w:val="21"/>
                <w:highlight w:val="none"/>
              </w:rPr>
              <w:br w:type="textWrapping"/>
            </w:r>
            <w:r>
              <w:rPr>
                <w:rFonts w:hint="eastAsia"/>
                <w:sz w:val="21"/>
                <w:szCs w:val="21"/>
                <w:highlight w:val="none"/>
              </w:rPr>
              <w:t>2.支持对版式文档内容、注释、书签进行全文搜索，包括全文搜索、整词搜索、区分大小写搜索。</w:t>
            </w:r>
            <w:r>
              <w:rPr>
                <w:rFonts w:hint="eastAsia"/>
                <w:sz w:val="21"/>
                <w:szCs w:val="21"/>
                <w:highlight w:val="none"/>
              </w:rPr>
              <w:br w:type="textWrapping"/>
            </w:r>
            <w:r>
              <w:rPr>
                <w:rFonts w:hint="eastAsia"/>
                <w:sz w:val="21"/>
                <w:szCs w:val="21"/>
                <w:highlight w:val="none"/>
              </w:rPr>
              <w:t>3.支持版式文档新建页面，包括新建空白页、从图片新建、从扫描仪新建、从剪切板新建。</w:t>
            </w:r>
            <w:r>
              <w:rPr>
                <w:rFonts w:hint="eastAsia"/>
                <w:sz w:val="21"/>
                <w:szCs w:val="21"/>
                <w:highlight w:val="none"/>
              </w:rPr>
              <w:br w:type="textWrapping"/>
            </w:r>
            <w:r>
              <w:rPr>
                <w:rFonts w:hint="eastAsia"/>
                <w:sz w:val="21"/>
                <w:szCs w:val="21"/>
                <w:highlight w:val="none"/>
              </w:rPr>
              <w:t>4.支持导出版式文档为其他格式的功能。</w:t>
            </w:r>
            <w:r>
              <w:rPr>
                <w:rFonts w:hint="eastAsia"/>
                <w:sz w:val="21"/>
                <w:szCs w:val="21"/>
                <w:highlight w:val="none"/>
              </w:rPr>
              <w:br w:type="textWrapping"/>
            </w:r>
            <w:r>
              <w:rPr>
                <w:rFonts w:hint="eastAsia"/>
                <w:sz w:val="21"/>
                <w:szCs w:val="21"/>
                <w:highlight w:val="none"/>
              </w:rPr>
              <w:t>5.支持阅读版式的全屏窗口显示和幻灯片模式全屏单页不连续播放页面。</w:t>
            </w:r>
            <w:r>
              <w:rPr>
                <w:rFonts w:hint="eastAsia"/>
                <w:sz w:val="21"/>
                <w:szCs w:val="21"/>
                <w:highlight w:val="none"/>
              </w:rPr>
              <w:br w:type="textWrapping"/>
            </w:r>
            <w:r>
              <w:rPr>
                <w:rFonts w:hint="eastAsia"/>
                <w:sz w:val="21"/>
                <w:szCs w:val="21"/>
                <w:highlight w:val="none"/>
              </w:rPr>
              <w:t>6.提供多种批注工具进行注释，包括文字注释、高亮标注、下划线等。</w:t>
            </w:r>
            <w:r>
              <w:rPr>
                <w:rFonts w:hint="eastAsia"/>
                <w:sz w:val="21"/>
                <w:szCs w:val="21"/>
                <w:highlight w:val="none"/>
              </w:rPr>
              <w:br w:type="textWrapping"/>
            </w:r>
            <w:r>
              <w:rPr>
                <w:rFonts w:hint="eastAsia"/>
                <w:sz w:val="21"/>
                <w:szCs w:val="21"/>
                <w:highlight w:val="none"/>
              </w:rPr>
              <w:t>7.支持对文档增加页眉页脚、水印（包括文件及文字的单行及多行水印）、文档背景（包括纯色背景及文件背景）。</w:t>
            </w:r>
            <w:r>
              <w:rPr>
                <w:rFonts w:hint="eastAsia"/>
                <w:sz w:val="21"/>
                <w:szCs w:val="21"/>
                <w:highlight w:val="none"/>
              </w:rPr>
              <w:br w:type="textWrapping"/>
            </w:r>
            <w:r>
              <w:rPr>
                <w:rFonts w:hint="eastAsia"/>
                <w:sz w:val="21"/>
                <w:szCs w:val="21"/>
                <w:highlight w:val="none"/>
              </w:rPr>
              <w:t>8.支持对版式文档页面进行合并、拆分、替换页面、提取页面等操作。</w:t>
            </w:r>
            <w:r>
              <w:rPr>
                <w:rFonts w:hint="eastAsia"/>
                <w:sz w:val="21"/>
                <w:szCs w:val="21"/>
                <w:highlight w:val="none"/>
              </w:rPr>
              <w:br w:type="textWrapping"/>
            </w:r>
            <w:r>
              <w:rPr>
                <w:rFonts w:hint="eastAsia"/>
                <w:sz w:val="21"/>
                <w:szCs w:val="21"/>
                <w:highlight w:val="none"/>
              </w:rPr>
              <w:t>9.支持多种方式快速签署文档，并支持电子签名证书验证及数字签名验证。</w:t>
            </w:r>
          </w:p>
        </w:tc>
      </w:tr>
      <w:tr>
        <w:tblPrEx>
          <w:tblCellMar>
            <w:top w:w="0" w:type="dxa"/>
            <w:left w:w="0" w:type="dxa"/>
            <w:bottom w:w="0" w:type="dxa"/>
            <w:right w:w="0" w:type="dxa"/>
          </w:tblCellMar>
        </w:tblPrEx>
        <w:trPr>
          <w:trHeight w:val="531" w:hRule="atLeast"/>
        </w:trPr>
        <w:tc>
          <w:tcPr>
            <w:tcW w:w="1031"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kern w:val="0"/>
                <w:sz w:val="21"/>
                <w:szCs w:val="21"/>
                <w:highlight w:val="none"/>
              </w:rPr>
              <w:t>兼容性要求</w:t>
            </w:r>
          </w:p>
        </w:tc>
        <w:tc>
          <w:tcPr>
            <w:tcW w:w="3968" w:type="pct"/>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inorEastAsia" w:hAnsiTheme="minorEastAsia" w:eastAsiaTheme="minorEastAsia" w:cstheme="minorEastAsia"/>
                <w:sz w:val="21"/>
                <w:szCs w:val="21"/>
                <w:highlight w:val="none"/>
              </w:rPr>
            </w:pPr>
            <w:r>
              <w:rPr>
                <w:rFonts w:hint="eastAsia"/>
                <w:sz w:val="21"/>
                <w:szCs w:val="21"/>
                <w:highlight w:val="none"/>
              </w:rPr>
              <w:t>1、支持国内外主流操作系统，包括不限于Win7、Win10、麒麟、统信UOS等。</w:t>
            </w:r>
            <w:r>
              <w:rPr>
                <w:rFonts w:hint="eastAsia"/>
                <w:sz w:val="21"/>
                <w:szCs w:val="21"/>
                <w:highlight w:val="none"/>
              </w:rPr>
              <w:br w:type="textWrapping"/>
            </w:r>
            <w:r>
              <w:rPr>
                <w:rFonts w:hint="eastAsia"/>
                <w:sz w:val="21"/>
                <w:szCs w:val="21"/>
                <w:highlight w:val="none"/>
              </w:rPr>
              <w:t>2、适配国产化终端。</w:t>
            </w:r>
          </w:p>
        </w:tc>
      </w:tr>
      <w:tr>
        <w:tblPrEx>
          <w:tblCellMar>
            <w:top w:w="0" w:type="dxa"/>
            <w:left w:w="0" w:type="dxa"/>
            <w:bottom w:w="0" w:type="dxa"/>
            <w:right w:w="0" w:type="dxa"/>
          </w:tblCellMar>
        </w:tblPrEx>
        <w:trPr>
          <w:trHeight w:val="290" w:hRule="atLeast"/>
        </w:trPr>
        <w:tc>
          <w:tcPr>
            <w:tcW w:w="1031"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kern w:val="0"/>
                <w:sz w:val="21"/>
                <w:szCs w:val="21"/>
                <w:highlight w:val="none"/>
              </w:rPr>
              <w:t>安全性要求</w:t>
            </w:r>
          </w:p>
        </w:tc>
        <w:tc>
          <w:tcPr>
            <w:tcW w:w="3968" w:type="pct"/>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auto"/>
              <w:rPr>
                <w:rFonts w:hint="eastAsia" w:eastAsia="宋体" w:asciiTheme="minorEastAsia" w:hAnsiTheme="minorEastAsia" w:cstheme="minorEastAsia"/>
                <w:sz w:val="21"/>
                <w:szCs w:val="21"/>
                <w:highlight w:val="none"/>
                <w:lang w:eastAsia="zh-CN"/>
              </w:rPr>
            </w:pPr>
            <w:r>
              <w:rPr>
                <w:rFonts w:hint="eastAsia"/>
                <w:sz w:val="21"/>
                <w:szCs w:val="21"/>
                <w:highlight w:val="none"/>
              </w:rPr>
              <w:t>提供第三方安全检测报告。</w:t>
            </w:r>
          </w:p>
        </w:tc>
      </w:tr>
    </w:tbl>
    <w:p>
      <w:pPr>
        <w:rPr>
          <w:highlight w:val="none"/>
        </w:rPr>
      </w:pPr>
    </w:p>
    <w:p>
      <w:pPr>
        <w:pStyle w:val="4"/>
        <w:rPr>
          <w:highlight w:val="none"/>
        </w:rPr>
      </w:pPr>
      <w:r>
        <w:rPr>
          <w:rFonts w:hint="eastAsia"/>
          <w:highlight w:val="none"/>
        </w:rPr>
        <w:t>流式办公工具-PC端</w:t>
      </w:r>
    </w:p>
    <w:tbl>
      <w:tblPr>
        <w:tblStyle w:val="35"/>
        <w:tblW w:w="4999" w:type="pct"/>
        <w:tblInd w:w="0" w:type="dxa"/>
        <w:tblLayout w:type="autofit"/>
        <w:tblCellMar>
          <w:top w:w="0" w:type="dxa"/>
          <w:left w:w="0" w:type="dxa"/>
          <w:bottom w:w="0" w:type="dxa"/>
          <w:right w:w="0" w:type="dxa"/>
        </w:tblCellMar>
      </w:tblPr>
      <w:tblGrid>
        <w:gridCol w:w="1713"/>
        <w:gridCol w:w="6617"/>
      </w:tblGrid>
      <w:tr>
        <w:tblPrEx>
          <w:tblCellMar>
            <w:top w:w="0" w:type="dxa"/>
            <w:left w:w="0" w:type="dxa"/>
            <w:bottom w:w="0" w:type="dxa"/>
            <w:right w:w="0" w:type="dxa"/>
          </w:tblCellMar>
        </w:tblPrEx>
        <w:trPr>
          <w:trHeight w:val="580"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kern w:val="0"/>
                <w:sz w:val="21"/>
                <w:szCs w:val="21"/>
                <w:highlight w:val="none"/>
              </w:rPr>
              <w:t>工具描述</w:t>
            </w:r>
          </w:p>
        </w:tc>
        <w:tc>
          <w:tcPr>
            <w:tcW w:w="3971"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rPr>
              <w:t>工具提供通用性客户端办公软件，如覆盖文字处理、电子表格和演示文稿等功能。</w:t>
            </w:r>
          </w:p>
        </w:tc>
      </w:tr>
      <w:tr>
        <w:tblPrEx>
          <w:tblCellMar>
            <w:top w:w="0" w:type="dxa"/>
            <w:left w:w="0" w:type="dxa"/>
            <w:bottom w:w="0" w:type="dxa"/>
            <w:right w:w="0" w:type="dxa"/>
          </w:tblCellMar>
        </w:tblPrEx>
        <w:trPr>
          <w:trHeight w:val="90"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kern w:val="0"/>
                <w:sz w:val="21"/>
                <w:szCs w:val="21"/>
                <w:highlight w:val="none"/>
              </w:rPr>
              <w:t>工具能力要求</w:t>
            </w:r>
          </w:p>
        </w:tc>
        <w:tc>
          <w:tcPr>
            <w:tcW w:w="3971"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工具能力包括但不限于:</w:t>
            </w:r>
          </w:p>
          <w:p>
            <w:pPr>
              <w:widowControl/>
              <w:spacing w:line="240" w:lineRule="auto"/>
              <w:ind w:firstLine="0" w:firstLineChars="0"/>
              <w:jc w:val="left"/>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rPr>
              <w:t>1、具备文件管理、页面设置、视图管理、编辑管理、插入管理、格式管理、工具、表格管理、对象管理、审阅管理、引用管理、插件管理、打印管理等基本功能。</w:t>
            </w:r>
            <w:r>
              <w:rPr>
                <w:rFonts w:hint="eastAsia" w:asciiTheme="minorEastAsia" w:hAnsiTheme="minorEastAsia" w:eastAsiaTheme="minorEastAsia" w:cstheme="minorEastAsia"/>
                <w:kern w:val="0"/>
                <w:sz w:val="21"/>
                <w:szCs w:val="21"/>
                <w:highlight w:val="none"/>
              </w:rPr>
              <w:br w:type="textWrapping"/>
            </w:r>
            <w:r>
              <w:rPr>
                <w:rFonts w:hint="eastAsia" w:asciiTheme="minorEastAsia" w:hAnsiTheme="minorEastAsia" w:eastAsiaTheme="minorEastAsia" w:cstheme="minorEastAsia"/>
                <w:kern w:val="0"/>
                <w:sz w:val="21"/>
                <w:szCs w:val="21"/>
                <w:highlight w:val="none"/>
              </w:rPr>
              <w:t>2、提供文字处理、电子表格、文档演示功能，支持PDF阅读和流版转换，支持国内外文档标准规范，兼容国内外主流流式软件。</w:t>
            </w:r>
            <w:r>
              <w:rPr>
                <w:rFonts w:hint="eastAsia" w:asciiTheme="minorEastAsia" w:hAnsiTheme="minorEastAsia" w:eastAsiaTheme="minorEastAsia" w:cstheme="minorEastAsia"/>
                <w:kern w:val="0"/>
                <w:sz w:val="21"/>
                <w:szCs w:val="21"/>
                <w:highlight w:val="none"/>
              </w:rPr>
              <w:br w:type="textWrapping"/>
            </w:r>
            <w:r>
              <w:rPr>
                <w:rFonts w:hint="eastAsia" w:asciiTheme="minorEastAsia" w:hAnsiTheme="minorEastAsia" w:eastAsiaTheme="minorEastAsia" w:cstheme="minorEastAsia"/>
                <w:kern w:val="0"/>
                <w:sz w:val="21"/>
                <w:szCs w:val="21"/>
                <w:highlight w:val="none"/>
              </w:rPr>
              <w:t>3、支持图片预览，点击图片显示图片预览的效果。</w:t>
            </w:r>
            <w:r>
              <w:rPr>
                <w:rFonts w:hint="eastAsia" w:asciiTheme="minorEastAsia" w:hAnsiTheme="minorEastAsia" w:eastAsiaTheme="minorEastAsia" w:cstheme="minorEastAsia"/>
                <w:kern w:val="0"/>
                <w:sz w:val="21"/>
                <w:szCs w:val="21"/>
                <w:highlight w:val="none"/>
              </w:rPr>
              <w:br w:type="textWrapping"/>
            </w:r>
            <w:r>
              <w:rPr>
                <w:rFonts w:hint="eastAsia" w:asciiTheme="minorEastAsia" w:hAnsiTheme="minorEastAsia" w:eastAsiaTheme="minorEastAsia" w:cstheme="minorEastAsia"/>
                <w:kern w:val="0"/>
                <w:sz w:val="21"/>
                <w:szCs w:val="21"/>
                <w:highlight w:val="none"/>
              </w:rPr>
              <w:t>4、具备内置浏览器，支持双击链接文档内的超级链接，通过内置浏览器进行访问。</w:t>
            </w:r>
            <w:r>
              <w:rPr>
                <w:rFonts w:hint="eastAsia" w:asciiTheme="minorEastAsia" w:hAnsiTheme="minorEastAsia" w:eastAsiaTheme="minorEastAsia" w:cstheme="minorEastAsia"/>
                <w:kern w:val="0"/>
                <w:sz w:val="21"/>
                <w:szCs w:val="21"/>
                <w:highlight w:val="none"/>
              </w:rPr>
              <w:br w:type="textWrapping"/>
            </w:r>
            <w:r>
              <w:rPr>
                <w:rFonts w:hint="eastAsia" w:asciiTheme="minorEastAsia" w:hAnsiTheme="minorEastAsia" w:eastAsiaTheme="minorEastAsia" w:cstheme="minorEastAsia"/>
                <w:kern w:val="0"/>
                <w:sz w:val="21"/>
                <w:szCs w:val="21"/>
                <w:highlight w:val="none"/>
              </w:rPr>
              <w:t>5、支持以对象形式在文档中插入doc、xls、ppt、docx、xlsx、pptx、ofd、pdf、压缩包等格式的文档，满足office相同组件或不同组件之间文档相互引用的场景，双击对象时可以打开文件的原始程序进行编辑，方便快捷。同时避免文档在不同平台流转时，无法查看历史文档中附件的问题。</w:t>
            </w:r>
            <w:r>
              <w:rPr>
                <w:rFonts w:hint="eastAsia" w:asciiTheme="minorEastAsia" w:hAnsiTheme="minorEastAsia" w:eastAsiaTheme="minorEastAsia" w:cstheme="minorEastAsia"/>
                <w:kern w:val="0"/>
                <w:sz w:val="21"/>
                <w:szCs w:val="21"/>
                <w:highlight w:val="none"/>
              </w:rPr>
              <w:br w:type="textWrapping"/>
            </w:r>
            <w:r>
              <w:rPr>
                <w:rFonts w:hint="eastAsia" w:asciiTheme="minorEastAsia" w:hAnsiTheme="minorEastAsia" w:eastAsiaTheme="minorEastAsia" w:cstheme="minorEastAsia"/>
                <w:kern w:val="0"/>
                <w:sz w:val="21"/>
                <w:szCs w:val="21"/>
                <w:highlight w:val="none"/>
              </w:rPr>
              <w:t>6、支持“文档拆分合并”功能，实现对doc、docx、xls、xlsx、pdf格式的文档进行合并和拆分，且可自定义不同合并拆分方式，包括合并范围、输出名称、输出目录、拆分范围等，快速整合文档资源。</w:t>
            </w:r>
          </w:p>
        </w:tc>
      </w:tr>
      <w:tr>
        <w:tblPrEx>
          <w:tblCellMar>
            <w:top w:w="0" w:type="dxa"/>
            <w:left w:w="0" w:type="dxa"/>
            <w:bottom w:w="0" w:type="dxa"/>
            <w:right w:w="0" w:type="dxa"/>
          </w:tblCellMar>
        </w:tblPrEx>
        <w:trPr>
          <w:trHeight w:val="870"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kern w:val="0"/>
                <w:sz w:val="21"/>
                <w:szCs w:val="21"/>
                <w:highlight w:val="none"/>
              </w:rPr>
              <w:t>兼容性要求</w:t>
            </w:r>
          </w:p>
        </w:tc>
        <w:tc>
          <w:tcPr>
            <w:tcW w:w="3971"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rPr>
              <w:t>1、支持国内外主流操作系统，包括不限于Win7、Win10、麒麟、统信UOS等。</w:t>
            </w:r>
            <w:r>
              <w:rPr>
                <w:rFonts w:hint="eastAsia" w:asciiTheme="minorEastAsia" w:hAnsiTheme="minorEastAsia" w:eastAsiaTheme="minorEastAsia" w:cstheme="minorEastAsia"/>
                <w:kern w:val="0"/>
                <w:sz w:val="21"/>
                <w:szCs w:val="21"/>
                <w:highlight w:val="none"/>
              </w:rPr>
              <w:br w:type="textWrapping"/>
            </w:r>
            <w:r>
              <w:rPr>
                <w:rFonts w:hint="eastAsia" w:asciiTheme="minorEastAsia" w:hAnsiTheme="minorEastAsia" w:eastAsiaTheme="minorEastAsia" w:cstheme="minorEastAsia"/>
                <w:kern w:val="0"/>
                <w:sz w:val="21"/>
                <w:szCs w:val="21"/>
                <w:highlight w:val="none"/>
              </w:rPr>
              <w:t>2、适配国产化终端。</w:t>
            </w:r>
          </w:p>
        </w:tc>
      </w:tr>
      <w:tr>
        <w:tblPrEx>
          <w:tblCellMar>
            <w:top w:w="0" w:type="dxa"/>
            <w:left w:w="0" w:type="dxa"/>
            <w:bottom w:w="0" w:type="dxa"/>
            <w:right w:w="0" w:type="dxa"/>
          </w:tblCellMar>
        </w:tblPrEx>
        <w:trPr>
          <w:trHeight w:val="580"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kern w:val="0"/>
                <w:sz w:val="21"/>
                <w:szCs w:val="21"/>
                <w:highlight w:val="none"/>
              </w:rPr>
              <w:t>安全性要求</w:t>
            </w:r>
          </w:p>
        </w:tc>
        <w:tc>
          <w:tcPr>
            <w:tcW w:w="3971"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1、流式文档工具需具有文档水印、限制编辑、文档加密（打开密码、编辑密码）等文档安全防护机制。</w:t>
            </w:r>
          </w:p>
          <w:p>
            <w:pPr>
              <w:widowControl/>
              <w:spacing w:line="240" w:lineRule="auto"/>
              <w:ind w:firstLine="0" w:firstLineChars="0"/>
              <w:jc w:val="left"/>
              <w:textAlignment w:val="center"/>
              <w:rPr>
                <w:rFonts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2、提供第三方安全检测报告。</w:t>
            </w:r>
          </w:p>
        </w:tc>
      </w:tr>
    </w:tbl>
    <w:p>
      <w:pPr>
        <w:spacing w:line="240" w:lineRule="auto"/>
        <w:ind w:firstLine="0" w:firstLineChars="0"/>
        <w:rPr>
          <w:rFonts w:asciiTheme="minorEastAsia" w:hAnsiTheme="minorEastAsia" w:eastAsiaTheme="minorEastAsia" w:cstheme="minorEastAsia"/>
          <w:sz w:val="21"/>
          <w:szCs w:val="21"/>
          <w:highlight w:val="none"/>
        </w:rPr>
      </w:pPr>
    </w:p>
    <w:p>
      <w:pPr>
        <w:pStyle w:val="4"/>
        <w:rPr>
          <w:highlight w:val="none"/>
        </w:rPr>
      </w:pPr>
      <w:r>
        <w:rPr>
          <w:rFonts w:hint="eastAsia"/>
          <w:highlight w:val="none"/>
        </w:rPr>
        <w:t>流式文档在线编辑工具</w:t>
      </w:r>
    </w:p>
    <w:tbl>
      <w:tblPr>
        <w:tblStyle w:val="35"/>
        <w:tblW w:w="4999" w:type="pct"/>
        <w:tblInd w:w="0" w:type="dxa"/>
        <w:tblLayout w:type="autofit"/>
        <w:tblCellMar>
          <w:top w:w="0" w:type="dxa"/>
          <w:left w:w="0" w:type="dxa"/>
          <w:bottom w:w="0" w:type="dxa"/>
          <w:right w:w="0" w:type="dxa"/>
        </w:tblCellMar>
      </w:tblPr>
      <w:tblGrid>
        <w:gridCol w:w="1653"/>
        <w:gridCol w:w="6677"/>
      </w:tblGrid>
      <w:tr>
        <w:tblPrEx>
          <w:tblCellMar>
            <w:top w:w="0" w:type="dxa"/>
            <w:left w:w="0" w:type="dxa"/>
            <w:bottom w:w="0" w:type="dxa"/>
            <w:right w:w="0" w:type="dxa"/>
          </w:tblCellMar>
        </w:tblPrEx>
        <w:trPr>
          <w:trHeight w:val="870" w:hRule="atLeast"/>
        </w:trPr>
        <w:tc>
          <w:tcPr>
            <w:tcW w:w="992"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kern w:val="0"/>
                <w:sz w:val="21"/>
                <w:szCs w:val="21"/>
                <w:highlight w:val="none"/>
              </w:rPr>
              <w:t>工具描述</w:t>
            </w:r>
          </w:p>
        </w:tc>
        <w:tc>
          <w:tcPr>
            <w:tcW w:w="4007"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rPr>
              <w:t>工具提供文档在线编辑能力，兼容Office文档格式，覆盖Office常用编辑功能。支持通过H5网页形式使用，支持外部业务系统接入，实现文档在线编辑，多人协同的工具能力。</w:t>
            </w:r>
          </w:p>
        </w:tc>
      </w:tr>
      <w:tr>
        <w:tblPrEx>
          <w:tblCellMar>
            <w:top w:w="0" w:type="dxa"/>
            <w:left w:w="0" w:type="dxa"/>
            <w:bottom w:w="0" w:type="dxa"/>
            <w:right w:w="0" w:type="dxa"/>
          </w:tblCellMar>
        </w:tblPrEx>
        <w:trPr>
          <w:trHeight w:val="600" w:hRule="atLeast"/>
        </w:trPr>
        <w:tc>
          <w:tcPr>
            <w:tcW w:w="992"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kern w:val="0"/>
                <w:sz w:val="21"/>
                <w:szCs w:val="21"/>
                <w:highlight w:val="none"/>
              </w:rPr>
              <w:t>工具能力要求</w:t>
            </w:r>
          </w:p>
        </w:tc>
        <w:tc>
          <w:tcPr>
            <w:tcW w:w="4007"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工具能力包括但不限于以下内容:</w:t>
            </w:r>
          </w:p>
          <w:p>
            <w:pPr>
              <w:widowControl/>
              <w:spacing w:line="240" w:lineRule="auto"/>
              <w:ind w:firstLine="0" w:firstLineChars="0"/>
              <w:jc w:val="left"/>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rPr>
              <w:t>1、支持多人同时编辑一份文档，须支持2G大小的word、excel、ppt文件在线编辑</w:t>
            </w:r>
            <w:r>
              <w:rPr>
                <w:rFonts w:hint="eastAsia" w:asciiTheme="minorEastAsia" w:hAnsiTheme="minorEastAsia" w:eastAsiaTheme="minorEastAsia" w:cstheme="minorEastAsia"/>
                <w:kern w:val="0"/>
                <w:sz w:val="21"/>
                <w:szCs w:val="21"/>
                <w:highlight w:val="none"/>
              </w:rPr>
              <w:br w:type="textWrapping"/>
            </w:r>
            <w:r>
              <w:rPr>
                <w:rFonts w:hint="eastAsia" w:asciiTheme="minorEastAsia" w:hAnsiTheme="minorEastAsia" w:eastAsiaTheme="minorEastAsia" w:cstheme="minorEastAsia"/>
                <w:kern w:val="0"/>
                <w:sz w:val="21"/>
                <w:szCs w:val="21"/>
                <w:highlight w:val="none"/>
              </w:rPr>
              <w:t>2、支持在业务系统中进行多种文件格式（doc、docx、xls、xlsx、ppt、pptx）的多人协同编辑，同时支持在PDF文件上批注；</w:t>
            </w:r>
            <w:r>
              <w:rPr>
                <w:rFonts w:hint="eastAsia" w:asciiTheme="minorEastAsia" w:hAnsiTheme="minorEastAsia" w:eastAsiaTheme="minorEastAsia" w:cstheme="minorEastAsia"/>
                <w:kern w:val="0"/>
                <w:sz w:val="21"/>
                <w:szCs w:val="21"/>
                <w:highlight w:val="none"/>
              </w:rPr>
              <w:br w:type="textWrapping"/>
            </w:r>
            <w:r>
              <w:rPr>
                <w:rFonts w:hint="eastAsia" w:asciiTheme="minorEastAsia" w:hAnsiTheme="minorEastAsia" w:eastAsiaTheme="minorEastAsia" w:cstheme="minorEastAsia"/>
                <w:kern w:val="0"/>
                <w:sz w:val="21"/>
                <w:szCs w:val="21"/>
                <w:highlight w:val="none"/>
              </w:rPr>
              <w:t>3、支持在打开、关闭、打印等操作时，向第三方应用推送消息。支持为第三方应用提供文档历史版本信息接口、文件重命名接口；</w:t>
            </w:r>
            <w:r>
              <w:rPr>
                <w:rFonts w:hint="eastAsia" w:asciiTheme="minorEastAsia" w:hAnsiTheme="minorEastAsia" w:eastAsiaTheme="minorEastAsia" w:cstheme="minorEastAsia"/>
                <w:kern w:val="0"/>
                <w:sz w:val="21"/>
                <w:szCs w:val="21"/>
                <w:highlight w:val="none"/>
              </w:rPr>
              <w:br w:type="textWrapping"/>
            </w:r>
            <w:r>
              <w:rPr>
                <w:rFonts w:hint="eastAsia" w:asciiTheme="minorEastAsia" w:hAnsiTheme="minorEastAsia" w:eastAsiaTheme="minorEastAsia" w:cstheme="minorEastAsia"/>
                <w:kern w:val="0"/>
                <w:sz w:val="21"/>
                <w:szCs w:val="21"/>
                <w:highlight w:val="none"/>
              </w:rPr>
              <w:t>4、支持为第三方提供文档在线人数、主动保存等能力；</w:t>
            </w:r>
            <w:r>
              <w:rPr>
                <w:rFonts w:hint="eastAsia" w:asciiTheme="minorEastAsia" w:hAnsiTheme="minorEastAsia" w:eastAsiaTheme="minorEastAsia" w:cstheme="minorEastAsia"/>
                <w:kern w:val="0"/>
                <w:sz w:val="21"/>
                <w:szCs w:val="21"/>
                <w:highlight w:val="none"/>
              </w:rPr>
              <w:br w:type="textWrapping"/>
            </w:r>
            <w:r>
              <w:rPr>
                <w:rFonts w:hint="eastAsia" w:asciiTheme="minorEastAsia" w:hAnsiTheme="minorEastAsia" w:eastAsiaTheme="minorEastAsia" w:cstheme="minorEastAsia"/>
                <w:kern w:val="0"/>
                <w:sz w:val="21"/>
                <w:szCs w:val="21"/>
                <w:highlight w:val="none"/>
              </w:rPr>
              <w:t>5、支持在文字组件中强制修订，切换修订状态；</w:t>
            </w:r>
            <w:r>
              <w:rPr>
                <w:rFonts w:hint="eastAsia" w:asciiTheme="minorEastAsia" w:hAnsiTheme="minorEastAsia" w:eastAsiaTheme="minorEastAsia" w:cstheme="minorEastAsia"/>
                <w:kern w:val="0"/>
                <w:sz w:val="21"/>
                <w:szCs w:val="21"/>
                <w:highlight w:val="none"/>
              </w:rPr>
              <w:br w:type="textWrapping"/>
            </w:r>
            <w:r>
              <w:rPr>
                <w:rFonts w:hint="eastAsia" w:asciiTheme="minorEastAsia" w:hAnsiTheme="minorEastAsia" w:eastAsiaTheme="minorEastAsia" w:cstheme="minorEastAsia"/>
                <w:kern w:val="0"/>
                <w:sz w:val="21"/>
                <w:szCs w:val="21"/>
                <w:highlight w:val="none"/>
              </w:rPr>
              <w:t>6、在表格模块中支持使用数据透视表；</w:t>
            </w:r>
            <w:r>
              <w:rPr>
                <w:rFonts w:hint="eastAsia" w:asciiTheme="minorEastAsia" w:hAnsiTheme="minorEastAsia" w:eastAsiaTheme="minorEastAsia" w:cstheme="minorEastAsia"/>
                <w:kern w:val="0"/>
                <w:sz w:val="21"/>
                <w:szCs w:val="21"/>
                <w:highlight w:val="none"/>
              </w:rPr>
              <w:br w:type="textWrapping"/>
            </w:r>
            <w:r>
              <w:rPr>
                <w:rFonts w:hint="eastAsia" w:asciiTheme="minorEastAsia" w:hAnsiTheme="minorEastAsia" w:eastAsiaTheme="minorEastAsia" w:cstheme="minorEastAsia"/>
                <w:kern w:val="0"/>
                <w:sz w:val="21"/>
                <w:szCs w:val="21"/>
                <w:highlight w:val="none"/>
              </w:rPr>
              <w:t>7、支持在表格模块中保护区域内的单元格，不允许随意修改；</w:t>
            </w:r>
            <w:r>
              <w:rPr>
                <w:rFonts w:hint="eastAsia" w:asciiTheme="minorEastAsia" w:hAnsiTheme="minorEastAsia" w:eastAsiaTheme="minorEastAsia" w:cstheme="minorEastAsia"/>
                <w:kern w:val="0"/>
                <w:sz w:val="21"/>
                <w:szCs w:val="21"/>
                <w:highlight w:val="none"/>
              </w:rPr>
              <w:br w:type="textWrapping"/>
            </w:r>
            <w:r>
              <w:rPr>
                <w:rFonts w:hint="eastAsia" w:asciiTheme="minorEastAsia" w:hAnsiTheme="minorEastAsia" w:eastAsiaTheme="minorEastAsia" w:cstheme="minorEastAsia"/>
                <w:kern w:val="0"/>
                <w:sz w:val="21"/>
                <w:szCs w:val="21"/>
                <w:highlight w:val="none"/>
              </w:rPr>
              <w:t>8、在表格组件中支持图片插入，支持浮动图片和单元格图片两种插入方式；</w:t>
            </w:r>
            <w:r>
              <w:rPr>
                <w:rFonts w:hint="eastAsia" w:asciiTheme="minorEastAsia" w:hAnsiTheme="minorEastAsia" w:eastAsiaTheme="minorEastAsia" w:cstheme="minorEastAsia"/>
                <w:kern w:val="0"/>
                <w:sz w:val="21"/>
                <w:szCs w:val="21"/>
                <w:highlight w:val="none"/>
              </w:rPr>
              <w:br w:type="textWrapping"/>
            </w:r>
            <w:r>
              <w:rPr>
                <w:rFonts w:hint="eastAsia" w:asciiTheme="minorEastAsia" w:hAnsiTheme="minorEastAsia" w:eastAsiaTheme="minorEastAsia" w:cstheme="minorEastAsia"/>
                <w:kern w:val="0"/>
                <w:sz w:val="21"/>
                <w:szCs w:val="21"/>
                <w:highlight w:val="none"/>
              </w:rPr>
              <w:t>9、支持在演示组中插入本地音视频并在线播放,支持的音频及视频格式如:‘mp3’,‘m4a’,‘aac’,‘wav',‘wma’,‘mp4’,‘wmv’,‘avi’等。</w:t>
            </w:r>
          </w:p>
        </w:tc>
      </w:tr>
      <w:tr>
        <w:tblPrEx>
          <w:tblCellMar>
            <w:top w:w="0" w:type="dxa"/>
            <w:left w:w="0" w:type="dxa"/>
            <w:bottom w:w="0" w:type="dxa"/>
            <w:right w:w="0" w:type="dxa"/>
          </w:tblCellMar>
        </w:tblPrEx>
        <w:trPr>
          <w:trHeight w:val="870" w:hRule="atLeast"/>
        </w:trPr>
        <w:tc>
          <w:tcPr>
            <w:tcW w:w="992"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kern w:val="0"/>
                <w:sz w:val="21"/>
                <w:szCs w:val="21"/>
                <w:highlight w:val="none"/>
              </w:rPr>
              <w:t>兼容性要求</w:t>
            </w:r>
          </w:p>
        </w:tc>
        <w:tc>
          <w:tcPr>
            <w:tcW w:w="4007"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rPr>
              <w:t>1、支持国内外主流操作系统，包括不限于Win7、Win10、麒麟、统信UOS等。</w:t>
            </w:r>
            <w:r>
              <w:rPr>
                <w:rFonts w:hint="eastAsia" w:asciiTheme="minorEastAsia" w:hAnsiTheme="minorEastAsia" w:eastAsiaTheme="minorEastAsia" w:cstheme="minorEastAsia"/>
                <w:kern w:val="0"/>
                <w:sz w:val="21"/>
                <w:szCs w:val="21"/>
                <w:highlight w:val="none"/>
              </w:rPr>
              <w:br w:type="textWrapping"/>
            </w:r>
            <w:r>
              <w:rPr>
                <w:rFonts w:hint="eastAsia" w:asciiTheme="minorEastAsia" w:hAnsiTheme="minorEastAsia" w:eastAsiaTheme="minorEastAsia" w:cstheme="minorEastAsia"/>
                <w:kern w:val="0"/>
                <w:sz w:val="21"/>
                <w:szCs w:val="21"/>
                <w:highlight w:val="none"/>
              </w:rPr>
              <w:t>2、网络环境:带宽&gt;0.2Mbps/人；网络延迟&lt;200ms</w:t>
            </w:r>
          </w:p>
        </w:tc>
      </w:tr>
      <w:tr>
        <w:tblPrEx>
          <w:tblCellMar>
            <w:top w:w="0" w:type="dxa"/>
            <w:left w:w="0" w:type="dxa"/>
            <w:bottom w:w="0" w:type="dxa"/>
            <w:right w:w="0" w:type="dxa"/>
          </w:tblCellMar>
        </w:tblPrEx>
        <w:trPr>
          <w:trHeight w:val="290" w:hRule="atLeast"/>
        </w:trPr>
        <w:tc>
          <w:tcPr>
            <w:tcW w:w="992"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kern w:val="0"/>
                <w:sz w:val="21"/>
                <w:szCs w:val="21"/>
                <w:highlight w:val="none"/>
              </w:rPr>
              <w:t>安全性要求</w:t>
            </w:r>
          </w:p>
        </w:tc>
        <w:tc>
          <w:tcPr>
            <w:tcW w:w="4007"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1、支持通过签名验签的方式，实现非法请求的限制。</w:t>
            </w:r>
          </w:p>
          <w:p>
            <w:pPr>
              <w:widowControl/>
              <w:spacing w:line="240" w:lineRule="auto"/>
              <w:ind w:firstLine="0" w:firstLineChars="0"/>
              <w:jc w:val="left"/>
              <w:textAlignment w:val="center"/>
              <w:rPr>
                <w:rFonts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2、提供第三方安全检测报告。</w:t>
            </w:r>
          </w:p>
          <w:p>
            <w:pPr>
              <w:widowControl/>
              <w:spacing w:line="240" w:lineRule="auto"/>
              <w:ind w:firstLine="0" w:firstLineChars="0"/>
              <w:jc w:val="left"/>
              <w:textAlignment w:val="center"/>
              <w:rPr>
                <w:rFonts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3、支持https方式安全访问。</w:t>
            </w:r>
          </w:p>
        </w:tc>
      </w:tr>
      <w:tr>
        <w:tblPrEx>
          <w:tblCellMar>
            <w:top w:w="0" w:type="dxa"/>
            <w:left w:w="0" w:type="dxa"/>
            <w:bottom w:w="0" w:type="dxa"/>
            <w:right w:w="0" w:type="dxa"/>
          </w:tblCellMar>
        </w:tblPrEx>
        <w:trPr>
          <w:trHeight w:val="580" w:hRule="atLeast"/>
        </w:trPr>
        <w:tc>
          <w:tcPr>
            <w:tcW w:w="992"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kern w:val="0"/>
                <w:sz w:val="21"/>
                <w:szCs w:val="21"/>
                <w:highlight w:val="none"/>
              </w:rPr>
              <w:t>性能要求</w:t>
            </w:r>
          </w:p>
        </w:tc>
        <w:tc>
          <w:tcPr>
            <w:tcW w:w="4007"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rPr>
              <w:t>在6台16核CPU，64G内存，1TB硬盘，网络带宽1000Mbps以及国产操作系统的资源配置场景下，支持不少于1000文档数同时在线编辑的支持能力。</w:t>
            </w:r>
          </w:p>
        </w:tc>
      </w:tr>
      <w:tr>
        <w:tblPrEx>
          <w:tblCellMar>
            <w:top w:w="0" w:type="dxa"/>
            <w:left w:w="0" w:type="dxa"/>
            <w:bottom w:w="0" w:type="dxa"/>
            <w:right w:w="0" w:type="dxa"/>
          </w:tblCellMar>
        </w:tblPrEx>
        <w:trPr>
          <w:trHeight w:val="580" w:hRule="atLeast"/>
        </w:trPr>
        <w:tc>
          <w:tcPr>
            <w:tcW w:w="992"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b/>
                <w:kern w:val="0"/>
                <w:sz w:val="21"/>
                <w:szCs w:val="21"/>
                <w:highlight w:val="none"/>
              </w:rPr>
            </w:pPr>
            <w:r>
              <w:rPr>
                <w:rFonts w:hint="eastAsia" w:asciiTheme="minorEastAsia" w:hAnsiTheme="minorEastAsia" w:eastAsiaTheme="minorEastAsia" w:cstheme="minorEastAsia"/>
                <w:b/>
                <w:kern w:val="0"/>
                <w:sz w:val="21"/>
                <w:szCs w:val="21"/>
                <w:highlight w:val="none"/>
              </w:rPr>
              <w:t>部署模式</w:t>
            </w:r>
          </w:p>
        </w:tc>
        <w:tc>
          <w:tcPr>
            <w:tcW w:w="4007"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支持单机部署和集群部署两种部署模式。其中集群部署，需提供集群管理工具，可对集群节点、集群应用等进行统一管理和配置。</w:t>
            </w:r>
          </w:p>
        </w:tc>
      </w:tr>
    </w:tbl>
    <w:p>
      <w:pPr>
        <w:spacing w:line="240" w:lineRule="auto"/>
        <w:ind w:firstLine="0" w:firstLineChars="0"/>
        <w:rPr>
          <w:rFonts w:asciiTheme="minorEastAsia" w:hAnsiTheme="minorEastAsia" w:eastAsiaTheme="minorEastAsia" w:cstheme="minorEastAsia"/>
          <w:sz w:val="21"/>
          <w:szCs w:val="21"/>
          <w:highlight w:val="none"/>
        </w:rPr>
      </w:pPr>
    </w:p>
    <w:p>
      <w:pPr>
        <w:pStyle w:val="4"/>
        <w:rPr>
          <w:highlight w:val="none"/>
        </w:rPr>
      </w:pPr>
      <w:r>
        <w:rPr>
          <w:rFonts w:hint="eastAsia"/>
          <w:highlight w:val="none"/>
        </w:rPr>
        <w:t>流式文档在线预览工具</w:t>
      </w:r>
    </w:p>
    <w:tbl>
      <w:tblPr>
        <w:tblStyle w:val="35"/>
        <w:tblW w:w="4998" w:type="pct"/>
        <w:tblInd w:w="0" w:type="dxa"/>
        <w:tblLayout w:type="autofit"/>
        <w:tblCellMar>
          <w:top w:w="0" w:type="dxa"/>
          <w:left w:w="0" w:type="dxa"/>
          <w:bottom w:w="0" w:type="dxa"/>
          <w:right w:w="0" w:type="dxa"/>
        </w:tblCellMar>
      </w:tblPr>
      <w:tblGrid>
        <w:gridCol w:w="1743"/>
        <w:gridCol w:w="6586"/>
      </w:tblGrid>
      <w:tr>
        <w:tblPrEx>
          <w:tblCellMar>
            <w:top w:w="0" w:type="dxa"/>
            <w:left w:w="0" w:type="dxa"/>
            <w:bottom w:w="0" w:type="dxa"/>
            <w:right w:w="0" w:type="dxa"/>
          </w:tblCellMar>
        </w:tblPrEx>
        <w:trPr>
          <w:trHeight w:val="290" w:hRule="atLeast"/>
        </w:trPr>
        <w:tc>
          <w:tcPr>
            <w:tcW w:w="1046"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kern w:val="0"/>
                <w:sz w:val="21"/>
                <w:szCs w:val="21"/>
                <w:highlight w:val="none"/>
              </w:rPr>
              <w:t>工具描述</w:t>
            </w:r>
          </w:p>
        </w:tc>
        <w:tc>
          <w:tcPr>
            <w:tcW w:w="3953"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rPr>
              <w:t>工具提供Word、Excel、PPT和PDF等主流文档的在线预览能力。</w:t>
            </w:r>
          </w:p>
        </w:tc>
      </w:tr>
      <w:tr>
        <w:tblPrEx>
          <w:tblCellMar>
            <w:top w:w="0" w:type="dxa"/>
            <w:left w:w="0" w:type="dxa"/>
            <w:bottom w:w="0" w:type="dxa"/>
            <w:right w:w="0" w:type="dxa"/>
          </w:tblCellMar>
        </w:tblPrEx>
        <w:trPr>
          <w:trHeight w:val="90" w:hRule="atLeast"/>
        </w:trPr>
        <w:tc>
          <w:tcPr>
            <w:tcW w:w="1046"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kern w:val="0"/>
                <w:sz w:val="21"/>
                <w:szCs w:val="21"/>
                <w:highlight w:val="none"/>
              </w:rPr>
              <w:t>工具能力要求</w:t>
            </w:r>
          </w:p>
        </w:tc>
        <w:tc>
          <w:tcPr>
            <w:tcW w:w="3953"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工具能力包括但不限于以下内容:</w:t>
            </w:r>
          </w:p>
          <w:p>
            <w:pPr>
              <w:widowControl/>
              <w:numPr>
                <w:ilvl w:val="0"/>
                <w:numId w:val="3"/>
              </w:numPr>
              <w:spacing w:line="240" w:lineRule="auto"/>
              <w:ind w:firstLine="0" w:firstLineChars="0"/>
              <w:jc w:val="left"/>
              <w:textAlignment w:val="center"/>
              <w:rPr>
                <w:rFonts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支持业务系统进行流式文件（DOC、XLS、PPT、PPTX）的在线预览；支持对图片（JPEG,GIF）、压缩包文件(TAR,ZIP,7Z,JAR,RAR)进行预览；</w:t>
            </w:r>
            <w:r>
              <w:rPr>
                <w:rFonts w:hint="eastAsia" w:asciiTheme="minorEastAsia" w:hAnsiTheme="minorEastAsia" w:eastAsiaTheme="minorEastAsia" w:cstheme="minorEastAsia"/>
                <w:kern w:val="0"/>
                <w:sz w:val="21"/>
                <w:szCs w:val="21"/>
                <w:highlight w:val="none"/>
              </w:rPr>
              <w:br w:type="textWrapping"/>
            </w:r>
            <w:r>
              <w:rPr>
                <w:rFonts w:hint="eastAsia" w:asciiTheme="minorEastAsia" w:hAnsiTheme="minorEastAsia" w:eastAsiaTheme="minorEastAsia" w:cstheme="minorEastAsia"/>
                <w:kern w:val="0"/>
                <w:sz w:val="21"/>
                <w:szCs w:val="21"/>
                <w:highlight w:val="none"/>
              </w:rPr>
              <w:t>2、支持对压缩软件生成的加密压缩包预览，支持压缩包在线解压；</w:t>
            </w:r>
            <w:r>
              <w:rPr>
                <w:rFonts w:hint="eastAsia" w:asciiTheme="minorEastAsia" w:hAnsiTheme="minorEastAsia" w:eastAsiaTheme="minorEastAsia" w:cstheme="minorEastAsia"/>
                <w:kern w:val="0"/>
                <w:sz w:val="21"/>
                <w:szCs w:val="21"/>
                <w:highlight w:val="none"/>
              </w:rPr>
              <w:br w:type="textWrapping"/>
            </w:r>
            <w:r>
              <w:rPr>
                <w:rFonts w:hint="eastAsia" w:asciiTheme="minorEastAsia" w:hAnsiTheme="minorEastAsia" w:eastAsiaTheme="minorEastAsia" w:cstheme="minorEastAsia"/>
                <w:kern w:val="0"/>
                <w:sz w:val="21"/>
                <w:szCs w:val="21"/>
                <w:highlight w:val="none"/>
              </w:rPr>
              <w:t>3、支持输出为3种格式以上的预览模式，不同预览模式须根据不同办公场景进行切换；</w:t>
            </w:r>
            <w:r>
              <w:rPr>
                <w:rFonts w:hint="eastAsia" w:asciiTheme="minorEastAsia" w:hAnsiTheme="minorEastAsia" w:eastAsiaTheme="minorEastAsia" w:cstheme="minorEastAsia"/>
                <w:kern w:val="0"/>
                <w:sz w:val="21"/>
                <w:szCs w:val="21"/>
                <w:highlight w:val="none"/>
              </w:rPr>
              <w:br w:type="textWrapping"/>
            </w:r>
            <w:r>
              <w:rPr>
                <w:rFonts w:hint="eastAsia" w:asciiTheme="minorEastAsia" w:hAnsiTheme="minorEastAsia" w:eastAsiaTheme="minorEastAsia" w:cstheme="minorEastAsia"/>
                <w:kern w:val="0"/>
                <w:sz w:val="21"/>
                <w:szCs w:val="21"/>
                <w:highlight w:val="none"/>
              </w:rPr>
              <w:t>4、支持文档在线预览时限制用户数；</w:t>
            </w:r>
          </w:p>
          <w:p>
            <w:pPr>
              <w:widowControl/>
              <w:spacing w:line="240" w:lineRule="auto"/>
              <w:ind w:firstLine="0" w:firstLineChars="0"/>
              <w:textAlignment w:val="center"/>
              <w:rPr>
                <w:rFonts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5、支持限制打开文件的大小，支持不少于2G的word、excel、ppt、pdf文件在线预览；</w:t>
            </w:r>
            <w:r>
              <w:rPr>
                <w:rFonts w:hint="eastAsia" w:asciiTheme="minorEastAsia" w:hAnsiTheme="minorEastAsia" w:eastAsiaTheme="minorEastAsia" w:cstheme="minorEastAsia"/>
                <w:kern w:val="0"/>
                <w:sz w:val="21"/>
                <w:szCs w:val="21"/>
                <w:highlight w:val="none"/>
              </w:rPr>
              <w:br w:type="textWrapping"/>
            </w:r>
            <w:r>
              <w:rPr>
                <w:rFonts w:hint="eastAsia" w:asciiTheme="minorEastAsia" w:hAnsiTheme="minorEastAsia" w:eastAsiaTheme="minorEastAsia" w:cstheme="minorEastAsia"/>
                <w:kern w:val="0"/>
                <w:sz w:val="21"/>
                <w:szCs w:val="21"/>
                <w:highlight w:val="none"/>
              </w:rPr>
              <w:t>6、支持预览映射地址访问有效时间限制及访问有效次数限制；</w:t>
            </w:r>
          </w:p>
          <w:p>
            <w:pPr>
              <w:widowControl/>
              <w:spacing w:line="240" w:lineRule="auto"/>
              <w:ind w:firstLine="0" w:firstLineChars="0"/>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rPr>
              <w:t>7、支持预览链接防盗链，支持预览文件防复制，防下载；</w:t>
            </w:r>
            <w:r>
              <w:rPr>
                <w:rFonts w:hint="eastAsia" w:asciiTheme="minorEastAsia" w:hAnsiTheme="minorEastAsia" w:eastAsiaTheme="minorEastAsia" w:cstheme="minorEastAsia"/>
                <w:kern w:val="0"/>
                <w:sz w:val="21"/>
                <w:szCs w:val="21"/>
                <w:highlight w:val="none"/>
              </w:rPr>
              <w:br w:type="textWrapping"/>
            </w:r>
            <w:r>
              <w:rPr>
                <w:rFonts w:hint="eastAsia" w:asciiTheme="minorEastAsia" w:hAnsiTheme="minorEastAsia" w:eastAsiaTheme="minorEastAsia" w:cstheme="minorEastAsia"/>
                <w:kern w:val="0"/>
                <w:sz w:val="21"/>
                <w:szCs w:val="21"/>
                <w:highlight w:val="none"/>
              </w:rPr>
              <w:t>8、支持文件后台预转换。</w:t>
            </w:r>
          </w:p>
        </w:tc>
      </w:tr>
      <w:tr>
        <w:tblPrEx>
          <w:tblCellMar>
            <w:top w:w="0" w:type="dxa"/>
            <w:left w:w="0" w:type="dxa"/>
            <w:bottom w:w="0" w:type="dxa"/>
            <w:right w:w="0" w:type="dxa"/>
          </w:tblCellMar>
        </w:tblPrEx>
        <w:trPr>
          <w:trHeight w:val="870" w:hRule="atLeast"/>
        </w:trPr>
        <w:tc>
          <w:tcPr>
            <w:tcW w:w="1046"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kern w:val="0"/>
                <w:sz w:val="21"/>
                <w:szCs w:val="21"/>
                <w:highlight w:val="none"/>
              </w:rPr>
              <w:t xml:space="preserve"> 兼容性要求</w:t>
            </w:r>
          </w:p>
        </w:tc>
        <w:tc>
          <w:tcPr>
            <w:tcW w:w="3953"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1、兼容主流浏览器（包含国产和非国产）如:Chrome浏览器、火狐浏览器、Safari浏览器、360浏览器、奇安信浏览器、搜狗浏览器等，支持IE11及以上浏览器预览文件；</w:t>
            </w:r>
          </w:p>
          <w:p>
            <w:pPr>
              <w:widowControl/>
              <w:spacing w:line="240" w:lineRule="auto"/>
              <w:ind w:firstLine="0" w:firstLineChars="0"/>
              <w:jc w:val="left"/>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rPr>
              <w:t>2、支持国内外主流操作系统，包括不限于Win7、Win10、麒麟、统信UOS等。</w:t>
            </w:r>
            <w:r>
              <w:rPr>
                <w:rFonts w:hint="eastAsia" w:asciiTheme="minorEastAsia" w:hAnsiTheme="minorEastAsia" w:eastAsiaTheme="minorEastAsia" w:cstheme="minorEastAsia"/>
                <w:kern w:val="0"/>
                <w:sz w:val="21"/>
                <w:szCs w:val="21"/>
                <w:highlight w:val="none"/>
              </w:rPr>
              <w:br w:type="textWrapping"/>
            </w:r>
            <w:r>
              <w:rPr>
                <w:rFonts w:hint="eastAsia" w:asciiTheme="minorEastAsia" w:hAnsiTheme="minorEastAsia" w:eastAsiaTheme="minorEastAsia" w:cstheme="minorEastAsia"/>
                <w:kern w:val="0"/>
                <w:sz w:val="21"/>
                <w:szCs w:val="21"/>
                <w:highlight w:val="none"/>
              </w:rPr>
              <w:t>3、网络环境:带宽&gt;0.2Mbps/人；网络延迟&lt;200ms</w:t>
            </w:r>
          </w:p>
        </w:tc>
      </w:tr>
      <w:tr>
        <w:tblPrEx>
          <w:tblCellMar>
            <w:top w:w="0" w:type="dxa"/>
            <w:left w:w="0" w:type="dxa"/>
            <w:bottom w:w="0" w:type="dxa"/>
            <w:right w:w="0" w:type="dxa"/>
          </w:tblCellMar>
        </w:tblPrEx>
        <w:trPr>
          <w:trHeight w:val="695" w:hRule="atLeast"/>
        </w:trPr>
        <w:tc>
          <w:tcPr>
            <w:tcW w:w="1046"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kern w:val="0"/>
                <w:sz w:val="21"/>
                <w:szCs w:val="21"/>
                <w:highlight w:val="none"/>
              </w:rPr>
              <w:t>安全性要求</w:t>
            </w:r>
          </w:p>
        </w:tc>
        <w:tc>
          <w:tcPr>
            <w:tcW w:w="3953"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1、支持通过签名验签的方式，实现非法请求的限制。</w:t>
            </w:r>
          </w:p>
          <w:p>
            <w:pPr>
              <w:widowControl/>
              <w:spacing w:line="240" w:lineRule="auto"/>
              <w:ind w:firstLine="0" w:firstLineChars="0"/>
              <w:jc w:val="left"/>
              <w:textAlignment w:val="center"/>
              <w:rPr>
                <w:rFonts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2、提供第三方安全检测报告。</w:t>
            </w:r>
          </w:p>
          <w:p>
            <w:pPr>
              <w:widowControl/>
              <w:spacing w:line="240" w:lineRule="auto"/>
              <w:ind w:firstLine="0" w:firstLineChars="0"/>
              <w:jc w:val="left"/>
              <w:textAlignment w:val="center"/>
              <w:rPr>
                <w:rFonts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3、支持https方式安全访问。</w:t>
            </w:r>
          </w:p>
        </w:tc>
      </w:tr>
      <w:tr>
        <w:tblPrEx>
          <w:tblCellMar>
            <w:top w:w="0" w:type="dxa"/>
            <w:left w:w="0" w:type="dxa"/>
            <w:bottom w:w="0" w:type="dxa"/>
            <w:right w:w="0" w:type="dxa"/>
          </w:tblCellMar>
        </w:tblPrEx>
        <w:trPr>
          <w:trHeight w:val="270" w:hRule="atLeast"/>
        </w:trPr>
        <w:tc>
          <w:tcPr>
            <w:tcW w:w="1046"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kern w:val="0"/>
                <w:sz w:val="21"/>
                <w:szCs w:val="21"/>
                <w:highlight w:val="none"/>
              </w:rPr>
              <w:t>性能要求</w:t>
            </w:r>
          </w:p>
        </w:tc>
        <w:tc>
          <w:tcPr>
            <w:tcW w:w="3953"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rPr>
              <w:t>不限预览人数，已转换文件不占用并发。</w:t>
            </w:r>
          </w:p>
        </w:tc>
      </w:tr>
      <w:tr>
        <w:tblPrEx>
          <w:tblCellMar>
            <w:top w:w="0" w:type="dxa"/>
            <w:left w:w="0" w:type="dxa"/>
            <w:bottom w:w="0" w:type="dxa"/>
            <w:right w:w="0" w:type="dxa"/>
          </w:tblCellMar>
        </w:tblPrEx>
        <w:trPr>
          <w:trHeight w:val="290" w:hRule="atLeast"/>
        </w:trPr>
        <w:tc>
          <w:tcPr>
            <w:tcW w:w="1046"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b/>
                <w:kern w:val="0"/>
                <w:sz w:val="21"/>
                <w:szCs w:val="21"/>
                <w:highlight w:val="none"/>
              </w:rPr>
            </w:pPr>
            <w:r>
              <w:rPr>
                <w:rFonts w:hint="eastAsia" w:asciiTheme="minorEastAsia" w:hAnsiTheme="minorEastAsia" w:eastAsiaTheme="minorEastAsia" w:cstheme="minorEastAsia"/>
                <w:b/>
                <w:kern w:val="0"/>
                <w:sz w:val="21"/>
                <w:szCs w:val="21"/>
                <w:highlight w:val="none"/>
              </w:rPr>
              <w:t>部署模式</w:t>
            </w:r>
          </w:p>
        </w:tc>
        <w:tc>
          <w:tcPr>
            <w:tcW w:w="3953"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支持单机部署和集群部署两种部署模式。其中集群部署，需提供集群管理工具，可对集群节点、集群应用等进行统一管理和配置。</w:t>
            </w:r>
          </w:p>
        </w:tc>
      </w:tr>
    </w:tbl>
    <w:p>
      <w:pPr>
        <w:spacing w:line="240" w:lineRule="auto"/>
        <w:ind w:firstLine="0" w:firstLineChars="0"/>
        <w:rPr>
          <w:rFonts w:asciiTheme="minorEastAsia" w:hAnsiTheme="minorEastAsia" w:eastAsiaTheme="minorEastAsia" w:cstheme="minorEastAsia"/>
          <w:sz w:val="21"/>
          <w:szCs w:val="21"/>
          <w:highlight w:val="none"/>
        </w:rPr>
      </w:pPr>
    </w:p>
    <w:p>
      <w:pPr>
        <w:pStyle w:val="4"/>
        <w:rPr>
          <w:highlight w:val="none"/>
        </w:rPr>
      </w:pPr>
      <w:r>
        <w:rPr>
          <w:rFonts w:hint="eastAsia"/>
          <w:highlight w:val="none"/>
        </w:rPr>
        <w:t>文字校对工具-PC端</w:t>
      </w:r>
    </w:p>
    <w:tbl>
      <w:tblPr>
        <w:tblStyle w:val="35"/>
        <w:tblW w:w="4998" w:type="pct"/>
        <w:tblInd w:w="0" w:type="dxa"/>
        <w:tblLayout w:type="autofit"/>
        <w:tblCellMar>
          <w:top w:w="0" w:type="dxa"/>
          <w:left w:w="0" w:type="dxa"/>
          <w:bottom w:w="0" w:type="dxa"/>
          <w:right w:w="0" w:type="dxa"/>
        </w:tblCellMar>
      </w:tblPr>
      <w:tblGrid>
        <w:gridCol w:w="1701"/>
        <w:gridCol w:w="6628"/>
      </w:tblGrid>
      <w:tr>
        <w:tblPrEx>
          <w:tblCellMar>
            <w:top w:w="0" w:type="dxa"/>
            <w:left w:w="0" w:type="dxa"/>
            <w:bottom w:w="0" w:type="dxa"/>
            <w:right w:w="0" w:type="dxa"/>
          </w:tblCellMar>
        </w:tblPrEx>
        <w:trPr>
          <w:trHeight w:val="580" w:hRule="atLeast"/>
        </w:trPr>
        <w:tc>
          <w:tcPr>
            <w:tcW w:w="1021"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kern w:val="0"/>
                <w:sz w:val="21"/>
                <w:szCs w:val="21"/>
                <w:highlight w:val="none"/>
              </w:rPr>
              <w:t>工具描述</w:t>
            </w:r>
          </w:p>
        </w:tc>
        <w:tc>
          <w:tcPr>
            <w:tcW w:w="3978"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rPr>
              <w:t>工具提供中文智能校对服务，能快速地找出文章中的核心敏感词、文字性错误等。支持对文章向后校对、从头校对、选中校对、批量校对等多种校对方式。</w:t>
            </w:r>
          </w:p>
        </w:tc>
      </w:tr>
      <w:tr>
        <w:tblPrEx>
          <w:tblCellMar>
            <w:top w:w="0" w:type="dxa"/>
            <w:left w:w="0" w:type="dxa"/>
            <w:bottom w:w="0" w:type="dxa"/>
            <w:right w:w="0" w:type="dxa"/>
          </w:tblCellMar>
        </w:tblPrEx>
        <w:trPr>
          <w:trHeight w:val="90" w:hRule="atLeast"/>
        </w:trPr>
        <w:tc>
          <w:tcPr>
            <w:tcW w:w="1021"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kern w:val="0"/>
                <w:sz w:val="21"/>
                <w:szCs w:val="21"/>
                <w:highlight w:val="none"/>
              </w:rPr>
              <w:t>工具能力要求</w:t>
            </w:r>
          </w:p>
        </w:tc>
        <w:tc>
          <w:tcPr>
            <w:tcW w:w="3978"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工具能力包括但不限于以下内容:</w:t>
            </w:r>
          </w:p>
          <w:p>
            <w:pPr>
              <w:widowControl/>
              <w:numPr>
                <w:ilvl w:val="0"/>
                <w:numId w:val="4"/>
              </w:numPr>
              <w:spacing w:line="240" w:lineRule="auto"/>
              <w:ind w:firstLine="0" w:firstLineChars="0"/>
              <w:jc w:val="left"/>
              <w:textAlignment w:val="center"/>
              <w:rPr>
                <w:rFonts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支持从头校对，从当前位置校对、选中校对、批量校对、支持单独校对领导人排序错误、支持单独校对标点符号错误多种校对方式。</w:t>
            </w:r>
            <w:r>
              <w:rPr>
                <w:rFonts w:hint="eastAsia" w:asciiTheme="minorEastAsia" w:hAnsiTheme="minorEastAsia" w:eastAsiaTheme="minorEastAsia" w:cstheme="minorEastAsia"/>
                <w:kern w:val="0"/>
                <w:sz w:val="21"/>
                <w:szCs w:val="21"/>
                <w:highlight w:val="none"/>
              </w:rPr>
              <w:br w:type="textWrapping"/>
            </w:r>
            <w:r>
              <w:rPr>
                <w:rFonts w:hint="eastAsia" w:asciiTheme="minorEastAsia" w:hAnsiTheme="minorEastAsia" w:eastAsiaTheme="minorEastAsia" w:cstheme="minorEastAsia"/>
                <w:kern w:val="0"/>
                <w:sz w:val="21"/>
                <w:szCs w:val="21"/>
                <w:highlight w:val="none"/>
              </w:rPr>
              <w:t>2.用户自定义错误:包含用户自定义的用户词库、敏感词库等扩充用户自定义需求。</w:t>
            </w:r>
            <w:r>
              <w:rPr>
                <w:rFonts w:hint="eastAsia" w:asciiTheme="minorEastAsia" w:hAnsiTheme="minorEastAsia" w:eastAsiaTheme="minorEastAsia" w:cstheme="minorEastAsia"/>
                <w:kern w:val="0"/>
                <w:sz w:val="21"/>
                <w:szCs w:val="21"/>
                <w:highlight w:val="none"/>
              </w:rPr>
              <w:br w:type="textWrapping"/>
            </w:r>
            <w:r>
              <w:rPr>
                <w:rFonts w:hint="eastAsia" w:asciiTheme="minorEastAsia" w:hAnsiTheme="minorEastAsia" w:eastAsiaTheme="minorEastAsia" w:cstheme="minorEastAsia"/>
                <w:kern w:val="0"/>
                <w:sz w:val="21"/>
                <w:szCs w:val="21"/>
                <w:highlight w:val="none"/>
              </w:rPr>
              <w:t>3.字词类错误:包含错别字、同音字、近音字、形近字、多字、漏字、颠倒、繁体字、异形词、重叠词等。</w:t>
            </w:r>
            <w:r>
              <w:rPr>
                <w:rFonts w:hint="eastAsia" w:asciiTheme="minorEastAsia" w:hAnsiTheme="minorEastAsia" w:eastAsiaTheme="minorEastAsia" w:cstheme="minorEastAsia"/>
                <w:kern w:val="0"/>
                <w:sz w:val="21"/>
                <w:szCs w:val="21"/>
                <w:highlight w:val="none"/>
              </w:rPr>
              <w:br w:type="textWrapping"/>
            </w:r>
            <w:r>
              <w:rPr>
                <w:rFonts w:hint="eastAsia" w:asciiTheme="minorEastAsia" w:hAnsiTheme="minorEastAsia" w:eastAsiaTheme="minorEastAsia" w:cstheme="minorEastAsia"/>
                <w:kern w:val="0"/>
                <w:sz w:val="21"/>
                <w:szCs w:val="21"/>
                <w:highlight w:val="none"/>
              </w:rPr>
              <w:t>4.敏感词错误:包括新华网禁用词，涉及暴恐、色情、违禁、侮辱、歧视、脏话等不健康用词；</w:t>
            </w:r>
            <w:r>
              <w:rPr>
                <w:rFonts w:hint="eastAsia" w:asciiTheme="minorEastAsia" w:hAnsiTheme="minorEastAsia" w:eastAsiaTheme="minorEastAsia" w:cstheme="minorEastAsia"/>
                <w:kern w:val="0"/>
                <w:sz w:val="21"/>
                <w:szCs w:val="21"/>
                <w:highlight w:val="none"/>
              </w:rPr>
              <w:br w:type="textWrapping"/>
            </w:r>
            <w:r>
              <w:rPr>
                <w:rFonts w:hint="eastAsia" w:asciiTheme="minorEastAsia" w:hAnsiTheme="minorEastAsia" w:eastAsiaTheme="minorEastAsia" w:cstheme="minorEastAsia"/>
                <w:kern w:val="0"/>
                <w:sz w:val="21"/>
                <w:szCs w:val="21"/>
                <w:highlight w:val="none"/>
              </w:rPr>
              <w:t>5.标点符号错误:成对标点、相邻标点。</w:t>
            </w:r>
          </w:p>
        </w:tc>
      </w:tr>
      <w:tr>
        <w:tblPrEx>
          <w:tblCellMar>
            <w:top w:w="0" w:type="dxa"/>
            <w:left w:w="0" w:type="dxa"/>
            <w:bottom w:w="0" w:type="dxa"/>
            <w:right w:w="0" w:type="dxa"/>
          </w:tblCellMar>
        </w:tblPrEx>
        <w:trPr>
          <w:trHeight w:val="542" w:hRule="atLeast"/>
        </w:trPr>
        <w:tc>
          <w:tcPr>
            <w:tcW w:w="1021"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kern w:val="0"/>
                <w:sz w:val="21"/>
                <w:szCs w:val="21"/>
                <w:highlight w:val="none"/>
              </w:rPr>
              <w:t>兼容性要求</w:t>
            </w:r>
          </w:p>
        </w:tc>
        <w:tc>
          <w:tcPr>
            <w:tcW w:w="3978"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rPr>
              <w:t>1、支持国内外主流操作系统，包括不限于Win7、Win10、麒麟、统信UOS等。</w:t>
            </w:r>
            <w:r>
              <w:rPr>
                <w:rFonts w:hint="eastAsia" w:asciiTheme="minorEastAsia" w:hAnsiTheme="minorEastAsia" w:eastAsiaTheme="minorEastAsia" w:cstheme="minorEastAsia"/>
                <w:kern w:val="0"/>
                <w:sz w:val="21"/>
                <w:szCs w:val="21"/>
                <w:highlight w:val="none"/>
              </w:rPr>
              <w:br w:type="textWrapping"/>
            </w:r>
            <w:r>
              <w:rPr>
                <w:rFonts w:hint="eastAsia" w:asciiTheme="minorEastAsia" w:hAnsiTheme="minorEastAsia" w:eastAsiaTheme="minorEastAsia" w:cstheme="minorEastAsia"/>
                <w:kern w:val="0"/>
                <w:sz w:val="21"/>
                <w:szCs w:val="21"/>
                <w:highlight w:val="none"/>
              </w:rPr>
              <w:t>2、适配国产化终端。</w:t>
            </w:r>
          </w:p>
        </w:tc>
      </w:tr>
      <w:tr>
        <w:tblPrEx>
          <w:tblCellMar>
            <w:top w:w="0" w:type="dxa"/>
            <w:left w:w="0" w:type="dxa"/>
            <w:bottom w:w="0" w:type="dxa"/>
            <w:right w:w="0" w:type="dxa"/>
          </w:tblCellMar>
        </w:tblPrEx>
        <w:trPr>
          <w:trHeight w:val="290" w:hRule="atLeast"/>
        </w:trPr>
        <w:tc>
          <w:tcPr>
            <w:tcW w:w="1021"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kern w:val="0"/>
                <w:sz w:val="21"/>
                <w:szCs w:val="21"/>
                <w:highlight w:val="none"/>
              </w:rPr>
              <w:t>安全性要求</w:t>
            </w:r>
          </w:p>
        </w:tc>
        <w:tc>
          <w:tcPr>
            <w:tcW w:w="3978"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rPr>
              <w:t>需提供第三方安全检测机构报告。</w:t>
            </w:r>
          </w:p>
        </w:tc>
      </w:tr>
    </w:tbl>
    <w:p>
      <w:pPr>
        <w:spacing w:line="240" w:lineRule="auto"/>
        <w:ind w:firstLine="0" w:firstLineChars="0"/>
        <w:rPr>
          <w:rFonts w:asciiTheme="minorEastAsia" w:hAnsiTheme="minorEastAsia" w:eastAsiaTheme="minorEastAsia" w:cstheme="minorEastAsia"/>
          <w:sz w:val="21"/>
          <w:szCs w:val="21"/>
          <w:highlight w:val="none"/>
        </w:rPr>
      </w:pPr>
    </w:p>
    <w:p>
      <w:pPr>
        <w:pStyle w:val="4"/>
        <w:rPr>
          <w:highlight w:val="none"/>
        </w:rPr>
      </w:pPr>
      <w:r>
        <w:rPr>
          <w:rFonts w:hint="eastAsia"/>
          <w:highlight w:val="none"/>
        </w:rPr>
        <w:t>文字校对工具-服务器端</w:t>
      </w:r>
    </w:p>
    <w:tbl>
      <w:tblPr>
        <w:tblStyle w:val="35"/>
        <w:tblW w:w="4998" w:type="pct"/>
        <w:tblInd w:w="0" w:type="dxa"/>
        <w:tblLayout w:type="autofit"/>
        <w:tblCellMar>
          <w:top w:w="0" w:type="dxa"/>
          <w:left w:w="0" w:type="dxa"/>
          <w:bottom w:w="0" w:type="dxa"/>
          <w:right w:w="0" w:type="dxa"/>
        </w:tblCellMar>
      </w:tblPr>
      <w:tblGrid>
        <w:gridCol w:w="1701"/>
        <w:gridCol w:w="6628"/>
      </w:tblGrid>
      <w:tr>
        <w:tblPrEx>
          <w:tblCellMar>
            <w:top w:w="0" w:type="dxa"/>
            <w:left w:w="0" w:type="dxa"/>
            <w:bottom w:w="0" w:type="dxa"/>
            <w:right w:w="0" w:type="dxa"/>
          </w:tblCellMar>
        </w:tblPrEx>
        <w:trPr>
          <w:trHeight w:val="580" w:hRule="atLeast"/>
        </w:trPr>
        <w:tc>
          <w:tcPr>
            <w:tcW w:w="1021"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kern w:val="0"/>
                <w:sz w:val="21"/>
                <w:szCs w:val="21"/>
                <w:highlight w:val="none"/>
              </w:rPr>
              <w:t>工具描述</w:t>
            </w:r>
          </w:p>
        </w:tc>
        <w:tc>
          <w:tcPr>
            <w:tcW w:w="3978"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rPr>
              <w:t>工具提供中文智能校对服务，能快速地找出文章中的核心敏感词、文字性错误等。支持对文章向后校对、从头校对、选中校对、批量校对等多种校对方式。</w:t>
            </w:r>
          </w:p>
        </w:tc>
      </w:tr>
      <w:tr>
        <w:tblPrEx>
          <w:tblCellMar>
            <w:top w:w="0" w:type="dxa"/>
            <w:left w:w="0" w:type="dxa"/>
            <w:bottom w:w="0" w:type="dxa"/>
            <w:right w:w="0" w:type="dxa"/>
          </w:tblCellMar>
        </w:tblPrEx>
        <w:trPr>
          <w:trHeight w:val="90" w:hRule="atLeast"/>
        </w:trPr>
        <w:tc>
          <w:tcPr>
            <w:tcW w:w="1021"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kern w:val="0"/>
                <w:sz w:val="21"/>
                <w:szCs w:val="21"/>
                <w:highlight w:val="none"/>
              </w:rPr>
              <w:t>工具能力要求</w:t>
            </w:r>
          </w:p>
        </w:tc>
        <w:tc>
          <w:tcPr>
            <w:tcW w:w="3978"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工具能力包括但不限于以下内容:</w:t>
            </w:r>
          </w:p>
          <w:p>
            <w:pPr>
              <w:widowControl/>
              <w:spacing w:line="240" w:lineRule="auto"/>
              <w:ind w:firstLine="0" w:firstLineChars="0"/>
              <w:jc w:val="left"/>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rPr>
              <w:t>1.支持从头校对，从当前位置校对、选中校对、批量校对、支持单独校对领导人排序错误、支持单独校对标点符号错误多种校对方式。</w:t>
            </w:r>
            <w:r>
              <w:rPr>
                <w:rFonts w:hint="eastAsia" w:asciiTheme="minorEastAsia" w:hAnsiTheme="minorEastAsia" w:eastAsiaTheme="minorEastAsia" w:cstheme="minorEastAsia"/>
                <w:kern w:val="0"/>
                <w:sz w:val="21"/>
                <w:szCs w:val="21"/>
                <w:highlight w:val="none"/>
              </w:rPr>
              <w:br w:type="textWrapping"/>
            </w:r>
            <w:r>
              <w:rPr>
                <w:rFonts w:hint="eastAsia" w:asciiTheme="minorEastAsia" w:hAnsiTheme="minorEastAsia" w:eastAsiaTheme="minorEastAsia" w:cstheme="minorEastAsia"/>
                <w:kern w:val="0"/>
                <w:sz w:val="21"/>
                <w:szCs w:val="21"/>
                <w:highlight w:val="none"/>
              </w:rPr>
              <w:t>2.用户自定义错误:包含用户自定义的用户词库、敏感词库等扩充用户自定义需求。</w:t>
            </w:r>
            <w:r>
              <w:rPr>
                <w:rFonts w:hint="eastAsia" w:asciiTheme="minorEastAsia" w:hAnsiTheme="minorEastAsia" w:eastAsiaTheme="minorEastAsia" w:cstheme="minorEastAsia"/>
                <w:kern w:val="0"/>
                <w:sz w:val="21"/>
                <w:szCs w:val="21"/>
                <w:highlight w:val="none"/>
              </w:rPr>
              <w:br w:type="textWrapping"/>
            </w:r>
            <w:r>
              <w:rPr>
                <w:rFonts w:hint="eastAsia" w:asciiTheme="minorEastAsia" w:hAnsiTheme="minorEastAsia" w:eastAsiaTheme="minorEastAsia" w:cstheme="minorEastAsia"/>
                <w:kern w:val="0"/>
                <w:sz w:val="21"/>
                <w:szCs w:val="21"/>
                <w:highlight w:val="none"/>
              </w:rPr>
              <w:t>3.字词类错误:包含错别字、同音字、近音字、形近字、多字、漏字、颠倒、繁体字、异形词、重叠词等。</w:t>
            </w:r>
            <w:r>
              <w:rPr>
                <w:rFonts w:hint="eastAsia" w:asciiTheme="minorEastAsia" w:hAnsiTheme="minorEastAsia" w:eastAsiaTheme="minorEastAsia" w:cstheme="minorEastAsia"/>
                <w:kern w:val="0"/>
                <w:sz w:val="21"/>
                <w:szCs w:val="21"/>
                <w:highlight w:val="none"/>
              </w:rPr>
              <w:br w:type="textWrapping"/>
            </w:r>
            <w:r>
              <w:rPr>
                <w:rFonts w:hint="eastAsia" w:asciiTheme="minorEastAsia" w:hAnsiTheme="minorEastAsia" w:eastAsiaTheme="minorEastAsia" w:cstheme="minorEastAsia"/>
                <w:kern w:val="0"/>
                <w:sz w:val="21"/>
                <w:szCs w:val="21"/>
                <w:highlight w:val="none"/>
              </w:rPr>
              <w:t>4.敏感词错误:包括新华网禁用词，涉及暴恐、色情、违禁、侮辱、歧视、脏话等不健康用词；</w:t>
            </w:r>
            <w:r>
              <w:rPr>
                <w:rFonts w:hint="eastAsia" w:asciiTheme="minorEastAsia" w:hAnsiTheme="minorEastAsia" w:eastAsiaTheme="minorEastAsia" w:cstheme="minorEastAsia"/>
                <w:kern w:val="0"/>
                <w:sz w:val="21"/>
                <w:szCs w:val="21"/>
                <w:highlight w:val="none"/>
              </w:rPr>
              <w:br w:type="textWrapping"/>
            </w:r>
            <w:r>
              <w:rPr>
                <w:rFonts w:hint="eastAsia" w:asciiTheme="minorEastAsia" w:hAnsiTheme="minorEastAsia" w:eastAsiaTheme="minorEastAsia" w:cstheme="minorEastAsia"/>
                <w:kern w:val="0"/>
                <w:sz w:val="21"/>
                <w:szCs w:val="21"/>
                <w:highlight w:val="none"/>
              </w:rPr>
              <w:t>5.标点符号错误:成对标点、相邻标点。</w:t>
            </w:r>
          </w:p>
        </w:tc>
      </w:tr>
      <w:tr>
        <w:tblPrEx>
          <w:tblCellMar>
            <w:top w:w="0" w:type="dxa"/>
            <w:left w:w="0" w:type="dxa"/>
            <w:bottom w:w="0" w:type="dxa"/>
            <w:right w:w="0" w:type="dxa"/>
          </w:tblCellMar>
        </w:tblPrEx>
        <w:trPr>
          <w:trHeight w:val="462" w:hRule="atLeast"/>
        </w:trPr>
        <w:tc>
          <w:tcPr>
            <w:tcW w:w="1021"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kern w:val="0"/>
                <w:sz w:val="21"/>
                <w:szCs w:val="21"/>
                <w:highlight w:val="none"/>
              </w:rPr>
              <w:t>兼容性要求</w:t>
            </w:r>
          </w:p>
        </w:tc>
        <w:tc>
          <w:tcPr>
            <w:tcW w:w="3978"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rPr>
              <w:t>支持国内外主流操作系统，包括不限于Win7、Win10、麒麟、统信UOS等。</w:t>
            </w:r>
          </w:p>
        </w:tc>
      </w:tr>
      <w:tr>
        <w:tblPrEx>
          <w:tblCellMar>
            <w:top w:w="0" w:type="dxa"/>
            <w:left w:w="0" w:type="dxa"/>
            <w:bottom w:w="0" w:type="dxa"/>
            <w:right w:w="0" w:type="dxa"/>
          </w:tblCellMar>
        </w:tblPrEx>
        <w:trPr>
          <w:trHeight w:val="290" w:hRule="atLeast"/>
        </w:trPr>
        <w:tc>
          <w:tcPr>
            <w:tcW w:w="1021"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kern w:val="0"/>
                <w:sz w:val="21"/>
                <w:szCs w:val="21"/>
                <w:highlight w:val="none"/>
              </w:rPr>
              <w:t>安全性要求</w:t>
            </w:r>
          </w:p>
        </w:tc>
        <w:tc>
          <w:tcPr>
            <w:tcW w:w="3978"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rPr>
              <w:t>需提供第三方安全检测机构报告。</w:t>
            </w:r>
          </w:p>
        </w:tc>
      </w:tr>
    </w:tbl>
    <w:p>
      <w:pPr>
        <w:spacing w:line="240" w:lineRule="auto"/>
        <w:ind w:firstLine="0" w:firstLineChars="0"/>
        <w:rPr>
          <w:rFonts w:asciiTheme="minorEastAsia" w:hAnsiTheme="minorEastAsia" w:eastAsiaTheme="minorEastAsia" w:cstheme="minorEastAsia"/>
          <w:sz w:val="21"/>
          <w:szCs w:val="21"/>
          <w:highlight w:val="none"/>
        </w:rPr>
      </w:pPr>
    </w:p>
    <w:p>
      <w:pPr>
        <w:pStyle w:val="4"/>
        <w:rPr>
          <w:highlight w:val="none"/>
        </w:rPr>
      </w:pPr>
      <w:r>
        <w:rPr>
          <w:rFonts w:hint="eastAsia"/>
          <w:highlight w:val="none"/>
        </w:rPr>
        <w:t>数据同步工具</w:t>
      </w:r>
    </w:p>
    <w:tbl>
      <w:tblPr>
        <w:tblStyle w:val="35"/>
        <w:tblW w:w="4996" w:type="pct"/>
        <w:tblInd w:w="0" w:type="dxa"/>
        <w:tblLayout w:type="autofit"/>
        <w:tblCellMar>
          <w:top w:w="0" w:type="dxa"/>
          <w:left w:w="0" w:type="dxa"/>
          <w:bottom w:w="0" w:type="dxa"/>
          <w:right w:w="0" w:type="dxa"/>
        </w:tblCellMar>
      </w:tblPr>
      <w:tblGrid>
        <w:gridCol w:w="1735"/>
        <w:gridCol w:w="6590"/>
      </w:tblGrid>
      <w:tr>
        <w:tblPrEx>
          <w:tblCellMar>
            <w:top w:w="0" w:type="dxa"/>
            <w:left w:w="0" w:type="dxa"/>
            <w:bottom w:w="0" w:type="dxa"/>
            <w:right w:w="0" w:type="dxa"/>
          </w:tblCellMar>
        </w:tblPrEx>
        <w:trPr>
          <w:trHeight w:val="870" w:hRule="atLeast"/>
        </w:trPr>
        <w:tc>
          <w:tcPr>
            <w:tcW w:w="1042"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kern w:val="0"/>
                <w:sz w:val="21"/>
                <w:szCs w:val="21"/>
                <w:highlight w:val="none"/>
              </w:rPr>
              <w:t>工具描述</w:t>
            </w:r>
          </w:p>
        </w:tc>
        <w:tc>
          <w:tcPr>
            <w:tcW w:w="3957"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rPr>
              <w:t>工具提供实时、非实时的数据同步应用场景，通过数据库、半结构化、非结构化数据之间的同步工作，实现数据共享分发，以及异构和非异构数据的整合。</w:t>
            </w:r>
          </w:p>
        </w:tc>
      </w:tr>
      <w:tr>
        <w:tblPrEx>
          <w:tblCellMar>
            <w:top w:w="0" w:type="dxa"/>
            <w:left w:w="0" w:type="dxa"/>
            <w:bottom w:w="0" w:type="dxa"/>
            <w:right w:w="0" w:type="dxa"/>
          </w:tblCellMar>
        </w:tblPrEx>
        <w:trPr>
          <w:trHeight w:val="1490" w:hRule="atLeast"/>
        </w:trPr>
        <w:tc>
          <w:tcPr>
            <w:tcW w:w="1042"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kern w:val="0"/>
                <w:sz w:val="21"/>
                <w:szCs w:val="21"/>
                <w:highlight w:val="none"/>
              </w:rPr>
              <w:t>工具能力要求</w:t>
            </w:r>
          </w:p>
        </w:tc>
        <w:tc>
          <w:tcPr>
            <w:tcW w:w="3957"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auto"/>
              <w:rPr>
                <w:rFonts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工具能力包括但不限于以下内容:</w:t>
            </w:r>
          </w:p>
          <w:p>
            <w:pPr>
              <w:widowControl/>
              <w:numPr>
                <w:ilvl w:val="-1"/>
                <w:numId w:val="0"/>
              </w:numPr>
              <w:spacing w:line="240" w:lineRule="auto"/>
              <w:ind w:firstLine="0" w:firstLineChars="0"/>
              <w:jc w:val="left"/>
              <w:textAlignment w:val="auto"/>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rPr>
              <w:t>提供快速通过模型设计器或者作业自动化生成工具实现数据处理模型，完成数据库、半结构化、非结构化数据之间的同步工作。</w:t>
            </w:r>
            <w:r>
              <w:rPr>
                <w:rFonts w:hint="eastAsia" w:asciiTheme="minorEastAsia" w:hAnsiTheme="minorEastAsia" w:eastAsiaTheme="minorEastAsia" w:cstheme="minorEastAsia"/>
                <w:kern w:val="0"/>
                <w:sz w:val="21"/>
                <w:szCs w:val="21"/>
                <w:highlight w:val="none"/>
              </w:rPr>
              <w:br w:type="textWrapping"/>
            </w:r>
            <w:r>
              <w:rPr>
                <w:rFonts w:hint="eastAsia" w:asciiTheme="minorEastAsia" w:hAnsiTheme="minorEastAsia" w:eastAsiaTheme="minorEastAsia" w:cstheme="minorEastAsia"/>
                <w:kern w:val="0"/>
                <w:sz w:val="21"/>
                <w:szCs w:val="21"/>
                <w:highlight w:val="none"/>
              </w:rPr>
              <w:t>2、支持对多源数据接入，包括但不限于:关系型数据库MySQL、SQLServer、Oracle、IBMDB2、PostgreSQL、南大通用GBase、达梦DM、人大金仓KingbaseES等；以及消息队列、NoSQL等；</w:t>
            </w:r>
            <w:r>
              <w:rPr>
                <w:rFonts w:hint="eastAsia" w:asciiTheme="minorEastAsia" w:hAnsiTheme="minorEastAsia" w:eastAsiaTheme="minorEastAsia" w:cstheme="minorEastAsia"/>
                <w:kern w:val="0"/>
                <w:sz w:val="21"/>
                <w:szCs w:val="21"/>
                <w:highlight w:val="none"/>
              </w:rPr>
              <w:br w:type="textWrapping"/>
            </w:r>
            <w:r>
              <w:rPr>
                <w:rFonts w:hint="eastAsia" w:asciiTheme="minorEastAsia" w:hAnsiTheme="minorEastAsia" w:eastAsiaTheme="minorEastAsia" w:cstheme="minorEastAsia"/>
                <w:kern w:val="0"/>
                <w:sz w:val="21"/>
                <w:szCs w:val="21"/>
                <w:highlight w:val="none"/>
              </w:rPr>
              <w:t>3、支持对多源数据输出，包括但不限于:关系型数据库MySQL、SQLServer、Oracle、IBMDB2、PostgreSQL、南大通用GBase、达梦DM、人大金仓KingbaseES等；以及消息队列、NoSQL等；</w:t>
            </w:r>
            <w:r>
              <w:rPr>
                <w:rFonts w:hint="eastAsia" w:asciiTheme="minorEastAsia" w:hAnsiTheme="minorEastAsia" w:eastAsiaTheme="minorEastAsia" w:cstheme="minorEastAsia"/>
                <w:kern w:val="0"/>
                <w:sz w:val="21"/>
                <w:szCs w:val="21"/>
                <w:highlight w:val="none"/>
              </w:rPr>
              <w:br w:type="textWrapping"/>
            </w:r>
            <w:r>
              <w:rPr>
                <w:rFonts w:hint="eastAsia" w:asciiTheme="minorEastAsia" w:hAnsiTheme="minorEastAsia" w:eastAsiaTheme="minorEastAsia" w:cstheme="minorEastAsia"/>
                <w:kern w:val="0"/>
                <w:sz w:val="21"/>
                <w:szCs w:val="21"/>
                <w:highlight w:val="none"/>
              </w:rPr>
              <w:t>4、支持多种数据处理方式，包括但不限于:字段映射、字段过滤、数据复制/数据分发等。</w:t>
            </w:r>
            <w:r>
              <w:rPr>
                <w:rFonts w:hint="eastAsia" w:asciiTheme="minorEastAsia" w:hAnsiTheme="minorEastAsia" w:eastAsiaTheme="minorEastAsia" w:cstheme="minorEastAsia"/>
                <w:kern w:val="0"/>
                <w:sz w:val="21"/>
                <w:szCs w:val="21"/>
                <w:highlight w:val="none"/>
              </w:rPr>
              <w:br w:type="textWrapping"/>
            </w:r>
            <w:r>
              <w:rPr>
                <w:rFonts w:hint="eastAsia" w:asciiTheme="minorEastAsia" w:hAnsiTheme="minorEastAsia" w:eastAsiaTheme="minorEastAsia" w:cstheme="minorEastAsia"/>
                <w:kern w:val="0"/>
                <w:sz w:val="21"/>
                <w:szCs w:val="21"/>
                <w:highlight w:val="none"/>
              </w:rPr>
              <w:t>5、支持对运行实例的监控，可查看作业运行详情及运行日志。</w:t>
            </w:r>
          </w:p>
          <w:p>
            <w:pPr>
              <w:widowControl/>
              <w:spacing w:line="240" w:lineRule="auto"/>
              <w:ind w:firstLine="0" w:firstLineChars="0"/>
              <w:jc w:val="left"/>
              <w:textAlignment w:val="auto"/>
              <w:rPr>
                <w:rFonts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6、提供统一的可视化管控平台。</w:t>
            </w:r>
          </w:p>
          <w:p>
            <w:pPr>
              <w:widowControl/>
              <w:spacing w:line="240" w:lineRule="auto"/>
              <w:ind w:firstLine="0" w:firstLineChars="0"/>
              <w:jc w:val="left"/>
              <w:textAlignment w:val="auto"/>
              <w:rPr>
                <w:rFonts w:asciiTheme="minorEastAsia" w:hAnsiTheme="minorEastAsia" w:eastAsiaTheme="minorEastAsia" w:cstheme="minorEastAsia"/>
                <w:kern w:val="0"/>
                <w:sz w:val="21"/>
                <w:szCs w:val="21"/>
                <w:highlight w:val="none"/>
              </w:rPr>
            </w:pPr>
          </w:p>
          <w:p>
            <w:pPr>
              <w:widowControl/>
              <w:spacing w:line="240" w:lineRule="auto"/>
              <w:ind w:firstLine="0" w:firstLineChars="0"/>
              <w:rPr>
                <w:rFonts w:asciiTheme="minorEastAsia" w:hAnsiTheme="minorEastAsia" w:eastAsiaTheme="minorEastAsia" w:cstheme="minorEastAsia"/>
                <w:sz w:val="21"/>
                <w:szCs w:val="21"/>
                <w:highlight w:val="none"/>
              </w:rPr>
            </w:pPr>
            <w:r>
              <w:rPr>
                <w:rFonts w:hint="eastAsia" w:ascii="PingFang SC" w:hAnsi="PingFang SC" w:eastAsia="PingFang SC" w:cs="PingFang SC"/>
                <w:b/>
                <w:bCs/>
                <w:color w:val="FF0000"/>
                <w:kern w:val="0"/>
                <w:sz w:val="21"/>
                <w:szCs w:val="21"/>
                <w:highlight w:val="none"/>
              </w:rPr>
              <w:t>△</w:t>
            </w:r>
            <w:r>
              <w:rPr>
                <w:rFonts w:hint="eastAsia" w:asciiTheme="minorEastAsia" w:hAnsiTheme="minorEastAsia" w:eastAsiaTheme="minorEastAsia" w:cstheme="minorEastAsia"/>
                <w:sz w:val="21"/>
                <w:szCs w:val="21"/>
                <w:highlight w:val="none"/>
              </w:rPr>
              <w:t>1、支持数据同步过程中将数据以标准格式文件落盘，落盘的文件需支持包含国密在内的多种数据存储加密方式，并支持DES/AES/RSA/SM2/SM4等多种加密算法。</w:t>
            </w:r>
          </w:p>
          <w:p>
            <w:pPr>
              <w:widowControl/>
              <w:spacing w:line="240" w:lineRule="auto"/>
              <w:ind w:firstLine="0" w:firstLineChars="0"/>
              <w:rPr>
                <w:rFonts w:asciiTheme="minorEastAsia" w:hAnsiTheme="minorEastAsia" w:eastAsiaTheme="minorEastAsia" w:cstheme="minorEastAsia"/>
                <w:kern w:val="0"/>
                <w:sz w:val="21"/>
                <w:szCs w:val="21"/>
                <w:highlight w:val="none"/>
              </w:rPr>
            </w:pPr>
            <w:r>
              <w:rPr>
                <w:rFonts w:hint="eastAsia" w:ascii="PingFang SC" w:hAnsi="PingFang SC" w:eastAsia="PingFang SC" w:cs="PingFang SC"/>
                <w:b/>
                <w:bCs/>
                <w:color w:val="FF0000"/>
                <w:kern w:val="0"/>
                <w:sz w:val="21"/>
                <w:szCs w:val="21"/>
                <w:highlight w:val="none"/>
              </w:rPr>
              <w:t>△</w:t>
            </w:r>
            <w:r>
              <w:rPr>
                <w:rFonts w:hint="eastAsia" w:asciiTheme="minorEastAsia" w:hAnsiTheme="minorEastAsia" w:eastAsiaTheme="minorEastAsia" w:cstheme="minorEastAsia"/>
                <w:sz w:val="21"/>
                <w:szCs w:val="21"/>
                <w:highlight w:val="none"/>
              </w:rPr>
              <w:t>2、支持在全链路的各环节部署过滤转换功能，各环节包括源端捕获增量阶段、数据在途传输阶段、目标端入库阶段</w:t>
            </w:r>
            <w:r>
              <w:rPr>
                <w:rFonts w:hint="eastAsia" w:asciiTheme="minorEastAsia" w:hAnsiTheme="minorEastAsia" w:eastAsiaTheme="minorEastAsia" w:cstheme="minorEastAsia"/>
                <w:sz w:val="21"/>
                <w:szCs w:val="21"/>
                <w:highlight w:val="none"/>
                <w:lang w:eastAsia="zh-CN"/>
              </w:rPr>
              <w:t>。</w:t>
            </w:r>
          </w:p>
        </w:tc>
      </w:tr>
      <w:tr>
        <w:tblPrEx>
          <w:tblCellMar>
            <w:top w:w="0" w:type="dxa"/>
            <w:left w:w="0" w:type="dxa"/>
            <w:bottom w:w="0" w:type="dxa"/>
            <w:right w:w="0" w:type="dxa"/>
          </w:tblCellMar>
        </w:tblPrEx>
        <w:trPr>
          <w:trHeight w:val="870" w:hRule="atLeast"/>
        </w:trPr>
        <w:tc>
          <w:tcPr>
            <w:tcW w:w="1042"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kern w:val="0"/>
                <w:sz w:val="21"/>
                <w:szCs w:val="21"/>
                <w:highlight w:val="none"/>
              </w:rPr>
              <w:t>兼容性要求</w:t>
            </w:r>
          </w:p>
        </w:tc>
        <w:tc>
          <w:tcPr>
            <w:tcW w:w="3957"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rPr>
              <w:t>1、支持国内外主流操作系统，包括不限于Win7、Win10、麒麟、统信UOS等。</w:t>
            </w:r>
            <w:r>
              <w:rPr>
                <w:rFonts w:hint="eastAsia" w:asciiTheme="minorEastAsia" w:hAnsiTheme="minorEastAsia" w:eastAsiaTheme="minorEastAsia" w:cstheme="minorEastAsia"/>
                <w:kern w:val="0"/>
                <w:sz w:val="21"/>
                <w:szCs w:val="21"/>
                <w:highlight w:val="none"/>
              </w:rPr>
              <w:br w:type="textWrapping"/>
            </w:r>
            <w:r>
              <w:rPr>
                <w:rFonts w:hint="eastAsia" w:asciiTheme="minorEastAsia" w:hAnsiTheme="minorEastAsia" w:eastAsiaTheme="minorEastAsia" w:cstheme="minorEastAsia"/>
                <w:kern w:val="0"/>
                <w:sz w:val="21"/>
                <w:szCs w:val="21"/>
                <w:highlight w:val="none"/>
              </w:rPr>
              <w:t>2、支持适配的编程语言:JDK</w:t>
            </w:r>
          </w:p>
        </w:tc>
      </w:tr>
      <w:tr>
        <w:tblPrEx>
          <w:tblCellMar>
            <w:top w:w="0" w:type="dxa"/>
            <w:left w:w="0" w:type="dxa"/>
            <w:bottom w:w="0" w:type="dxa"/>
            <w:right w:w="0" w:type="dxa"/>
          </w:tblCellMar>
        </w:tblPrEx>
        <w:trPr>
          <w:trHeight w:val="240" w:hRule="atLeast"/>
        </w:trPr>
        <w:tc>
          <w:tcPr>
            <w:tcW w:w="1042"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kern w:val="0"/>
                <w:sz w:val="21"/>
                <w:szCs w:val="21"/>
                <w:highlight w:val="none"/>
              </w:rPr>
              <w:t>安全性要求</w:t>
            </w:r>
          </w:p>
        </w:tc>
        <w:tc>
          <w:tcPr>
            <w:tcW w:w="3957"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1、管理端支持https方式安全链接访问。</w:t>
            </w:r>
            <w:r>
              <w:rPr>
                <w:rFonts w:hint="eastAsia" w:asciiTheme="minorEastAsia" w:hAnsiTheme="minorEastAsia" w:eastAsiaTheme="minorEastAsia" w:cstheme="minorEastAsia"/>
                <w:kern w:val="0"/>
                <w:sz w:val="21"/>
                <w:szCs w:val="21"/>
                <w:highlight w:val="none"/>
              </w:rPr>
              <w:br w:type="textWrapping"/>
            </w:r>
            <w:r>
              <w:rPr>
                <w:rFonts w:hint="eastAsia" w:asciiTheme="minorEastAsia" w:hAnsiTheme="minorEastAsia" w:eastAsiaTheme="minorEastAsia" w:cstheme="minorEastAsia"/>
                <w:kern w:val="0"/>
                <w:sz w:val="21"/>
                <w:szCs w:val="21"/>
                <w:highlight w:val="none"/>
              </w:rPr>
              <w:t>2、管理端须具备SQL注入、命令注入、DDOS慢响应攻击、CSRF攻击、反射型XSS、HSTS等安全防范攻击能力。</w:t>
            </w:r>
          </w:p>
          <w:p>
            <w:pPr>
              <w:widowControl/>
              <w:spacing w:line="240" w:lineRule="auto"/>
              <w:ind w:firstLine="0" w:firstLineChars="0"/>
              <w:jc w:val="left"/>
              <w:textAlignment w:val="center"/>
              <w:rPr>
                <w:rFonts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3、提供第三方安全检测报告。</w:t>
            </w:r>
          </w:p>
        </w:tc>
      </w:tr>
      <w:tr>
        <w:tblPrEx>
          <w:tblCellMar>
            <w:top w:w="0" w:type="dxa"/>
            <w:left w:w="0" w:type="dxa"/>
            <w:bottom w:w="0" w:type="dxa"/>
            <w:right w:w="0" w:type="dxa"/>
          </w:tblCellMar>
        </w:tblPrEx>
        <w:trPr>
          <w:trHeight w:val="433" w:hRule="atLeast"/>
        </w:trPr>
        <w:tc>
          <w:tcPr>
            <w:tcW w:w="1042"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kern w:val="0"/>
                <w:sz w:val="21"/>
                <w:szCs w:val="21"/>
                <w:highlight w:val="none"/>
              </w:rPr>
              <w:t>性能要求</w:t>
            </w:r>
          </w:p>
        </w:tc>
        <w:tc>
          <w:tcPr>
            <w:tcW w:w="3957"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rPr>
              <w:t>数据同步过程中，每秒处理数据量不低于60(MB/秒)</w:t>
            </w:r>
          </w:p>
        </w:tc>
      </w:tr>
      <w:tr>
        <w:tblPrEx>
          <w:tblCellMar>
            <w:top w:w="0" w:type="dxa"/>
            <w:left w:w="0" w:type="dxa"/>
            <w:bottom w:w="0" w:type="dxa"/>
            <w:right w:w="0" w:type="dxa"/>
          </w:tblCellMar>
        </w:tblPrEx>
        <w:trPr>
          <w:trHeight w:val="433" w:hRule="atLeast"/>
        </w:trPr>
        <w:tc>
          <w:tcPr>
            <w:tcW w:w="1042"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kern w:val="0"/>
                <w:sz w:val="21"/>
                <w:szCs w:val="21"/>
                <w:highlight w:val="none"/>
              </w:rPr>
              <w:t>部署模式</w:t>
            </w:r>
          </w:p>
        </w:tc>
        <w:tc>
          <w:tcPr>
            <w:tcW w:w="3957"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rPr>
              <w:t>支持单机部署和集群部署两种部署模式。其中集群部署，需提供集群管理工具，可对集群节点、集群应用等进行统一管理和配置。</w:t>
            </w:r>
          </w:p>
        </w:tc>
      </w:tr>
    </w:tbl>
    <w:p>
      <w:pPr>
        <w:spacing w:line="240" w:lineRule="auto"/>
        <w:ind w:firstLine="0" w:firstLineChars="0"/>
        <w:rPr>
          <w:rFonts w:asciiTheme="minorEastAsia" w:hAnsiTheme="minorEastAsia" w:eastAsiaTheme="minorEastAsia" w:cstheme="minorEastAsia"/>
          <w:sz w:val="21"/>
          <w:szCs w:val="21"/>
          <w:highlight w:val="none"/>
        </w:rPr>
      </w:pPr>
    </w:p>
    <w:p>
      <w:pPr>
        <w:pStyle w:val="4"/>
        <w:rPr>
          <w:highlight w:val="none"/>
        </w:rPr>
      </w:pPr>
      <w:r>
        <w:rPr>
          <w:rFonts w:hint="eastAsia"/>
          <w:highlight w:val="none"/>
        </w:rPr>
        <w:t>报表工具-通用基础报表</w:t>
      </w:r>
    </w:p>
    <w:tbl>
      <w:tblPr>
        <w:tblStyle w:val="35"/>
        <w:tblpPr w:leftFromText="180" w:rightFromText="180" w:vertAnchor="text" w:horzAnchor="page" w:tblpX="1799" w:tblpY="730"/>
        <w:tblOverlap w:val="never"/>
        <w:tblW w:w="4998" w:type="pct"/>
        <w:tblInd w:w="0" w:type="dxa"/>
        <w:tblLayout w:type="autofit"/>
        <w:tblCellMar>
          <w:top w:w="0" w:type="dxa"/>
          <w:left w:w="0" w:type="dxa"/>
          <w:bottom w:w="0" w:type="dxa"/>
          <w:right w:w="0" w:type="dxa"/>
        </w:tblCellMar>
      </w:tblPr>
      <w:tblGrid>
        <w:gridCol w:w="1784"/>
        <w:gridCol w:w="6545"/>
      </w:tblGrid>
      <w:tr>
        <w:tblPrEx>
          <w:tblCellMar>
            <w:top w:w="0" w:type="dxa"/>
            <w:left w:w="0" w:type="dxa"/>
            <w:bottom w:w="0" w:type="dxa"/>
            <w:right w:w="0" w:type="dxa"/>
          </w:tblCellMar>
        </w:tblPrEx>
        <w:trPr>
          <w:trHeight w:val="580" w:hRule="atLeast"/>
        </w:trPr>
        <w:tc>
          <w:tcPr>
            <w:tcW w:w="1071"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kern w:val="0"/>
                <w:sz w:val="21"/>
                <w:szCs w:val="21"/>
                <w:highlight w:val="none"/>
              </w:rPr>
              <w:t>工具描述</w:t>
            </w:r>
          </w:p>
        </w:tc>
        <w:tc>
          <w:tcPr>
            <w:tcW w:w="3928"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rPr>
              <w:t>工具提供灵活的数据报表制作能力，支持快速统计、数据录入、填报，数据查询和数据展示等工具能力。</w:t>
            </w:r>
          </w:p>
        </w:tc>
      </w:tr>
      <w:tr>
        <w:tblPrEx>
          <w:tblCellMar>
            <w:top w:w="0" w:type="dxa"/>
            <w:left w:w="0" w:type="dxa"/>
            <w:bottom w:w="0" w:type="dxa"/>
            <w:right w:w="0" w:type="dxa"/>
          </w:tblCellMar>
        </w:tblPrEx>
        <w:trPr>
          <w:trHeight w:val="380" w:hRule="atLeast"/>
        </w:trPr>
        <w:tc>
          <w:tcPr>
            <w:tcW w:w="1071"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kern w:val="0"/>
                <w:sz w:val="21"/>
                <w:szCs w:val="21"/>
                <w:highlight w:val="none"/>
              </w:rPr>
              <w:t>工具能力要求</w:t>
            </w:r>
          </w:p>
        </w:tc>
        <w:tc>
          <w:tcPr>
            <w:tcW w:w="3928"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工具能力包括但不限于以下内容:</w:t>
            </w:r>
          </w:p>
          <w:p>
            <w:pPr>
              <w:widowControl/>
              <w:spacing w:line="240" w:lineRule="auto"/>
              <w:ind w:firstLine="0" w:firstLineChars="0"/>
              <w:jc w:val="left"/>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1、数据源管理：支持多种数据源接入，涵盖关系型数据库（MySQL、Oracle、SQLServer、DB2、PostgreSQL、达梦、人大金仓等）、文件数据源（Excel、JSON、XML）及Web服务接口等。</w:t>
            </w:r>
          </w:p>
          <w:p>
            <w:pPr>
              <w:widowControl/>
              <w:spacing w:line="240" w:lineRule="auto"/>
              <w:ind w:firstLine="0" w:firstLineChars="0"/>
              <w:jc w:val="left"/>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2、报表设计：采用类Excel的Web报表设计器，支持通过拖拽字段方式进行报表布局设计，实现所见即所得的配置体验；支持交叉报表、分组报表等多种复杂报表样式。</w:t>
            </w:r>
          </w:p>
          <w:p>
            <w:pPr>
              <w:widowControl/>
              <w:spacing w:line="240" w:lineRule="auto"/>
              <w:ind w:firstLine="0" w:firstLineChars="0"/>
              <w:jc w:val="left"/>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3、图表应用：内置多种图表类型，支持图表样式自定义配置。</w:t>
            </w:r>
          </w:p>
          <w:p>
            <w:pPr>
              <w:widowControl/>
              <w:spacing w:line="240" w:lineRule="auto"/>
              <w:ind w:firstLine="0" w:firstLineChars="0"/>
              <w:jc w:val="left"/>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4、报表计算：内置丰富的公式函数库满足报表数据加工与计算需求。</w:t>
            </w:r>
          </w:p>
          <w:p>
            <w:pPr>
              <w:widowControl/>
              <w:spacing w:line="240" w:lineRule="auto"/>
              <w:ind w:firstLine="0" w:firstLineChars="0"/>
              <w:jc w:val="left"/>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5、报表展示与导出：支持多终端自适应展现；支持导出Excel、Word、PPT、PDF、CSV等多种文件格式。</w:t>
            </w:r>
          </w:p>
          <w:p>
            <w:pPr>
              <w:widowControl/>
              <w:spacing w:line="240" w:lineRule="auto"/>
              <w:ind w:firstLine="0" w:firstLineChars="0"/>
              <w:jc w:val="left"/>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6、参数查询与交互：支持多种参数组件（下拉框、下拉树、日期、单选框、复选框等）实现数据过滤查询，支持数据钻取、联动等交互分析。</w:t>
            </w:r>
          </w:p>
          <w:p>
            <w:pPr>
              <w:widowControl/>
              <w:spacing w:line="240" w:lineRule="auto"/>
              <w:ind w:firstLine="0" w:firstLineChars="0"/>
              <w:jc w:val="left"/>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7、表单设计与填报：支持类Excel的表单设计，通过拖拽方式完成填报表单布局，支持Excel模板导入、数据校验、表单数据管理及数据上报流程设计。</w:t>
            </w:r>
          </w:p>
          <w:p>
            <w:pPr>
              <w:widowControl/>
              <w:spacing w:line="240" w:lineRule="auto"/>
              <w:ind w:firstLine="0" w:firstLineChars="0"/>
              <w:jc w:val="left"/>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8、系统集成：提供报表外部访问集成能力，支持第三方系统集成报表应用。</w:t>
            </w:r>
          </w:p>
        </w:tc>
      </w:tr>
      <w:tr>
        <w:tblPrEx>
          <w:tblCellMar>
            <w:top w:w="0" w:type="dxa"/>
            <w:left w:w="0" w:type="dxa"/>
            <w:bottom w:w="0" w:type="dxa"/>
            <w:right w:w="0" w:type="dxa"/>
          </w:tblCellMar>
        </w:tblPrEx>
        <w:trPr>
          <w:trHeight w:val="409" w:hRule="atLeast"/>
        </w:trPr>
        <w:tc>
          <w:tcPr>
            <w:tcW w:w="1071"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kern w:val="0"/>
                <w:sz w:val="21"/>
                <w:szCs w:val="21"/>
                <w:highlight w:val="none"/>
              </w:rPr>
              <w:t>兼容性要求</w:t>
            </w:r>
          </w:p>
        </w:tc>
        <w:tc>
          <w:tcPr>
            <w:tcW w:w="3928"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rPr>
              <w:t>兼容国产化主流操作系统、数据库、中间件。</w:t>
            </w:r>
          </w:p>
        </w:tc>
      </w:tr>
      <w:tr>
        <w:tblPrEx>
          <w:tblCellMar>
            <w:top w:w="0" w:type="dxa"/>
            <w:left w:w="0" w:type="dxa"/>
            <w:bottom w:w="0" w:type="dxa"/>
            <w:right w:w="0" w:type="dxa"/>
          </w:tblCellMar>
        </w:tblPrEx>
        <w:trPr>
          <w:trHeight w:val="402" w:hRule="atLeast"/>
        </w:trPr>
        <w:tc>
          <w:tcPr>
            <w:tcW w:w="1071"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kern w:val="0"/>
                <w:sz w:val="21"/>
                <w:szCs w:val="21"/>
                <w:highlight w:val="none"/>
              </w:rPr>
              <w:t>安全性要求</w:t>
            </w:r>
          </w:p>
        </w:tc>
        <w:tc>
          <w:tcPr>
            <w:tcW w:w="3928"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rPr>
              <w:t>提供第三方安全检测报告。</w:t>
            </w:r>
          </w:p>
        </w:tc>
      </w:tr>
      <w:tr>
        <w:tblPrEx>
          <w:tblCellMar>
            <w:top w:w="0" w:type="dxa"/>
            <w:left w:w="0" w:type="dxa"/>
            <w:bottom w:w="0" w:type="dxa"/>
            <w:right w:w="0" w:type="dxa"/>
          </w:tblCellMar>
        </w:tblPrEx>
        <w:trPr>
          <w:trHeight w:val="417" w:hRule="atLeast"/>
        </w:trPr>
        <w:tc>
          <w:tcPr>
            <w:tcW w:w="1071"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kern w:val="0"/>
                <w:sz w:val="21"/>
                <w:szCs w:val="21"/>
                <w:highlight w:val="none"/>
              </w:rPr>
              <w:t>部署模式</w:t>
            </w:r>
          </w:p>
        </w:tc>
        <w:tc>
          <w:tcPr>
            <w:tcW w:w="3928"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rPr>
              <w:t>支持单机部署和集群部署两种部署模式。</w:t>
            </w:r>
          </w:p>
        </w:tc>
      </w:tr>
    </w:tbl>
    <w:p>
      <w:pPr>
        <w:spacing w:line="240" w:lineRule="auto"/>
        <w:ind w:firstLine="0" w:firstLineChars="0"/>
        <w:rPr>
          <w:rFonts w:asciiTheme="minorEastAsia" w:hAnsiTheme="minorEastAsia" w:eastAsiaTheme="minorEastAsia" w:cstheme="minorEastAsia"/>
          <w:sz w:val="21"/>
          <w:szCs w:val="21"/>
          <w:highlight w:val="none"/>
        </w:rPr>
      </w:pPr>
    </w:p>
    <w:p>
      <w:pPr>
        <w:pStyle w:val="4"/>
        <w:rPr>
          <w:highlight w:val="none"/>
        </w:rPr>
      </w:pPr>
      <w:r>
        <w:rPr>
          <w:rFonts w:hint="eastAsia"/>
          <w:highlight w:val="none"/>
        </w:rPr>
        <w:t>报表工具-数据分析报表</w:t>
      </w:r>
    </w:p>
    <w:tbl>
      <w:tblPr>
        <w:tblStyle w:val="35"/>
        <w:tblW w:w="4998" w:type="pct"/>
        <w:tblInd w:w="0" w:type="dxa"/>
        <w:tblLayout w:type="autofit"/>
        <w:tblCellMar>
          <w:top w:w="0" w:type="dxa"/>
          <w:left w:w="0" w:type="dxa"/>
          <w:bottom w:w="0" w:type="dxa"/>
          <w:right w:w="0" w:type="dxa"/>
        </w:tblCellMar>
      </w:tblPr>
      <w:tblGrid>
        <w:gridCol w:w="1784"/>
        <w:gridCol w:w="6545"/>
      </w:tblGrid>
      <w:tr>
        <w:tblPrEx>
          <w:tblCellMar>
            <w:top w:w="0" w:type="dxa"/>
            <w:left w:w="0" w:type="dxa"/>
            <w:bottom w:w="0" w:type="dxa"/>
            <w:right w:w="0" w:type="dxa"/>
          </w:tblCellMar>
        </w:tblPrEx>
        <w:trPr>
          <w:trHeight w:val="580" w:hRule="atLeast"/>
        </w:trPr>
        <w:tc>
          <w:tcPr>
            <w:tcW w:w="1071"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kern w:val="0"/>
                <w:sz w:val="21"/>
                <w:szCs w:val="21"/>
                <w:highlight w:val="none"/>
              </w:rPr>
              <w:t>工具描述</w:t>
            </w:r>
          </w:p>
        </w:tc>
        <w:tc>
          <w:tcPr>
            <w:tcW w:w="3928"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rPr>
              <w:t>提供快速制作数据分析报表的能力，支持异端和本地多种数据源连接，支持通过拖拽式操作的方式实现可视化效果呈现。</w:t>
            </w:r>
          </w:p>
        </w:tc>
      </w:tr>
      <w:tr>
        <w:tblPrEx>
          <w:tblCellMar>
            <w:top w:w="0" w:type="dxa"/>
            <w:left w:w="0" w:type="dxa"/>
            <w:bottom w:w="0" w:type="dxa"/>
            <w:right w:w="0" w:type="dxa"/>
          </w:tblCellMar>
        </w:tblPrEx>
        <w:trPr>
          <w:trHeight w:val="380" w:hRule="atLeast"/>
        </w:trPr>
        <w:tc>
          <w:tcPr>
            <w:tcW w:w="1071"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kern w:val="0"/>
                <w:sz w:val="21"/>
                <w:szCs w:val="21"/>
                <w:highlight w:val="none"/>
              </w:rPr>
              <w:t>工具能力要求</w:t>
            </w:r>
          </w:p>
        </w:tc>
        <w:tc>
          <w:tcPr>
            <w:tcW w:w="3928"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工具能力包括但不限于以下内容:</w:t>
            </w:r>
          </w:p>
          <w:p>
            <w:pPr>
              <w:widowControl/>
              <w:spacing w:line="240" w:lineRule="auto"/>
              <w:ind w:firstLine="0" w:firstLineChars="0"/>
              <w:jc w:val="left"/>
              <w:textAlignment w:val="center"/>
              <w:rPr>
                <w:rFonts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1.数据源管理，支持包括但不限于云数据库、关系型数据库、Hadoop、MPP数据库等多种数据源接入。</w:t>
            </w:r>
          </w:p>
          <w:p>
            <w:pPr>
              <w:widowControl/>
              <w:spacing w:line="240" w:lineRule="auto"/>
              <w:ind w:firstLine="0" w:firstLineChars="0"/>
              <w:jc w:val="left"/>
              <w:textAlignment w:val="center"/>
              <w:rPr>
                <w:rFonts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2.数据集:支持表关联、新建计算字段、新建维度、自定义分组等表级和字段集的处理功能。</w:t>
            </w:r>
          </w:p>
          <w:p>
            <w:pPr>
              <w:widowControl/>
              <w:spacing w:line="240" w:lineRule="auto"/>
              <w:ind w:firstLine="0" w:firstLineChars="0"/>
              <w:jc w:val="left"/>
              <w:textAlignment w:val="center"/>
              <w:rPr>
                <w:rFonts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3.仪表板:提供拖拽式的在线分析与可视化报表开发功能，支持拖拽式页面布局且一次制作多端自适应显示。</w:t>
            </w:r>
          </w:p>
          <w:p>
            <w:pPr>
              <w:widowControl/>
              <w:spacing w:line="240" w:lineRule="auto"/>
              <w:ind w:firstLine="0" w:firstLineChars="0"/>
              <w:jc w:val="left"/>
              <w:textAlignment w:val="center"/>
              <w:rPr>
                <w:rFonts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4.电子表格:实现复杂报表样式，采用类Excel的方式提供在线的数据分析能力，以单元格为数据单元，支持本地复制录入及数据集方式获取和分析数据。</w:t>
            </w:r>
          </w:p>
          <w:p>
            <w:pPr>
              <w:widowControl/>
              <w:spacing w:line="240" w:lineRule="auto"/>
              <w:ind w:firstLine="0" w:firstLineChars="0"/>
              <w:jc w:val="left"/>
              <w:textAlignment w:val="center"/>
              <w:rPr>
                <w:rFonts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5.数据门户:按照特定逻辑和目录组成数据产品的展示页面。</w:t>
            </w:r>
          </w:p>
          <w:p>
            <w:pPr>
              <w:widowControl/>
              <w:spacing w:line="240" w:lineRule="auto"/>
              <w:ind w:firstLine="0" w:firstLineChars="0"/>
              <w:jc w:val="left"/>
              <w:textAlignment w:val="center"/>
              <w:rPr>
                <w:rFonts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6.安全管控:提供多层次的安全访问机制，从用户集成、单点登录访问、工作空间隔离、报表权限到数据权限的一整套安全访问机制。</w:t>
            </w:r>
          </w:p>
          <w:p>
            <w:pPr>
              <w:widowControl/>
              <w:spacing w:line="240" w:lineRule="auto"/>
              <w:ind w:firstLine="0" w:firstLineChars="0"/>
              <w:jc w:val="left"/>
              <w:textAlignment w:val="center"/>
              <w:rPr>
                <w:rFonts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7.在线协同:支持数据、报表、数据门户等的公开、分享、协同编辑和私密等多种在线分享和控制机制。</w:t>
            </w:r>
          </w:p>
          <w:p>
            <w:pPr>
              <w:widowControl/>
              <w:spacing w:line="240" w:lineRule="auto"/>
              <w:ind w:firstLine="0" w:firstLineChars="0"/>
              <w:jc w:val="left"/>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rPr>
              <w:t>8.开放服务:提供接口类型涉及到用户、标签、用户组、分享、菜单授权、数据权限、空间管理、报表管理、收藏管理等方面。</w:t>
            </w:r>
          </w:p>
        </w:tc>
      </w:tr>
      <w:tr>
        <w:tblPrEx>
          <w:tblCellMar>
            <w:top w:w="0" w:type="dxa"/>
            <w:left w:w="0" w:type="dxa"/>
            <w:bottom w:w="0" w:type="dxa"/>
            <w:right w:w="0" w:type="dxa"/>
          </w:tblCellMar>
        </w:tblPrEx>
        <w:trPr>
          <w:trHeight w:val="90" w:hRule="atLeast"/>
        </w:trPr>
        <w:tc>
          <w:tcPr>
            <w:tcW w:w="1071"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kern w:val="0"/>
                <w:sz w:val="21"/>
                <w:szCs w:val="21"/>
                <w:highlight w:val="none"/>
              </w:rPr>
              <w:t>兼容性要求</w:t>
            </w:r>
          </w:p>
        </w:tc>
        <w:tc>
          <w:tcPr>
            <w:tcW w:w="3928"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rPr>
              <w:t>兼容国产化主流操作系统、数据库、中间件和浏览器。</w:t>
            </w:r>
          </w:p>
        </w:tc>
      </w:tr>
      <w:tr>
        <w:tblPrEx>
          <w:tblCellMar>
            <w:top w:w="0" w:type="dxa"/>
            <w:left w:w="0" w:type="dxa"/>
            <w:bottom w:w="0" w:type="dxa"/>
            <w:right w:w="0" w:type="dxa"/>
          </w:tblCellMar>
        </w:tblPrEx>
        <w:trPr>
          <w:trHeight w:val="1160" w:hRule="atLeast"/>
        </w:trPr>
        <w:tc>
          <w:tcPr>
            <w:tcW w:w="1071"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kern w:val="0"/>
                <w:sz w:val="21"/>
                <w:szCs w:val="21"/>
                <w:highlight w:val="none"/>
              </w:rPr>
              <w:t>安全性要求</w:t>
            </w:r>
          </w:p>
        </w:tc>
        <w:tc>
          <w:tcPr>
            <w:tcW w:w="3928"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1.支持用户隔离，不同组织之间的数据、资源完全隔离，互不影响。</w:t>
            </w:r>
            <w:r>
              <w:rPr>
                <w:rFonts w:hint="eastAsia" w:asciiTheme="minorEastAsia" w:hAnsiTheme="minorEastAsia" w:eastAsiaTheme="minorEastAsia" w:cstheme="minorEastAsia"/>
                <w:kern w:val="0"/>
                <w:sz w:val="21"/>
                <w:szCs w:val="21"/>
                <w:highlight w:val="none"/>
              </w:rPr>
              <w:br w:type="textWrapping"/>
            </w:r>
            <w:r>
              <w:rPr>
                <w:rFonts w:hint="eastAsia" w:asciiTheme="minorEastAsia" w:hAnsiTheme="minorEastAsia" w:eastAsiaTheme="minorEastAsia" w:cstheme="minorEastAsia"/>
                <w:kern w:val="0"/>
                <w:sz w:val="21"/>
                <w:szCs w:val="21"/>
                <w:highlight w:val="none"/>
              </w:rPr>
              <w:t>2.支持数据对象权限控制。</w:t>
            </w:r>
            <w:r>
              <w:rPr>
                <w:rFonts w:hint="eastAsia" w:asciiTheme="minorEastAsia" w:hAnsiTheme="minorEastAsia" w:eastAsiaTheme="minorEastAsia" w:cstheme="minorEastAsia"/>
                <w:kern w:val="0"/>
                <w:sz w:val="21"/>
                <w:szCs w:val="21"/>
                <w:highlight w:val="none"/>
              </w:rPr>
              <w:br w:type="textWrapping"/>
            </w:r>
            <w:r>
              <w:rPr>
                <w:rFonts w:hint="eastAsia" w:asciiTheme="minorEastAsia" w:hAnsiTheme="minorEastAsia" w:eastAsiaTheme="minorEastAsia" w:cstheme="minorEastAsia"/>
                <w:kern w:val="0"/>
                <w:sz w:val="21"/>
                <w:szCs w:val="21"/>
                <w:highlight w:val="none"/>
              </w:rPr>
              <w:t>3.提供详细的审计日志，对用户的报表访问、报表编辑、权限操作等行为均有详细记录。</w:t>
            </w:r>
          </w:p>
          <w:p>
            <w:pPr>
              <w:widowControl/>
              <w:spacing w:line="240" w:lineRule="auto"/>
              <w:ind w:firstLine="0" w:firstLineChars="0"/>
              <w:jc w:val="left"/>
              <w:textAlignment w:val="center"/>
              <w:rPr>
                <w:rFonts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4.支持https协议访问链接。</w:t>
            </w:r>
          </w:p>
          <w:p>
            <w:pPr>
              <w:widowControl/>
              <w:spacing w:line="240" w:lineRule="auto"/>
              <w:ind w:firstLine="0" w:firstLineChars="0"/>
              <w:jc w:val="left"/>
              <w:textAlignment w:val="center"/>
              <w:rPr>
                <w:rFonts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5.提供第三方安全检测报告。</w:t>
            </w:r>
          </w:p>
        </w:tc>
      </w:tr>
      <w:tr>
        <w:tblPrEx>
          <w:tblCellMar>
            <w:top w:w="0" w:type="dxa"/>
            <w:left w:w="0" w:type="dxa"/>
            <w:bottom w:w="0" w:type="dxa"/>
            <w:right w:w="0" w:type="dxa"/>
          </w:tblCellMar>
        </w:tblPrEx>
        <w:trPr>
          <w:trHeight w:val="580" w:hRule="atLeast"/>
        </w:trPr>
        <w:tc>
          <w:tcPr>
            <w:tcW w:w="1071"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kern w:val="0"/>
                <w:sz w:val="21"/>
                <w:szCs w:val="21"/>
                <w:highlight w:val="none"/>
              </w:rPr>
              <w:t>性能要求</w:t>
            </w:r>
          </w:p>
        </w:tc>
        <w:tc>
          <w:tcPr>
            <w:tcW w:w="3928"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rPr>
              <w:t>单台在16核CPU，32内存，1T硬盘，网络带宽1000Mbps以及国产操作系统的资源配置场景下，支持不少于50并发数。</w:t>
            </w:r>
          </w:p>
        </w:tc>
      </w:tr>
      <w:tr>
        <w:tblPrEx>
          <w:tblCellMar>
            <w:top w:w="0" w:type="dxa"/>
            <w:left w:w="0" w:type="dxa"/>
            <w:bottom w:w="0" w:type="dxa"/>
            <w:right w:w="0" w:type="dxa"/>
          </w:tblCellMar>
        </w:tblPrEx>
        <w:trPr>
          <w:trHeight w:val="354" w:hRule="atLeast"/>
        </w:trPr>
        <w:tc>
          <w:tcPr>
            <w:tcW w:w="1071"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kern w:val="0"/>
                <w:sz w:val="21"/>
                <w:szCs w:val="21"/>
                <w:highlight w:val="none"/>
              </w:rPr>
              <w:t>部署模式</w:t>
            </w:r>
          </w:p>
        </w:tc>
        <w:tc>
          <w:tcPr>
            <w:tcW w:w="3928"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rPr>
              <w:t>独立部署</w:t>
            </w:r>
          </w:p>
        </w:tc>
      </w:tr>
    </w:tbl>
    <w:p>
      <w:pPr>
        <w:spacing w:line="240" w:lineRule="auto"/>
        <w:ind w:firstLine="0" w:firstLineChars="0"/>
        <w:rPr>
          <w:rFonts w:asciiTheme="minorEastAsia" w:hAnsiTheme="minorEastAsia" w:eastAsiaTheme="minorEastAsia" w:cstheme="minorEastAsia"/>
          <w:sz w:val="21"/>
          <w:szCs w:val="21"/>
          <w:highlight w:val="none"/>
        </w:rPr>
      </w:pPr>
    </w:p>
    <w:p>
      <w:pPr>
        <w:pStyle w:val="4"/>
        <w:rPr>
          <w:highlight w:val="none"/>
        </w:rPr>
      </w:pPr>
      <w:r>
        <w:rPr>
          <w:rFonts w:hint="eastAsia"/>
          <w:highlight w:val="none"/>
        </w:rPr>
        <w:t>运维管理工具</w:t>
      </w:r>
    </w:p>
    <w:tbl>
      <w:tblPr>
        <w:tblStyle w:val="35"/>
        <w:tblW w:w="4998" w:type="pct"/>
        <w:tblInd w:w="0" w:type="dxa"/>
        <w:tblLayout w:type="autofit"/>
        <w:tblCellMar>
          <w:top w:w="0" w:type="dxa"/>
          <w:left w:w="0" w:type="dxa"/>
          <w:bottom w:w="0" w:type="dxa"/>
          <w:right w:w="0" w:type="dxa"/>
        </w:tblCellMar>
      </w:tblPr>
      <w:tblGrid>
        <w:gridCol w:w="1941"/>
        <w:gridCol w:w="6388"/>
      </w:tblGrid>
      <w:tr>
        <w:tblPrEx>
          <w:tblCellMar>
            <w:top w:w="0" w:type="dxa"/>
            <w:left w:w="0" w:type="dxa"/>
            <w:bottom w:w="0" w:type="dxa"/>
            <w:right w:w="0" w:type="dxa"/>
          </w:tblCellMar>
        </w:tblPrEx>
        <w:trPr>
          <w:trHeight w:val="580" w:hRule="atLeast"/>
        </w:trPr>
        <w:tc>
          <w:tcPr>
            <w:tcW w:w="1165"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kern w:val="0"/>
                <w:sz w:val="21"/>
                <w:szCs w:val="21"/>
                <w:highlight w:val="none"/>
              </w:rPr>
              <w:t>工具描述</w:t>
            </w:r>
          </w:p>
        </w:tc>
        <w:tc>
          <w:tcPr>
            <w:tcW w:w="383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rPr>
              <w:t>通过服务台、事件管理、知识库、巡检管理、资产管理、变更管理、发布管理、问题管理和供应商管理等运维能力，实现数字运维管理能力。</w:t>
            </w:r>
          </w:p>
        </w:tc>
      </w:tr>
      <w:tr>
        <w:tblPrEx>
          <w:tblCellMar>
            <w:top w:w="0" w:type="dxa"/>
            <w:left w:w="0" w:type="dxa"/>
            <w:bottom w:w="0" w:type="dxa"/>
            <w:right w:w="0" w:type="dxa"/>
          </w:tblCellMar>
        </w:tblPrEx>
        <w:trPr>
          <w:trHeight w:val="1300" w:hRule="atLeast"/>
        </w:trPr>
        <w:tc>
          <w:tcPr>
            <w:tcW w:w="1165"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kern w:val="0"/>
                <w:sz w:val="21"/>
                <w:szCs w:val="21"/>
                <w:highlight w:val="none"/>
              </w:rPr>
              <w:t>工具能力要求</w:t>
            </w:r>
          </w:p>
        </w:tc>
        <w:tc>
          <w:tcPr>
            <w:tcW w:w="383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rPr>
              <w:t>工具能力包括但不限于以下内容:</w:t>
            </w:r>
          </w:p>
          <w:p>
            <w:pPr>
              <w:widowControl/>
              <w:spacing w:line="240" w:lineRule="auto"/>
              <w:ind w:firstLine="0" w:firstLineChars="0"/>
              <w:jc w:val="left"/>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1．服务台自动化:支持自动化工单分派，允许预设规则以自动分配工单至相应的工程师或工作组。</w:t>
            </w:r>
          </w:p>
          <w:p>
            <w:pPr>
              <w:widowControl/>
              <w:spacing w:line="240" w:lineRule="auto"/>
              <w:ind w:firstLine="0" w:firstLineChars="0"/>
              <w:jc w:val="left"/>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2．工单管理:具备工单拆分功能，能够将复杂问题拆分为多个独立工单，以及全流程管理，包括新建、分派、处理、审批等。</w:t>
            </w:r>
          </w:p>
          <w:p>
            <w:pPr>
              <w:widowControl/>
              <w:spacing w:line="240" w:lineRule="auto"/>
              <w:ind w:firstLine="0" w:firstLineChars="0"/>
              <w:jc w:val="left"/>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3．多渠道工单发起:支持通过邮件、短信、移动APP、PC端等多种方式提交工单。</w:t>
            </w:r>
          </w:p>
          <w:p>
            <w:pPr>
              <w:widowControl/>
              <w:spacing w:line="240" w:lineRule="auto"/>
              <w:ind w:firstLine="0" w:firstLineChars="0"/>
              <w:jc w:val="left"/>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4．知识库集成:内置知识库功能，支持全文检索，并能将处理完成的工单自动沉淀至知识库。</w:t>
            </w:r>
          </w:p>
          <w:p>
            <w:pPr>
              <w:widowControl/>
              <w:spacing w:line="240" w:lineRule="auto"/>
              <w:ind w:firstLine="0" w:firstLineChars="0"/>
              <w:jc w:val="left"/>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5．巡检管理:提供巡检模板定义、巡检项内容设置、巡检阀值设定，并支持手动与自动巡检等。</w:t>
            </w:r>
          </w:p>
          <w:p>
            <w:pPr>
              <w:widowControl/>
              <w:spacing w:line="240" w:lineRule="auto"/>
              <w:ind w:firstLine="0" w:firstLineChars="0"/>
              <w:jc w:val="left"/>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6．资产管理:包括不限于资产分类、资产建模、资产台账管理，以及资产变更记录和资产关系维护。</w:t>
            </w:r>
          </w:p>
          <w:p>
            <w:pPr>
              <w:widowControl/>
              <w:spacing w:line="240" w:lineRule="auto"/>
              <w:ind w:firstLine="0" w:firstLineChars="0"/>
              <w:jc w:val="left"/>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7．变更管理:支持自定义变更类型，配置不同审批流程，管理变更全生命周期。</w:t>
            </w:r>
          </w:p>
          <w:p>
            <w:pPr>
              <w:widowControl/>
              <w:spacing w:line="240" w:lineRule="auto"/>
              <w:ind w:firstLine="0" w:firstLineChars="0"/>
              <w:jc w:val="left"/>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8．发布管理:支持发布流程定义，包括测试确认、审核、用户确认等，并管理所有发布记录。</w:t>
            </w:r>
          </w:p>
          <w:p>
            <w:pPr>
              <w:widowControl/>
              <w:spacing w:line="240" w:lineRule="auto"/>
              <w:ind w:firstLine="0" w:firstLineChars="0"/>
              <w:jc w:val="left"/>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9．问题管理:支持问题记录、分类、紧急程度评估，以及问题处理的全过程管理。</w:t>
            </w:r>
          </w:p>
          <w:p>
            <w:pPr>
              <w:widowControl/>
              <w:spacing w:line="240" w:lineRule="auto"/>
              <w:ind w:firstLine="0" w:firstLineChars="0"/>
              <w:jc w:val="left"/>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10．监控集成:能够与监控系统整合，自动触发问题工单，并支持监控数据的分析和报告。</w:t>
            </w:r>
          </w:p>
          <w:p>
            <w:pPr>
              <w:widowControl/>
              <w:spacing w:line="240" w:lineRule="auto"/>
              <w:ind w:firstLine="0" w:firstLineChars="0"/>
              <w:jc w:val="left"/>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11．安全与权限控制:提供角色基础的访问控制，确保数据安全和用户操作的合规性。</w:t>
            </w:r>
          </w:p>
          <w:p>
            <w:pPr>
              <w:widowControl/>
              <w:spacing w:line="240" w:lineRule="auto"/>
              <w:ind w:firstLine="0" w:firstLineChars="0"/>
              <w:jc w:val="left"/>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12．接口与集成:提供开放的API接口，支持与其他IT管理系统（如ITSM、CRM等）的集成。</w:t>
            </w:r>
          </w:p>
        </w:tc>
      </w:tr>
      <w:tr>
        <w:tblPrEx>
          <w:tblCellMar>
            <w:top w:w="0" w:type="dxa"/>
            <w:left w:w="0" w:type="dxa"/>
            <w:bottom w:w="0" w:type="dxa"/>
            <w:right w:w="0" w:type="dxa"/>
          </w:tblCellMar>
        </w:tblPrEx>
        <w:trPr>
          <w:trHeight w:val="400" w:hRule="atLeast"/>
        </w:trPr>
        <w:tc>
          <w:tcPr>
            <w:tcW w:w="1165"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kern w:val="0"/>
                <w:sz w:val="21"/>
                <w:szCs w:val="21"/>
                <w:highlight w:val="none"/>
              </w:rPr>
              <w:t>兼容性要求</w:t>
            </w:r>
          </w:p>
        </w:tc>
        <w:tc>
          <w:tcPr>
            <w:tcW w:w="3834" w:type="pct"/>
            <w:tcBorders>
              <w:top w:val="single" w:color="000000" w:sz="4" w:space="0"/>
              <w:left w:val="single" w:color="000000" w:sz="4" w:space="0"/>
              <w:bottom w:val="single" w:color="000000" w:sz="4" w:space="0"/>
              <w:right w:val="single" w:color="000000" w:sz="4" w:space="0"/>
            </w:tcBorders>
            <w:shd w:val="clear" w:color="auto" w:fill="FFFFFF"/>
            <w:tcMar>
              <w:top w:w="10" w:type="dxa"/>
              <w:left w:w="10" w:type="dxa"/>
              <w:right w:w="10" w:type="dxa"/>
            </w:tcMar>
            <w:vAlign w:val="center"/>
          </w:tcPr>
          <w:p>
            <w:pPr>
              <w:widowControl/>
              <w:spacing w:line="240" w:lineRule="auto"/>
              <w:ind w:firstLine="0" w:firstLineChars="0"/>
              <w:jc w:val="left"/>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rPr>
              <w:t>兼容国产化主流操作系统、数据库、中间件和浏览器。</w:t>
            </w:r>
          </w:p>
        </w:tc>
      </w:tr>
      <w:tr>
        <w:tblPrEx>
          <w:tblCellMar>
            <w:top w:w="0" w:type="dxa"/>
            <w:left w:w="0" w:type="dxa"/>
            <w:bottom w:w="0" w:type="dxa"/>
            <w:right w:w="0" w:type="dxa"/>
          </w:tblCellMar>
        </w:tblPrEx>
        <w:trPr>
          <w:trHeight w:val="475" w:hRule="atLeast"/>
        </w:trPr>
        <w:tc>
          <w:tcPr>
            <w:tcW w:w="1165"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kern w:val="0"/>
                <w:sz w:val="21"/>
                <w:szCs w:val="21"/>
                <w:highlight w:val="none"/>
              </w:rPr>
              <w:t>安全性要求</w:t>
            </w:r>
          </w:p>
        </w:tc>
        <w:tc>
          <w:tcPr>
            <w:tcW w:w="383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1、支持https协议访问链接；</w:t>
            </w:r>
          </w:p>
          <w:p>
            <w:pPr>
              <w:widowControl/>
              <w:spacing w:line="240" w:lineRule="auto"/>
              <w:ind w:firstLine="0" w:firstLineChars="0"/>
              <w:jc w:val="left"/>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rPr>
              <w:t>2、提供第三方安全检测报告。</w:t>
            </w:r>
          </w:p>
        </w:tc>
      </w:tr>
      <w:tr>
        <w:tblPrEx>
          <w:tblCellMar>
            <w:top w:w="0" w:type="dxa"/>
            <w:left w:w="0" w:type="dxa"/>
            <w:bottom w:w="0" w:type="dxa"/>
            <w:right w:w="0" w:type="dxa"/>
          </w:tblCellMar>
        </w:tblPrEx>
        <w:trPr>
          <w:trHeight w:val="870" w:hRule="atLeast"/>
        </w:trPr>
        <w:tc>
          <w:tcPr>
            <w:tcW w:w="1165"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kern w:val="0"/>
                <w:sz w:val="21"/>
                <w:szCs w:val="21"/>
                <w:highlight w:val="none"/>
              </w:rPr>
              <w:t>性能要求</w:t>
            </w:r>
          </w:p>
        </w:tc>
        <w:tc>
          <w:tcPr>
            <w:tcW w:w="3834"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1、在16核CPU，32G内存，500GB硬盘，网络带宽200Mbps以及国产操作系统的资源配置场景下，可达到1000并发能力。</w:t>
            </w:r>
          </w:p>
          <w:p>
            <w:pPr>
              <w:widowControl/>
              <w:spacing w:line="240" w:lineRule="auto"/>
              <w:ind w:firstLine="0" w:firstLineChars="0"/>
              <w:jc w:val="left"/>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rPr>
              <w:t>2、500用户数场景下，页面响应时间不超过3s。</w:t>
            </w:r>
          </w:p>
        </w:tc>
      </w:tr>
    </w:tbl>
    <w:p>
      <w:pPr>
        <w:spacing w:line="240" w:lineRule="auto"/>
        <w:ind w:firstLine="0" w:firstLineChars="0"/>
        <w:rPr>
          <w:rFonts w:asciiTheme="minorEastAsia" w:hAnsiTheme="minorEastAsia" w:eastAsiaTheme="minorEastAsia" w:cstheme="minorEastAsia"/>
          <w:sz w:val="21"/>
          <w:szCs w:val="21"/>
          <w:highlight w:val="none"/>
        </w:rPr>
      </w:pPr>
    </w:p>
    <w:p>
      <w:pPr>
        <w:pStyle w:val="4"/>
        <w:rPr>
          <w:highlight w:val="none"/>
        </w:rPr>
      </w:pPr>
      <w:r>
        <w:rPr>
          <w:rFonts w:hint="eastAsia"/>
          <w:highlight w:val="none"/>
        </w:rPr>
        <w:t>数据库工具</w:t>
      </w:r>
    </w:p>
    <w:tbl>
      <w:tblPr>
        <w:tblStyle w:val="35"/>
        <w:tblW w:w="4998" w:type="pct"/>
        <w:tblInd w:w="0" w:type="dxa"/>
        <w:tblLayout w:type="autofit"/>
        <w:tblCellMar>
          <w:top w:w="0" w:type="dxa"/>
          <w:left w:w="0" w:type="dxa"/>
          <w:bottom w:w="0" w:type="dxa"/>
          <w:right w:w="0" w:type="dxa"/>
        </w:tblCellMar>
      </w:tblPr>
      <w:tblGrid>
        <w:gridCol w:w="1389"/>
        <w:gridCol w:w="6940"/>
      </w:tblGrid>
      <w:tr>
        <w:tblPrEx>
          <w:tblCellMar>
            <w:top w:w="0" w:type="dxa"/>
            <w:left w:w="0" w:type="dxa"/>
            <w:bottom w:w="0" w:type="dxa"/>
            <w:right w:w="0" w:type="dxa"/>
          </w:tblCellMar>
        </w:tblPrEx>
        <w:trPr>
          <w:trHeight w:val="413" w:hRule="atLeast"/>
        </w:trPr>
        <w:tc>
          <w:tcPr>
            <w:tcW w:w="834"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rPr>
              <w:t>工具描述</w:t>
            </w:r>
          </w:p>
        </w:tc>
        <w:tc>
          <w:tcPr>
            <w:tcW w:w="4165"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rPr>
              <w:t>提供数据库服务。</w:t>
            </w:r>
          </w:p>
        </w:tc>
      </w:tr>
      <w:tr>
        <w:tblPrEx>
          <w:tblCellMar>
            <w:top w:w="0" w:type="dxa"/>
            <w:left w:w="0" w:type="dxa"/>
            <w:bottom w:w="0" w:type="dxa"/>
            <w:right w:w="0" w:type="dxa"/>
          </w:tblCellMar>
        </w:tblPrEx>
        <w:trPr>
          <w:trHeight w:val="870" w:hRule="atLeast"/>
        </w:trPr>
        <w:tc>
          <w:tcPr>
            <w:tcW w:w="834"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rPr>
              <w:t>工具能力要求</w:t>
            </w:r>
          </w:p>
        </w:tc>
        <w:tc>
          <w:tcPr>
            <w:tcW w:w="4165"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spacing w:line="240" w:lineRule="auto"/>
              <w:ind w:firstLine="0" w:firstLineChars="0"/>
              <w:textAlignment w:val="center"/>
              <w:rPr>
                <w:sz w:val="21"/>
                <w:szCs w:val="21"/>
                <w:highlight w:val="none"/>
              </w:rPr>
            </w:pPr>
            <w:r>
              <w:rPr>
                <w:rFonts w:hint="eastAsia"/>
                <w:sz w:val="21"/>
                <w:szCs w:val="21"/>
                <w:highlight w:val="none"/>
              </w:rPr>
              <w:t>1</w:t>
            </w:r>
            <w:r>
              <w:rPr>
                <w:sz w:val="21"/>
                <w:szCs w:val="21"/>
                <w:highlight w:val="none"/>
              </w:rPr>
              <w:t>、整体要求：产品必须完全自主原创，避免潜在的版权纠纷，对软件自主可控，从底层保证系统的安全性；</w:t>
            </w:r>
          </w:p>
          <w:p>
            <w:pPr>
              <w:spacing w:line="240" w:lineRule="auto"/>
              <w:ind w:firstLine="0" w:firstLineChars="0"/>
              <w:textAlignment w:val="center"/>
              <w:rPr>
                <w:sz w:val="21"/>
                <w:szCs w:val="21"/>
                <w:highlight w:val="none"/>
              </w:rPr>
            </w:pPr>
            <w:r>
              <w:rPr>
                <w:sz w:val="21"/>
                <w:szCs w:val="21"/>
                <w:highlight w:val="none"/>
              </w:rPr>
              <w:t>2 架构支持：支持龙芯、鲲鹏、兆芯、海光、飞腾、申威等国产主流芯片处理器；</w:t>
            </w:r>
          </w:p>
          <w:p>
            <w:pPr>
              <w:spacing w:line="240" w:lineRule="auto"/>
              <w:ind w:firstLine="0" w:firstLineChars="0"/>
              <w:textAlignment w:val="center"/>
              <w:rPr>
                <w:sz w:val="21"/>
                <w:szCs w:val="21"/>
                <w:highlight w:val="none"/>
              </w:rPr>
            </w:pPr>
            <w:r>
              <w:rPr>
                <w:sz w:val="21"/>
                <w:szCs w:val="21"/>
                <w:highlight w:val="none"/>
              </w:rPr>
              <w:t>（1）支持双核及多核处理器；</w:t>
            </w:r>
          </w:p>
          <w:p>
            <w:pPr>
              <w:spacing w:line="240" w:lineRule="auto"/>
              <w:ind w:firstLine="0" w:firstLineChars="0"/>
              <w:textAlignment w:val="center"/>
              <w:rPr>
                <w:sz w:val="21"/>
                <w:szCs w:val="21"/>
                <w:highlight w:val="none"/>
              </w:rPr>
            </w:pPr>
            <w:r>
              <w:rPr>
                <w:sz w:val="21"/>
                <w:szCs w:val="21"/>
                <w:highlight w:val="none"/>
              </w:rPr>
              <w:t>（2）支持并优化NUMA体系架构；</w:t>
            </w:r>
          </w:p>
          <w:p>
            <w:pPr>
              <w:spacing w:line="240" w:lineRule="auto"/>
              <w:ind w:firstLine="0" w:firstLineChars="0"/>
              <w:textAlignment w:val="center"/>
              <w:rPr>
                <w:sz w:val="21"/>
                <w:szCs w:val="21"/>
                <w:highlight w:val="none"/>
              </w:rPr>
            </w:pPr>
            <w:r>
              <w:rPr>
                <w:sz w:val="21"/>
                <w:szCs w:val="21"/>
                <w:highlight w:val="none"/>
              </w:rPr>
              <w:t>3、功能要求：提供联机事件跟踪和会话、性能监视工具，以协助数据库管理员进行系统性能分析；</w:t>
            </w:r>
          </w:p>
          <w:p>
            <w:pPr>
              <w:spacing w:line="240" w:lineRule="auto"/>
              <w:ind w:firstLine="0" w:firstLineChars="0"/>
              <w:textAlignment w:val="center"/>
              <w:rPr>
                <w:sz w:val="21"/>
                <w:szCs w:val="21"/>
                <w:highlight w:val="none"/>
              </w:rPr>
            </w:pPr>
            <w:r>
              <w:rPr>
                <w:sz w:val="21"/>
                <w:szCs w:val="21"/>
                <w:highlight w:val="none"/>
              </w:rPr>
              <w:t>（1）关键部件达到安全可靠测评等级1级及以上；</w:t>
            </w:r>
          </w:p>
          <w:p>
            <w:pPr>
              <w:spacing w:line="240" w:lineRule="auto"/>
              <w:ind w:firstLine="0" w:firstLineChars="0"/>
              <w:textAlignment w:val="center"/>
              <w:rPr>
                <w:sz w:val="21"/>
                <w:szCs w:val="21"/>
                <w:highlight w:val="none"/>
              </w:rPr>
            </w:pPr>
            <w:r>
              <w:rPr>
                <w:sz w:val="21"/>
                <w:szCs w:val="21"/>
                <w:highlight w:val="none"/>
              </w:rPr>
              <w:t>（2）支持插入触发器、更新触发器、删除触发器等触发器类型；</w:t>
            </w:r>
          </w:p>
          <w:p>
            <w:pPr>
              <w:spacing w:line="240" w:lineRule="auto"/>
              <w:ind w:firstLine="0" w:firstLineChars="0"/>
              <w:textAlignment w:val="center"/>
              <w:rPr>
                <w:sz w:val="21"/>
                <w:szCs w:val="21"/>
                <w:highlight w:val="none"/>
              </w:rPr>
            </w:pPr>
            <w:r>
              <w:rPr>
                <w:sz w:val="21"/>
                <w:szCs w:val="21"/>
                <w:highlight w:val="none"/>
              </w:rPr>
              <w:t>（3）支持可编程的SQL语言，支持存储过程、函数和过程包，用于实现复杂的判断和运算功能； 可编程SQL语言应支持数组类型、内嵌表类型和动态SQL类型等；</w:t>
            </w:r>
          </w:p>
          <w:p>
            <w:pPr>
              <w:spacing w:line="240" w:lineRule="auto"/>
              <w:ind w:firstLine="0" w:firstLineChars="0"/>
              <w:textAlignment w:val="center"/>
              <w:rPr>
                <w:sz w:val="21"/>
                <w:szCs w:val="21"/>
                <w:highlight w:val="none"/>
              </w:rPr>
            </w:pPr>
            <w:r>
              <w:rPr>
                <w:sz w:val="21"/>
                <w:szCs w:val="21"/>
                <w:highlight w:val="none"/>
              </w:rPr>
              <w:t>（4）支持INSERT ALL同时插入多张表；</w:t>
            </w:r>
          </w:p>
          <w:p>
            <w:pPr>
              <w:spacing w:line="240" w:lineRule="auto"/>
              <w:ind w:firstLine="0" w:firstLineChars="0"/>
              <w:textAlignment w:val="center"/>
              <w:rPr>
                <w:sz w:val="21"/>
                <w:szCs w:val="21"/>
                <w:highlight w:val="none"/>
              </w:rPr>
            </w:pPr>
            <w:r>
              <w:rPr>
                <w:sz w:val="21"/>
                <w:szCs w:val="21"/>
                <w:highlight w:val="none"/>
              </w:rPr>
              <w:t>（5）支持INSERT..VALUES(value_list)[,(value_list)]..一次插入多条记录；</w:t>
            </w:r>
          </w:p>
          <w:p>
            <w:pPr>
              <w:spacing w:line="240" w:lineRule="auto"/>
              <w:ind w:firstLine="0" w:firstLineChars="0"/>
              <w:textAlignment w:val="center"/>
              <w:rPr>
                <w:sz w:val="21"/>
                <w:szCs w:val="21"/>
                <w:highlight w:val="none"/>
              </w:rPr>
            </w:pPr>
            <w:r>
              <w:rPr>
                <w:sz w:val="21"/>
                <w:szCs w:val="21"/>
                <w:highlight w:val="none"/>
              </w:rPr>
              <w:t>4、兼容性要求：具备高可扩展性，支持主备集群、读写分离集群等；</w:t>
            </w:r>
          </w:p>
          <w:p>
            <w:pPr>
              <w:spacing w:line="240" w:lineRule="auto"/>
              <w:ind w:firstLine="0" w:firstLineChars="0"/>
              <w:textAlignment w:val="center"/>
              <w:rPr>
                <w:sz w:val="21"/>
                <w:szCs w:val="21"/>
                <w:highlight w:val="none"/>
              </w:rPr>
            </w:pPr>
            <w:r>
              <w:rPr>
                <w:sz w:val="21"/>
                <w:szCs w:val="21"/>
                <w:highlight w:val="none"/>
              </w:rPr>
              <w:t>（1）兼容中标麒麟、银河麒麟、统信UOS等多种国产Linux系列操作系统；</w:t>
            </w:r>
          </w:p>
          <w:p>
            <w:pPr>
              <w:spacing w:line="240" w:lineRule="auto"/>
              <w:ind w:firstLine="0" w:firstLineChars="0"/>
              <w:textAlignment w:val="center"/>
              <w:rPr>
                <w:sz w:val="21"/>
                <w:szCs w:val="21"/>
                <w:highlight w:val="none"/>
              </w:rPr>
            </w:pPr>
            <w:r>
              <w:rPr>
                <w:sz w:val="21"/>
                <w:szCs w:val="21"/>
                <w:highlight w:val="none"/>
              </w:rPr>
              <w:t>（2）兼容多种应用中间件，包括但不限于东方通、金蝶、</w:t>
            </w:r>
            <w:r>
              <w:rPr>
                <w:rFonts w:hint="eastAsia"/>
                <w:sz w:val="21"/>
                <w:szCs w:val="21"/>
                <w:highlight w:val="none"/>
              </w:rPr>
              <w:t>宝</w:t>
            </w:r>
            <w:r>
              <w:rPr>
                <w:sz w:val="21"/>
                <w:szCs w:val="21"/>
                <w:highlight w:val="none"/>
              </w:rPr>
              <w:t>兰德、普元</w:t>
            </w:r>
            <w:r>
              <w:rPr>
                <w:rFonts w:hint="eastAsia"/>
                <w:sz w:val="21"/>
                <w:szCs w:val="21"/>
                <w:highlight w:val="none"/>
              </w:rPr>
              <w:t>等</w:t>
            </w:r>
            <w:r>
              <w:rPr>
                <w:sz w:val="21"/>
                <w:szCs w:val="21"/>
                <w:highlight w:val="none"/>
              </w:rPr>
              <w:t>；</w:t>
            </w:r>
          </w:p>
          <w:p>
            <w:pPr>
              <w:spacing w:line="240" w:lineRule="auto"/>
              <w:ind w:firstLine="0" w:firstLineChars="0"/>
              <w:textAlignment w:val="center"/>
              <w:rPr>
                <w:sz w:val="21"/>
                <w:szCs w:val="21"/>
                <w:highlight w:val="none"/>
              </w:rPr>
            </w:pPr>
            <w:r>
              <w:rPr>
                <w:sz w:val="21"/>
                <w:szCs w:val="21"/>
                <w:highlight w:val="none"/>
              </w:rPr>
              <w:t>（3）支持传统的虚拟机环境部署，也支持通过容器或在裸金属环境下部署；</w:t>
            </w:r>
          </w:p>
          <w:p>
            <w:pPr>
              <w:spacing w:line="240" w:lineRule="auto"/>
              <w:ind w:firstLine="0" w:firstLineChars="0"/>
              <w:textAlignment w:val="center"/>
              <w:rPr>
                <w:sz w:val="21"/>
                <w:szCs w:val="21"/>
                <w:highlight w:val="none"/>
              </w:rPr>
            </w:pPr>
            <w:r>
              <w:rPr>
                <w:sz w:val="21"/>
                <w:szCs w:val="21"/>
                <w:highlight w:val="none"/>
              </w:rPr>
              <w:t>5、可靠性要求：具备高可靠性，支持完全备份、增量备份、差异备份、归档备份等功能；</w:t>
            </w:r>
          </w:p>
          <w:p>
            <w:pPr>
              <w:spacing w:line="240" w:lineRule="auto"/>
              <w:ind w:firstLine="0" w:firstLineChars="0"/>
              <w:textAlignment w:val="center"/>
              <w:rPr>
                <w:sz w:val="21"/>
                <w:szCs w:val="21"/>
                <w:highlight w:val="none"/>
              </w:rPr>
            </w:pPr>
            <w:r>
              <w:rPr>
                <w:sz w:val="21"/>
                <w:szCs w:val="21"/>
                <w:highlight w:val="none"/>
              </w:rPr>
              <w:t>（1）支持逻辑备份恢复，可对库、用户、模式、表、选定的数据行进行备份和恢复；</w:t>
            </w:r>
          </w:p>
          <w:p>
            <w:pPr>
              <w:spacing w:line="240" w:lineRule="auto"/>
              <w:ind w:firstLine="0" w:firstLineChars="0"/>
              <w:textAlignment w:val="center"/>
              <w:rPr>
                <w:sz w:val="21"/>
                <w:szCs w:val="21"/>
                <w:highlight w:val="none"/>
              </w:rPr>
            </w:pPr>
            <w:r>
              <w:rPr>
                <w:sz w:val="21"/>
                <w:szCs w:val="21"/>
                <w:highlight w:val="none"/>
              </w:rPr>
              <w:t>（2）支持物理备份和恢复，支持在线和离线备份，支持对库、表空间、表、归档等多种粒度的备份，支持基于备份集的方式进行备份，支持完全备份、增量备份的备份和还原，支持基于时间点的还原；</w:t>
            </w:r>
          </w:p>
          <w:p>
            <w:pPr>
              <w:spacing w:line="240" w:lineRule="auto"/>
              <w:ind w:firstLine="0" w:firstLineChars="0"/>
              <w:textAlignment w:val="center"/>
              <w:rPr>
                <w:sz w:val="21"/>
                <w:szCs w:val="21"/>
                <w:highlight w:val="none"/>
              </w:rPr>
            </w:pPr>
            <w:r>
              <w:rPr>
                <w:sz w:val="21"/>
                <w:szCs w:val="21"/>
                <w:highlight w:val="none"/>
              </w:rPr>
              <w:t>6、管理性要求：提供图形化、命令行、静默等三种方式进行产品安装以适应不同的使用环境，且不同的软硬件平台下保持相同的安装向导过程；</w:t>
            </w:r>
          </w:p>
          <w:p>
            <w:pPr>
              <w:widowControl/>
              <w:spacing w:line="240" w:lineRule="auto"/>
              <w:ind w:firstLine="0" w:firstLineChars="0"/>
              <w:textAlignment w:val="center"/>
              <w:rPr>
                <w:rFonts w:asciiTheme="minorEastAsia" w:hAnsiTheme="minorEastAsia" w:eastAsiaTheme="minorEastAsia" w:cstheme="minorEastAsia"/>
                <w:sz w:val="21"/>
                <w:szCs w:val="21"/>
                <w:highlight w:val="none"/>
              </w:rPr>
            </w:pPr>
            <w:r>
              <w:rPr>
                <w:sz w:val="21"/>
                <w:szCs w:val="21"/>
                <w:highlight w:val="none"/>
              </w:rPr>
              <w:t>（1）提供多种功能的命令行工具和图形化工具，便于使用管理和自定义集成。需提供远程的SQL执行和管理的的命令行工具以及图形化的对象管理和SQL执行工具、性能监控工具。</w:t>
            </w:r>
          </w:p>
        </w:tc>
      </w:tr>
      <w:tr>
        <w:tblPrEx>
          <w:tblCellMar>
            <w:top w:w="0" w:type="dxa"/>
            <w:left w:w="0" w:type="dxa"/>
            <w:bottom w:w="0" w:type="dxa"/>
            <w:right w:w="0" w:type="dxa"/>
          </w:tblCellMar>
        </w:tblPrEx>
        <w:trPr>
          <w:trHeight w:val="90" w:hRule="atLeast"/>
        </w:trPr>
        <w:tc>
          <w:tcPr>
            <w:tcW w:w="834"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kern w:val="0"/>
                <w:sz w:val="21"/>
                <w:szCs w:val="21"/>
                <w:highlight w:val="none"/>
              </w:rPr>
              <w:t>安全性要求</w:t>
            </w:r>
          </w:p>
        </w:tc>
        <w:tc>
          <w:tcPr>
            <w:tcW w:w="4165"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rPr>
              <w:t>提供第三方安全检测报告。</w:t>
            </w:r>
          </w:p>
        </w:tc>
      </w:tr>
      <w:tr>
        <w:tblPrEx>
          <w:tblCellMar>
            <w:top w:w="0" w:type="dxa"/>
            <w:left w:w="0" w:type="dxa"/>
            <w:bottom w:w="0" w:type="dxa"/>
            <w:right w:w="0" w:type="dxa"/>
          </w:tblCellMar>
        </w:tblPrEx>
        <w:trPr>
          <w:trHeight w:val="90" w:hRule="atLeast"/>
        </w:trPr>
        <w:tc>
          <w:tcPr>
            <w:tcW w:w="834"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kern w:val="0"/>
                <w:sz w:val="21"/>
                <w:szCs w:val="21"/>
                <w:highlight w:val="none"/>
              </w:rPr>
              <w:t>部署模式</w:t>
            </w:r>
          </w:p>
        </w:tc>
        <w:tc>
          <w:tcPr>
            <w:tcW w:w="4165"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rPr>
              <w:t>支持单机部署和集群部署两种部署模式。其中集群部署，需提供集群管理工具，可对集群节点、集群应用等进行统一管理和配置。</w:t>
            </w:r>
          </w:p>
        </w:tc>
      </w:tr>
    </w:tbl>
    <w:p>
      <w:pPr>
        <w:spacing w:line="240" w:lineRule="auto"/>
        <w:ind w:firstLine="0" w:firstLineChars="0"/>
        <w:rPr>
          <w:rFonts w:asciiTheme="minorEastAsia" w:hAnsiTheme="minorEastAsia" w:eastAsiaTheme="minorEastAsia" w:cstheme="minorEastAsia"/>
          <w:sz w:val="21"/>
          <w:szCs w:val="21"/>
          <w:highlight w:val="none"/>
        </w:rPr>
      </w:pPr>
    </w:p>
    <w:p>
      <w:pPr>
        <w:pStyle w:val="4"/>
        <w:rPr>
          <w:highlight w:val="none"/>
        </w:rPr>
      </w:pPr>
      <w:r>
        <w:rPr>
          <w:rFonts w:hint="eastAsia"/>
          <w:highlight w:val="none"/>
        </w:rPr>
        <w:t>中间件工具</w:t>
      </w:r>
    </w:p>
    <w:tbl>
      <w:tblPr>
        <w:tblStyle w:val="35"/>
        <w:tblW w:w="8806" w:type="dxa"/>
        <w:tblInd w:w="0" w:type="dxa"/>
        <w:tblLayout w:type="fixed"/>
        <w:tblCellMar>
          <w:top w:w="0" w:type="dxa"/>
          <w:left w:w="0" w:type="dxa"/>
          <w:bottom w:w="0" w:type="dxa"/>
          <w:right w:w="0" w:type="dxa"/>
        </w:tblCellMar>
      </w:tblPr>
      <w:tblGrid>
        <w:gridCol w:w="1469"/>
        <w:gridCol w:w="7337"/>
      </w:tblGrid>
      <w:tr>
        <w:tblPrEx>
          <w:tblCellMar>
            <w:top w:w="0" w:type="dxa"/>
            <w:left w:w="0" w:type="dxa"/>
            <w:bottom w:w="0" w:type="dxa"/>
            <w:right w:w="0" w:type="dxa"/>
          </w:tblCellMar>
        </w:tblPrEx>
        <w:trPr>
          <w:trHeight w:val="413" w:hRule="atLeast"/>
        </w:trPr>
        <w:tc>
          <w:tcPr>
            <w:tcW w:w="146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rPr>
              <w:t>工具描述</w:t>
            </w:r>
          </w:p>
        </w:tc>
        <w:tc>
          <w:tcPr>
            <w:tcW w:w="733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rPr>
              <w:t>为应用系统提供应用中间件工具。</w:t>
            </w:r>
          </w:p>
        </w:tc>
      </w:tr>
      <w:tr>
        <w:tblPrEx>
          <w:tblCellMar>
            <w:top w:w="0" w:type="dxa"/>
            <w:left w:w="0" w:type="dxa"/>
            <w:bottom w:w="0" w:type="dxa"/>
            <w:right w:w="0" w:type="dxa"/>
          </w:tblCellMar>
        </w:tblPrEx>
        <w:trPr>
          <w:trHeight w:val="870" w:hRule="atLeast"/>
        </w:trPr>
        <w:tc>
          <w:tcPr>
            <w:tcW w:w="146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rPr>
              <w:t>工具能力要求</w:t>
            </w:r>
          </w:p>
        </w:tc>
        <w:tc>
          <w:tcPr>
            <w:tcW w:w="733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1、整体要求:JavaEE应用服务器软件具有国内自主知识产权，提供著作权复印件证明；</w:t>
            </w:r>
          </w:p>
          <w:p>
            <w:pPr>
              <w:widowControl/>
              <w:spacing w:line="240" w:lineRule="auto"/>
              <w:ind w:firstLine="0" w:firstLineChars="0"/>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2、功能要求:为响应国家IPv6战略规划要求，必须支持IPv6；</w:t>
            </w:r>
          </w:p>
          <w:p>
            <w:pPr>
              <w:widowControl/>
              <w:spacing w:line="240" w:lineRule="auto"/>
              <w:ind w:firstLine="0" w:firstLineChars="0"/>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（1）应用服务器软件异常退出时，支持自动重启，以提供自恢复能力；</w:t>
            </w:r>
          </w:p>
          <w:p>
            <w:pPr>
              <w:widowControl/>
              <w:spacing w:line="240" w:lineRule="auto"/>
              <w:ind w:firstLine="0" w:firstLineChars="0"/>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（2）关键部件达到安全可靠测评等级1级及以上；</w:t>
            </w:r>
          </w:p>
          <w:p>
            <w:pPr>
              <w:widowControl/>
              <w:spacing w:line="240" w:lineRule="auto"/>
              <w:ind w:firstLine="0" w:firstLineChars="0"/>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3、集群功能要求:支持集群部署，实现负载均衡；</w:t>
            </w:r>
          </w:p>
          <w:p>
            <w:pPr>
              <w:widowControl/>
              <w:spacing w:line="240" w:lineRule="auto"/>
              <w:ind w:firstLine="0" w:firstLineChars="0"/>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（1）提供集群管理工具，可对集群节点、集群应用等统一管理配置；</w:t>
            </w:r>
          </w:p>
          <w:p>
            <w:pPr>
              <w:widowControl/>
              <w:spacing w:line="240" w:lineRule="auto"/>
              <w:ind w:firstLine="0" w:firstLineChars="0"/>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4、管理性要求:具备标准的B/S模式管理控制台，可远程对应用服务器环境进行应用部署、管理维护和监控；</w:t>
            </w:r>
          </w:p>
          <w:p>
            <w:pPr>
              <w:widowControl/>
              <w:spacing w:line="240" w:lineRule="auto"/>
              <w:ind w:firstLine="0" w:firstLineChars="0"/>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（1）支持服务器节点域管理功能；</w:t>
            </w:r>
          </w:p>
          <w:p>
            <w:pPr>
              <w:widowControl/>
              <w:spacing w:line="240" w:lineRule="auto"/>
              <w:ind w:firstLine="0" w:firstLineChars="0"/>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（2）提供中间件的服务化发放能力，支持根据用户指定参数进行中间件实例化发放、升级、销毁的全生命周期管理；</w:t>
            </w:r>
          </w:p>
          <w:p>
            <w:pPr>
              <w:widowControl/>
              <w:spacing w:line="240" w:lineRule="auto"/>
              <w:ind w:firstLine="0" w:firstLineChars="0"/>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（3）内置快照功能，能够对服务器及应用程序的运行时信息进行捕获；</w:t>
            </w:r>
          </w:p>
          <w:p>
            <w:pPr>
              <w:widowControl/>
              <w:spacing w:line="240" w:lineRule="auto"/>
              <w:ind w:firstLine="0" w:firstLineChars="0"/>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（4）支持监控操作系统、Heap内存、CPU的使用率，配置资源监控阈值告警；</w:t>
            </w:r>
          </w:p>
          <w:p>
            <w:pPr>
              <w:widowControl/>
              <w:spacing w:line="240" w:lineRule="auto"/>
              <w:ind w:firstLine="0" w:firstLineChars="0"/>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（5）支持通过管理控制台进行不同节点实例，集群的日志收集、下载、查看，支持日志滚动。</w:t>
            </w:r>
          </w:p>
        </w:tc>
      </w:tr>
      <w:tr>
        <w:tblPrEx>
          <w:tblCellMar>
            <w:top w:w="0" w:type="dxa"/>
            <w:left w:w="0" w:type="dxa"/>
            <w:bottom w:w="0" w:type="dxa"/>
            <w:right w:w="0" w:type="dxa"/>
          </w:tblCellMar>
        </w:tblPrEx>
        <w:trPr>
          <w:trHeight w:val="870" w:hRule="atLeast"/>
        </w:trPr>
        <w:tc>
          <w:tcPr>
            <w:tcW w:w="146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rPr>
              <w:t>兼容性要求</w:t>
            </w:r>
          </w:p>
        </w:tc>
        <w:tc>
          <w:tcPr>
            <w:tcW w:w="733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spacing w:line="240" w:lineRule="auto"/>
              <w:ind w:firstLine="0" w:firstLineChars="0"/>
              <w:textAlignment w:val="center"/>
              <w:rPr>
                <w:rFonts w:cs="宋体"/>
                <w:sz w:val="21"/>
                <w:szCs w:val="21"/>
                <w:highlight w:val="none"/>
              </w:rPr>
            </w:pPr>
            <w:r>
              <w:rPr>
                <w:rFonts w:hint="eastAsia" w:cs="宋体"/>
                <w:sz w:val="21"/>
                <w:szCs w:val="21"/>
                <w:highlight w:val="none"/>
              </w:rPr>
              <w:t>1、支持多种主流国产操作系统，如中标麒麟、银河麒麟、统信UOS、深度等。</w:t>
            </w:r>
          </w:p>
          <w:p>
            <w:pPr>
              <w:widowControl/>
              <w:spacing w:line="240" w:lineRule="auto"/>
              <w:ind w:firstLine="0" w:firstLineChars="0"/>
              <w:textAlignment w:val="center"/>
              <w:rPr>
                <w:rFonts w:asciiTheme="minorEastAsia" w:hAnsiTheme="minorEastAsia" w:eastAsiaTheme="minorEastAsia" w:cstheme="minorEastAsia"/>
                <w:sz w:val="21"/>
                <w:szCs w:val="21"/>
                <w:highlight w:val="none"/>
              </w:rPr>
            </w:pPr>
            <w:r>
              <w:rPr>
                <w:rFonts w:hint="eastAsia" w:cs="宋体"/>
                <w:sz w:val="21"/>
                <w:szCs w:val="21"/>
                <w:highlight w:val="none"/>
              </w:rPr>
              <w:t>2、支持多种主流国产数据库系统，如达梦、金仓、神通、南大通用等。</w:t>
            </w:r>
          </w:p>
        </w:tc>
      </w:tr>
      <w:tr>
        <w:tblPrEx>
          <w:tblCellMar>
            <w:top w:w="0" w:type="dxa"/>
            <w:left w:w="0" w:type="dxa"/>
            <w:bottom w:w="0" w:type="dxa"/>
            <w:right w:w="0" w:type="dxa"/>
          </w:tblCellMar>
        </w:tblPrEx>
        <w:trPr>
          <w:trHeight w:val="580" w:hRule="atLeast"/>
        </w:trPr>
        <w:tc>
          <w:tcPr>
            <w:tcW w:w="146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rPr>
              <w:t>安全性要求</w:t>
            </w:r>
          </w:p>
        </w:tc>
        <w:tc>
          <w:tcPr>
            <w:tcW w:w="733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textAlignment w:val="center"/>
              <w:rPr>
                <w:rFonts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提供第三方安全检测报告</w:t>
            </w:r>
          </w:p>
        </w:tc>
      </w:tr>
      <w:tr>
        <w:tblPrEx>
          <w:tblCellMar>
            <w:top w:w="0" w:type="dxa"/>
            <w:left w:w="0" w:type="dxa"/>
            <w:bottom w:w="0" w:type="dxa"/>
            <w:right w:w="0" w:type="dxa"/>
          </w:tblCellMar>
        </w:tblPrEx>
        <w:trPr>
          <w:trHeight w:val="580" w:hRule="atLeast"/>
        </w:trPr>
        <w:tc>
          <w:tcPr>
            <w:tcW w:w="146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rPr>
              <w:t>部署模式</w:t>
            </w:r>
          </w:p>
        </w:tc>
        <w:tc>
          <w:tcPr>
            <w:tcW w:w="733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提供单机及集群部署能力，支持一键部署、嵌入式部署、目录级部署、热部署等多种部署方式；</w:t>
            </w:r>
          </w:p>
        </w:tc>
      </w:tr>
    </w:tbl>
    <w:p>
      <w:pPr>
        <w:spacing w:line="240" w:lineRule="auto"/>
        <w:ind w:firstLine="0" w:firstLineChars="0"/>
        <w:rPr>
          <w:rFonts w:asciiTheme="minorEastAsia" w:hAnsiTheme="minorEastAsia" w:eastAsiaTheme="minorEastAsia" w:cstheme="minorEastAsia"/>
          <w:sz w:val="21"/>
          <w:szCs w:val="21"/>
          <w:highlight w:val="none"/>
        </w:rPr>
      </w:pPr>
    </w:p>
    <w:p>
      <w:pPr>
        <w:pStyle w:val="4"/>
        <w:rPr>
          <w:highlight w:val="none"/>
        </w:rPr>
      </w:pPr>
      <w:r>
        <w:rPr>
          <w:rFonts w:hint="eastAsia"/>
          <w:highlight w:val="none"/>
        </w:rPr>
        <w:t>中间件-分布式缓存中间件</w:t>
      </w:r>
    </w:p>
    <w:tbl>
      <w:tblPr>
        <w:tblStyle w:val="35"/>
        <w:tblW w:w="4998" w:type="pct"/>
        <w:tblInd w:w="0" w:type="dxa"/>
        <w:tblLayout w:type="autofit"/>
        <w:tblCellMar>
          <w:top w:w="0" w:type="dxa"/>
          <w:left w:w="0" w:type="dxa"/>
          <w:bottom w:w="0" w:type="dxa"/>
          <w:right w:w="0" w:type="dxa"/>
        </w:tblCellMar>
      </w:tblPr>
      <w:tblGrid>
        <w:gridCol w:w="1784"/>
        <w:gridCol w:w="6545"/>
      </w:tblGrid>
      <w:tr>
        <w:tblPrEx>
          <w:tblCellMar>
            <w:top w:w="0" w:type="dxa"/>
            <w:left w:w="0" w:type="dxa"/>
            <w:bottom w:w="0" w:type="dxa"/>
            <w:right w:w="0" w:type="dxa"/>
          </w:tblCellMar>
        </w:tblPrEx>
        <w:trPr>
          <w:trHeight w:val="580" w:hRule="atLeast"/>
        </w:trPr>
        <w:tc>
          <w:tcPr>
            <w:tcW w:w="1071"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kern w:val="0"/>
                <w:sz w:val="21"/>
                <w:szCs w:val="21"/>
                <w:highlight w:val="none"/>
              </w:rPr>
              <w:t>工具描述</w:t>
            </w:r>
          </w:p>
        </w:tc>
        <w:tc>
          <w:tcPr>
            <w:tcW w:w="3928"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提供高性能、高可靠的共享内存数据管控能力，支持大规模数据的实时存取、多节点集群部署及数据同步，通过多索引等方式实现高效的数据读写与查询，适用于高并发、低延迟的业务场景。</w:t>
            </w:r>
          </w:p>
        </w:tc>
      </w:tr>
      <w:tr>
        <w:tblPrEx>
          <w:tblCellMar>
            <w:top w:w="0" w:type="dxa"/>
            <w:left w:w="0" w:type="dxa"/>
            <w:bottom w:w="0" w:type="dxa"/>
            <w:right w:w="0" w:type="dxa"/>
          </w:tblCellMar>
        </w:tblPrEx>
        <w:trPr>
          <w:trHeight w:val="380" w:hRule="atLeast"/>
        </w:trPr>
        <w:tc>
          <w:tcPr>
            <w:tcW w:w="1071"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kern w:val="0"/>
                <w:sz w:val="21"/>
                <w:szCs w:val="21"/>
                <w:highlight w:val="none"/>
              </w:rPr>
              <w:t>工具能力要求</w:t>
            </w:r>
          </w:p>
        </w:tc>
        <w:tc>
          <w:tcPr>
            <w:tcW w:w="3928"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工具能力包括但不限于以下内容:</w:t>
            </w:r>
          </w:p>
          <w:p>
            <w:pPr>
              <w:widowControl/>
              <w:spacing w:line="240" w:lineRule="auto"/>
              <w:ind w:firstLine="0" w:firstLineChars="0"/>
              <w:jc w:val="left"/>
              <w:textAlignment w:val="center"/>
              <w:rPr>
                <w:rFonts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1、高性能数据存取：采用Key-Value加多索引方式存储数据，支持String、List、Set、Hash等多种数据类型，支持毫秒级数据查询与更新。</w:t>
            </w:r>
          </w:p>
          <w:p>
            <w:pPr>
              <w:widowControl/>
              <w:spacing w:line="240" w:lineRule="auto"/>
              <w:ind w:firstLine="0" w:firstLineChars="0"/>
              <w:jc w:val="left"/>
              <w:textAlignment w:val="center"/>
              <w:rPr>
                <w:rFonts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2、多节点集群与数据同步：支持多节点并行运行，各节点互为主备且均保存全量数据，任意节点故障不影响整体业务可用性；节点间通过异步队列机制实现数据同步，同步异常不影响主业务响应。</w:t>
            </w:r>
          </w:p>
          <w:p>
            <w:pPr>
              <w:widowControl/>
              <w:spacing w:line="240" w:lineRule="auto"/>
              <w:ind w:firstLine="0" w:firstLineChars="0"/>
              <w:jc w:val="left"/>
              <w:textAlignment w:val="center"/>
              <w:rPr>
                <w:rFonts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3、数据高可靠性保障：支持数据有效期设置与自动回收，支持服务重启后从其他节点恢复数据；支持Redo日志与数据持久化，系统重启时可自动恢复数据。</w:t>
            </w:r>
          </w:p>
          <w:p>
            <w:pPr>
              <w:widowControl/>
              <w:spacing w:line="240" w:lineRule="auto"/>
              <w:ind w:firstLine="0" w:firstLineChars="0"/>
              <w:jc w:val="left"/>
              <w:textAlignment w:val="center"/>
              <w:rPr>
                <w:rFonts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4、多语言客户端与协议兼容：提供多种应用开发语言接口适配，全面兼容Redis调用接口，支持Redis应用的无感迁移；提供命令行客户端及JMX监控接口，便于日常运维与状态监控。</w:t>
            </w:r>
          </w:p>
          <w:p>
            <w:pPr>
              <w:widowControl/>
              <w:spacing w:line="240" w:lineRule="auto"/>
              <w:ind w:firstLine="0" w:firstLineChars="0"/>
              <w:jc w:val="left"/>
              <w:textAlignment w:val="center"/>
              <w:rPr>
                <w:rFonts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5、集中管控与监控能力：支持多集群、多服务节点组的统一管理，支持配置动态更新（不停机加载）；支持服务状态监控，包括服务器信息、客户端连接、内存使用、运行状态、集群状态等。</w:t>
            </w:r>
          </w:p>
          <w:p>
            <w:pPr>
              <w:widowControl/>
              <w:spacing w:line="240" w:lineRule="auto"/>
              <w:ind w:firstLine="0" w:firstLineChars="0"/>
              <w:jc w:val="left"/>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rPr>
              <w:t>6、数据安全管控：支持国密算法对敏感数据进行加密存储与传输，支持SSL连接加密；支持客户端接入时的身份认证与鉴权控制，确保接入应用仅能访问授权数据。</w:t>
            </w:r>
          </w:p>
        </w:tc>
      </w:tr>
      <w:tr>
        <w:tblPrEx>
          <w:tblCellMar>
            <w:top w:w="0" w:type="dxa"/>
            <w:left w:w="0" w:type="dxa"/>
            <w:bottom w:w="0" w:type="dxa"/>
            <w:right w:w="0" w:type="dxa"/>
          </w:tblCellMar>
        </w:tblPrEx>
        <w:trPr>
          <w:trHeight w:val="90" w:hRule="atLeast"/>
        </w:trPr>
        <w:tc>
          <w:tcPr>
            <w:tcW w:w="1071"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kern w:val="0"/>
                <w:sz w:val="21"/>
                <w:szCs w:val="21"/>
                <w:highlight w:val="none"/>
              </w:rPr>
              <w:t>兼容性要求</w:t>
            </w:r>
          </w:p>
        </w:tc>
        <w:tc>
          <w:tcPr>
            <w:tcW w:w="3928"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rPr>
              <w:t>兼容国产化主流操作系统、数据库。</w:t>
            </w:r>
          </w:p>
        </w:tc>
      </w:tr>
      <w:tr>
        <w:tblPrEx>
          <w:tblCellMar>
            <w:top w:w="0" w:type="dxa"/>
            <w:left w:w="0" w:type="dxa"/>
            <w:bottom w:w="0" w:type="dxa"/>
            <w:right w:w="0" w:type="dxa"/>
          </w:tblCellMar>
        </w:tblPrEx>
        <w:trPr>
          <w:trHeight w:val="324" w:hRule="atLeast"/>
        </w:trPr>
        <w:tc>
          <w:tcPr>
            <w:tcW w:w="1071"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kern w:val="0"/>
                <w:sz w:val="21"/>
                <w:szCs w:val="21"/>
                <w:highlight w:val="none"/>
              </w:rPr>
              <w:t>安全性要求</w:t>
            </w:r>
          </w:p>
        </w:tc>
        <w:tc>
          <w:tcPr>
            <w:tcW w:w="3928"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提供第三方安全检测报告。</w:t>
            </w:r>
          </w:p>
        </w:tc>
      </w:tr>
      <w:tr>
        <w:tblPrEx>
          <w:tblCellMar>
            <w:top w:w="0" w:type="dxa"/>
            <w:left w:w="0" w:type="dxa"/>
            <w:bottom w:w="0" w:type="dxa"/>
            <w:right w:w="0" w:type="dxa"/>
          </w:tblCellMar>
        </w:tblPrEx>
        <w:trPr>
          <w:trHeight w:val="354" w:hRule="atLeast"/>
        </w:trPr>
        <w:tc>
          <w:tcPr>
            <w:tcW w:w="1071"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kern w:val="0"/>
                <w:sz w:val="21"/>
                <w:szCs w:val="21"/>
                <w:highlight w:val="none"/>
              </w:rPr>
              <w:t>部署模式</w:t>
            </w:r>
          </w:p>
        </w:tc>
        <w:tc>
          <w:tcPr>
            <w:tcW w:w="3928"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rPr>
              <w:t>支持单机部署和集群部署两种部署模式。</w:t>
            </w:r>
            <w:r>
              <w:rPr>
                <w:rFonts w:hint="eastAsia" w:asciiTheme="minorEastAsia" w:hAnsiTheme="minorEastAsia" w:eastAsiaTheme="minorEastAsia" w:cstheme="minorEastAsia"/>
                <w:sz w:val="21"/>
                <w:szCs w:val="21"/>
                <w:highlight w:val="none"/>
              </w:rPr>
              <w:t>多节点集群部署，集群中各节点均保存全量数据，节点间互为主备，无单点故障；支持集群节点弹性伸缩与动态扩展回收；支持多集群集中统一管理。</w:t>
            </w:r>
          </w:p>
        </w:tc>
      </w:tr>
    </w:tbl>
    <w:p>
      <w:pPr>
        <w:spacing w:line="240" w:lineRule="auto"/>
        <w:ind w:firstLine="0" w:firstLineChars="0"/>
        <w:rPr>
          <w:rFonts w:asciiTheme="minorEastAsia" w:hAnsiTheme="minorEastAsia" w:eastAsiaTheme="minorEastAsia" w:cstheme="minorEastAsia"/>
          <w:sz w:val="21"/>
          <w:szCs w:val="21"/>
          <w:highlight w:val="none"/>
        </w:rPr>
      </w:pPr>
    </w:p>
    <w:p>
      <w:pPr>
        <w:pStyle w:val="4"/>
        <w:rPr>
          <w:highlight w:val="none"/>
        </w:rPr>
      </w:pPr>
      <w:r>
        <w:rPr>
          <w:rFonts w:hint="eastAsia"/>
          <w:highlight w:val="none"/>
        </w:rPr>
        <w:t>中间件-负载均衡中间件</w:t>
      </w:r>
    </w:p>
    <w:tbl>
      <w:tblPr>
        <w:tblStyle w:val="35"/>
        <w:tblpPr w:leftFromText="180" w:rightFromText="180" w:vertAnchor="text" w:horzAnchor="page" w:tblpX="1799" w:tblpY="734"/>
        <w:tblOverlap w:val="never"/>
        <w:tblW w:w="4998" w:type="pct"/>
        <w:tblInd w:w="0" w:type="dxa"/>
        <w:tblLayout w:type="autofit"/>
        <w:tblCellMar>
          <w:top w:w="0" w:type="dxa"/>
          <w:left w:w="0" w:type="dxa"/>
          <w:bottom w:w="0" w:type="dxa"/>
          <w:right w:w="0" w:type="dxa"/>
        </w:tblCellMar>
      </w:tblPr>
      <w:tblGrid>
        <w:gridCol w:w="1784"/>
        <w:gridCol w:w="6545"/>
      </w:tblGrid>
      <w:tr>
        <w:tblPrEx>
          <w:tblCellMar>
            <w:top w:w="0" w:type="dxa"/>
            <w:left w:w="0" w:type="dxa"/>
            <w:bottom w:w="0" w:type="dxa"/>
            <w:right w:w="0" w:type="dxa"/>
          </w:tblCellMar>
        </w:tblPrEx>
        <w:trPr>
          <w:trHeight w:val="580" w:hRule="atLeast"/>
        </w:trPr>
        <w:tc>
          <w:tcPr>
            <w:tcW w:w="1071"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kern w:val="0"/>
                <w:sz w:val="21"/>
                <w:szCs w:val="21"/>
                <w:highlight w:val="none"/>
              </w:rPr>
              <w:t>工具描述</w:t>
            </w:r>
          </w:p>
        </w:tc>
        <w:tc>
          <w:tcPr>
            <w:tcW w:w="3928"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提供轻量级、高性能的负载均衡能力，支持多种协议接入，采用多进程异步编程架构，具有占用系统资源少、性能高、支持并发数高、配置简单等优点，常用于WEB静态资源服务器、反向代理负载均衡等场景。</w:t>
            </w:r>
          </w:p>
        </w:tc>
      </w:tr>
      <w:tr>
        <w:tblPrEx>
          <w:tblCellMar>
            <w:top w:w="0" w:type="dxa"/>
            <w:left w:w="0" w:type="dxa"/>
            <w:bottom w:w="0" w:type="dxa"/>
            <w:right w:w="0" w:type="dxa"/>
          </w:tblCellMar>
        </w:tblPrEx>
        <w:trPr>
          <w:trHeight w:val="380" w:hRule="atLeast"/>
        </w:trPr>
        <w:tc>
          <w:tcPr>
            <w:tcW w:w="1071"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kern w:val="0"/>
                <w:sz w:val="21"/>
                <w:szCs w:val="21"/>
                <w:highlight w:val="none"/>
              </w:rPr>
              <w:t>工具能力要求</w:t>
            </w:r>
          </w:p>
        </w:tc>
        <w:tc>
          <w:tcPr>
            <w:tcW w:w="3928"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工具能力包括但不限于以下内容:</w:t>
            </w:r>
          </w:p>
          <w:p>
            <w:pPr>
              <w:widowControl/>
              <w:spacing w:line="240" w:lineRule="auto"/>
              <w:ind w:firstLine="0" w:firstLineChars="0"/>
              <w:jc w:val="left"/>
              <w:textAlignment w:val="center"/>
              <w:rPr>
                <w:rFonts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1、多协议负载均衡：支持OSI四层（TCP/UDP）和七层（HTTP）负载均衡，支持轮询、随机、最小连接数等多种负载均衡算法，所有算法均支持会话保持功能。</w:t>
            </w:r>
          </w:p>
          <w:p>
            <w:pPr>
              <w:widowControl/>
              <w:spacing w:line="240" w:lineRule="auto"/>
              <w:ind w:firstLine="0" w:firstLineChars="0"/>
              <w:jc w:val="left"/>
              <w:textAlignment w:val="center"/>
              <w:rPr>
                <w:rFonts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2、反向代理与Web容器：支持HTTP/HTTPS反向代理、邮件代理服务等；支持Web静态资源托管，支持配置多个虚拟主机实现多站点管理。</w:t>
            </w:r>
          </w:p>
          <w:p>
            <w:pPr>
              <w:widowControl/>
              <w:spacing w:line="240" w:lineRule="auto"/>
              <w:ind w:firstLine="0" w:firstLineChars="0"/>
              <w:jc w:val="left"/>
              <w:textAlignment w:val="center"/>
              <w:rPr>
                <w:rFonts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3、健康检查与高可用：支持TCP和HTTP健康检查，支持被动健康检查（基于请求转发超时、错误响应码等情况）自动识别并剔除故障节点；支持浮动IP及自动灾备切换，保障服务高可用。</w:t>
            </w:r>
          </w:p>
          <w:p>
            <w:pPr>
              <w:widowControl/>
              <w:spacing w:line="240" w:lineRule="auto"/>
              <w:ind w:firstLine="0" w:firstLineChars="0"/>
              <w:jc w:val="left"/>
              <w:textAlignment w:val="center"/>
              <w:rPr>
                <w:rFonts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4、访问控制与安全防护：支持基于IP地址、子请求、HTTP头等多种方式的访问控制；支持请求限速功能，可按指定速率限制客户端请求频率，防止恶意流量或突发流量导致系统性能下降。</w:t>
            </w:r>
          </w:p>
          <w:p>
            <w:pPr>
              <w:widowControl/>
              <w:spacing w:line="240" w:lineRule="auto"/>
              <w:ind w:firstLine="0" w:firstLineChars="0"/>
              <w:jc w:val="left"/>
              <w:textAlignment w:val="center"/>
              <w:rPr>
                <w:rFonts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5、国密安全支持：支持国密HTTPS协议，支持国密算法，支持国密单向认证和双向认证。</w:t>
            </w:r>
          </w:p>
          <w:p>
            <w:pPr>
              <w:widowControl/>
              <w:spacing w:line="240" w:lineRule="auto"/>
              <w:ind w:firstLine="0" w:firstLineChars="0"/>
              <w:jc w:val="left"/>
              <w:textAlignment w:val="center"/>
              <w:rPr>
                <w:rFonts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6、内容优化与缓存：支持gzip动态压缩，支持对请求资源进行内容缓存，提升响应效率。</w:t>
            </w:r>
          </w:p>
          <w:p>
            <w:pPr>
              <w:widowControl/>
              <w:spacing w:line="240" w:lineRule="auto"/>
              <w:ind w:firstLine="0" w:firstLineChars="0"/>
              <w:jc w:val="left"/>
              <w:textAlignment w:val="center"/>
              <w:rPr>
                <w:rFonts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7、集中管控与监控：提供Web控制台进行统一管理，支持用户管理、角色管理（系统管理员/安全保密员/审计管理员三权分立）、证书管理、配置文件管理（支持版本管理与回滚）；支持运行时状态监控，包括CPU使用率、内存使用率、服务状态等指标采集。</w:t>
            </w:r>
          </w:p>
          <w:p>
            <w:pPr>
              <w:widowControl/>
              <w:spacing w:line="240" w:lineRule="auto"/>
              <w:ind w:firstLine="0" w:firstLineChars="0"/>
              <w:jc w:val="left"/>
              <w:textAlignment w:val="center"/>
              <w:rPr>
                <w:rFonts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8、日志管理：支持访问日志和错误日志记录，支持自定义日志格式、配置日志输出级别。</w:t>
            </w:r>
          </w:p>
        </w:tc>
      </w:tr>
      <w:tr>
        <w:tblPrEx>
          <w:tblCellMar>
            <w:top w:w="0" w:type="dxa"/>
            <w:left w:w="0" w:type="dxa"/>
            <w:bottom w:w="0" w:type="dxa"/>
            <w:right w:w="0" w:type="dxa"/>
          </w:tblCellMar>
        </w:tblPrEx>
        <w:trPr>
          <w:trHeight w:val="90" w:hRule="atLeast"/>
        </w:trPr>
        <w:tc>
          <w:tcPr>
            <w:tcW w:w="1071"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kern w:val="0"/>
                <w:sz w:val="21"/>
                <w:szCs w:val="21"/>
                <w:highlight w:val="none"/>
              </w:rPr>
              <w:t>兼容性要求</w:t>
            </w:r>
          </w:p>
        </w:tc>
        <w:tc>
          <w:tcPr>
            <w:tcW w:w="3928"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rPr>
              <w:t>兼容国产化主流操作系统、数据库。</w:t>
            </w:r>
          </w:p>
        </w:tc>
      </w:tr>
      <w:tr>
        <w:tblPrEx>
          <w:tblCellMar>
            <w:top w:w="0" w:type="dxa"/>
            <w:left w:w="0" w:type="dxa"/>
            <w:bottom w:w="0" w:type="dxa"/>
            <w:right w:w="0" w:type="dxa"/>
          </w:tblCellMar>
        </w:tblPrEx>
        <w:trPr>
          <w:trHeight w:val="324" w:hRule="atLeast"/>
        </w:trPr>
        <w:tc>
          <w:tcPr>
            <w:tcW w:w="1071"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kern w:val="0"/>
                <w:sz w:val="21"/>
                <w:szCs w:val="21"/>
                <w:highlight w:val="none"/>
              </w:rPr>
              <w:t>安全性要求</w:t>
            </w:r>
          </w:p>
        </w:tc>
        <w:tc>
          <w:tcPr>
            <w:tcW w:w="3928"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提供第三方安全检测报告。</w:t>
            </w:r>
          </w:p>
        </w:tc>
      </w:tr>
      <w:tr>
        <w:tblPrEx>
          <w:tblCellMar>
            <w:top w:w="0" w:type="dxa"/>
            <w:left w:w="0" w:type="dxa"/>
            <w:bottom w:w="0" w:type="dxa"/>
            <w:right w:w="0" w:type="dxa"/>
          </w:tblCellMar>
        </w:tblPrEx>
        <w:trPr>
          <w:trHeight w:val="354" w:hRule="atLeast"/>
        </w:trPr>
        <w:tc>
          <w:tcPr>
            <w:tcW w:w="1071"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kern w:val="0"/>
                <w:sz w:val="21"/>
                <w:szCs w:val="21"/>
                <w:highlight w:val="none"/>
              </w:rPr>
              <w:t>部署模式</w:t>
            </w:r>
          </w:p>
        </w:tc>
        <w:tc>
          <w:tcPr>
            <w:tcW w:w="3928"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支持单机部署和多节点集群部署，集群模式下支持高可用自动灾备切换与浮动IP配置。</w:t>
            </w:r>
          </w:p>
        </w:tc>
      </w:tr>
    </w:tbl>
    <w:p>
      <w:pPr>
        <w:ind w:firstLine="0" w:firstLineChars="0"/>
        <w:rPr>
          <w:highlight w:val="none"/>
        </w:rPr>
      </w:pPr>
    </w:p>
    <w:p>
      <w:pPr>
        <w:pStyle w:val="4"/>
        <w:rPr>
          <w:highlight w:val="none"/>
        </w:rPr>
      </w:pPr>
      <w:r>
        <w:rPr>
          <w:rFonts w:hint="eastAsia"/>
          <w:highlight w:val="none"/>
        </w:rPr>
        <w:t>操作系统工具</w:t>
      </w:r>
    </w:p>
    <w:tbl>
      <w:tblPr>
        <w:tblStyle w:val="35"/>
        <w:tblW w:w="8806" w:type="dxa"/>
        <w:tblInd w:w="0" w:type="dxa"/>
        <w:tblLayout w:type="fixed"/>
        <w:tblCellMar>
          <w:top w:w="0" w:type="dxa"/>
          <w:left w:w="0" w:type="dxa"/>
          <w:bottom w:w="0" w:type="dxa"/>
          <w:right w:w="0" w:type="dxa"/>
        </w:tblCellMar>
      </w:tblPr>
      <w:tblGrid>
        <w:gridCol w:w="1469"/>
        <w:gridCol w:w="7337"/>
      </w:tblGrid>
      <w:tr>
        <w:tblPrEx>
          <w:tblCellMar>
            <w:top w:w="0" w:type="dxa"/>
            <w:left w:w="0" w:type="dxa"/>
            <w:bottom w:w="0" w:type="dxa"/>
            <w:right w:w="0" w:type="dxa"/>
          </w:tblCellMar>
        </w:tblPrEx>
        <w:trPr>
          <w:trHeight w:val="413" w:hRule="atLeast"/>
        </w:trPr>
        <w:tc>
          <w:tcPr>
            <w:tcW w:w="146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rPr>
              <w:t>工具描述</w:t>
            </w:r>
          </w:p>
        </w:tc>
        <w:tc>
          <w:tcPr>
            <w:tcW w:w="733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rPr>
              <w:t>提供操作系统基础软件工具。</w:t>
            </w:r>
          </w:p>
        </w:tc>
      </w:tr>
      <w:tr>
        <w:tblPrEx>
          <w:tblCellMar>
            <w:top w:w="0" w:type="dxa"/>
            <w:left w:w="0" w:type="dxa"/>
            <w:bottom w:w="0" w:type="dxa"/>
            <w:right w:w="0" w:type="dxa"/>
          </w:tblCellMar>
        </w:tblPrEx>
        <w:trPr>
          <w:trHeight w:val="870" w:hRule="atLeast"/>
        </w:trPr>
        <w:tc>
          <w:tcPr>
            <w:tcW w:w="146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rPr>
              <w:t>工具能力要求</w:t>
            </w:r>
          </w:p>
        </w:tc>
        <w:tc>
          <w:tcPr>
            <w:tcW w:w="733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spacing w:line="240" w:lineRule="auto"/>
              <w:ind w:firstLine="0" w:firstLineChars="0"/>
              <w:textAlignment w:val="center"/>
              <w:rPr>
                <w:rFonts w:cs="宋体"/>
                <w:sz w:val="21"/>
                <w:szCs w:val="21"/>
                <w:highlight w:val="none"/>
              </w:rPr>
            </w:pPr>
            <w:r>
              <w:rPr>
                <w:rFonts w:cs="宋体"/>
                <w:sz w:val="21"/>
                <w:szCs w:val="21"/>
                <w:highlight w:val="none"/>
              </w:rPr>
              <w:t>1、基础核心：Kernel版本不低于4.9；</w:t>
            </w:r>
          </w:p>
          <w:p>
            <w:pPr>
              <w:spacing w:line="240" w:lineRule="auto"/>
              <w:ind w:firstLine="0" w:firstLineChars="0"/>
              <w:textAlignment w:val="center"/>
              <w:rPr>
                <w:rFonts w:cs="宋体"/>
                <w:sz w:val="21"/>
                <w:szCs w:val="21"/>
                <w:highlight w:val="none"/>
              </w:rPr>
            </w:pPr>
            <w:r>
              <w:rPr>
                <w:rFonts w:cs="宋体"/>
                <w:sz w:val="21"/>
                <w:szCs w:val="21"/>
                <w:highlight w:val="none"/>
              </w:rPr>
              <w:t>2、架构支持：支持龙芯、鲲鹏、兆芯、海光、飞腾、申威等国产主流芯片处理器；</w:t>
            </w:r>
          </w:p>
          <w:p>
            <w:pPr>
              <w:spacing w:line="240" w:lineRule="auto"/>
              <w:ind w:firstLine="0" w:firstLineChars="0"/>
              <w:textAlignment w:val="center"/>
              <w:rPr>
                <w:rFonts w:cs="宋体"/>
                <w:sz w:val="21"/>
                <w:szCs w:val="21"/>
                <w:highlight w:val="none"/>
              </w:rPr>
            </w:pPr>
            <w:r>
              <w:rPr>
                <w:rFonts w:cs="宋体"/>
                <w:sz w:val="21"/>
                <w:szCs w:val="21"/>
                <w:highlight w:val="none"/>
              </w:rPr>
              <w:t>（1）支持双核及多核处理器；</w:t>
            </w:r>
          </w:p>
          <w:p>
            <w:pPr>
              <w:spacing w:line="240" w:lineRule="auto"/>
              <w:ind w:firstLine="0" w:firstLineChars="0"/>
              <w:textAlignment w:val="center"/>
              <w:rPr>
                <w:rFonts w:cs="宋体"/>
                <w:sz w:val="21"/>
                <w:szCs w:val="21"/>
                <w:highlight w:val="none"/>
              </w:rPr>
            </w:pPr>
            <w:r>
              <w:rPr>
                <w:rFonts w:cs="宋体"/>
                <w:sz w:val="21"/>
                <w:szCs w:val="21"/>
                <w:highlight w:val="none"/>
              </w:rPr>
              <w:t>（2）支持并优化NUMA体系架构；</w:t>
            </w:r>
          </w:p>
          <w:p>
            <w:pPr>
              <w:spacing w:line="240" w:lineRule="auto"/>
              <w:ind w:firstLine="0" w:firstLineChars="0"/>
              <w:textAlignment w:val="center"/>
              <w:rPr>
                <w:rFonts w:cs="宋体"/>
                <w:sz w:val="21"/>
                <w:szCs w:val="21"/>
                <w:highlight w:val="none"/>
              </w:rPr>
            </w:pPr>
            <w:r>
              <w:rPr>
                <w:rFonts w:cs="宋体"/>
                <w:sz w:val="21"/>
                <w:szCs w:val="21"/>
                <w:highlight w:val="none"/>
              </w:rPr>
              <w:t>（3）标准符合度：产品获得《计算机软件著作权登记证书》;</w:t>
            </w:r>
          </w:p>
          <w:p>
            <w:pPr>
              <w:spacing w:line="240" w:lineRule="auto"/>
              <w:ind w:firstLine="0" w:firstLineChars="0"/>
              <w:textAlignment w:val="center"/>
              <w:rPr>
                <w:rFonts w:cs="宋体"/>
                <w:sz w:val="21"/>
                <w:szCs w:val="21"/>
                <w:highlight w:val="none"/>
              </w:rPr>
            </w:pPr>
            <w:r>
              <w:rPr>
                <w:rFonts w:cs="宋体"/>
                <w:sz w:val="21"/>
                <w:szCs w:val="21"/>
                <w:highlight w:val="none"/>
              </w:rPr>
              <w:t>3、文件系统：支持XFS、EXT3、EXT4、NTFS等文件系统；</w:t>
            </w:r>
          </w:p>
          <w:p>
            <w:pPr>
              <w:spacing w:line="240" w:lineRule="auto"/>
              <w:ind w:firstLine="0" w:firstLineChars="0"/>
              <w:textAlignment w:val="center"/>
              <w:rPr>
                <w:rFonts w:cs="宋体"/>
                <w:sz w:val="21"/>
                <w:szCs w:val="21"/>
                <w:highlight w:val="none"/>
              </w:rPr>
            </w:pPr>
            <w:r>
              <w:rPr>
                <w:rFonts w:cs="宋体"/>
                <w:sz w:val="21"/>
                <w:szCs w:val="21"/>
                <w:highlight w:val="none"/>
              </w:rPr>
              <w:t>4、功能要求：具备文件管理、设备管理、日志管理、服务管理、进程和监控管理、网络管理、资源管理、软件包管理、硬盘管理等基本功能，提供语言支持工具、集成开发平台等常用工具，支持 KVM 虚拟化技术；</w:t>
            </w:r>
          </w:p>
          <w:p>
            <w:pPr>
              <w:spacing w:line="240" w:lineRule="auto"/>
              <w:ind w:firstLine="0" w:firstLineChars="0"/>
              <w:textAlignment w:val="center"/>
              <w:rPr>
                <w:rFonts w:cs="宋体"/>
                <w:sz w:val="21"/>
                <w:szCs w:val="21"/>
                <w:highlight w:val="none"/>
              </w:rPr>
            </w:pPr>
            <w:r>
              <w:rPr>
                <w:rFonts w:cs="宋体"/>
                <w:sz w:val="21"/>
                <w:szCs w:val="21"/>
                <w:highlight w:val="none"/>
              </w:rPr>
              <w:t>5、技术规格：</w:t>
            </w:r>
          </w:p>
          <w:p>
            <w:pPr>
              <w:spacing w:line="240" w:lineRule="auto"/>
              <w:ind w:firstLine="0" w:firstLineChars="0"/>
              <w:textAlignment w:val="center"/>
              <w:rPr>
                <w:rFonts w:cs="宋体"/>
                <w:sz w:val="21"/>
                <w:szCs w:val="21"/>
                <w:highlight w:val="none"/>
              </w:rPr>
            </w:pPr>
            <w:r>
              <w:rPr>
                <w:rFonts w:cs="宋体"/>
                <w:sz w:val="21"/>
                <w:szCs w:val="21"/>
                <w:highlight w:val="none"/>
              </w:rPr>
              <w:t>（1）逻辑CPU最大支持：不小于128；</w:t>
            </w:r>
          </w:p>
          <w:p>
            <w:pPr>
              <w:spacing w:line="240" w:lineRule="auto"/>
              <w:ind w:firstLine="0" w:firstLineChars="0"/>
              <w:textAlignment w:val="center"/>
              <w:rPr>
                <w:rFonts w:cs="宋体"/>
                <w:sz w:val="21"/>
                <w:szCs w:val="21"/>
                <w:highlight w:val="none"/>
              </w:rPr>
            </w:pPr>
            <w:r>
              <w:rPr>
                <w:rFonts w:cs="宋体"/>
                <w:sz w:val="21"/>
                <w:szCs w:val="21"/>
                <w:highlight w:val="none"/>
              </w:rPr>
              <w:t>（2）内存最大支持：不小于2TB；</w:t>
            </w:r>
          </w:p>
          <w:p>
            <w:pPr>
              <w:spacing w:line="240" w:lineRule="auto"/>
              <w:ind w:firstLine="0" w:firstLineChars="0"/>
              <w:textAlignment w:val="center"/>
              <w:rPr>
                <w:rFonts w:cs="宋体"/>
                <w:sz w:val="21"/>
                <w:szCs w:val="21"/>
                <w:highlight w:val="none"/>
              </w:rPr>
            </w:pPr>
            <w:r>
              <w:rPr>
                <w:rFonts w:cs="宋体"/>
                <w:sz w:val="21"/>
                <w:szCs w:val="21"/>
                <w:highlight w:val="none"/>
              </w:rPr>
              <w:t>（3）单个文件最大支持：不小于2TB；</w:t>
            </w:r>
          </w:p>
          <w:p>
            <w:pPr>
              <w:spacing w:line="240" w:lineRule="auto"/>
              <w:ind w:firstLine="0" w:firstLineChars="0"/>
              <w:textAlignment w:val="center"/>
              <w:rPr>
                <w:rFonts w:cs="宋体"/>
                <w:sz w:val="21"/>
                <w:szCs w:val="21"/>
                <w:highlight w:val="none"/>
              </w:rPr>
            </w:pPr>
            <w:r>
              <w:rPr>
                <w:rFonts w:cs="宋体"/>
                <w:sz w:val="21"/>
                <w:szCs w:val="21"/>
                <w:highlight w:val="none"/>
              </w:rPr>
              <w:t>（4）文件系统最大支持：不小于16TB；</w:t>
            </w:r>
          </w:p>
          <w:p>
            <w:pPr>
              <w:spacing w:line="240" w:lineRule="auto"/>
              <w:ind w:firstLine="0" w:firstLineChars="0"/>
              <w:textAlignment w:val="center"/>
              <w:rPr>
                <w:rFonts w:cs="宋体"/>
                <w:sz w:val="21"/>
                <w:szCs w:val="21"/>
                <w:highlight w:val="none"/>
              </w:rPr>
            </w:pPr>
            <w:r>
              <w:rPr>
                <w:rFonts w:cs="宋体"/>
                <w:sz w:val="21"/>
                <w:szCs w:val="21"/>
                <w:highlight w:val="none"/>
              </w:rPr>
              <w:t>（5）支持SELinux；</w:t>
            </w:r>
          </w:p>
          <w:p>
            <w:pPr>
              <w:spacing w:line="240" w:lineRule="auto"/>
              <w:ind w:firstLine="0" w:firstLineChars="0"/>
              <w:textAlignment w:val="center"/>
              <w:rPr>
                <w:rFonts w:cs="宋体"/>
                <w:sz w:val="21"/>
                <w:szCs w:val="21"/>
                <w:highlight w:val="none"/>
              </w:rPr>
            </w:pPr>
            <w:r>
              <w:rPr>
                <w:rFonts w:cs="宋体"/>
                <w:sz w:val="21"/>
                <w:szCs w:val="21"/>
                <w:highlight w:val="none"/>
              </w:rPr>
              <w:t>（6）关键部件达到安全可靠测评等级1级及以上；</w:t>
            </w:r>
          </w:p>
          <w:p>
            <w:pPr>
              <w:spacing w:line="240" w:lineRule="auto"/>
              <w:ind w:firstLine="0" w:firstLineChars="0"/>
              <w:textAlignment w:val="center"/>
              <w:rPr>
                <w:rFonts w:cs="宋体"/>
                <w:sz w:val="21"/>
                <w:szCs w:val="21"/>
                <w:highlight w:val="none"/>
              </w:rPr>
            </w:pPr>
            <w:r>
              <w:rPr>
                <w:rFonts w:cs="宋体"/>
                <w:sz w:val="21"/>
                <w:szCs w:val="21"/>
                <w:highlight w:val="none"/>
              </w:rPr>
              <w:t>6、系统引导：支持GRUB2引导，支持MBR及GPT（GUID分区表）分区；</w:t>
            </w:r>
          </w:p>
          <w:p>
            <w:pPr>
              <w:spacing w:line="240" w:lineRule="auto"/>
              <w:ind w:firstLine="0" w:firstLineChars="0"/>
              <w:textAlignment w:val="center"/>
              <w:rPr>
                <w:rFonts w:cs="宋体"/>
                <w:sz w:val="21"/>
                <w:szCs w:val="21"/>
                <w:highlight w:val="none"/>
              </w:rPr>
            </w:pPr>
            <w:r>
              <w:rPr>
                <w:rFonts w:cs="宋体"/>
                <w:sz w:val="21"/>
                <w:szCs w:val="21"/>
                <w:highlight w:val="none"/>
              </w:rPr>
              <w:t>7、网络支持：支持网卡bonding；</w:t>
            </w:r>
          </w:p>
          <w:p>
            <w:pPr>
              <w:spacing w:line="240" w:lineRule="auto"/>
              <w:ind w:firstLine="0" w:firstLineChars="0"/>
              <w:textAlignment w:val="center"/>
              <w:rPr>
                <w:rFonts w:cs="宋体"/>
                <w:sz w:val="21"/>
                <w:szCs w:val="21"/>
                <w:highlight w:val="none"/>
              </w:rPr>
            </w:pPr>
            <w:r>
              <w:rPr>
                <w:rFonts w:cs="宋体"/>
                <w:sz w:val="21"/>
                <w:szCs w:val="21"/>
                <w:highlight w:val="none"/>
              </w:rPr>
              <w:t>8、高可用支持：支持软件负载均衡，支持多种网卡Bonding，提高可用性；</w:t>
            </w:r>
          </w:p>
          <w:p>
            <w:pPr>
              <w:spacing w:line="240" w:lineRule="auto"/>
              <w:ind w:firstLine="0" w:firstLineChars="0"/>
              <w:textAlignment w:val="center"/>
              <w:rPr>
                <w:rFonts w:cs="宋体"/>
                <w:sz w:val="21"/>
                <w:szCs w:val="21"/>
                <w:highlight w:val="none"/>
              </w:rPr>
            </w:pPr>
            <w:r>
              <w:rPr>
                <w:rFonts w:cs="宋体"/>
                <w:sz w:val="21"/>
                <w:szCs w:val="21"/>
                <w:highlight w:val="none"/>
              </w:rPr>
              <w:t>（1）支持存储多路径并提供multipath驱动；</w:t>
            </w:r>
          </w:p>
          <w:p>
            <w:pPr>
              <w:spacing w:line="240" w:lineRule="auto"/>
              <w:ind w:firstLine="0" w:firstLineChars="0"/>
              <w:textAlignment w:val="center"/>
              <w:rPr>
                <w:rFonts w:cs="宋体"/>
                <w:sz w:val="21"/>
                <w:szCs w:val="21"/>
                <w:highlight w:val="none"/>
              </w:rPr>
            </w:pPr>
            <w:r>
              <w:rPr>
                <w:rFonts w:cs="宋体"/>
                <w:sz w:val="21"/>
                <w:szCs w:val="21"/>
                <w:highlight w:val="none"/>
              </w:rPr>
              <w:t>9、开发运行环境：支持java 1.7.0、1.8.0，支持GCC包含的C、C++和java等相应支持库，集成Qt开发框架，支持Python, Shell，Ruby，PHP等脚本语言；</w:t>
            </w:r>
          </w:p>
          <w:p>
            <w:pPr>
              <w:spacing w:line="240" w:lineRule="auto"/>
              <w:ind w:firstLine="0" w:firstLineChars="0"/>
              <w:textAlignment w:val="center"/>
              <w:rPr>
                <w:rFonts w:cs="宋体"/>
                <w:sz w:val="21"/>
                <w:szCs w:val="21"/>
                <w:highlight w:val="none"/>
              </w:rPr>
            </w:pPr>
            <w:r>
              <w:rPr>
                <w:rFonts w:cs="宋体"/>
                <w:sz w:val="21"/>
                <w:szCs w:val="21"/>
                <w:highlight w:val="none"/>
              </w:rPr>
              <w:t>10、虚拟化云平台兼容性：兼容</w:t>
            </w:r>
            <w:r>
              <w:rPr>
                <w:rFonts w:hint="eastAsia" w:cs="宋体"/>
                <w:sz w:val="21"/>
                <w:szCs w:val="21"/>
                <w:highlight w:val="none"/>
              </w:rPr>
              <w:t>主流</w:t>
            </w:r>
            <w:r>
              <w:rPr>
                <w:rFonts w:cs="宋体"/>
                <w:sz w:val="21"/>
                <w:szCs w:val="21"/>
                <w:highlight w:val="none"/>
              </w:rPr>
              <w:t>云平台软件</w:t>
            </w:r>
            <w:r>
              <w:rPr>
                <w:rFonts w:hint="eastAsia" w:cs="宋体"/>
                <w:sz w:val="21"/>
                <w:szCs w:val="21"/>
                <w:highlight w:val="none"/>
              </w:rPr>
              <w:t>（包括但不限于</w:t>
            </w:r>
            <w:r>
              <w:rPr>
                <w:rFonts w:cs="宋体"/>
                <w:sz w:val="21"/>
                <w:szCs w:val="21"/>
                <w:highlight w:val="none"/>
              </w:rPr>
              <w:t>华为HCS、阿里飞天等</w:t>
            </w:r>
            <w:r>
              <w:rPr>
                <w:rFonts w:hint="eastAsia" w:cs="宋体"/>
                <w:sz w:val="21"/>
                <w:szCs w:val="21"/>
                <w:highlight w:val="none"/>
              </w:rPr>
              <w:t>）</w:t>
            </w:r>
            <w:r>
              <w:rPr>
                <w:rFonts w:cs="宋体"/>
                <w:sz w:val="21"/>
                <w:szCs w:val="21"/>
                <w:highlight w:val="none"/>
              </w:rPr>
              <w:t>；</w:t>
            </w:r>
          </w:p>
          <w:p>
            <w:pPr>
              <w:spacing w:line="240" w:lineRule="auto"/>
              <w:ind w:firstLine="0" w:firstLineChars="0"/>
              <w:textAlignment w:val="center"/>
              <w:rPr>
                <w:rFonts w:cs="宋体"/>
                <w:sz w:val="21"/>
                <w:szCs w:val="21"/>
                <w:highlight w:val="none"/>
              </w:rPr>
            </w:pPr>
            <w:r>
              <w:rPr>
                <w:rFonts w:cs="宋体"/>
                <w:sz w:val="21"/>
                <w:szCs w:val="21"/>
                <w:highlight w:val="none"/>
              </w:rPr>
              <w:t>11、硬件兼容性：兼容国内外主流的服务器、存储等硬件产品，包括华为、长城、百信等；</w:t>
            </w:r>
          </w:p>
          <w:p>
            <w:pPr>
              <w:spacing w:line="240" w:lineRule="auto"/>
              <w:ind w:firstLine="0" w:firstLineChars="0"/>
              <w:textAlignment w:val="center"/>
              <w:rPr>
                <w:rFonts w:cs="宋体"/>
                <w:sz w:val="21"/>
                <w:szCs w:val="21"/>
                <w:highlight w:val="none"/>
              </w:rPr>
            </w:pPr>
            <w:r>
              <w:rPr>
                <w:rFonts w:cs="宋体"/>
                <w:sz w:val="21"/>
                <w:szCs w:val="21"/>
                <w:highlight w:val="none"/>
              </w:rPr>
              <w:t>12、文件安全性：支持文件系统加密；</w:t>
            </w:r>
          </w:p>
          <w:p>
            <w:pPr>
              <w:spacing w:line="240" w:lineRule="auto"/>
              <w:ind w:firstLine="0" w:firstLineChars="0"/>
              <w:textAlignment w:val="center"/>
              <w:rPr>
                <w:rFonts w:cs="宋体"/>
                <w:sz w:val="21"/>
                <w:szCs w:val="21"/>
                <w:highlight w:val="none"/>
              </w:rPr>
            </w:pPr>
            <w:r>
              <w:rPr>
                <w:rFonts w:cs="宋体"/>
                <w:sz w:val="21"/>
                <w:szCs w:val="21"/>
                <w:highlight w:val="none"/>
              </w:rPr>
              <w:t>13、支持文件完整性检查；</w:t>
            </w:r>
          </w:p>
          <w:p>
            <w:pPr>
              <w:spacing w:line="240" w:lineRule="auto"/>
              <w:ind w:firstLine="0" w:firstLineChars="0"/>
              <w:textAlignment w:val="center"/>
              <w:rPr>
                <w:rFonts w:cs="宋体"/>
                <w:sz w:val="21"/>
                <w:szCs w:val="21"/>
                <w:highlight w:val="none"/>
              </w:rPr>
            </w:pPr>
            <w:r>
              <w:rPr>
                <w:rFonts w:cs="宋体"/>
                <w:sz w:val="21"/>
                <w:szCs w:val="21"/>
                <w:highlight w:val="none"/>
              </w:rPr>
              <w:t>14、网络安全性：支持 HTTP、FTP、VNC、TCP、UDP、IP、FTP、DNS、 NFS、NTP、DHCP、SSH 等多种网络协议。</w:t>
            </w:r>
          </w:p>
          <w:p>
            <w:pPr>
              <w:spacing w:line="240" w:lineRule="auto"/>
              <w:ind w:firstLine="0" w:firstLineChars="0"/>
              <w:textAlignment w:val="center"/>
              <w:rPr>
                <w:rFonts w:cs="宋体"/>
                <w:sz w:val="21"/>
                <w:szCs w:val="21"/>
                <w:highlight w:val="none"/>
              </w:rPr>
            </w:pPr>
            <w:r>
              <w:rPr>
                <w:rFonts w:cs="宋体"/>
                <w:sz w:val="21"/>
                <w:szCs w:val="21"/>
                <w:highlight w:val="none"/>
              </w:rPr>
              <w:t>（1）支持Firewalld（IPtables），支持动态管理的防火墙，并支持网络“区域”以便为网络及其相关链接和接口分配可信度，支持 IPv4 和 IPv6 防火墙设置，支持以太网桥接并有独立的运行时和持久配置选项，提供可直接添加防火墙规则的服务或者应用程序接口；</w:t>
            </w:r>
          </w:p>
          <w:p>
            <w:pPr>
              <w:spacing w:line="240" w:lineRule="auto"/>
              <w:ind w:firstLine="0" w:firstLineChars="0"/>
              <w:textAlignment w:val="center"/>
              <w:rPr>
                <w:rFonts w:cs="宋体"/>
                <w:sz w:val="21"/>
                <w:szCs w:val="21"/>
                <w:highlight w:val="none"/>
              </w:rPr>
            </w:pPr>
            <w:r>
              <w:rPr>
                <w:rFonts w:cs="宋体"/>
                <w:sz w:val="21"/>
                <w:szCs w:val="21"/>
                <w:highlight w:val="none"/>
              </w:rPr>
              <w:t>15、维护能力要求：支持在云平台上进行操作系统License发放情况管理；</w:t>
            </w:r>
          </w:p>
          <w:p>
            <w:pPr>
              <w:widowControl/>
              <w:spacing w:line="240" w:lineRule="auto"/>
              <w:ind w:firstLine="0" w:firstLineChars="0"/>
              <w:textAlignment w:val="center"/>
              <w:rPr>
                <w:rFonts w:asciiTheme="minorEastAsia" w:hAnsiTheme="minorEastAsia" w:eastAsiaTheme="minorEastAsia" w:cstheme="minorEastAsia"/>
                <w:sz w:val="21"/>
                <w:szCs w:val="21"/>
                <w:highlight w:val="none"/>
              </w:rPr>
            </w:pPr>
            <w:r>
              <w:rPr>
                <w:rFonts w:cs="宋体"/>
                <w:sz w:val="21"/>
                <w:szCs w:val="21"/>
                <w:highlight w:val="none"/>
              </w:rPr>
              <w:t>16、系统审计：提供系统审计日志</w:t>
            </w:r>
          </w:p>
        </w:tc>
      </w:tr>
      <w:tr>
        <w:tblPrEx>
          <w:tblCellMar>
            <w:top w:w="0" w:type="dxa"/>
            <w:left w:w="0" w:type="dxa"/>
            <w:bottom w:w="0" w:type="dxa"/>
            <w:right w:w="0" w:type="dxa"/>
          </w:tblCellMar>
        </w:tblPrEx>
        <w:trPr>
          <w:trHeight w:val="472" w:hRule="atLeast"/>
        </w:trPr>
        <w:tc>
          <w:tcPr>
            <w:tcW w:w="146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rPr>
              <w:t>安全性要求</w:t>
            </w:r>
          </w:p>
        </w:tc>
        <w:tc>
          <w:tcPr>
            <w:tcW w:w="733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textAlignment w:val="center"/>
              <w:rPr>
                <w:rFonts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提供第三方安全检测报告</w:t>
            </w:r>
          </w:p>
        </w:tc>
      </w:tr>
    </w:tbl>
    <w:p>
      <w:pPr>
        <w:ind w:firstLine="0" w:firstLineChars="0"/>
        <w:rPr>
          <w:highlight w:val="none"/>
        </w:rPr>
      </w:pPr>
    </w:p>
    <w:p>
      <w:pPr>
        <w:pStyle w:val="4"/>
        <w:rPr>
          <w:highlight w:val="none"/>
        </w:rPr>
      </w:pPr>
      <w:r>
        <w:rPr>
          <w:rFonts w:hint="eastAsia"/>
          <w:highlight w:val="none"/>
        </w:rPr>
        <w:t>数据开发工具</w:t>
      </w:r>
    </w:p>
    <w:tbl>
      <w:tblPr>
        <w:tblStyle w:val="35"/>
        <w:tblW w:w="4998" w:type="pct"/>
        <w:tblInd w:w="0" w:type="dxa"/>
        <w:tblLayout w:type="autofit"/>
        <w:tblCellMar>
          <w:top w:w="0" w:type="dxa"/>
          <w:left w:w="0" w:type="dxa"/>
          <w:bottom w:w="0" w:type="dxa"/>
          <w:right w:w="0" w:type="dxa"/>
        </w:tblCellMar>
      </w:tblPr>
      <w:tblGrid>
        <w:gridCol w:w="1784"/>
        <w:gridCol w:w="6545"/>
      </w:tblGrid>
      <w:tr>
        <w:tblPrEx>
          <w:tblCellMar>
            <w:top w:w="0" w:type="dxa"/>
            <w:left w:w="0" w:type="dxa"/>
            <w:bottom w:w="0" w:type="dxa"/>
            <w:right w:w="0" w:type="dxa"/>
          </w:tblCellMar>
        </w:tblPrEx>
        <w:trPr>
          <w:trHeight w:val="90" w:hRule="atLeast"/>
        </w:trPr>
        <w:tc>
          <w:tcPr>
            <w:tcW w:w="1071"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kern w:val="0"/>
                <w:sz w:val="21"/>
                <w:szCs w:val="21"/>
                <w:highlight w:val="none"/>
              </w:rPr>
              <w:t>工具描述</w:t>
            </w:r>
          </w:p>
        </w:tc>
        <w:tc>
          <w:tcPr>
            <w:tcW w:w="3928"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rPr>
              <w:t>工具提供大数据开发能力，支持多源异构数据接入、离线与实时数据开发、作业编排调度及全链路运维监控，覆盖数据仓库构建全链路，适用于实时数仓、数据中台等多种应用场景。</w:t>
            </w:r>
          </w:p>
        </w:tc>
      </w:tr>
      <w:tr>
        <w:tblPrEx>
          <w:tblCellMar>
            <w:top w:w="0" w:type="dxa"/>
            <w:left w:w="0" w:type="dxa"/>
            <w:bottom w:w="0" w:type="dxa"/>
            <w:right w:w="0" w:type="dxa"/>
          </w:tblCellMar>
        </w:tblPrEx>
        <w:trPr>
          <w:trHeight w:val="380" w:hRule="atLeast"/>
        </w:trPr>
        <w:tc>
          <w:tcPr>
            <w:tcW w:w="1071"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kern w:val="0"/>
                <w:sz w:val="21"/>
                <w:szCs w:val="21"/>
                <w:highlight w:val="none"/>
              </w:rPr>
              <w:t>工具能力要求</w:t>
            </w:r>
          </w:p>
        </w:tc>
        <w:tc>
          <w:tcPr>
            <w:tcW w:w="3928"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工具能力包括但不限于以下内容:</w:t>
            </w:r>
          </w:p>
          <w:p>
            <w:pPr>
              <w:widowControl/>
              <w:spacing w:line="240" w:lineRule="auto"/>
              <w:ind w:firstLine="0" w:firstLineChars="0"/>
              <w:jc w:val="left"/>
              <w:textAlignment w:val="center"/>
              <w:rPr>
                <w:rFonts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1、多源异构数据全域接入：支持各类主流数据源的接入与输出，涵盖关系型数据库、大数据平台、消息队列、NoSQL及文件存储等多种类型。</w:t>
            </w:r>
          </w:p>
          <w:p>
            <w:pPr>
              <w:widowControl/>
              <w:spacing w:line="240" w:lineRule="auto"/>
              <w:ind w:firstLine="0" w:firstLineChars="0"/>
              <w:jc w:val="left"/>
              <w:textAlignment w:val="center"/>
              <w:rPr>
                <w:rFonts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2、数据同步与迁移：支持全量同步、增量同步、整库迁移等多种数据同步方式，可满足不同业务场景下的数据迁移与实时同步需求。</w:t>
            </w:r>
          </w:p>
          <w:p>
            <w:pPr>
              <w:widowControl/>
              <w:spacing w:line="240" w:lineRule="auto"/>
              <w:ind w:firstLine="0" w:firstLineChars="0"/>
              <w:jc w:val="left"/>
              <w:textAlignment w:val="center"/>
              <w:rPr>
                <w:rFonts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3、可视化作业编排与调度：支持以拖拽方式构建DAG作业流，提供灵活的定时调度和手动调度能力，支持作业流的启动、恢复、补数、重跑等多种运维操作。</w:t>
            </w:r>
          </w:p>
          <w:p>
            <w:pPr>
              <w:widowControl/>
              <w:spacing w:line="240" w:lineRule="auto"/>
              <w:ind w:firstLine="0" w:firstLineChars="0"/>
              <w:jc w:val="left"/>
              <w:textAlignment w:val="center"/>
              <w:rPr>
                <w:rFonts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4、企业级运维监控：提供作业运行监控、任务实例状态查看、告警配置与通知等能力，支持开发环境与生产环境的多环境隔离管理。</w:t>
            </w:r>
          </w:p>
          <w:p>
            <w:pPr>
              <w:widowControl/>
              <w:spacing w:line="240" w:lineRule="auto"/>
              <w:ind w:firstLine="0" w:firstLineChars="0"/>
              <w:jc w:val="left"/>
              <w:textAlignment w:val="center"/>
              <w:rPr>
                <w:rFonts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5、团队协作与权限管控：支持以项目为单元组织开发工作，提供多角色划分与权限管控机制，实现多团队协同开发与资源隔离。</w:t>
            </w:r>
          </w:p>
          <w:p>
            <w:pPr>
              <w:widowControl/>
              <w:spacing w:line="240" w:lineRule="auto"/>
              <w:ind w:firstLine="0" w:firstLineChars="0"/>
              <w:jc w:val="left"/>
              <w:textAlignment w:val="center"/>
              <w:rPr>
                <w:rFonts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6、数仓分层规范化管理：内置标准数仓分层模型，支持用户按需自定义调整，确保数据仓库各层次各数据域的规范化生产。</w:t>
            </w:r>
          </w:p>
          <w:p>
            <w:pPr>
              <w:widowControl/>
              <w:spacing w:line="240" w:lineRule="auto"/>
              <w:ind w:firstLine="0" w:firstLineChars="0"/>
              <w:jc w:val="left"/>
              <w:textAlignment w:val="center"/>
              <w:rPr>
                <w:rFonts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7、数据安全与脱敏：提供数据脱敏组件，支持项目级权限隔离与多层级资源管控，保障敏感数据的安全使用。</w:t>
            </w:r>
          </w:p>
        </w:tc>
      </w:tr>
      <w:tr>
        <w:tblPrEx>
          <w:tblCellMar>
            <w:top w:w="0" w:type="dxa"/>
            <w:left w:w="0" w:type="dxa"/>
            <w:bottom w:w="0" w:type="dxa"/>
            <w:right w:w="0" w:type="dxa"/>
          </w:tblCellMar>
        </w:tblPrEx>
        <w:trPr>
          <w:trHeight w:val="358" w:hRule="atLeast"/>
        </w:trPr>
        <w:tc>
          <w:tcPr>
            <w:tcW w:w="1071"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kern w:val="0"/>
                <w:sz w:val="21"/>
                <w:szCs w:val="21"/>
                <w:highlight w:val="none"/>
              </w:rPr>
              <w:t>兼容性要求</w:t>
            </w:r>
          </w:p>
        </w:tc>
        <w:tc>
          <w:tcPr>
            <w:tcW w:w="3928"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rPr>
              <w:t>兼容国产化主流操作系统、数据库、中间件。</w:t>
            </w:r>
          </w:p>
        </w:tc>
      </w:tr>
      <w:tr>
        <w:tblPrEx>
          <w:tblCellMar>
            <w:top w:w="0" w:type="dxa"/>
            <w:left w:w="0" w:type="dxa"/>
            <w:bottom w:w="0" w:type="dxa"/>
            <w:right w:w="0" w:type="dxa"/>
          </w:tblCellMar>
        </w:tblPrEx>
        <w:trPr>
          <w:trHeight w:val="402" w:hRule="atLeast"/>
        </w:trPr>
        <w:tc>
          <w:tcPr>
            <w:tcW w:w="1071"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kern w:val="0"/>
                <w:sz w:val="21"/>
                <w:szCs w:val="21"/>
                <w:highlight w:val="none"/>
              </w:rPr>
              <w:t>安全性要求</w:t>
            </w:r>
          </w:p>
        </w:tc>
        <w:tc>
          <w:tcPr>
            <w:tcW w:w="3928"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rPr>
              <w:t>提供第三方安全检测报告。</w:t>
            </w:r>
          </w:p>
        </w:tc>
      </w:tr>
      <w:tr>
        <w:tblPrEx>
          <w:tblCellMar>
            <w:top w:w="0" w:type="dxa"/>
            <w:left w:w="0" w:type="dxa"/>
            <w:bottom w:w="0" w:type="dxa"/>
            <w:right w:w="0" w:type="dxa"/>
          </w:tblCellMar>
        </w:tblPrEx>
        <w:trPr>
          <w:trHeight w:val="580" w:hRule="atLeast"/>
        </w:trPr>
        <w:tc>
          <w:tcPr>
            <w:tcW w:w="1071"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kern w:val="0"/>
                <w:sz w:val="21"/>
                <w:szCs w:val="21"/>
                <w:highlight w:val="none"/>
              </w:rPr>
              <w:t>性能要求</w:t>
            </w:r>
          </w:p>
        </w:tc>
        <w:tc>
          <w:tcPr>
            <w:tcW w:w="3928"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rPr>
              <w:t>支持分布式多节点部署，支持按需横向扩展，性能可线性提升。</w:t>
            </w:r>
          </w:p>
        </w:tc>
      </w:tr>
      <w:tr>
        <w:tblPrEx>
          <w:tblCellMar>
            <w:top w:w="0" w:type="dxa"/>
            <w:left w:w="0" w:type="dxa"/>
            <w:bottom w:w="0" w:type="dxa"/>
            <w:right w:w="0" w:type="dxa"/>
          </w:tblCellMar>
        </w:tblPrEx>
        <w:trPr>
          <w:trHeight w:val="416" w:hRule="atLeast"/>
        </w:trPr>
        <w:tc>
          <w:tcPr>
            <w:tcW w:w="1071"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kern w:val="0"/>
                <w:sz w:val="21"/>
                <w:szCs w:val="21"/>
                <w:highlight w:val="none"/>
              </w:rPr>
              <w:t>部署模式</w:t>
            </w:r>
          </w:p>
        </w:tc>
        <w:tc>
          <w:tcPr>
            <w:tcW w:w="3928"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rPr>
              <w:t>支持单机部署和分布式集群部署。</w:t>
            </w:r>
          </w:p>
        </w:tc>
      </w:tr>
    </w:tbl>
    <w:p>
      <w:pPr>
        <w:ind w:firstLine="0" w:firstLineChars="0"/>
        <w:rPr>
          <w:highlight w:val="none"/>
        </w:rPr>
      </w:pPr>
    </w:p>
    <w:p>
      <w:pPr>
        <w:pStyle w:val="4"/>
        <w:rPr>
          <w:highlight w:val="none"/>
        </w:rPr>
      </w:pPr>
      <w:r>
        <w:rPr>
          <w:rFonts w:hint="eastAsia"/>
          <w:highlight w:val="none"/>
        </w:rPr>
        <w:t>培训管理工具</w:t>
      </w:r>
    </w:p>
    <w:tbl>
      <w:tblPr>
        <w:tblStyle w:val="35"/>
        <w:tblW w:w="4998" w:type="pct"/>
        <w:tblInd w:w="0" w:type="dxa"/>
        <w:tblLayout w:type="autofit"/>
        <w:tblCellMar>
          <w:top w:w="0" w:type="dxa"/>
          <w:left w:w="0" w:type="dxa"/>
          <w:bottom w:w="0" w:type="dxa"/>
          <w:right w:w="0" w:type="dxa"/>
        </w:tblCellMar>
      </w:tblPr>
      <w:tblGrid>
        <w:gridCol w:w="1784"/>
        <w:gridCol w:w="6545"/>
      </w:tblGrid>
      <w:tr>
        <w:tblPrEx>
          <w:tblCellMar>
            <w:top w:w="0" w:type="dxa"/>
            <w:left w:w="0" w:type="dxa"/>
            <w:bottom w:w="0" w:type="dxa"/>
            <w:right w:w="0" w:type="dxa"/>
          </w:tblCellMar>
        </w:tblPrEx>
        <w:trPr>
          <w:trHeight w:val="90" w:hRule="atLeast"/>
        </w:trPr>
        <w:tc>
          <w:tcPr>
            <w:tcW w:w="1071"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kern w:val="0"/>
                <w:sz w:val="21"/>
                <w:szCs w:val="21"/>
                <w:highlight w:val="none"/>
              </w:rPr>
              <w:t>工具描述</w:t>
            </w:r>
          </w:p>
        </w:tc>
        <w:tc>
          <w:tcPr>
            <w:tcW w:w="3928"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rPr>
              <w:t>提供覆盖培训全生命周期的信息化管理能力，支持从培训计划制定、网上报名、排课管理、教学实施等全流程闭环管理，满足各类机关事业单位培训管理规范化、流程化、智能化的需求。</w:t>
            </w:r>
          </w:p>
        </w:tc>
      </w:tr>
      <w:tr>
        <w:tblPrEx>
          <w:tblCellMar>
            <w:top w:w="0" w:type="dxa"/>
            <w:left w:w="0" w:type="dxa"/>
            <w:bottom w:w="0" w:type="dxa"/>
            <w:right w:w="0" w:type="dxa"/>
          </w:tblCellMar>
        </w:tblPrEx>
        <w:trPr>
          <w:trHeight w:val="380" w:hRule="atLeast"/>
        </w:trPr>
        <w:tc>
          <w:tcPr>
            <w:tcW w:w="1071"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kern w:val="0"/>
                <w:sz w:val="21"/>
                <w:szCs w:val="21"/>
                <w:highlight w:val="none"/>
              </w:rPr>
              <w:t>工具能力要求</w:t>
            </w:r>
          </w:p>
        </w:tc>
        <w:tc>
          <w:tcPr>
            <w:tcW w:w="3928"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工具能力包括但不限于以下内容:</w:t>
            </w:r>
          </w:p>
          <w:p>
            <w:pPr>
              <w:widowControl/>
              <w:spacing w:line="240" w:lineRule="auto"/>
              <w:ind w:firstLine="0" w:firstLineChars="0"/>
              <w:jc w:val="left"/>
              <w:textAlignment w:val="center"/>
              <w:rPr>
                <w:rFonts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1、网上报名管理：支持个人报名与单位报名双通道，提供二维码报名入口及报名信息审核、退回等操作。</w:t>
            </w:r>
          </w:p>
          <w:p>
            <w:pPr>
              <w:widowControl/>
              <w:spacing w:line="240" w:lineRule="auto"/>
              <w:ind w:firstLine="0" w:firstLineChars="0"/>
              <w:jc w:val="left"/>
              <w:textAlignment w:val="center"/>
              <w:rPr>
                <w:rFonts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2、培训计划管理：支持培训计划的复制、导出以及模板制定，支持培训计划中的课程批量导入。</w:t>
            </w:r>
          </w:p>
          <w:p>
            <w:pPr>
              <w:widowControl/>
              <w:spacing w:line="240" w:lineRule="auto"/>
              <w:ind w:firstLine="0" w:firstLineChars="0"/>
              <w:jc w:val="left"/>
              <w:textAlignment w:val="center"/>
              <w:rPr>
                <w:rFonts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3、课表与排课管理：支持课程安排、调课维护及冲突自动检测，支持按周查看课表及多维筛选，所有调课操作自动生成记录。</w:t>
            </w:r>
          </w:p>
          <w:p>
            <w:pPr>
              <w:widowControl/>
              <w:spacing w:line="240" w:lineRule="auto"/>
              <w:ind w:firstLine="0" w:firstLineChars="0"/>
              <w:jc w:val="left"/>
              <w:textAlignment w:val="center"/>
              <w:rPr>
                <w:rFonts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4、班级全流程管理：支持班次信息管理、班级公告发布与阅读跟踪、学员信息管理及报到状态管理。</w:t>
            </w:r>
          </w:p>
          <w:p>
            <w:pPr>
              <w:widowControl/>
              <w:spacing w:line="240" w:lineRule="auto"/>
              <w:ind w:firstLine="0" w:firstLineChars="0"/>
              <w:jc w:val="left"/>
              <w:textAlignment w:val="center"/>
              <w:rPr>
                <w:rFonts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5、教学事务管理：支持作业布置与批阅、成绩录入与发布；支持课程、班次、后勤等多维度教学评价。</w:t>
            </w:r>
          </w:p>
          <w:p>
            <w:pPr>
              <w:widowControl/>
              <w:spacing w:line="240" w:lineRule="auto"/>
              <w:ind w:firstLine="0" w:firstLineChars="0"/>
              <w:jc w:val="left"/>
              <w:textAlignment w:val="center"/>
              <w:rPr>
                <w:rFonts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6、考勤与请假管理：支持二维码考勤、定位考勤等多种方式；支持学员在线请假与管理人员在线审批。</w:t>
            </w:r>
          </w:p>
          <w:p>
            <w:pPr>
              <w:widowControl/>
              <w:spacing w:line="240" w:lineRule="auto"/>
              <w:ind w:firstLine="0" w:firstLineChars="0"/>
              <w:jc w:val="left"/>
              <w:textAlignment w:val="center"/>
              <w:rPr>
                <w:rFonts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7、培训资料与证书管理：支持按班次上传培训资料供学员在线查阅；支持自定义证书模板并批量生成结业、毕业等各类证书。</w:t>
            </w:r>
          </w:p>
          <w:p>
            <w:pPr>
              <w:widowControl/>
              <w:spacing w:line="240" w:lineRule="auto"/>
              <w:ind w:firstLine="0" w:firstLineChars="0"/>
              <w:jc w:val="left"/>
              <w:textAlignment w:val="center"/>
              <w:rPr>
                <w:rFonts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8、移动端多角色服务：支持管理人员移动端进行班级管理、作业管理、请假审批等操作，支持学员移动端查看课表、提交作业、查看证书、参与签到等。</w:t>
            </w:r>
          </w:p>
        </w:tc>
      </w:tr>
      <w:tr>
        <w:tblPrEx>
          <w:tblCellMar>
            <w:top w:w="0" w:type="dxa"/>
            <w:left w:w="0" w:type="dxa"/>
            <w:bottom w:w="0" w:type="dxa"/>
            <w:right w:w="0" w:type="dxa"/>
          </w:tblCellMar>
        </w:tblPrEx>
        <w:trPr>
          <w:trHeight w:val="358" w:hRule="atLeast"/>
        </w:trPr>
        <w:tc>
          <w:tcPr>
            <w:tcW w:w="1071"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kern w:val="0"/>
                <w:sz w:val="21"/>
                <w:szCs w:val="21"/>
                <w:highlight w:val="none"/>
              </w:rPr>
              <w:t>兼容性要求</w:t>
            </w:r>
          </w:p>
        </w:tc>
        <w:tc>
          <w:tcPr>
            <w:tcW w:w="3928"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rPr>
              <w:t>兼容国产化主流操作系统、数据库、中间件。</w:t>
            </w:r>
          </w:p>
        </w:tc>
      </w:tr>
      <w:tr>
        <w:tblPrEx>
          <w:tblCellMar>
            <w:top w:w="0" w:type="dxa"/>
            <w:left w:w="0" w:type="dxa"/>
            <w:bottom w:w="0" w:type="dxa"/>
            <w:right w:w="0" w:type="dxa"/>
          </w:tblCellMar>
        </w:tblPrEx>
        <w:trPr>
          <w:trHeight w:val="402" w:hRule="atLeast"/>
        </w:trPr>
        <w:tc>
          <w:tcPr>
            <w:tcW w:w="1071"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kern w:val="0"/>
                <w:sz w:val="21"/>
                <w:szCs w:val="21"/>
                <w:highlight w:val="none"/>
              </w:rPr>
              <w:t>安全性要求</w:t>
            </w:r>
          </w:p>
        </w:tc>
        <w:tc>
          <w:tcPr>
            <w:tcW w:w="3928"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1、提供多层级权限管理与角色授权，支持密码安全管理和操作日志审计。</w:t>
            </w:r>
          </w:p>
          <w:p>
            <w:pPr>
              <w:widowControl/>
              <w:spacing w:line="240" w:lineRule="auto"/>
              <w:ind w:firstLine="0" w:firstLineChars="0"/>
              <w:jc w:val="left"/>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rPr>
              <w:t>2、提供第三方安全检测报告。</w:t>
            </w:r>
          </w:p>
        </w:tc>
      </w:tr>
      <w:tr>
        <w:tblPrEx>
          <w:tblCellMar>
            <w:top w:w="0" w:type="dxa"/>
            <w:left w:w="0" w:type="dxa"/>
            <w:bottom w:w="0" w:type="dxa"/>
            <w:right w:w="0" w:type="dxa"/>
          </w:tblCellMar>
        </w:tblPrEx>
        <w:trPr>
          <w:trHeight w:val="416" w:hRule="atLeast"/>
        </w:trPr>
        <w:tc>
          <w:tcPr>
            <w:tcW w:w="1071"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kern w:val="0"/>
                <w:sz w:val="21"/>
                <w:szCs w:val="21"/>
                <w:highlight w:val="none"/>
              </w:rPr>
              <w:t>部署模式</w:t>
            </w:r>
          </w:p>
        </w:tc>
        <w:tc>
          <w:tcPr>
            <w:tcW w:w="3928"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rPr>
              <w:t>支持单机部署和集群部署。</w:t>
            </w:r>
          </w:p>
        </w:tc>
      </w:tr>
    </w:tbl>
    <w:p>
      <w:pPr>
        <w:rPr>
          <w:highlight w:val="none"/>
        </w:rPr>
      </w:pPr>
    </w:p>
    <w:p>
      <w:pPr>
        <w:pStyle w:val="4"/>
        <w:rPr>
          <w:highlight w:val="none"/>
        </w:rPr>
      </w:pPr>
      <w:r>
        <w:rPr>
          <w:rFonts w:hint="eastAsia"/>
          <w:highlight w:val="none"/>
        </w:rPr>
        <w:t>空间数据库</w:t>
      </w:r>
    </w:p>
    <w:tbl>
      <w:tblPr>
        <w:tblStyle w:val="35"/>
        <w:tblW w:w="4998" w:type="pct"/>
        <w:tblInd w:w="0" w:type="dxa"/>
        <w:tblLayout w:type="autofit"/>
        <w:tblCellMar>
          <w:top w:w="0" w:type="dxa"/>
          <w:left w:w="0" w:type="dxa"/>
          <w:bottom w:w="0" w:type="dxa"/>
          <w:right w:w="0" w:type="dxa"/>
        </w:tblCellMar>
      </w:tblPr>
      <w:tblGrid>
        <w:gridCol w:w="1784"/>
        <w:gridCol w:w="6545"/>
      </w:tblGrid>
      <w:tr>
        <w:tblPrEx>
          <w:tblCellMar>
            <w:top w:w="0" w:type="dxa"/>
            <w:left w:w="0" w:type="dxa"/>
            <w:bottom w:w="0" w:type="dxa"/>
            <w:right w:w="0" w:type="dxa"/>
          </w:tblCellMar>
        </w:tblPrEx>
        <w:trPr>
          <w:trHeight w:val="90" w:hRule="atLeast"/>
        </w:trPr>
        <w:tc>
          <w:tcPr>
            <w:tcW w:w="1071"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kern w:val="0"/>
                <w:sz w:val="21"/>
                <w:szCs w:val="21"/>
                <w:highlight w:val="none"/>
              </w:rPr>
              <w:t>工具描述</w:t>
            </w:r>
          </w:p>
        </w:tc>
        <w:tc>
          <w:tcPr>
            <w:tcW w:w="3928"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rPr>
              <w:t>提供空间数据管理能力，支持矢量、栅格、三维等空间数据类型的存储与管理，具备数百种空间计算函数和多种空间索引能力，可有效支撑地理信息相关应用开发。</w:t>
            </w:r>
          </w:p>
        </w:tc>
      </w:tr>
      <w:tr>
        <w:tblPrEx>
          <w:tblCellMar>
            <w:top w:w="0" w:type="dxa"/>
            <w:left w:w="0" w:type="dxa"/>
            <w:bottom w:w="0" w:type="dxa"/>
            <w:right w:w="0" w:type="dxa"/>
          </w:tblCellMar>
        </w:tblPrEx>
        <w:trPr>
          <w:trHeight w:val="380" w:hRule="atLeast"/>
        </w:trPr>
        <w:tc>
          <w:tcPr>
            <w:tcW w:w="1071"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kern w:val="0"/>
                <w:sz w:val="21"/>
                <w:szCs w:val="21"/>
                <w:highlight w:val="none"/>
              </w:rPr>
              <w:t>工具能力要求</w:t>
            </w:r>
          </w:p>
        </w:tc>
        <w:tc>
          <w:tcPr>
            <w:tcW w:w="3928"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工具能力包括但不限于以下内容:</w:t>
            </w:r>
          </w:p>
          <w:p>
            <w:pPr>
              <w:widowControl/>
              <w:spacing w:line="240" w:lineRule="auto"/>
              <w:ind w:firstLine="0" w:firstLineChars="0"/>
              <w:jc w:val="left"/>
              <w:textAlignment w:val="center"/>
              <w:rPr>
                <w:rFonts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1、空间数据存储与管理：遵循OpenGIS和SQL/MM Part 3标准，支持WKT和WKB两种空间对象表达方式，提供点、线、面、栅格及三维等空间数据类型的存储与管理。</w:t>
            </w:r>
          </w:p>
          <w:p>
            <w:pPr>
              <w:widowControl/>
              <w:spacing w:line="240" w:lineRule="auto"/>
              <w:ind w:firstLine="0" w:firstLineChars="0"/>
              <w:jc w:val="left"/>
              <w:textAlignment w:val="center"/>
              <w:rPr>
                <w:rFonts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2、坐标系支持与转换：</w:t>
            </w:r>
            <w:r>
              <w:rPr>
                <w:sz w:val="21"/>
                <w:szCs w:val="21"/>
                <w:highlight w:val="none"/>
              </w:rPr>
              <w:t>具备平面几何与球面地理双模计算引擎，内置主流坐标系库，支持跨投影系的动态实时转换</w:t>
            </w:r>
            <w:r>
              <w:rPr>
                <w:rFonts w:hint="eastAsia" w:asciiTheme="minorEastAsia" w:hAnsiTheme="minorEastAsia" w:eastAsiaTheme="minorEastAsia" w:cstheme="minorEastAsia"/>
                <w:kern w:val="0"/>
                <w:sz w:val="21"/>
                <w:szCs w:val="21"/>
                <w:highlight w:val="none"/>
              </w:rPr>
              <w:t>。</w:t>
            </w:r>
          </w:p>
          <w:p>
            <w:pPr>
              <w:widowControl/>
              <w:spacing w:line="240" w:lineRule="auto"/>
              <w:ind w:firstLine="0" w:firstLineChars="0"/>
              <w:jc w:val="left"/>
              <w:textAlignment w:val="center"/>
              <w:rPr>
                <w:rFonts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3、空间索引性能：</w:t>
            </w:r>
            <w:r>
              <w:rPr>
                <w:sz w:val="21"/>
                <w:szCs w:val="21"/>
                <w:highlight w:val="none"/>
              </w:rPr>
              <w:t>采用专用多维空间索引机制，支持亿级数据量的毫秒级检索与复杂空间查询优化</w:t>
            </w:r>
            <w:r>
              <w:rPr>
                <w:rFonts w:hint="eastAsia" w:asciiTheme="minorEastAsia" w:hAnsiTheme="minorEastAsia" w:eastAsiaTheme="minorEastAsia" w:cstheme="minorEastAsia"/>
                <w:kern w:val="0"/>
                <w:sz w:val="21"/>
                <w:szCs w:val="21"/>
                <w:highlight w:val="none"/>
              </w:rPr>
              <w:t>。</w:t>
            </w:r>
          </w:p>
          <w:p>
            <w:pPr>
              <w:widowControl/>
              <w:spacing w:line="240" w:lineRule="auto"/>
              <w:ind w:firstLine="0" w:firstLineChars="0"/>
              <w:jc w:val="left"/>
              <w:textAlignment w:val="center"/>
              <w:rPr>
                <w:rFonts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4、空间分析计算：提供数百种空间计算函数，涵盖管理、几何构造、空间关系、叠加、处理、测量等类别，支持矢量、栅格、拓扑和三维等多类型空间分析。</w:t>
            </w:r>
          </w:p>
          <w:p>
            <w:pPr>
              <w:widowControl/>
              <w:spacing w:line="240" w:lineRule="auto"/>
              <w:ind w:firstLine="0" w:firstLineChars="0"/>
              <w:jc w:val="left"/>
              <w:textAlignment w:val="center"/>
              <w:rPr>
                <w:rFonts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5、数据迁移与生态兼容：兼容主流数据迁移工具，兼容主流GIS平台</w:t>
            </w:r>
            <w:r>
              <w:rPr>
                <w:sz w:val="21"/>
                <w:szCs w:val="21"/>
                <w:highlight w:val="none"/>
              </w:rPr>
              <w:t>。</w:t>
            </w:r>
          </w:p>
        </w:tc>
      </w:tr>
      <w:tr>
        <w:tblPrEx>
          <w:tblCellMar>
            <w:top w:w="0" w:type="dxa"/>
            <w:left w:w="0" w:type="dxa"/>
            <w:bottom w:w="0" w:type="dxa"/>
            <w:right w:w="0" w:type="dxa"/>
          </w:tblCellMar>
        </w:tblPrEx>
        <w:trPr>
          <w:trHeight w:val="358" w:hRule="atLeast"/>
        </w:trPr>
        <w:tc>
          <w:tcPr>
            <w:tcW w:w="1071"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kern w:val="0"/>
                <w:sz w:val="21"/>
                <w:szCs w:val="21"/>
                <w:highlight w:val="none"/>
              </w:rPr>
              <w:t>兼容性要求</w:t>
            </w:r>
          </w:p>
        </w:tc>
        <w:tc>
          <w:tcPr>
            <w:tcW w:w="3928"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rPr>
              <w:t>兼容国产化主流操作系统、中间件。</w:t>
            </w:r>
          </w:p>
        </w:tc>
      </w:tr>
      <w:tr>
        <w:tblPrEx>
          <w:tblCellMar>
            <w:top w:w="0" w:type="dxa"/>
            <w:left w:w="0" w:type="dxa"/>
            <w:bottom w:w="0" w:type="dxa"/>
            <w:right w:w="0" w:type="dxa"/>
          </w:tblCellMar>
        </w:tblPrEx>
        <w:trPr>
          <w:trHeight w:val="402" w:hRule="atLeast"/>
        </w:trPr>
        <w:tc>
          <w:tcPr>
            <w:tcW w:w="1071"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kern w:val="0"/>
                <w:sz w:val="21"/>
                <w:szCs w:val="21"/>
                <w:highlight w:val="none"/>
              </w:rPr>
              <w:t>安全性要求</w:t>
            </w:r>
          </w:p>
        </w:tc>
        <w:tc>
          <w:tcPr>
            <w:tcW w:w="3928"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1、支持空间数据访问权限的精细化管控。</w:t>
            </w:r>
          </w:p>
          <w:p>
            <w:pPr>
              <w:widowControl/>
              <w:spacing w:line="240" w:lineRule="auto"/>
              <w:ind w:firstLine="0" w:firstLineChars="0"/>
              <w:jc w:val="left"/>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rPr>
              <w:t>2、提供第三方安全检测报告。</w:t>
            </w:r>
          </w:p>
        </w:tc>
      </w:tr>
      <w:tr>
        <w:tblPrEx>
          <w:tblCellMar>
            <w:top w:w="0" w:type="dxa"/>
            <w:left w:w="0" w:type="dxa"/>
            <w:bottom w:w="0" w:type="dxa"/>
            <w:right w:w="0" w:type="dxa"/>
          </w:tblCellMar>
        </w:tblPrEx>
        <w:trPr>
          <w:trHeight w:val="416" w:hRule="atLeast"/>
        </w:trPr>
        <w:tc>
          <w:tcPr>
            <w:tcW w:w="1071"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kern w:val="0"/>
                <w:sz w:val="21"/>
                <w:szCs w:val="21"/>
                <w:highlight w:val="none"/>
              </w:rPr>
              <w:t>部署模式</w:t>
            </w:r>
          </w:p>
        </w:tc>
        <w:tc>
          <w:tcPr>
            <w:tcW w:w="3928"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rPr>
              <w:t>支持单机部署和集群部署。</w:t>
            </w:r>
          </w:p>
        </w:tc>
      </w:tr>
    </w:tbl>
    <w:p>
      <w:pPr>
        <w:ind w:firstLine="0" w:firstLineChars="0"/>
        <w:rPr>
          <w:highlight w:val="none"/>
        </w:rPr>
      </w:pPr>
    </w:p>
    <w:p>
      <w:pPr>
        <w:pStyle w:val="2"/>
        <w:rPr>
          <w:highlight w:val="none"/>
        </w:rPr>
      </w:pPr>
      <w:bookmarkStart w:id="17" w:name="_Toc63785503"/>
      <w:r>
        <w:rPr>
          <w:rFonts w:hint="eastAsia"/>
          <w:highlight w:val="none"/>
          <w:lang w:eastAsia="zh-CN"/>
        </w:rPr>
        <w:t>低代码建设要求</w:t>
      </w:r>
      <w:r>
        <w:rPr>
          <w:rFonts w:hint="eastAsia"/>
          <w:highlight w:val="none"/>
          <w:lang w:val="en-US" w:eastAsia="zh-CN"/>
        </w:rPr>
        <w:t xml:space="preserve"> </w:t>
      </w:r>
    </w:p>
    <w:p>
      <w:pPr>
        <w:ind w:firstLine="482"/>
        <w:rPr>
          <w:highlight w:val="none"/>
        </w:rPr>
      </w:pPr>
      <w:r>
        <w:rPr>
          <w:rFonts w:hint="eastAsia"/>
          <w:b/>
          <w:highlight w:val="none"/>
          <w:lang w:val="en-US" w:eastAsia="zh-CN"/>
        </w:rPr>
        <w:t>本项目为软件产品授权采购类项目，不涉及代码开发部分</w:t>
      </w:r>
      <w:r>
        <w:rPr>
          <w:rFonts w:hint="eastAsia"/>
          <w:b/>
          <w:highlight w:val="none"/>
          <w:lang w:eastAsia="zh-CN"/>
        </w:rPr>
        <w:t>。</w:t>
      </w:r>
    </w:p>
    <w:p>
      <w:pPr>
        <w:pStyle w:val="2"/>
        <w:rPr>
          <w:highlight w:val="none"/>
        </w:rPr>
      </w:pPr>
      <w:r>
        <w:rPr>
          <w:rFonts w:hint="eastAsia"/>
          <w:highlight w:val="none"/>
        </w:rPr>
        <w:t>其他工作要求</w:t>
      </w:r>
      <w:bookmarkEnd w:id="17"/>
    </w:p>
    <w:p>
      <w:pPr>
        <w:pStyle w:val="3"/>
        <w:rPr>
          <w:highlight w:val="none"/>
        </w:rPr>
      </w:pPr>
      <w:r>
        <w:rPr>
          <w:rFonts w:hint="eastAsia"/>
          <w:highlight w:val="none"/>
        </w:rPr>
        <w:t>总体要求</w:t>
      </w:r>
    </w:p>
    <w:p>
      <w:pPr>
        <w:numPr>
          <w:ilvl w:val="0"/>
          <w:numId w:val="5"/>
        </w:numPr>
        <w:ind w:firstLineChars="0"/>
        <w:rPr>
          <w:rFonts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本项目所采购的各类软件工具均应用于上海市级各预算单位。</w:t>
      </w:r>
    </w:p>
    <w:p>
      <w:pPr>
        <w:numPr>
          <w:ilvl w:val="0"/>
          <w:numId w:val="5"/>
        </w:numPr>
        <w:ind w:firstLineChars="0"/>
        <w:rPr>
          <w:rFonts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投标人应对所有采购品类的软件工具进行可用性、可靠性等SLA指标的描述。</w:t>
      </w:r>
    </w:p>
    <w:p>
      <w:pPr>
        <w:numPr>
          <w:ilvl w:val="0"/>
          <w:numId w:val="5"/>
        </w:numPr>
        <w:ind w:firstLineChars="0"/>
        <w:rPr>
          <w:rFonts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lang w:val="en-US" w:eastAsia="zh-CN"/>
        </w:rPr>
        <w:t>投标</w:t>
      </w:r>
      <w:r>
        <w:rPr>
          <w:rFonts w:hint="eastAsia" w:asciiTheme="minorEastAsia" w:hAnsiTheme="minorEastAsia" w:eastAsiaTheme="minorEastAsia" w:cstheme="minorEastAsia"/>
          <w:highlight w:val="none"/>
        </w:rPr>
        <w:t>人提供的各类软件工具应当直接向原厂商或原厂商授权的代理商、经销商进行采购。</w:t>
      </w:r>
    </w:p>
    <w:p>
      <w:pPr>
        <w:numPr>
          <w:ilvl w:val="0"/>
          <w:numId w:val="5"/>
        </w:numPr>
        <w:ind w:firstLineChars="0"/>
        <w:rPr>
          <w:rFonts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投标人用于投标的软件产品均需要提供原厂软件授权承诺函，每个软件产品对应一张授权承诺函（格式参见</w:t>
      </w:r>
      <w:r>
        <w:rPr>
          <w:rFonts w:hint="eastAsia" w:asciiTheme="minorEastAsia" w:hAnsiTheme="minorEastAsia" w:eastAsiaTheme="minorEastAsia" w:cstheme="minorEastAsia"/>
          <w:highlight w:val="none"/>
          <w:lang w:eastAsia="zh-CN"/>
        </w:rPr>
        <w:t>采购文件</w:t>
      </w:r>
      <w:r>
        <w:rPr>
          <w:rFonts w:hint="eastAsia" w:asciiTheme="minorEastAsia" w:hAnsiTheme="minorEastAsia" w:eastAsiaTheme="minorEastAsia" w:cstheme="minorEastAsia"/>
          <w:highlight w:val="none"/>
        </w:rPr>
        <w:t>）。原厂软件授权承诺函授权的产品名称应与软件著作权名称保持一致。</w:t>
      </w:r>
    </w:p>
    <w:p>
      <w:pPr>
        <w:numPr>
          <w:ilvl w:val="0"/>
          <w:numId w:val="5"/>
        </w:numPr>
        <w:ind w:firstLineChars="0"/>
        <w:rPr>
          <w:rFonts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本项目所采购的软件工具使用有效期为软件工具授权激活后至满一年，中标人应当在合同期满前向采购人交付所有软件工具的使用授权。并在软件工具激活使用后提供一年质保服务。</w:t>
      </w:r>
    </w:p>
    <w:p>
      <w:pPr>
        <w:numPr>
          <w:ilvl w:val="0"/>
          <w:numId w:val="5"/>
        </w:numPr>
        <w:ind w:firstLineChars="0"/>
        <w:rPr>
          <w:rFonts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投标人应当承担因投标人提供的软件工具自身问题导致的数据异常、数据丢失的安全责任。责任范围为本项目各类软件工具应用的范围。</w:t>
      </w:r>
    </w:p>
    <w:p>
      <w:pPr>
        <w:numPr>
          <w:ilvl w:val="0"/>
          <w:numId w:val="5"/>
        </w:numPr>
        <w:ind w:firstLineChars="0"/>
        <w:rPr>
          <w:rFonts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投标人投标的软件工具型号和部署方式，不得低于招标文件的性能指标及功能要求，在正式提供使用前需要获得招标人的方案审核、满足招标人的上架标准，未经招标人书面批准不得随意新增、更改或删除，若自行新增、更改或删除。</w:t>
      </w:r>
    </w:p>
    <w:p>
      <w:pPr>
        <w:numPr>
          <w:ilvl w:val="0"/>
          <w:numId w:val="5"/>
        </w:numPr>
        <w:ind w:firstLineChars="0"/>
        <w:rPr>
          <w:rFonts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中标人确认的项目团队人员及数量，必须与投标文件承诺一致，未经采购人书面批准不得随意调换或撤离，若自行更换或撤离，按照合同违约处理。</w:t>
      </w:r>
    </w:p>
    <w:p>
      <w:pPr>
        <w:numPr>
          <w:ilvl w:val="0"/>
          <w:numId w:val="5"/>
        </w:numPr>
        <w:ind w:firstLineChars="0"/>
        <w:rPr>
          <w:rFonts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中标人必须配合采购人及采购人指定的第三方监管团队（如有）的管理工作。</w:t>
      </w:r>
    </w:p>
    <w:p>
      <w:pPr>
        <w:numPr>
          <w:ilvl w:val="0"/>
          <w:numId w:val="5"/>
        </w:numPr>
        <w:ind w:firstLineChars="0"/>
        <w:rPr>
          <w:rFonts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投标人在合同期结束时应当无条件协助使用单位完成业务数据迁移、备份等工作。以及配合移交工具使用期间产生、收集的数据以及相关文档资料等。</w:t>
      </w:r>
    </w:p>
    <w:p>
      <w:pPr>
        <w:keepNext w:val="0"/>
        <w:keepLines w:val="0"/>
        <w:widowControl/>
        <w:numPr>
          <w:ilvl w:val="0"/>
          <w:numId w:val="5"/>
        </w:numPr>
        <w:suppressLineNumbers w:val="0"/>
        <w:ind w:left="0" w:firstLineChars="0"/>
        <w:rPr>
          <w:rFonts w:hint="eastAsia" w:asciiTheme="minorEastAsia" w:hAnsiTheme="minorEastAsia" w:eastAsiaTheme="minorEastAsia" w:cstheme="minorEastAsia"/>
          <w:i w:val="0"/>
          <w:iCs w:val="0"/>
          <w:caps w:val="0"/>
          <w:color w:val="000000"/>
          <w:spacing w:val="0"/>
          <w:highlight w:val="none"/>
          <w:u w:val="none"/>
        </w:rPr>
      </w:pPr>
      <w:r>
        <w:rPr>
          <w:rFonts w:hint="eastAsia" w:asciiTheme="minorEastAsia" w:hAnsiTheme="minorEastAsia" w:eastAsiaTheme="minorEastAsia" w:cstheme="minorEastAsia"/>
          <w:i w:val="0"/>
          <w:iCs w:val="0"/>
          <w:caps w:val="0"/>
          <w:color w:val="000000"/>
          <w:spacing w:val="0"/>
          <w:highlight w:val="none"/>
          <w:u w:val="none"/>
          <w:lang w:val="en-US" w:eastAsia="zh-CN"/>
        </w:rPr>
        <w:t>工具部署要求：中标人</w:t>
      </w:r>
      <w:r>
        <w:rPr>
          <w:rFonts w:hint="eastAsia" w:asciiTheme="minorEastAsia" w:hAnsiTheme="minorEastAsia" w:eastAsiaTheme="minorEastAsia" w:cstheme="minorEastAsia"/>
          <w:i w:val="0"/>
          <w:iCs w:val="0"/>
          <w:caps w:val="0"/>
          <w:color w:val="000000"/>
          <w:spacing w:val="0"/>
          <w:highlight w:val="none"/>
          <w:u w:val="none"/>
        </w:rPr>
        <w:t>提供的各类软件工具，</w:t>
      </w:r>
      <w:r>
        <w:rPr>
          <w:rFonts w:hint="eastAsia" w:asciiTheme="minorEastAsia" w:hAnsiTheme="minorEastAsia" w:eastAsiaTheme="minorEastAsia" w:cstheme="minorEastAsia"/>
          <w:i w:val="0"/>
          <w:iCs w:val="0"/>
          <w:caps w:val="0"/>
          <w:color w:val="000000"/>
          <w:spacing w:val="0"/>
          <w:highlight w:val="none"/>
          <w:u w:val="none"/>
          <w:lang w:val="en-US" w:eastAsia="zh-CN"/>
        </w:rPr>
        <w:t>涉及</w:t>
      </w:r>
      <w:r>
        <w:rPr>
          <w:rFonts w:hint="eastAsia" w:asciiTheme="minorEastAsia" w:hAnsiTheme="minorEastAsia" w:eastAsiaTheme="minorEastAsia" w:cstheme="minorEastAsia"/>
          <w:i w:val="0"/>
          <w:iCs w:val="0"/>
          <w:caps w:val="0"/>
          <w:color w:val="000000"/>
          <w:spacing w:val="0"/>
          <w:highlight w:val="none"/>
          <w:u w:val="none"/>
        </w:rPr>
        <w:t>集中化部署类</w:t>
      </w:r>
      <w:r>
        <w:rPr>
          <w:rFonts w:hint="eastAsia" w:asciiTheme="minorEastAsia" w:hAnsiTheme="minorEastAsia" w:eastAsiaTheme="minorEastAsia" w:cstheme="minorEastAsia"/>
          <w:i w:val="0"/>
          <w:iCs w:val="0"/>
          <w:caps w:val="0"/>
          <w:color w:val="000000"/>
          <w:spacing w:val="0"/>
          <w:highlight w:val="none"/>
          <w:u w:val="none"/>
          <w:lang w:val="en-US" w:eastAsia="zh-CN"/>
        </w:rPr>
        <w:t>的软件</w:t>
      </w:r>
      <w:r>
        <w:rPr>
          <w:rFonts w:hint="eastAsia" w:asciiTheme="minorEastAsia" w:hAnsiTheme="minorEastAsia" w:eastAsiaTheme="minorEastAsia" w:cstheme="minorEastAsia"/>
          <w:i w:val="0"/>
          <w:iCs w:val="0"/>
          <w:caps w:val="0"/>
          <w:color w:val="000000"/>
          <w:spacing w:val="0"/>
          <w:highlight w:val="none"/>
          <w:u w:val="none"/>
        </w:rPr>
        <w:t>工具，</w:t>
      </w:r>
      <w:r>
        <w:rPr>
          <w:rFonts w:hint="eastAsia" w:asciiTheme="minorEastAsia" w:hAnsiTheme="minorEastAsia" w:eastAsiaTheme="minorEastAsia" w:cstheme="minorEastAsia"/>
          <w:i w:val="0"/>
          <w:iCs w:val="0"/>
          <w:caps w:val="0"/>
          <w:color w:val="000000"/>
          <w:spacing w:val="0"/>
          <w:highlight w:val="yellow"/>
          <w:u w:val="none"/>
          <w:lang w:val="en-US" w:eastAsia="zh-CN"/>
        </w:rPr>
        <w:t>应能够适配采购人现有国产化云环境，支持华为 ARM 或海光 C86 等国产化CPU 架构，并可在华为、阿里等国产化云平台中稳定部署和运行。</w:t>
      </w:r>
      <w:r>
        <w:rPr>
          <w:rFonts w:hint="eastAsia" w:asciiTheme="minorEastAsia" w:hAnsiTheme="minorEastAsia" w:eastAsiaTheme="minorEastAsia" w:cstheme="minorEastAsia"/>
          <w:i w:val="0"/>
          <w:iCs w:val="0"/>
          <w:caps w:val="0"/>
          <w:color w:val="000000"/>
          <w:spacing w:val="0"/>
          <w:highlight w:val="none"/>
          <w:u w:val="none"/>
          <w:lang w:val="en-US" w:eastAsia="zh-CN"/>
        </w:rPr>
        <w:t>各类软件工具应当</w:t>
      </w:r>
      <w:r>
        <w:rPr>
          <w:rFonts w:hint="eastAsia" w:asciiTheme="minorEastAsia" w:hAnsiTheme="minorEastAsia" w:eastAsiaTheme="minorEastAsia" w:cstheme="minorEastAsia"/>
          <w:i w:val="0"/>
          <w:iCs w:val="0"/>
          <w:caps w:val="0"/>
          <w:color w:val="000000"/>
          <w:spacing w:val="0"/>
          <w:highlight w:val="none"/>
          <w:u w:val="none"/>
        </w:rPr>
        <w:t>支持多种主流国产</w:t>
      </w:r>
      <w:r>
        <w:rPr>
          <w:rFonts w:hint="eastAsia" w:asciiTheme="minorEastAsia" w:hAnsiTheme="minorEastAsia" w:eastAsiaTheme="minorEastAsia" w:cstheme="minorEastAsia"/>
          <w:i w:val="0"/>
          <w:iCs w:val="0"/>
          <w:caps w:val="0"/>
          <w:color w:val="000000"/>
          <w:spacing w:val="0"/>
          <w:highlight w:val="none"/>
          <w:u w:val="none"/>
          <w:lang w:val="en-US" w:eastAsia="zh-CN"/>
        </w:rPr>
        <w:t>化</w:t>
      </w:r>
      <w:r>
        <w:rPr>
          <w:rFonts w:hint="eastAsia" w:asciiTheme="minorEastAsia" w:hAnsiTheme="minorEastAsia" w:eastAsiaTheme="minorEastAsia" w:cstheme="minorEastAsia"/>
          <w:i w:val="0"/>
          <w:iCs w:val="0"/>
          <w:caps w:val="0"/>
          <w:color w:val="000000"/>
          <w:spacing w:val="0"/>
          <w:highlight w:val="none"/>
          <w:u w:val="none"/>
        </w:rPr>
        <w:t>操作系统，包括但不限于中标麒麟、银河麒麟、统信UOS等；应兼容主流国产</w:t>
      </w:r>
      <w:r>
        <w:rPr>
          <w:rFonts w:hint="eastAsia" w:asciiTheme="minorEastAsia" w:hAnsiTheme="minorEastAsia" w:eastAsiaTheme="minorEastAsia" w:cstheme="minorEastAsia"/>
          <w:i w:val="0"/>
          <w:iCs w:val="0"/>
          <w:caps w:val="0"/>
          <w:color w:val="000000"/>
          <w:spacing w:val="0"/>
          <w:highlight w:val="none"/>
          <w:u w:val="none"/>
          <w:lang w:val="en-US" w:eastAsia="zh-CN"/>
        </w:rPr>
        <w:t>化</w:t>
      </w:r>
      <w:r>
        <w:rPr>
          <w:rFonts w:hint="eastAsia" w:asciiTheme="minorEastAsia" w:hAnsiTheme="minorEastAsia" w:eastAsiaTheme="minorEastAsia" w:cstheme="minorEastAsia"/>
          <w:i w:val="0"/>
          <w:iCs w:val="0"/>
          <w:caps w:val="0"/>
          <w:color w:val="000000"/>
          <w:spacing w:val="0"/>
          <w:highlight w:val="none"/>
          <w:u w:val="none"/>
        </w:rPr>
        <w:t>数据库，包括但不限于达梦、金仓、海量、南大通用等；应支持国产化中间件，包括但不限于东方通、普元、金蝶、宝兰德等；同时应适配</w:t>
      </w:r>
      <w:r>
        <w:rPr>
          <w:rFonts w:hint="eastAsia" w:asciiTheme="minorEastAsia" w:hAnsiTheme="minorEastAsia" w:eastAsiaTheme="minorEastAsia" w:cstheme="minorEastAsia"/>
          <w:i w:val="0"/>
          <w:iCs w:val="0"/>
          <w:caps w:val="0"/>
          <w:color w:val="000000"/>
          <w:spacing w:val="0"/>
          <w:highlight w:val="none"/>
          <w:u w:val="none"/>
          <w:lang w:val="en-US" w:eastAsia="zh-CN"/>
        </w:rPr>
        <w:t>国产化浏览器，</w:t>
      </w:r>
      <w:r>
        <w:rPr>
          <w:rFonts w:hint="eastAsia" w:asciiTheme="minorEastAsia" w:hAnsiTheme="minorEastAsia" w:eastAsiaTheme="minorEastAsia" w:cstheme="minorEastAsia"/>
          <w:i w:val="0"/>
          <w:iCs w:val="0"/>
          <w:caps w:val="0"/>
          <w:color w:val="000000"/>
          <w:spacing w:val="0"/>
          <w:highlight w:val="none"/>
          <w:u w:val="none"/>
        </w:rPr>
        <w:t>包括但不限于奇安信浏览器、360浏览器、红莲花浏览器等。</w:t>
      </w:r>
    </w:p>
    <w:p>
      <w:pPr>
        <w:keepNext w:val="0"/>
        <w:keepLines w:val="0"/>
        <w:widowControl/>
        <w:numPr>
          <w:ilvl w:val="0"/>
          <w:numId w:val="5"/>
        </w:numPr>
        <w:suppressLineNumbers w:val="0"/>
        <w:ind w:left="0" w:firstLineChars="0"/>
        <w:rPr>
          <w:rFonts w:hint="eastAsia" w:asciiTheme="minorEastAsia" w:hAnsiTheme="minorEastAsia" w:eastAsiaTheme="minorEastAsia" w:cstheme="minorEastAsia"/>
          <w:i w:val="0"/>
          <w:iCs w:val="0"/>
          <w:caps w:val="0"/>
          <w:color w:val="000000"/>
          <w:spacing w:val="0"/>
          <w:highlight w:val="none"/>
          <w:u w:val="none"/>
        </w:rPr>
      </w:pPr>
      <w:r>
        <w:rPr>
          <w:rFonts w:hint="eastAsia" w:asciiTheme="minorEastAsia" w:hAnsiTheme="minorEastAsia" w:eastAsiaTheme="minorEastAsia" w:cstheme="minorEastAsia"/>
          <w:i w:val="0"/>
          <w:iCs w:val="0"/>
          <w:caps w:val="0"/>
          <w:spacing w:val="0"/>
          <w:highlight w:val="none"/>
          <w:u w:val="none"/>
          <w:lang w:val="en-US" w:eastAsia="zh-CN"/>
        </w:rPr>
        <w:t>工具验证要求：中标人</w:t>
      </w:r>
      <w:r>
        <w:rPr>
          <w:rFonts w:hint="eastAsia" w:asciiTheme="minorEastAsia" w:hAnsiTheme="minorEastAsia" w:eastAsiaTheme="minorEastAsia" w:cstheme="minorEastAsia"/>
          <w:i w:val="0"/>
          <w:iCs w:val="0"/>
          <w:caps w:val="0"/>
          <w:color w:val="000000"/>
          <w:spacing w:val="0"/>
          <w:highlight w:val="none"/>
          <w:u w:val="none"/>
        </w:rPr>
        <w:t>应在项目实施过程中结合采购人实际基础设施情况，开展必要的部署验证和性能调优工作，确保所供软件工具在目标环境中功能完整、运行稳定。项目中期验收前，中标人应完成工具底座及相关基础环境的搭建、配置和联调工作，并提交相应的部署文档</w:t>
      </w:r>
      <w:r>
        <w:rPr>
          <w:rFonts w:hint="eastAsia" w:asciiTheme="minorEastAsia" w:hAnsiTheme="minorEastAsia" w:eastAsiaTheme="minorEastAsia" w:cstheme="minorEastAsia"/>
          <w:i w:val="0"/>
          <w:iCs w:val="0"/>
          <w:caps w:val="0"/>
          <w:color w:val="000000"/>
          <w:spacing w:val="0"/>
          <w:highlight w:val="none"/>
          <w:u w:val="none"/>
          <w:lang w:val="en-US" w:eastAsia="zh-CN"/>
        </w:rPr>
        <w:t>和</w:t>
      </w:r>
      <w:r>
        <w:rPr>
          <w:rFonts w:hint="eastAsia" w:asciiTheme="minorEastAsia" w:hAnsiTheme="minorEastAsia" w:eastAsiaTheme="minorEastAsia" w:cstheme="minorEastAsia"/>
          <w:i w:val="0"/>
          <w:iCs w:val="0"/>
          <w:caps w:val="0"/>
          <w:color w:val="000000"/>
          <w:spacing w:val="0"/>
          <w:highlight w:val="none"/>
          <w:u w:val="none"/>
        </w:rPr>
        <w:t>测试记录。</w:t>
      </w:r>
    </w:p>
    <w:p>
      <w:pPr>
        <w:numPr>
          <w:ilvl w:val="-1"/>
          <w:numId w:val="0"/>
        </w:numPr>
        <w:spacing w:line="240" w:lineRule="auto"/>
        <w:ind w:left="0" w:firstLine="0" w:firstLineChars="0"/>
        <w:textAlignment w:val="center"/>
        <w:rPr>
          <w:rFonts w:hint="eastAsia" w:asciiTheme="minorEastAsia" w:hAnsiTheme="minorEastAsia" w:eastAsiaTheme="minorEastAsia" w:cstheme="minorEastAsia"/>
          <w:highlight w:val="none"/>
        </w:rPr>
      </w:pPr>
    </w:p>
    <w:p>
      <w:pPr>
        <w:numPr>
          <w:ilvl w:val="0"/>
          <w:numId w:val="5"/>
        </w:numPr>
        <w:ind w:firstLineChars="0"/>
        <w:rPr>
          <w:rFonts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软件工具产品选型</w:t>
      </w:r>
      <w:r>
        <w:rPr>
          <w:rFonts w:asciiTheme="minorEastAsia" w:hAnsiTheme="minorEastAsia" w:eastAsiaTheme="minorEastAsia" w:cstheme="minorEastAsia"/>
          <w:highlight w:val="none"/>
        </w:rPr>
        <w:t>:</w:t>
      </w:r>
      <w:r>
        <w:rPr>
          <w:rFonts w:hint="eastAsia" w:asciiTheme="minorEastAsia" w:hAnsiTheme="minorEastAsia" w:eastAsiaTheme="minorEastAsia" w:cstheme="minorEastAsia"/>
          <w:highlight w:val="none"/>
        </w:rPr>
        <w:t>投标人所提供的软件产品必须完全满足本项目的技术需求，包括但不限于采购文件中规定的软件工具功能、性能、兼容性、安全性以及管理和验收等要求。需提供符合采购需求的证明材料，包括不限于</w:t>
      </w:r>
      <w:r>
        <w:rPr>
          <w:rFonts w:asciiTheme="minorEastAsia" w:hAnsiTheme="minorEastAsia" w:eastAsiaTheme="minorEastAsia" w:cstheme="minorEastAsia"/>
          <w:highlight w:val="none"/>
        </w:rPr>
        <w:t>:</w:t>
      </w:r>
      <w:r>
        <w:rPr>
          <w:rFonts w:hint="eastAsia" w:asciiTheme="minorEastAsia" w:hAnsiTheme="minorEastAsia" w:eastAsiaTheme="minorEastAsia" w:cstheme="minorEastAsia"/>
          <w:highlight w:val="none"/>
        </w:rPr>
        <w:t>第三方专业测评报告、第三方专业检测报告、产品能力证明截图、其他体现产品能力的证明材料等。</w:t>
      </w:r>
    </w:p>
    <w:p>
      <w:pPr>
        <w:numPr>
          <w:ilvl w:val="0"/>
          <w:numId w:val="5"/>
        </w:numPr>
        <w:ind w:firstLineChars="0"/>
        <w:rPr>
          <w:rFonts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对接能力要求</w:t>
      </w:r>
      <w:r>
        <w:rPr>
          <w:rFonts w:asciiTheme="minorEastAsia" w:hAnsiTheme="minorEastAsia" w:eastAsiaTheme="minorEastAsia" w:cstheme="minorEastAsia"/>
          <w:highlight w:val="none"/>
        </w:rPr>
        <w:t>:</w:t>
      </w:r>
      <w:r>
        <w:rPr>
          <w:rFonts w:hint="eastAsia" w:asciiTheme="minorEastAsia" w:hAnsiTheme="minorEastAsia" w:eastAsiaTheme="minorEastAsia" w:cstheme="minorEastAsia"/>
          <w:highlight w:val="none"/>
        </w:rPr>
        <w:t>中标人应当具备与现有政务云管理平台进行工具申请需求对接、工具运行状态对接以及工具管理数据对接。</w:t>
      </w:r>
    </w:p>
    <w:p>
      <w:pPr>
        <w:numPr>
          <w:ilvl w:val="0"/>
          <w:numId w:val="5"/>
        </w:numPr>
        <w:ind w:firstLineChars="0"/>
        <w:rPr>
          <w:rFonts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管理能力要求</w:t>
      </w:r>
      <w:r>
        <w:rPr>
          <w:rFonts w:asciiTheme="minorEastAsia" w:hAnsiTheme="minorEastAsia" w:eastAsiaTheme="minorEastAsia" w:cstheme="minorEastAsia"/>
          <w:highlight w:val="none"/>
        </w:rPr>
        <w:t>:</w:t>
      </w:r>
      <w:r>
        <w:rPr>
          <w:rFonts w:hint="eastAsia" w:asciiTheme="minorEastAsia" w:hAnsiTheme="minorEastAsia" w:eastAsiaTheme="minorEastAsia" w:cstheme="minorEastAsia"/>
          <w:highlight w:val="none"/>
        </w:rPr>
        <w:t>投标人应根据本项目采购内容提供相应管理工具。管理工具能力包括不限于提供工具应用市场、工具上架、工具下架、工具交付、工具产品及使用跟踪等全流程管理能力。</w:t>
      </w:r>
    </w:p>
    <w:p>
      <w:pPr>
        <w:numPr>
          <w:ilvl w:val="0"/>
          <w:numId w:val="5"/>
        </w:numPr>
        <w:ind w:firstLineChars="0"/>
        <w:rPr>
          <w:rFonts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监控能力要求</w:t>
      </w:r>
      <w:r>
        <w:rPr>
          <w:rFonts w:asciiTheme="minorEastAsia" w:hAnsiTheme="minorEastAsia" w:eastAsiaTheme="minorEastAsia" w:cstheme="minorEastAsia"/>
          <w:highlight w:val="none"/>
        </w:rPr>
        <w:t>:</w:t>
      </w:r>
      <w:r>
        <w:rPr>
          <w:rFonts w:hint="eastAsia" w:asciiTheme="minorEastAsia" w:hAnsiTheme="minorEastAsia" w:eastAsiaTheme="minorEastAsia" w:cstheme="minorEastAsia"/>
          <w:highlight w:val="none"/>
        </w:rPr>
        <w:t>中标人应当对所提供的各类软件工具能力提供实时动态的监控，并将监控数据同步到现有政务云管理平台中，同步内容包括但不限于软件工具的使用情况统计、计量计费数据、告警数据、资源数据、运行性能数据、故障处置信息、安全相关信息以及其他日志数据等。</w:t>
      </w:r>
    </w:p>
    <w:p>
      <w:pPr>
        <w:numPr>
          <w:ilvl w:val="0"/>
          <w:numId w:val="5"/>
        </w:numPr>
        <w:ind w:firstLineChars="0"/>
        <w:rPr>
          <w:rFonts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投标人应当围绕本项目建设内容给出符合实际业务需要的考核评估方案，包括不限于从工具应用效益、工具应用效率、工具支撑质量以及工具评估措施等各个维度进行考核评估规划设计。</w:t>
      </w:r>
    </w:p>
    <w:p>
      <w:pPr>
        <w:numPr>
          <w:ilvl w:val="0"/>
          <w:numId w:val="5"/>
        </w:numPr>
        <w:ind w:firstLineChars="0"/>
        <w:rPr>
          <w:rFonts w:hint="eastAsia" w:ascii="宋体" w:hAnsi="宋体" w:eastAsia="宋体"/>
          <w:highlight w:val="none"/>
        </w:rPr>
      </w:pPr>
      <w:r>
        <w:rPr>
          <w:rFonts w:hint="eastAsia" w:asciiTheme="minorEastAsia" w:hAnsiTheme="minorEastAsia" w:eastAsiaTheme="minorEastAsia" w:cstheme="minorEastAsia"/>
          <w:highlight w:val="none"/>
        </w:rPr>
        <w:t>中标人应当配合采购人完成本项目考核评估工作，并负责对已经出现的工具问题进行整改。</w:t>
      </w:r>
      <w:bookmarkStart w:id="18" w:name="_Toc61968111"/>
      <w:bookmarkEnd w:id="18"/>
      <w:bookmarkStart w:id="19" w:name="_Toc63785439"/>
      <w:bookmarkEnd w:id="19"/>
      <w:bookmarkStart w:id="20" w:name="_Toc62219358"/>
      <w:bookmarkEnd w:id="20"/>
      <w:bookmarkStart w:id="21" w:name="_Toc63785504"/>
      <w:bookmarkEnd w:id="21"/>
      <w:bookmarkStart w:id="22" w:name="_Toc62209488"/>
      <w:bookmarkEnd w:id="22"/>
      <w:bookmarkStart w:id="23" w:name="_Toc63762370"/>
      <w:bookmarkEnd w:id="23"/>
      <w:bookmarkStart w:id="24" w:name="_Toc63585480"/>
      <w:bookmarkEnd w:id="24"/>
      <w:bookmarkStart w:id="25" w:name="_Toc63151871"/>
      <w:bookmarkEnd w:id="25"/>
    </w:p>
    <w:p>
      <w:pPr>
        <w:pStyle w:val="3"/>
        <w:rPr>
          <w:rFonts w:hint="eastAsia" w:ascii="宋体" w:hAnsi="宋体" w:eastAsia="宋体"/>
          <w:highlight w:val="none"/>
        </w:rPr>
      </w:pPr>
      <w:bookmarkStart w:id="26" w:name="_Toc63785505"/>
      <w:r>
        <w:rPr>
          <w:rFonts w:hint="eastAsia" w:ascii="宋体" w:hAnsi="宋体" w:eastAsia="宋体"/>
          <w:highlight w:val="none"/>
        </w:rPr>
        <w:t>售后服务要求</w:t>
      </w:r>
      <w:bookmarkEnd w:id="26"/>
    </w:p>
    <w:p>
      <w:pPr>
        <w:numPr>
          <w:ilvl w:val="0"/>
          <w:numId w:val="6"/>
        </w:numPr>
        <w:ind w:firstLineChars="0"/>
        <w:rPr>
          <w:rFonts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本项目从系统验收通过之日起1年内提供7*24小时免费技术支持和售后服务，1年后进入有偿维护期。</w:t>
      </w:r>
    </w:p>
    <w:p>
      <w:pPr>
        <w:numPr>
          <w:ilvl w:val="0"/>
          <w:numId w:val="6"/>
        </w:numPr>
        <w:ind w:firstLineChars="0"/>
        <w:rPr>
          <w:rFonts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投标人提供的各类软件工具的整体可用性应不低于99.99%，并对软件工具使用期间出现的异常问题进行快速响应、处置和恢复。</w:t>
      </w:r>
    </w:p>
    <w:p>
      <w:pPr>
        <w:numPr>
          <w:ilvl w:val="0"/>
          <w:numId w:val="6"/>
        </w:numPr>
        <w:ind w:firstLineChars="0"/>
        <w:rPr>
          <w:rFonts w:asciiTheme="minorEastAsia" w:hAnsiTheme="minorEastAsia" w:eastAsiaTheme="minorEastAsia" w:cstheme="minorEastAsia"/>
          <w:highlight w:val="none"/>
        </w:rPr>
      </w:pPr>
      <w:r>
        <w:rPr>
          <w:rFonts w:hint="eastAsia" w:asciiTheme="minorEastAsia" w:hAnsiTheme="minorEastAsia" w:eastAsiaTheme="minorEastAsia" w:cstheme="minorEastAsia"/>
          <w:b/>
          <w:bCs/>
          <w:highlight w:val="none"/>
        </w:rPr>
        <w:t>保障要求</w:t>
      </w:r>
      <w:r>
        <w:rPr>
          <w:rFonts w:asciiTheme="minorEastAsia" w:hAnsiTheme="minorEastAsia" w:eastAsiaTheme="minorEastAsia" w:cstheme="minorEastAsia"/>
          <w:highlight w:val="none"/>
        </w:rPr>
        <w:t>:</w:t>
      </w:r>
      <w:r>
        <w:rPr>
          <w:rFonts w:hint="eastAsia" w:asciiTheme="minorEastAsia" w:hAnsiTheme="minorEastAsia" w:eastAsiaTheme="minorEastAsia" w:cstheme="minorEastAsia"/>
          <w:highlight w:val="none"/>
        </w:rPr>
        <w:t>中标人应当提供软件工具安装介质、软件更新介质（包括补丁更新与版本升级）、软件使用技术支持、软件安装手册、业务场景接入技术支持、软件使用日常咨询响应以及工具使用培训等支撑保障服务。</w:t>
      </w:r>
    </w:p>
    <w:p>
      <w:pPr>
        <w:numPr>
          <w:ilvl w:val="0"/>
          <w:numId w:val="6"/>
        </w:numPr>
        <w:ind w:firstLineChars="0"/>
        <w:rPr>
          <w:rFonts w:asciiTheme="minorEastAsia" w:hAnsiTheme="minorEastAsia" w:eastAsiaTheme="minorEastAsia" w:cstheme="minorEastAsia"/>
          <w:highlight w:val="none"/>
        </w:rPr>
      </w:pPr>
      <w:r>
        <w:rPr>
          <w:rFonts w:hint="eastAsia" w:asciiTheme="minorEastAsia" w:hAnsiTheme="minorEastAsia" w:eastAsiaTheme="minorEastAsia" w:cstheme="minorEastAsia"/>
          <w:b/>
          <w:bCs/>
          <w:highlight w:val="none"/>
        </w:rPr>
        <w:t>日常监控、巡检</w:t>
      </w:r>
      <w:r>
        <w:rPr>
          <w:rFonts w:hint="eastAsia" w:asciiTheme="minorEastAsia" w:hAnsiTheme="minorEastAsia" w:eastAsiaTheme="minorEastAsia" w:cstheme="minorEastAsia"/>
          <w:highlight w:val="none"/>
        </w:rPr>
        <w:t>:中标人应对本项目集中部署的软件工具进行日常监控、巡检，包括监控告警的处理，巡检异常的处理等；中标人需制定维护管理规定，并按照规定中的维护项目、周期和要求，制定详细的作业计划并执行。</w:t>
      </w:r>
    </w:p>
    <w:p>
      <w:pPr>
        <w:numPr>
          <w:ilvl w:val="0"/>
          <w:numId w:val="6"/>
        </w:numPr>
        <w:ind w:firstLineChars="0"/>
        <w:rPr>
          <w:rFonts w:asciiTheme="minorEastAsia" w:hAnsiTheme="minorEastAsia" w:eastAsiaTheme="minorEastAsia" w:cstheme="minorEastAsia"/>
          <w:highlight w:val="none"/>
        </w:rPr>
      </w:pPr>
      <w:r>
        <w:rPr>
          <w:rFonts w:hint="eastAsia" w:asciiTheme="minorEastAsia" w:hAnsiTheme="minorEastAsia" w:eastAsiaTheme="minorEastAsia" w:cstheme="minorEastAsia"/>
          <w:b/>
          <w:bCs/>
          <w:highlight w:val="none"/>
        </w:rPr>
        <w:t>系统扩容</w:t>
      </w:r>
      <w:r>
        <w:rPr>
          <w:rFonts w:hint="eastAsia" w:asciiTheme="minorEastAsia" w:hAnsiTheme="minorEastAsia" w:eastAsiaTheme="minorEastAsia" w:cstheme="minorEastAsia"/>
          <w:highlight w:val="none"/>
        </w:rPr>
        <w:t>:中标人应承诺，在项目建设过程中，当平台资源数量、功能、性能等方面不满足最终用户使用要求时，中标人需对现有软件工具进行扩容。在采购人发起扩容需求后，中标人需在1个工作日内响应，在5个工作日内完成扩容任务，同时向采购人提交扩容后的资源情况报告。</w:t>
      </w:r>
    </w:p>
    <w:p>
      <w:pPr>
        <w:numPr>
          <w:ilvl w:val="0"/>
          <w:numId w:val="6"/>
        </w:numPr>
        <w:ind w:firstLineChars="0"/>
        <w:rPr>
          <w:highlight w:val="none"/>
        </w:rPr>
      </w:pPr>
      <w:r>
        <w:rPr>
          <w:rFonts w:hint="eastAsia" w:asciiTheme="minorEastAsia" w:hAnsiTheme="minorEastAsia" w:eastAsiaTheme="minorEastAsia" w:cstheme="minorEastAsia"/>
          <w:b/>
          <w:bCs/>
          <w:highlight w:val="none"/>
        </w:rPr>
        <w:t>工具升级</w:t>
      </w:r>
      <w:r>
        <w:rPr>
          <w:rFonts w:hint="eastAsia" w:asciiTheme="minorEastAsia" w:hAnsiTheme="minorEastAsia" w:eastAsiaTheme="minorEastAsia" w:cstheme="minorEastAsia"/>
          <w:highlight w:val="none"/>
        </w:rPr>
        <w:t>:当中标人发布软件工具的升级补丁时应及时通知采购人与使用单位。中标人应当承诺，在合同期间各类软件工具的共性功能、性能和安全等方面需要升级更新时，中标人应当在2工作日内作出响应，经采购人确认升级方案后，按照计划完成升级任务。</w:t>
      </w:r>
    </w:p>
    <w:p>
      <w:pPr>
        <w:numPr>
          <w:ilvl w:val="0"/>
          <w:numId w:val="6"/>
        </w:numPr>
        <w:ind w:firstLineChars="0"/>
        <w:rPr>
          <w:rFonts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 xml:space="preserve">在质量保证期内，供应商负责信息系统的运行维护工作，确保信息系统安全、稳定、可靠地运行。本项目涉及的运行维护工作范围为： </w:t>
      </w:r>
      <w:r>
        <w:rPr>
          <w:rFonts w:hint="eastAsia" w:asciiTheme="minorEastAsia" w:hAnsiTheme="minorEastAsia" w:eastAsiaTheme="minorEastAsia" w:cstheme="minorEastAsia"/>
          <w:highlight w:val="none"/>
          <w:u w:val="single"/>
        </w:rPr>
        <w:t xml:space="preserve">本项目全部建设内容 </w:t>
      </w:r>
      <w:r>
        <w:rPr>
          <w:rFonts w:hint="eastAsia" w:asciiTheme="minorEastAsia" w:hAnsiTheme="minorEastAsia" w:eastAsiaTheme="minorEastAsia" w:cstheme="minorEastAsia"/>
          <w:highlight w:val="none"/>
        </w:rPr>
        <w:t>。</w:t>
      </w:r>
    </w:p>
    <w:p>
      <w:pPr>
        <w:pStyle w:val="3"/>
        <w:rPr>
          <w:highlight w:val="none"/>
        </w:rPr>
      </w:pPr>
      <w:bookmarkStart w:id="27" w:name="_Toc63785506"/>
      <w:r>
        <w:rPr>
          <w:rFonts w:hint="eastAsia"/>
          <w:highlight w:val="none"/>
        </w:rPr>
        <w:t>应急响应要求</w:t>
      </w:r>
      <w:bookmarkEnd w:id="27"/>
    </w:p>
    <w:p>
      <w:pPr>
        <w:spacing w:line="600" w:lineRule="exact"/>
        <w:rPr>
          <w:highlight w:val="none"/>
        </w:rPr>
      </w:pPr>
      <w:r>
        <w:rPr>
          <w:rFonts w:hint="eastAsia"/>
          <w:highlight w:val="none"/>
        </w:rPr>
        <w:t>供应商对系统故障应能够实时响应，若系统发生故障，接到通知后30分钟之内响应，专业工程师2小时内到达现场。特殊故障与采购人沟通协商后，按照协商的方式制定解决方案并进行处理。</w:t>
      </w:r>
    </w:p>
    <w:p>
      <w:pPr>
        <w:spacing w:line="600" w:lineRule="exact"/>
        <w:rPr>
          <w:highlight w:val="none"/>
        </w:rPr>
      </w:pPr>
      <w:r>
        <w:rPr>
          <w:rFonts w:hint="eastAsia"/>
          <w:highlight w:val="none"/>
        </w:rPr>
        <w:t>具体故障级别及对应的应急响应要求如下：</w:t>
      </w:r>
    </w:p>
    <w:p>
      <w:pPr>
        <w:spacing w:line="600" w:lineRule="exact"/>
        <w:rPr>
          <w:highlight w:val="none"/>
        </w:rPr>
      </w:pPr>
      <w:r>
        <w:rPr>
          <w:rFonts w:hint="eastAsia"/>
          <w:highlight w:val="none"/>
        </w:rPr>
        <w:t>一级故障：在1小时内确诊，总故障解决时间不超过4小时。</w:t>
      </w:r>
    </w:p>
    <w:p>
      <w:pPr>
        <w:spacing w:line="600" w:lineRule="exact"/>
        <w:rPr>
          <w:highlight w:val="none"/>
        </w:rPr>
      </w:pPr>
      <w:r>
        <w:rPr>
          <w:rFonts w:hint="eastAsia"/>
          <w:highlight w:val="none"/>
        </w:rPr>
        <w:t>二级故障：在2小时内确诊，并在4小时内由专家到达现场确诊并解决，总故障解决时间不超过8小时；</w:t>
      </w:r>
    </w:p>
    <w:p>
      <w:pPr>
        <w:spacing w:line="600" w:lineRule="exact"/>
        <w:rPr>
          <w:highlight w:val="none"/>
        </w:rPr>
      </w:pPr>
      <w:r>
        <w:rPr>
          <w:rFonts w:hint="eastAsia"/>
          <w:highlight w:val="none"/>
        </w:rPr>
        <w:t>三、四级故障：在4小时内确诊故障，总故障解决时间不超过16小时。</w:t>
      </w:r>
    </w:p>
    <w:p>
      <w:pPr>
        <w:spacing w:line="600" w:lineRule="exact"/>
        <w:rPr>
          <w:highlight w:val="none"/>
        </w:rPr>
      </w:pPr>
      <w:r>
        <w:rPr>
          <w:rFonts w:hint="eastAsia"/>
          <w:highlight w:val="none"/>
        </w:rPr>
        <w:t>依据故障时间及故障范围划分故障级别，故障级别分为四级，依次为Ⅰ级（紧急）、Ⅱ级（严重）、Ⅲ级（较大）和Ⅳ级（一般），分别定义如下：</w:t>
      </w:r>
    </w:p>
    <w:p>
      <w:pPr>
        <w:spacing w:line="600" w:lineRule="exact"/>
        <w:rPr>
          <w:highlight w:val="none"/>
        </w:rPr>
      </w:pPr>
      <w:r>
        <w:rPr>
          <w:rFonts w:hint="eastAsia"/>
          <w:highlight w:val="none"/>
        </w:rPr>
        <w:t>Ⅰ级（紧急）故障为工作时间段（8:30——17:30）内大范围故障；</w:t>
      </w:r>
    </w:p>
    <w:p>
      <w:pPr>
        <w:spacing w:line="600" w:lineRule="exact"/>
        <w:rPr>
          <w:highlight w:val="none"/>
        </w:rPr>
      </w:pPr>
      <w:r>
        <w:rPr>
          <w:rFonts w:hint="eastAsia"/>
          <w:highlight w:val="none"/>
        </w:rPr>
        <w:t>Ⅱ级（严重）故障为非工作时间段（17:30——次日8:30）内大范围故障；</w:t>
      </w:r>
    </w:p>
    <w:p>
      <w:pPr>
        <w:spacing w:line="600" w:lineRule="exact"/>
        <w:rPr>
          <w:highlight w:val="none"/>
        </w:rPr>
      </w:pPr>
      <w:r>
        <w:rPr>
          <w:rFonts w:hint="eastAsia"/>
          <w:highlight w:val="none"/>
        </w:rPr>
        <w:t>Ⅲ级（较大）故障为工作时间段（8:30——17:30）内小范围故障；</w:t>
      </w:r>
    </w:p>
    <w:p>
      <w:pPr>
        <w:spacing w:line="600" w:lineRule="exact"/>
        <w:rPr>
          <w:highlight w:val="none"/>
        </w:rPr>
      </w:pPr>
      <w:r>
        <w:rPr>
          <w:rFonts w:hint="eastAsia"/>
          <w:highlight w:val="none"/>
        </w:rPr>
        <w:t>Ⅳ级（一般）故障为非工作时间段（17:30——次日8:30）内小范围故障；</w:t>
      </w:r>
    </w:p>
    <w:p>
      <w:pPr>
        <w:pStyle w:val="3"/>
        <w:rPr>
          <w:highlight w:val="none"/>
        </w:rPr>
      </w:pPr>
      <w:r>
        <w:rPr>
          <w:rFonts w:hint="eastAsia"/>
          <w:highlight w:val="none"/>
        </w:rPr>
        <w:t>网络与数据安全</w:t>
      </w:r>
    </w:p>
    <w:p>
      <w:pPr>
        <w:numPr>
          <w:ilvl w:val="0"/>
          <w:numId w:val="7"/>
        </w:numPr>
        <w:ind w:firstLine="480"/>
        <w:rPr>
          <w:highlight w:val="none"/>
        </w:rPr>
      </w:pPr>
      <w:r>
        <w:rPr>
          <w:rFonts w:hint="eastAsia"/>
          <w:highlight w:val="none"/>
        </w:rPr>
        <w:t>供应商应配合采购人开展相关安全制度和规范的制定，并根据项目实际，制定项目实施过程安全管理方案。</w:t>
      </w:r>
    </w:p>
    <w:p>
      <w:pPr>
        <w:numPr>
          <w:ilvl w:val="0"/>
          <w:numId w:val="7"/>
        </w:numPr>
        <w:ind w:firstLine="480"/>
        <w:rPr>
          <w:highlight w:val="none"/>
        </w:rPr>
      </w:pPr>
      <w:r>
        <w:rPr>
          <w:rFonts w:hint="eastAsia"/>
          <w:highlight w:val="none"/>
        </w:rPr>
        <w:t>供应商应确保所提供的软件产品或定制开发内容所涉及的供应链满足采购人的管理要求，提供供应链物料清单，落实供应链安全控制措施，包括漏洞扫描、第三方组件评估等工作，并于系统上线前，完成信息化资产的梳理。</w:t>
      </w:r>
    </w:p>
    <w:p>
      <w:pPr>
        <w:numPr>
          <w:ilvl w:val="0"/>
          <w:numId w:val="7"/>
        </w:numPr>
        <w:ind w:firstLine="480"/>
        <w:rPr>
          <w:highlight w:val="none"/>
        </w:rPr>
      </w:pPr>
      <w:r>
        <w:rPr>
          <w:rFonts w:hint="eastAsia"/>
          <w:highlight w:val="none"/>
        </w:rPr>
        <w:t>供应商应在项目实施过程中，按照数据差异化安全防护策略，根据系统需要采取数据加密、数据访问控制、日志记录、流转监测等防护能力及相关管理流程，切实保障数据安全。</w:t>
      </w:r>
    </w:p>
    <w:p>
      <w:pPr>
        <w:numPr>
          <w:ilvl w:val="0"/>
          <w:numId w:val="7"/>
        </w:numPr>
        <w:ind w:firstLine="480"/>
        <w:rPr>
          <w:highlight w:val="none"/>
        </w:rPr>
      </w:pPr>
      <w:r>
        <w:rPr>
          <w:rFonts w:hint="eastAsia"/>
          <w:highlight w:val="none"/>
        </w:rPr>
        <w:t>供应商应按照采购人场地及人员安全管理制度，加强人员管理，配合采购人落实人员背调、入离场、终端管理、网络限制、数据权限最小化等管控措施。</w:t>
      </w:r>
    </w:p>
    <w:p>
      <w:pPr>
        <w:numPr>
          <w:ilvl w:val="0"/>
          <w:numId w:val="7"/>
        </w:numPr>
        <w:ind w:firstLine="480"/>
        <w:rPr>
          <w:highlight w:val="none"/>
        </w:rPr>
      </w:pPr>
      <w:r>
        <w:rPr>
          <w:rFonts w:hint="eastAsia"/>
          <w:highlight w:val="none"/>
        </w:rPr>
        <w:t>供应商应配合采购人开展系统安全事件（含业务故障）级别划分，制定应急预案，并落实应急预案中规定的应急响应要求。</w:t>
      </w:r>
    </w:p>
    <w:p>
      <w:pPr>
        <w:numPr>
          <w:ilvl w:val="0"/>
          <w:numId w:val="7"/>
        </w:numPr>
        <w:ind w:firstLine="480"/>
        <w:rPr>
          <w:highlight w:val="none"/>
        </w:rPr>
      </w:pPr>
      <w:r>
        <w:rPr>
          <w:rFonts w:hint="eastAsia"/>
          <w:highlight w:val="none"/>
        </w:rPr>
        <w:t>供应商应于系统上线部署前对系统运行环境、应用软件等开展安全自查，并于项目初验及系统试运行阶段，配合采购人开展系列安全测试、评估工作，针对发现的问题及时完成整改，确保系统上线安全。</w:t>
      </w:r>
    </w:p>
    <w:p>
      <w:pPr>
        <w:numPr>
          <w:ilvl w:val="0"/>
          <w:numId w:val="7"/>
        </w:numPr>
        <w:ind w:firstLine="480"/>
        <w:rPr>
          <w:highlight w:val="none"/>
        </w:rPr>
      </w:pPr>
      <w:r>
        <w:rPr>
          <w:rFonts w:hint="eastAsia"/>
          <w:highlight w:val="none"/>
        </w:rPr>
        <w:t>供应商应在系统免维期内承担系统安全运维管理责任，落实安全管理保障措施，包括但不限于制度修订、风险排查、应急响应、漏洞修复、重保等工作。</w:t>
      </w:r>
    </w:p>
    <w:p>
      <w:pPr>
        <w:pStyle w:val="3"/>
        <w:rPr>
          <w:highlight w:val="none"/>
        </w:rPr>
      </w:pPr>
      <w:bookmarkStart w:id="28" w:name="_Toc63785507"/>
      <w:r>
        <w:rPr>
          <w:rFonts w:hint="eastAsia"/>
          <w:highlight w:val="none"/>
        </w:rPr>
        <w:t>培训要求</w:t>
      </w:r>
      <w:bookmarkEnd w:id="28"/>
    </w:p>
    <w:p>
      <w:pPr>
        <w:rPr>
          <w:highlight w:val="none"/>
        </w:rPr>
      </w:pPr>
      <w:r>
        <w:rPr>
          <w:rFonts w:hint="eastAsia"/>
          <w:highlight w:val="none"/>
        </w:rPr>
        <w:t>对系统使用单位提供业务操作培训，应提供详细培训方案。</w:t>
      </w:r>
    </w:p>
    <w:p>
      <w:pPr>
        <w:rPr>
          <w:highlight w:val="none"/>
        </w:rPr>
      </w:pPr>
      <w:r>
        <w:rPr>
          <w:rFonts w:hint="eastAsia"/>
          <w:highlight w:val="none"/>
        </w:rPr>
        <w:t>(1)在12个月的质量保证期内，提供2次与项目相关的必要培训。</w:t>
      </w:r>
    </w:p>
    <w:p>
      <w:pPr>
        <w:rPr>
          <w:highlight w:val="none"/>
        </w:rPr>
      </w:pPr>
      <w:r>
        <w:rPr>
          <w:rFonts w:hint="eastAsia"/>
          <w:highlight w:val="none"/>
        </w:rPr>
        <w:t>(2)供应商需要开展分层次的人员培训工作，每次培训后应对参加培训人员进行测试，评估培训成果。培训应具有培训教材、培训环境和高水平的培训讲师。</w:t>
      </w:r>
    </w:p>
    <w:p>
      <w:pPr>
        <w:rPr>
          <w:highlight w:val="none"/>
        </w:rPr>
      </w:pPr>
      <w:r>
        <w:rPr>
          <w:rFonts w:hint="eastAsia"/>
          <w:highlight w:val="none"/>
        </w:rPr>
        <w:t>(3)供应商应提供一般用户的基础操作培训和部门信息管理员的日常应用维护的培训，确保用户对象能够掌握对应的操作技能。</w:t>
      </w:r>
    </w:p>
    <w:p>
      <w:pPr>
        <w:pStyle w:val="3"/>
        <w:rPr>
          <w:highlight w:val="none"/>
        </w:rPr>
      </w:pPr>
      <w:bookmarkStart w:id="29" w:name="_Toc63785508"/>
      <w:r>
        <w:rPr>
          <w:rFonts w:hint="eastAsia"/>
          <w:highlight w:val="none"/>
        </w:rPr>
        <w:t>验收要求</w:t>
      </w:r>
      <w:bookmarkEnd w:id="29"/>
    </w:p>
    <w:p>
      <w:pPr>
        <w:rPr>
          <w:szCs w:val="21"/>
          <w:highlight w:val="none"/>
        </w:rPr>
      </w:pPr>
      <w:r>
        <w:rPr>
          <w:rFonts w:hint="eastAsia"/>
          <w:szCs w:val="21"/>
          <w:highlight w:val="none"/>
        </w:rPr>
        <w:t>本项目按下述方式开展验收。</w:t>
      </w:r>
    </w:p>
    <w:p>
      <w:pPr>
        <w:rPr>
          <w:szCs w:val="21"/>
          <w:highlight w:val="none"/>
        </w:rPr>
      </w:pPr>
      <w:r>
        <w:rPr>
          <w:rFonts w:hint="eastAsia"/>
          <w:szCs w:val="21"/>
          <w:highlight w:val="none"/>
        </w:rPr>
        <w:t>（</w:t>
      </w:r>
      <w:r>
        <w:rPr>
          <w:szCs w:val="21"/>
          <w:highlight w:val="none"/>
        </w:rPr>
        <w:t>1）验收分初验和终验。</w:t>
      </w:r>
    </w:p>
    <w:p>
      <w:pPr>
        <w:rPr>
          <w:szCs w:val="21"/>
          <w:highlight w:val="none"/>
        </w:rPr>
      </w:pPr>
      <w:r>
        <w:rPr>
          <w:rFonts w:hint="eastAsia"/>
          <w:szCs w:val="21"/>
          <w:highlight w:val="none"/>
        </w:rPr>
        <w:t>（</w:t>
      </w:r>
      <w:r>
        <w:rPr>
          <w:szCs w:val="21"/>
          <w:highlight w:val="none"/>
        </w:rPr>
        <w:t>2）初验前，供应商须完成软件安装和信息系统的调试等，并对本项目进行功能和运行检测，确保所有信息系统功能模块能够正常运行且已达到本项目约定的各类标准要求。供应商应以书面形式向招标方递交初验通知书。招标方应当在接到通知后的5个工作日内确定初验的具体日期，由双方按照本项目的约定完成本项目的初验。招标方有权委托第三方检测机构进行验收，对此供应商应当配合。</w:t>
      </w:r>
    </w:p>
    <w:p>
      <w:pPr>
        <w:rPr>
          <w:szCs w:val="21"/>
          <w:highlight w:val="none"/>
        </w:rPr>
      </w:pPr>
      <w:r>
        <w:rPr>
          <w:rFonts w:hint="eastAsia"/>
          <w:szCs w:val="21"/>
          <w:highlight w:val="none"/>
        </w:rPr>
        <w:t>（</w:t>
      </w:r>
      <w:r>
        <w:rPr>
          <w:szCs w:val="21"/>
          <w:highlight w:val="none"/>
        </w:rPr>
        <w:t>3）初验时，供应商须提供软件文档包括</w:t>
      </w:r>
      <w:r>
        <w:rPr>
          <w:rFonts w:hint="eastAsia"/>
          <w:szCs w:val="21"/>
          <w:highlight w:val="none"/>
        </w:rPr>
        <w:t>《工具部署实施方案</w:t>
      </w:r>
      <w:r>
        <w:rPr>
          <w:szCs w:val="21"/>
          <w:highlight w:val="none"/>
        </w:rPr>
        <w:t>》《</w:t>
      </w:r>
      <w:r>
        <w:rPr>
          <w:rFonts w:hint="eastAsia"/>
          <w:szCs w:val="21"/>
          <w:highlight w:val="none"/>
        </w:rPr>
        <w:t>工具</w:t>
      </w:r>
      <w:r>
        <w:rPr>
          <w:szCs w:val="21"/>
          <w:highlight w:val="none"/>
        </w:rPr>
        <w:t>使用手册</w:t>
      </w:r>
      <w:r>
        <w:rPr>
          <w:rFonts w:hint="eastAsia"/>
          <w:szCs w:val="21"/>
          <w:highlight w:val="none"/>
        </w:rPr>
        <w:t>》</w:t>
      </w:r>
      <w:r>
        <w:rPr>
          <w:szCs w:val="21"/>
          <w:highlight w:val="none"/>
        </w:rPr>
        <w:t>《</w:t>
      </w:r>
      <w:r>
        <w:rPr>
          <w:rFonts w:hint="eastAsia"/>
          <w:szCs w:val="21"/>
          <w:highlight w:val="none"/>
        </w:rPr>
        <w:t>软件工具白皮书》</w:t>
      </w:r>
      <w:r>
        <w:rPr>
          <w:szCs w:val="21"/>
          <w:highlight w:val="none"/>
        </w:rPr>
        <w:t>及可安装的运行文件。所交付的文档与文件应当是可供自然人阅读的书面和电子文档。软件文档及可安装的程序运行文件验收通过后，视为初验通过。如有缺陷，招标方应向供应商出具书面报告，陈述需要改进的缺陷。供应商应立即严格依照招标方的书面报告中的要求改进缺陷，并再次进行初验。</w:t>
      </w:r>
    </w:p>
    <w:p>
      <w:pPr>
        <w:rPr>
          <w:szCs w:val="21"/>
          <w:highlight w:val="none"/>
        </w:rPr>
      </w:pPr>
      <w:r>
        <w:rPr>
          <w:rFonts w:hint="eastAsia"/>
          <w:szCs w:val="21"/>
          <w:highlight w:val="none"/>
        </w:rPr>
        <w:t>（</w:t>
      </w:r>
      <w:r>
        <w:rPr>
          <w:szCs w:val="21"/>
          <w:highlight w:val="none"/>
        </w:rPr>
        <w:t>4）自初验通过之日起，招标方享有供应商免费提供的</w:t>
      </w:r>
      <w:r>
        <w:rPr>
          <w:rFonts w:hint="eastAsia"/>
          <w:szCs w:val="21"/>
          <w:highlight w:val="none"/>
        </w:rPr>
        <w:t>30</w:t>
      </w:r>
      <w:r>
        <w:rPr>
          <w:szCs w:val="21"/>
          <w:highlight w:val="none"/>
        </w:rPr>
        <w:t>天的信息系统试运行现场驻场服务期。该期间内，供应商应当按照招标方的要求提供现场技术支持服务，解决信息系统试运行期间可能出现的各类问题，或进一步提高与完善信息系统运行水平。</w:t>
      </w:r>
    </w:p>
    <w:p>
      <w:pPr>
        <w:rPr>
          <w:szCs w:val="21"/>
          <w:highlight w:val="none"/>
        </w:rPr>
      </w:pPr>
      <w:r>
        <w:rPr>
          <w:rFonts w:hint="eastAsia"/>
          <w:szCs w:val="21"/>
          <w:highlight w:val="none"/>
        </w:rPr>
        <w:t>（</w:t>
      </w:r>
      <w:r>
        <w:rPr>
          <w:szCs w:val="21"/>
          <w:highlight w:val="none"/>
        </w:rPr>
        <w:t>5）初验通过且信息系统试运行期已经达到本项目约定的时间，经供应商确认信息系统具备正常运行条件，且信息系统通过运行测试，供应商应以书面形式通知招标方信息系统已准备就绪等待终验。招标方在收到终验通知后的</w:t>
      </w:r>
      <w:r>
        <w:rPr>
          <w:rFonts w:hint="eastAsia"/>
          <w:szCs w:val="21"/>
          <w:highlight w:val="none"/>
        </w:rPr>
        <w:t>10</w:t>
      </w:r>
      <w:r>
        <w:rPr>
          <w:szCs w:val="21"/>
          <w:highlight w:val="none"/>
        </w:rPr>
        <w:t>个工作日内发起组织专家验收会。</w:t>
      </w:r>
    </w:p>
    <w:p>
      <w:pPr>
        <w:rPr>
          <w:szCs w:val="21"/>
          <w:highlight w:val="none"/>
        </w:rPr>
      </w:pPr>
      <w:r>
        <w:rPr>
          <w:rFonts w:hint="eastAsia"/>
          <w:szCs w:val="21"/>
          <w:highlight w:val="none"/>
        </w:rPr>
        <w:t>（6</w:t>
      </w:r>
      <w:r>
        <w:rPr>
          <w:szCs w:val="21"/>
          <w:highlight w:val="none"/>
        </w:rPr>
        <w:t>）如果属于供应商原因致使本项目未能通过终验，供应商应当排除缺陷，直至本项目完全符合验收标准，由上述情形而产生的相关费用应由供应商自行承担。</w:t>
      </w:r>
    </w:p>
    <w:p>
      <w:pPr>
        <w:rPr>
          <w:szCs w:val="21"/>
          <w:highlight w:val="none"/>
        </w:rPr>
      </w:pPr>
      <w:r>
        <w:rPr>
          <w:rFonts w:hint="eastAsia"/>
          <w:szCs w:val="21"/>
          <w:highlight w:val="none"/>
        </w:rPr>
        <w:t>（7</w:t>
      </w:r>
      <w:r>
        <w:rPr>
          <w:szCs w:val="21"/>
          <w:highlight w:val="none"/>
        </w:rPr>
        <w:t>）如果由于招标方原因导致本项目在终验通过前出现故障或问题，供应商应及时配合排除该方面的故障或问题。</w:t>
      </w:r>
    </w:p>
    <w:p>
      <w:pPr>
        <w:rPr>
          <w:szCs w:val="21"/>
          <w:highlight w:val="none"/>
        </w:rPr>
      </w:pPr>
      <w:r>
        <w:rPr>
          <w:rFonts w:hint="eastAsia"/>
          <w:szCs w:val="21"/>
          <w:highlight w:val="none"/>
        </w:rPr>
        <w:t>（8</w:t>
      </w:r>
      <w:r>
        <w:rPr>
          <w:szCs w:val="21"/>
          <w:highlight w:val="none"/>
        </w:rPr>
        <w:t>）如本项目连续3次验收未通过（含初验未通过或终验未通过），招标方有权解除项目，并有权依照本项目约定的违约条款追究供应商的违约责任。</w:t>
      </w:r>
    </w:p>
    <w:p>
      <w:pPr>
        <w:rPr>
          <w:rFonts w:hint="eastAsia"/>
          <w:szCs w:val="21"/>
          <w:highlight w:val="none"/>
          <w:lang w:eastAsia="zh-CN"/>
        </w:rPr>
      </w:pPr>
      <w:r>
        <w:rPr>
          <w:rFonts w:hint="eastAsia"/>
          <w:szCs w:val="21"/>
          <w:highlight w:val="none"/>
          <w:lang w:eastAsia="zh-CN"/>
        </w:rPr>
        <w:t>（</w:t>
      </w:r>
      <w:r>
        <w:rPr>
          <w:rFonts w:hint="eastAsia"/>
          <w:szCs w:val="21"/>
          <w:highlight w:val="none"/>
          <w:lang w:val="en-US" w:eastAsia="zh-CN"/>
        </w:rPr>
        <w:t>9</w:t>
      </w:r>
      <w:r>
        <w:rPr>
          <w:rFonts w:hint="eastAsia"/>
          <w:szCs w:val="21"/>
          <w:highlight w:val="none"/>
          <w:lang w:eastAsia="zh-CN"/>
        </w:rPr>
        <w:t>）中标人需为所投全部软件产品提供相应配套支撑保障服务，包括不限于工具软件产品的补丁更新、软件版本升级、软件使用培训、软件使用日常咨询响应、部分集约化统筹软件产品的安装部署等；</w:t>
      </w:r>
    </w:p>
    <w:p>
      <w:pPr>
        <w:rPr>
          <w:rFonts w:hint="eastAsia"/>
          <w:szCs w:val="21"/>
          <w:highlight w:val="none"/>
          <w:lang w:eastAsia="zh-CN"/>
        </w:rPr>
      </w:pPr>
      <w:r>
        <w:rPr>
          <w:rFonts w:hint="eastAsia"/>
          <w:szCs w:val="21"/>
          <w:highlight w:val="none"/>
          <w:lang w:eastAsia="zh-CN"/>
        </w:rPr>
        <w:t>（</w:t>
      </w:r>
      <w:r>
        <w:rPr>
          <w:rFonts w:hint="eastAsia"/>
          <w:szCs w:val="21"/>
          <w:highlight w:val="none"/>
          <w:lang w:val="en-US" w:eastAsia="zh-CN"/>
        </w:rPr>
        <w:t>10</w:t>
      </w:r>
      <w:r>
        <w:rPr>
          <w:rFonts w:hint="eastAsia"/>
          <w:szCs w:val="21"/>
          <w:highlight w:val="none"/>
          <w:lang w:eastAsia="zh-CN"/>
        </w:rPr>
        <w:t>）中标人应在项目初验时向采购人交付本项目采购总量 60% 的软件授权（License），并在项目终验时向采购人交付采购总量 100% 的软件授权（License）</w:t>
      </w:r>
    </w:p>
    <w:p>
      <w:pPr>
        <w:pStyle w:val="3"/>
        <w:rPr>
          <w:highlight w:val="none"/>
        </w:rPr>
      </w:pPr>
      <w:bookmarkStart w:id="30" w:name="_Toc63785509"/>
      <w:r>
        <w:rPr>
          <w:rFonts w:hint="eastAsia"/>
          <w:highlight w:val="none"/>
        </w:rPr>
        <w:t>进度要求</w:t>
      </w:r>
      <w:bookmarkEnd w:id="30"/>
    </w:p>
    <w:p>
      <w:pPr>
        <w:rPr>
          <w:highlight w:val="none"/>
        </w:rPr>
      </w:pPr>
      <w:r>
        <w:rPr>
          <w:rFonts w:hint="eastAsia"/>
          <w:highlight w:val="none"/>
        </w:rPr>
        <w:t>投标人应根据建设内容，分阶段制定合理的时间进度，并且应根据招标方要求进行调整和细化。</w:t>
      </w:r>
    </w:p>
    <w:p>
      <w:pPr>
        <w:rPr>
          <w:highlight w:val="none"/>
        </w:rPr>
      </w:pPr>
      <w:bookmarkStart w:id="31" w:name="_Toc63785510"/>
      <w:r>
        <w:rPr>
          <w:rFonts w:hint="eastAsia"/>
          <w:highlight w:val="none"/>
        </w:rPr>
        <w:t>总建设周期为6个月，分为3个阶段。</w:t>
      </w:r>
    </w:p>
    <w:p>
      <w:pPr>
        <w:rPr>
          <w:highlight w:val="none"/>
        </w:rPr>
      </w:pPr>
      <w:r>
        <w:rPr>
          <w:rFonts w:hint="eastAsia"/>
          <w:highlight w:val="none"/>
        </w:rPr>
        <w:t>第一阶段为2个月，完成软件产品到货。</w:t>
      </w:r>
    </w:p>
    <w:p>
      <w:pPr>
        <w:rPr>
          <w:highlight w:val="none"/>
        </w:rPr>
      </w:pPr>
      <w:r>
        <w:rPr>
          <w:rFonts w:hint="eastAsia"/>
          <w:highlight w:val="none"/>
        </w:rPr>
        <w:t>第二阶段为2个月，完成统筹软件产品的底座搭建与调试。</w:t>
      </w:r>
    </w:p>
    <w:p>
      <w:pPr>
        <w:rPr>
          <w:highlight w:val="none"/>
        </w:rPr>
      </w:pPr>
      <w:r>
        <w:rPr>
          <w:rFonts w:hint="eastAsia"/>
          <w:highlight w:val="none"/>
        </w:rPr>
        <w:t>第三阶段为2个月，完成项目试运行及优化。</w:t>
      </w:r>
    </w:p>
    <w:p>
      <w:pPr>
        <w:pStyle w:val="3"/>
        <w:rPr>
          <w:highlight w:val="none"/>
        </w:rPr>
      </w:pPr>
      <w:r>
        <w:rPr>
          <w:rFonts w:hint="eastAsia"/>
          <w:highlight w:val="none"/>
        </w:rPr>
        <w:t>项目团队及驻场人员要求</w:t>
      </w:r>
      <w:bookmarkEnd w:id="31"/>
    </w:p>
    <w:p>
      <w:pPr>
        <w:numPr>
          <w:ilvl w:val="0"/>
          <w:numId w:val="8"/>
        </w:numPr>
        <w:ind w:firstLine="480"/>
        <w:rPr>
          <w:highlight w:val="none"/>
        </w:rPr>
      </w:pPr>
      <w:r>
        <w:rPr>
          <w:highlight w:val="none"/>
        </w:rPr>
        <w:t>中标人应为本项目单独建立管理组织，配置相应团队。</w:t>
      </w:r>
    </w:p>
    <w:p>
      <w:pPr>
        <w:numPr>
          <w:ilvl w:val="0"/>
          <w:numId w:val="8"/>
        </w:numPr>
        <w:ind w:firstLine="480"/>
        <w:rPr>
          <w:highlight w:val="none"/>
        </w:rPr>
      </w:pPr>
      <w:r>
        <w:rPr>
          <w:rFonts w:hint="eastAsia"/>
          <w:highlight w:val="none"/>
        </w:rPr>
        <w:t>项目</w:t>
      </w:r>
      <w:r>
        <w:rPr>
          <w:highlight w:val="none"/>
        </w:rPr>
        <w:t>团队不少于1</w:t>
      </w:r>
      <w:r>
        <w:rPr>
          <w:rFonts w:hint="eastAsia"/>
          <w:highlight w:val="none"/>
        </w:rPr>
        <w:t>4</w:t>
      </w:r>
      <w:r>
        <w:rPr>
          <w:highlight w:val="none"/>
        </w:rPr>
        <w:t>人，其中客户响应及</w:t>
      </w:r>
      <w:r>
        <w:rPr>
          <w:rFonts w:hint="eastAsia"/>
          <w:highlight w:val="none"/>
        </w:rPr>
        <w:t>项目管理</w:t>
      </w:r>
      <w:r>
        <w:rPr>
          <w:highlight w:val="none"/>
        </w:rPr>
        <w:t>人员不少于</w:t>
      </w:r>
      <w:r>
        <w:rPr>
          <w:rFonts w:hint="eastAsia"/>
          <w:highlight w:val="none"/>
        </w:rPr>
        <w:t>2</w:t>
      </w:r>
      <w:r>
        <w:rPr>
          <w:highlight w:val="none"/>
        </w:rPr>
        <w:t>人，驻场服务人员不少于</w:t>
      </w:r>
      <w:r>
        <w:rPr>
          <w:rFonts w:hint="eastAsia"/>
          <w:highlight w:val="none"/>
        </w:rPr>
        <w:t>8</w:t>
      </w:r>
      <w:r>
        <w:rPr>
          <w:highlight w:val="none"/>
        </w:rPr>
        <w:t>人。</w:t>
      </w:r>
      <w:r>
        <w:rPr>
          <w:rFonts w:hint="eastAsia"/>
          <w:highlight w:val="none"/>
        </w:rPr>
        <w:t>二线技术支持不少于4人</w:t>
      </w:r>
      <w:r>
        <w:rPr>
          <w:highlight w:val="none"/>
        </w:rPr>
        <w:t>。（</w:t>
      </w:r>
      <w:r>
        <w:rPr>
          <w:rFonts w:hint="eastAsia"/>
          <w:highlight w:val="none"/>
        </w:rPr>
        <w:t>需提供</w:t>
      </w:r>
      <w:r>
        <w:rPr>
          <w:rFonts w:hint="eastAsia"/>
          <w:highlight w:val="none"/>
          <w:lang w:eastAsia="zh-CN"/>
        </w:rPr>
        <w:t>开标前</w:t>
      </w:r>
      <w:r>
        <w:rPr>
          <w:rFonts w:hint="eastAsia"/>
          <w:highlight w:val="none"/>
        </w:rPr>
        <w:t>近三个月</w:t>
      </w:r>
      <w:r>
        <w:rPr>
          <w:rFonts w:hint="eastAsia"/>
          <w:highlight w:val="none"/>
          <w:lang w:eastAsia="zh-CN"/>
        </w:rPr>
        <w:t>中任意一个月</w:t>
      </w:r>
      <w:r>
        <w:rPr>
          <w:rFonts w:hint="eastAsia"/>
          <w:highlight w:val="none"/>
        </w:rPr>
        <w:t>社保证明</w:t>
      </w:r>
      <w:r>
        <w:rPr>
          <w:highlight w:val="none"/>
        </w:rPr>
        <w:t>）。</w:t>
      </w:r>
    </w:p>
    <w:p>
      <w:pPr>
        <w:numPr>
          <w:ilvl w:val="0"/>
          <w:numId w:val="8"/>
        </w:numPr>
        <w:ind w:firstLine="480"/>
        <w:rPr>
          <w:highlight w:val="none"/>
        </w:rPr>
      </w:pPr>
      <w:r>
        <w:rPr>
          <w:highlight w:val="none"/>
        </w:rPr>
        <w:t>团队中至少配置1名专职项目经理，项目经理具有</w:t>
      </w:r>
      <w:r>
        <w:rPr>
          <w:rFonts w:hint="eastAsia"/>
          <w:highlight w:val="none"/>
        </w:rPr>
        <w:t>信息系统项目管理师</w:t>
      </w:r>
      <w:r>
        <w:rPr>
          <w:highlight w:val="none"/>
        </w:rPr>
        <w:t>证书的，担任过类似项目的项目经理业绩的优先考虑，提供项目经理的参与项目的经验清单（包括项目名称、服务时间、项目方、联系人等内容）；</w:t>
      </w:r>
    </w:p>
    <w:p>
      <w:pPr>
        <w:numPr>
          <w:ilvl w:val="0"/>
          <w:numId w:val="8"/>
        </w:numPr>
        <w:ind w:firstLine="480"/>
        <w:rPr>
          <w:highlight w:val="none"/>
        </w:rPr>
      </w:pPr>
      <w:r>
        <w:rPr>
          <w:rFonts w:hint="eastAsia"/>
          <w:highlight w:val="none"/>
        </w:rPr>
        <w:t>团队成员中不少于8人具有政务云类似项目相关知识和经验。需提供每一位团队人员的学历、专业、职称、从业经历以及体现个人业绩的有效证明材料。包括且不限于证书、合同或验收报告或用户评价等体现个人业绩的有效证明材料</w:t>
      </w:r>
      <w:r>
        <w:rPr>
          <w:highlight w:val="none"/>
        </w:rPr>
        <w:t>。</w:t>
      </w:r>
    </w:p>
    <w:p>
      <w:pPr>
        <w:rPr>
          <w:highlight w:val="none"/>
        </w:rPr>
      </w:pPr>
    </w:p>
    <w:tbl>
      <w:tblPr>
        <w:tblStyle w:val="35"/>
        <w:tblW w:w="93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
        <w:gridCol w:w="3279"/>
        <w:gridCol w:w="800"/>
        <w:gridCol w:w="3240"/>
        <w:gridCol w:w="11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06" w:type="dxa"/>
            <w:shd w:val="clear" w:color="auto" w:fill="auto"/>
            <w:noWrap/>
            <w:vAlign w:val="center"/>
          </w:tcPr>
          <w:p>
            <w:pPr>
              <w:widowControl/>
              <w:ind w:firstLine="0" w:firstLineChars="0"/>
              <w:jc w:val="center"/>
              <w:rPr>
                <w:rFonts w:asciiTheme="minorEastAsia" w:hAnsiTheme="minorEastAsia" w:eastAsiaTheme="minorEastAsia" w:cstheme="minorEastAsia"/>
                <w:b/>
                <w:highlight w:val="none"/>
              </w:rPr>
            </w:pPr>
            <w:r>
              <w:rPr>
                <w:rFonts w:hint="eastAsia" w:asciiTheme="minorEastAsia" w:hAnsiTheme="minorEastAsia" w:eastAsiaTheme="minorEastAsia" w:cstheme="minorEastAsia"/>
                <w:b/>
                <w:highlight w:val="none"/>
              </w:rPr>
              <w:t>角色</w:t>
            </w:r>
          </w:p>
        </w:tc>
        <w:tc>
          <w:tcPr>
            <w:tcW w:w="3279" w:type="dxa"/>
            <w:shd w:val="clear" w:color="auto" w:fill="auto"/>
            <w:noWrap/>
            <w:vAlign w:val="center"/>
          </w:tcPr>
          <w:p>
            <w:pPr>
              <w:widowControl/>
              <w:ind w:firstLine="0" w:firstLineChars="0"/>
              <w:jc w:val="center"/>
              <w:rPr>
                <w:rFonts w:asciiTheme="minorEastAsia" w:hAnsiTheme="minorEastAsia" w:eastAsiaTheme="minorEastAsia" w:cstheme="minorEastAsia"/>
                <w:b/>
                <w:highlight w:val="none"/>
              </w:rPr>
            </w:pPr>
            <w:r>
              <w:rPr>
                <w:rFonts w:hint="eastAsia" w:asciiTheme="minorEastAsia" w:hAnsiTheme="minorEastAsia" w:eastAsiaTheme="minorEastAsia" w:cstheme="minorEastAsia"/>
                <w:b/>
                <w:highlight w:val="none"/>
              </w:rPr>
              <w:t>主要职责</w:t>
            </w:r>
          </w:p>
        </w:tc>
        <w:tc>
          <w:tcPr>
            <w:tcW w:w="800" w:type="dxa"/>
            <w:shd w:val="clear" w:color="auto" w:fill="auto"/>
            <w:noWrap/>
            <w:vAlign w:val="center"/>
          </w:tcPr>
          <w:p>
            <w:pPr>
              <w:widowControl/>
              <w:ind w:firstLine="0" w:firstLineChars="0"/>
              <w:jc w:val="center"/>
              <w:rPr>
                <w:rFonts w:asciiTheme="minorEastAsia" w:hAnsiTheme="minorEastAsia" w:eastAsiaTheme="minorEastAsia" w:cstheme="minorEastAsia"/>
                <w:b/>
                <w:highlight w:val="none"/>
              </w:rPr>
            </w:pPr>
            <w:r>
              <w:rPr>
                <w:rFonts w:hint="eastAsia" w:asciiTheme="minorEastAsia" w:hAnsiTheme="minorEastAsia" w:eastAsiaTheme="minorEastAsia" w:cstheme="minorEastAsia"/>
                <w:b/>
                <w:highlight w:val="none"/>
              </w:rPr>
              <w:t>人员数量</w:t>
            </w:r>
          </w:p>
        </w:tc>
        <w:tc>
          <w:tcPr>
            <w:tcW w:w="3240" w:type="dxa"/>
            <w:vAlign w:val="center"/>
          </w:tcPr>
          <w:p>
            <w:pPr>
              <w:widowControl/>
              <w:ind w:firstLine="0" w:firstLineChars="0"/>
              <w:jc w:val="center"/>
              <w:rPr>
                <w:rFonts w:asciiTheme="minorEastAsia" w:hAnsiTheme="minorEastAsia" w:eastAsiaTheme="minorEastAsia" w:cstheme="minorEastAsia"/>
                <w:b/>
                <w:highlight w:val="none"/>
              </w:rPr>
            </w:pPr>
            <w:r>
              <w:rPr>
                <w:rFonts w:hint="eastAsia" w:asciiTheme="minorEastAsia" w:hAnsiTheme="minorEastAsia" w:eastAsiaTheme="minorEastAsia" w:cstheme="minorEastAsia"/>
                <w:b/>
                <w:highlight w:val="none"/>
              </w:rPr>
              <w:t>人员要求</w:t>
            </w:r>
          </w:p>
        </w:tc>
        <w:tc>
          <w:tcPr>
            <w:tcW w:w="1153" w:type="dxa"/>
            <w:shd w:val="clear" w:color="auto" w:fill="auto"/>
            <w:noWrap/>
            <w:vAlign w:val="center"/>
          </w:tcPr>
          <w:p>
            <w:pPr>
              <w:widowControl/>
              <w:ind w:firstLine="0" w:firstLineChars="0"/>
              <w:jc w:val="center"/>
              <w:rPr>
                <w:rFonts w:asciiTheme="minorEastAsia" w:hAnsiTheme="minorEastAsia" w:eastAsiaTheme="minorEastAsia" w:cstheme="minorEastAsia"/>
                <w:b/>
                <w:highlight w:val="none"/>
              </w:rPr>
            </w:pPr>
            <w:r>
              <w:rPr>
                <w:rFonts w:hint="eastAsia" w:asciiTheme="minorEastAsia" w:hAnsiTheme="minorEastAsia" w:eastAsiaTheme="minorEastAsia" w:cstheme="minorEastAsia"/>
                <w:b/>
                <w:highlight w:val="none"/>
              </w:rPr>
              <w:t>驻场要求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06" w:type="dxa"/>
            <w:shd w:val="clear" w:color="auto" w:fill="auto"/>
            <w:noWrap/>
            <w:vAlign w:val="center"/>
          </w:tcPr>
          <w:p>
            <w:pPr>
              <w:widowControl/>
              <w:ind w:firstLine="0" w:firstLineChars="0"/>
              <w:jc w:val="left"/>
              <w:rPr>
                <w:rFonts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项目经理</w:t>
            </w:r>
          </w:p>
        </w:tc>
        <w:tc>
          <w:tcPr>
            <w:tcW w:w="3279" w:type="dxa"/>
            <w:shd w:val="clear" w:color="auto" w:fill="auto"/>
            <w:vAlign w:val="center"/>
          </w:tcPr>
          <w:p>
            <w:pPr>
              <w:widowControl/>
              <w:ind w:firstLine="0" w:firstLineChars="0"/>
              <w:jc w:val="left"/>
              <w:rPr>
                <w:rFonts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制定项目计划，明确项目目标、范围、时间表；协调各方资源，包括技术团队，采购单位等，确保项目顺利推进；把控项目进度，及时解决出现的问题和风险；监督项目质量，确保交付成果符合预期标准；与采购单位保持沟通。</w:t>
            </w:r>
          </w:p>
        </w:tc>
        <w:tc>
          <w:tcPr>
            <w:tcW w:w="800" w:type="dxa"/>
            <w:shd w:val="clear" w:color="auto" w:fill="auto"/>
            <w:noWrap/>
            <w:vAlign w:val="center"/>
          </w:tcPr>
          <w:p>
            <w:pPr>
              <w:widowControl/>
              <w:ind w:firstLine="0" w:firstLineChars="0"/>
              <w:jc w:val="left"/>
              <w:rPr>
                <w:rFonts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1</w:t>
            </w:r>
          </w:p>
        </w:tc>
        <w:tc>
          <w:tcPr>
            <w:tcW w:w="3240" w:type="dxa"/>
            <w:vAlign w:val="center"/>
          </w:tcPr>
          <w:p>
            <w:pPr>
              <w:widowControl/>
              <w:ind w:firstLine="0" w:firstLineChars="0"/>
              <w:jc w:val="left"/>
              <w:rPr>
                <w:rFonts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项目经理需具备信息系统项目管理师证书，担任过类似项目的项目经理业绩的优先考虑，提供项目经理的参与项目的经验清单（包括项目名称、服务时间、项目方、联系人等内容）</w:t>
            </w:r>
          </w:p>
        </w:tc>
        <w:tc>
          <w:tcPr>
            <w:tcW w:w="1153" w:type="dxa"/>
            <w:shd w:val="clear" w:color="auto" w:fill="auto"/>
            <w:noWrap/>
            <w:vAlign w:val="center"/>
          </w:tcPr>
          <w:p>
            <w:pPr>
              <w:widowControl/>
              <w:ind w:firstLine="0" w:firstLineChars="0"/>
              <w:jc w:val="left"/>
              <w:rPr>
                <w:rFonts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驻场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06" w:type="dxa"/>
            <w:shd w:val="clear" w:color="auto" w:fill="auto"/>
            <w:noWrap/>
            <w:vAlign w:val="center"/>
          </w:tcPr>
          <w:p>
            <w:pPr>
              <w:widowControl/>
              <w:ind w:firstLine="0" w:firstLineChars="0"/>
              <w:jc w:val="left"/>
              <w:rPr>
                <w:rFonts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工程师</w:t>
            </w:r>
          </w:p>
        </w:tc>
        <w:tc>
          <w:tcPr>
            <w:tcW w:w="3279" w:type="dxa"/>
            <w:shd w:val="clear" w:color="auto" w:fill="auto"/>
            <w:vAlign w:val="center"/>
          </w:tcPr>
          <w:p>
            <w:pPr>
              <w:widowControl/>
              <w:ind w:firstLine="0" w:firstLineChars="0"/>
              <w:jc w:val="left"/>
              <w:rPr>
                <w:rFonts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负责本项目现场交付实施，职责包括不限于软件工具安装工具集中部署工具的安装实施、补丁更新、运行维护；各类工具软件的咨询服务、培训等</w:t>
            </w:r>
          </w:p>
        </w:tc>
        <w:tc>
          <w:tcPr>
            <w:tcW w:w="800" w:type="dxa"/>
            <w:shd w:val="clear" w:color="auto" w:fill="auto"/>
            <w:noWrap/>
            <w:vAlign w:val="center"/>
          </w:tcPr>
          <w:p>
            <w:pPr>
              <w:widowControl/>
              <w:ind w:firstLine="0" w:firstLineChars="0"/>
              <w:jc w:val="left"/>
              <w:rPr>
                <w:rFonts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7</w:t>
            </w:r>
          </w:p>
        </w:tc>
        <w:tc>
          <w:tcPr>
            <w:tcW w:w="3240" w:type="dxa"/>
            <w:vAlign w:val="center"/>
          </w:tcPr>
          <w:p>
            <w:pPr>
              <w:ind w:firstLine="0" w:firstLineChars="0"/>
              <w:jc w:val="left"/>
              <w:rPr>
                <w:rFonts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具有政务云类似项目相关知识和经验。需提供每一位团队人员的学历、专业、职称、从业经历以及体现个人业绩的有效证明材料。包括且不限于证书、合同或验收报告或用户评价等体现个人业绩的有效证明材料</w:t>
            </w:r>
          </w:p>
        </w:tc>
        <w:tc>
          <w:tcPr>
            <w:tcW w:w="1153" w:type="dxa"/>
            <w:shd w:val="clear" w:color="auto" w:fill="auto"/>
            <w:noWrap/>
            <w:vAlign w:val="center"/>
          </w:tcPr>
          <w:p>
            <w:pPr>
              <w:widowControl/>
              <w:ind w:firstLine="0" w:firstLineChars="0"/>
              <w:jc w:val="left"/>
              <w:rPr>
                <w:rFonts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驻场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06" w:type="dxa"/>
            <w:shd w:val="clear" w:color="auto" w:fill="auto"/>
            <w:noWrap/>
            <w:vAlign w:val="center"/>
          </w:tcPr>
          <w:p>
            <w:pPr>
              <w:widowControl/>
              <w:ind w:firstLine="0" w:firstLineChars="0"/>
              <w:jc w:val="left"/>
              <w:rPr>
                <w:rFonts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商务及客户响应经理</w:t>
            </w:r>
          </w:p>
        </w:tc>
        <w:tc>
          <w:tcPr>
            <w:tcW w:w="3279" w:type="dxa"/>
            <w:shd w:val="clear" w:color="auto" w:fill="auto"/>
            <w:noWrap/>
            <w:vAlign w:val="center"/>
          </w:tcPr>
          <w:p>
            <w:pPr>
              <w:widowControl/>
              <w:ind w:firstLine="0" w:firstLineChars="0"/>
              <w:jc w:val="left"/>
              <w:rPr>
                <w:rFonts w:asciiTheme="minorEastAsia" w:hAnsiTheme="minorEastAsia" w:eastAsiaTheme="minorEastAsia" w:cstheme="minorEastAsia"/>
                <w:color w:val="000000"/>
                <w:highlight w:val="none"/>
              </w:rPr>
            </w:pPr>
            <w:r>
              <w:rPr>
                <w:rFonts w:hint="eastAsia" w:asciiTheme="minorEastAsia" w:hAnsiTheme="minorEastAsia" w:eastAsiaTheme="minorEastAsia" w:cstheme="minorEastAsia"/>
                <w:color w:val="000000"/>
                <w:highlight w:val="none"/>
              </w:rPr>
              <w:t>负责商务沟通与协调，推动项目合同、跨组织协作、整合资源等工作。</w:t>
            </w:r>
          </w:p>
          <w:p>
            <w:pPr>
              <w:widowControl/>
              <w:ind w:firstLine="0" w:firstLineChars="0"/>
              <w:jc w:val="left"/>
              <w:rPr>
                <w:rFonts w:asciiTheme="minorEastAsia" w:hAnsiTheme="minorEastAsia" w:eastAsiaTheme="minorEastAsia" w:cstheme="minorEastAsia"/>
                <w:color w:val="000000"/>
                <w:highlight w:val="none"/>
              </w:rPr>
            </w:pPr>
            <w:r>
              <w:rPr>
                <w:rFonts w:hint="eastAsia" w:asciiTheme="minorEastAsia" w:hAnsiTheme="minorEastAsia" w:eastAsiaTheme="minorEastAsia" w:cstheme="minorEastAsia"/>
                <w:color w:val="000000"/>
                <w:highlight w:val="none"/>
              </w:rPr>
              <w:t>负责快速响应客户需求，提供专业解决方案等。</w:t>
            </w:r>
          </w:p>
          <w:p>
            <w:pPr>
              <w:widowControl/>
              <w:ind w:firstLine="0" w:firstLineChars="0"/>
              <w:jc w:val="left"/>
              <w:rPr>
                <w:rFonts w:asciiTheme="minorEastAsia" w:hAnsiTheme="minorEastAsia" w:eastAsiaTheme="minorEastAsia" w:cstheme="minorEastAsia"/>
                <w:highlight w:val="none"/>
              </w:rPr>
            </w:pPr>
          </w:p>
        </w:tc>
        <w:tc>
          <w:tcPr>
            <w:tcW w:w="800" w:type="dxa"/>
            <w:shd w:val="clear" w:color="auto" w:fill="auto"/>
            <w:noWrap/>
            <w:vAlign w:val="center"/>
          </w:tcPr>
          <w:p>
            <w:pPr>
              <w:widowControl/>
              <w:ind w:firstLine="0" w:firstLineChars="0"/>
              <w:jc w:val="left"/>
              <w:rPr>
                <w:rFonts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2</w:t>
            </w:r>
          </w:p>
        </w:tc>
        <w:tc>
          <w:tcPr>
            <w:tcW w:w="3240" w:type="dxa"/>
            <w:vAlign w:val="center"/>
          </w:tcPr>
          <w:p>
            <w:pPr>
              <w:widowControl/>
              <w:ind w:firstLine="0" w:firstLineChars="0"/>
              <w:jc w:val="left"/>
              <w:rPr>
                <w:rFonts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需熟悉上海市政务相关情况</w:t>
            </w:r>
          </w:p>
        </w:tc>
        <w:tc>
          <w:tcPr>
            <w:tcW w:w="1153" w:type="dxa"/>
            <w:shd w:val="clear" w:color="auto" w:fill="auto"/>
            <w:noWrap/>
            <w:vAlign w:val="center"/>
          </w:tcPr>
          <w:p>
            <w:pPr>
              <w:widowControl/>
              <w:ind w:firstLine="0" w:firstLineChars="0"/>
              <w:jc w:val="left"/>
              <w:rPr>
                <w:rFonts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不驻场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06" w:type="dxa"/>
            <w:shd w:val="clear" w:color="auto" w:fill="auto"/>
            <w:noWrap/>
            <w:vAlign w:val="center"/>
          </w:tcPr>
          <w:p>
            <w:pPr>
              <w:widowControl/>
              <w:ind w:firstLine="0" w:firstLineChars="0"/>
              <w:jc w:val="left"/>
              <w:rPr>
                <w:rFonts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二线支撑人员</w:t>
            </w:r>
          </w:p>
        </w:tc>
        <w:tc>
          <w:tcPr>
            <w:tcW w:w="3279" w:type="dxa"/>
            <w:shd w:val="clear" w:color="auto" w:fill="auto"/>
            <w:noWrap/>
            <w:vAlign w:val="center"/>
          </w:tcPr>
          <w:p>
            <w:pPr>
              <w:widowControl/>
              <w:ind w:firstLine="0" w:firstLineChars="0"/>
              <w:jc w:val="left"/>
              <w:rPr>
                <w:rFonts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负责本项目的二线支持，提供本项目涉及相关工具软件的远程咨询服务、协助现场工程师为用户提供优质高效服务</w:t>
            </w:r>
          </w:p>
        </w:tc>
        <w:tc>
          <w:tcPr>
            <w:tcW w:w="800" w:type="dxa"/>
            <w:shd w:val="clear" w:color="auto" w:fill="auto"/>
            <w:noWrap/>
            <w:vAlign w:val="center"/>
          </w:tcPr>
          <w:p>
            <w:pPr>
              <w:widowControl/>
              <w:ind w:firstLine="0" w:firstLineChars="0"/>
              <w:jc w:val="left"/>
              <w:rPr>
                <w:rFonts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4</w:t>
            </w:r>
          </w:p>
        </w:tc>
        <w:tc>
          <w:tcPr>
            <w:tcW w:w="3240" w:type="dxa"/>
            <w:vAlign w:val="center"/>
          </w:tcPr>
          <w:p>
            <w:pPr>
              <w:widowControl/>
              <w:ind w:firstLine="0" w:firstLineChars="0"/>
              <w:jc w:val="left"/>
              <w:rPr>
                <w:rFonts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需熟悉本项目相关各类工具产品，提供二线技术支撑</w:t>
            </w:r>
          </w:p>
        </w:tc>
        <w:tc>
          <w:tcPr>
            <w:tcW w:w="1153" w:type="dxa"/>
            <w:shd w:val="clear" w:color="auto" w:fill="auto"/>
            <w:noWrap/>
            <w:vAlign w:val="center"/>
          </w:tcPr>
          <w:p>
            <w:pPr>
              <w:widowControl/>
              <w:ind w:firstLine="0" w:firstLineChars="0"/>
              <w:jc w:val="left"/>
              <w:rPr>
                <w:rFonts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不驻场</w:t>
            </w:r>
          </w:p>
        </w:tc>
      </w:tr>
    </w:tbl>
    <w:p>
      <w:pPr>
        <w:jc w:val="left"/>
        <w:rPr>
          <w:highlight w:val="none"/>
        </w:rPr>
      </w:pPr>
    </w:p>
    <w:p>
      <w:pPr>
        <w:pStyle w:val="3"/>
        <w:rPr>
          <w:highlight w:val="none"/>
        </w:rPr>
      </w:pPr>
      <w:bookmarkStart w:id="32" w:name="_Toc63785511"/>
      <w:r>
        <w:rPr>
          <w:highlight w:val="none"/>
        </w:rPr>
        <w:t>等级保护要求</w:t>
      </w:r>
      <w:bookmarkEnd w:id="32"/>
    </w:p>
    <w:p>
      <w:pPr>
        <w:pStyle w:val="15"/>
        <w:ind w:left="0" w:leftChars="0" w:firstLine="480" w:firstLineChars="200"/>
        <w:rPr>
          <w:rFonts w:ascii="仿宋_GB2312" w:eastAsia="仿宋_GB2312" w:cs="仿宋_GB2312"/>
          <w:color w:val="000000"/>
          <w:kern w:val="0"/>
          <w:szCs w:val="28"/>
          <w:highlight w:val="none"/>
        </w:rPr>
      </w:pPr>
      <w:r>
        <w:rPr>
          <w:rFonts w:hint="eastAsia" w:ascii="宋体" w:hAnsi="宋体" w:eastAsia="宋体"/>
          <w:sz w:val="24"/>
          <w:highlight w:val="none"/>
        </w:rPr>
        <w:t>本项目系软件产品授权采购类项目，不涉及该内容。</w:t>
      </w:r>
    </w:p>
    <w:p>
      <w:pPr>
        <w:pStyle w:val="3"/>
        <w:rPr>
          <w:highlight w:val="none"/>
        </w:rPr>
      </w:pPr>
      <w:r>
        <w:rPr>
          <w:rFonts w:hint="eastAsia"/>
          <w:highlight w:val="none"/>
        </w:rPr>
        <w:t>商用密码应用需求</w:t>
      </w:r>
    </w:p>
    <w:p>
      <w:pPr>
        <w:pStyle w:val="15"/>
        <w:rPr>
          <w:highlight w:val="none"/>
        </w:rPr>
      </w:pPr>
      <w:bookmarkStart w:id="33" w:name="_Toc63785512"/>
      <w:r>
        <w:rPr>
          <w:rFonts w:hint="eastAsia" w:ascii="宋体" w:hAnsi="宋体" w:eastAsia="宋体"/>
          <w:sz w:val="24"/>
          <w:highlight w:val="none"/>
        </w:rPr>
        <w:t>本项目系软件产品授权采购类项目，不涉及该内容。</w:t>
      </w:r>
    </w:p>
    <w:p>
      <w:pPr>
        <w:pStyle w:val="3"/>
        <w:rPr>
          <w:rFonts w:hint="eastAsia" w:ascii="宋体" w:hAnsi="宋体" w:eastAsia="宋体"/>
          <w:highlight w:val="none"/>
        </w:rPr>
      </w:pPr>
      <w:r>
        <w:rPr>
          <w:rFonts w:hint="eastAsia" w:ascii="宋体" w:hAnsi="宋体" w:eastAsia="宋体"/>
          <w:highlight w:val="none"/>
          <w:lang w:val="en-US" w:eastAsia="zh-CN"/>
        </w:rPr>
        <w:t>低代码建设要求</w:t>
      </w:r>
    </w:p>
    <w:p>
      <w:pPr>
        <w:pStyle w:val="15"/>
        <w:rPr>
          <w:highlight w:val="none"/>
        </w:rPr>
      </w:pPr>
      <w:r>
        <w:rPr>
          <w:rFonts w:hint="eastAsia" w:ascii="宋体" w:hAnsi="宋体" w:eastAsia="宋体"/>
          <w:sz w:val="24"/>
          <w:highlight w:val="none"/>
        </w:rPr>
        <w:t>本项目系软件产品授权采购类项目，不涉及该内容。</w:t>
      </w:r>
    </w:p>
    <w:p>
      <w:pPr>
        <w:pStyle w:val="3"/>
        <w:rPr>
          <w:highlight w:val="none"/>
        </w:rPr>
      </w:pPr>
      <w:r>
        <w:rPr>
          <w:rFonts w:hint="eastAsia"/>
          <w:highlight w:val="none"/>
        </w:rPr>
        <w:t>技术文件要求</w:t>
      </w:r>
    </w:p>
    <w:p>
      <w:pPr>
        <w:rPr>
          <w:highlight w:val="none"/>
        </w:rPr>
      </w:pPr>
      <w:r>
        <w:rPr>
          <w:rFonts w:hint="eastAsia"/>
          <w:highlight w:val="none"/>
        </w:rPr>
        <w:t>投标人提供的书面技术资料应能确保系统正常运行所需的管理、运营及维护有关的全套文件。技术文件应该全面、完整、详细。投标人提供的技术文件至少应包括：</w:t>
      </w:r>
    </w:p>
    <w:p>
      <w:pPr>
        <w:rPr>
          <w:highlight w:val="none"/>
        </w:rPr>
      </w:pPr>
      <w:r>
        <w:rPr>
          <w:rFonts w:hint="eastAsia"/>
          <w:highlight w:val="none"/>
        </w:rPr>
        <w:t>－</w:t>
      </w:r>
      <w:r>
        <w:rPr>
          <w:highlight w:val="none"/>
        </w:rPr>
        <w:t xml:space="preserve"> 系统说明文件； </w:t>
      </w:r>
    </w:p>
    <w:p>
      <w:pPr>
        <w:rPr>
          <w:highlight w:val="none"/>
        </w:rPr>
      </w:pPr>
      <w:r>
        <w:rPr>
          <w:rFonts w:hint="eastAsia"/>
          <w:highlight w:val="none"/>
        </w:rPr>
        <w:t>－</w:t>
      </w:r>
      <w:r>
        <w:rPr>
          <w:highlight w:val="none"/>
        </w:rPr>
        <w:t xml:space="preserve"> 技术手册(安装、测试、</w:t>
      </w:r>
      <w:r>
        <w:rPr>
          <w:rFonts w:hint="eastAsia"/>
          <w:highlight w:val="none"/>
        </w:rPr>
        <w:t>维护</w:t>
      </w:r>
      <w:r>
        <w:rPr>
          <w:highlight w:val="none"/>
        </w:rPr>
        <w:t xml:space="preserve">等)； </w:t>
      </w:r>
    </w:p>
    <w:p>
      <w:pPr>
        <w:rPr>
          <w:highlight w:val="none"/>
        </w:rPr>
      </w:pPr>
      <w:r>
        <w:rPr>
          <w:rFonts w:hint="eastAsia"/>
          <w:highlight w:val="none"/>
        </w:rPr>
        <w:t>－</w:t>
      </w:r>
      <w:r>
        <w:rPr>
          <w:highlight w:val="none"/>
        </w:rPr>
        <w:t xml:space="preserve"> 项目文档，应该包括：</w:t>
      </w:r>
    </w:p>
    <w:p>
      <w:pPr>
        <w:numPr>
          <w:ilvl w:val="0"/>
          <w:numId w:val="9"/>
        </w:numPr>
        <w:ind w:left="360"/>
        <w:rPr>
          <w:highlight w:val="none"/>
        </w:rPr>
      </w:pPr>
      <w:r>
        <w:rPr>
          <w:rFonts w:hint="eastAsia"/>
          <w:highlight w:val="none"/>
        </w:rPr>
        <w:t>各类工具技术白皮书等功能文档</w:t>
      </w:r>
    </w:p>
    <w:p>
      <w:pPr>
        <w:ind w:left="360"/>
        <w:rPr>
          <w:highlight w:val="none"/>
        </w:rPr>
      </w:pPr>
      <w:r>
        <w:rPr>
          <w:highlight w:val="none"/>
        </w:rPr>
        <w:t>(2)</w:t>
      </w:r>
      <w:r>
        <w:rPr>
          <w:highlight w:val="none"/>
        </w:rPr>
        <w:tab/>
      </w:r>
      <w:r>
        <w:rPr>
          <w:rFonts w:hint="eastAsia"/>
          <w:highlight w:val="none"/>
        </w:rPr>
        <w:t>各类工具所需资质文档</w:t>
      </w:r>
    </w:p>
    <w:p>
      <w:pPr>
        <w:ind w:left="360"/>
        <w:rPr>
          <w:highlight w:val="none"/>
        </w:rPr>
      </w:pPr>
      <w:r>
        <w:rPr>
          <w:highlight w:val="none"/>
        </w:rPr>
        <w:t>(3)</w:t>
      </w:r>
      <w:r>
        <w:rPr>
          <w:highlight w:val="none"/>
        </w:rPr>
        <w:tab/>
      </w:r>
      <w:r>
        <w:rPr>
          <w:rFonts w:hint="eastAsia"/>
          <w:highlight w:val="none"/>
        </w:rPr>
        <w:t>相关许可文件</w:t>
      </w:r>
    </w:p>
    <w:p>
      <w:pPr>
        <w:ind w:left="360"/>
        <w:rPr>
          <w:highlight w:val="none"/>
        </w:rPr>
      </w:pPr>
      <w:r>
        <w:rPr>
          <w:rFonts w:hint="eastAsia"/>
          <w:highlight w:val="none"/>
        </w:rPr>
        <w:t>(4)  其他供应商需要提交的技术文件</w:t>
      </w:r>
    </w:p>
    <w:p>
      <w:pPr>
        <w:rPr>
          <w:highlight w:val="none"/>
        </w:rPr>
      </w:pPr>
      <w:r>
        <w:rPr>
          <w:rFonts w:hint="eastAsia"/>
          <w:highlight w:val="none"/>
        </w:rPr>
        <w:t>提供全套技术文件纸介质</w:t>
      </w:r>
      <w:r>
        <w:rPr>
          <w:highlight w:val="none"/>
        </w:rPr>
        <w:t>3套以及电子文件1套。</w:t>
      </w:r>
    </w:p>
    <w:p>
      <w:pPr>
        <w:pStyle w:val="2"/>
        <w:rPr>
          <w:highlight w:val="none"/>
        </w:rPr>
      </w:pPr>
      <w:r>
        <w:rPr>
          <w:rFonts w:hint="eastAsia"/>
          <w:highlight w:val="none"/>
        </w:rPr>
        <w:t>供应商管理要求</w:t>
      </w:r>
      <w:bookmarkEnd w:id="33"/>
    </w:p>
    <w:p>
      <w:pPr>
        <w:pStyle w:val="81"/>
        <w:ind w:firstLine="480"/>
        <w:rPr>
          <w:sz w:val="24"/>
          <w:szCs w:val="24"/>
          <w:highlight w:val="none"/>
        </w:rPr>
      </w:pPr>
      <w:r>
        <w:rPr>
          <w:rFonts w:hint="eastAsia"/>
          <w:sz w:val="24"/>
          <w:szCs w:val="24"/>
          <w:highlight w:val="none"/>
        </w:rPr>
        <w:t>1、在项目实施期间，中标人应严格执行国家、地方、行业有关本项目业务管理和安全作业的法律、法规和制度并按规定承担相应的费用。中标人因违反规定等原因造成的一切损失和责任由中标人自行承担。</w:t>
      </w:r>
    </w:p>
    <w:p>
      <w:pPr>
        <w:pStyle w:val="81"/>
        <w:ind w:firstLine="480"/>
        <w:rPr>
          <w:sz w:val="24"/>
          <w:szCs w:val="24"/>
          <w:highlight w:val="none"/>
        </w:rPr>
      </w:pPr>
      <w:r>
        <w:rPr>
          <w:rFonts w:hint="eastAsia"/>
          <w:sz w:val="24"/>
          <w:szCs w:val="24"/>
          <w:highlight w:val="none"/>
        </w:rPr>
        <w:t>2、中标人在投标书中承诺并经招标人认定的项目负责人及专业技术人员必须是本单位职工（在本单位缴纳社会保障金）和该项目实施现场的实际操作者，应具有类似本项目的实施经验，并应在软件应用调研、安装、试运行等期间常驻项目现场。未经采购人同意，中标人不得调换或撤离上述人员。如采购人认为有必要，可要求中标人对上述人员中的部分人员作出更好的调整。</w:t>
      </w:r>
    </w:p>
    <w:p>
      <w:pPr>
        <w:pStyle w:val="81"/>
        <w:ind w:firstLine="480"/>
        <w:rPr>
          <w:sz w:val="24"/>
          <w:szCs w:val="24"/>
          <w:highlight w:val="none"/>
        </w:rPr>
      </w:pPr>
      <w:r>
        <w:rPr>
          <w:rFonts w:hint="eastAsia"/>
          <w:sz w:val="24"/>
          <w:szCs w:val="24"/>
          <w:highlight w:val="none"/>
        </w:rPr>
        <w:t>3、中标人在项目实施期间，应按项目实际进度与环节落实所对应项目整体及各环节管理工作，按照规范做好项目实施期间相关管理与实施记录。</w:t>
      </w:r>
    </w:p>
    <w:p>
      <w:pPr>
        <w:pStyle w:val="81"/>
        <w:ind w:firstLine="480"/>
        <w:rPr>
          <w:sz w:val="24"/>
          <w:szCs w:val="24"/>
          <w:highlight w:val="none"/>
        </w:rPr>
      </w:pPr>
      <w:r>
        <w:rPr>
          <w:rFonts w:hint="eastAsia"/>
          <w:sz w:val="24"/>
          <w:szCs w:val="24"/>
          <w:highlight w:val="none"/>
        </w:rPr>
        <w:t>4、参与本项目的工作人员应严格遵循采购人的安全制度，保障采购人资料和设备的安全。中标方如需进入采购人机房工作，只能在采购人规定的工作区域内对项目涉及的设备进行操作，严禁触动与项目无关的任何设备（包括任何操作行为），如需跨区操作必须得到采购人项目联系人确认。</w:t>
      </w:r>
    </w:p>
    <w:p>
      <w:pPr>
        <w:pStyle w:val="81"/>
        <w:ind w:firstLine="480"/>
        <w:rPr>
          <w:sz w:val="24"/>
          <w:szCs w:val="24"/>
          <w:highlight w:val="none"/>
        </w:rPr>
      </w:pPr>
      <w:r>
        <w:rPr>
          <w:rFonts w:hint="eastAsia"/>
          <w:sz w:val="24"/>
          <w:szCs w:val="24"/>
          <w:highlight w:val="none"/>
        </w:rPr>
        <w:t>5、中标人在项目实施期间必须遵守采购人的规章制度并提供实施人员名单。</w:t>
      </w:r>
    </w:p>
    <w:p>
      <w:pPr>
        <w:pStyle w:val="81"/>
        <w:ind w:firstLine="480"/>
        <w:rPr>
          <w:sz w:val="24"/>
          <w:szCs w:val="24"/>
          <w:highlight w:val="none"/>
        </w:rPr>
      </w:pPr>
      <w:r>
        <w:rPr>
          <w:rFonts w:hint="eastAsia"/>
          <w:sz w:val="24"/>
          <w:szCs w:val="24"/>
          <w:highlight w:val="none"/>
        </w:rPr>
        <w:t>6、各投标人在投标文件中要结合本项目的特点和采购人上述的具体要求制定相应的管理措施，并在报价中列支相应的费用清单，投标人报价中未列支上述费用清单的，上述费用视为已包含在投标人的投标总报价中。</w:t>
      </w:r>
    </w:p>
    <w:p>
      <w:pPr>
        <w:pStyle w:val="81"/>
        <w:ind w:firstLine="480"/>
        <w:rPr>
          <w:highlight w:val="none"/>
        </w:rPr>
      </w:pPr>
      <w:r>
        <w:rPr>
          <w:rFonts w:hint="eastAsia"/>
          <w:sz w:val="24"/>
          <w:szCs w:val="24"/>
          <w:highlight w:val="none"/>
        </w:rPr>
        <w:t>7、本项目软件开发及调试将纳入采购人的管理范围，中标人在此过程中须服从上述单位的管理协调。</w:t>
      </w:r>
    </w:p>
    <w:p>
      <w:pPr>
        <w:pStyle w:val="81"/>
        <w:ind w:firstLine="420"/>
        <w:rPr>
          <w:highlight w:val="none"/>
        </w:rPr>
      </w:pPr>
    </w:p>
    <w:p>
      <w:pPr>
        <w:ind w:firstLine="0" w:firstLineChars="0"/>
        <w:jc w:val="left"/>
        <w:rPr>
          <w:strike/>
          <w:highlight w:val="none"/>
        </w:rPr>
      </w:pPr>
    </w:p>
    <w:sectPr>
      <w:footerReference r:id="rId11" w:type="first"/>
      <w:pgSz w:w="11906" w:h="16838"/>
      <w:pgMar w:top="1134" w:right="1797" w:bottom="1135" w:left="1797" w:header="340" w:footer="7" w:gutter="0"/>
      <w:pgNumType w:start="1"/>
      <w:cols w:space="720" w:num="1"/>
      <w:titlePg/>
      <w:docGrid w:type="linesAndChar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ambria">
    <w:altName w:val="Noto Sans Syriac Eastern"/>
    <w:panose1 w:val="02040503050406030204"/>
    <w:charset w:val="00"/>
    <w:family w:val="roman"/>
    <w:pitch w:val="default"/>
    <w:sig w:usb0="00000000" w:usb1="00000000" w:usb2="00000000" w:usb3="00000000" w:csb0="0000019F" w:csb1="00000000"/>
  </w:font>
  <w:font w:name="Noto Sans Syriac Eastern">
    <w:panose1 w:val="02040503050306020203"/>
    <w:charset w:val="86"/>
    <w:family w:val="auto"/>
    <w:pitch w:val="default"/>
    <w:sig w:usb0="00000000" w:usb1="00000000" w:usb2="00000080" w:usb3="00000000" w:csb0="203E0161" w:csb1="D7FF0000"/>
  </w:font>
  <w:font w:name="等线">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Calibri Light">
    <w:altName w:val="DejaVu Sans"/>
    <w:panose1 w:val="00000000000000000000"/>
    <w:charset w:val="00"/>
    <w:family w:val="swiss"/>
    <w:pitch w:val="default"/>
    <w:sig w:usb0="00000000" w:usb1="00000000" w:usb2="00000009" w:usb3="00000000" w:csb0="200001FF" w:csb1="00000000"/>
  </w:font>
  <w:font w:name="Arial Unicode MS">
    <w:altName w:val="DejaVu Sans"/>
    <w:panose1 w:val="020B0604020202020204"/>
    <w:charset w:val="86"/>
    <w:family w:val="swiss"/>
    <w:pitch w:val="default"/>
    <w:sig w:usb0="00000000" w:usb1="00000000" w:usb2="0000003F" w:usb3="00000000" w:csb0="603F01FF" w:csb1="FFFF0000"/>
  </w:font>
  <w:font w:name="等线 Light">
    <w:altName w:val="华文中宋"/>
    <w:panose1 w:val="02010600030101010101"/>
    <w:charset w:val="86"/>
    <w:family w:val="auto"/>
    <w:pitch w:val="default"/>
    <w:sig w:usb0="00000000" w:usb1="00000000" w:usb2="00000016" w:usb3="00000000" w:csb0="0004000F" w:csb1="00000000"/>
  </w:font>
  <w:font w:name="time">
    <w:altName w:val="华文中宋"/>
    <w:panose1 w:val="00000000000000000000"/>
    <w:charset w:val="00"/>
    <w:family w:val="roman"/>
    <w:pitch w:val="default"/>
    <w:sig w:usb0="00000000" w:usb1="00000000" w:usb2="00000000" w:usb3="00000000" w:csb0="00040001" w:csb1="00000000"/>
  </w:font>
  <w:font w:name="Microsoft YaHei UI">
    <w:altName w:val="文泉驿微米黑"/>
    <w:panose1 w:val="020B0503020204020204"/>
    <w:charset w:val="86"/>
    <w:family w:val="swiss"/>
    <w:pitch w:val="default"/>
    <w:sig w:usb0="00000000" w:usb1="00000000" w:usb2="00000016" w:usb3="00000000" w:csb0="0004001F" w:csb1="00000000"/>
  </w:font>
  <w:font w:name="文泉驿微米黑">
    <w:panose1 w:val="020B0606030804020204"/>
    <w:charset w:val="86"/>
    <w:family w:val="auto"/>
    <w:pitch w:val="default"/>
    <w:sig w:usb0="E10002EF" w:usb1="6BDFFCFB" w:usb2="00800036" w:usb3="00000000" w:csb0="603E019F" w:csb1="DFD70000"/>
  </w:font>
  <w:font w:name="Microsoft Sans Serif">
    <w:altName w:val="DejaVu Sans"/>
    <w:panose1 w:val="020B0604020202020204"/>
    <w:charset w:val="00"/>
    <w:family w:val="swiss"/>
    <w:pitch w:val="default"/>
    <w:sig w:usb0="00000000" w:usb1="00000000" w:usb2="00000008" w:usb3="00000000" w:csb0="200101FF" w:csb1="2028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PingFang SC">
    <w:altName w:val="华文中宋"/>
    <w:panose1 w:val="00000000000000000000"/>
    <w:charset w:val="86"/>
    <w:family w:val="auto"/>
    <w:pitch w:val="default"/>
    <w:sig w:usb0="00000000" w:usb1="00000000" w:usb2="00000017" w:usb3="00000000" w:csb0="00040001" w:csb1="00000000"/>
  </w:font>
  <w:font w:name="微软雅黑">
    <w:altName w:val="方正黑体_GBK"/>
    <w:panose1 w:val="00000000000000000000"/>
    <w:charset w:val="00"/>
    <w:family w:val="auto"/>
    <w:pitch w:val="default"/>
    <w:sig w:usb0="00000000" w:usb1="00000000" w:usb2="00000000" w:usb3="00000000" w:csb0="00000000" w:csb1="00000000"/>
  </w:font>
  <w:font w:name="Tahoma">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0" w:firstLineChars="0"/>
      <w:jc w:val="center"/>
    </w:pPr>
    <w:r>
      <w:fldChar w:fldCharType="begin"/>
    </w:r>
    <w:r>
      <w:instrText xml:space="preserve">PAGE   \* MERGEFORMAT</w:instrText>
    </w:r>
    <w:r>
      <w:fldChar w:fldCharType="separate"/>
    </w:r>
    <w:r>
      <w:rPr>
        <w:lang w:val="zh-CN"/>
      </w:rPr>
      <w:t>24</w:t>
    </w:r>
    <w:r>
      <w:rPr>
        <w:lang w:val="zh-CN"/>
      </w:rPr>
      <w:fldChar w:fldCharType="end"/>
    </w:r>
  </w:p>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0" w:firstLineChars="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0" w:firstLineChars="0"/>
      <w:jc w:val="center"/>
      <w:rPr>
        <w:lang w:val="zh-CN"/>
      </w:rPr>
    </w:pPr>
    <w:r>
      <w:rPr>
        <w:lang w:val="zh-CN"/>
      </w:rPr>
      <w:fldChar w:fldCharType="begin"/>
    </w:r>
    <w:r>
      <w:rPr>
        <w:lang w:val="zh-CN"/>
      </w:rPr>
      <w:instrText xml:space="preserve">PAGE   \* MERGEFORMAT</w:instrText>
    </w:r>
    <w:r>
      <w:rPr>
        <w:lang w:val="zh-CN"/>
      </w:rPr>
      <w:fldChar w:fldCharType="separate"/>
    </w:r>
    <w:r>
      <w:rPr>
        <w:lang w:val="zh-CN"/>
      </w:rPr>
      <w:t>1</w:t>
    </w:r>
    <w:r>
      <w:rPr>
        <w:lang w:val="zh-CN"/>
      </w:rPr>
      <w:fldChar w:fldCharType="end"/>
    </w:r>
  </w:p>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3A9472"/>
    <w:multiLevelType w:val="singleLevel"/>
    <w:tmpl w:val="F33A9472"/>
    <w:lvl w:ilvl="0" w:tentative="0">
      <w:start w:val="1"/>
      <w:numFmt w:val="decimal"/>
      <w:suff w:val="space"/>
      <w:lvlText w:val="(%1)"/>
      <w:lvlJc w:val="left"/>
    </w:lvl>
  </w:abstractNum>
  <w:abstractNum w:abstractNumId="1">
    <w:nsid w:val="FEFCE525"/>
    <w:multiLevelType w:val="singleLevel"/>
    <w:tmpl w:val="FEFCE525"/>
    <w:lvl w:ilvl="0" w:tentative="0">
      <w:start w:val="1"/>
      <w:numFmt w:val="decimal"/>
      <w:lvlText w:val="%1."/>
      <w:lvlJc w:val="left"/>
      <w:pPr>
        <w:ind w:left="425" w:hanging="425"/>
      </w:pPr>
      <w:rPr>
        <w:rFonts w:hint="default"/>
      </w:rPr>
    </w:lvl>
  </w:abstractNum>
  <w:abstractNum w:abstractNumId="2">
    <w:nsid w:val="23FC1F98"/>
    <w:multiLevelType w:val="singleLevel"/>
    <w:tmpl w:val="23FC1F98"/>
    <w:lvl w:ilvl="0" w:tentative="0">
      <w:start w:val="1"/>
      <w:numFmt w:val="decimal"/>
      <w:lvlText w:val="%1."/>
      <w:lvlJc w:val="left"/>
      <w:pPr>
        <w:tabs>
          <w:tab w:val="left" w:pos="312"/>
        </w:tabs>
      </w:pPr>
    </w:lvl>
  </w:abstractNum>
  <w:abstractNum w:abstractNumId="3">
    <w:nsid w:val="5BCEE3D0"/>
    <w:multiLevelType w:val="singleLevel"/>
    <w:tmpl w:val="5BCEE3D0"/>
    <w:lvl w:ilvl="0" w:tentative="0">
      <w:start w:val="1"/>
      <w:numFmt w:val="decimal"/>
      <w:lvlText w:val="%1."/>
      <w:lvlJc w:val="left"/>
      <w:pPr>
        <w:ind w:left="425" w:hanging="425"/>
      </w:pPr>
      <w:rPr>
        <w:rFonts w:hint="default"/>
      </w:rPr>
    </w:lvl>
  </w:abstractNum>
  <w:abstractNum w:abstractNumId="4">
    <w:nsid w:val="5F46BA80"/>
    <w:multiLevelType w:val="singleLevel"/>
    <w:tmpl w:val="5F46BA80"/>
    <w:lvl w:ilvl="0" w:tentative="0">
      <w:start w:val="1"/>
      <w:numFmt w:val="decimal"/>
      <w:lvlText w:val="%1."/>
      <w:lvlJc w:val="left"/>
      <w:pPr>
        <w:tabs>
          <w:tab w:val="left" w:pos="-840"/>
        </w:tabs>
        <w:ind w:left="-415" w:hanging="425"/>
      </w:pPr>
      <w:rPr>
        <w:rFonts w:hint="default"/>
      </w:rPr>
    </w:lvl>
  </w:abstractNum>
  <w:abstractNum w:abstractNumId="5">
    <w:nsid w:val="6350366A"/>
    <w:multiLevelType w:val="multilevel"/>
    <w:tmpl w:val="6350366A"/>
    <w:lvl w:ilvl="0" w:tentative="0">
      <w:start w:val="1"/>
      <w:numFmt w:val="none"/>
      <w:pStyle w:val="113"/>
      <w:lvlText w:val="%1●　"/>
      <w:lvlJc w:val="left"/>
      <w:pPr>
        <w:tabs>
          <w:tab w:val="left" w:pos="760"/>
        </w:tabs>
        <w:ind w:left="717" w:hanging="317"/>
      </w:pPr>
      <w:rPr>
        <w:rFonts w:hint="eastAsia" w:ascii="宋体" w:hAnsi="Times New Roman" w:eastAsia="宋体"/>
        <w:b w:val="0"/>
        <w:i w:val="0"/>
        <w:position w:val="4"/>
        <w:sz w:val="13"/>
      </w:rPr>
    </w:lvl>
    <w:lvl w:ilvl="1" w:tentative="0">
      <w:start w:val="1"/>
      <w:numFmt w:val="lowerLetter"/>
      <w:lvlText w:val="%2)"/>
      <w:lvlJc w:val="left"/>
      <w:pPr>
        <w:tabs>
          <w:tab w:val="left" w:pos="780"/>
        </w:tabs>
        <w:ind w:left="780" w:hanging="360"/>
      </w:pPr>
      <w:rPr>
        <w:rFonts w:hint="eastAsia"/>
      </w:rPr>
    </w:lvl>
    <w:lvl w:ilvl="2" w:tentative="0">
      <w:start w:val="1"/>
      <w:numFmt w:val="decimal"/>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6A2F4AB3"/>
    <w:multiLevelType w:val="multilevel"/>
    <w:tmpl w:val="6A2F4AB3"/>
    <w:lvl w:ilvl="0" w:tentative="0">
      <w:start w:val="1"/>
      <w:numFmt w:val="chineseCountingThousand"/>
      <w:pStyle w:val="2"/>
      <w:suff w:val="nothing"/>
      <w:lvlText w:val="%1、"/>
      <w:lvlJc w:val="left"/>
      <w:pPr>
        <w:ind w:left="0" w:hanging="425"/>
      </w:pPr>
      <w:rPr>
        <w:rFonts w:hint="eastAsia"/>
        <w:sz w:val="32"/>
        <w:szCs w:val="32"/>
      </w:rPr>
    </w:lvl>
    <w:lvl w:ilvl="1" w:tentative="0">
      <w:start w:val="1"/>
      <w:numFmt w:val="decimal"/>
      <w:pStyle w:val="3"/>
      <w:isLgl/>
      <w:suff w:val="nothing"/>
      <w:lvlText w:val="%1.%2、"/>
      <w:lvlJc w:val="left"/>
      <w:pPr>
        <w:ind w:left="0" w:hanging="567"/>
      </w:pPr>
    </w:lvl>
    <w:lvl w:ilvl="2" w:tentative="0">
      <w:start w:val="1"/>
      <w:numFmt w:val="decimal"/>
      <w:pStyle w:val="4"/>
      <w:isLgl/>
      <w:suff w:val="nothing"/>
      <w:lvlText w:val="%1.%2.%3、"/>
      <w:lvlJc w:val="left"/>
      <w:pPr>
        <w:ind w:left="0" w:hanging="1069"/>
      </w:pPr>
      <w:rPr>
        <w:rFonts w:hint="default" w:ascii="宋体" w:hAnsi="宋体" w:eastAsia="宋体" w:cs="Arial"/>
      </w:rPr>
    </w:lvl>
    <w:lvl w:ilvl="3" w:tentative="0">
      <w:start w:val="1"/>
      <w:numFmt w:val="decimal"/>
      <w:pStyle w:val="5"/>
      <w:isLgl/>
      <w:suff w:val="nothing"/>
      <w:lvlText w:val="%1.%2.%3.%4、"/>
      <w:lvlJc w:val="left"/>
      <w:pPr>
        <w:ind w:left="3403" w:hanging="851"/>
      </w:pPr>
    </w:lvl>
    <w:lvl w:ilvl="4" w:tentative="0">
      <w:start w:val="1"/>
      <w:numFmt w:val="decimal"/>
      <w:pStyle w:val="6"/>
      <w:isLgl/>
      <w:suff w:val="nothing"/>
      <w:lvlText w:val="%1.%2.%3.%4.%5、"/>
      <w:lvlJc w:val="left"/>
      <w:pPr>
        <w:ind w:left="3544" w:hanging="992"/>
      </w:pPr>
      <w:rPr>
        <w:rFonts w:hint="eastAsia"/>
      </w:rPr>
    </w:lvl>
    <w:lvl w:ilvl="5" w:tentative="0">
      <w:start w:val="1"/>
      <w:numFmt w:val="decimal"/>
      <w:pStyle w:val="7"/>
      <w:isLgl/>
      <w:suff w:val="nothing"/>
      <w:lvlText w:val="%1.%2.%3.%4.%5.%6、"/>
      <w:lvlJc w:val="left"/>
      <w:pPr>
        <w:ind w:left="1134" w:hanging="1134"/>
      </w:pPr>
      <w:rPr>
        <w:rFonts w:hint="eastAsia"/>
      </w:rPr>
    </w:lvl>
    <w:lvl w:ilvl="6" w:tentative="0">
      <w:start w:val="1"/>
      <w:numFmt w:val="decimal"/>
      <w:isLgl/>
      <w:lvlText w:val="%1.%2.%3.%4.%5.%6.%7"/>
      <w:lvlJc w:val="left"/>
      <w:pPr>
        <w:tabs>
          <w:tab w:val="left" w:pos="1800"/>
        </w:tabs>
        <w:ind w:left="1276" w:hanging="1276"/>
      </w:pPr>
      <w:rPr>
        <w:rFonts w:hint="eastAsia"/>
      </w:rPr>
    </w:lvl>
    <w:lvl w:ilvl="7" w:tentative="0">
      <w:start w:val="1"/>
      <w:numFmt w:val="decimal"/>
      <w:isLgl/>
      <w:lvlText w:val="%1.%2.%3.%4.%5.%6.%7.%8"/>
      <w:lvlJc w:val="left"/>
      <w:pPr>
        <w:tabs>
          <w:tab w:val="left" w:pos="1800"/>
        </w:tabs>
        <w:ind w:left="1418" w:hanging="1418"/>
      </w:pPr>
      <w:rPr>
        <w:rFonts w:hint="eastAsia"/>
      </w:rPr>
    </w:lvl>
    <w:lvl w:ilvl="8" w:tentative="0">
      <w:start w:val="1"/>
      <w:numFmt w:val="decimal"/>
      <w:isLgl/>
      <w:lvlText w:val="%1.%2.%3.%4.%5.%6.%7.%8.%9"/>
      <w:lvlJc w:val="left"/>
      <w:pPr>
        <w:tabs>
          <w:tab w:val="left" w:pos="2160"/>
        </w:tabs>
        <w:ind w:left="1559" w:hanging="1559"/>
      </w:pPr>
      <w:rPr>
        <w:rFonts w:hint="eastAsia"/>
      </w:rPr>
    </w:lvl>
  </w:abstractNum>
  <w:abstractNum w:abstractNumId="7">
    <w:nsid w:val="6CFA889F"/>
    <w:multiLevelType w:val="singleLevel"/>
    <w:tmpl w:val="6CFA889F"/>
    <w:lvl w:ilvl="0" w:tentative="0">
      <w:start w:val="1"/>
      <w:numFmt w:val="decimal"/>
      <w:suff w:val="nothing"/>
      <w:lvlText w:val="%1、"/>
      <w:lvlJc w:val="left"/>
    </w:lvl>
  </w:abstractNum>
  <w:abstractNum w:abstractNumId="8">
    <w:nsid w:val="7FE54969"/>
    <w:multiLevelType w:val="singleLevel"/>
    <w:tmpl w:val="7FE54969"/>
    <w:lvl w:ilvl="0" w:tentative="0">
      <w:start w:val="1"/>
      <w:numFmt w:val="decimal"/>
      <w:suff w:val="nothing"/>
      <w:lvlText w:val="%1．"/>
      <w:lvlJc w:val="left"/>
      <w:pPr>
        <w:ind w:left="0" w:firstLine="400"/>
      </w:pPr>
      <w:rPr>
        <w:rFonts w:hint="default"/>
      </w:rPr>
    </w:lvl>
  </w:abstractNum>
  <w:num w:numId="1">
    <w:abstractNumId w:val="6"/>
  </w:num>
  <w:num w:numId="2">
    <w:abstractNumId w:val="5"/>
  </w:num>
  <w:num w:numId="3">
    <w:abstractNumId w:val="7"/>
  </w:num>
  <w:num w:numId="4">
    <w:abstractNumId w:val="2"/>
  </w:num>
  <w:num w:numId="5">
    <w:abstractNumId w:val="3"/>
  </w:num>
  <w:num w:numId="6">
    <w:abstractNumId w:val="1"/>
  </w:num>
  <w:num w:numId="7">
    <w:abstractNumId w:val="8"/>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MyMTJjNTE1OGE4ZjMyNzQwODhjYjUyYWVhNmYyY2YifQ=="/>
  </w:docVars>
  <w:rsids>
    <w:rsidRoot w:val="006910C0"/>
    <w:rsid w:val="0000005A"/>
    <w:rsid w:val="00000AED"/>
    <w:rsid w:val="00002DBA"/>
    <w:rsid w:val="00003516"/>
    <w:rsid w:val="0000380E"/>
    <w:rsid w:val="00005AFD"/>
    <w:rsid w:val="00006563"/>
    <w:rsid w:val="000074F1"/>
    <w:rsid w:val="00007A41"/>
    <w:rsid w:val="00007DA7"/>
    <w:rsid w:val="00012EF0"/>
    <w:rsid w:val="000156DE"/>
    <w:rsid w:val="000165AD"/>
    <w:rsid w:val="000179E9"/>
    <w:rsid w:val="00020C18"/>
    <w:rsid w:val="00021EE6"/>
    <w:rsid w:val="0002280E"/>
    <w:rsid w:val="00022C74"/>
    <w:rsid w:val="00025122"/>
    <w:rsid w:val="000252D5"/>
    <w:rsid w:val="00026997"/>
    <w:rsid w:val="00027A64"/>
    <w:rsid w:val="00032D27"/>
    <w:rsid w:val="00035325"/>
    <w:rsid w:val="00035D5B"/>
    <w:rsid w:val="000378D0"/>
    <w:rsid w:val="00037F2C"/>
    <w:rsid w:val="00042C2A"/>
    <w:rsid w:val="000430EC"/>
    <w:rsid w:val="000447CB"/>
    <w:rsid w:val="00047915"/>
    <w:rsid w:val="00047D06"/>
    <w:rsid w:val="00050FBD"/>
    <w:rsid w:val="0005107A"/>
    <w:rsid w:val="0005192C"/>
    <w:rsid w:val="00052929"/>
    <w:rsid w:val="0005299F"/>
    <w:rsid w:val="000541D7"/>
    <w:rsid w:val="000545C0"/>
    <w:rsid w:val="0005586D"/>
    <w:rsid w:val="00056C0E"/>
    <w:rsid w:val="000574A8"/>
    <w:rsid w:val="000574F8"/>
    <w:rsid w:val="00057A49"/>
    <w:rsid w:val="0006231F"/>
    <w:rsid w:val="00062A05"/>
    <w:rsid w:val="00062EE6"/>
    <w:rsid w:val="0006344E"/>
    <w:rsid w:val="000649E6"/>
    <w:rsid w:val="0006794B"/>
    <w:rsid w:val="00067DCA"/>
    <w:rsid w:val="00070063"/>
    <w:rsid w:val="0007087A"/>
    <w:rsid w:val="000710EC"/>
    <w:rsid w:val="00072237"/>
    <w:rsid w:val="00072ABE"/>
    <w:rsid w:val="00080B39"/>
    <w:rsid w:val="00083950"/>
    <w:rsid w:val="0008452F"/>
    <w:rsid w:val="00084E8E"/>
    <w:rsid w:val="00085A68"/>
    <w:rsid w:val="00090625"/>
    <w:rsid w:val="00090948"/>
    <w:rsid w:val="00091CD1"/>
    <w:rsid w:val="0009460E"/>
    <w:rsid w:val="000951D4"/>
    <w:rsid w:val="000A2146"/>
    <w:rsid w:val="000A2930"/>
    <w:rsid w:val="000A3276"/>
    <w:rsid w:val="000A3C35"/>
    <w:rsid w:val="000A3E30"/>
    <w:rsid w:val="000A5876"/>
    <w:rsid w:val="000A61D0"/>
    <w:rsid w:val="000A6C67"/>
    <w:rsid w:val="000A6DB8"/>
    <w:rsid w:val="000A7596"/>
    <w:rsid w:val="000B11A8"/>
    <w:rsid w:val="000B1959"/>
    <w:rsid w:val="000B2E1C"/>
    <w:rsid w:val="000B4459"/>
    <w:rsid w:val="000B4B46"/>
    <w:rsid w:val="000B5363"/>
    <w:rsid w:val="000B53BA"/>
    <w:rsid w:val="000B642F"/>
    <w:rsid w:val="000B6C99"/>
    <w:rsid w:val="000C3F3C"/>
    <w:rsid w:val="000C5A75"/>
    <w:rsid w:val="000C75E9"/>
    <w:rsid w:val="000C75F7"/>
    <w:rsid w:val="000D0AB2"/>
    <w:rsid w:val="000D225C"/>
    <w:rsid w:val="000D36F2"/>
    <w:rsid w:val="000D4B26"/>
    <w:rsid w:val="000D74DB"/>
    <w:rsid w:val="000E24D6"/>
    <w:rsid w:val="000E6072"/>
    <w:rsid w:val="000E6D61"/>
    <w:rsid w:val="000E7A23"/>
    <w:rsid w:val="000F1C29"/>
    <w:rsid w:val="000F1E9E"/>
    <w:rsid w:val="000F2B10"/>
    <w:rsid w:val="000F3F72"/>
    <w:rsid w:val="001055B2"/>
    <w:rsid w:val="001068F0"/>
    <w:rsid w:val="00106AB8"/>
    <w:rsid w:val="00106C9E"/>
    <w:rsid w:val="00106E16"/>
    <w:rsid w:val="0010768B"/>
    <w:rsid w:val="00111701"/>
    <w:rsid w:val="00112A29"/>
    <w:rsid w:val="001167F6"/>
    <w:rsid w:val="00116C86"/>
    <w:rsid w:val="00121ACF"/>
    <w:rsid w:val="00121D8F"/>
    <w:rsid w:val="00122037"/>
    <w:rsid w:val="0012210C"/>
    <w:rsid w:val="00122A7F"/>
    <w:rsid w:val="00123F98"/>
    <w:rsid w:val="001242A5"/>
    <w:rsid w:val="00124531"/>
    <w:rsid w:val="00126EDF"/>
    <w:rsid w:val="00127BBE"/>
    <w:rsid w:val="00131D52"/>
    <w:rsid w:val="001329C1"/>
    <w:rsid w:val="00132C16"/>
    <w:rsid w:val="00136320"/>
    <w:rsid w:val="00136FFA"/>
    <w:rsid w:val="00137AC6"/>
    <w:rsid w:val="00145512"/>
    <w:rsid w:val="001465BD"/>
    <w:rsid w:val="00147B45"/>
    <w:rsid w:val="00150803"/>
    <w:rsid w:val="00151D83"/>
    <w:rsid w:val="001546C9"/>
    <w:rsid w:val="00154FAE"/>
    <w:rsid w:val="00155E77"/>
    <w:rsid w:val="00156A70"/>
    <w:rsid w:val="00160A61"/>
    <w:rsid w:val="00160FC0"/>
    <w:rsid w:val="0016429B"/>
    <w:rsid w:val="00164525"/>
    <w:rsid w:val="00164C50"/>
    <w:rsid w:val="00165CB2"/>
    <w:rsid w:val="00166203"/>
    <w:rsid w:val="00166767"/>
    <w:rsid w:val="001707CB"/>
    <w:rsid w:val="00170C54"/>
    <w:rsid w:val="00171477"/>
    <w:rsid w:val="00172A1A"/>
    <w:rsid w:val="00173251"/>
    <w:rsid w:val="00176BED"/>
    <w:rsid w:val="0017759D"/>
    <w:rsid w:val="001804A5"/>
    <w:rsid w:val="00181C94"/>
    <w:rsid w:val="00182C84"/>
    <w:rsid w:val="00187031"/>
    <w:rsid w:val="00191EA4"/>
    <w:rsid w:val="00192B6C"/>
    <w:rsid w:val="00192C30"/>
    <w:rsid w:val="0019381E"/>
    <w:rsid w:val="00194CF5"/>
    <w:rsid w:val="0019503C"/>
    <w:rsid w:val="00195D94"/>
    <w:rsid w:val="00196F7B"/>
    <w:rsid w:val="001971CB"/>
    <w:rsid w:val="0019795C"/>
    <w:rsid w:val="001A053A"/>
    <w:rsid w:val="001A22A2"/>
    <w:rsid w:val="001A2971"/>
    <w:rsid w:val="001A3D52"/>
    <w:rsid w:val="001A460A"/>
    <w:rsid w:val="001A4A4C"/>
    <w:rsid w:val="001B0230"/>
    <w:rsid w:val="001B13AB"/>
    <w:rsid w:val="001B3907"/>
    <w:rsid w:val="001B3B49"/>
    <w:rsid w:val="001B4907"/>
    <w:rsid w:val="001B4DC5"/>
    <w:rsid w:val="001B5505"/>
    <w:rsid w:val="001C2180"/>
    <w:rsid w:val="001C29CC"/>
    <w:rsid w:val="001C3217"/>
    <w:rsid w:val="001C3B98"/>
    <w:rsid w:val="001C6028"/>
    <w:rsid w:val="001C6365"/>
    <w:rsid w:val="001C7F57"/>
    <w:rsid w:val="001D0E79"/>
    <w:rsid w:val="001D6049"/>
    <w:rsid w:val="001D7339"/>
    <w:rsid w:val="001E2750"/>
    <w:rsid w:val="001E4343"/>
    <w:rsid w:val="001E52BB"/>
    <w:rsid w:val="001E660A"/>
    <w:rsid w:val="001F05D6"/>
    <w:rsid w:val="001F5B0A"/>
    <w:rsid w:val="001F640F"/>
    <w:rsid w:val="001F6794"/>
    <w:rsid w:val="001F6F65"/>
    <w:rsid w:val="002002DF"/>
    <w:rsid w:val="00203A6F"/>
    <w:rsid w:val="00205646"/>
    <w:rsid w:val="002063F7"/>
    <w:rsid w:val="002129E5"/>
    <w:rsid w:val="00212AA4"/>
    <w:rsid w:val="00212E13"/>
    <w:rsid w:val="002163C8"/>
    <w:rsid w:val="002179FE"/>
    <w:rsid w:val="00220CC0"/>
    <w:rsid w:val="00221A36"/>
    <w:rsid w:val="00223296"/>
    <w:rsid w:val="0022329B"/>
    <w:rsid w:val="002240F7"/>
    <w:rsid w:val="0022486F"/>
    <w:rsid w:val="00225314"/>
    <w:rsid w:val="00225DF4"/>
    <w:rsid w:val="00226C70"/>
    <w:rsid w:val="00230C8A"/>
    <w:rsid w:val="00231F98"/>
    <w:rsid w:val="002324F8"/>
    <w:rsid w:val="002348B0"/>
    <w:rsid w:val="00235CDC"/>
    <w:rsid w:val="00237E76"/>
    <w:rsid w:val="00240BBE"/>
    <w:rsid w:val="00241525"/>
    <w:rsid w:val="00241D87"/>
    <w:rsid w:val="00243C55"/>
    <w:rsid w:val="00243D5E"/>
    <w:rsid w:val="002451EC"/>
    <w:rsid w:val="00245ED4"/>
    <w:rsid w:val="00246B41"/>
    <w:rsid w:val="0025002B"/>
    <w:rsid w:val="002500DE"/>
    <w:rsid w:val="00252457"/>
    <w:rsid w:val="00252581"/>
    <w:rsid w:val="002535B5"/>
    <w:rsid w:val="002538CB"/>
    <w:rsid w:val="002542BD"/>
    <w:rsid w:val="0025774E"/>
    <w:rsid w:val="00257D64"/>
    <w:rsid w:val="0026340A"/>
    <w:rsid w:val="002654EA"/>
    <w:rsid w:val="002704EA"/>
    <w:rsid w:val="0027061A"/>
    <w:rsid w:val="002719CC"/>
    <w:rsid w:val="002730C5"/>
    <w:rsid w:val="0027337C"/>
    <w:rsid w:val="0027602B"/>
    <w:rsid w:val="00277F5E"/>
    <w:rsid w:val="00280084"/>
    <w:rsid w:val="00280490"/>
    <w:rsid w:val="002860B8"/>
    <w:rsid w:val="0029206E"/>
    <w:rsid w:val="00293382"/>
    <w:rsid w:val="00294F51"/>
    <w:rsid w:val="002A2342"/>
    <w:rsid w:val="002A279E"/>
    <w:rsid w:val="002A4FA3"/>
    <w:rsid w:val="002B3606"/>
    <w:rsid w:val="002B3D80"/>
    <w:rsid w:val="002B4402"/>
    <w:rsid w:val="002B4946"/>
    <w:rsid w:val="002B4C41"/>
    <w:rsid w:val="002B588D"/>
    <w:rsid w:val="002C1839"/>
    <w:rsid w:val="002C214A"/>
    <w:rsid w:val="002C28E8"/>
    <w:rsid w:val="002C3027"/>
    <w:rsid w:val="002C674D"/>
    <w:rsid w:val="002C7648"/>
    <w:rsid w:val="002C7DC4"/>
    <w:rsid w:val="002D0821"/>
    <w:rsid w:val="002D1929"/>
    <w:rsid w:val="002D1B73"/>
    <w:rsid w:val="002D3CB0"/>
    <w:rsid w:val="002D4800"/>
    <w:rsid w:val="002D5B21"/>
    <w:rsid w:val="002D6F6D"/>
    <w:rsid w:val="002E1FE6"/>
    <w:rsid w:val="002E2EA7"/>
    <w:rsid w:val="002E36D2"/>
    <w:rsid w:val="002E748B"/>
    <w:rsid w:val="002F2002"/>
    <w:rsid w:val="002F335D"/>
    <w:rsid w:val="002F4E32"/>
    <w:rsid w:val="002F503F"/>
    <w:rsid w:val="002F51DD"/>
    <w:rsid w:val="002F5D08"/>
    <w:rsid w:val="002F6895"/>
    <w:rsid w:val="002F6D13"/>
    <w:rsid w:val="003038D3"/>
    <w:rsid w:val="003049C7"/>
    <w:rsid w:val="00305F0E"/>
    <w:rsid w:val="0030667A"/>
    <w:rsid w:val="003106DE"/>
    <w:rsid w:val="00311530"/>
    <w:rsid w:val="00312D31"/>
    <w:rsid w:val="00315216"/>
    <w:rsid w:val="0031691C"/>
    <w:rsid w:val="00317AEF"/>
    <w:rsid w:val="00317F49"/>
    <w:rsid w:val="0032089B"/>
    <w:rsid w:val="00323450"/>
    <w:rsid w:val="00323D93"/>
    <w:rsid w:val="0032489B"/>
    <w:rsid w:val="0032525B"/>
    <w:rsid w:val="00326A7A"/>
    <w:rsid w:val="00326FEE"/>
    <w:rsid w:val="003315D7"/>
    <w:rsid w:val="00334DE6"/>
    <w:rsid w:val="0033536D"/>
    <w:rsid w:val="003353FF"/>
    <w:rsid w:val="003366D2"/>
    <w:rsid w:val="00337C79"/>
    <w:rsid w:val="00337FEF"/>
    <w:rsid w:val="0034084C"/>
    <w:rsid w:val="00340D5E"/>
    <w:rsid w:val="003420B5"/>
    <w:rsid w:val="00343646"/>
    <w:rsid w:val="00344CCB"/>
    <w:rsid w:val="00345897"/>
    <w:rsid w:val="00351BFC"/>
    <w:rsid w:val="0035575E"/>
    <w:rsid w:val="003565B4"/>
    <w:rsid w:val="00362E75"/>
    <w:rsid w:val="003631AA"/>
    <w:rsid w:val="003632D5"/>
    <w:rsid w:val="00363575"/>
    <w:rsid w:val="00364EF9"/>
    <w:rsid w:val="00367579"/>
    <w:rsid w:val="0036795B"/>
    <w:rsid w:val="00370A29"/>
    <w:rsid w:val="003722F9"/>
    <w:rsid w:val="00372349"/>
    <w:rsid w:val="00372CBC"/>
    <w:rsid w:val="00373A61"/>
    <w:rsid w:val="00374BDE"/>
    <w:rsid w:val="00376B39"/>
    <w:rsid w:val="003772C0"/>
    <w:rsid w:val="00377BAC"/>
    <w:rsid w:val="00380142"/>
    <w:rsid w:val="00380558"/>
    <w:rsid w:val="00381D3C"/>
    <w:rsid w:val="0038223E"/>
    <w:rsid w:val="00382D92"/>
    <w:rsid w:val="00385AEF"/>
    <w:rsid w:val="003860EA"/>
    <w:rsid w:val="0038781A"/>
    <w:rsid w:val="0039080B"/>
    <w:rsid w:val="0039326E"/>
    <w:rsid w:val="00394E22"/>
    <w:rsid w:val="003967A4"/>
    <w:rsid w:val="00397FA3"/>
    <w:rsid w:val="003A1596"/>
    <w:rsid w:val="003A317E"/>
    <w:rsid w:val="003A345B"/>
    <w:rsid w:val="003A49EE"/>
    <w:rsid w:val="003A674D"/>
    <w:rsid w:val="003A7123"/>
    <w:rsid w:val="003B102E"/>
    <w:rsid w:val="003B2167"/>
    <w:rsid w:val="003B5F5D"/>
    <w:rsid w:val="003B62C8"/>
    <w:rsid w:val="003C0C62"/>
    <w:rsid w:val="003C12DC"/>
    <w:rsid w:val="003C2CDA"/>
    <w:rsid w:val="003D000A"/>
    <w:rsid w:val="003D31E9"/>
    <w:rsid w:val="003D544E"/>
    <w:rsid w:val="003D5980"/>
    <w:rsid w:val="003E0842"/>
    <w:rsid w:val="003E13B0"/>
    <w:rsid w:val="003E2580"/>
    <w:rsid w:val="003E3DEE"/>
    <w:rsid w:val="003E3EBB"/>
    <w:rsid w:val="003E4A4C"/>
    <w:rsid w:val="003E4CBA"/>
    <w:rsid w:val="003E4D2F"/>
    <w:rsid w:val="003E4EDC"/>
    <w:rsid w:val="003E599D"/>
    <w:rsid w:val="003E5C81"/>
    <w:rsid w:val="003E6965"/>
    <w:rsid w:val="003F00E8"/>
    <w:rsid w:val="003F1936"/>
    <w:rsid w:val="003F1BDD"/>
    <w:rsid w:val="003F3BA3"/>
    <w:rsid w:val="003F3BD5"/>
    <w:rsid w:val="003F400E"/>
    <w:rsid w:val="003F6F35"/>
    <w:rsid w:val="003F7768"/>
    <w:rsid w:val="00400E8C"/>
    <w:rsid w:val="004017DC"/>
    <w:rsid w:val="00401B53"/>
    <w:rsid w:val="00402668"/>
    <w:rsid w:val="00404FEC"/>
    <w:rsid w:val="0040534D"/>
    <w:rsid w:val="00405FAD"/>
    <w:rsid w:val="004117AB"/>
    <w:rsid w:val="00412B2F"/>
    <w:rsid w:val="00415281"/>
    <w:rsid w:val="00415716"/>
    <w:rsid w:val="0041604D"/>
    <w:rsid w:val="00417842"/>
    <w:rsid w:val="00417A6E"/>
    <w:rsid w:val="00420CDF"/>
    <w:rsid w:val="0042285D"/>
    <w:rsid w:val="00427D2B"/>
    <w:rsid w:val="00430B13"/>
    <w:rsid w:val="00430CE5"/>
    <w:rsid w:val="0043153C"/>
    <w:rsid w:val="00431D0F"/>
    <w:rsid w:val="0043481C"/>
    <w:rsid w:val="00444307"/>
    <w:rsid w:val="0044436F"/>
    <w:rsid w:val="004443EB"/>
    <w:rsid w:val="00444432"/>
    <w:rsid w:val="00444673"/>
    <w:rsid w:val="0044621E"/>
    <w:rsid w:val="00447BF1"/>
    <w:rsid w:val="00450BA4"/>
    <w:rsid w:val="004511FC"/>
    <w:rsid w:val="00456784"/>
    <w:rsid w:val="00456DCA"/>
    <w:rsid w:val="00461140"/>
    <w:rsid w:val="004611DB"/>
    <w:rsid w:val="004658B0"/>
    <w:rsid w:val="0046614B"/>
    <w:rsid w:val="00467FD7"/>
    <w:rsid w:val="00470073"/>
    <w:rsid w:val="004730F8"/>
    <w:rsid w:val="00474353"/>
    <w:rsid w:val="00474555"/>
    <w:rsid w:val="004750F4"/>
    <w:rsid w:val="00476CB1"/>
    <w:rsid w:val="00480A48"/>
    <w:rsid w:val="00482501"/>
    <w:rsid w:val="00482E7D"/>
    <w:rsid w:val="00484395"/>
    <w:rsid w:val="004865FB"/>
    <w:rsid w:val="00486C03"/>
    <w:rsid w:val="00491AB3"/>
    <w:rsid w:val="00497A33"/>
    <w:rsid w:val="004A1112"/>
    <w:rsid w:val="004A1DA0"/>
    <w:rsid w:val="004A1F20"/>
    <w:rsid w:val="004A2393"/>
    <w:rsid w:val="004A3569"/>
    <w:rsid w:val="004A452A"/>
    <w:rsid w:val="004A5F2C"/>
    <w:rsid w:val="004A6E4F"/>
    <w:rsid w:val="004A720D"/>
    <w:rsid w:val="004B00D0"/>
    <w:rsid w:val="004B6084"/>
    <w:rsid w:val="004B7AE0"/>
    <w:rsid w:val="004C0BC4"/>
    <w:rsid w:val="004C260D"/>
    <w:rsid w:val="004C2D47"/>
    <w:rsid w:val="004C4357"/>
    <w:rsid w:val="004C4477"/>
    <w:rsid w:val="004C5730"/>
    <w:rsid w:val="004C6397"/>
    <w:rsid w:val="004C668F"/>
    <w:rsid w:val="004C682B"/>
    <w:rsid w:val="004D142C"/>
    <w:rsid w:val="004D29F7"/>
    <w:rsid w:val="004D36D8"/>
    <w:rsid w:val="004D4C5C"/>
    <w:rsid w:val="004D5AB0"/>
    <w:rsid w:val="004D5EAE"/>
    <w:rsid w:val="004D7A0E"/>
    <w:rsid w:val="004E06E7"/>
    <w:rsid w:val="004E0AE3"/>
    <w:rsid w:val="004E20D3"/>
    <w:rsid w:val="004E2C82"/>
    <w:rsid w:val="004E4FAE"/>
    <w:rsid w:val="004E62C7"/>
    <w:rsid w:val="004E68FF"/>
    <w:rsid w:val="004E7A1B"/>
    <w:rsid w:val="004F0B7F"/>
    <w:rsid w:val="004F1193"/>
    <w:rsid w:val="004F11DC"/>
    <w:rsid w:val="004F2124"/>
    <w:rsid w:val="004F271B"/>
    <w:rsid w:val="004F3A52"/>
    <w:rsid w:val="004F449F"/>
    <w:rsid w:val="004F4E7E"/>
    <w:rsid w:val="004F63AB"/>
    <w:rsid w:val="004F6B76"/>
    <w:rsid w:val="004F6C7C"/>
    <w:rsid w:val="004F7F1A"/>
    <w:rsid w:val="004F7FBB"/>
    <w:rsid w:val="005042B3"/>
    <w:rsid w:val="005045AB"/>
    <w:rsid w:val="00507D43"/>
    <w:rsid w:val="005103F2"/>
    <w:rsid w:val="00510E2C"/>
    <w:rsid w:val="00511FDC"/>
    <w:rsid w:val="005124C6"/>
    <w:rsid w:val="00513EBC"/>
    <w:rsid w:val="00514CE1"/>
    <w:rsid w:val="00517155"/>
    <w:rsid w:val="00517DB3"/>
    <w:rsid w:val="005200DC"/>
    <w:rsid w:val="005200F2"/>
    <w:rsid w:val="0052369D"/>
    <w:rsid w:val="005271DB"/>
    <w:rsid w:val="00530D2F"/>
    <w:rsid w:val="0053487C"/>
    <w:rsid w:val="005356E1"/>
    <w:rsid w:val="00536A8B"/>
    <w:rsid w:val="00540418"/>
    <w:rsid w:val="00541A96"/>
    <w:rsid w:val="00541C6A"/>
    <w:rsid w:val="00542C54"/>
    <w:rsid w:val="00546A43"/>
    <w:rsid w:val="00546C70"/>
    <w:rsid w:val="00547258"/>
    <w:rsid w:val="00550CF0"/>
    <w:rsid w:val="005559FE"/>
    <w:rsid w:val="005560D6"/>
    <w:rsid w:val="00556D07"/>
    <w:rsid w:val="005611F2"/>
    <w:rsid w:val="00561734"/>
    <w:rsid w:val="00561952"/>
    <w:rsid w:val="00564B9A"/>
    <w:rsid w:val="00565694"/>
    <w:rsid w:val="00566DD6"/>
    <w:rsid w:val="005714EF"/>
    <w:rsid w:val="005717D9"/>
    <w:rsid w:val="00571CEC"/>
    <w:rsid w:val="00572FCE"/>
    <w:rsid w:val="005750DB"/>
    <w:rsid w:val="005759FC"/>
    <w:rsid w:val="00575B85"/>
    <w:rsid w:val="00576DB9"/>
    <w:rsid w:val="0057738F"/>
    <w:rsid w:val="005805E4"/>
    <w:rsid w:val="0058202F"/>
    <w:rsid w:val="00584221"/>
    <w:rsid w:val="00584EB6"/>
    <w:rsid w:val="00586B68"/>
    <w:rsid w:val="0058774E"/>
    <w:rsid w:val="005878CF"/>
    <w:rsid w:val="00590CA0"/>
    <w:rsid w:val="00595B01"/>
    <w:rsid w:val="00596D98"/>
    <w:rsid w:val="005979A5"/>
    <w:rsid w:val="005A0021"/>
    <w:rsid w:val="005A017B"/>
    <w:rsid w:val="005A2AEC"/>
    <w:rsid w:val="005A412D"/>
    <w:rsid w:val="005A5212"/>
    <w:rsid w:val="005B002D"/>
    <w:rsid w:val="005B0FFF"/>
    <w:rsid w:val="005B19AF"/>
    <w:rsid w:val="005B258C"/>
    <w:rsid w:val="005B61DD"/>
    <w:rsid w:val="005B6735"/>
    <w:rsid w:val="005B7831"/>
    <w:rsid w:val="005C0CD6"/>
    <w:rsid w:val="005C12D9"/>
    <w:rsid w:val="005C2146"/>
    <w:rsid w:val="005C309D"/>
    <w:rsid w:val="005C544B"/>
    <w:rsid w:val="005C5916"/>
    <w:rsid w:val="005C5AEE"/>
    <w:rsid w:val="005C774A"/>
    <w:rsid w:val="005D3734"/>
    <w:rsid w:val="005D4F16"/>
    <w:rsid w:val="005D5A53"/>
    <w:rsid w:val="005D5DA0"/>
    <w:rsid w:val="005D7FBD"/>
    <w:rsid w:val="005E19B4"/>
    <w:rsid w:val="005E1D6B"/>
    <w:rsid w:val="005E227A"/>
    <w:rsid w:val="005E2CF8"/>
    <w:rsid w:val="005E3126"/>
    <w:rsid w:val="005E7075"/>
    <w:rsid w:val="005E75A7"/>
    <w:rsid w:val="005F38E2"/>
    <w:rsid w:val="005F3EE6"/>
    <w:rsid w:val="005F6736"/>
    <w:rsid w:val="00602C10"/>
    <w:rsid w:val="00602EBD"/>
    <w:rsid w:val="00604CF2"/>
    <w:rsid w:val="00606DFF"/>
    <w:rsid w:val="00606FB7"/>
    <w:rsid w:val="00610533"/>
    <w:rsid w:val="006110F6"/>
    <w:rsid w:val="00611FA1"/>
    <w:rsid w:val="00612522"/>
    <w:rsid w:val="00612DA6"/>
    <w:rsid w:val="0061365B"/>
    <w:rsid w:val="006138B6"/>
    <w:rsid w:val="00614BC6"/>
    <w:rsid w:val="00614E33"/>
    <w:rsid w:val="006158B8"/>
    <w:rsid w:val="0061706D"/>
    <w:rsid w:val="006173DA"/>
    <w:rsid w:val="00617EF9"/>
    <w:rsid w:val="00620295"/>
    <w:rsid w:val="00622F8E"/>
    <w:rsid w:val="00626AC8"/>
    <w:rsid w:val="00627912"/>
    <w:rsid w:val="0063195F"/>
    <w:rsid w:val="00636C0A"/>
    <w:rsid w:val="00637EC6"/>
    <w:rsid w:val="0064240C"/>
    <w:rsid w:val="00642FF5"/>
    <w:rsid w:val="006430FB"/>
    <w:rsid w:val="00643992"/>
    <w:rsid w:val="00644DBC"/>
    <w:rsid w:val="00646FE6"/>
    <w:rsid w:val="006474CD"/>
    <w:rsid w:val="00647744"/>
    <w:rsid w:val="006479A0"/>
    <w:rsid w:val="006500D9"/>
    <w:rsid w:val="00653B54"/>
    <w:rsid w:val="006541A3"/>
    <w:rsid w:val="00654FAD"/>
    <w:rsid w:val="00655C9F"/>
    <w:rsid w:val="006567FF"/>
    <w:rsid w:val="00656867"/>
    <w:rsid w:val="0066109F"/>
    <w:rsid w:val="00664B26"/>
    <w:rsid w:val="0066596B"/>
    <w:rsid w:val="00670295"/>
    <w:rsid w:val="006704F5"/>
    <w:rsid w:val="00672894"/>
    <w:rsid w:val="00674B47"/>
    <w:rsid w:val="0067609E"/>
    <w:rsid w:val="00676BE1"/>
    <w:rsid w:val="00677749"/>
    <w:rsid w:val="00680E07"/>
    <w:rsid w:val="00682B9D"/>
    <w:rsid w:val="00683806"/>
    <w:rsid w:val="00686AF9"/>
    <w:rsid w:val="006910C0"/>
    <w:rsid w:val="00691954"/>
    <w:rsid w:val="0069320E"/>
    <w:rsid w:val="00693D13"/>
    <w:rsid w:val="00694F58"/>
    <w:rsid w:val="006955BC"/>
    <w:rsid w:val="006959E2"/>
    <w:rsid w:val="00696920"/>
    <w:rsid w:val="00697EB9"/>
    <w:rsid w:val="006A20D4"/>
    <w:rsid w:val="006A268D"/>
    <w:rsid w:val="006A350F"/>
    <w:rsid w:val="006A3957"/>
    <w:rsid w:val="006A39A4"/>
    <w:rsid w:val="006A41D6"/>
    <w:rsid w:val="006A669D"/>
    <w:rsid w:val="006A6E41"/>
    <w:rsid w:val="006B012F"/>
    <w:rsid w:val="006B27CF"/>
    <w:rsid w:val="006B41BD"/>
    <w:rsid w:val="006B5678"/>
    <w:rsid w:val="006B62B2"/>
    <w:rsid w:val="006C1C57"/>
    <w:rsid w:val="006C5760"/>
    <w:rsid w:val="006C6D6F"/>
    <w:rsid w:val="006D0D78"/>
    <w:rsid w:val="006D1128"/>
    <w:rsid w:val="006D2848"/>
    <w:rsid w:val="006D30E0"/>
    <w:rsid w:val="006D5521"/>
    <w:rsid w:val="006D5FE9"/>
    <w:rsid w:val="006D6CBB"/>
    <w:rsid w:val="006D76A9"/>
    <w:rsid w:val="006D77F4"/>
    <w:rsid w:val="006E0898"/>
    <w:rsid w:val="006E41CD"/>
    <w:rsid w:val="006F3BEC"/>
    <w:rsid w:val="00703C00"/>
    <w:rsid w:val="007057CC"/>
    <w:rsid w:val="007066F2"/>
    <w:rsid w:val="00706AE5"/>
    <w:rsid w:val="0070740A"/>
    <w:rsid w:val="00711F93"/>
    <w:rsid w:val="00712940"/>
    <w:rsid w:val="0071428C"/>
    <w:rsid w:val="00715A16"/>
    <w:rsid w:val="007164B0"/>
    <w:rsid w:val="007166FF"/>
    <w:rsid w:val="007260CC"/>
    <w:rsid w:val="00726543"/>
    <w:rsid w:val="0073353E"/>
    <w:rsid w:val="00736633"/>
    <w:rsid w:val="00741EE7"/>
    <w:rsid w:val="00743A79"/>
    <w:rsid w:val="007444D4"/>
    <w:rsid w:val="0074594D"/>
    <w:rsid w:val="007459F3"/>
    <w:rsid w:val="00746E35"/>
    <w:rsid w:val="007470E2"/>
    <w:rsid w:val="0075232F"/>
    <w:rsid w:val="00753132"/>
    <w:rsid w:val="007550B3"/>
    <w:rsid w:val="00760451"/>
    <w:rsid w:val="0077182A"/>
    <w:rsid w:val="00771913"/>
    <w:rsid w:val="00772718"/>
    <w:rsid w:val="00775BCF"/>
    <w:rsid w:val="007818AA"/>
    <w:rsid w:val="00783140"/>
    <w:rsid w:val="007838B6"/>
    <w:rsid w:val="00783E77"/>
    <w:rsid w:val="007906F1"/>
    <w:rsid w:val="0079243D"/>
    <w:rsid w:val="00794A9B"/>
    <w:rsid w:val="0079583B"/>
    <w:rsid w:val="00796602"/>
    <w:rsid w:val="00797185"/>
    <w:rsid w:val="007976B7"/>
    <w:rsid w:val="00797A7E"/>
    <w:rsid w:val="00797D6F"/>
    <w:rsid w:val="007B014B"/>
    <w:rsid w:val="007B0D88"/>
    <w:rsid w:val="007B306F"/>
    <w:rsid w:val="007B4714"/>
    <w:rsid w:val="007B4E82"/>
    <w:rsid w:val="007C1996"/>
    <w:rsid w:val="007C3773"/>
    <w:rsid w:val="007C3F1F"/>
    <w:rsid w:val="007D2D0D"/>
    <w:rsid w:val="007D3325"/>
    <w:rsid w:val="007D3818"/>
    <w:rsid w:val="007D6DC5"/>
    <w:rsid w:val="007D7425"/>
    <w:rsid w:val="007E320E"/>
    <w:rsid w:val="007E3280"/>
    <w:rsid w:val="007E4A02"/>
    <w:rsid w:val="007E595C"/>
    <w:rsid w:val="007E59A5"/>
    <w:rsid w:val="007F3B8C"/>
    <w:rsid w:val="007F41D0"/>
    <w:rsid w:val="007F4B8B"/>
    <w:rsid w:val="007F5957"/>
    <w:rsid w:val="007F70B6"/>
    <w:rsid w:val="007F74CA"/>
    <w:rsid w:val="00800F1E"/>
    <w:rsid w:val="0080195A"/>
    <w:rsid w:val="0080239C"/>
    <w:rsid w:val="00802841"/>
    <w:rsid w:val="008037D5"/>
    <w:rsid w:val="00805447"/>
    <w:rsid w:val="008054FA"/>
    <w:rsid w:val="0080717A"/>
    <w:rsid w:val="00807DFA"/>
    <w:rsid w:val="0081009F"/>
    <w:rsid w:val="00810152"/>
    <w:rsid w:val="008115AB"/>
    <w:rsid w:val="00812D2C"/>
    <w:rsid w:val="008159F4"/>
    <w:rsid w:val="008167C1"/>
    <w:rsid w:val="008167C6"/>
    <w:rsid w:val="00816B8F"/>
    <w:rsid w:val="00820331"/>
    <w:rsid w:val="00820BF5"/>
    <w:rsid w:val="008212B1"/>
    <w:rsid w:val="0082155A"/>
    <w:rsid w:val="0082209F"/>
    <w:rsid w:val="008223C2"/>
    <w:rsid w:val="008250A2"/>
    <w:rsid w:val="00825D64"/>
    <w:rsid w:val="0082650B"/>
    <w:rsid w:val="008301CE"/>
    <w:rsid w:val="008312E3"/>
    <w:rsid w:val="00831D5B"/>
    <w:rsid w:val="00832DD6"/>
    <w:rsid w:val="00832F0C"/>
    <w:rsid w:val="008336F2"/>
    <w:rsid w:val="008345D9"/>
    <w:rsid w:val="008347CB"/>
    <w:rsid w:val="00835647"/>
    <w:rsid w:val="00837A2E"/>
    <w:rsid w:val="00841558"/>
    <w:rsid w:val="00842A68"/>
    <w:rsid w:val="008435BA"/>
    <w:rsid w:val="0084558B"/>
    <w:rsid w:val="0084654A"/>
    <w:rsid w:val="00847654"/>
    <w:rsid w:val="00851064"/>
    <w:rsid w:val="00855543"/>
    <w:rsid w:val="008566B3"/>
    <w:rsid w:val="008576B7"/>
    <w:rsid w:val="00857F7B"/>
    <w:rsid w:val="00863DA1"/>
    <w:rsid w:val="008654A6"/>
    <w:rsid w:val="00865D86"/>
    <w:rsid w:val="00870495"/>
    <w:rsid w:val="00870EA1"/>
    <w:rsid w:val="008710C5"/>
    <w:rsid w:val="00874438"/>
    <w:rsid w:val="00874E75"/>
    <w:rsid w:val="008767F3"/>
    <w:rsid w:val="00876CEF"/>
    <w:rsid w:val="00877342"/>
    <w:rsid w:val="008803C3"/>
    <w:rsid w:val="00881450"/>
    <w:rsid w:val="008817C7"/>
    <w:rsid w:val="00881875"/>
    <w:rsid w:val="008848A3"/>
    <w:rsid w:val="00884AF1"/>
    <w:rsid w:val="00885F7A"/>
    <w:rsid w:val="00890712"/>
    <w:rsid w:val="00890D81"/>
    <w:rsid w:val="00892955"/>
    <w:rsid w:val="00893628"/>
    <w:rsid w:val="008941EB"/>
    <w:rsid w:val="0089545A"/>
    <w:rsid w:val="00895A02"/>
    <w:rsid w:val="008A01EE"/>
    <w:rsid w:val="008A0DAC"/>
    <w:rsid w:val="008A3B78"/>
    <w:rsid w:val="008A4166"/>
    <w:rsid w:val="008A7DBF"/>
    <w:rsid w:val="008B136C"/>
    <w:rsid w:val="008B55EF"/>
    <w:rsid w:val="008B6910"/>
    <w:rsid w:val="008C0B5C"/>
    <w:rsid w:val="008C1343"/>
    <w:rsid w:val="008C3912"/>
    <w:rsid w:val="008C5598"/>
    <w:rsid w:val="008C69EA"/>
    <w:rsid w:val="008C6F8B"/>
    <w:rsid w:val="008C7AB7"/>
    <w:rsid w:val="008C7FB4"/>
    <w:rsid w:val="008D2C8C"/>
    <w:rsid w:val="008D3040"/>
    <w:rsid w:val="008D3ECD"/>
    <w:rsid w:val="008D5C03"/>
    <w:rsid w:val="008D7580"/>
    <w:rsid w:val="008D7C35"/>
    <w:rsid w:val="008E5698"/>
    <w:rsid w:val="008E5733"/>
    <w:rsid w:val="008E77D2"/>
    <w:rsid w:val="008E78FD"/>
    <w:rsid w:val="008F199D"/>
    <w:rsid w:val="008F38A0"/>
    <w:rsid w:val="008F39C9"/>
    <w:rsid w:val="008F5EB5"/>
    <w:rsid w:val="008F678C"/>
    <w:rsid w:val="008F75A7"/>
    <w:rsid w:val="008F7E5A"/>
    <w:rsid w:val="00900A7F"/>
    <w:rsid w:val="009036EE"/>
    <w:rsid w:val="00905815"/>
    <w:rsid w:val="00905D1D"/>
    <w:rsid w:val="0091016D"/>
    <w:rsid w:val="009108A7"/>
    <w:rsid w:val="00910C98"/>
    <w:rsid w:val="00911910"/>
    <w:rsid w:val="00912A58"/>
    <w:rsid w:val="00913908"/>
    <w:rsid w:val="00913D26"/>
    <w:rsid w:val="0091438B"/>
    <w:rsid w:val="009147E3"/>
    <w:rsid w:val="00920FD2"/>
    <w:rsid w:val="00923A43"/>
    <w:rsid w:val="0092439C"/>
    <w:rsid w:val="0092498E"/>
    <w:rsid w:val="00925B91"/>
    <w:rsid w:val="00934461"/>
    <w:rsid w:val="00934F7E"/>
    <w:rsid w:val="00936A1C"/>
    <w:rsid w:val="00943E35"/>
    <w:rsid w:val="00945278"/>
    <w:rsid w:val="0094658D"/>
    <w:rsid w:val="00947678"/>
    <w:rsid w:val="00947878"/>
    <w:rsid w:val="009504C2"/>
    <w:rsid w:val="0095254A"/>
    <w:rsid w:val="0095273B"/>
    <w:rsid w:val="009559E1"/>
    <w:rsid w:val="009568D5"/>
    <w:rsid w:val="00957CD3"/>
    <w:rsid w:val="0096269B"/>
    <w:rsid w:val="00963FB0"/>
    <w:rsid w:val="00964C86"/>
    <w:rsid w:val="00965E82"/>
    <w:rsid w:val="009664BB"/>
    <w:rsid w:val="009669F8"/>
    <w:rsid w:val="00966F89"/>
    <w:rsid w:val="00973B5D"/>
    <w:rsid w:val="0097755E"/>
    <w:rsid w:val="00981467"/>
    <w:rsid w:val="00981C24"/>
    <w:rsid w:val="009852F6"/>
    <w:rsid w:val="00985DE5"/>
    <w:rsid w:val="00986254"/>
    <w:rsid w:val="0098729E"/>
    <w:rsid w:val="00990067"/>
    <w:rsid w:val="00992977"/>
    <w:rsid w:val="009937D4"/>
    <w:rsid w:val="00993C78"/>
    <w:rsid w:val="009948C7"/>
    <w:rsid w:val="00995850"/>
    <w:rsid w:val="0099796C"/>
    <w:rsid w:val="009A194E"/>
    <w:rsid w:val="009A1EA2"/>
    <w:rsid w:val="009A209E"/>
    <w:rsid w:val="009A3FD7"/>
    <w:rsid w:val="009A6652"/>
    <w:rsid w:val="009A74FD"/>
    <w:rsid w:val="009B25D8"/>
    <w:rsid w:val="009B42E3"/>
    <w:rsid w:val="009B5859"/>
    <w:rsid w:val="009C6D07"/>
    <w:rsid w:val="009C7CEC"/>
    <w:rsid w:val="009D154D"/>
    <w:rsid w:val="009D18EF"/>
    <w:rsid w:val="009D3BE8"/>
    <w:rsid w:val="009D44E0"/>
    <w:rsid w:val="009D573B"/>
    <w:rsid w:val="009D59A0"/>
    <w:rsid w:val="009D716A"/>
    <w:rsid w:val="009E1AC4"/>
    <w:rsid w:val="009E20B8"/>
    <w:rsid w:val="009E29A0"/>
    <w:rsid w:val="009E41B5"/>
    <w:rsid w:val="009E55D7"/>
    <w:rsid w:val="009E627C"/>
    <w:rsid w:val="009F110B"/>
    <w:rsid w:val="009F1498"/>
    <w:rsid w:val="009F1E9F"/>
    <w:rsid w:val="009F3793"/>
    <w:rsid w:val="009F54F2"/>
    <w:rsid w:val="00A0056B"/>
    <w:rsid w:val="00A01657"/>
    <w:rsid w:val="00A01C65"/>
    <w:rsid w:val="00A0213D"/>
    <w:rsid w:val="00A04C73"/>
    <w:rsid w:val="00A0679A"/>
    <w:rsid w:val="00A07A2B"/>
    <w:rsid w:val="00A12375"/>
    <w:rsid w:val="00A125B8"/>
    <w:rsid w:val="00A13124"/>
    <w:rsid w:val="00A15370"/>
    <w:rsid w:val="00A156AB"/>
    <w:rsid w:val="00A16B8D"/>
    <w:rsid w:val="00A21293"/>
    <w:rsid w:val="00A2134B"/>
    <w:rsid w:val="00A21623"/>
    <w:rsid w:val="00A220EB"/>
    <w:rsid w:val="00A22302"/>
    <w:rsid w:val="00A25F1B"/>
    <w:rsid w:val="00A325F3"/>
    <w:rsid w:val="00A33103"/>
    <w:rsid w:val="00A33294"/>
    <w:rsid w:val="00A35DCB"/>
    <w:rsid w:val="00A3690E"/>
    <w:rsid w:val="00A37751"/>
    <w:rsid w:val="00A406B1"/>
    <w:rsid w:val="00A4113E"/>
    <w:rsid w:val="00A42435"/>
    <w:rsid w:val="00A438BA"/>
    <w:rsid w:val="00A446FD"/>
    <w:rsid w:val="00A46F46"/>
    <w:rsid w:val="00A52CB6"/>
    <w:rsid w:val="00A52F99"/>
    <w:rsid w:val="00A538BB"/>
    <w:rsid w:val="00A54164"/>
    <w:rsid w:val="00A56737"/>
    <w:rsid w:val="00A60002"/>
    <w:rsid w:val="00A603D8"/>
    <w:rsid w:val="00A60AE2"/>
    <w:rsid w:val="00A61834"/>
    <w:rsid w:val="00A618B0"/>
    <w:rsid w:val="00A62790"/>
    <w:rsid w:val="00A6291F"/>
    <w:rsid w:val="00A63F53"/>
    <w:rsid w:val="00A7111E"/>
    <w:rsid w:val="00A755B6"/>
    <w:rsid w:val="00A75B1A"/>
    <w:rsid w:val="00A80ED4"/>
    <w:rsid w:val="00A816C4"/>
    <w:rsid w:val="00A82981"/>
    <w:rsid w:val="00A86F10"/>
    <w:rsid w:val="00A87AF2"/>
    <w:rsid w:val="00A90B23"/>
    <w:rsid w:val="00A93193"/>
    <w:rsid w:val="00A93C2B"/>
    <w:rsid w:val="00A94556"/>
    <w:rsid w:val="00A974CB"/>
    <w:rsid w:val="00AA1EAC"/>
    <w:rsid w:val="00AA45E2"/>
    <w:rsid w:val="00AA7AC1"/>
    <w:rsid w:val="00AB6327"/>
    <w:rsid w:val="00AB6B8F"/>
    <w:rsid w:val="00AC0C65"/>
    <w:rsid w:val="00AC0FB2"/>
    <w:rsid w:val="00AC3721"/>
    <w:rsid w:val="00AC41C6"/>
    <w:rsid w:val="00AC70C7"/>
    <w:rsid w:val="00AC76B7"/>
    <w:rsid w:val="00AD0223"/>
    <w:rsid w:val="00AD123A"/>
    <w:rsid w:val="00AD15FF"/>
    <w:rsid w:val="00AD1AA5"/>
    <w:rsid w:val="00AD2920"/>
    <w:rsid w:val="00AD2CD5"/>
    <w:rsid w:val="00AD2DFC"/>
    <w:rsid w:val="00AD38C4"/>
    <w:rsid w:val="00AD5A4A"/>
    <w:rsid w:val="00AD60EE"/>
    <w:rsid w:val="00AD6A2B"/>
    <w:rsid w:val="00AD73D4"/>
    <w:rsid w:val="00AE1EA2"/>
    <w:rsid w:val="00AE2874"/>
    <w:rsid w:val="00AE2BA2"/>
    <w:rsid w:val="00AE2F98"/>
    <w:rsid w:val="00AE3602"/>
    <w:rsid w:val="00AE5342"/>
    <w:rsid w:val="00AE5987"/>
    <w:rsid w:val="00AE6472"/>
    <w:rsid w:val="00AF1345"/>
    <w:rsid w:val="00AF38A8"/>
    <w:rsid w:val="00AF63EB"/>
    <w:rsid w:val="00B016D2"/>
    <w:rsid w:val="00B018EC"/>
    <w:rsid w:val="00B060C7"/>
    <w:rsid w:val="00B11AB7"/>
    <w:rsid w:val="00B12213"/>
    <w:rsid w:val="00B13710"/>
    <w:rsid w:val="00B22881"/>
    <w:rsid w:val="00B23EFC"/>
    <w:rsid w:val="00B24B72"/>
    <w:rsid w:val="00B25DB8"/>
    <w:rsid w:val="00B2656C"/>
    <w:rsid w:val="00B266E6"/>
    <w:rsid w:val="00B3094D"/>
    <w:rsid w:val="00B30B04"/>
    <w:rsid w:val="00B311BC"/>
    <w:rsid w:val="00B31810"/>
    <w:rsid w:val="00B31C10"/>
    <w:rsid w:val="00B3446D"/>
    <w:rsid w:val="00B34652"/>
    <w:rsid w:val="00B34F89"/>
    <w:rsid w:val="00B358C8"/>
    <w:rsid w:val="00B36185"/>
    <w:rsid w:val="00B3662F"/>
    <w:rsid w:val="00B373CD"/>
    <w:rsid w:val="00B377C8"/>
    <w:rsid w:val="00B400B8"/>
    <w:rsid w:val="00B404DE"/>
    <w:rsid w:val="00B40765"/>
    <w:rsid w:val="00B4232D"/>
    <w:rsid w:val="00B42682"/>
    <w:rsid w:val="00B43065"/>
    <w:rsid w:val="00B44784"/>
    <w:rsid w:val="00B449D0"/>
    <w:rsid w:val="00B456AB"/>
    <w:rsid w:val="00B46C2A"/>
    <w:rsid w:val="00B47E8B"/>
    <w:rsid w:val="00B51C67"/>
    <w:rsid w:val="00B53F86"/>
    <w:rsid w:val="00B53FDC"/>
    <w:rsid w:val="00B55431"/>
    <w:rsid w:val="00B55CAE"/>
    <w:rsid w:val="00B576C6"/>
    <w:rsid w:val="00B615F2"/>
    <w:rsid w:val="00B61A28"/>
    <w:rsid w:val="00B63DA6"/>
    <w:rsid w:val="00B65C6D"/>
    <w:rsid w:val="00B66B06"/>
    <w:rsid w:val="00B67862"/>
    <w:rsid w:val="00B70634"/>
    <w:rsid w:val="00B70BE4"/>
    <w:rsid w:val="00B73880"/>
    <w:rsid w:val="00B73CF1"/>
    <w:rsid w:val="00B745B3"/>
    <w:rsid w:val="00B7599D"/>
    <w:rsid w:val="00B7648F"/>
    <w:rsid w:val="00B76E13"/>
    <w:rsid w:val="00B771EE"/>
    <w:rsid w:val="00B7765B"/>
    <w:rsid w:val="00B77B4B"/>
    <w:rsid w:val="00B80ABC"/>
    <w:rsid w:val="00B814C2"/>
    <w:rsid w:val="00B900FE"/>
    <w:rsid w:val="00B9064C"/>
    <w:rsid w:val="00BA0A14"/>
    <w:rsid w:val="00BA228D"/>
    <w:rsid w:val="00BA398D"/>
    <w:rsid w:val="00BA39D3"/>
    <w:rsid w:val="00BA5C56"/>
    <w:rsid w:val="00BA776F"/>
    <w:rsid w:val="00BB0C0D"/>
    <w:rsid w:val="00BB0D69"/>
    <w:rsid w:val="00BB366E"/>
    <w:rsid w:val="00BB3AF0"/>
    <w:rsid w:val="00BB4F70"/>
    <w:rsid w:val="00BB67FF"/>
    <w:rsid w:val="00BC11B9"/>
    <w:rsid w:val="00BC138C"/>
    <w:rsid w:val="00BC14CF"/>
    <w:rsid w:val="00BC1659"/>
    <w:rsid w:val="00BC2C91"/>
    <w:rsid w:val="00BC3A9C"/>
    <w:rsid w:val="00BC5288"/>
    <w:rsid w:val="00BC6A71"/>
    <w:rsid w:val="00BC6B2F"/>
    <w:rsid w:val="00BD0637"/>
    <w:rsid w:val="00BD08A8"/>
    <w:rsid w:val="00BD1BAC"/>
    <w:rsid w:val="00BD1FA8"/>
    <w:rsid w:val="00BD25A6"/>
    <w:rsid w:val="00BD4C95"/>
    <w:rsid w:val="00BD65FC"/>
    <w:rsid w:val="00BD7660"/>
    <w:rsid w:val="00BE0666"/>
    <w:rsid w:val="00BE24B9"/>
    <w:rsid w:val="00BE2AE8"/>
    <w:rsid w:val="00BE2D55"/>
    <w:rsid w:val="00BE38DD"/>
    <w:rsid w:val="00BE4AB1"/>
    <w:rsid w:val="00BF16C3"/>
    <w:rsid w:val="00BF38E0"/>
    <w:rsid w:val="00BF44FA"/>
    <w:rsid w:val="00BF57E1"/>
    <w:rsid w:val="00C003B4"/>
    <w:rsid w:val="00C00A5F"/>
    <w:rsid w:val="00C042E0"/>
    <w:rsid w:val="00C051D9"/>
    <w:rsid w:val="00C06333"/>
    <w:rsid w:val="00C06F68"/>
    <w:rsid w:val="00C075BA"/>
    <w:rsid w:val="00C10A3A"/>
    <w:rsid w:val="00C11E20"/>
    <w:rsid w:val="00C15D16"/>
    <w:rsid w:val="00C20015"/>
    <w:rsid w:val="00C247DD"/>
    <w:rsid w:val="00C25B43"/>
    <w:rsid w:val="00C26A54"/>
    <w:rsid w:val="00C3261C"/>
    <w:rsid w:val="00C3318B"/>
    <w:rsid w:val="00C33C20"/>
    <w:rsid w:val="00C35362"/>
    <w:rsid w:val="00C357EA"/>
    <w:rsid w:val="00C379F8"/>
    <w:rsid w:val="00C37A1C"/>
    <w:rsid w:val="00C42323"/>
    <w:rsid w:val="00C4316E"/>
    <w:rsid w:val="00C453A9"/>
    <w:rsid w:val="00C465D5"/>
    <w:rsid w:val="00C4756A"/>
    <w:rsid w:val="00C47C39"/>
    <w:rsid w:val="00C50649"/>
    <w:rsid w:val="00C50E1F"/>
    <w:rsid w:val="00C51C09"/>
    <w:rsid w:val="00C524BA"/>
    <w:rsid w:val="00C52BB6"/>
    <w:rsid w:val="00C53471"/>
    <w:rsid w:val="00C55143"/>
    <w:rsid w:val="00C5611B"/>
    <w:rsid w:val="00C5695E"/>
    <w:rsid w:val="00C61528"/>
    <w:rsid w:val="00C63457"/>
    <w:rsid w:val="00C64964"/>
    <w:rsid w:val="00C6631E"/>
    <w:rsid w:val="00C67473"/>
    <w:rsid w:val="00C67AA4"/>
    <w:rsid w:val="00C7148C"/>
    <w:rsid w:val="00C72192"/>
    <w:rsid w:val="00C732E5"/>
    <w:rsid w:val="00C73D0B"/>
    <w:rsid w:val="00C75017"/>
    <w:rsid w:val="00C765B4"/>
    <w:rsid w:val="00C813EA"/>
    <w:rsid w:val="00C81496"/>
    <w:rsid w:val="00C82CE6"/>
    <w:rsid w:val="00C82E22"/>
    <w:rsid w:val="00C85144"/>
    <w:rsid w:val="00C86738"/>
    <w:rsid w:val="00C86A27"/>
    <w:rsid w:val="00C91517"/>
    <w:rsid w:val="00C929BD"/>
    <w:rsid w:val="00C931A2"/>
    <w:rsid w:val="00CA02E1"/>
    <w:rsid w:val="00CA15DA"/>
    <w:rsid w:val="00CA224E"/>
    <w:rsid w:val="00CA41C5"/>
    <w:rsid w:val="00CA42B7"/>
    <w:rsid w:val="00CA4A53"/>
    <w:rsid w:val="00CA51F5"/>
    <w:rsid w:val="00CB218A"/>
    <w:rsid w:val="00CB225A"/>
    <w:rsid w:val="00CB69E6"/>
    <w:rsid w:val="00CB761B"/>
    <w:rsid w:val="00CB7E33"/>
    <w:rsid w:val="00CC13DF"/>
    <w:rsid w:val="00CC1EEE"/>
    <w:rsid w:val="00CC562B"/>
    <w:rsid w:val="00CC6C15"/>
    <w:rsid w:val="00CC7FCF"/>
    <w:rsid w:val="00CD2749"/>
    <w:rsid w:val="00CD2A60"/>
    <w:rsid w:val="00CD306F"/>
    <w:rsid w:val="00CD3971"/>
    <w:rsid w:val="00CD3DAB"/>
    <w:rsid w:val="00CE0DF1"/>
    <w:rsid w:val="00CE2A4B"/>
    <w:rsid w:val="00CE3786"/>
    <w:rsid w:val="00CE4027"/>
    <w:rsid w:val="00CE47CC"/>
    <w:rsid w:val="00CE68F6"/>
    <w:rsid w:val="00CE7E27"/>
    <w:rsid w:val="00CF22AC"/>
    <w:rsid w:val="00CF2F0A"/>
    <w:rsid w:val="00CF79E8"/>
    <w:rsid w:val="00D015AA"/>
    <w:rsid w:val="00D021B8"/>
    <w:rsid w:val="00D03D90"/>
    <w:rsid w:val="00D04024"/>
    <w:rsid w:val="00D043EB"/>
    <w:rsid w:val="00D06705"/>
    <w:rsid w:val="00D06A9B"/>
    <w:rsid w:val="00D0750D"/>
    <w:rsid w:val="00D07DD8"/>
    <w:rsid w:val="00D1038F"/>
    <w:rsid w:val="00D10BF7"/>
    <w:rsid w:val="00D10FEB"/>
    <w:rsid w:val="00D140A0"/>
    <w:rsid w:val="00D203D1"/>
    <w:rsid w:val="00D2057A"/>
    <w:rsid w:val="00D21D98"/>
    <w:rsid w:val="00D2317F"/>
    <w:rsid w:val="00D231A9"/>
    <w:rsid w:val="00D24391"/>
    <w:rsid w:val="00D2472B"/>
    <w:rsid w:val="00D253DD"/>
    <w:rsid w:val="00D26FFA"/>
    <w:rsid w:val="00D3215D"/>
    <w:rsid w:val="00D33352"/>
    <w:rsid w:val="00D347D9"/>
    <w:rsid w:val="00D35565"/>
    <w:rsid w:val="00D36A19"/>
    <w:rsid w:val="00D40DCF"/>
    <w:rsid w:val="00D41075"/>
    <w:rsid w:val="00D41C76"/>
    <w:rsid w:val="00D41DD8"/>
    <w:rsid w:val="00D4222C"/>
    <w:rsid w:val="00D425CE"/>
    <w:rsid w:val="00D42F40"/>
    <w:rsid w:val="00D4396C"/>
    <w:rsid w:val="00D4446F"/>
    <w:rsid w:val="00D44B55"/>
    <w:rsid w:val="00D45490"/>
    <w:rsid w:val="00D457B8"/>
    <w:rsid w:val="00D457E1"/>
    <w:rsid w:val="00D47BEB"/>
    <w:rsid w:val="00D50487"/>
    <w:rsid w:val="00D50563"/>
    <w:rsid w:val="00D50F50"/>
    <w:rsid w:val="00D5235F"/>
    <w:rsid w:val="00D52F50"/>
    <w:rsid w:val="00D55A98"/>
    <w:rsid w:val="00D56B49"/>
    <w:rsid w:val="00D6053F"/>
    <w:rsid w:val="00D6073D"/>
    <w:rsid w:val="00D618D6"/>
    <w:rsid w:val="00D62426"/>
    <w:rsid w:val="00D62804"/>
    <w:rsid w:val="00D70F55"/>
    <w:rsid w:val="00D70FA5"/>
    <w:rsid w:val="00D74171"/>
    <w:rsid w:val="00D7474C"/>
    <w:rsid w:val="00D8032C"/>
    <w:rsid w:val="00D80CE2"/>
    <w:rsid w:val="00D83080"/>
    <w:rsid w:val="00D83E66"/>
    <w:rsid w:val="00D84D5F"/>
    <w:rsid w:val="00D851E2"/>
    <w:rsid w:val="00D87FFA"/>
    <w:rsid w:val="00D91419"/>
    <w:rsid w:val="00D92A09"/>
    <w:rsid w:val="00D92D2A"/>
    <w:rsid w:val="00D92EEC"/>
    <w:rsid w:val="00D93470"/>
    <w:rsid w:val="00D9395F"/>
    <w:rsid w:val="00D93D55"/>
    <w:rsid w:val="00D941FA"/>
    <w:rsid w:val="00D94B59"/>
    <w:rsid w:val="00D95315"/>
    <w:rsid w:val="00D95EAB"/>
    <w:rsid w:val="00DA0B39"/>
    <w:rsid w:val="00DA1203"/>
    <w:rsid w:val="00DA2316"/>
    <w:rsid w:val="00DA25E0"/>
    <w:rsid w:val="00DA2700"/>
    <w:rsid w:val="00DA3001"/>
    <w:rsid w:val="00DA3C5D"/>
    <w:rsid w:val="00DA3EFF"/>
    <w:rsid w:val="00DA7769"/>
    <w:rsid w:val="00DB08C6"/>
    <w:rsid w:val="00DB1BC2"/>
    <w:rsid w:val="00DB1CBB"/>
    <w:rsid w:val="00DB31ED"/>
    <w:rsid w:val="00DB4124"/>
    <w:rsid w:val="00DB4511"/>
    <w:rsid w:val="00DB4F0C"/>
    <w:rsid w:val="00DC0176"/>
    <w:rsid w:val="00DC043F"/>
    <w:rsid w:val="00DC093E"/>
    <w:rsid w:val="00DC0E29"/>
    <w:rsid w:val="00DC0E7A"/>
    <w:rsid w:val="00DC2A65"/>
    <w:rsid w:val="00DC2A86"/>
    <w:rsid w:val="00DC3631"/>
    <w:rsid w:val="00DC37F7"/>
    <w:rsid w:val="00DC6F54"/>
    <w:rsid w:val="00DD0C00"/>
    <w:rsid w:val="00DD0F8C"/>
    <w:rsid w:val="00DD116C"/>
    <w:rsid w:val="00DD23D5"/>
    <w:rsid w:val="00DD2AF1"/>
    <w:rsid w:val="00DD46DA"/>
    <w:rsid w:val="00DD6072"/>
    <w:rsid w:val="00DD62BE"/>
    <w:rsid w:val="00DD77D9"/>
    <w:rsid w:val="00DD7CA4"/>
    <w:rsid w:val="00DE167C"/>
    <w:rsid w:val="00DE3B70"/>
    <w:rsid w:val="00DE5813"/>
    <w:rsid w:val="00DF10B1"/>
    <w:rsid w:val="00DF1FDA"/>
    <w:rsid w:val="00DF3DD0"/>
    <w:rsid w:val="00DF4D50"/>
    <w:rsid w:val="00DF538C"/>
    <w:rsid w:val="00E021C2"/>
    <w:rsid w:val="00E024A3"/>
    <w:rsid w:val="00E0423D"/>
    <w:rsid w:val="00E057B5"/>
    <w:rsid w:val="00E0581E"/>
    <w:rsid w:val="00E079C5"/>
    <w:rsid w:val="00E07CBD"/>
    <w:rsid w:val="00E07F56"/>
    <w:rsid w:val="00E10A16"/>
    <w:rsid w:val="00E1112F"/>
    <w:rsid w:val="00E1318F"/>
    <w:rsid w:val="00E13B3B"/>
    <w:rsid w:val="00E13E29"/>
    <w:rsid w:val="00E16857"/>
    <w:rsid w:val="00E16C3A"/>
    <w:rsid w:val="00E20651"/>
    <w:rsid w:val="00E2107C"/>
    <w:rsid w:val="00E21E70"/>
    <w:rsid w:val="00E224DE"/>
    <w:rsid w:val="00E23DCE"/>
    <w:rsid w:val="00E26363"/>
    <w:rsid w:val="00E272A4"/>
    <w:rsid w:val="00E305F9"/>
    <w:rsid w:val="00E306AC"/>
    <w:rsid w:val="00E34446"/>
    <w:rsid w:val="00E3633B"/>
    <w:rsid w:val="00E36870"/>
    <w:rsid w:val="00E374E1"/>
    <w:rsid w:val="00E417AB"/>
    <w:rsid w:val="00E43D48"/>
    <w:rsid w:val="00E4542D"/>
    <w:rsid w:val="00E45BE0"/>
    <w:rsid w:val="00E46CAD"/>
    <w:rsid w:val="00E47521"/>
    <w:rsid w:val="00E4760C"/>
    <w:rsid w:val="00E507A6"/>
    <w:rsid w:val="00E5375C"/>
    <w:rsid w:val="00E561AD"/>
    <w:rsid w:val="00E57FAF"/>
    <w:rsid w:val="00E60BA9"/>
    <w:rsid w:val="00E63510"/>
    <w:rsid w:val="00E635EA"/>
    <w:rsid w:val="00E655E5"/>
    <w:rsid w:val="00E65F4E"/>
    <w:rsid w:val="00E662E0"/>
    <w:rsid w:val="00E67D5D"/>
    <w:rsid w:val="00E71C7A"/>
    <w:rsid w:val="00E73119"/>
    <w:rsid w:val="00E73E1E"/>
    <w:rsid w:val="00E767FF"/>
    <w:rsid w:val="00E84C91"/>
    <w:rsid w:val="00E84E60"/>
    <w:rsid w:val="00E8556E"/>
    <w:rsid w:val="00E86B2D"/>
    <w:rsid w:val="00E86F4D"/>
    <w:rsid w:val="00E87D08"/>
    <w:rsid w:val="00E90D0E"/>
    <w:rsid w:val="00E91B2D"/>
    <w:rsid w:val="00E92FCA"/>
    <w:rsid w:val="00E95CAA"/>
    <w:rsid w:val="00EA0A39"/>
    <w:rsid w:val="00EA0EB2"/>
    <w:rsid w:val="00EA236F"/>
    <w:rsid w:val="00EA3023"/>
    <w:rsid w:val="00EA3E49"/>
    <w:rsid w:val="00EA3FC8"/>
    <w:rsid w:val="00EA5B8C"/>
    <w:rsid w:val="00EB0DC9"/>
    <w:rsid w:val="00EB1383"/>
    <w:rsid w:val="00EB252D"/>
    <w:rsid w:val="00EB29FA"/>
    <w:rsid w:val="00EB2CCE"/>
    <w:rsid w:val="00EB385F"/>
    <w:rsid w:val="00EB3E49"/>
    <w:rsid w:val="00EB5FC3"/>
    <w:rsid w:val="00EB6DA9"/>
    <w:rsid w:val="00EC1561"/>
    <w:rsid w:val="00EC462E"/>
    <w:rsid w:val="00EC6CD8"/>
    <w:rsid w:val="00EC786F"/>
    <w:rsid w:val="00ED1866"/>
    <w:rsid w:val="00ED3134"/>
    <w:rsid w:val="00ED38E2"/>
    <w:rsid w:val="00ED5C44"/>
    <w:rsid w:val="00ED635B"/>
    <w:rsid w:val="00EE742D"/>
    <w:rsid w:val="00EF0A22"/>
    <w:rsid w:val="00EF1267"/>
    <w:rsid w:val="00EF180C"/>
    <w:rsid w:val="00EF3B6B"/>
    <w:rsid w:val="00EF4B43"/>
    <w:rsid w:val="00EF6750"/>
    <w:rsid w:val="00EF770B"/>
    <w:rsid w:val="00F02836"/>
    <w:rsid w:val="00F02FB5"/>
    <w:rsid w:val="00F0534E"/>
    <w:rsid w:val="00F05C30"/>
    <w:rsid w:val="00F10F1B"/>
    <w:rsid w:val="00F14179"/>
    <w:rsid w:val="00F15786"/>
    <w:rsid w:val="00F167C5"/>
    <w:rsid w:val="00F20B5A"/>
    <w:rsid w:val="00F21F0B"/>
    <w:rsid w:val="00F236AB"/>
    <w:rsid w:val="00F24EA4"/>
    <w:rsid w:val="00F27087"/>
    <w:rsid w:val="00F2773C"/>
    <w:rsid w:val="00F300B3"/>
    <w:rsid w:val="00F30DB9"/>
    <w:rsid w:val="00F30FB8"/>
    <w:rsid w:val="00F31D68"/>
    <w:rsid w:val="00F33152"/>
    <w:rsid w:val="00F338F2"/>
    <w:rsid w:val="00F349D3"/>
    <w:rsid w:val="00F3533E"/>
    <w:rsid w:val="00F35B84"/>
    <w:rsid w:val="00F402B5"/>
    <w:rsid w:val="00F4072F"/>
    <w:rsid w:val="00F42839"/>
    <w:rsid w:val="00F44CC0"/>
    <w:rsid w:val="00F450BA"/>
    <w:rsid w:val="00F4684B"/>
    <w:rsid w:val="00F46BE9"/>
    <w:rsid w:val="00F47C3B"/>
    <w:rsid w:val="00F506CA"/>
    <w:rsid w:val="00F53A7A"/>
    <w:rsid w:val="00F54FCD"/>
    <w:rsid w:val="00F5785C"/>
    <w:rsid w:val="00F65E3C"/>
    <w:rsid w:val="00F67076"/>
    <w:rsid w:val="00F677FA"/>
    <w:rsid w:val="00F7115A"/>
    <w:rsid w:val="00F717AA"/>
    <w:rsid w:val="00F72714"/>
    <w:rsid w:val="00F744C3"/>
    <w:rsid w:val="00F75EE2"/>
    <w:rsid w:val="00F75F69"/>
    <w:rsid w:val="00F76014"/>
    <w:rsid w:val="00F802D3"/>
    <w:rsid w:val="00F80F94"/>
    <w:rsid w:val="00F81BA2"/>
    <w:rsid w:val="00F823A4"/>
    <w:rsid w:val="00F8412F"/>
    <w:rsid w:val="00F84791"/>
    <w:rsid w:val="00F85995"/>
    <w:rsid w:val="00F85FC5"/>
    <w:rsid w:val="00F86C22"/>
    <w:rsid w:val="00F90CB3"/>
    <w:rsid w:val="00F912A2"/>
    <w:rsid w:val="00F913A3"/>
    <w:rsid w:val="00F925C3"/>
    <w:rsid w:val="00FA0109"/>
    <w:rsid w:val="00FA458B"/>
    <w:rsid w:val="00FA5EC5"/>
    <w:rsid w:val="00FA7016"/>
    <w:rsid w:val="00FA7174"/>
    <w:rsid w:val="00FA793D"/>
    <w:rsid w:val="00FB020E"/>
    <w:rsid w:val="00FB0F17"/>
    <w:rsid w:val="00FB4B9D"/>
    <w:rsid w:val="00FB50ED"/>
    <w:rsid w:val="00FB6E18"/>
    <w:rsid w:val="00FC144B"/>
    <w:rsid w:val="00FC2169"/>
    <w:rsid w:val="00FC28E2"/>
    <w:rsid w:val="00FC3BF6"/>
    <w:rsid w:val="00FC3D22"/>
    <w:rsid w:val="00FC6FE1"/>
    <w:rsid w:val="00FD0C3D"/>
    <w:rsid w:val="00FD2F6B"/>
    <w:rsid w:val="00FE064A"/>
    <w:rsid w:val="00FE0B55"/>
    <w:rsid w:val="00FE1E98"/>
    <w:rsid w:val="00FE2452"/>
    <w:rsid w:val="00FE5469"/>
    <w:rsid w:val="00FE66C2"/>
    <w:rsid w:val="00FE684A"/>
    <w:rsid w:val="00FE6F23"/>
    <w:rsid w:val="00FF0F8C"/>
    <w:rsid w:val="00FF408B"/>
    <w:rsid w:val="00FF43E1"/>
    <w:rsid w:val="03430854"/>
    <w:rsid w:val="039F5FA6"/>
    <w:rsid w:val="09305ADA"/>
    <w:rsid w:val="0CA95504"/>
    <w:rsid w:val="0E8013B7"/>
    <w:rsid w:val="0FDB9884"/>
    <w:rsid w:val="0FFF2FA9"/>
    <w:rsid w:val="10D604C6"/>
    <w:rsid w:val="11B515E0"/>
    <w:rsid w:val="13A53267"/>
    <w:rsid w:val="13F970D2"/>
    <w:rsid w:val="13FF4B7D"/>
    <w:rsid w:val="14AA4136"/>
    <w:rsid w:val="1572463D"/>
    <w:rsid w:val="163A420B"/>
    <w:rsid w:val="19413B26"/>
    <w:rsid w:val="1C6D3688"/>
    <w:rsid w:val="1C974DF7"/>
    <w:rsid w:val="1CC63D0A"/>
    <w:rsid w:val="1CE325AB"/>
    <w:rsid w:val="1DC2081A"/>
    <w:rsid w:val="1DD94266"/>
    <w:rsid w:val="1E47B767"/>
    <w:rsid w:val="1F5C5E1A"/>
    <w:rsid w:val="1F9D0947"/>
    <w:rsid w:val="1FB7F461"/>
    <w:rsid w:val="1FFB29C6"/>
    <w:rsid w:val="20970BD1"/>
    <w:rsid w:val="22AF3620"/>
    <w:rsid w:val="22E70AD4"/>
    <w:rsid w:val="24F1508D"/>
    <w:rsid w:val="266F634F"/>
    <w:rsid w:val="291059EA"/>
    <w:rsid w:val="2BBF12EC"/>
    <w:rsid w:val="2BC649D9"/>
    <w:rsid w:val="2DFF13E1"/>
    <w:rsid w:val="33FD3766"/>
    <w:rsid w:val="3515160D"/>
    <w:rsid w:val="37FD412A"/>
    <w:rsid w:val="3B7807FE"/>
    <w:rsid w:val="3C7D00D8"/>
    <w:rsid w:val="3CA06C0C"/>
    <w:rsid w:val="3DFF1074"/>
    <w:rsid w:val="3EA25851"/>
    <w:rsid w:val="3F6C3757"/>
    <w:rsid w:val="3FF7CDEB"/>
    <w:rsid w:val="3FFFBCEC"/>
    <w:rsid w:val="405D6A10"/>
    <w:rsid w:val="41DA6594"/>
    <w:rsid w:val="444C1A75"/>
    <w:rsid w:val="44A3526F"/>
    <w:rsid w:val="44B032F4"/>
    <w:rsid w:val="457D25F7"/>
    <w:rsid w:val="468341CD"/>
    <w:rsid w:val="472C2589"/>
    <w:rsid w:val="49DEA710"/>
    <w:rsid w:val="4A760AEB"/>
    <w:rsid w:val="4C0632B0"/>
    <w:rsid w:val="4EFF0BBA"/>
    <w:rsid w:val="4F3162CA"/>
    <w:rsid w:val="50D95873"/>
    <w:rsid w:val="526102AF"/>
    <w:rsid w:val="528444DA"/>
    <w:rsid w:val="537745D5"/>
    <w:rsid w:val="53FF3E78"/>
    <w:rsid w:val="552306F6"/>
    <w:rsid w:val="56E352D5"/>
    <w:rsid w:val="57E435FE"/>
    <w:rsid w:val="582D0655"/>
    <w:rsid w:val="5951205C"/>
    <w:rsid w:val="59D079E8"/>
    <w:rsid w:val="59D40847"/>
    <w:rsid w:val="5AE37F25"/>
    <w:rsid w:val="5CB23D47"/>
    <w:rsid w:val="5DFD93CC"/>
    <w:rsid w:val="5FAF09C4"/>
    <w:rsid w:val="5FD43543"/>
    <w:rsid w:val="5FF748AD"/>
    <w:rsid w:val="608C4642"/>
    <w:rsid w:val="62795572"/>
    <w:rsid w:val="64DD6417"/>
    <w:rsid w:val="66004745"/>
    <w:rsid w:val="6A567F20"/>
    <w:rsid w:val="6ADF8D9C"/>
    <w:rsid w:val="6CD97953"/>
    <w:rsid w:val="6DD59FE5"/>
    <w:rsid w:val="6DF53BE2"/>
    <w:rsid w:val="6ED30FD7"/>
    <w:rsid w:val="6F7F473E"/>
    <w:rsid w:val="6FFF7BD7"/>
    <w:rsid w:val="727D78FD"/>
    <w:rsid w:val="73CC655F"/>
    <w:rsid w:val="73F6FD07"/>
    <w:rsid w:val="73FA8648"/>
    <w:rsid w:val="75957445"/>
    <w:rsid w:val="75D01AE1"/>
    <w:rsid w:val="75FF2A6F"/>
    <w:rsid w:val="763FCD09"/>
    <w:rsid w:val="77524363"/>
    <w:rsid w:val="77A855A7"/>
    <w:rsid w:val="77B917B5"/>
    <w:rsid w:val="77D25093"/>
    <w:rsid w:val="77F75380"/>
    <w:rsid w:val="78703975"/>
    <w:rsid w:val="7A971C1F"/>
    <w:rsid w:val="7BDC08A0"/>
    <w:rsid w:val="7BE01F8F"/>
    <w:rsid w:val="7BE420FD"/>
    <w:rsid w:val="7D0D296B"/>
    <w:rsid w:val="7D4E0B54"/>
    <w:rsid w:val="7D503E78"/>
    <w:rsid w:val="7E0160D4"/>
    <w:rsid w:val="7EEFD533"/>
    <w:rsid w:val="7EFB472B"/>
    <w:rsid w:val="7F61F86B"/>
    <w:rsid w:val="7FBFE8D9"/>
    <w:rsid w:val="7FFAA97D"/>
    <w:rsid w:val="7FFB659A"/>
    <w:rsid w:val="9ACAEBB4"/>
    <w:rsid w:val="9EEBD6F0"/>
    <w:rsid w:val="9F2B23E5"/>
    <w:rsid w:val="A7DFD244"/>
    <w:rsid w:val="A7FB8F18"/>
    <w:rsid w:val="B77F790E"/>
    <w:rsid w:val="B79A69B2"/>
    <w:rsid w:val="BEDD9E15"/>
    <w:rsid w:val="BF15DC33"/>
    <w:rsid w:val="BFD61DC4"/>
    <w:rsid w:val="CBD5E830"/>
    <w:rsid w:val="CBD7C4C1"/>
    <w:rsid w:val="CCFD699D"/>
    <w:rsid w:val="D9AFD908"/>
    <w:rsid w:val="DBE74104"/>
    <w:rsid w:val="DF6D0946"/>
    <w:rsid w:val="DF7F4310"/>
    <w:rsid w:val="E5AD871E"/>
    <w:rsid w:val="E5BF6B3A"/>
    <w:rsid w:val="E6BB2C98"/>
    <w:rsid w:val="EBAD0E0A"/>
    <w:rsid w:val="EEBDE272"/>
    <w:rsid w:val="EEE742AB"/>
    <w:rsid w:val="EFFFFD9A"/>
    <w:rsid w:val="F5F70378"/>
    <w:rsid w:val="F6EFF48A"/>
    <w:rsid w:val="F7AEE2A4"/>
    <w:rsid w:val="F7BFA939"/>
    <w:rsid w:val="F7F72AF2"/>
    <w:rsid w:val="F7F7E0D1"/>
    <w:rsid w:val="F95F9E53"/>
    <w:rsid w:val="FDF54115"/>
    <w:rsid w:val="FE1F8AB9"/>
    <w:rsid w:val="FE6F4AB8"/>
    <w:rsid w:val="FF6F2F8C"/>
    <w:rsid w:val="FF7B6427"/>
    <w:rsid w:val="FF9C7737"/>
    <w:rsid w:val="FFFF6F05"/>
    <w:rsid w:val="FFFF7082"/>
    <w:rsid w:val="FFFFCBF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iPriority="99"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480" w:firstLineChars="200"/>
      <w:jc w:val="both"/>
    </w:pPr>
    <w:rPr>
      <w:rFonts w:ascii="宋体" w:hAnsi="宋体" w:eastAsia="宋体" w:cs="Times New Roman"/>
      <w:kern w:val="2"/>
      <w:sz w:val="24"/>
      <w:szCs w:val="24"/>
      <w:lang w:val="en-US" w:eastAsia="zh-CN" w:bidi="ar-SA"/>
    </w:rPr>
  </w:style>
  <w:style w:type="paragraph" w:styleId="2">
    <w:name w:val="heading 1"/>
    <w:basedOn w:val="1"/>
    <w:next w:val="1"/>
    <w:link w:val="76"/>
    <w:qFormat/>
    <w:uiPriority w:val="0"/>
    <w:pPr>
      <w:keepNext/>
      <w:keepLines/>
      <w:numPr>
        <w:ilvl w:val="0"/>
        <w:numId w:val="1"/>
      </w:numPr>
      <w:spacing w:before="120" w:after="120"/>
      <w:ind w:firstLine="0" w:firstLineChars="0"/>
      <w:outlineLvl w:val="0"/>
    </w:pPr>
    <w:rPr>
      <w:rFonts w:eastAsia="黑体"/>
      <w:b/>
      <w:bCs/>
      <w:kern w:val="44"/>
      <w:sz w:val="32"/>
      <w:szCs w:val="28"/>
    </w:rPr>
  </w:style>
  <w:style w:type="paragraph" w:styleId="3">
    <w:name w:val="heading 2"/>
    <w:basedOn w:val="1"/>
    <w:next w:val="1"/>
    <w:link w:val="89"/>
    <w:qFormat/>
    <w:uiPriority w:val="9"/>
    <w:pPr>
      <w:keepNext/>
      <w:keepLines/>
      <w:numPr>
        <w:ilvl w:val="1"/>
        <w:numId w:val="1"/>
      </w:numPr>
      <w:spacing w:before="120" w:after="120"/>
      <w:ind w:firstLine="0" w:firstLineChars="0"/>
      <w:outlineLvl w:val="1"/>
    </w:pPr>
    <w:rPr>
      <w:b/>
      <w:bCs/>
      <w:sz w:val="30"/>
      <w:szCs w:val="32"/>
    </w:rPr>
  </w:style>
  <w:style w:type="paragraph" w:styleId="4">
    <w:name w:val="heading 3"/>
    <w:basedOn w:val="1"/>
    <w:next w:val="1"/>
    <w:link w:val="82"/>
    <w:qFormat/>
    <w:uiPriority w:val="0"/>
    <w:pPr>
      <w:keepNext/>
      <w:keepLines/>
      <w:numPr>
        <w:ilvl w:val="2"/>
        <w:numId w:val="1"/>
      </w:numPr>
      <w:spacing w:before="120" w:after="120"/>
      <w:ind w:firstLine="0" w:firstLineChars="0"/>
      <w:outlineLvl w:val="2"/>
    </w:pPr>
    <w:rPr>
      <w:b/>
      <w:bCs/>
      <w:sz w:val="28"/>
      <w:szCs w:val="28"/>
    </w:rPr>
  </w:style>
  <w:style w:type="paragraph" w:styleId="5">
    <w:name w:val="heading 4"/>
    <w:basedOn w:val="1"/>
    <w:next w:val="1"/>
    <w:link w:val="59"/>
    <w:qFormat/>
    <w:uiPriority w:val="0"/>
    <w:pPr>
      <w:keepNext/>
      <w:keepLines/>
      <w:numPr>
        <w:ilvl w:val="3"/>
        <w:numId w:val="1"/>
      </w:numPr>
      <w:spacing w:before="120" w:after="120"/>
      <w:ind w:left="851" w:firstLine="0" w:firstLineChars="0"/>
      <w:outlineLvl w:val="3"/>
    </w:pPr>
    <w:rPr>
      <w:b/>
      <w:bCs/>
      <w:sz w:val="30"/>
      <w:szCs w:val="30"/>
    </w:rPr>
  </w:style>
  <w:style w:type="paragraph" w:styleId="6">
    <w:name w:val="heading 5"/>
    <w:basedOn w:val="1"/>
    <w:next w:val="1"/>
    <w:link w:val="87"/>
    <w:qFormat/>
    <w:uiPriority w:val="0"/>
    <w:pPr>
      <w:keepNext/>
      <w:keepLines/>
      <w:numPr>
        <w:ilvl w:val="4"/>
        <w:numId w:val="1"/>
      </w:numPr>
      <w:spacing w:before="120" w:after="120"/>
      <w:ind w:left="0" w:firstLine="0" w:firstLineChars="0"/>
      <w:outlineLvl w:val="4"/>
    </w:pPr>
    <w:rPr>
      <w:b/>
      <w:bCs/>
      <w:szCs w:val="28"/>
    </w:rPr>
  </w:style>
  <w:style w:type="paragraph" w:styleId="7">
    <w:name w:val="heading 6"/>
    <w:basedOn w:val="1"/>
    <w:next w:val="1"/>
    <w:link w:val="100"/>
    <w:qFormat/>
    <w:uiPriority w:val="0"/>
    <w:pPr>
      <w:keepNext/>
      <w:keepLines/>
      <w:numPr>
        <w:ilvl w:val="5"/>
        <w:numId w:val="1"/>
      </w:numPr>
      <w:spacing w:before="120" w:after="120"/>
      <w:ind w:firstLine="0" w:firstLineChars="0"/>
      <w:outlineLvl w:val="5"/>
    </w:pPr>
    <w:rPr>
      <w:rFonts w:ascii="Cambria" w:hAnsi="Cambria"/>
      <w:b/>
      <w:bCs/>
    </w:rPr>
  </w:style>
  <w:style w:type="paragraph" w:styleId="8">
    <w:name w:val="heading 7"/>
    <w:basedOn w:val="1"/>
    <w:next w:val="1"/>
    <w:link w:val="73"/>
    <w:qFormat/>
    <w:uiPriority w:val="9"/>
    <w:pPr>
      <w:keepNext/>
      <w:keepLines/>
      <w:spacing w:before="240" w:after="64" w:line="319" w:lineRule="auto"/>
      <w:ind w:firstLine="0" w:firstLineChars="0"/>
      <w:outlineLvl w:val="6"/>
    </w:pPr>
    <w:rPr>
      <w:rFonts w:ascii="Times New Roman" w:hAnsi="Times New Roman"/>
      <w:b/>
      <w:bCs/>
      <w:sz w:val="21"/>
    </w:rPr>
  </w:style>
  <w:style w:type="paragraph" w:styleId="9">
    <w:name w:val="heading 8"/>
    <w:basedOn w:val="1"/>
    <w:next w:val="1"/>
    <w:link w:val="99"/>
    <w:qFormat/>
    <w:uiPriority w:val="9"/>
    <w:pPr>
      <w:keepNext/>
      <w:keepLines/>
      <w:spacing w:before="240" w:after="64" w:line="319" w:lineRule="auto"/>
      <w:ind w:firstLine="0" w:firstLineChars="0"/>
      <w:outlineLvl w:val="7"/>
    </w:pPr>
    <w:rPr>
      <w:rFonts w:ascii="Cambria" w:hAnsi="Cambria"/>
      <w:sz w:val="21"/>
    </w:rPr>
  </w:style>
  <w:style w:type="paragraph" w:styleId="10">
    <w:name w:val="heading 9"/>
    <w:basedOn w:val="1"/>
    <w:next w:val="1"/>
    <w:link w:val="49"/>
    <w:qFormat/>
    <w:uiPriority w:val="9"/>
    <w:pPr>
      <w:keepNext/>
      <w:keepLines/>
      <w:spacing w:before="240" w:after="64" w:line="319" w:lineRule="auto"/>
      <w:ind w:firstLine="0" w:firstLineChars="0"/>
      <w:outlineLvl w:val="8"/>
    </w:pPr>
    <w:rPr>
      <w:rFonts w:ascii="Cambria" w:hAnsi="Cambria"/>
      <w:sz w:val="21"/>
      <w:szCs w:val="21"/>
    </w:rPr>
  </w:style>
  <w:style w:type="character" w:default="1" w:styleId="37">
    <w:name w:val="Default Paragraph Font"/>
    <w:semiHidden/>
    <w:unhideWhenUsed/>
    <w:qFormat/>
    <w:uiPriority w:val="1"/>
  </w:style>
  <w:style w:type="table" w:default="1" w:styleId="3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ind w:left="2520" w:leftChars="1200"/>
    </w:pPr>
    <w:rPr>
      <w:rFonts w:ascii="等线" w:hAnsi="等线" w:eastAsia="等线"/>
      <w:szCs w:val="22"/>
    </w:rPr>
  </w:style>
  <w:style w:type="paragraph" w:styleId="12">
    <w:name w:val="Normal Indent"/>
    <w:basedOn w:val="1"/>
    <w:unhideWhenUsed/>
    <w:qFormat/>
    <w:uiPriority w:val="99"/>
    <w:pPr>
      <w:spacing w:line="240" w:lineRule="auto"/>
      <w:ind w:firstLine="420"/>
    </w:pPr>
    <w:rPr>
      <w:rFonts w:ascii="Calibri" w:hAnsi="Calibri"/>
      <w:sz w:val="21"/>
    </w:rPr>
  </w:style>
  <w:style w:type="paragraph" w:styleId="13">
    <w:name w:val="caption"/>
    <w:basedOn w:val="1"/>
    <w:next w:val="1"/>
    <w:link w:val="55"/>
    <w:qFormat/>
    <w:uiPriority w:val="0"/>
    <w:pPr>
      <w:spacing w:afterLines="50"/>
      <w:ind w:firstLine="200"/>
    </w:pPr>
    <w:rPr>
      <w:rFonts w:ascii="Arial" w:hAnsi="Arial" w:eastAsia="黑体"/>
      <w:sz w:val="20"/>
      <w:szCs w:val="20"/>
    </w:rPr>
  </w:style>
  <w:style w:type="paragraph" w:styleId="14">
    <w:name w:val="Document Map"/>
    <w:basedOn w:val="1"/>
    <w:link w:val="92"/>
    <w:qFormat/>
    <w:uiPriority w:val="0"/>
    <w:rPr>
      <w:rFonts w:hAnsi="Times New Roman"/>
      <w:sz w:val="18"/>
      <w:szCs w:val="18"/>
    </w:rPr>
  </w:style>
  <w:style w:type="paragraph" w:styleId="15">
    <w:name w:val="annotation text"/>
    <w:basedOn w:val="1"/>
    <w:link w:val="46"/>
    <w:qFormat/>
    <w:uiPriority w:val="99"/>
    <w:pPr>
      <w:jc w:val="left"/>
    </w:pPr>
    <w:rPr>
      <w:rFonts w:ascii="Times New Roman" w:hAnsi="Times New Roman" w:eastAsia="仿宋"/>
      <w:sz w:val="28"/>
    </w:rPr>
  </w:style>
  <w:style w:type="paragraph" w:styleId="16">
    <w:name w:val="Body Text"/>
    <w:basedOn w:val="1"/>
    <w:link w:val="60"/>
    <w:unhideWhenUsed/>
    <w:qFormat/>
    <w:uiPriority w:val="0"/>
    <w:pPr>
      <w:spacing w:after="120" w:line="240" w:lineRule="auto"/>
      <w:ind w:firstLine="0" w:firstLineChars="0"/>
    </w:pPr>
    <w:rPr>
      <w:rFonts w:ascii="Times New Roman" w:hAnsi="Times New Roman"/>
      <w:sz w:val="21"/>
    </w:rPr>
  </w:style>
  <w:style w:type="paragraph" w:styleId="17">
    <w:name w:val="Body Text Indent"/>
    <w:basedOn w:val="1"/>
    <w:link w:val="86"/>
    <w:qFormat/>
    <w:uiPriority w:val="0"/>
    <w:pPr>
      <w:spacing w:after="120"/>
      <w:ind w:firstLine="200"/>
    </w:pPr>
    <w:rPr>
      <w:rFonts w:ascii="Times New Roman" w:hAnsi="Times New Roman"/>
      <w:sz w:val="21"/>
      <w:szCs w:val="20"/>
    </w:rPr>
  </w:style>
  <w:style w:type="paragraph" w:styleId="18">
    <w:name w:val="toc 5"/>
    <w:basedOn w:val="1"/>
    <w:next w:val="1"/>
    <w:unhideWhenUsed/>
    <w:qFormat/>
    <w:uiPriority w:val="39"/>
    <w:pPr>
      <w:ind w:left="1680" w:leftChars="800"/>
    </w:pPr>
    <w:rPr>
      <w:rFonts w:ascii="等线" w:hAnsi="等线" w:eastAsia="等线"/>
      <w:szCs w:val="22"/>
    </w:rPr>
  </w:style>
  <w:style w:type="paragraph" w:styleId="19">
    <w:name w:val="toc 3"/>
    <w:basedOn w:val="1"/>
    <w:next w:val="1"/>
    <w:qFormat/>
    <w:uiPriority w:val="39"/>
    <w:pPr>
      <w:tabs>
        <w:tab w:val="right" w:leader="dot" w:pos="8302"/>
      </w:tabs>
      <w:ind w:left="840" w:leftChars="400"/>
    </w:pPr>
  </w:style>
  <w:style w:type="paragraph" w:styleId="20">
    <w:name w:val="Plain Text"/>
    <w:basedOn w:val="1"/>
    <w:link w:val="67"/>
    <w:qFormat/>
    <w:uiPriority w:val="0"/>
    <w:pPr>
      <w:spacing w:line="240" w:lineRule="auto"/>
      <w:ind w:firstLine="0" w:firstLineChars="0"/>
    </w:pPr>
    <w:rPr>
      <w:rFonts w:hAnsi="Courier New"/>
      <w:sz w:val="21"/>
      <w:szCs w:val="20"/>
    </w:rPr>
  </w:style>
  <w:style w:type="paragraph" w:styleId="21">
    <w:name w:val="toc 8"/>
    <w:basedOn w:val="1"/>
    <w:next w:val="1"/>
    <w:unhideWhenUsed/>
    <w:qFormat/>
    <w:uiPriority w:val="39"/>
    <w:pPr>
      <w:ind w:left="2940" w:leftChars="1400"/>
    </w:pPr>
    <w:rPr>
      <w:rFonts w:ascii="等线" w:hAnsi="等线" w:eastAsia="等线"/>
      <w:szCs w:val="22"/>
    </w:rPr>
  </w:style>
  <w:style w:type="paragraph" w:styleId="22">
    <w:name w:val="Date"/>
    <w:basedOn w:val="1"/>
    <w:next w:val="1"/>
    <w:link w:val="48"/>
    <w:qFormat/>
    <w:uiPriority w:val="0"/>
    <w:pPr>
      <w:ind w:left="100" w:leftChars="2500"/>
    </w:pPr>
    <w:rPr>
      <w:rFonts w:ascii="Times New Roman" w:hAnsi="Times New Roman"/>
      <w:sz w:val="21"/>
    </w:rPr>
  </w:style>
  <w:style w:type="paragraph" w:styleId="23">
    <w:name w:val="Balloon Text"/>
    <w:basedOn w:val="1"/>
    <w:link w:val="97"/>
    <w:qFormat/>
    <w:uiPriority w:val="0"/>
    <w:rPr>
      <w:rFonts w:ascii="Times New Roman" w:hAnsi="Times New Roman"/>
      <w:sz w:val="18"/>
      <w:szCs w:val="18"/>
    </w:rPr>
  </w:style>
  <w:style w:type="paragraph" w:styleId="24">
    <w:name w:val="footer"/>
    <w:basedOn w:val="1"/>
    <w:link w:val="90"/>
    <w:qFormat/>
    <w:uiPriority w:val="99"/>
    <w:pPr>
      <w:tabs>
        <w:tab w:val="center" w:pos="4153"/>
        <w:tab w:val="right" w:pos="8306"/>
      </w:tabs>
      <w:snapToGrid w:val="0"/>
      <w:jc w:val="center"/>
    </w:pPr>
    <w:rPr>
      <w:rFonts w:ascii="Times New Roman" w:hAnsi="Times New Roman"/>
      <w:sz w:val="18"/>
      <w:szCs w:val="18"/>
    </w:rPr>
  </w:style>
  <w:style w:type="paragraph" w:styleId="25">
    <w:name w:val="header"/>
    <w:basedOn w:val="1"/>
    <w:link w:val="98"/>
    <w:qFormat/>
    <w:uiPriority w:val="99"/>
    <w:pPr>
      <w:pBdr>
        <w:bottom w:val="single" w:color="auto" w:sz="4" w:space="0"/>
      </w:pBdr>
      <w:tabs>
        <w:tab w:val="center" w:pos="4153"/>
        <w:tab w:val="right" w:pos="8306"/>
      </w:tabs>
      <w:snapToGrid w:val="0"/>
      <w:jc w:val="center"/>
    </w:pPr>
    <w:rPr>
      <w:rFonts w:ascii="Times New Roman" w:hAnsi="Times New Roman"/>
      <w:sz w:val="18"/>
      <w:szCs w:val="18"/>
    </w:rPr>
  </w:style>
  <w:style w:type="paragraph" w:styleId="26">
    <w:name w:val="toc 1"/>
    <w:basedOn w:val="1"/>
    <w:next w:val="1"/>
    <w:qFormat/>
    <w:uiPriority w:val="39"/>
  </w:style>
  <w:style w:type="paragraph" w:styleId="27">
    <w:name w:val="toc 4"/>
    <w:basedOn w:val="1"/>
    <w:next w:val="1"/>
    <w:unhideWhenUsed/>
    <w:qFormat/>
    <w:uiPriority w:val="39"/>
    <w:pPr>
      <w:ind w:left="1260" w:leftChars="600"/>
    </w:pPr>
    <w:rPr>
      <w:rFonts w:ascii="等线" w:hAnsi="等线" w:eastAsia="等线"/>
      <w:szCs w:val="22"/>
    </w:rPr>
  </w:style>
  <w:style w:type="paragraph" w:styleId="28">
    <w:name w:val="Subtitle"/>
    <w:basedOn w:val="1"/>
    <w:next w:val="1"/>
    <w:link w:val="88"/>
    <w:qFormat/>
    <w:uiPriority w:val="0"/>
    <w:pPr>
      <w:spacing w:before="240" w:after="60" w:line="312" w:lineRule="auto"/>
      <w:jc w:val="center"/>
      <w:outlineLvl w:val="1"/>
    </w:pPr>
    <w:rPr>
      <w:rFonts w:ascii="Calibri Light" w:hAnsi="Calibri Light"/>
      <w:b/>
      <w:bCs/>
      <w:kern w:val="28"/>
      <w:sz w:val="32"/>
      <w:szCs w:val="32"/>
    </w:rPr>
  </w:style>
  <w:style w:type="paragraph" w:styleId="29">
    <w:name w:val="toc 6"/>
    <w:basedOn w:val="1"/>
    <w:next w:val="1"/>
    <w:unhideWhenUsed/>
    <w:qFormat/>
    <w:uiPriority w:val="39"/>
    <w:pPr>
      <w:ind w:left="2100" w:leftChars="1000"/>
    </w:pPr>
    <w:rPr>
      <w:rFonts w:ascii="等线" w:hAnsi="等线" w:eastAsia="等线"/>
      <w:szCs w:val="22"/>
    </w:rPr>
  </w:style>
  <w:style w:type="paragraph" w:styleId="30">
    <w:name w:val="toc 2"/>
    <w:basedOn w:val="1"/>
    <w:next w:val="1"/>
    <w:qFormat/>
    <w:uiPriority w:val="39"/>
    <w:pPr>
      <w:tabs>
        <w:tab w:val="right" w:leader="dot" w:pos="8302"/>
      </w:tabs>
      <w:ind w:left="420" w:leftChars="200"/>
    </w:pPr>
  </w:style>
  <w:style w:type="paragraph" w:styleId="31">
    <w:name w:val="toc 9"/>
    <w:basedOn w:val="1"/>
    <w:next w:val="1"/>
    <w:unhideWhenUsed/>
    <w:qFormat/>
    <w:uiPriority w:val="39"/>
    <w:pPr>
      <w:ind w:left="3360" w:leftChars="1600"/>
    </w:pPr>
    <w:rPr>
      <w:rFonts w:ascii="等线" w:hAnsi="等线" w:eastAsia="等线"/>
      <w:szCs w:val="22"/>
    </w:rPr>
  </w:style>
  <w:style w:type="paragraph" w:styleId="32">
    <w:name w:val="Normal (Web)"/>
    <w:basedOn w:val="1"/>
    <w:qFormat/>
    <w:uiPriority w:val="99"/>
    <w:pPr>
      <w:widowControl/>
      <w:spacing w:before="100" w:after="100"/>
      <w:jc w:val="left"/>
    </w:pPr>
    <w:rPr>
      <w:rFonts w:hint="eastAsia" w:ascii="Arial Unicode MS" w:hAnsi="Arial Unicode MS" w:eastAsia="Arial Unicode MS"/>
      <w:kern w:val="0"/>
    </w:rPr>
  </w:style>
  <w:style w:type="paragraph" w:styleId="33">
    <w:name w:val="Title"/>
    <w:basedOn w:val="1"/>
    <w:next w:val="1"/>
    <w:link w:val="96"/>
    <w:qFormat/>
    <w:uiPriority w:val="0"/>
    <w:pPr>
      <w:spacing w:before="240" w:after="60" w:line="960" w:lineRule="auto"/>
      <w:jc w:val="center"/>
    </w:pPr>
    <w:rPr>
      <w:rFonts w:ascii="Cambria" w:hAnsi="Cambria" w:eastAsia="黑体"/>
      <w:b/>
      <w:bCs/>
      <w:sz w:val="52"/>
      <w:szCs w:val="32"/>
    </w:rPr>
  </w:style>
  <w:style w:type="paragraph" w:styleId="34">
    <w:name w:val="annotation subject"/>
    <w:basedOn w:val="15"/>
    <w:next w:val="15"/>
    <w:link w:val="84"/>
    <w:qFormat/>
    <w:uiPriority w:val="0"/>
    <w:rPr>
      <w:b/>
      <w:bCs/>
      <w:sz w:val="21"/>
    </w:rPr>
  </w:style>
  <w:style w:type="table" w:styleId="36">
    <w:name w:val="Table Grid"/>
    <w:basedOn w:val="35"/>
    <w:qFormat/>
    <w:uiPriority w:val="59"/>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8">
    <w:name w:val="Strong"/>
    <w:basedOn w:val="37"/>
    <w:qFormat/>
    <w:uiPriority w:val="0"/>
    <w:rPr>
      <w:b/>
    </w:rPr>
  </w:style>
  <w:style w:type="character" w:styleId="39">
    <w:name w:val="page number"/>
    <w:basedOn w:val="37"/>
    <w:qFormat/>
    <w:uiPriority w:val="0"/>
  </w:style>
  <w:style w:type="character" w:styleId="40">
    <w:name w:val="FollowedHyperlink"/>
    <w:unhideWhenUsed/>
    <w:qFormat/>
    <w:uiPriority w:val="99"/>
    <w:rPr>
      <w:color w:val="954F72"/>
      <w:u w:val="single"/>
    </w:rPr>
  </w:style>
  <w:style w:type="character" w:styleId="41">
    <w:name w:val="Hyperlink"/>
    <w:qFormat/>
    <w:uiPriority w:val="99"/>
    <w:rPr>
      <w:color w:val="0000FF"/>
      <w:u w:val="single"/>
    </w:rPr>
  </w:style>
  <w:style w:type="character" w:styleId="42">
    <w:name w:val="annotation reference"/>
    <w:qFormat/>
    <w:uiPriority w:val="99"/>
    <w:rPr>
      <w:sz w:val="21"/>
      <w:szCs w:val="21"/>
    </w:rPr>
  </w:style>
  <w:style w:type="character" w:customStyle="1" w:styleId="43">
    <w:name w:val="标题 3 字符1"/>
    <w:qFormat/>
    <w:uiPriority w:val="0"/>
    <w:rPr>
      <w:rFonts w:ascii="宋体" w:hAnsi="宋体"/>
      <w:b/>
      <w:bCs/>
      <w:kern w:val="2"/>
      <w:sz w:val="28"/>
      <w:szCs w:val="28"/>
    </w:rPr>
  </w:style>
  <w:style w:type="character" w:customStyle="1" w:styleId="44">
    <w:name w:val="首行缩进正文 Char"/>
    <w:link w:val="45"/>
    <w:qFormat/>
    <w:uiPriority w:val="0"/>
    <w:rPr>
      <w:kern w:val="2"/>
      <w:sz w:val="24"/>
    </w:rPr>
  </w:style>
  <w:style w:type="paragraph" w:customStyle="1" w:styleId="45">
    <w:name w:val="首行缩进正文"/>
    <w:basedOn w:val="1"/>
    <w:link w:val="44"/>
    <w:qFormat/>
    <w:uiPriority w:val="0"/>
    <w:pPr>
      <w:widowControl/>
      <w:adjustRightInd w:val="0"/>
      <w:snapToGrid w:val="0"/>
      <w:spacing w:afterLines="50" w:line="276" w:lineRule="auto"/>
      <w:ind w:firstLine="420" w:firstLineChars="0"/>
      <w:jc w:val="left"/>
    </w:pPr>
    <w:rPr>
      <w:rFonts w:ascii="Times New Roman" w:hAnsi="Times New Roman"/>
      <w:szCs w:val="20"/>
    </w:rPr>
  </w:style>
  <w:style w:type="character" w:customStyle="1" w:styleId="46">
    <w:name w:val="批注文字 Char"/>
    <w:link w:val="15"/>
    <w:qFormat/>
    <w:uiPriority w:val="99"/>
    <w:rPr>
      <w:rFonts w:eastAsia="仿宋"/>
      <w:kern w:val="2"/>
      <w:sz w:val="28"/>
      <w:szCs w:val="24"/>
    </w:rPr>
  </w:style>
  <w:style w:type="character" w:customStyle="1" w:styleId="47">
    <w:name w:val="日期 字符"/>
    <w:semiHidden/>
    <w:qFormat/>
    <w:uiPriority w:val="99"/>
    <w:rPr>
      <w:rFonts w:ascii="宋体" w:hAnsi="宋体"/>
      <w:kern w:val="2"/>
      <w:sz w:val="24"/>
      <w:szCs w:val="24"/>
    </w:rPr>
  </w:style>
  <w:style w:type="character" w:customStyle="1" w:styleId="48">
    <w:name w:val="日期 Char"/>
    <w:link w:val="22"/>
    <w:qFormat/>
    <w:uiPriority w:val="0"/>
    <w:rPr>
      <w:kern w:val="2"/>
      <w:sz w:val="21"/>
      <w:szCs w:val="24"/>
    </w:rPr>
  </w:style>
  <w:style w:type="character" w:customStyle="1" w:styleId="49">
    <w:name w:val="标题 9 Char"/>
    <w:link w:val="10"/>
    <w:qFormat/>
    <w:uiPriority w:val="9"/>
    <w:rPr>
      <w:rFonts w:ascii="Cambria" w:hAnsi="Cambria"/>
      <w:kern w:val="2"/>
      <w:sz w:val="21"/>
      <w:szCs w:val="21"/>
    </w:rPr>
  </w:style>
  <w:style w:type="character" w:customStyle="1" w:styleId="50">
    <w:name w:val="未处理的提及1"/>
    <w:unhideWhenUsed/>
    <w:qFormat/>
    <w:uiPriority w:val="99"/>
    <w:rPr>
      <w:color w:val="605E5C"/>
      <w:shd w:val="clear" w:color="auto" w:fill="E1DFDD"/>
    </w:rPr>
  </w:style>
  <w:style w:type="character" w:customStyle="1" w:styleId="51">
    <w:name w:val="标题 1 字符"/>
    <w:qFormat/>
    <w:uiPriority w:val="9"/>
    <w:rPr>
      <w:rFonts w:ascii="宋体" w:hAnsi="宋体"/>
      <w:b/>
      <w:bCs/>
      <w:kern w:val="44"/>
      <w:sz w:val="44"/>
      <w:szCs w:val="44"/>
    </w:rPr>
  </w:style>
  <w:style w:type="character" w:customStyle="1" w:styleId="52">
    <w:name w:val="标题 3 字符"/>
    <w:semiHidden/>
    <w:qFormat/>
    <w:uiPriority w:val="9"/>
    <w:rPr>
      <w:rFonts w:ascii="宋体" w:hAnsi="宋体"/>
      <w:b/>
      <w:bCs/>
      <w:kern w:val="2"/>
      <w:sz w:val="32"/>
      <w:szCs w:val="32"/>
    </w:rPr>
  </w:style>
  <w:style w:type="character" w:customStyle="1" w:styleId="53">
    <w:name w:val="页脚 字符"/>
    <w:qFormat/>
    <w:uiPriority w:val="99"/>
  </w:style>
  <w:style w:type="character" w:customStyle="1" w:styleId="54">
    <w:name w:val="标题 5 字符"/>
    <w:semiHidden/>
    <w:qFormat/>
    <w:uiPriority w:val="9"/>
    <w:rPr>
      <w:rFonts w:ascii="宋体" w:hAnsi="宋体"/>
      <w:b/>
      <w:bCs/>
      <w:kern w:val="2"/>
      <w:sz w:val="28"/>
      <w:szCs w:val="28"/>
    </w:rPr>
  </w:style>
  <w:style w:type="character" w:customStyle="1" w:styleId="55">
    <w:name w:val="题注 Char"/>
    <w:link w:val="13"/>
    <w:qFormat/>
    <w:locked/>
    <w:uiPriority w:val="0"/>
    <w:rPr>
      <w:rFonts w:ascii="Arial" w:hAnsi="Arial" w:eastAsia="黑体"/>
      <w:kern w:val="2"/>
    </w:rPr>
  </w:style>
  <w:style w:type="character" w:customStyle="1" w:styleId="56">
    <w:name w:val="标题 2 字符"/>
    <w:semiHidden/>
    <w:qFormat/>
    <w:uiPriority w:val="9"/>
    <w:rPr>
      <w:rFonts w:ascii="等线 Light" w:hAnsi="等线 Light" w:eastAsia="等线 Light" w:cs="Times New Roman"/>
      <w:b/>
      <w:bCs/>
      <w:kern w:val="2"/>
      <w:sz w:val="32"/>
      <w:szCs w:val="32"/>
    </w:rPr>
  </w:style>
  <w:style w:type="character" w:customStyle="1" w:styleId="57">
    <w:name w:val="纯文本 字符"/>
    <w:qFormat/>
    <w:uiPriority w:val="0"/>
    <w:rPr>
      <w:rFonts w:ascii="宋体" w:hAnsi="Courier New" w:cs="Courier New"/>
      <w:kern w:val="2"/>
      <w:sz w:val="21"/>
      <w:szCs w:val="21"/>
    </w:rPr>
  </w:style>
  <w:style w:type="character" w:customStyle="1" w:styleId="58">
    <w:name w:val="列表段落 字符"/>
    <w:qFormat/>
    <w:uiPriority w:val="34"/>
    <w:rPr>
      <w:kern w:val="2"/>
      <w:sz w:val="21"/>
      <w:szCs w:val="22"/>
    </w:rPr>
  </w:style>
  <w:style w:type="character" w:customStyle="1" w:styleId="59">
    <w:name w:val="标题 4 Char"/>
    <w:link w:val="5"/>
    <w:qFormat/>
    <w:uiPriority w:val="0"/>
    <w:rPr>
      <w:rFonts w:ascii="宋体" w:hAnsi="宋体"/>
      <w:b/>
      <w:bCs/>
      <w:kern w:val="2"/>
      <w:sz w:val="30"/>
      <w:szCs w:val="30"/>
    </w:rPr>
  </w:style>
  <w:style w:type="character" w:customStyle="1" w:styleId="60">
    <w:name w:val="正文文本 Char"/>
    <w:link w:val="16"/>
    <w:qFormat/>
    <w:uiPriority w:val="0"/>
    <w:rPr>
      <w:kern w:val="2"/>
      <w:sz w:val="21"/>
      <w:szCs w:val="24"/>
    </w:rPr>
  </w:style>
  <w:style w:type="character" w:customStyle="1" w:styleId="61">
    <w:name w:val="列出段落 Char"/>
    <w:link w:val="62"/>
    <w:qFormat/>
    <w:uiPriority w:val="34"/>
    <w:rPr>
      <w:kern w:val="2"/>
      <w:sz w:val="21"/>
      <w:szCs w:val="24"/>
    </w:rPr>
  </w:style>
  <w:style w:type="paragraph" w:styleId="62">
    <w:name w:val="List Paragraph"/>
    <w:basedOn w:val="1"/>
    <w:link w:val="61"/>
    <w:qFormat/>
    <w:uiPriority w:val="34"/>
    <w:pPr>
      <w:ind w:firstLine="420"/>
    </w:pPr>
    <w:rPr>
      <w:rFonts w:ascii="Times New Roman" w:hAnsi="Times New Roman"/>
      <w:sz w:val="21"/>
    </w:rPr>
  </w:style>
  <w:style w:type="character" w:customStyle="1" w:styleId="63">
    <w:name w:val="font21"/>
    <w:qFormat/>
    <w:uiPriority w:val="0"/>
    <w:rPr>
      <w:rFonts w:ascii="Calibri" w:hAnsi="Calibri" w:cs="Calibri"/>
      <w:color w:val="000000"/>
      <w:sz w:val="21"/>
      <w:szCs w:val="21"/>
      <w:u w:val="none"/>
    </w:rPr>
  </w:style>
  <w:style w:type="character" w:customStyle="1" w:styleId="64">
    <w:name w:val="*正文 Char"/>
    <w:link w:val="65"/>
    <w:qFormat/>
    <w:uiPriority w:val="0"/>
    <w:rPr>
      <w:rFonts w:ascii="time" w:hAnsi="time"/>
      <w:sz w:val="24"/>
      <w:szCs w:val="24"/>
      <w:lang w:bidi="en-US"/>
    </w:rPr>
  </w:style>
  <w:style w:type="paragraph" w:customStyle="1" w:styleId="65">
    <w:name w:val="*正文"/>
    <w:basedOn w:val="1"/>
    <w:link w:val="64"/>
    <w:qFormat/>
    <w:uiPriority w:val="0"/>
    <w:pPr>
      <w:widowControl/>
      <w:ind w:firstLine="200"/>
      <w:contextualSpacing/>
    </w:pPr>
    <w:rPr>
      <w:rFonts w:ascii="time" w:hAnsi="time"/>
      <w:kern w:val="0"/>
      <w:lang w:bidi="en-US"/>
    </w:rPr>
  </w:style>
  <w:style w:type="character" w:customStyle="1" w:styleId="66">
    <w:name w:val="正文文本缩进 字符"/>
    <w:semiHidden/>
    <w:qFormat/>
    <w:uiPriority w:val="99"/>
    <w:rPr>
      <w:rFonts w:ascii="宋体" w:hAnsi="宋体"/>
      <w:kern w:val="2"/>
      <w:sz w:val="24"/>
      <w:szCs w:val="24"/>
    </w:rPr>
  </w:style>
  <w:style w:type="character" w:customStyle="1" w:styleId="67">
    <w:name w:val="纯文本 Char"/>
    <w:link w:val="20"/>
    <w:qFormat/>
    <w:locked/>
    <w:uiPriority w:val="0"/>
    <w:rPr>
      <w:rFonts w:ascii="宋体" w:hAnsi="Courier New"/>
      <w:kern w:val="2"/>
      <w:sz w:val="21"/>
    </w:rPr>
  </w:style>
  <w:style w:type="character" w:customStyle="1" w:styleId="68">
    <w:name w:val="my正文 Char"/>
    <w:link w:val="69"/>
    <w:qFormat/>
    <w:uiPriority w:val="0"/>
    <w:rPr>
      <w:kern w:val="2"/>
      <w:sz w:val="21"/>
      <w:szCs w:val="24"/>
    </w:rPr>
  </w:style>
  <w:style w:type="paragraph" w:customStyle="1" w:styleId="69">
    <w:name w:val="my正文"/>
    <w:basedOn w:val="1"/>
    <w:link w:val="68"/>
    <w:qFormat/>
    <w:uiPriority w:val="0"/>
    <w:pPr>
      <w:spacing w:line="240" w:lineRule="auto"/>
      <w:ind w:firstLine="0" w:firstLineChars="0"/>
    </w:pPr>
    <w:rPr>
      <w:rFonts w:ascii="Times New Roman" w:hAnsi="Times New Roman"/>
      <w:sz w:val="21"/>
    </w:rPr>
  </w:style>
  <w:style w:type="character" w:customStyle="1" w:styleId="70">
    <w:name w:val="正文2 字符"/>
    <w:link w:val="71"/>
    <w:qFormat/>
    <w:uiPriority w:val="0"/>
    <w:rPr>
      <w:kern w:val="2"/>
      <w:sz w:val="21"/>
      <w:szCs w:val="24"/>
    </w:rPr>
  </w:style>
  <w:style w:type="paragraph" w:customStyle="1" w:styleId="71">
    <w:name w:val="正文2"/>
    <w:basedOn w:val="1"/>
    <w:link w:val="70"/>
    <w:qFormat/>
    <w:uiPriority w:val="0"/>
    <w:pPr>
      <w:ind w:firstLine="420"/>
    </w:pPr>
    <w:rPr>
      <w:rFonts w:ascii="Times New Roman" w:hAnsi="Times New Roman"/>
      <w:sz w:val="21"/>
    </w:rPr>
  </w:style>
  <w:style w:type="character" w:customStyle="1" w:styleId="72">
    <w:name w:val="font41"/>
    <w:qFormat/>
    <w:uiPriority w:val="0"/>
    <w:rPr>
      <w:rFonts w:hint="eastAsia" w:ascii="宋体" w:hAnsi="宋体" w:eastAsia="宋体" w:cs="宋体"/>
      <w:color w:val="000000"/>
      <w:sz w:val="21"/>
      <w:szCs w:val="21"/>
      <w:u w:val="none"/>
    </w:rPr>
  </w:style>
  <w:style w:type="character" w:customStyle="1" w:styleId="73">
    <w:name w:val="标题 7 Char"/>
    <w:link w:val="8"/>
    <w:qFormat/>
    <w:uiPriority w:val="9"/>
    <w:rPr>
      <w:b/>
      <w:bCs/>
      <w:kern w:val="2"/>
      <w:sz w:val="21"/>
      <w:szCs w:val="24"/>
    </w:rPr>
  </w:style>
  <w:style w:type="character" w:customStyle="1" w:styleId="74">
    <w:name w:val="批注框文本 字符"/>
    <w:semiHidden/>
    <w:qFormat/>
    <w:uiPriority w:val="99"/>
    <w:rPr>
      <w:rFonts w:ascii="宋体" w:hAnsi="宋体"/>
      <w:kern w:val="2"/>
      <w:sz w:val="18"/>
      <w:szCs w:val="18"/>
    </w:rPr>
  </w:style>
  <w:style w:type="character" w:customStyle="1" w:styleId="75">
    <w:name w:val="副标题 Char1"/>
    <w:qFormat/>
    <w:uiPriority w:val="0"/>
    <w:rPr>
      <w:rFonts w:ascii="Calibri Light" w:hAnsi="Calibri Light" w:cs="Times New Roman"/>
      <w:b/>
      <w:bCs/>
      <w:kern w:val="28"/>
      <w:sz w:val="32"/>
      <w:szCs w:val="32"/>
    </w:rPr>
  </w:style>
  <w:style w:type="character" w:customStyle="1" w:styleId="76">
    <w:name w:val="标题 1 Char1"/>
    <w:link w:val="2"/>
    <w:qFormat/>
    <w:uiPriority w:val="0"/>
    <w:rPr>
      <w:rFonts w:ascii="宋体" w:hAnsi="宋体" w:eastAsia="黑体"/>
      <w:b/>
      <w:bCs/>
      <w:kern w:val="44"/>
      <w:sz w:val="32"/>
      <w:szCs w:val="28"/>
    </w:rPr>
  </w:style>
  <w:style w:type="character" w:customStyle="1" w:styleId="77">
    <w:name w:val="批注文字 字符"/>
    <w:qFormat/>
    <w:uiPriority w:val="99"/>
    <w:rPr>
      <w:rFonts w:ascii="宋体" w:hAnsi="宋体"/>
      <w:kern w:val="2"/>
      <w:sz w:val="24"/>
      <w:szCs w:val="24"/>
    </w:rPr>
  </w:style>
  <w:style w:type="character" w:customStyle="1" w:styleId="78">
    <w:name w:val="文档结构图 字符"/>
    <w:semiHidden/>
    <w:qFormat/>
    <w:uiPriority w:val="99"/>
    <w:rPr>
      <w:rFonts w:ascii="Microsoft YaHei UI" w:hAnsi="宋体" w:eastAsia="Microsoft YaHei UI"/>
      <w:kern w:val="2"/>
      <w:sz w:val="18"/>
      <w:szCs w:val="18"/>
    </w:rPr>
  </w:style>
  <w:style w:type="character" w:customStyle="1" w:styleId="79">
    <w:name w:val="标题 6 字符"/>
    <w:semiHidden/>
    <w:qFormat/>
    <w:uiPriority w:val="9"/>
    <w:rPr>
      <w:rFonts w:ascii="等线 Light" w:hAnsi="等线 Light" w:eastAsia="等线 Light" w:cs="Times New Roman"/>
      <w:b/>
      <w:bCs/>
      <w:kern w:val="2"/>
      <w:sz w:val="24"/>
      <w:szCs w:val="24"/>
    </w:rPr>
  </w:style>
  <w:style w:type="character" w:customStyle="1" w:styleId="80">
    <w:name w:val="正文正文2 Char"/>
    <w:link w:val="81"/>
    <w:qFormat/>
    <w:uiPriority w:val="0"/>
    <w:rPr>
      <w:rFonts w:ascii="宋体" w:hAnsi="宋体"/>
      <w:kern w:val="2"/>
      <w:sz w:val="21"/>
      <w:szCs w:val="21"/>
    </w:rPr>
  </w:style>
  <w:style w:type="paragraph" w:customStyle="1" w:styleId="81">
    <w:name w:val="正文正文2"/>
    <w:basedOn w:val="1"/>
    <w:link w:val="80"/>
    <w:qFormat/>
    <w:uiPriority w:val="0"/>
    <w:pPr>
      <w:ind w:firstLine="460"/>
    </w:pPr>
    <w:rPr>
      <w:sz w:val="21"/>
      <w:szCs w:val="21"/>
    </w:rPr>
  </w:style>
  <w:style w:type="character" w:customStyle="1" w:styleId="82">
    <w:name w:val="标题 3 Char"/>
    <w:link w:val="4"/>
    <w:qFormat/>
    <w:uiPriority w:val="0"/>
    <w:rPr>
      <w:rFonts w:ascii="宋体" w:hAnsi="宋体"/>
      <w:b/>
      <w:bCs/>
      <w:kern w:val="2"/>
      <w:sz w:val="28"/>
      <w:szCs w:val="28"/>
    </w:rPr>
  </w:style>
  <w:style w:type="character" w:customStyle="1" w:styleId="83">
    <w:name w:val="标题 4 字符"/>
    <w:semiHidden/>
    <w:qFormat/>
    <w:uiPriority w:val="9"/>
    <w:rPr>
      <w:rFonts w:ascii="等线 Light" w:hAnsi="等线 Light" w:eastAsia="等线 Light" w:cs="Times New Roman"/>
      <w:b/>
      <w:bCs/>
      <w:kern w:val="2"/>
      <w:sz w:val="28"/>
      <w:szCs w:val="28"/>
    </w:rPr>
  </w:style>
  <w:style w:type="character" w:customStyle="1" w:styleId="84">
    <w:name w:val="批注主题 Char"/>
    <w:link w:val="34"/>
    <w:qFormat/>
    <w:uiPriority w:val="0"/>
    <w:rPr>
      <w:rFonts w:eastAsia="仿宋"/>
      <w:b/>
      <w:bCs/>
      <w:kern w:val="2"/>
      <w:sz w:val="21"/>
      <w:szCs w:val="24"/>
    </w:rPr>
  </w:style>
  <w:style w:type="character" w:customStyle="1" w:styleId="85">
    <w:name w:val="页眉 字符"/>
    <w:semiHidden/>
    <w:qFormat/>
    <w:uiPriority w:val="99"/>
    <w:rPr>
      <w:rFonts w:ascii="宋体" w:hAnsi="宋体"/>
      <w:kern w:val="2"/>
      <w:sz w:val="18"/>
      <w:szCs w:val="18"/>
    </w:rPr>
  </w:style>
  <w:style w:type="character" w:customStyle="1" w:styleId="86">
    <w:name w:val="正文文本缩进 Char"/>
    <w:link w:val="17"/>
    <w:qFormat/>
    <w:uiPriority w:val="0"/>
    <w:rPr>
      <w:kern w:val="2"/>
      <w:sz w:val="21"/>
    </w:rPr>
  </w:style>
  <w:style w:type="character" w:customStyle="1" w:styleId="87">
    <w:name w:val="标题 5 Char"/>
    <w:link w:val="6"/>
    <w:qFormat/>
    <w:uiPriority w:val="0"/>
    <w:rPr>
      <w:rFonts w:ascii="宋体" w:hAnsi="宋体"/>
      <w:b/>
      <w:bCs/>
      <w:kern w:val="2"/>
      <w:sz w:val="24"/>
      <w:szCs w:val="28"/>
    </w:rPr>
  </w:style>
  <w:style w:type="character" w:customStyle="1" w:styleId="88">
    <w:name w:val="副标题 Char"/>
    <w:link w:val="28"/>
    <w:qFormat/>
    <w:uiPriority w:val="0"/>
    <w:rPr>
      <w:rFonts w:ascii="Calibri Light" w:hAnsi="Calibri Light"/>
      <w:b/>
      <w:bCs/>
      <w:kern w:val="28"/>
      <w:sz w:val="32"/>
      <w:szCs w:val="32"/>
    </w:rPr>
  </w:style>
  <w:style w:type="character" w:customStyle="1" w:styleId="89">
    <w:name w:val="标题 2 Char"/>
    <w:link w:val="3"/>
    <w:qFormat/>
    <w:uiPriority w:val="9"/>
    <w:rPr>
      <w:rFonts w:ascii="宋体" w:hAnsi="宋体"/>
      <w:b/>
      <w:bCs/>
      <w:kern w:val="2"/>
      <w:sz w:val="30"/>
      <w:szCs w:val="32"/>
    </w:rPr>
  </w:style>
  <w:style w:type="character" w:customStyle="1" w:styleId="90">
    <w:name w:val="页脚 Char"/>
    <w:link w:val="24"/>
    <w:qFormat/>
    <w:uiPriority w:val="99"/>
    <w:rPr>
      <w:kern w:val="2"/>
      <w:sz w:val="18"/>
      <w:szCs w:val="18"/>
    </w:rPr>
  </w:style>
  <w:style w:type="character" w:customStyle="1" w:styleId="91">
    <w:name w:val="批注主题 字符"/>
    <w:semiHidden/>
    <w:qFormat/>
    <w:uiPriority w:val="99"/>
    <w:rPr>
      <w:rFonts w:ascii="宋体" w:hAnsi="宋体"/>
      <w:b/>
      <w:bCs/>
      <w:kern w:val="2"/>
      <w:sz w:val="24"/>
      <w:szCs w:val="24"/>
    </w:rPr>
  </w:style>
  <w:style w:type="character" w:customStyle="1" w:styleId="92">
    <w:name w:val="文档结构图 Char"/>
    <w:link w:val="14"/>
    <w:qFormat/>
    <w:uiPriority w:val="0"/>
    <w:rPr>
      <w:rFonts w:ascii="宋体"/>
      <w:kern w:val="2"/>
      <w:sz w:val="18"/>
      <w:szCs w:val="18"/>
    </w:rPr>
  </w:style>
  <w:style w:type="character" w:customStyle="1" w:styleId="93">
    <w:name w:val="font31"/>
    <w:qFormat/>
    <w:uiPriority w:val="0"/>
    <w:rPr>
      <w:rFonts w:hint="eastAsia" w:ascii="宋体" w:hAnsi="宋体" w:eastAsia="宋体" w:cs="宋体"/>
      <w:color w:val="000000"/>
      <w:sz w:val="21"/>
      <w:szCs w:val="21"/>
      <w:u w:val="none"/>
    </w:rPr>
  </w:style>
  <w:style w:type="character" w:customStyle="1" w:styleId="94">
    <w:name w:val="标准正文 Char"/>
    <w:link w:val="95"/>
    <w:qFormat/>
    <w:uiPriority w:val="0"/>
    <w:rPr>
      <w:rFonts w:ascii="Arial" w:hAnsi="Arial"/>
      <w:kern w:val="2"/>
      <w:sz w:val="24"/>
    </w:rPr>
  </w:style>
  <w:style w:type="paragraph" w:customStyle="1" w:styleId="95">
    <w:name w:val="标准正文"/>
    <w:basedOn w:val="17"/>
    <w:link w:val="94"/>
    <w:qFormat/>
    <w:uiPriority w:val="0"/>
    <w:pPr>
      <w:spacing w:before="60" w:after="60"/>
      <w:ind w:firstLine="482" w:firstLineChars="0"/>
    </w:pPr>
    <w:rPr>
      <w:rFonts w:ascii="Arial" w:hAnsi="Arial"/>
      <w:sz w:val="24"/>
    </w:rPr>
  </w:style>
  <w:style w:type="character" w:customStyle="1" w:styleId="96">
    <w:name w:val="标题 Char"/>
    <w:link w:val="33"/>
    <w:qFormat/>
    <w:uiPriority w:val="0"/>
    <w:rPr>
      <w:rFonts w:ascii="Cambria" w:hAnsi="Cambria" w:eastAsia="黑体"/>
      <w:b/>
      <w:bCs/>
      <w:kern w:val="2"/>
      <w:sz w:val="52"/>
      <w:szCs w:val="32"/>
    </w:rPr>
  </w:style>
  <w:style w:type="character" w:customStyle="1" w:styleId="97">
    <w:name w:val="批注框文本 Char"/>
    <w:link w:val="23"/>
    <w:qFormat/>
    <w:uiPriority w:val="0"/>
    <w:rPr>
      <w:kern w:val="2"/>
      <w:sz w:val="18"/>
      <w:szCs w:val="18"/>
    </w:rPr>
  </w:style>
  <w:style w:type="character" w:customStyle="1" w:styleId="98">
    <w:name w:val="页眉 Char"/>
    <w:link w:val="25"/>
    <w:qFormat/>
    <w:uiPriority w:val="99"/>
    <w:rPr>
      <w:kern w:val="2"/>
      <w:sz w:val="18"/>
      <w:szCs w:val="18"/>
    </w:rPr>
  </w:style>
  <w:style w:type="character" w:customStyle="1" w:styleId="99">
    <w:name w:val="标题 8 Char"/>
    <w:link w:val="9"/>
    <w:qFormat/>
    <w:uiPriority w:val="9"/>
    <w:rPr>
      <w:rFonts w:ascii="Cambria" w:hAnsi="Cambria"/>
      <w:kern w:val="2"/>
      <w:sz w:val="21"/>
      <w:szCs w:val="24"/>
    </w:rPr>
  </w:style>
  <w:style w:type="character" w:customStyle="1" w:styleId="100">
    <w:name w:val="标题 6 Char"/>
    <w:link w:val="7"/>
    <w:qFormat/>
    <w:uiPriority w:val="0"/>
    <w:rPr>
      <w:rFonts w:ascii="Cambria" w:hAnsi="Cambria"/>
      <w:b/>
      <w:bCs/>
      <w:kern w:val="2"/>
      <w:sz w:val="24"/>
      <w:szCs w:val="24"/>
    </w:rPr>
  </w:style>
  <w:style w:type="character" w:customStyle="1" w:styleId="101">
    <w:name w:val="标题 字符"/>
    <w:qFormat/>
    <w:uiPriority w:val="10"/>
    <w:rPr>
      <w:rFonts w:ascii="等线 Light" w:hAnsi="等线 Light" w:eastAsia="等线 Light" w:cs="Times New Roman"/>
      <w:b/>
      <w:bCs/>
      <w:kern w:val="2"/>
      <w:sz w:val="32"/>
      <w:szCs w:val="32"/>
    </w:rPr>
  </w:style>
  <w:style w:type="character" w:customStyle="1" w:styleId="102">
    <w:name w:val="副标题 字符"/>
    <w:qFormat/>
    <w:uiPriority w:val="11"/>
    <w:rPr>
      <w:rFonts w:ascii="等线" w:hAnsi="等线" w:eastAsia="等线" w:cs="Times New Roman"/>
      <w:b/>
      <w:bCs/>
      <w:kern w:val="28"/>
      <w:sz w:val="32"/>
      <w:szCs w:val="32"/>
    </w:rPr>
  </w:style>
  <w:style w:type="paragraph" w:customStyle="1" w:styleId="103">
    <w:name w:val="xl72"/>
    <w:basedOn w:val="1"/>
    <w:qFormat/>
    <w:uiPriority w:val="0"/>
    <w:pPr>
      <w:widowControl/>
      <w:spacing w:before="100" w:beforeAutospacing="1" w:after="100" w:afterAutospacing="1" w:line="240" w:lineRule="auto"/>
      <w:ind w:firstLine="0" w:firstLineChars="0"/>
      <w:jc w:val="center"/>
    </w:pPr>
    <w:rPr>
      <w:rFonts w:cs="宋体"/>
      <w:kern w:val="0"/>
    </w:rPr>
  </w:style>
  <w:style w:type="paragraph" w:customStyle="1" w:styleId="104">
    <w:name w:val="正文（深信服）"/>
    <w:qFormat/>
    <w:uiPriority w:val="0"/>
    <w:pPr>
      <w:spacing w:line="360" w:lineRule="auto"/>
      <w:ind w:firstLine="420"/>
    </w:pPr>
    <w:rPr>
      <w:rFonts w:ascii="Arial" w:hAnsi="Arial" w:eastAsia="宋体" w:cs="Times New Roman"/>
      <w:sz w:val="24"/>
      <w:szCs w:val="21"/>
      <w:shd w:val="clear" w:color="auto" w:fill="FFFFFF"/>
      <w:lang w:val="en-US" w:eastAsia="zh-CN" w:bidi="ar-SA"/>
    </w:rPr>
  </w:style>
  <w:style w:type="paragraph" w:customStyle="1" w:styleId="105">
    <w:name w:val="xl70"/>
    <w:basedOn w:val="1"/>
    <w:qFormat/>
    <w:uiPriority w:val="0"/>
    <w:pPr>
      <w:widowControl/>
      <w:pBdr>
        <w:bottom w:val="single" w:color="auto" w:sz="4" w:space="0"/>
        <w:right w:val="single" w:color="auto" w:sz="4" w:space="0"/>
      </w:pBdr>
      <w:spacing w:before="100" w:beforeAutospacing="1" w:after="100" w:afterAutospacing="1" w:line="240" w:lineRule="auto"/>
      <w:ind w:firstLine="0" w:firstLineChars="0"/>
      <w:jc w:val="right"/>
      <w:textAlignment w:val="center"/>
    </w:pPr>
    <w:rPr>
      <w:rFonts w:ascii="Microsoft Sans Serif" w:hAnsi="Microsoft Sans Serif" w:cs="Microsoft Sans Serif"/>
      <w:kern w:val="0"/>
      <w:sz w:val="18"/>
      <w:szCs w:val="18"/>
    </w:rPr>
  </w:style>
  <w:style w:type="paragraph" w:customStyle="1" w:styleId="106">
    <w:name w:val="_Style 2"/>
    <w:basedOn w:val="2"/>
    <w:next w:val="1"/>
    <w:qFormat/>
    <w:uiPriority w:val="39"/>
    <w:pPr>
      <w:widowControl/>
      <w:numPr>
        <w:numId w:val="0"/>
      </w:numPr>
      <w:spacing w:before="480" w:after="0" w:line="276" w:lineRule="auto"/>
      <w:jc w:val="left"/>
      <w:outlineLvl w:val="9"/>
    </w:pPr>
    <w:rPr>
      <w:rFonts w:ascii="Cambria" w:hAnsi="Cambria" w:eastAsia="宋体"/>
      <w:color w:val="365F91"/>
      <w:kern w:val="0"/>
      <w:sz w:val="28"/>
    </w:rPr>
  </w:style>
  <w:style w:type="paragraph" w:customStyle="1" w:styleId="107">
    <w:name w:val="正文缩进1"/>
    <w:basedOn w:val="1"/>
    <w:qFormat/>
    <w:uiPriority w:val="0"/>
    <w:pPr>
      <w:spacing w:line="240" w:lineRule="auto"/>
      <w:ind w:firstLine="420"/>
    </w:pPr>
    <w:rPr>
      <w:rFonts w:ascii="Times New Roman" w:hAnsi="Times New Roman"/>
      <w:sz w:val="21"/>
      <w:szCs w:val="20"/>
    </w:rPr>
  </w:style>
  <w:style w:type="paragraph" w:customStyle="1" w:styleId="108">
    <w:name w:val="xl68"/>
    <w:basedOn w:val="1"/>
    <w:qFormat/>
    <w:uiPriority w:val="0"/>
    <w:pPr>
      <w:widowControl/>
      <w:pBdr>
        <w:bottom w:val="single" w:color="auto" w:sz="4" w:space="0"/>
        <w:right w:val="single" w:color="auto" w:sz="4" w:space="0"/>
      </w:pBdr>
      <w:spacing w:before="100" w:beforeAutospacing="1" w:after="100" w:afterAutospacing="1" w:line="240" w:lineRule="auto"/>
      <w:ind w:firstLine="0" w:firstLineChars="0"/>
      <w:jc w:val="left"/>
      <w:textAlignment w:val="center"/>
    </w:pPr>
    <w:rPr>
      <w:rFonts w:ascii="Microsoft Sans Serif" w:hAnsi="Microsoft Sans Serif" w:cs="Microsoft Sans Serif"/>
      <w:kern w:val="0"/>
      <w:sz w:val="18"/>
      <w:szCs w:val="18"/>
    </w:rPr>
  </w:style>
  <w:style w:type="paragraph" w:customStyle="1" w:styleId="109">
    <w:name w:val="前言、引言标题"/>
    <w:next w:val="1"/>
    <w:qFormat/>
    <w:uiPriority w:val="99"/>
    <w:pPr>
      <w:shd w:val="clear" w:color="FFFFFF" w:fill="FFFFFF"/>
      <w:tabs>
        <w:tab w:val="left" w:pos="425"/>
      </w:tabs>
      <w:spacing w:before="640" w:after="560"/>
      <w:jc w:val="center"/>
      <w:outlineLvl w:val="0"/>
    </w:pPr>
    <w:rPr>
      <w:rFonts w:ascii="黑体" w:hAnsi="Times New Roman" w:eastAsia="黑体" w:cs="Times New Roman"/>
      <w:sz w:val="32"/>
      <w:lang w:val="en-US" w:eastAsia="zh-CN" w:bidi="ar-SA"/>
    </w:rPr>
  </w:style>
  <w:style w:type="paragraph" w:customStyle="1" w:styleId="110">
    <w:name w:val="Indent Normal"/>
    <w:basedOn w:val="1"/>
    <w:qFormat/>
    <w:uiPriority w:val="0"/>
    <w:pPr>
      <w:ind w:firstLine="150" w:firstLineChars="150"/>
    </w:pPr>
  </w:style>
  <w:style w:type="paragraph" w:customStyle="1" w:styleId="111">
    <w:name w:val="msonormal"/>
    <w:basedOn w:val="1"/>
    <w:qFormat/>
    <w:uiPriority w:val="0"/>
    <w:pPr>
      <w:widowControl/>
      <w:spacing w:before="100" w:beforeAutospacing="1" w:after="100" w:afterAutospacing="1" w:line="240" w:lineRule="auto"/>
      <w:ind w:firstLine="0" w:firstLineChars="0"/>
      <w:jc w:val="left"/>
    </w:pPr>
    <w:rPr>
      <w:rFonts w:cs="宋体"/>
      <w:kern w:val="0"/>
    </w:rPr>
  </w:style>
  <w:style w:type="paragraph" w:customStyle="1" w:styleId="112">
    <w:name w:val="正文 缩进2字符"/>
    <w:basedOn w:val="1"/>
    <w:qFormat/>
    <w:uiPriority w:val="0"/>
    <w:pPr>
      <w:spacing w:afterLines="50" w:line="240" w:lineRule="auto"/>
      <w:ind w:firstLine="0" w:firstLineChars="0"/>
    </w:pPr>
    <w:rPr>
      <w:rFonts w:ascii="Times New Roman" w:hAnsi="Times New Roman" w:cs="宋体"/>
      <w:sz w:val="21"/>
      <w:szCs w:val="20"/>
    </w:rPr>
  </w:style>
  <w:style w:type="paragraph" w:customStyle="1" w:styleId="113">
    <w:name w:val="列项●（二级）"/>
    <w:qFormat/>
    <w:uiPriority w:val="0"/>
    <w:pPr>
      <w:numPr>
        <w:ilvl w:val="0"/>
        <w:numId w:val="2"/>
      </w:numPr>
      <w:tabs>
        <w:tab w:val="left" w:pos="840"/>
      </w:tabs>
      <w:ind w:left="600" w:leftChars="400" w:hanging="200" w:hangingChars="200"/>
      <w:jc w:val="both"/>
    </w:pPr>
    <w:rPr>
      <w:rFonts w:ascii="宋体" w:hAnsi="Times New Roman" w:eastAsia="宋体" w:cs="Times New Roman"/>
      <w:sz w:val="21"/>
      <w:lang w:val="en-US" w:eastAsia="zh-CN" w:bidi="ar-SA"/>
    </w:rPr>
  </w:style>
  <w:style w:type="paragraph" w:customStyle="1" w:styleId="114">
    <w:name w:val="助手文本"/>
    <w:basedOn w:val="1"/>
    <w:qFormat/>
    <w:uiPriority w:val="0"/>
    <w:pPr>
      <w:autoSpaceDE w:val="0"/>
      <w:autoSpaceDN w:val="0"/>
      <w:adjustRightInd w:val="0"/>
      <w:spacing w:beforeLines="50" w:afterLines="50"/>
      <w:ind w:left="14" w:firstLine="434"/>
      <w:textAlignment w:val="baseline"/>
    </w:pPr>
    <w:rPr>
      <w:rFonts w:ascii="楷体_GB2312" w:eastAsia="楷体_GB2312"/>
      <w:kern w:val="0"/>
      <w:szCs w:val="20"/>
      <w:u w:val="single"/>
    </w:rPr>
  </w:style>
  <w:style w:type="paragraph" w:customStyle="1" w:styleId="115">
    <w:name w:val="xl67"/>
    <w:basedOn w:val="1"/>
    <w:qFormat/>
    <w:uiPriority w:val="0"/>
    <w:pPr>
      <w:widowControl/>
      <w:pBdr>
        <w:top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rFonts w:ascii="Microsoft Sans Serif" w:hAnsi="Microsoft Sans Serif" w:cs="Microsoft Sans Serif"/>
      <w:b/>
      <w:bCs/>
      <w:kern w:val="0"/>
      <w:sz w:val="18"/>
      <w:szCs w:val="18"/>
    </w:rPr>
  </w:style>
  <w:style w:type="paragraph" w:customStyle="1" w:styleId="116">
    <w:name w:val="段"/>
    <w:qFormat/>
    <w:uiPriority w:val="0"/>
    <w:pPr>
      <w:autoSpaceDE w:val="0"/>
      <w:autoSpaceDN w:val="0"/>
      <w:ind w:firstLine="200" w:firstLineChars="200"/>
      <w:jc w:val="both"/>
    </w:pPr>
    <w:rPr>
      <w:rFonts w:ascii="宋体" w:hAnsi="Times New Roman" w:eastAsia="宋体" w:cs="Calibri"/>
      <w:sz w:val="21"/>
      <w:lang w:val="en-US" w:eastAsia="zh-CN" w:bidi="ar-SA"/>
    </w:rPr>
  </w:style>
  <w:style w:type="paragraph" w:customStyle="1" w:styleId="117">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rFonts w:cs="宋体"/>
      <w:kern w:val="0"/>
    </w:rPr>
  </w:style>
  <w:style w:type="paragraph" w:customStyle="1" w:styleId="118">
    <w:name w:val="Char Char Char Char Char Char1 Char"/>
    <w:basedOn w:val="1"/>
    <w:qFormat/>
    <w:uiPriority w:val="0"/>
    <w:pPr>
      <w:widowControl/>
      <w:spacing w:after="160" w:line="240" w:lineRule="exact"/>
      <w:jc w:val="left"/>
    </w:pPr>
  </w:style>
  <w:style w:type="paragraph" w:customStyle="1" w:styleId="119">
    <w:name w:val="PM_Body"/>
    <w:basedOn w:val="1"/>
    <w:qFormat/>
    <w:locked/>
    <w:uiPriority w:val="0"/>
    <w:rPr>
      <w:szCs w:val="21"/>
    </w:rPr>
  </w:style>
  <w:style w:type="paragraph" w:customStyle="1" w:styleId="120">
    <w:name w:val="Char Char1"/>
    <w:basedOn w:val="1"/>
    <w:qFormat/>
    <w:uiPriority w:val="0"/>
    <w:pPr>
      <w:widowControl/>
      <w:spacing w:before="120" w:after="120"/>
    </w:pPr>
    <w:rPr>
      <w:rFonts w:ascii="Times New Roman" w:hAnsi="Times New Roman" w:cs="宋体"/>
    </w:rPr>
  </w:style>
  <w:style w:type="paragraph" w:customStyle="1" w:styleId="121">
    <w:name w:val="xl71"/>
    <w:basedOn w:val="1"/>
    <w:qFormat/>
    <w:uiPriority w:val="0"/>
    <w:pPr>
      <w:widowControl/>
      <w:spacing w:before="100" w:beforeAutospacing="1" w:after="100" w:afterAutospacing="1" w:line="240" w:lineRule="auto"/>
      <w:ind w:firstLine="0" w:firstLineChars="0"/>
      <w:jc w:val="right"/>
      <w:textAlignment w:val="center"/>
    </w:pPr>
    <w:rPr>
      <w:rFonts w:ascii="Microsoft Sans Serif" w:hAnsi="Microsoft Sans Serif" w:cs="Microsoft Sans Serif"/>
      <w:kern w:val="0"/>
      <w:sz w:val="18"/>
      <w:szCs w:val="18"/>
    </w:rPr>
  </w:style>
  <w:style w:type="paragraph" w:customStyle="1" w:styleId="122">
    <w:name w:val="修订1"/>
    <w:unhideWhenUsed/>
    <w:qFormat/>
    <w:uiPriority w:val="99"/>
    <w:rPr>
      <w:rFonts w:ascii="宋体" w:hAnsi="宋体" w:eastAsia="宋体" w:cs="Times New Roman"/>
      <w:kern w:val="2"/>
      <w:sz w:val="24"/>
      <w:szCs w:val="24"/>
      <w:lang w:val="en-US" w:eastAsia="zh-CN" w:bidi="ar-SA"/>
    </w:rPr>
  </w:style>
  <w:style w:type="paragraph" w:customStyle="1" w:styleId="123">
    <w:name w:val="列出段落2"/>
    <w:basedOn w:val="1"/>
    <w:qFormat/>
    <w:uiPriority w:val="0"/>
    <w:pPr>
      <w:spacing w:line="240" w:lineRule="auto"/>
      <w:ind w:firstLine="420"/>
    </w:pPr>
    <w:rPr>
      <w:rFonts w:ascii="等线" w:hAnsi="等线" w:eastAsia="等线" w:cs="等线"/>
      <w:sz w:val="21"/>
      <w:szCs w:val="21"/>
    </w:rPr>
  </w:style>
  <w:style w:type="paragraph" w:customStyle="1" w:styleId="124">
    <w:name w:val="xl69"/>
    <w:basedOn w:val="1"/>
    <w:qFormat/>
    <w:uiPriority w:val="0"/>
    <w:pPr>
      <w:widowControl/>
      <w:pBdr>
        <w:bottom w:val="single" w:color="auto" w:sz="4" w:space="0"/>
        <w:right w:val="single" w:color="auto" w:sz="4" w:space="0"/>
      </w:pBdr>
      <w:spacing w:before="100" w:beforeAutospacing="1" w:after="100" w:afterAutospacing="1" w:line="240" w:lineRule="auto"/>
      <w:ind w:firstLine="0" w:firstLineChars="0"/>
      <w:jc w:val="center"/>
      <w:textAlignment w:val="center"/>
    </w:pPr>
    <w:rPr>
      <w:rFonts w:ascii="Microsoft Sans Serif" w:hAnsi="Microsoft Sans Serif" w:cs="Microsoft Sans Serif"/>
      <w:kern w:val="0"/>
      <w:sz w:val="18"/>
      <w:szCs w:val="18"/>
    </w:rPr>
  </w:style>
  <w:style w:type="paragraph" w:customStyle="1" w:styleId="125">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rFonts w:ascii="Microsoft Sans Serif" w:hAnsi="Microsoft Sans Serif" w:cs="Microsoft Sans Serif"/>
      <w:b/>
      <w:bCs/>
      <w:kern w:val="0"/>
      <w:sz w:val="18"/>
      <w:szCs w:val="18"/>
    </w:rPr>
  </w:style>
  <w:style w:type="paragraph" w:customStyle="1" w:styleId="126">
    <w:name w:val="文档正文文本（中安网脉）"/>
    <w:basedOn w:val="1"/>
    <w:qFormat/>
    <w:uiPriority w:val="0"/>
    <w:pPr>
      <w:ind w:firstLine="200"/>
    </w:pPr>
    <w:rPr>
      <w:rFonts w:ascii="Times New Roman" w:hAnsi="Times New Roman" w:eastAsia="仿宋_GB2312"/>
      <w:color w:val="000000"/>
      <w:szCs w:val="28"/>
    </w:rPr>
  </w:style>
  <w:style w:type="paragraph" w:customStyle="1" w:styleId="127">
    <w:name w:val="xl65"/>
    <w:basedOn w:val="1"/>
    <w:qFormat/>
    <w:uiPriority w:val="0"/>
    <w:pPr>
      <w:widowControl/>
      <w:pBdr>
        <w:left w:val="single" w:color="auto" w:sz="4" w:space="0"/>
        <w:bottom w:val="single" w:color="auto" w:sz="4" w:space="0"/>
        <w:right w:val="single" w:color="auto" w:sz="4" w:space="0"/>
      </w:pBdr>
      <w:spacing w:before="100" w:beforeAutospacing="1" w:after="100" w:afterAutospacing="1" w:line="240" w:lineRule="auto"/>
      <w:ind w:firstLine="0" w:firstLineChars="0"/>
      <w:jc w:val="left"/>
      <w:textAlignment w:val="center"/>
    </w:pPr>
    <w:rPr>
      <w:rFonts w:ascii="Microsoft Sans Serif" w:hAnsi="Microsoft Sans Serif" w:cs="Microsoft Sans Serif"/>
      <w:kern w:val="0"/>
      <w:sz w:val="18"/>
      <w:szCs w:val="18"/>
    </w:rPr>
  </w:style>
  <w:style w:type="paragraph" w:customStyle="1" w:styleId="128">
    <w:name w:val="正文样式"/>
    <w:unhideWhenUsed/>
    <w:qFormat/>
    <w:uiPriority w:val="0"/>
    <w:pPr>
      <w:widowControl w:val="0"/>
      <w:adjustRightInd w:val="0"/>
      <w:snapToGrid w:val="0"/>
      <w:spacing w:line="360" w:lineRule="auto"/>
      <w:ind w:firstLine="200" w:firstLineChars="200"/>
      <w:jc w:val="both"/>
    </w:pPr>
    <w:rPr>
      <w:rFonts w:ascii="Times New Roman" w:hAnsi="Times New Roman" w:eastAsia="宋体" w:cs="Times New Roman"/>
      <w:bCs/>
      <w:snapToGrid w:val="0"/>
      <w:sz w:val="24"/>
      <w:szCs w:val="44"/>
      <w:lang w:val="en-US" w:eastAsia="zh-CN" w:bidi="ar-SA"/>
    </w:rPr>
  </w:style>
  <w:style w:type="paragraph" w:customStyle="1" w:styleId="129">
    <w:name w:val="样式 行距: 1.5 倍行距 首行缩进:  2 字符"/>
    <w:basedOn w:val="1"/>
    <w:qFormat/>
    <w:uiPriority w:val="0"/>
    <w:pPr>
      <w:ind w:firstLine="560"/>
      <w:jc w:val="left"/>
    </w:pPr>
    <w:rPr>
      <w:rFonts w:ascii="仿宋" w:hAnsi="仿宋" w:eastAsia="仿宋" w:cs="宋体"/>
      <w:sz w:val="28"/>
      <w:szCs w:val="20"/>
    </w:rPr>
  </w:style>
  <w:style w:type="paragraph" w:customStyle="1" w:styleId="130">
    <w:name w:val="TOC 标题1"/>
    <w:basedOn w:val="2"/>
    <w:next w:val="1"/>
    <w:qFormat/>
    <w:uiPriority w:val="39"/>
    <w:pPr>
      <w:widowControl/>
      <w:numPr>
        <w:numId w:val="0"/>
      </w:numPr>
      <w:spacing w:before="480" w:after="0" w:line="276" w:lineRule="auto"/>
      <w:jc w:val="left"/>
      <w:outlineLvl w:val="9"/>
    </w:pPr>
    <w:rPr>
      <w:rFonts w:ascii="Cambria" w:hAnsi="Cambria" w:eastAsia="宋体"/>
      <w:color w:val="365F91"/>
      <w:kern w:val="0"/>
      <w:sz w:val="28"/>
    </w:rPr>
  </w:style>
  <w:style w:type="table" w:customStyle="1" w:styleId="131">
    <w:name w:val="!我的表格1"/>
    <w:basedOn w:val="35"/>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2">
    <w:name w:val="网格型1"/>
    <w:basedOn w:val="35"/>
    <w:unhideWhenUsed/>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33">
    <w:name w:val="标题 1 Char"/>
    <w:qFormat/>
    <w:uiPriority w:val="0"/>
    <w:rPr>
      <w:rFonts w:ascii="宋体" w:hAnsi="宋体" w:eastAsia="黑体"/>
      <w:b/>
      <w:bCs/>
      <w:kern w:val="44"/>
      <w:sz w:val="32"/>
      <w:szCs w:val="28"/>
    </w:rPr>
  </w:style>
  <w:style w:type="character" w:customStyle="1" w:styleId="134">
    <w:name w:val="纯文本 Char2"/>
    <w:qFormat/>
    <w:uiPriority w:val="0"/>
    <w:rPr>
      <w:rFonts w:ascii="宋体" w:hAnsi="宋体" w:eastAsia="宋体" w:cs="Times New Roman"/>
      <w:color w:val="000000"/>
      <w:kern w:val="0"/>
      <w:sz w:val="24"/>
      <w:szCs w:val="24"/>
    </w:rPr>
  </w:style>
  <w:style w:type="paragraph" w:customStyle="1" w:styleId="135">
    <w:name w:val="列出段落1"/>
    <w:basedOn w:val="1"/>
    <w:qFormat/>
    <w:uiPriority w:val="34"/>
    <w:pPr>
      <w:spacing w:line="240" w:lineRule="auto"/>
      <w:ind w:firstLine="420"/>
    </w:pPr>
    <w:rPr>
      <w:rFonts w:ascii="Calibri" w:hAnsi="Calibri"/>
      <w:sz w:val="21"/>
      <w:szCs w:val="22"/>
    </w:rPr>
  </w:style>
  <w:style w:type="table" w:customStyle="1" w:styleId="136">
    <w:name w:val="Table Normal"/>
    <w:semiHidden/>
    <w:unhideWhenUsed/>
    <w:qFormat/>
    <w:uiPriority w:val="0"/>
    <w:tblPr>
      <w:tblCellMar>
        <w:top w:w="0" w:type="dxa"/>
        <w:left w:w="0" w:type="dxa"/>
        <w:bottom w:w="0" w:type="dxa"/>
        <w:right w:w="0" w:type="dxa"/>
      </w:tblCellMar>
    </w:tblPr>
  </w:style>
  <w:style w:type="paragraph" w:customStyle="1" w:styleId="137">
    <w:name w:val="Table Text"/>
    <w:basedOn w:val="1"/>
    <w:semiHidden/>
    <w:qFormat/>
    <w:uiPriority w:val="0"/>
    <w:rPr>
      <w:rFonts w:cs="宋体"/>
      <w:sz w:val="20"/>
      <w:szCs w:val="20"/>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29</Pages>
  <Words>3700</Words>
  <Characters>21092</Characters>
  <Lines>175</Lines>
  <Paragraphs>49</Paragraphs>
  <TotalTime>1087</TotalTime>
  <ScaleCrop>false</ScaleCrop>
  <LinksUpToDate>false</LinksUpToDate>
  <CharactersWithSpaces>24743</CharactersWithSpaces>
  <Application>WPS Office_12.8.2.1113_F1E327BC-269C-435d-A152-05C5408002CA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2023-01-01T17:54:00Z</dcterms:created>
  <dc:creator>gtig_tzb</dc:creator>
  <cp:lastModifiedBy>user</cp:lastModifiedBy>
  <cp:lastPrinted>2020-08-16T04:08:00Z</cp:lastPrinted>
  <dcterms:modified xsi:type="dcterms:W3CDTF">2026-08-14T09:55:39Z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2052-12.8.2.1113</vt:lpwstr>
  </property>
  <property fmtid="{D5CDD505-2E9C-101B-9397-08002B2CF9AE}" pid="3" name="ICV">
    <vt:lpwstr>4AA8853D54A34319E0596C6AAA462D2E_43</vt:lpwstr>
  </property>
  <property fmtid="{D5CDD505-2E9C-101B-9397-08002B2CF9AE}" pid="4" name="KSOTemplateDocerSaveRecord">
    <vt:lpwstr>eyJoZGlkIjoiZjU3YjFhMTllZDYyOTYzN2E2M2MzZTJiNTViZmZmMzIiLCJ1c2VySWQiOiI0MzU0MTYwNjcifQ==</vt:lpwstr>
  </property>
</Properties>
</file>