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D57CBE">
      <w:pPr>
        <w:pStyle w:val="2"/>
        <w:spacing w:line="360" w:lineRule="auto"/>
        <w:jc w:val="center"/>
        <w:rPr>
          <w:rFonts w:eastAsiaTheme="minorHAnsi"/>
          <w:sz w:val="32"/>
        </w:rPr>
      </w:pPr>
      <w:bookmarkStart w:id="0" w:name="_Toc9987"/>
      <w:r>
        <w:rPr>
          <w:rFonts w:hint="eastAsia"/>
          <w:sz w:val="32"/>
          <w:szCs w:val="32"/>
        </w:rPr>
        <w:t>GPU服务器</w:t>
      </w:r>
      <w:r>
        <w:rPr>
          <w:sz w:val="32"/>
          <w:szCs w:val="32"/>
        </w:rPr>
        <w:t>招标要求</w:t>
      </w:r>
      <w:bookmarkEnd w:id="0"/>
    </w:p>
    <w:p w14:paraId="2EA174BD">
      <w:sdt>
        <w:sdtPr>
          <w:rPr>
            <w:rFonts w:ascii="宋体" w:hAnsi="宋体" w:eastAsia="宋体"/>
          </w:rPr>
          <w:id w:val="147462594"/>
          <w:showingPlcHdr/>
          <w15:color w:val="DBDBDB"/>
          <w:docPartObj>
            <w:docPartGallery w:val="Table of Contents"/>
            <w:docPartUnique/>
          </w:docPartObj>
        </w:sdtPr>
        <w:sdtEndPr>
          <w:rPr>
            <w:rFonts w:ascii="宋体" w:hAnsi="宋体" w:eastAsia="宋体"/>
          </w:rPr>
        </w:sdtEndPr>
        <w:sdtContent>
          <w:r>
            <w:rPr>
              <w:rFonts w:hint="eastAsia" w:ascii="宋体" w:hAnsi="宋体" w:eastAsia="宋体"/>
              <w:lang w:eastAsia="zh-CN"/>
            </w:rPr>
            <w:t xml:space="preserve">     </w:t>
          </w:r>
        </w:sdtContent>
      </w:sdt>
    </w:p>
    <w:p w14:paraId="2A1599BB">
      <w:pPr>
        <w:rPr>
          <w:rFonts w:eastAsiaTheme="minorHAnsi"/>
          <w:sz w:val="32"/>
        </w:rPr>
      </w:pPr>
      <w:r>
        <w:rPr>
          <w:rFonts w:hint="eastAsia" w:eastAsiaTheme="minorHAnsi"/>
          <w:sz w:val="32"/>
        </w:rPr>
        <w:br w:type="page"/>
      </w:r>
    </w:p>
    <w:p w14:paraId="2A455386">
      <w:pPr>
        <w:pStyle w:val="2"/>
        <w:numPr>
          <w:ilvl w:val="0"/>
          <w:numId w:val="2"/>
        </w:numPr>
        <w:spacing w:line="360" w:lineRule="auto"/>
        <w:rPr>
          <w:rFonts w:eastAsiaTheme="minorHAnsi"/>
          <w:sz w:val="32"/>
        </w:rPr>
      </w:pPr>
      <w:bookmarkStart w:id="1" w:name="_Toc30549"/>
      <w:r>
        <w:rPr>
          <w:rFonts w:hint="eastAsia" w:eastAsiaTheme="minorHAnsi"/>
          <w:sz w:val="32"/>
        </w:rPr>
        <w:t>概况</w:t>
      </w:r>
      <w:bookmarkEnd w:id="1"/>
    </w:p>
    <w:p w14:paraId="52F62270">
      <w:pPr>
        <w:pStyle w:val="26"/>
        <w:spacing w:line="360" w:lineRule="auto"/>
        <w:ind w:firstLine="480" w:firstLineChars="200"/>
        <w:rPr>
          <w:rFonts w:asciiTheme="minorEastAsia" w:hAnsiTheme="minorEastAsia"/>
          <w:sz w:val="24"/>
          <w:szCs w:val="24"/>
        </w:rPr>
      </w:pPr>
      <w:r>
        <w:rPr>
          <w:rFonts w:hint="eastAsia" w:asciiTheme="minorEastAsia" w:hAnsiTheme="minorEastAsia"/>
          <w:sz w:val="24"/>
          <w:szCs w:val="24"/>
        </w:rPr>
        <w:t>随着人工智能在办公、教学和科研工作中的不断深入，对算力基础设施的资源供给尤其是GPU服务器的供给提出了新的要求。其中，云主机业务自规划以来一直未配备GPU服务器，目前的相关应用部署需要借调面向教学的云实训平台资源予以基本满足，需要配置GPU服务器满足后续智能应用的部署；此外，随着人工智能相关课程的深入，教学实训平台的资源交付也面临单个实训资源显存需求提升，实训环境数量也有增长，需要补充GPU服务器予以满足；同时学校提供的公共API服务，面向教学、科研和业务部署，学校以API的方式交付模型即服务(MAAS)，在实际允许过程中，为了提升现有智算平台大显存资源更好的服务有需要的业务场景，面向中小参数模型，需要补充GPU服务器进行模型推理。</w:t>
      </w:r>
    </w:p>
    <w:p w14:paraId="7320F3CA">
      <w:pPr>
        <w:pStyle w:val="2"/>
        <w:numPr>
          <w:ilvl w:val="0"/>
          <w:numId w:val="2"/>
        </w:numPr>
        <w:spacing w:line="360" w:lineRule="auto"/>
        <w:rPr>
          <w:rFonts w:eastAsiaTheme="minorHAnsi"/>
          <w:sz w:val="32"/>
        </w:rPr>
      </w:pPr>
      <w:bookmarkStart w:id="2" w:name="_Toc17504"/>
      <w:r>
        <w:rPr>
          <w:rFonts w:hint="eastAsia" w:eastAsiaTheme="minorHAnsi"/>
          <w:sz w:val="32"/>
        </w:rPr>
        <w:t>货物需求一览表</w:t>
      </w:r>
      <w:bookmarkEnd w:id="2"/>
    </w:p>
    <w:tbl>
      <w:tblPr>
        <w:tblStyle w:val="11"/>
        <w:tblW w:w="8706" w:type="dxa"/>
        <w:jc w:val="center"/>
        <w:tblLayout w:type="autofit"/>
        <w:tblCellMar>
          <w:top w:w="0" w:type="dxa"/>
          <w:left w:w="108" w:type="dxa"/>
          <w:bottom w:w="0" w:type="dxa"/>
          <w:right w:w="108" w:type="dxa"/>
        </w:tblCellMar>
      </w:tblPr>
      <w:tblGrid>
        <w:gridCol w:w="766"/>
        <w:gridCol w:w="3814"/>
        <w:gridCol w:w="837"/>
        <w:gridCol w:w="1276"/>
        <w:gridCol w:w="2013"/>
      </w:tblGrid>
      <w:tr w14:paraId="5BBD3B98">
        <w:tblPrEx>
          <w:tblCellMar>
            <w:top w:w="0" w:type="dxa"/>
            <w:left w:w="108" w:type="dxa"/>
            <w:bottom w:w="0" w:type="dxa"/>
            <w:right w:w="108" w:type="dxa"/>
          </w:tblCellMar>
        </w:tblPrEx>
        <w:trPr>
          <w:trHeight w:val="270" w:hRule="atLeast"/>
          <w:jc w:val="center"/>
        </w:trPr>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210F743">
            <w:pPr>
              <w:adjustRightInd w:val="0"/>
              <w:snapToGrid w:val="0"/>
              <w:spacing w:line="360" w:lineRule="auto"/>
              <w:jc w:val="center"/>
              <w:rPr>
                <w:rFonts w:cs="Times New Roman" w:eastAsiaTheme="minorHAnsi"/>
                <w:color w:val="000000" w:themeColor="text1"/>
                <w:szCs w:val="21"/>
                <w14:textFill>
                  <w14:solidFill>
                    <w14:schemeClr w14:val="tx1"/>
                  </w14:solidFill>
                </w14:textFill>
              </w:rPr>
            </w:pPr>
            <w:r>
              <w:rPr>
                <w:rFonts w:cs="Times New Roman" w:eastAsiaTheme="minorHAnsi"/>
                <w:color w:val="000000" w:themeColor="text1"/>
                <w:szCs w:val="21"/>
                <w14:textFill>
                  <w14:solidFill>
                    <w14:schemeClr w14:val="tx1"/>
                  </w14:solidFill>
                </w14:textFill>
              </w:rPr>
              <w:t>序号</w:t>
            </w:r>
          </w:p>
        </w:tc>
        <w:tc>
          <w:tcPr>
            <w:tcW w:w="3814" w:type="dxa"/>
            <w:tcBorders>
              <w:top w:val="single" w:color="auto" w:sz="4" w:space="0"/>
              <w:left w:val="nil"/>
              <w:bottom w:val="single" w:color="auto" w:sz="4" w:space="0"/>
              <w:right w:val="single" w:color="auto" w:sz="4" w:space="0"/>
            </w:tcBorders>
            <w:shd w:val="clear" w:color="auto" w:fill="auto"/>
            <w:noWrap/>
            <w:vAlign w:val="center"/>
          </w:tcPr>
          <w:p w14:paraId="481B909D">
            <w:pPr>
              <w:adjustRightInd w:val="0"/>
              <w:snapToGrid w:val="0"/>
              <w:spacing w:line="360" w:lineRule="auto"/>
              <w:jc w:val="center"/>
              <w:rPr>
                <w:rFonts w:cs="Times New Roman" w:eastAsiaTheme="minorHAnsi"/>
                <w:color w:val="000000" w:themeColor="text1"/>
                <w:szCs w:val="21"/>
                <w14:textFill>
                  <w14:solidFill>
                    <w14:schemeClr w14:val="tx1"/>
                  </w14:solidFill>
                </w14:textFill>
              </w:rPr>
            </w:pPr>
            <w:r>
              <w:rPr>
                <w:rFonts w:cs="Times New Roman" w:eastAsiaTheme="minorHAnsi"/>
                <w:color w:val="000000" w:themeColor="text1"/>
                <w:szCs w:val="21"/>
                <w14:textFill>
                  <w14:solidFill>
                    <w14:schemeClr w14:val="tx1"/>
                  </w14:solidFill>
                </w14:textFill>
              </w:rPr>
              <w:t>设备名称</w:t>
            </w:r>
          </w:p>
        </w:tc>
        <w:tc>
          <w:tcPr>
            <w:tcW w:w="837" w:type="dxa"/>
            <w:tcBorders>
              <w:top w:val="single" w:color="auto" w:sz="4" w:space="0"/>
              <w:left w:val="nil"/>
              <w:bottom w:val="single" w:color="auto" w:sz="4" w:space="0"/>
              <w:right w:val="single" w:color="auto" w:sz="4" w:space="0"/>
            </w:tcBorders>
            <w:shd w:val="clear" w:color="auto" w:fill="auto"/>
            <w:noWrap/>
            <w:vAlign w:val="center"/>
          </w:tcPr>
          <w:p w14:paraId="0B56349B">
            <w:pPr>
              <w:adjustRightInd w:val="0"/>
              <w:snapToGrid w:val="0"/>
              <w:spacing w:line="360" w:lineRule="auto"/>
              <w:jc w:val="center"/>
              <w:rPr>
                <w:rFonts w:cs="Times New Roman" w:eastAsiaTheme="minorHAnsi"/>
                <w:color w:val="000000" w:themeColor="text1"/>
                <w:szCs w:val="21"/>
                <w14:textFill>
                  <w14:solidFill>
                    <w14:schemeClr w14:val="tx1"/>
                  </w14:solidFill>
                </w14:textFill>
              </w:rPr>
            </w:pPr>
            <w:r>
              <w:rPr>
                <w:rFonts w:cs="Times New Roman" w:eastAsiaTheme="minorHAnsi"/>
                <w:color w:val="000000" w:themeColor="text1"/>
                <w:szCs w:val="21"/>
                <w14:textFill>
                  <w14:solidFill>
                    <w14:schemeClr w14:val="tx1"/>
                  </w14:solidFill>
                </w14:textFill>
              </w:rPr>
              <w:t>单位</w:t>
            </w:r>
          </w:p>
        </w:tc>
        <w:tc>
          <w:tcPr>
            <w:tcW w:w="1276" w:type="dxa"/>
            <w:tcBorders>
              <w:top w:val="single" w:color="auto" w:sz="4" w:space="0"/>
              <w:left w:val="nil"/>
              <w:bottom w:val="single" w:color="auto" w:sz="4" w:space="0"/>
              <w:right w:val="single" w:color="auto" w:sz="4" w:space="0"/>
            </w:tcBorders>
            <w:shd w:val="clear" w:color="auto" w:fill="auto"/>
            <w:noWrap/>
            <w:vAlign w:val="center"/>
          </w:tcPr>
          <w:p w14:paraId="3B2CA348">
            <w:pPr>
              <w:adjustRightInd w:val="0"/>
              <w:snapToGrid w:val="0"/>
              <w:spacing w:line="360" w:lineRule="auto"/>
              <w:jc w:val="center"/>
              <w:rPr>
                <w:rFonts w:cs="Times New Roman" w:eastAsiaTheme="minorHAnsi"/>
                <w:color w:val="000000" w:themeColor="text1"/>
                <w:szCs w:val="21"/>
                <w14:textFill>
                  <w14:solidFill>
                    <w14:schemeClr w14:val="tx1"/>
                  </w14:solidFill>
                </w14:textFill>
              </w:rPr>
            </w:pPr>
            <w:r>
              <w:rPr>
                <w:rFonts w:cs="Times New Roman" w:eastAsiaTheme="minorHAnsi"/>
                <w:color w:val="000000" w:themeColor="text1"/>
                <w:szCs w:val="21"/>
                <w14:textFill>
                  <w14:solidFill>
                    <w14:schemeClr w14:val="tx1"/>
                  </w14:solidFill>
                </w14:textFill>
              </w:rPr>
              <w:t>数量</w:t>
            </w:r>
          </w:p>
        </w:tc>
        <w:tc>
          <w:tcPr>
            <w:tcW w:w="2013" w:type="dxa"/>
            <w:tcBorders>
              <w:top w:val="single" w:color="auto" w:sz="4" w:space="0"/>
              <w:left w:val="nil"/>
              <w:bottom w:val="single" w:color="auto" w:sz="4" w:space="0"/>
              <w:right w:val="single" w:color="auto" w:sz="4" w:space="0"/>
            </w:tcBorders>
            <w:shd w:val="clear" w:color="auto" w:fill="auto"/>
            <w:noWrap/>
            <w:vAlign w:val="center"/>
          </w:tcPr>
          <w:p w14:paraId="56FB9C9F">
            <w:pPr>
              <w:adjustRightInd w:val="0"/>
              <w:snapToGrid w:val="0"/>
              <w:spacing w:line="360" w:lineRule="auto"/>
              <w:jc w:val="center"/>
              <w:rPr>
                <w:rFonts w:cs="Times New Roman" w:eastAsiaTheme="minorHAnsi"/>
                <w:color w:val="000000" w:themeColor="text1"/>
                <w:szCs w:val="21"/>
                <w14:textFill>
                  <w14:solidFill>
                    <w14:schemeClr w14:val="tx1"/>
                  </w14:solidFill>
                </w14:textFill>
              </w:rPr>
            </w:pPr>
            <w:r>
              <w:rPr>
                <w:rFonts w:cs="Times New Roman" w:eastAsiaTheme="minorHAnsi"/>
                <w:color w:val="000000" w:themeColor="text1"/>
                <w:szCs w:val="21"/>
                <w14:textFill>
                  <w14:solidFill>
                    <w14:schemeClr w14:val="tx1"/>
                  </w14:solidFill>
                </w14:textFill>
              </w:rPr>
              <w:t>技术要求</w:t>
            </w:r>
          </w:p>
        </w:tc>
      </w:tr>
      <w:tr w14:paraId="7C359D9A">
        <w:tblPrEx>
          <w:tblCellMar>
            <w:top w:w="0" w:type="dxa"/>
            <w:left w:w="108" w:type="dxa"/>
            <w:bottom w:w="0" w:type="dxa"/>
            <w:right w:w="108" w:type="dxa"/>
          </w:tblCellMar>
        </w:tblPrEx>
        <w:trPr>
          <w:trHeight w:val="270" w:hRule="atLeast"/>
          <w:jc w:val="center"/>
        </w:trPr>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857C411">
            <w:pPr>
              <w:adjustRightInd w:val="0"/>
              <w:snapToGrid w:val="0"/>
              <w:spacing w:line="360" w:lineRule="auto"/>
              <w:jc w:val="center"/>
              <w:rPr>
                <w:rFonts w:cs="Times New Roman" w:eastAsiaTheme="minorHAnsi"/>
                <w:color w:val="000000" w:themeColor="text1"/>
                <w:szCs w:val="21"/>
                <w14:textFill>
                  <w14:solidFill>
                    <w14:schemeClr w14:val="tx1"/>
                  </w14:solidFill>
                </w14:textFill>
              </w:rPr>
            </w:pPr>
            <w:r>
              <w:rPr>
                <w:rFonts w:cs="Times New Roman" w:eastAsiaTheme="minorHAnsi"/>
                <w:color w:val="000000" w:themeColor="text1"/>
                <w:szCs w:val="21"/>
                <w14:textFill>
                  <w14:solidFill>
                    <w14:schemeClr w14:val="tx1"/>
                  </w14:solidFill>
                </w14:textFill>
              </w:rPr>
              <w:t>1</w:t>
            </w:r>
          </w:p>
        </w:tc>
        <w:tc>
          <w:tcPr>
            <w:tcW w:w="3814" w:type="dxa"/>
            <w:tcBorders>
              <w:top w:val="single" w:color="auto" w:sz="4" w:space="0"/>
              <w:left w:val="nil"/>
              <w:bottom w:val="single" w:color="auto" w:sz="4" w:space="0"/>
              <w:right w:val="single" w:color="auto" w:sz="4" w:space="0"/>
            </w:tcBorders>
            <w:shd w:val="clear" w:color="auto" w:fill="auto"/>
            <w:vAlign w:val="center"/>
          </w:tcPr>
          <w:p w14:paraId="79DA890A">
            <w:pPr>
              <w:adjustRightInd w:val="0"/>
              <w:snapToGrid w:val="0"/>
              <w:spacing w:line="360" w:lineRule="auto"/>
              <w:jc w:val="center"/>
              <w:rPr>
                <w:rFonts w:hint="eastAsia" w:cs="Times New Roman" w:eastAsiaTheme="minorHAnsi"/>
                <w:color w:val="000000" w:themeColor="text1"/>
                <w:szCs w:val="21"/>
                <w:lang w:eastAsia="zh-CN"/>
                <w14:textFill>
                  <w14:solidFill>
                    <w14:schemeClr w14:val="tx1"/>
                  </w14:solidFill>
                </w14:textFill>
              </w:rPr>
            </w:pPr>
            <w:r>
              <w:rPr>
                <w:rFonts w:hint="eastAsia" w:cs="Times New Roman" w:eastAsiaTheme="minorHAnsi"/>
                <w:color w:val="000000" w:themeColor="text1"/>
                <w:szCs w:val="21"/>
                <w14:textFill>
                  <w14:solidFill>
                    <w14:schemeClr w14:val="tx1"/>
                  </w14:solidFill>
                </w14:textFill>
              </w:rPr>
              <w:t>推理计算GPU服务器设备</w:t>
            </w:r>
            <w:r>
              <w:rPr>
                <w:rFonts w:hint="eastAsia" w:cs="Times New Roman" w:eastAsiaTheme="minorHAnsi"/>
                <w:color w:val="000000" w:themeColor="text1"/>
                <w:szCs w:val="21"/>
                <w:lang w:eastAsia="zh-CN"/>
                <w14:textFill>
                  <w14:solidFill>
                    <w14:schemeClr w14:val="tx1"/>
                  </w14:solidFill>
                </w14:textFill>
              </w:rPr>
              <w:t>（</w:t>
            </w:r>
            <w:r>
              <w:rPr>
                <w:rFonts w:hint="eastAsia"/>
                <w:lang w:eastAsia="zh-CN"/>
              </w:rPr>
              <w:t>核心产品</w:t>
            </w:r>
            <w:r>
              <w:rPr>
                <w:rFonts w:hint="eastAsia" w:cs="Times New Roman" w:eastAsiaTheme="minorHAnsi"/>
                <w:color w:val="000000" w:themeColor="text1"/>
                <w:szCs w:val="21"/>
                <w:lang w:eastAsia="zh-CN"/>
                <w14:textFill>
                  <w14:solidFill>
                    <w14:schemeClr w14:val="tx1"/>
                  </w14:solidFill>
                </w14:textFill>
              </w:rPr>
              <w:t>）</w:t>
            </w:r>
          </w:p>
        </w:tc>
        <w:tc>
          <w:tcPr>
            <w:tcW w:w="837" w:type="dxa"/>
            <w:tcBorders>
              <w:top w:val="single" w:color="auto" w:sz="4" w:space="0"/>
              <w:left w:val="nil"/>
              <w:bottom w:val="single" w:color="auto" w:sz="4" w:space="0"/>
              <w:right w:val="single" w:color="auto" w:sz="4" w:space="0"/>
            </w:tcBorders>
            <w:shd w:val="clear" w:color="auto" w:fill="auto"/>
            <w:noWrap/>
            <w:vAlign w:val="center"/>
          </w:tcPr>
          <w:p w14:paraId="7EBAF729">
            <w:pPr>
              <w:adjustRightInd w:val="0"/>
              <w:snapToGrid w:val="0"/>
              <w:spacing w:line="360" w:lineRule="auto"/>
              <w:jc w:val="center"/>
              <w:rPr>
                <w:rFonts w:cs="Times New Roman" w:eastAsiaTheme="minorHAnsi"/>
                <w:color w:val="000000" w:themeColor="text1"/>
                <w:szCs w:val="21"/>
                <w14:textFill>
                  <w14:solidFill>
                    <w14:schemeClr w14:val="tx1"/>
                  </w14:solidFill>
                </w14:textFill>
              </w:rPr>
            </w:pPr>
            <w:r>
              <w:rPr>
                <w:rFonts w:hint="eastAsia" w:cs="Times New Roman" w:eastAsiaTheme="minorHAnsi"/>
                <w:color w:val="000000" w:themeColor="text1"/>
                <w:szCs w:val="21"/>
                <w14:textFill>
                  <w14:solidFill>
                    <w14:schemeClr w14:val="tx1"/>
                  </w14:solidFill>
                </w14:textFill>
              </w:rPr>
              <w:t>台</w:t>
            </w:r>
          </w:p>
        </w:tc>
        <w:tc>
          <w:tcPr>
            <w:tcW w:w="1276" w:type="dxa"/>
            <w:tcBorders>
              <w:top w:val="single" w:color="auto" w:sz="4" w:space="0"/>
              <w:left w:val="nil"/>
              <w:bottom w:val="single" w:color="auto" w:sz="4" w:space="0"/>
              <w:right w:val="single" w:color="auto" w:sz="4" w:space="0"/>
            </w:tcBorders>
            <w:shd w:val="clear" w:color="auto" w:fill="auto"/>
            <w:noWrap/>
            <w:vAlign w:val="center"/>
          </w:tcPr>
          <w:p w14:paraId="38F1CAA7">
            <w:pPr>
              <w:adjustRightInd w:val="0"/>
              <w:snapToGrid w:val="0"/>
              <w:spacing w:line="360" w:lineRule="auto"/>
              <w:jc w:val="center"/>
              <w:rPr>
                <w:rFonts w:cs="Times New Roman" w:eastAsiaTheme="minorHAnsi"/>
                <w:color w:val="000000" w:themeColor="text1"/>
                <w:szCs w:val="21"/>
                <w14:textFill>
                  <w14:solidFill>
                    <w14:schemeClr w14:val="tx1"/>
                  </w14:solidFill>
                </w14:textFill>
              </w:rPr>
            </w:pPr>
            <w:r>
              <w:rPr>
                <w:rFonts w:hint="eastAsia" w:cs="Times New Roman" w:eastAsiaTheme="minorHAnsi"/>
                <w:color w:val="000000" w:themeColor="text1"/>
                <w:szCs w:val="21"/>
                <w14:textFill>
                  <w14:solidFill>
                    <w14:schemeClr w14:val="tx1"/>
                  </w14:solidFill>
                </w14:textFill>
              </w:rPr>
              <w:t>4</w:t>
            </w:r>
          </w:p>
        </w:tc>
        <w:tc>
          <w:tcPr>
            <w:tcW w:w="2013" w:type="dxa"/>
            <w:tcBorders>
              <w:top w:val="single" w:color="auto" w:sz="4" w:space="0"/>
              <w:left w:val="nil"/>
              <w:bottom w:val="single" w:color="auto" w:sz="4" w:space="0"/>
              <w:right w:val="single" w:color="auto" w:sz="4" w:space="0"/>
            </w:tcBorders>
            <w:shd w:val="clear" w:color="auto" w:fill="auto"/>
            <w:noWrap/>
            <w:vAlign w:val="center"/>
          </w:tcPr>
          <w:p w14:paraId="4B4073DD">
            <w:pPr>
              <w:adjustRightInd w:val="0"/>
              <w:snapToGrid w:val="0"/>
              <w:spacing w:line="360" w:lineRule="auto"/>
              <w:jc w:val="center"/>
              <w:rPr>
                <w:rFonts w:cs="Times New Roman" w:eastAsiaTheme="minorHAnsi"/>
                <w:szCs w:val="21"/>
              </w:rPr>
            </w:pPr>
            <w:r>
              <w:rPr>
                <w:rFonts w:cs="Times New Roman" w:eastAsiaTheme="minorHAnsi"/>
                <w:color w:val="000000" w:themeColor="text1"/>
                <w:szCs w:val="21"/>
                <w14:textFill>
                  <w14:solidFill>
                    <w14:schemeClr w14:val="tx1"/>
                  </w14:solidFill>
                </w14:textFill>
              </w:rPr>
              <w:t>详见技术参数</w:t>
            </w:r>
          </w:p>
        </w:tc>
      </w:tr>
      <w:tr w14:paraId="0CED88EC">
        <w:tblPrEx>
          <w:tblCellMar>
            <w:top w:w="0" w:type="dxa"/>
            <w:left w:w="108" w:type="dxa"/>
            <w:bottom w:w="0" w:type="dxa"/>
            <w:right w:w="108" w:type="dxa"/>
          </w:tblCellMar>
        </w:tblPrEx>
        <w:trPr>
          <w:trHeight w:val="270" w:hRule="atLeast"/>
          <w:jc w:val="center"/>
        </w:trPr>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54EA1B">
            <w:pPr>
              <w:adjustRightInd w:val="0"/>
              <w:snapToGrid w:val="0"/>
              <w:spacing w:line="360" w:lineRule="auto"/>
              <w:jc w:val="center"/>
              <w:rPr>
                <w:rFonts w:cs="Times New Roman" w:eastAsiaTheme="minorHAnsi"/>
                <w:color w:val="000000" w:themeColor="text1"/>
                <w:szCs w:val="21"/>
                <w14:textFill>
                  <w14:solidFill>
                    <w14:schemeClr w14:val="tx1"/>
                  </w14:solidFill>
                </w14:textFill>
              </w:rPr>
            </w:pPr>
            <w:r>
              <w:rPr>
                <w:rFonts w:hint="eastAsia" w:cs="Times New Roman" w:eastAsiaTheme="minorHAnsi"/>
                <w:color w:val="000000" w:themeColor="text1"/>
                <w:szCs w:val="21"/>
                <w14:textFill>
                  <w14:solidFill>
                    <w14:schemeClr w14:val="tx1"/>
                  </w14:solidFill>
                </w14:textFill>
              </w:rPr>
              <w:t>2</w:t>
            </w:r>
          </w:p>
        </w:tc>
        <w:tc>
          <w:tcPr>
            <w:tcW w:w="3814" w:type="dxa"/>
            <w:tcBorders>
              <w:top w:val="single" w:color="auto" w:sz="4" w:space="0"/>
              <w:left w:val="nil"/>
              <w:bottom w:val="single" w:color="auto" w:sz="4" w:space="0"/>
              <w:right w:val="single" w:color="auto" w:sz="4" w:space="0"/>
            </w:tcBorders>
            <w:shd w:val="clear" w:color="auto" w:fill="auto"/>
            <w:vAlign w:val="center"/>
          </w:tcPr>
          <w:p w14:paraId="7FB5727A">
            <w:pPr>
              <w:adjustRightInd w:val="0"/>
              <w:snapToGrid w:val="0"/>
              <w:spacing w:line="360" w:lineRule="auto"/>
              <w:jc w:val="center"/>
              <w:rPr>
                <w:rFonts w:cs="Times New Roman" w:eastAsiaTheme="minorHAnsi"/>
                <w:color w:val="000000" w:themeColor="text1"/>
                <w:szCs w:val="21"/>
                <w14:textFill>
                  <w14:solidFill>
                    <w14:schemeClr w14:val="tx1"/>
                  </w14:solidFill>
                </w14:textFill>
              </w:rPr>
            </w:pPr>
            <w:r>
              <w:rPr>
                <w:rFonts w:hint="eastAsia" w:cs="Times New Roman" w:eastAsiaTheme="minorHAnsi"/>
                <w:color w:val="000000" w:themeColor="text1"/>
                <w:szCs w:val="21"/>
                <w14:textFill>
                  <w14:solidFill>
                    <w14:schemeClr w14:val="tx1"/>
                  </w14:solidFill>
                </w14:textFill>
              </w:rPr>
              <w:t>云计算超融合GPU服务器设备</w:t>
            </w:r>
          </w:p>
        </w:tc>
        <w:tc>
          <w:tcPr>
            <w:tcW w:w="837" w:type="dxa"/>
            <w:tcBorders>
              <w:top w:val="single" w:color="auto" w:sz="4" w:space="0"/>
              <w:left w:val="nil"/>
              <w:bottom w:val="single" w:color="auto" w:sz="4" w:space="0"/>
              <w:right w:val="single" w:color="auto" w:sz="4" w:space="0"/>
            </w:tcBorders>
            <w:shd w:val="clear" w:color="auto" w:fill="auto"/>
            <w:noWrap/>
            <w:vAlign w:val="center"/>
          </w:tcPr>
          <w:p w14:paraId="3BE8D52E">
            <w:pPr>
              <w:adjustRightInd w:val="0"/>
              <w:snapToGrid w:val="0"/>
              <w:spacing w:line="360" w:lineRule="auto"/>
              <w:jc w:val="center"/>
              <w:rPr>
                <w:rFonts w:cs="Times New Roman" w:eastAsiaTheme="minorHAnsi"/>
                <w:color w:val="000000" w:themeColor="text1"/>
                <w:szCs w:val="21"/>
                <w14:textFill>
                  <w14:solidFill>
                    <w14:schemeClr w14:val="tx1"/>
                  </w14:solidFill>
                </w14:textFill>
              </w:rPr>
            </w:pPr>
            <w:r>
              <w:rPr>
                <w:rFonts w:hint="eastAsia" w:cs="Times New Roman" w:eastAsiaTheme="minorHAnsi"/>
                <w:color w:val="000000" w:themeColor="text1"/>
                <w:szCs w:val="21"/>
                <w14:textFill>
                  <w14:solidFill>
                    <w14:schemeClr w14:val="tx1"/>
                  </w14:solidFill>
                </w14:textFill>
              </w:rPr>
              <w:t>台</w:t>
            </w:r>
          </w:p>
        </w:tc>
        <w:tc>
          <w:tcPr>
            <w:tcW w:w="1276" w:type="dxa"/>
            <w:tcBorders>
              <w:top w:val="single" w:color="auto" w:sz="4" w:space="0"/>
              <w:left w:val="nil"/>
              <w:bottom w:val="single" w:color="auto" w:sz="4" w:space="0"/>
              <w:right w:val="single" w:color="auto" w:sz="4" w:space="0"/>
            </w:tcBorders>
            <w:shd w:val="clear" w:color="auto" w:fill="auto"/>
            <w:noWrap/>
            <w:vAlign w:val="center"/>
          </w:tcPr>
          <w:p w14:paraId="7B794F22">
            <w:pPr>
              <w:adjustRightInd w:val="0"/>
              <w:snapToGrid w:val="0"/>
              <w:spacing w:line="360" w:lineRule="auto"/>
              <w:jc w:val="center"/>
              <w:rPr>
                <w:rFonts w:cs="Times New Roman" w:eastAsiaTheme="minorHAnsi"/>
                <w:color w:val="000000" w:themeColor="text1"/>
                <w:szCs w:val="21"/>
                <w14:textFill>
                  <w14:solidFill>
                    <w14:schemeClr w14:val="tx1"/>
                  </w14:solidFill>
                </w14:textFill>
              </w:rPr>
            </w:pPr>
            <w:r>
              <w:rPr>
                <w:rFonts w:hint="eastAsia" w:cs="Times New Roman" w:eastAsiaTheme="minorHAnsi"/>
                <w:color w:val="000000" w:themeColor="text1"/>
                <w:szCs w:val="21"/>
                <w14:textFill>
                  <w14:solidFill>
                    <w14:schemeClr w14:val="tx1"/>
                  </w14:solidFill>
                </w14:textFill>
              </w:rPr>
              <w:t>5</w:t>
            </w:r>
          </w:p>
        </w:tc>
        <w:tc>
          <w:tcPr>
            <w:tcW w:w="2013" w:type="dxa"/>
            <w:tcBorders>
              <w:top w:val="single" w:color="auto" w:sz="4" w:space="0"/>
              <w:left w:val="nil"/>
              <w:bottom w:val="single" w:color="auto" w:sz="4" w:space="0"/>
              <w:right w:val="single" w:color="auto" w:sz="4" w:space="0"/>
            </w:tcBorders>
            <w:shd w:val="clear" w:color="auto" w:fill="auto"/>
            <w:noWrap/>
            <w:vAlign w:val="center"/>
          </w:tcPr>
          <w:p w14:paraId="620A2FD0">
            <w:pPr>
              <w:adjustRightInd w:val="0"/>
              <w:snapToGrid w:val="0"/>
              <w:spacing w:line="360" w:lineRule="auto"/>
              <w:jc w:val="center"/>
              <w:rPr>
                <w:rFonts w:cs="Times New Roman" w:eastAsiaTheme="minorHAnsi"/>
                <w:color w:val="000000" w:themeColor="text1"/>
                <w:szCs w:val="21"/>
                <w14:textFill>
                  <w14:solidFill>
                    <w14:schemeClr w14:val="tx1"/>
                  </w14:solidFill>
                </w14:textFill>
              </w:rPr>
            </w:pPr>
            <w:r>
              <w:rPr>
                <w:rFonts w:hint="eastAsia" w:cs="Times New Roman" w:eastAsiaTheme="minorHAnsi"/>
                <w:color w:val="000000" w:themeColor="text1"/>
                <w:szCs w:val="21"/>
                <w14:textFill>
                  <w14:solidFill>
                    <w14:schemeClr w14:val="tx1"/>
                  </w14:solidFill>
                </w14:textFill>
              </w:rPr>
              <w:t>详见技术参数</w:t>
            </w:r>
          </w:p>
        </w:tc>
      </w:tr>
    </w:tbl>
    <w:p w14:paraId="451964F3">
      <w:pPr>
        <w:pStyle w:val="2"/>
        <w:numPr>
          <w:ilvl w:val="0"/>
          <w:numId w:val="2"/>
        </w:numPr>
        <w:spacing w:line="360" w:lineRule="auto"/>
        <w:rPr>
          <w:rFonts w:eastAsiaTheme="minorHAnsi"/>
          <w:sz w:val="32"/>
        </w:rPr>
      </w:pPr>
      <w:bookmarkStart w:id="3" w:name="_Toc2992"/>
      <w:r>
        <w:rPr>
          <w:rFonts w:hint="eastAsia" w:eastAsiaTheme="minorHAnsi"/>
          <w:sz w:val="32"/>
        </w:rPr>
        <w:t>技术参数</w:t>
      </w:r>
      <w:bookmarkEnd w:id="3"/>
    </w:p>
    <w:p w14:paraId="0E166692">
      <w:pPr>
        <w:spacing w:line="360" w:lineRule="auto"/>
        <w:ind w:firstLine="420" w:firstLineChars="200"/>
      </w:pPr>
      <w:r>
        <w:rPr>
          <w:rFonts w:cs="Times New Roman" w:eastAsiaTheme="minorHAnsi"/>
          <w:bCs/>
          <w:szCs w:val="24"/>
        </w:rPr>
        <w:t>★</w:t>
      </w:r>
      <w:r>
        <w:rPr>
          <w:rFonts w:hint="eastAsia" w:cs="Times New Roman" w:eastAsiaTheme="minorHAnsi"/>
          <w:bCs/>
          <w:szCs w:val="24"/>
        </w:rPr>
        <w:t>和</w:t>
      </w:r>
      <w:r>
        <w:rPr>
          <w:rFonts w:cs="Times New Roman" w:eastAsiaTheme="minorHAnsi"/>
          <w:bCs/>
          <w:szCs w:val="24"/>
        </w:rPr>
        <w:t>▲</w:t>
      </w:r>
      <w:r>
        <w:rPr>
          <w:rFonts w:hint="eastAsia" w:cs="Times New Roman" w:eastAsiaTheme="minorHAnsi"/>
          <w:bCs/>
          <w:szCs w:val="24"/>
        </w:rPr>
        <w:t>技术参数应</w:t>
      </w:r>
      <w:r>
        <w:rPr>
          <w:rFonts w:hint="eastAsia" w:cs="Times New Roman" w:eastAsiaTheme="minorHAnsi"/>
          <w:bCs/>
          <w:szCs w:val="24"/>
          <w:lang w:eastAsia="zh-CN"/>
        </w:rPr>
        <w:t>按照招标文件要求</w:t>
      </w:r>
      <w:r>
        <w:rPr>
          <w:rFonts w:hint="eastAsia" w:cs="Times New Roman" w:eastAsiaTheme="minorHAnsi"/>
          <w:bCs/>
          <w:szCs w:val="24"/>
        </w:rPr>
        <w:t>提供技术支持资料</w:t>
      </w:r>
      <w:r>
        <w:rPr>
          <w:rFonts w:hint="eastAsia" w:cs="Times New Roman" w:eastAsiaTheme="minorHAnsi"/>
          <w:bCs/>
          <w:szCs w:val="24"/>
          <w:lang w:eastAsia="zh-CN"/>
        </w:rPr>
        <w:t>或承诺函。</w:t>
      </w:r>
      <w:r>
        <w:rPr>
          <w:rFonts w:cs="Times New Roman" w:eastAsiaTheme="minorHAnsi"/>
          <w:bCs/>
          <w:szCs w:val="24"/>
        </w:rPr>
        <w:t>技术支持资料以制造商公开发布的印刷资料（产品彩页、产品说明书、产品白皮书、官网截图）、界面截图、第三方检测机构出具的检测报告或在有效期内的证书扫描件等为准，投标人可以只提供上述材料关键页的复印件，关键页需体现投标产品的品牌、规格型号、相关性能指标，相关性能指标需以醒目的方式标明招标文件技术要求对应的序号</w:t>
      </w:r>
      <w:r>
        <w:rPr>
          <w:rFonts w:hint="eastAsia" w:cs="Times New Roman" w:eastAsiaTheme="minorHAnsi"/>
          <w:bCs/>
          <w:szCs w:val="24"/>
          <w:lang w:eastAsia="zh-CN"/>
        </w:rPr>
        <w:t>；如需提供承诺函，需提供加盖投标人公章的承诺函；</w:t>
      </w:r>
      <w:r>
        <w:rPr>
          <w:rFonts w:cs="Times New Roman" w:eastAsiaTheme="minorHAnsi"/>
          <w:bCs/>
          <w:szCs w:val="24"/>
        </w:rPr>
        <w:t>凡不符合上述要求的视为无效技术支持资料</w:t>
      </w:r>
      <w:r>
        <w:rPr>
          <w:rFonts w:hint="eastAsia" w:cs="Times New Roman" w:eastAsiaTheme="minorHAnsi"/>
          <w:bCs/>
          <w:szCs w:val="24"/>
        </w:rPr>
        <w:t>。</w:t>
      </w:r>
    </w:p>
    <w:p w14:paraId="3E58C3C4">
      <w:pPr>
        <w:pStyle w:val="3"/>
        <w:spacing w:line="360" w:lineRule="auto"/>
        <w:rPr>
          <w:rFonts w:asciiTheme="minorHAnsi" w:hAnsiTheme="minorHAnsi" w:eastAsiaTheme="minorHAnsi"/>
          <w:sz w:val="28"/>
        </w:rPr>
      </w:pPr>
      <w:r>
        <w:rPr>
          <w:rFonts w:hint="eastAsia" w:asciiTheme="minorHAnsi" w:hAnsiTheme="minorHAnsi" w:eastAsiaTheme="minorHAnsi"/>
          <w:sz w:val="28"/>
        </w:rPr>
        <w:t>1.推理计算GPU服务器设备</w:t>
      </w:r>
    </w:p>
    <w:tbl>
      <w:tblPr>
        <w:tblStyle w:val="11"/>
        <w:tblW w:w="10773" w:type="dxa"/>
        <w:tblInd w:w="-572" w:type="dxa"/>
        <w:tblLayout w:type="autofit"/>
        <w:tblCellMar>
          <w:top w:w="0" w:type="dxa"/>
          <w:left w:w="108" w:type="dxa"/>
          <w:bottom w:w="0" w:type="dxa"/>
          <w:right w:w="108" w:type="dxa"/>
        </w:tblCellMar>
      </w:tblPr>
      <w:tblGrid>
        <w:gridCol w:w="1380"/>
        <w:gridCol w:w="9393"/>
      </w:tblGrid>
      <w:tr w14:paraId="77AE0224">
        <w:tblPrEx>
          <w:tblCellMar>
            <w:top w:w="0" w:type="dxa"/>
            <w:left w:w="108" w:type="dxa"/>
            <w:bottom w:w="0" w:type="dxa"/>
            <w:right w:w="108" w:type="dxa"/>
          </w:tblCellMar>
        </w:tblPrEx>
        <w:trPr>
          <w:trHeight w:val="264" w:hRule="atLeast"/>
        </w:trPr>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14:paraId="4D3F1573">
            <w:pPr>
              <w:widowControl/>
              <w:spacing w:line="360" w:lineRule="auto"/>
              <w:jc w:val="center"/>
              <w:rPr>
                <w:rFonts w:ascii="等线" w:hAnsi="等线" w:eastAsia="等线" w:cs="宋体"/>
                <w:b/>
                <w:bCs/>
                <w:color w:val="000000"/>
                <w:kern w:val="0"/>
                <w:szCs w:val="21"/>
              </w:rPr>
            </w:pPr>
            <w:r>
              <w:rPr>
                <w:rFonts w:hint="eastAsia" w:ascii="等线" w:hAnsi="等线" w:eastAsia="等线" w:cs="宋体"/>
                <w:b/>
                <w:bCs/>
                <w:color w:val="000000"/>
                <w:kern w:val="0"/>
                <w:szCs w:val="21"/>
              </w:rPr>
              <w:t>功能明细</w:t>
            </w:r>
          </w:p>
        </w:tc>
        <w:tc>
          <w:tcPr>
            <w:tcW w:w="9393" w:type="dxa"/>
            <w:tcBorders>
              <w:top w:val="single" w:color="auto" w:sz="4" w:space="0"/>
              <w:left w:val="nil"/>
              <w:bottom w:val="single" w:color="auto" w:sz="4" w:space="0"/>
              <w:right w:val="single" w:color="auto" w:sz="4" w:space="0"/>
            </w:tcBorders>
            <w:shd w:val="clear" w:color="auto" w:fill="auto"/>
            <w:vAlign w:val="center"/>
          </w:tcPr>
          <w:p w14:paraId="1C33E2BA">
            <w:pPr>
              <w:widowControl/>
              <w:spacing w:line="360" w:lineRule="auto"/>
              <w:jc w:val="center"/>
              <w:rPr>
                <w:rFonts w:ascii="等线" w:hAnsi="等线" w:eastAsia="等线" w:cs="宋体"/>
                <w:b/>
                <w:bCs/>
                <w:color w:val="000000"/>
                <w:kern w:val="0"/>
                <w:szCs w:val="21"/>
              </w:rPr>
            </w:pPr>
            <w:r>
              <w:rPr>
                <w:rFonts w:hint="eastAsia" w:ascii="等线" w:hAnsi="等线" w:eastAsia="等线" w:cs="宋体"/>
                <w:b/>
                <w:bCs/>
                <w:color w:val="000000"/>
                <w:kern w:val="0"/>
                <w:szCs w:val="21"/>
              </w:rPr>
              <w:t>参数要求</w:t>
            </w:r>
          </w:p>
        </w:tc>
      </w:tr>
      <w:tr w14:paraId="6E41F8CB">
        <w:tblPrEx>
          <w:tblCellMar>
            <w:top w:w="0" w:type="dxa"/>
            <w:left w:w="108" w:type="dxa"/>
            <w:bottom w:w="0" w:type="dxa"/>
            <w:right w:w="108" w:type="dxa"/>
          </w:tblCellMar>
        </w:tblPrEx>
        <w:trPr>
          <w:trHeight w:val="264" w:hRule="atLeast"/>
        </w:trPr>
        <w:tc>
          <w:tcPr>
            <w:tcW w:w="1380" w:type="dxa"/>
            <w:tcBorders>
              <w:top w:val="nil"/>
              <w:left w:val="single" w:color="auto" w:sz="4" w:space="0"/>
              <w:bottom w:val="single" w:color="auto" w:sz="4" w:space="0"/>
              <w:right w:val="single" w:color="auto" w:sz="4" w:space="0"/>
            </w:tcBorders>
            <w:shd w:val="clear" w:color="auto" w:fill="auto"/>
            <w:vAlign w:val="center"/>
          </w:tcPr>
          <w:p w14:paraId="2E7C95BB">
            <w:pPr>
              <w:widowControl/>
              <w:spacing w:line="360" w:lineRule="auto"/>
              <w:jc w:val="center"/>
              <w:rPr>
                <w:rFonts w:ascii="等线" w:hAnsi="等线" w:eastAsia="等线" w:cs="宋体"/>
                <w:color w:val="000000"/>
                <w:kern w:val="0"/>
                <w:szCs w:val="21"/>
              </w:rPr>
            </w:pPr>
            <w:r>
              <w:rPr>
                <w:rFonts w:hint="eastAsia" w:ascii="等线" w:hAnsi="等线" w:eastAsia="等线" w:cs="宋体"/>
                <w:color w:val="000000"/>
                <w:kern w:val="0"/>
                <w:szCs w:val="21"/>
              </w:rPr>
              <w:t>规格</w:t>
            </w:r>
          </w:p>
        </w:tc>
        <w:tc>
          <w:tcPr>
            <w:tcW w:w="9393" w:type="dxa"/>
            <w:tcBorders>
              <w:top w:val="nil"/>
              <w:left w:val="nil"/>
              <w:bottom w:val="single" w:color="auto" w:sz="4" w:space="0"/>
              <w:right w:val="single" w:color="auto" w:sz="4" w:space="0"/>
            </w:tcBorders>
            <w:shd w:val="clear" w:color="auto" w:fill="auto"/>
            <w:vAlign w:val="center"/>
          </w:tcPr>
          <w:p w14:paraId="4F124227">
            <w:pPr>
              <w:widowControl/>
              <w:spacing w:line="360" w:lineRule="auto"/>
              <w:jc w:val="left"/>
              <w:rPr>
                <w:rFonts w:ascii="等线" w:hAnsi="等线" w:eastAsia="等线" w:cs="宋体"/>
                <w:color w:val="000000"/>
                <w:kern w:val="0"/>
                <w:szCs w:val="21"/>
              </w:rPr>
            </w:pPr>
            <w:r>
              <w:rPr>
                <w:rFonts w:hint="eastAsia" w:ascii="等线" w:hAnsi="等线" w:eastAsia="等线" w:cs="宋体"/>
                <w:color w:val="000000"/>
                <w:kern w:val="0"/>
                <w:szCs w:val="21"/>
              </w:rPr>
              <w:t>每台设备为6U机架式</w:t>
            </w:r>
          </w:p>
        </w:tc>
      </w:tr>
      <w:tr w14:paraId="2C685DE8">
        <w:tblPrEx>
          <w:tblCellMar>
            <w:top w:w="0" w:type="dxa"/>
            <w:left w:w="108" w:type="dxa"/>
            <w:bottom w:w="0" w:type="dxa"/>
            <w:right w:w="108" w:type="dxa"/>
          </w:tblCellMar>
        </w:tblPrEx>
        <w:trPr>
          <w:trHeight w:val="528" w:hRule="atLeast"/>
        </w:trPr>
        <w:tc>
          <w:tcPr>
            <w:tcW w:w="1380" w:type="dxa"/>
            <w:tcBorders>
              <w:top w:val="nil"/>
              <w:left w:val="single" w:color="auto" w:sz="4" w:space="0"/>
              <w:bottom w:val="single" w:color="auto" w:sz="4" w:space="0"/>
              <w:right w:val="single" w:color="auto" w:sz="4" w:space="0"/>
            </w:tcBorders>
            <w:shd w:val="clear" w:color="auto" w:fill="auto"/>
            <w:vAlign w:val="center"/>
          </w:tcPr>
          <w:p w14:paraId="60A95BCC">
            <w:pPr>
              <w:widowControl/>
              <w:spacing w:line="360" w:lineRule="auto"/>
              <w:jc w:val="center"/>
              <w:rPr>
                <w:rFonts w:ascii="等线" w:hAnsi="等线" w:eastAsia="等线" w:cs="宋体"/>
                <w:color w:val="000000"/>
                <w:kern w:val="0"/>
                <w:szCs w:val="21"/>
              </w:rPr>
            </w:pPr>
            <w:r>
              <w:rPr>
                <w:rFonts w:hint="eastAsia" w:ascii="等线" w:hAnsi="等线" w:eastAsia="等线" w:cs="宋体"/>
                <w:color w:val="000000"/>
                <w:kern w:val="0"/>
                <w:szCs w:val="21"/>
              </w:rPr>
              <w:t>处理器</w:t>
            </w:r>
          </w:p>
        </w:tc>
        <w:tc>
          <w:tcPr>
            <w:tcW w:w="9393" w:type="dxa"/>
            <w:tcBorders>
              <w:top w:val="nil"/>
              <w:left w:val="nil"/>
              <w:bottom w:val="single" w:color="auto" w:sz="4" w:space="0"/>
              <w:right w:val="single" w:color="auto" w:sz="4" w:space="0"/>
            </w:tcBorders>
            <w:shd w:val="clear" w:color="auto" w:fill="auto"/>
            <w:vAlign w:val="center"/>
          </w:tcPr>
          <w:p w14:paraId="55907ED4">
            <w:pPr>
              <w:widowControl/>
              <w:spacing w:line="360" w:lineRule="auto"/>
              <w:jc w:val="left"/>
              <w:rPr>
                <w:rFonts w:ascii="等线" w:hAnsi="等线" w:eastAsia="等线" w:cs="宋体"/>
                <w:color w:val="000000"/>
                <w:kern w:val="0"/>
                <w:szCs w:val="21"/>
              </w:rPr>
            </w:pPr>
            <w:r>
              <w:rPr>
                <w:rFonts w:cs="Times New Roman" w:eastAsiaTheme="minorHAnsi"/>
                <w:bCs/>
                <w:szCs w:val="24"/>
              </w:rPr>
              <w:t>★</w:t>
            </w:r>
            <w:r>
              <w:rPr>
                <w:rFonts w:hint="eastAsia" w:ascii="等线" w:hAnsi="等线" w:eastAsia="等线" w:cs="宋体"/>
                <w:color w:val="000000"/>
                <w:kern w:val="0"/>
                <w:szCs w:val="21"/>
              </w:rPr>
              <w:t>配置≥2颗处理器，单颗处理器满足：核心≥32，主频≥2.3GHz，缓存≥144MB，支持AVX-512，AMX等指令集</w:t>
            </w:r>
            <w:r>
              <w:rPr>
                <w:rFonts w:hint="eastAsia" w:cs="宋体" w:eastAsiaTheme="minorHAnsi"/>
                <w:color w:val="000000"/>
                <w:kern w:val="0"/>
                <w:szCs w:val="21"/>
              </w:rPr>
              <w:t>（提供技术支持材料）</w:t>
            </w:r>
            <w:r>
              <w:rPr>
                <w:rFonts w:hint="eastAsia" w:ascii="等线" w:hAnsi="等线" w:eastAsia="等线" w:cs="宋体"/>
                <w:color w:val="000000"/>
                <w:kern w:val="0"/>
                <w:szCs w:val="21"/>
              </w:rPr>
              <w:t xml:space="preserve"> </w:t>
            </w:r>
          </w:p>
        </w:tc>
      </w:tr>
      <w:tr w14:paraId="38224A3A">
        <w:tblPrEx>
          <w:tblCellMar>
            <w:top w:w="0" w:type="dxa"/>
            <w:left w:w="108" w:type="dxa"/>
            <w:bottom w:w="0" w:type="dxa"/>
            <w:right w:w="108" w:type="dxa"/>
          </w:tblCellMar>
        </w:tblPrEx>
        <w:trPr>
          <w:trHeight w:val="264" w:hRule="atLeast"/>
        </w:trPr>
        <w:tc>
          <w:tcPr>
            <w:tcW w:w="1380" w:type="dxa"/>
            <w:tcBorders>
              <w:top w:val="nil"/>
              <w:left w:val="single" w:color="auto" w:sz="4" w:space="0"/>
              <w:bottom w:val="single" w:color="auto" w:sz="4" w:space="0"/>
              <w:right w:val="single" w:color="auto" w:sz="4" w:space="0"/>
            </w:tcBorders>
            <w:shd w:val="clear" w:color="auto" w:fill="auto"/>
            <w:vAlign w:val="center"/>
          </w:tcPr>
          <w:p w14:paraId="2FF754A0">
            <w:pPr>
              <w:widowControl/>
              <w:spacing w:line="360" w:lineRule="auto"/>
              <w:jc w:val="center"/>
              <w:rPr>
                <w:rFonts w:ascii="等线" w:hAnsi="等线" w:eastAsia="等线" w:cs="宋体"/>
                <w:color w:val="000000"/>
                <w:kern w:val="0"/>
                <w:szCs w:val="21"/>
              </w:rPr>
            </w:pPr>
            <w:r>
              <w:rPr>
                <w:rFonts w:hint="eastAsia" w:ascii="等线" w:hAnsi="等线" w:eastAsia="等线" w:cs="宋体"/>
                <w:color w:val="000000"/>
                <w:kern w:val="0"/>
                <w:szCs w:val="21"/>
              </w:rPr>
              <w:t>内存</w:t>
            </w:r>
          </w:p>
        </w:tc>
        <w:tc>
          <w:tcPr>
            <w:tcW w:w="9393" w:type="dxa"/>
            <w:tcBorders>
              <w:top w:val="nil"/>
              <w:left w:val="nil"/>
              <w:bottom w:val="single" w:color="auto" w:sz="4" w:space="0"/>
              <w:right w:val="single" w:color="auto" w:sz="4" w:space="0"/>
            </w:tcBorders>
            <w:shd w:val="clear" w:color="auto" w:fill="auto"/>
            <w:vAlign w:val="center"/>
          </w:tcPr>
          <w:p w14:paraId="0A09B26E">
            <w:pPr>
              <w:widowControl/>
              <w:spacing w:line="360" w:lineRule="auto"/>
              <w:jc w:val="left"/>
              <w:rPr>
                <w:rFonts w:ascii="等线" w:hAnsi="等线" w:eastAsia="等线" w:cs="宋体"/>
                <w:color w:val="000000"/>
                <w:kern w:val="0"/>
                <w:szCs w:val="21"/>
              </w:rPr>
            </w:pPr>
            <w:r>
              <w:rPr>
                <w:rFonts w:hint="eastAsia" w:ascii="等线" w:hAnsi="等线" w:eastAsia="等线" w:cs="宋体"/>
                <w:color w:val="000000"/>
                <w:kern w:val="0"/>
                <w:szCs w:val="21"/>
              </w:rPr>
              <w:t>支持≥32个内存插槽，配置≥16根64GB DDR5 6400MHz</w:t>
            </w:r>
          </w:p>
        </w:tc>
      </w:tr>
      <w:tr w14:paraId="1A4FD364">
        <w:tblPrEx>
          <w:tblCellMar>
            <w:top w:w="0" w:type="dxa"/>
            <w:left w:w="108" w:type="dxa"/>
            <w:bottom w:w="0" w:type="dxa"/>
            <w:right w:w="108" w:type="dxa"/>
          </w:tblCellMar>
        </w:tblPrEx>
        <w:trPr>
          <w:trHeight w:val="528" w:hRule="atLeast"/>
        </w:trPr>
        <w:tc>
          <w:tcPr>
            <w:tcW w:w="1380" w:type="dxa"/>
            <w:vMerge w:val="restart"/>
            <w:tcBorders>
              <w:top w:val="nil"/>
              <w:left w:val="single" w:color="auto" w:sz="4" w:space="0"/>
              <w:bottom w:val="single" w:color="auto" w:sz="4" w:space="0"/>
              <w:right w:val="single" w:color="auto" w:sz="4" w:space="0"/>
            </w:tcBorders>
            <w:shd w:val="clear" w:color="auto" w:fill="auto"/>
            <w:vAlign w:val="center"/>
          </w:tcPr>
          <w:p w14:paraId="0E81E582">
            <w:pPr>
              <w:widowControl/>
              <w:spacing w:line="360" w:lineRule="auto"/>
              <w:jc w:val="center"/>
              <w:rPr>
                <w:rFonts w:ascii="等线" w:hAnsi="等线" w:eastAsia="等线" w:cs="宋体"/>
                <w:color w:val="000000"/>
                <w:kern w:val="0"/>
                <w:szCs w:val="21"/>
              </w:rPr>
            </w:pPr>
            <w:r>
              <w:rPr>
                <w:rFonts w:hint="eastAsia" w:ascii="等线" w:hAnsi="等线" w:eastAsia="等线" w:cs="宋体"/>
                <w:color w:val="000000"/>
                <w:kern w:val="0"/>
                <w:szCs w:val="21"/>
              </w:rPr>
              <w:t>本地存储</w:t>
            </w:r>
          </w:p>
        </w:tc>
        <w:tc>
          <w:tcPr>
            <w:tcW w:w="9393" w:type="dxa"/>
            <w:tcBorders>
              <w:top w:val="nil"/>
              <w:left w:val="nil"/>
              <w:bottom w:val="single" w:color="auto" w:sz="4" w:space="0"/>
              <w:right w:val="single" w:color="auto" w:sz="4" w:space="0"/>
            </w:tcBorders>
            <w:shd w:val="clear" w:color="auto" w:fill="auto"/>
            <w:vAlign w:val="center"/>
          </w:tcPr>
          <w:p w14:paraId="5888E34F">
            <w:pPr>
              <w:widowControl/>
              <w:spacing w:line="360" w:lineRule="auto"/>
              <w:jc w:val="left"/>
              <w:rPr>
                <w:rFonts w:ascii="等线" w:hAnsi="等线" w:eastAsia="等线" w:cs="宋体"/>
                <w:color w:val="000000"/>
                <w:kern w:val="0"/>
                <w:szCs w:val="21"/>
              </w:rPr>
            </w:pPr>
            <w:r>
              <w:rPr>
                <w:rFonts w:hint="eastAsia" w:ascii="等线" w:hAnsi="等线" w:eastAsia="等线" w:cs="宋体"/>
                <w:color w:val="000000"/>
                <w:kern w:val="0"/>
                <w:szCs w:val="21"/>
              </w:rPr>
              <w:t>▲支持≥24个2.5"或12个3.5" SAS/SATA硬盘，可支持≥16个NVMe或E3.S</w:t>
            </w:r>
            <w:r>
              <w:rPr>
                <w:rFonts w:hint="eastAsia" w:cs="宋体" w:eastAsiaTheme="minorHAnsi"/>
                <w:color w:val="000000"/>
                <w:kern w:val="0"/>
                <w:szCs w:val="21"/>
              </w:rPr>
              <w:t>（提供技术支持材料）</w:t>
            </w:r>
            <w:r>
              <w:rPr>
                <w:rFonts w:hint="eastAsia" w:ascii="等线" w:hAnsi="等线" w:eastAsia="等线" w:cs="宋体"/>
                <w:color w:val="000000"/>
                <w:kern w:val="0"/>
                <w:szCs w:val="21"/>
              </w:rPr>
              <w:t xml:space="preserve"> </w:t>
            </w:r>
          </w:p>
        </w:tc>
      </w:tr>
      <w:tr w14:paraId="696E3EAD">
        <w:tblPrEx>
          <w:tblCellMar>
            <w:top w:w="0" w:type="dxa"/>
            <w:left w:w="108" w:type="dxa"/>
            <w:bottom w:w="0" w:type="dxa"/>
            <w:right w:w="108" w:type="dxa"/>
          </w:tblCellMar>
        </w:tblPrEx>
        <w:trPr>
          <w:trHeight w:val="264" w:hRule="atLeast"/>
        </w:trPr>
        <w:tc>
          <w:tcPr>
            <w:tcW w:w="1380" w:type="dxa"/>
            <w:vMerge w:val="continue"/>
            <w:tcBorders>
              <w:top w:val="nil"/>
              <w:left w:val="single" w:color="auto" w:sz="4" w:space="0"/>
              <w:bottom w:val="single" w:color="auto" w:sz="4" w:space="0"/>
              <w:right w:val="single" w:color="auto" w:sz="4" w:space="0"/>
            </w:tcBorders>
            <w:vAlign w:val="center"/>
          </w:tcPr>
          <w:p w14:paraId="7E7CA047">
            <w:pPr>
              <w:widowControl/>
              <w:spacing w:line="360" w:lineRule="auto"/>
              <w:jc w:val="left"/>
              <w:rPr>
                <w:rFonts w:ascii="等线" w:hAnsi="等线" w:eastAsia="等线" w:cs="宋体"/>
                <w:color w:val="000000"/>
                <w:kern w:val="0"/>
                <w:szCs w:val="21"/>
              </w:rPr>
            </w:pPr>
          </w:p>
        </w:tc>
        <w:tc>
          <w:tcPr>
            <w:tcW w:w="9393" w:type="dxa"/>
            <w:tcBorders>
              <w:top w:val="nil"/>
              <w:left w:val="nil"/>
              <w:bottom w:val="single" w:color="auto" w:sz="4" w:space="0"/>
              <w:right w:val="single" w:color="auto" w:sz="4" w:space="0"/>
            </w:tcBorders>
            <w:shd w:val="clear" w:color="auto" w:fill="auto"/>
            <w:vAlign w:val="center"/>
          </w:tcPr>
          <w:p w14:paraId="1CEE455E">
            <w:pPr>
              <w:widowControl/>
              <w:spacing w:line="360" w:lineRule="auto"/>
              <w:jc w:val="left"/>
              <w:rPr>
                <w:rFonts w:ascii="等线" w:hAnsi="等线" w:eastAsia="等线" w:cs="宋体"/>
                <w:color w:val="000000"/>
                <w:kern w:val="0"/>
                <w:szCs w:val="21"/>
              </w:rPr>
            </w:pPr>
            <w:r>
              <w:rPr>
                <w:rFonts w:hint="eastAsia" w:ascii="等线" w:hAnsi="等线" w:eastAsia="等线" w:cs="宋体"/>
                <w:color w:val="000000"/>
                <w:kern w:val="0"/>
                <w:szCs w:val="21"/>
              </w:rPr>
              <w:t>配置≥2块960GB SSD硬盘，配置≥2块3.84TB SSD硬盘</w:t>
            </w:r>
          </w:p>
        </w:tc>
      </w:tr>
      <w:tr w14:paraId="158D300A">
        <w:tblPrEx>
          <w:tblCellMar>
            <w:top w:w="0" w:type="dxa"/>
            <w:left w:w="108" w:type="dxa"/>
            <w:bottom w:w="0" w:type="dxa"/>
            <w:right w:w="108" w:type="dxa"/>
          </w:tblCellMar>
        </w:tblPrEx>
        <w:trPr>
          <w:trHeight w:val="264" w:hRule="atLeast"/>
        </w:trPr>
        <w:tc>
          <w:tcPr>
            <w:tcW w:w="1380" w:type="dxa"/>
            <w:tcBorders>
              <w:top w:val="nil"/>
              <w:left w:val="single" w:color="auto" w:sz="4" w:space="0"/>
              <w:bottom w:val="single" w:color="auto" w:sz="4" w:space="0"/>
              <w:right w:val="single" w:color="auto" w:sz="4" w:space="0"/>
            </w:tcBorders>
            <w:shd w:val="clear" w:color="auto" w:fill="auto"/>
            <w:vAlign w:val="center"/>
          </w:tcPr>
          <w:p w14:paraId="6139FD3B">
            <w:pPr>
              <w:widowControl/>
              <w:spacing w:line="360" w:lineRule="auto"/>
              <w:jc w:val="center"/>
              <w:rPr>
                <w:rFonts w:ascii="等线" w:hAnsi="等线" w:eastAsia="等线" w:cs="宋体"/>
                <w:color w:val="000000"/>
                <w:kern w:val="0"/>
                <w:szCs w:val="21"/>
              </w:rPr>
            </w:pPr>
            <w:r>
              <w:rPr>
                <w:rFonts w:hint="eastAsia" w:ascii="等线" w:hAnsi="等线" w:eastAsia="等线" w:cs="宋体"/>
                <w:color w:val="000000"/>
                <w:kern w:val="0"/>
                <w:szCs w:val="21"/>
              </w:rPr>
              <w:t>扩展性</w:t>
            </w:r>
          </w:p>
        </w:tc>
        <w:tc>
          <w:tcPr>
            <w:tcW w:w="9393" w:type="dxa"/>
            <w:tcBorders>
              <w:top w:val="nil"/>
              <w:left w:val="nil"/>
              <w:bottom w:val="single" w:color="auto" w:sz="4" w:space="0"/>
              <w:right w:val="single" w:color="auto" w:sz="4" w:space="0"/>
            </w:tcBorders>
            <w:shd w:val="clear" w:color="auto" w:fill="auto"/>
            <w:vAlign w:val="center"/>
          </w:tcPr>
          <w:p w14:paraId="4C8199D9">
            <w:pPr>
              <w:widowControl/>
              <w:spacing w:line="360" w:lineRule="auto"/>
              <w:jc w:val="left"/>
              <w:rPr>
                <w:rFonts w:ascii="等线" w:hAnsi="等线" w:eastAsia="等线" w:cs="宋体"/>
                <w:color w:val="000000"/>
                <w:kern w:val="0"/>
                <w:szCs w:val="21"/>
              </w:rPr>
            </w:pPr>
            <w:r>
              <w:rPr>
                <w:rFonts w:hint="eastAsia" w:ascii="等线" w:hAnsi="等线" w:eastAsia="等线" w:cs="宋体"/>
                <w:color w:val="000000"/>
                <w:kern w:val="0"/>
                <w:szCs w:val="21"/>
              </w:rPr>
              <w:t>除8个GPU插槽外，支持≥9个PCIe 5.0插槽及≥1个x16 OCP网卡插槽</w:t>
            </w:r>
          </w:p>
        </w:tc>
      </w:tr>
      <w:tr w14:paraId="3DC8F558">
        <w:tblPrEx>
          <w:tblCellMar>
            <w:top w:w="0" w:type="dxa"/>
            <w:left w:w="108" w:type="dxa"/>
            <w:bottom w:w="0" w:type="dxa"/>
            <w:right w:w="108" w:type="dxa"/>
          </w:tblCellMar>
        </w:tblPrEx>
        <w:trPr>
          <w:trHeight w:val="264" w:hRule="atLeast"/>
        </w:trPr>
        <w:tc>
          <w:tcPr>
            <w:tcW w:w="1380" w:type="dxa"/>
            <w:tcBorders>
              <w:top w:val="nil"/>
              <w:left w:val="single" w:color="auto" w:sz="4" w:space="0"/>
              <w:bottom w:val="single" w:color="auto" w:sz="4" w:space="0"/>
              <w:right w:val="single" w:color="auto" w:sz="4" w:space="0"/>
            </w:tcBorders>
            <w:shd w:val="clear" w:color="auto" w:fill="auto"/>
            <w:vAlign w:val="center"/>
          </w:tcPr>
          <w:p w14:paraId="72943F89">
            <w:pPr>
              <w:widowControl/>
              <w:spacing w:line="360" w:lineRule="auto"/>
              <w:jc w:val="center"/>
              <w:rPr>
                <w:rFonts w:ascii="等线" w:hAnsi="等线" w:eastAsia="等线" w:cs="宋体"/>
                <w:color w:val="000000"/>
                <w:kern w:val="0"/>
                <w:szCs w:val="21"/>
              </w:rPr>
            </w:pPr>
            <w:r>
              <w:rPr>
                <w:rFonts w:hint="eastAsia" w:ascii="等线" w:hAnsi="等线" w:eastAsia="等线" w:cs="宋体"/>
                <w:color w:val="000000"/>
                <w:kern w:val="0"/>
                <w:szCs w:val="21"/>
              </w:rPr>
              <w:t>阵列控制器</w:t>
            </w:r>
          </w:p>
        </w:tc>
        <w:tc>
          <w:tcPr>
            <w:tcW w:w="9393" w:type="dxa"/>
            <w:tcBorders>
              <w:top w:val="nil"/>
              <w:left w:val="nil"/>
              <w:bottom w:val="single" w:color="auto" w:sz="4" w:space="0"/>
              <w:right w:val="single" w:color="auto" w:sz="4" w:space="0"/>
            </w:tcBorders>
            <w:shd w:val="clear" w:color="auto" w:fill="auto"/>
            <w:vAlign w:val="center"/>
          </w:tcPr>
          <w:p w14:paraId="167A5E0E">
            <w:pPr>
              <w:widowControl/>
              <w:spacing w:line="360" w:lineRule="auto"/>
              <w:jc w:val="left"/>
              <w:rPr>
                <w:rFonts w:ascii="等线" w:hAnsi="等线" w:eastAsia="等线" w:cs="宋体"/>
                <w:color w:val="000000"/>
                <w:kern w:val="0"/>
                <w:szCs w:val="21"/>
              </w:rPr>
            </w:pPr>
            <w:r>
              <w:rPr>
                <w:rFonts w:hint="eastAsia" w:ascii="等线" w:hAnsi="等线" w:eastAsia="等线" w:cs="宋体"/>
                <w:color w:val="000000"/>
                <w:kern w:val="0"/>
                <w:szCs w:val="21"/>
              </w:rPr>
              <w:t>配置1块8通道SAS RAID卡，支持RAID 0/1/5/6，缓存≥4GB，配置电池或超级电容</w:t>
            </w:r>
          </w:p>
        </w:tc>
      </w:tr>
      <w:tr w14:paraId="7A35F29F">
        <w:tblPrEx>
          <w:tblCellMar>
            <w:top w:w="0" w:type="dxa"/>
            <w:left w:w="108" w:type="dxa"/>
            <w:bottom w:w="0" w:type="dxa"/>
            <w:right w:w="108" w:type="dxa"/>
          </w:tblCellMar>
        </w:tblPrEx>
        <w:trPr>
          <w:trHeight w:val="792" w:hRule="atLeast"/>
        </w:trPr>
        <w:tc>
          <w:tcPr>
            <w:tcW w:w="1380" w:type="dxa"/>
            <w:tcBorders>
              <w:top w:val="nil"/>
              <w:left w:val="single" w:color="auto" w:sz="4" w:space="0"/>
              <w:bottom w:val="single" w:color="auto" w:sz="4" w:space="0"/>
              <w:right w:val="single" w:color="auto" w:sz="4" w:space="0"/>
            </w:tcBorders>
            <w:shd w:val="clear" w:color="auto" w:fill="auto"/>
            <w:vAlign w:val="center"/>
          </w:tcPr>
          <w:p w14:paraId="0C12197E">
            <w:pPr>
              <w:widowControl/>
              <w:spacing w:line="360" w:lineRule="auto"/>
              <w:jc w:val="center"/>
              <w:rPr>
                <w:rFonts w:ascii="等线" w:hAnsi="等线" w:eastAsia="等线" w:cs="宋体"/>
                <w:color w:val="000000"/>
                <w:kern w:val="0"/>
                <w:szCs w:val="21"/>
              </w:rPr>
            </w:pPr>
            <w:r>
              <w:rPr>
                <w:rFonts w:hint="eastAsia" w:ascii="等线" w:hAnsi="等线" w:eastAsia="等线" w:cs="宋体"/>
                <w:color w:val="000000"/>
                <w:kern w:val="0"/>
                <w:szCs w:val="21"/>
              </w:rPr>
              <w:t>GPU</w:t>
            </w:r>
          </w:p>
        </w:tc>
        <w:tc>
          <w:tcPr>
            <w:tcW w:w="9393" w:type="dxa"/>
            <w:tcBorders>
              <w:top w:val="nil"/>
              <w:left w:val="nil"/>
              <w:bottom w:val="single" w:color="auto" w:sz="4" w:space="0"/>
              <w:right w:val="single" w:color="auto" w:sz="4" w:space="0"/>
            </w:tcBorders>
            <w:shd w:val="clear" w:color="auto" w:fill="auto"/>
            <w:vAlign w:val="center"/>
          </w:tcPr>
          <w:p w14:paraId="2FEDA343">
            <w:pPr>
              <w:widowControl/>
              <w:spacing w:line="360" w:lineRule="auto"/>
              <w:jc w:val="left"/>
              <w:rPr>
                <w:rFonts w:ascii="等线" w:hAnsi="等线" w:eastAsia="等线" w:cs="宋体"/>
                <w:color w:val="000000"/>
                <w:kern w:val="0"/>
                <w:szCs w:val="21"/>
              </w:rPr>
            </w:pPr>
            <w:r>
              <w:rPr>
                <w:rFonts w:cs="Times New Roman" w:eastAsiaTheme="minorHAnsi"/>
                <w:bCs/>
                <w:szCs w:val="24"/>
              </w:rPr>
              <w:t>★</w:t>
            </w:r>
            <w:r>
              <w:rPr>
                <w:rFonts w:hint="eastAsia" w:ascii="等线" w:hAnsi="等线" w:eastAsia="等线" w:cs="宋体"/>
                <w:color w:val="000000"/>
                <w:kern w:val="0"/>
                <w:szCs w:val="21"/>
              </w:rPr>
              <w:t>配置8块GPU加速卡，</w:t>
            </w:r>
            <w:bookmarkStart w:id="27" w:name="_GoBack"/>
            <w:bookmarkEnd w:id="27"/>
            <w:r>
              <w:rPr>
                <w:rFonts w:hint="eastAsia" w:ascii="等线" w:hAnsi="等线" w:eastAsia="等线" w:cs="宋体"/>
                <w:color w:val="000000"/>
                <w:kern w:val="0"/>
                <w:szCs w:val="21"/>
              </w:rPr>
              <w:t>单块GPU卡满足下列参数：FP16算力≥148TFLOPS，FP8算力≥290 TFLOPS，显存容量≥80GB，显存带宽≥1300GB/s</w:t>
            </w:r>
            <w:r>
              <w:rPr>
                <w:rFonts w:hint="eastAsia" w:cs="宋体" w:eastAsiaTheme="minorHAnsi"/>
                <w:color w:val="000000"/>
                <w:kern w:val="0"/>
                <w:szCs w:val="21"/>
              </w:rPr>
              <w:t>（提供技术支持材料）</w:t>
            </w:r>
          </w:p>
        </w:tc>
      </w:tr>
      <w:tr w14:paraId="7F4803F6">
        <w:tblPrEx>
          <w:tblCellMar>
            <w:top w:w="0" w:type="dxa"/>
            <w:left w:w="108" w:type="dxa"/>
            <w:bottom w:w="0" w:type="dxa"/>
            <w:right w:w="108" w:type="dxa"/>
          </w:tblCellMar>
        </w:tblPrEx>
        <w:trPr>
          <w:trHeight w:val="264" w:hRule="atLeast"/>
        </w:trPr>
        <w:tc>
          <w:tcPr>
            <w:tcW w:w="1380" w:type="dxa"/>
            <w:tcBorders>
              <w:top w:val="nil"/>
              <w:left w:val="single" w:color="auto" w:sz="4" w:space="0"/>
              <w:bottom w:val="single" w:color="auto" w:sz="4" w:space="0"/>
              <w:right w:val="single" w:color="auto" w:sz="4" w:space="0"/>
            </w:tcBorders>
            <w:shd w:val="clear" w:color="auto" w:fill="auto"/>
            <w:vAlign w:val="center"/>
          </w:tcPr>
          <w:p w14:paraId="5DBEB48E">
            <w:pPr>
              <w:widowControl/>
              <w:spacing w:line="360" w:lineRule="auto"/>
              <w:jc w:val="center"/>
              <w:rPr>
                <w:rFonts w:ascii="等线" w:hAnsi="等线" w:eastAsia="等线" w:cs="宋体"/>
                <w:color w:val="000000"/>
                <w:kern w:val="0"/>
                <w:szCs w:val="21"/>
              </w:rPr>
            </w:pPr>
            <w:r>
              <w:rPr>
                <w:rFonts w:hint="eastAsia" w:ascii="等线" w:hAnsi="等线" w:eastAsia="等线" w:cs="宋体"/>
                <w:color w:val="000000"/>
                <w:kern w:val="0"/>
                <w:szCs w:val="21"/>
              </w:rPr>
              <w:t>网卡</w:t>
            </w:r>
          </w:p>
        </w:tc>
        <w:tc>
          <w:tcPr>
            <w:tcW w:w="9393" w:type="dxa"/>
            <w:tcBorders>
              <w:top w:val="nil"/>
              <w:left w:val="nil"/>
              <w:bottom w:val="single" w:color="auto" w:sz="4" w:space="0"/>
              <w:right w:val="single" w:color="auto" w:sz="4" w:space="0"/>
            </w:tcBorders>
            <w:shd w:val="clear" w:color="auto" w:fill="auto"/>
            <w:vAlign w:val="center"/>
          </w:tcPr>
          <w:p w14:paraId="2F24AC77">
            <w:pPr>
              <w:widowControl/>
              <w:spacing w:line="360" w:lineRule="auto"/>
              <w:jc w:val="left"/>
              <w:rPr>
                <w:rFonts w:ascii="等线" w:hAnsi="等线" w:eastAsia="等线" w:cs="宋体"/>
                <w:color w:val="000000"/>
                <w:kern w:val="0"/>
                <w:szCs w:val="21"/>
              </w:rPr>
            </w:pPr>
            <w:r>
              <w:rPr>
                <w:rFonts w:hint="eastAsia" w:ascii="等线" w:hAnsi="等线" w:eastAsia="等线" w:cs="宋体"/>
                <w:color w:val="000000"/>
                <w:kern w:val="0"/>
                <w:szCs w:val="21"/>
              </w:rPr>
              <w:t>配置≥2个25Gb网口（含光模块）</w:t>
            </w:r>
          </w:p>
        </w:tc>
      </w:tr>
      <w:tr w14:paraId="4DA6893A">
        <w:tblPrEx>
          <w:tblCellMar>
            <w:top w:w="0" w:type="dxa"/>
            <w:left w:w="108" w:type="dxa"/>
            <w:bottom w:w="0" w:type="dxa"/>
            <w:right w:w="108" w:type="dxa"/>
          </w:tblCellMar>
        </w:tblPrEx>
        <w:trPr>
          <w:trHeight w:val="264" w:hRule="atLeast"/>
        </w:trPr>
        <w:tc>
          <w:tcPr>
            <w:tcW w:w="1380" w:type="dxa"/>
            <w:tcBorders>
              <w:top w:val="nil"/>
              <w:left w:val="single" w:color="auto" w:sz="4" w:space="0"/>
              <w:bottom w:val="single" w:color="auto" w:sz="4" w:space="0"/>
              <w:right w:val="single" w:color="auto" w:sz="4" w:space="0"/>
            </w:tcBorders>
            <w:shd w:val="clear" w:color="auto" w:fill="auto"/>
            <w:vAlign w:val="center"/>
          </w:tcPr>
          <w:p w14:paraId="4E1C9A9D">
            <w:pPr>
              <w:widowControl/>
              <w:spacing w:line="360" w:lineRule="auto"/>
              <w:jc w:val="center"/>
              <w:rPr>
                <w:rFonts w:ascii="等线" w:hAnsi="等线" w:eastAsia="等线" w:cs="宋体"/>
                <w:color w:val="000000"/>
                <w:kern w:val="0"/>
                <w:szCs w:val="21"/>
              </w:rPr>
            </w:pPr>
            <w:r>
              <w:rPr>
                <w:rFonts w:hint="eastAsia" w:ascii="等线" w:hAnsi="等线" w:eastAsia="等线" w:cs="宋体"/>
                <w:color w:val="000000"/>
                <w:kern w:val="0"/>
                <w:szCs w:val="21"/>
              </w:rPr>
              <w:t>高速网卡</w:t>
            </w:r>
          </w:p>
        </w:tc>
        <w:tc>
          <w:tcPr>
            <w:tcW w:w="9393" w:type="dxa"/>
            <w:tcBorders>
              <w:top w:val="nil"/>
              <w:left w:val="nil"/>
              <w:bottom w:val="single" w:color="auto" w:sz="4" w:space="0"/>
              <w:right w:val="single" w:color="auto" w:sz="4" w:space="0"/>
            </w:tcBorders>
            <w:shd w:val="clear" w:color="auto" w:fill="auto"/>
            <w:vAlign w:val="center"/>
          </w:tcPr>
          <w:p w14:paraId="1E12B9FD">
            <w:pPr>
              <w:widowControl/>
              <w:spacing w:line="360" w:lineRule="auto"/>
              <w:jc w:val="left"/>
              <w:rPr>
                <w:rFonts w:ascii="等线" w:hAnsi="等线" w:eastAsia="等线" w:cs="宋体"/>
                <w:color w:val="000000"/>
                <w:kern w:val="0"/>
                <w:szCs w:val="21"/>
              </w:rPr>
            </w:pPr>
            <w:r>
              <w:rPr>
                <w:rFonts w:hint="eastAsia" w:ascii="等线" w:hAnsi="等线" w:eastAsia="等线" w:cs="宋体"/>
                <w:color w:val="000000"/>
                <w:kern w:val="0"/>
                <w:szCs w:val="21"/>
              </w:rPr>
              <w:t>配置≥1个HDR200G IB网口，含IB线缆</w:t>
            </w:r>
          </w:p>
        </w:tc>
      </w:tr>
      <w:tr w14:paraId="1C854C2C">
        <w:tblPrEx>
          <w:tblCellMar>
            <w:top w:w="0" w:type="dxa"/>
            <w:left w:w="108" w:type="dxa"/>
            <w:bottom w:w="0" w:type="dxa"/>
            <w:right w:w="108" w:type="dxa"/>
          </w:tblCellMar>
        </w:tblPrEx>
        <w:trPr>
          <w:trHeight w:val="264" w:hRule="atLeast"/>
        </w:trPr>
        <w:tc>
          <w:tcPr>
            <w:tcW w:w="1380" w:type="dxa"/>
            <w:tcBorders>
              <w:top w:val="nil"/>
              <w:left w:val="single" w:color="auto" w:sz="4" w:space="0"/>
              <w:bottom w:val="single" w:color="auto" w:sz="4" w:space="0"/>
              <w:right w:val="single" w:color="auto" w:sz="4" w:space="0"/>
            </w:tcBorders>
            <w:shd w:val="clear" w:color="auto" w:fill="auto"/>
            <w:vAlign w:val="center"/>
          </w:tcPr>
          <w:p w14:paraId="3500227A">
            <w:pPr>
              <w:widowControl/>
              <w:spacing w:line="360" w:lineRule="auto"/>
              <w:jc w:val="center"/>
              <w:rPr>
                <w:rFonts w:ascii="等线" w:hAnsi="等线" w:eastAsia="等线" w:cs="宋体"/>
                <w:color w:val="000000"/>
                <w:kern w:val="0"/>
                <w:szCs w:val="21"/>
              </w:rPr>
            </w:pPr>
            <w:r>
              <w:rPr>
                <w:rFonts w:hint="eastAsia" w:ascii="等线" w:hAnsi="等线" w:eastAsia="等线" w:cs="宋体"/>
                <w:color w:val="000000"/>
                <w:kern w:val="0"/>
                <w:szCs w:val="21"/>
              </w:rPr>
              <w:t>电源</w:t>
            </w:r>
          </w:p>
        </w:tc>
        <w:tc>
          <w:tcPr>
            <w:tcW w:w="9393" w:type="dxa"/>
            <w:tcBorders>
              <w:top w:val="nil"/>
              <w:left w:val="nil"/>
              <w:bottom w:val="single" w:color="auto" w:sz="4" w:space="0"/>
              <w:right w:val="single" w:color="auto" w:sz="4" w:space="0"/>
            </w:tcBorders>
            <w:shd w:val="clear" w:color="auto" w:fill="auto"/>
            <w:vAlign w:val="center"/>
          </w:tcPr>
          <w:p w14:paraId="7310065C">
            <w:pPr>
              <w:widowControl/>
              <w:spacing w:line="360" w:lineRule="auto"/>
              <w:jc w:val="left"/>
              <w:rPr>
                <w:rFonts w:ascii="等线" w:hAnsi="等线" w:eastAsia="等线" w:cs="宋体"/>
                <w:color w:val="000000"/>
                <w:kern w:val="0"/>
                <w:szCs w:val="21"/>
              </w:rPr>
            </w:pPr>
            <w:r>
              <w:rPr>
                <w:rFonts w:hint="eastAsia" w:ascii="等线" w:hAnsi="等线" w:eastAsia="等线" w:cs="宋体"/>
                <w:color w:val="000000"/>
                <w:kern w:val="0"/>
                <w:szCs w:val="21"/>
              </w:rPr>
              <w:t>配置≥6个3000W热插拔电源，支持N+N电源冗余方式</w:t>
            </w:r>
          </w:p>
        </w:tc>
      </w:tr>
      <w:tr w14:paraId="187E024B">
        <w:tblPrEx>
          <w:tblCellMar>
            <w:top w:w="0" w:type="dxa"/>
            <w:left w:w="108" w:type="dxa"/>
            <w:bottom w:w="0" w:type="dxa"/>
            <w:right w:w="108" w:type="dxa"/>
          </w:tblCellMar>
        </w:tblPrEx>
        <w:trPr>
          <w:trHeight w:val="264" w:hRule="atLeast"/>
        </w:trPr>
        <w:tc>
          <w:tcPr>
            <w:tcW w:w="1380" w:type="dxa"/>
            <w:tcBorders>
              <w:top w:val="nil"/>
              <w:left w:val="single" w:color="auto" w:sz="4" w:space="0"/>
              <w:bottom w:val="single" w:color="auto" w:sz="4" w:space="0"/>
              <w:right w:val="single" w:color="auto" w:sz="4" w:space="0"/>
            </w:tcBorders>
            <w:shd w:val="clear" w:color="auto" w:fill="auto"/>
            <w:vAlign w:val="center"/>
          </w:tcPr>
          <w:p w14:paraId="3A86B594">
            <w:pPr>
              <w:widowControl/>
              <w:spacing w:line="360" w:lineRule="auto"/>
              <w:jc w:val="center"/>
              <w:rPr>
                <w:rFonts w:ascii="等线" w:hAnsi="等线" w:eastAsia="等线" w:cs="宋体"/>
                <w:color w:val="000000"/>
                <w:kern w:val="0"/>
                <w:szCs w:val="21"/>
              </w:rPr>
            </w:pPr>
            <w:r>
              <w:rPr>
                <w:rFonts w:hint="eastAsia" w:ascii="等线" w:hAnsi="等线" w:eastAsia="等线" w:cs="宋体"/>
                <w:color w:val="000000"/>
                <w:kern w:val="0"/>
                <w:szCs w:val="21"/>
              </w:rPr>
              <w:t>可靠性</w:t>
            </w:r>
          </w:p>
        </w:tc>
        <w:tc>
          <w:tcPr>
            <w:tcW w:w="9393" w:type="dxa"/>
            <w:tcBorders>
              <w:top w:val="nil"/>
              <w:left w:val="nil"/>
              <w:bottom w:val="single" w:color="auto" w:sz="4" w:space="0"/>
              <w:right w:val="single" w:color="auto" w:sz="4" w:space="0"/>
            </w:tcBorders>
            <w:shd w:val="clear" w:color="auto" w:fill="auto"/>
            <w:vAlign w:val="center"/>
          </w:tcPr>
          <w:p w14:paraId="41E93DEC">
            <w:pPr>
              <w:widowControl/>
              <w:spacing w:line="360" w:lineRule="auto"/>
              <w:jc w:val="left"/>
              <w:rPr>
                <w:rFonts w:ascii="等线" w:hAnsi="等线" w:eastAsia="等线" w:cs="宋体"/>
                <w:color w:val="000000"/>
                <w:kern w:val="0"/>
                <w:szCs w:val="21"/>
              </w:rPr>
            </w:pPr>
            <w:r>
              <w:rPr>
                <w:rFonts w:hint="eastAsia" w:ascii="等线" w:hAnsi="等线" w:eastAsia="等线" w:cs="宋体"/>
                <w:color w:val="000000"/>
                <w:kern w:val="0"/>
                <w:szCs w:val="21"/>
              </w:rPr>
              <w:t>▲支持BMC硬件冗余、升级失败后自动回退或切换至另一镜像启动</w:t>
            </w:r>
            <w:r>
              <w:rPr>
                <w:rFonts w:hint="eastAsia" w:cs="宋体" w:eastAsiaTheme="minorHAnsi"/>
                <w:color w:val="000000"/>
                <w:kern w:val="0"/>
                <w:szCs w:val="21"/>
              </w:rPr>
              <w:t>（提供技术支持材料）</w:t>
            </w:r>
            <w:r>
              <w:rPr>
                <w:rFonts w:hint="eastAsia" w:ascii="等线" w:hAnsi="等线" w:eastAsia="等线" w:cs="宋体"/>
                <w:color w:val="000000"/>
                <w:kern w:val="0"/>
                <w:szCs w:val="21"/>
              </w:rPr>
              <w:t xml:space="preserve"> </w:t>
            </w:r>
          </w:p>
        </w:tc>
      </w:tr>
      <w:tr w14:paraId="3DA86977">
        <w:tblPrEx>
          <w:tblCellMar>
            <w:top w:w="0" w:type="dxa"/>
            <w:left w:w="108" w:type="dxa"/>
            <w:bottom w:w="0" w:type="dxa"/>
            <w:right w:w="108" w:type="dxa"/>
          </w:tblCellMar>
        </w:tblPrEx>
        <w:trPr>
          <w:trHeight w:val="264" w:hRule="atLeast"/>
        </w:trPr>
        <w:tc>
          <w:tcPr>
            <w:tcW w:w="1380" w:type="dxa"/>
            <w:vMerge w:val="restart"/>
            <w:tcBorders>
              <w:top w:val="nil"/>
              <w:left w:val="single" w:color="auto" w:sz="4" w:space="0"/>
              <w:bottom w:val="single" w:color="auto" w:sz="4" w:space="0"/>
              <w:right w:val="single" w:color="auto" w:sz="4" w:space="0"/>
            </w:tcBorders>
            <w:shd w:val="clear" w:color="auto" w:fill="auto"/>
            <w:vAlign w:val="center"/>
          </w:tcPr>
          <w:p w14:paraId="48673689">
            <w:pPr>
              <w:widowControl/>
              <w:spacing w:line="360" w:lineRule="auto"/>
              <w:jc w:val="center"/>
              <w:rPr>
                <w:rFonts w:ascii="等线" w:hAnsi="等线" w:eastAsia="等线" w:cs="宋体"/>
                <w:color w:val="000000"/>
                <w:kern w:val="0"/>
                <w:szCs w:val="21"/>
              </w:rPr>
            </w:pPr>
            <w:r>
              <w:rPr>
                <w:rFonts w:hint="eastAsia" w:ascii="等线" w:hAnsi="等线" w:eastAsia="等线" w:cs="宋体"/>
                <w:color w:val="000000"/>
                <w:kern w:val="0"/>
                <w:szCs w:val="21"/>
              </w:rPr>
              <w:t>管理功能</w:t>
            </w:r>
          </w:p>
        </w:tc>
        <w:tc>
          <w:tcPr>
            <w:tcW w:w="9393" w:type="dxa"/>
            <w:tcBorders>
              <w:top w:val="nil"/>
              <w:left w:val="nil"/>
              <w:bottom w:val="single" w:color="auto" w:sz="4" w:space="0"/>
              <w:right w:val="single" w:color="auto" w:sz="4" w:space="0"/>
            </w:tcBorders>
            <w:shd w:val="clear" w:color="auto" w:fill="auto"/>
            <w:vAlign w:val="center"/>
          </w:tcPr>
          <w:p w14:paraId="786A4CA2">
            <w:pPr>
              <w:widowControl/>
              <w:spacing w:line="360" w:lineRule="auto"/>
              <w:jc w:val="left"/>
              <w:rPr>
                <w:rFonts w:ascii="等线" w:hAnsi="等线" w:eastAsia="等线" w:cs="宋体"/>
                <w:color w:val="000000"/>
                <w:kern w:val="0"/>
                <w:szCs w:val="21"/>
              </w:rPr>
            </w:pPr>
            <w:r>
              <w:rPr>
                <w:rFonts w:hint="eastAsia" w:ascii="等线" w:hAnsi="等线" w:eastAsia="等线" w:cs="宋体"/>
                <w:color w:val="000000"/>
                <w:kern w:val="0"/>
                <w:szCs w:val="21"/>
              </w:rPr>
              <w:t>配置带外管理功能，支持远程控制服务器开关机，远程虚拟媒体，智能故障诊断等功能</w:t>
            </w:r>
          </w:p>
        </w:tc>
      </w:tr>
      <w:tr w14:paraId="745EE4E0">
        <w:tblPrEx>
          <w:tblCellMar>
            <w:top w:w="0" w:type="dxa"/>
            <w:left w:w="108" w:type="dxa"/>
            <w:bottom w:w="0" w:type="dxa"/>
            <w:right w:w="108" w:type="dxa"/>
          </w:tblCellMar>
        </w:tblPrEx>
        <w:trPr>
          <w:trHeight w:val="528" w:hRule="atLeast"/>
        </w:trPr>
        <w:tc>
          <w:tcPr>
            <w:tcW w:w="1380" w:type="dxa"/>
            <w:vMerge w:val="continue"/>
            <w:tcBorders>
              <w:top w:val="nil"/>
              <w:left w:val="single" w:color="auto" w:sz="4" w:space="0"/>
              <w:bottom w:val="single" w:color="auto" w:sz="4" w:space="0"/>
              <w:right w:val="single" w:color="auto" w:sz="4" w:space="0"/>
            </w:tcBorders>
            <w:vAlign w:val="center"/>
          </w:tcPr>
          <w:p w14:paraId="626A19BF">
            <w:pPr>
              <w:widowControl/>
              <w:spacing w:line="360" w:lineRule="auto"/>
              <w:jc w:val="left"/>
              <w:rPr>
                <w:rFonts w:ascii="等线" w:hAnsi="等线" w:eastAsia="等线" w:cs="宋体"/>
                <w:color w:val="000000"/>
                <w:kern w:val="0"/>
                <w:szCs w:val="21"/>
              </w:rPr>
            </w:pPr>
          </w:p>
        </w:tc>
        <w:tc>
          <w:tcPr>
            <w:tcW w:w="9393" w:type="dxa"/>
            <w:tcBorders>
              <w:top w:val="nil"/>
              <w:left w:val="nil"/>
              <w:bottom w:val="single" w:color="auto" w:sz="4" w:space="0"/>
              <w:right w:val="single" w:color="auto" w:sz="4" w:space="0"/>
            </w:tcBorders>
            <w:shd w:val="clear" w:color="auto" w:fill="auto"/>
            <w:vAlign w:val="center"/>
          </w:tcPr>
          <w:p w14:paraId="5CFE0E4D">
            <w:pPr>
              <w:widowControl/>
              <w:spacing w:line="360" w:lineRule="auto"/>
              <w:jc w:val="left"/>
              <w:rPr>
                <w:rFonts w:ascii="等线" w:hAnsi="等线" w:eastAsia="等线" w:cs="宋体"/>
                <w:color w:val="000000"/>
                <w:kern w:val="0"/>
                <w:szCs w:val="21"/>
              </w:rPr>
            </w:pPr>
            <w:r>
              <w:rPr>
                <w:rFonts w:hint="eastAsia" w:ascii="等线" w:hAnsi="等线" w:eastAsia="等线" w:cs="宋体"/>
                <w:color w:val="000000"/>
                <w:kern w:val="0"/>
                <w:szCs w:val="21"/>
              </w:rPr>
              <w:t>▲支持备件的统一管理，涵盖整机及备件信息的详尽记录，实现用户对服务器及资产的全生命周期管理需求，帮助用户提升运维效率</w:t>
            </w:r>
            <w:r>
              <w:rPr>
                <w:rFonts w:hint="eastAsia" w:cs="宋体" w:eastAsiaTheme="minorHAnsi"/>
                <w:color w:val="000000"/>
                <w:kern w:val="0"/>
                <w:szCs w:val="21"/>
              </w:rPr>
              <w:t>（提供技术支持材料）</w:t>
            </w:r>
            <w:r>
              <w:rPr>
                <w:rFonts w:hint="eastAsia" w:ascii="等线" w:hAnsi="等线" w:eastAsia="等线" w:cs="宋体"/>
                <w:color w:val="000000"/>
                <w:kern w:val="0"/>
                <w:szCs w:val="21"/>
              </w:rPr>
              <w:t xml:space="preserve"> </w:t>
            </w:r>
          </w:p>
        </w:tc>
      </w:tr>
      <w:tr w14:paraId="340624B2">
        <w:tblPrEx>
          <w:tblCellMar>
            <w:top w:w="0" w:type="dxa"/>
            <w:left w:w="108" w:type="dxa"/>
            <w:bottom w:w="0" w:type="dxa"/>
            <w:right w:w="108" w:type="dxa"/>
          </w:tblCellMar>
        </w:tblPrEx>
        <w:trPr>
          <w:trHeight w:val="528" w:hRule="atLeast"/>
        </w:trPr>
        <w:tc>
          <w:tcPr>
            <w:tcW w:w="1380" w:type="dxa"/>
            <w:vMerge w:val="continue"/>
            <w:tcBorders>
              <w:top w:val="nil"/>
              <w:left w:val="single" w:color="auto" w:sz="4" w:space="0"/>
              <w:bottom w:val="single" w:color="auto" w:sz="4" w:space="0"/>
              <w:right w:val="single" w:color="auto" w:sz="4" w:space="0"/>
            </w:tcBorders>
            <w:vAlign w:val="center"/>
          </w:tcPr>
          <w:p w14:paraId="740964CF">
            <w:pPr>
              <w:widowControl/>
              <w:spacing w:line="360" w:lineRule="auto"/>
              <w:jc w:val="left"/>
              <w:rPr>
                <w:rFonts w:ascii="等线" w:hAnsi="等线" w:eastAsia="等线" w:cs="宋体"/>
                <w:color w:val="000000"/>
                <w:kern w:val="0"/>
                <w:szCs w:val="21"/>
              </w:rPr>
            </w:pPr>
          </w:p>
        </w:tc>
        <w:tc>
          <w:tcPr>
            <w:tcW w:w="9393" w:type="dxa"/>
            <w:tcBorders>
              <w:top w:val="nil"/>
              <w:left w:val="nil"/>
              <w:bottom w:val="single" w:color="auto" w:sz="4" w:space="0"/>
              <w:right w:val="single" w:color="auto" w:sz="4" w:space="0"/>
            </w:tcBorders>
            <w:shd w:val="clear" w:color="auto" w:fill="auto"/>
            <w:vAlign w:val="center"/>
          </w:tcPr>
          <w:p w14:paraId="1ADC57F7">
            <w:pPr>
              <w:widowControl/>
              <w:spacing w:line="360" w:lineRule="auto"/>
              <w:jc w:val="left"/>
              <w:rPr>
                <w:rFonts w:ascii="等线" w:hAnsi="等线" w:eastAsia="等线" w:cs="宋体"/>
                <w:color w:val="000000"/>
                <w:kern w:val="0"/>
                <w:szCs w:val="21"/>
              </w:rPr>
            </w:pPr>
            <w:r>
              <w:rPr>
                <w:rFonts w:hint="eastAsia" w:ascii="等线" w:hAnsi="等线" w:eastAsia="等线" w:cs="宋体"/>
                <w:color w:val="000000"/>
                <w:kern w:val="0"/>
                <w:szCs w:val="21"/>
              </w:rPr>
              <w:t>▲支持对于服务器带外BMC密码托管，实现定期按照规则进行修改，确保服务器BMC密码的安全性</w:t>
            </w:r>
            <w:r>
              <w:rPr>
                <w:rFonts w:hint="eastAsia" w:cs="宋体" w:eastAsiaTheme="minorHAnsi"/>
                <w:color w:val="000000"/>
                <w:kern w:val="0"/>
                <w:szCs w:val="21"/>
              </w:rPr>
              <w:t>（提供技术支持材料）</w:t>
            </w:r>
            <w:r>
              <w:rPr>
                <w:rFonts w:hint="eastAsia" w:ascii="等线" w:hAnsi="等线" w:eastAsia="等线" w:cs="宋体"/>
                <w:color w:val="000000"/>
                <w:kern w:val="0"/>
                <w:szCs w:val="21"/>
              </w:rPr>
              <w:t xml:space="preserve"> </w:t>
            </w:r>
          </w:p>
        </w:tc>
      </w:tr>
      <w:tr w14:paraId="3766A13C">
        <w:tblPrEx>
          <w:tblCellMar>
            <w:top w:w="0" w:type="dxa"/>
            <w:left w:w="108" w:type="dxa"/>
            <w:bottom w:w="0" w:type="dxa"/>
            <w:right w:w="108" w:type="dxa"/>
          </w:tblCellMar>
        </w:tblPrEx>
        <w:trPr>
          <w:trHeight w:val="528" w:hRule="atLeast"/>
        </w:trPr>
        <w:tc>
          <w:tcPr>
            <w:tcW w:w="1380" w:type="dxa"/>
            <w:tcBorders>
              <w:top w:val="nil"/>
              <w:left w:val="single" w:color="auto" w:sz="4" w:space="0"/>
              <w:bottom w:val="single" w:color="auto" w:sz="4" w:space="0"/>
              <w:right w:val="single" w:color="auto" w:sz="4" w:space="0"/>
            </w:tcBorders>
            <w:shd w:val="clear" w:color="auto" w:fill="auto"/>
            <w:noWrap/>
            <w:vAlign w:val="center"/>
          </w:tcPr>
          <w:p w14:paraId="49DE6D20">
            <w:pPr>
              <w:widowControl/>
              <w:spacing w:line="360" w:lineRule="auto"/>
              <w:jc w:val="center"/>
              <w:rPr>
                <w:rFonts w:ascii="等线" w:hAnsi="等线" w:eastAsia="等线" w:cs="宋体"/>
                <w:color w:val="000000"/>
                <w:kern w:val="0"/>
                <w:szCs w:val="21"/>
              </w:rPr>
            </w:pPr>
            <w:r>
              <w:rPr>
                <w:rFonts w:hint="eastAsia" w:ascii="等线" w:hAnsi="等线" w:eastAsia="等线" w:cs="宋体"/>
                <w:color w:val="000000"/>
                <w:kern w:val="0"/>
                <w:szCs w:val="21"/>
              </w:rPr>
              <w:t>集群管理软件</w:t>
            </w:r>
          </w:p>
        </w:tc>
        <w:tc>
          <w:tcPr>
            <w:tcW w:w="9393" w:type="dxa"/>
            <w:tcBorders>
              <w:top w:val="nil"/>
              <w:left w:val="nil"/>
              <w:bottom w:val="single" w:color="auto" w:sz="4" w:space="0"/>
              <w:right w:val="single" w:color="auto" w:sz="4" w:space="0"/>
            </w:tcBorders>
            <w:shd w:val="clear" w:color="auto" w:fill="auto"/>
            <w:vAlign w:val="center"/>
          </w:tcPr>
          <w:p w14:paraId="6B83F033">
            <w:pPr>
              <w:widowControl/>
              <w:spacing w:line="360" w:lineRule="auto"/>
              <w:jc w:val="left"/>
              <w:rPr>
                <w:rFonts w:ascii="等线" w:hAnsi="等线" w:eastAsia="等线" w:cs="宋体"/>
                <w:color w:val="000000"/>
                <w:kern w:val="0"/>
                <w:szCs w:val="21"/>
              </w:rPr>
            </w:pPr>
            <w:r>
              <w:rPr>
                <w:rFonts w:hint="eastAsia" w:ascii="等线" w:hAnsi="等线" w:eastAsia="等线" w:cs="宋体"/>
                <w:color w:val="000000"/>
                <w:kern w:val="0"/>
                <w:szCs w:val="21"/>
              </w:rPr>
              <w:t>每台设备配置1套商业版集群管理与调度软件，提供国家版权局颁发的计算机软件著作权登记证书</w:t>
            </w:r>
          </w:p>
        </w:tc>
      </w:tr>
      <w:tr w14:paraId="68A1F9B8">
        <w:tblPrEx>
          <w:tblCellMar>
            <w:top w:w="0" w:type="dxa"/>
            <w:left w:w="108" w:type="dxa"/>
            <w:bottom w:w="0" w:type="dxa"/>
            <w:right w:w="108" w:type="dxa"/>
          </w:tblCellMar>
        </w:tblPrEx>
        <w:trPr>
          <w:trHeight w:val="264" w:hRule="atLeast"/>
        </w:trPr>
        <w:tc>
          <w:tcPr>
            <w:tcW w:w="1380" w:type="dxa"/>
            <w:tcBorders>
              <w:top w:val="nil"/>
              <w:left w:val="single" w:color="auto" w:sz="4" w:space="0"/>
              <w:bottom w:val="single" w:color="auto" w:sz="4" w:space="0"/>
              <w:right w:val="single" w:color="auto" w:sz="4" w:space="0"/>
            </w:tcBorders>
            <w:shd w:val="clear" w:color="auto" w:fill="auto"/>
            <w:vAlign w:val="center"/>
          </w:tcPr>
          <w:p w14:paraId="3A120A8F">
            <w:pPr>
              <w:widowControl/>
              <w:spacing w:line="360" w:lineRule="auto"/>
              <w:jc w:val="center"/>
              <w:rPr>
                <w:rFonts w:ascii="等线" w:hAnsi="等线" w:eastAsia="等线" w:cs="宋体"/>
                <w:color w:val="000000"/>
                <w:kern w:val="0"/>
                <w:szCs w:val="21"/>
              </w:rPr>
            </w:pPr>
            <w:r>
              <w:rPr>
                <w:rFonts w:hint="eastAsia" w:ascii="等线" w:hAnsi="等线" w:eastAsia="等线" w:cs="宋体"/>
                <w:color w:val="000000"/>
                <w:kern w:val="0"/>
                <w:szCs w:val="21"/>
              </w:rPr>
              <w:t>集群部署</w:t>
            </w:r>
          </w:p>
        </w:tc>
        <w:tc>
          <w:tcPr>
            <w:tcW w:w="9393" w:type="dxa"/>
            <w:tcBorders>
              <w:top w:val="nil"/>
              <w:left w:val="nil"/>
              <w:bottom w:val="single" w:color="auto" w:sz="4" w:space="0"/>
              <w:right w:val="single" w:color="auto" w:sz="4" w:space="0"/>
            </w:tcBorders>
            <w:shd w:val="clear" w:color="auto" w:fill="auto"/>
            <w:noWrap/>
            <w:vAlign w:val="center"/>
          </w:tcPr>
          <w:p w14:paraId="4FE78AD9">
            <w:pPr>
              <w:widowControl/>
              <w:spacing w:line="360" w:lineRule="auto"/>
              <w:rPr>
                <w:rFonts w:ascii="等线" w:hAnsi="等线" w:eastAsia="等线" w:cs="宋体"/>
                <w:color w:val="000000"/>
                <w:kern w:val="0"/>
                <w:szCs w:val="21"/>
              </w:rPr>
            </w:pPr>
            <w:r>
              <w:rPr>
                <w:rFonts w:hint="eastAsia" w:ascii="等线" w:hAnsi="等线" w:eastAsia="等线" w:cs="宋体"/>
                <w:color w:val="000000"/>
                <w:kern w:val="0"/>
                <w:szCs w:val="21"/>
              </w:rPr>
              <w:t>支持操作系统批量快速部署，批量安装</w:t>
            </w:r>
          </w:p>
        </w:tc>
      </w:tr>
      <w:tr w14:paraId="6944E7E7">
        <w:tblPrEx>
          <w:tblCellMar>
            <w:top w:w="0" w:type="dxa"/>
            <w:left w:w="108" w:type="dxa"/>
            <w:bottom w:w="0" w:type="dxa"/>
            <w:right w:w="108" w:type="dxa"/>
          </w:tblCellMar>
        </w:tblPrEx>
        <w:trPr>
          <w:trHeight w:val="528" w:hRule="atLeast"/>
        </w:trPr>
        <w:tc>
          <w:tcPr>
            <w:tcW w:w="1380" w:type="dxa"/>
            <w:vMerge w:val="restart"/>
            <w:tcBorders>
              <w:top w:val="nil"/>
              <w:left w:val="single" w:color="auto" w:sz="4" w:space="0"/>
              <w:bottom w:val="single" w:color="auto" w:sz="4" w:space="0"/>
              <w:right w:val="single" w:color="auto" w:sz="4" w:space="0"/>
            </w:tcBorders>
            <w:shd w:val="clear" w:color="auto" w:fill="auto"/>
            <w:vAlign w:val="center"/>
          </w:tcPr>
          <w:p w14:paraId="75260222">
            <w:pPr>
              <w:widowControl/>
              <w:spacing w:line="360" w:lineRule="auto"/>
              <w:jc w:val="center"/>
              <w:rPr>
                <w:rFonts w:ascii="等线" w:hAnsi="等线" w:eastAsia="等线" w:cs="宋体"/>
                <w:color w:val="000000"/>
                <w:kern w:val="0"/>
                <w:szCs w:val="21"/>
              </w:rPr>
            </w:pPr>
            <w:r>
              <w:rPr>
                <w:rFonts w:hint="eastAsia" w:ascii="等线" w:hAnsi="等线" w:eastAsia="等线" w:cs="宋体"/>
                <w:color w:val="000000"/>
                <w:kern w:val="0"/>
                <w:szCs w:val="21"/>
              </w:rPr>
              <w:t>节点管理</w:t>
            </w:r>
          </w:p>
        </w:tc>
        <w:tc>
          <w:tcPr>
            <w:tcW w:w="9393" w:type="dxa"/>
            <w:tcBorders>
              <w:top w:val="nil"/>
              <w:left w:val="nil"/>
              <w:bottom w:val="single" w:color="auto" w:sz="4" w:space="0"/>
              <w:right w:val="single" w:color="auto" w:sz="4" w:space="0"/>
            </w:tcBorders>
            <w:shd w:val="clear" w:color="auto" w:fill="auto"/>
            <w:noWrap/>
            <w:vAlign w:val="center"/>
          </w:tcPr>
          <w:p w14:paraId="3D50D854">
            <w:pPr>
              <w:widowControl/>
              <w:spacing w:line="360" w:lineRule="auto"/>
              <w:rPr>
                <w:rFonts w:ascii="等线" w:hAnsi="等线" w:eastAsia="等线" w:cs="宋体"/>
                <w:color w:val="000000"/>
                <w:kern w:val="0"/>
                <w:szCs w:val="21"/>
              </w:rPr>
            </w:pPr>
            <w:r>
              <w:rPr>
                <w:rFonts w:hint="eastAsia" w:ascii="等线" w:hAnsi="等线" w:eastAsia="等线" w:cs="宋体"/>
                <w:color w:val="000000"/>
                <w:kern w:val="0"/>
                <w:szCs w:val="21"/>
              </w:rPr>
              <w:t>支持查看集群中节点，包括节点名称、节点类型（主控/计算节点）、CPU已用核数/总数、GPU已用卡数/总数、所在分区、运行状态、作业数统计</w:t>
            </w:r>
          </w:p>
        </w:tc>
      </w:tr>
      <w:tr w14:paraId="07D6ADD4">
        <w:tblPrEx>
          <w:tblCellMar>
            <w:top w:w="0" w:type="dxa"/>
            <w:left w:w="108" w:type="dxa"/>
            <w:bottom w:w="0" w:type="dxa"/>
            <w:right w:w="108" w:type="dxa"/>
          </w:tblCellMar>
        </w:tblPrEx>
        <w:trPr>
          <w:trHeight w:val="264" w:hRule="atLeast"/>
        </w:trPr>
        <w:tc>
          <w:tcPr>
            <w:tcW w:w="1380" w:type="dxa"/>
            <w:vMerge w:val="continue"/>
            <w:tcBorders>
              <w:top w:val="nil"/>
              <w:left w:val="single" w:color="auto" w:sz="4" w:space="0"/>
              <w:bottom w:val="single" w:color="auto" w:sz="4" w:space="0"/>
              <w:right w:val="single" w:color="auto" w:sz="4" w:space="0"/>
            </w:tcBorders>
            <w:vAlign w:val="center"/>
          </w:tcPr>
          <w:p w14:paraId="0190CB57">
            <w:pPr>
              <w:widowControl/>
              <w:spacing w:line="360" w:lineRule="auto"/>
              <w:jc w:val="left"/>
              <w:rPr>
                <w:rFonts w:ascii="等线" w:hAnsi="等线" w:eastAsia="等线" w:cs="宋体"/>
                <w:color w:val="000000"/>
                <w:kern w:val="0"/>
                <w:szCs w:val="21"/>
              </w:rPr>
            </w:pPr>
          </w:p>
        </w:tc>
        <w:tc>
          <w:tcPr>
            <w:tcW w:w="9393" w:type="dxa"/>
            <w:tcBorders>
              <w:top w:val="nil"/>
              <w:left w:val="nil"/>
              <w:bottom w:val="single" w:color="auto" w:sz="4" w:space="0"/>
              <w:right w:val="single" w:color="auto" w:sz="4" w:space="0"/>
            </w:tcBorders>
            <w:shd w:val="clear" w:color="auto" w:fill="auto"/>
            <w:noWrap/>
            <w:vAlign w:val="center"/>
          </w:tcPr>
          <w:p w14:paraId="67E1F2C4">
            <w:pPr>
              <w:widowControl/>
              <w:spacing w:line="360" w:lineRule="auto"/>
              <w:rPr>
                <w:rFonts w:ascii="等线" w:hAnsi="等线" w:eastAsia="等线" w:cs="宋体"/>
                <w:color w:val="000000"/>
                <w:kern w:val="0"/>
                <w:szCs w:val="21"/>
              </w:rPr>
            </w:pPr>
            <w:r>
              <w:rPr>
                <w:rFonts w:hint="eastAsia" w:ascii="等线" w:hAnsi="等线" w:eastAsia="等线" w:cs="宋体"/>
                <w:color w:val="000000"/>
                <w:kern w:val="0"/>
                <w:szCs w:val="21"/>
              </w:rPr>
              <w:t>支持直接远程shell节点和批量管理</w:t>
            </w:r>
          </w:p>
        </w:tc>
      </w:tr>
      <w:tr w14:paraId="6F8EF01F">
        <w:tblPrEx>
          <w:tblCellMar>
            <w:top w:w="0" w:type="dxa"/>
            <w:left w:w="108" w:type="dxa"/>
            <w:bottom w:w="0" w:type="dxa"/>
            <w:right w:w="108" w:type="dxa"/>
          </w:tblCellMar>
        </w:tblPrEx>
        <w:trPr>
          <w:trHeight w:val="264" w:hRule="atLeast"/>
        </w:trPr>
        <w:tc>
          <w:tcPr>
            <w:tcW w:w="1380" w:type="dxa"/>
            <w:vMerge w:val="restart"/>
            <w:tcBorders>
              <w:top w:val="nil"/>
              <w:left w:val="single" w:color="auto" w:sz="4" w:space="0"/>
              <w:bottom w:val="single" w:color="auto" w:sz="4" w:space="0"/>
              <w:right w:val="single" w:color="auto" w:sz="4" w:space="0"/>
            </w:tcBorders>
            <w:shd w:val="clear" w:color="auto" w:fill="auto"/>
            <w:vAlign w:val="center"/>
          </w:tcPr>
          <w:p w14:paraId="1251F50E">
            <w:pPr>
              <w:widowControl/>
              <w:spacing w:line="360" w:lineRule="auto"/>
              <w:jc w:val="center"/>
              <w:rPr>
                <w:rFonts w:ascii="等线" w:hAnsi="等线" w:eastAsia="等线" w:cs="宋体"/>
                <w:color w:val="000000"/>
                <w:kern w:val="0"/>
                <w:szCs w:val="21"/>
              </w:rPr>
            </w:pPr>
            <w:r>
              <w:rPr>
                <w:rFonts w:hint="eastAsia" w:ascii="等线" w:hAnsi="等线" w:eastAsia="等线" w:cs="宋体"/>
                <w:color w:val="000000"/>
                <w:kern w:val="0"/>
                <w:szCs w:val="21"/>
              </w:rPr>
              <w:t>分区管理</w:t>
            </w:r>
          </w:p>
        </w:tc>
        <w:tc>
          <w:tcPr>
            <w:tcW w:w="9393" w:type="dxa"/>
            <w:tcBorders>
              <w:top w:val="nil"/>
              <w:left w:val="nil"/>
              <w:bottom w:val="single" w:color="auto" w:sz="4" w:space="0"/>
              <w:right w:val="single" w:color="auto" w:sz="4" w:space="0"/>
            </w:tcBorders>
            <w:shd w:val="clear" w:color="auto" w:fill="auto"/>
            <w:noWrap/>
            <w:vAlign w:val="center"/>
          </w:tcPr>
          <w:p w14:paraId="3801B091">
            <w:pPr>
              <w:widowControl/>
              <w:spacing w:line="360" w:lineRule="auto"/>
              <w:rPr>
                <w:rFonts w:ascii="等线" w:hAnsi="等线" w:eastAsia="等线" w:cs="宋体"/>
                <w:color w:val="000000"/>
                <w:kern w:val="0"/>
                <w:szCs w:val="21"/>
              </w:rPr>
            </w:pPr>
            <w:r>
              <w:rPr>
                <w:rFonts w:hint="eastAsia" w:ascii="等线" w:hAnsi="等线" w:eastAsia="等线" w:cs="宋体"/>
                <w:color w:val="000000"/>
                <w:kern w:val="0"/>
                <w:szCs w:val="21"/>
              </w:rPr>
              <w:t>支持查看分区名称、当前作业数、节点数、CPU核数、GPU数和描述信息</w:t>
            </w:r>
          </w:p>
        </w:tc>
      </w:tr>
      <w:tr w14:paraId="7B35DD67">
        <w:tblPrEx>
          <w:tblCellMar>
            <w:top w:w="0" w:type="dxa"/>
            <w:left w:w="108" w:type="dxa"/>
            <w:bottom w:w="0" w:type="dxa"/>
            <w:right w:w="108" w:type="dxa"/>
          </w:tblCellMar>
        </w:tblPrEx>
        <w:trPr>
          <w:trHeight w:val="264" w:hRule="atLeast"/>
        </w:trPr>
        <w:tc>
          <w:tcPr>
            <w:tcW w:w="1380" w:type="dxa"/>
            <w:vMerge w:val="continue"/>
            <w:tcBorders>
              <w:top w:val="nil"/>
              <w:left w:val="single" w:color="auto" w:sz="4" w:space="0"/>
              <w:bottom w:val="single" w:color="auto" w:sz="4" w:space="0"/>
              <w:right w:val="single" w:color="auto" w:sz="4" w:space="0"/>
            </w:tcBorders>
            <w:vAlign w:val="center"/>
          </w:tcPr>
          <w:p w14:paraId="37EB4500">
            <w:pPr>
              <w:widowControl/>
              <w:spacing w:line="360" w:lineRule="auto"/>
              <w:jc w:val="left"/>
              <w:rPr>
                <w:rFonts w:ascii="等线" w:hAnsi="等线" w:eastAsia="等线" w:cs="宋体"/>
                <w:color w:val="000000"/>
                <w:kern w:val="0"/>
                <w:szCs w:val="21"/>
              </w:rPr>
            </w:pPr>
          </w:p>
        </w:tc>
        <w:tc>
          <w:tcPr>
            <w:tcW w:w="9393" w:type="dxa"/>
            <w:tcBorders>
              <w:top w:val="nil"/>
              <w:left w:val="nil"/>
              <w:bottom w:val="single" w:color="auto" w:sz="4" w:space="0"/>
              <w:right w:val="single" w:color="auto" w:sz="4" w:space="0"/>
            </w:tcBorders>
            <w:shd w:val="clear" w:color="auto" w:fill="auto"/>
            <w:noWrap/>
            <w:vAlign w:val="center"/>
          </w:tcPr>
          <w:p w14:paraId="31CAE4D1">
            <w:pPr>
              <w:widowControl/>
              <w:spacing w:line="360" w:lineRule="auto"/>
              <w:rPr>
                <w:rFonts w:ascii="等线" w:hAnsi="等线" w:eastAsia="等线" w:cs="宋体"/>
                <w:color w:val="000000"/>
                <w:kern w:val="0"/>
                <w:szCs w:val="21"/>
              </w:rPr>
            </w:pPr>
            <w:r>
              <w:rPr>
                <w:rFonts w:hint="eastAsia" w:ascii="等线" w:hAnsi="等线" w:eastAsia="等线" w:cs="宋体"/>
                <w:color w:val="000000"/>
                <w:kern w:val="0"/>
                <w:szCs w:val="21"/>
              </w:rPr>
              <w:t>支持添加、编辑、删除分区，包括分区名称、描述、节点列表和组织限制</w:t>
            </w:r>
          </w:p>
        </w:tc>
      </w:tr>
      <w:tr w14:paraId="3B08ED7B">
        <w:tblPrEx>
          <w:tblCellMar>
            <w:top w:w="0" w:type="dxa"/>
            <w:left w:w="108" w:type="dxa"/>
            <w:bottom w:w="0" w:type="dxa"/>
            <w:right w:w="108" w:type="dxa"/>
          </w:tblCellMar>
        </w:tblPrEx>
        <w:trPr>
          <w:trHeight w:val="528" w:hRule="atLeast"/>
        </w:trPr>
        <w:tc>
          <w:tcPr>
            <w:tcW w:w="1380" w:type="dxa"/>
            <w:tcBorders>
              <w:top w:val="nil"/>
              <w:left w:val="single" w:color="auto" w:sz="4" w:space="0"/>
              <w:bottom w:val="single" w:color="auto" w:sz="4" w:space="0"/>
              <w:right w:val="single" w:color="auto" w:sz="4" w:space="0"/>
            </w:tcBorders>
            <w:shd w:val="clear" w:color="auto" w:fill="auto"/>
            <w:vAlign w:val="center"/>
          </w:tcPr>
          <w:p w14:paraId="76CC75AE">
            <w:pPr>
              <w:widowControl/>
              <w:spacing w:line="360" w:lineRule="auto"/>
              <w:jc w:val="center"/>
              <w:rPr>
                <w:rFonts w:ascii="等线" w:hAnsi="等线" w:eastAsia="等线" w:cs="宋体"/>
                <w:color w:val="000000"/>
                <w:kern w:val="0"/>
                <w:szCs w:val="21"/>
              </w:rPr>
            </w:pPr>
            <w:r>
              <w:rPr>
                <w:rFonts w:hint="eastAsia" w:ascii="等线" w:hAnsi="等线" w:eastAsia="等线" w:cs="宋体"/>
                <w:color w:val="000000"/>
                <w:kern w:val="0"/>
                <w:szCs w:val="21"/>
              </w:rPr>
              <w:t>文件管理</w:t>
            </w:r>
          </w:p>
        </w:tc>
        <w:tc>
          <w:tcPr>
            <w:tcW w:w="9393" w:type="dxa"/>
            <w:tcBorders>
              <w:top w:val="nil"/>
              <w:left w:val="nil"/>
              <w:bottom w:val="single" w:color="auto" w:sz="4" w:space="0"/>
              <w:right w:val="single" w:color="auto" w:sz="4" w:space="0"/>
            </w:tcBorders>
            <w:shd w:val="clear" w:color="auto" w:fill="auto"/>
            <w:noWrap/>
            <w:vAlign w:val="center"/>
          </w:tcPr>
          <w:p w14:paraId="71F895ED">
            <w:pPr>
              <w:widowControl/>
              <w:spacing w:line="360" w:lineRule="auto"/>
              <w:rPr>
                <w:rFonts w:ascii="等线" w:hAnsi="等线" w:eastAsia="等线" w:cs="宋体"/>
                <w:color w:val="000000"/>
                <w:kern w:val="0"/>
                <w:szCs w:val="21"/>
              </w:rPr>
            </w:pPr>
            <w:r>
              <w:rPr>
                <w:rFonts w:hint="eastAsia" w:ascii="等线" w:hAnsi="等线" w:eastAsia="等线" w:cs="宋体"/>
                <w:color w:val="000000"/>
                <w:kern w:val="0"/>
                <w:szCs w:val="21"/>
              </w:rPr>
              <w:t>支持查看集群中的文件目录及其文件，执行新建、复制/粘贴、压缩/解压、下载文件、删除文件、文件重命名等操作</w:t>
            </w:r>
          </w:p>
        </w:tc>
      </w:tr>
      <w:tr w14:paraId="49729370">
        <w:tblPrEx>
          <w:tblCellMar>
            <w:top w:w="0" w:type="dxa"/>
            <w:left w:w="108" w:type="dxa"/>
            <w:bottom w:w="0" w:type="dxa"/>
            <w:right w:w="108" w:type="dxa"/>
          </w:tblCellMar>
        </w:tblPrEx>
        <w:trPr>
          <w:trHeight w:val="528" w:hRule="atLeast"/>
        </w:trPr>
        <w:tc>
          <w:tcPr>
            <w:tcW w:w="1380" w:type="dxa"/>
            <w:vMerge w:val="restart"/>
            <w:tcBorders>
              <w:top w:val="nil"/>
              <w:left w:val="single" w:color="auto" w:sz="4" w:space="0"/>
              <w:bottom w:val="single" w:color="auto" w:sz="4" w:space="0"/>
              <w:right w:val="single" w:color="auto" w:sz="4" w:space="0"/>
            </w:tcBorders>
            <w:shd w:val="clear" w:color="auto" w:fill="auto"/>
            <w:vAlign w:val="center"/>
          </w:tcPr>
          <w:p w14:paraId="16334CC5">
            <w:pPr>
              <w:widowControl/>
              <w:spacing w:line="360" w:lineRule="auto"/>
              <w:jc w:val="center"/>
              <w:rPr>
                <w:rFonts w:ascii="等线" w:hAnsi="等线" w:eastAsia="等线" w:cs="宋体"/>
                <w:color w:val="000000"/>
                <w:kern w:val="0"/>
                <w:szCs w:val="21"/>
              </w:rPr>
            </w:pPr>
            <w:r>
              <w:rPr>
                <w:rFonts w:hint="eastAsia" w:ascii="等线" w:hAnsi="等线" w:eastAsia="等线" w:cs="宋体"/>
                <w:color w:val="000000"/>
                <w:kern w:val="0"/>
                <w:szCs w:val="21"/>
              </w:rPr>
              <w:t>资源监控</w:t>
            </w:r>
          </w:p>
        </w:tc>
        <w:tc>
          <w:tcPr>
            <w:tcW w:w="9393" w:type="dxa"/>
            <w:tcBorders>
              <w:top w:val="nil"/>
              <w:left w:val="nil"/>
              <w:bottom w:val="single" w:color="auto" w:sz="4" w:space="0"/>
              <w:right w:val="single" w:color="auto" w:sz="4" w:space="0"/>
            </w:tcBorders>
            <w:shd w:val="clear" w:color="auto" w:fill="auto"/>
            <w:noWrap/>
            <w:vAlign w:val="center"/>
          </w:tcPr>
          <w:p w14:paraId="457A533E">
            <w:pPr>
              <w:widowControl/>
              <w:spacing w:line="360" w:lineRule="auto"/>
              <w:rPr>
                <w:rFonts w:ascii="等线" w:hAnsi="等线" w:eastAsia="等线" w:cs="宋体"/>
                <w:color w:val="000000"/>
                <w:kern w:val="0"/>
                <w:szCs w:val="21"/>
              </w:rPr>
            </w:pPr>
            <w:r>
              <w:rPr>
                <w:rFonts w:hint="eastAsia" w:ascii="等线" w:hAnsi="等线" w:eastAsia="等线" w:cs="宋体"/>
                <w:color w:val="000000"/>
                <w:kern w:val="0"/>
                <w:szCs w:val="21"/>
              </w:rPr>
              <w:t>支持查看集群内分区数量、分区状态（满载、半载、空闲、其他）数量统计、CPU已用/总数、GPU已用/总数</w:t>
            </w:r>
          </w:p>
        </w:tc>
      </w:tr>
      <w:tr w14:paraId="64B4A698">
        <w:tblPrEx>
          <w:tblCellMar>
            <w:top w:w="0" w:type="dxa"/>
            <w:left w:w="108" w:type="dxa"/>
            <w:bottom w:w="0" w:type="dxa"/>
            <w:right w:w="108" w:type="dxa"/>
          </w:tblCellMar>
        </w:tblPrEx>
        <w:trPr>
          <w:trHeight w:val="528" w:hRule="atLeast"/>
        </w:trPr>
        <w:tc>
          <w:tcPr>
            <w:tcW w:w="1380" w:type="dxa"/>
            <w:vMerge w:val="continue"/>
            <w:tcBorders>
              <w:top w:val="nil"/>
              <w:left w:val="single" w:color="auto" w:sz="4" w:space="0"/>
              <w:bottom w:val="single" w:color="auto" w:sz="4" w:space="0"/>
              <w:right w:val="single" w:color="auto" w:sz="4" w:space="0"/>
            </w:tcBorders>
            <w:vAlign w:val="center"/>
          </w:tcPr>
          <w:p w14:paraId="1C8E57D7">
            <w:pPr>
              <w:widowControl/>
              <w:spacing w:line="360" w:lineRule="auto"/>
              <w:jc w:val="left"/>
              <w:rPr>
                <w:rFonts w:ascii="等线" w:hAnsi="等线" w:eastAsia="等线" w:cs="宋体"/>
                <w:color w:val="000000"/>
                <w:kern w:val="0"/>
                <w:szCs w:val="21"/>
              </w:rPr>
            </w:pPr>
          </w:p>
        </w:tc>
        <w:tc>
          <w:tcPr>
            <w:tcW w:w="9393" w:type="dxa"/>
            <w:tcBorders>
              <w:top w:val="nil"/>
              <w:left w:val="nil"/>
              <w:bottom w:val="single" w:color="auto" w:sz="4" w:space="0"/>
              <w:right w:val="single" w:color="auto" w:sz="4" w:space="0"/>
            </w:tcBorders>
            <w:shd w:val="clear" w:color="auto" w:fill="auto"/>
            <w:noWrap/>
            <w:vAlign w:val="center"/>
          </w:tcPr>
          <w:p w14:paraId="6A13A7BE">
            <w:pPr>
              <w:widowControl/>
              <w:spacing w:line="360" w:lineRule="auto"/>
              <w:rPr>
                <w:rFonts w:ascii="等线" w:hAnsi="等线" w:eastAsia="等线" w:cs="宋体"/>
                <w:color w:val="000000"/>
                <w:kern w:val="0"/>
                <w:szCs w:val="21"/>
              </w:rPr>
            </w:pPr>
            <w:r>
              <w:rPr>
                <w:rFonts w:hint="eastAsia" w:ascii="等线" w:hAnsi="等线" w:eastAsia="等线" w:cs="宋体"/>
                <w:color w:val="000000"/>
                <w:kern w:val="0"/>
                <w:szCs w:val="21"/>
              </w:rPr>
              <w:t>支持平铺查看分区内各个状态节点，包括节点名称、CPU已用/总数、GPU已用/总数、当前作业数、节点状态</w:t>
            </w:r>
          </w:p>
        </w:tc>
      </w:tr>
      <w:tr w14:paraId="0C639C2B">
        <w:tblPrEx>
          <w:tblCellMar>
            <w:top w:w="0" w:type="dxa"/>
            <w:left w:w="108" w:type="dxa"/>
            <w:bottom w:w="0" w:type="dxa"/>
            <w:right w:w="108" w:type="dxa"/>
          </w:tblCellMar>
        </w:tblPrEx>
        <w:trPr>
          <w:trHeight w:val="264" w:hRule="atLeast"/>
        </w:trPr>
        <w:tc>
          <w:tcPr>
            <w:tcW w:w="1380" w:type="dxa"/>
            <w:vMerge w:val="restart"/>
            <w:tcBorders>
              <w:top w:val="nil"/>
              <w:left w:val="single" w:color="auto" w:sz="4" w:space="0"/>
              <w:bottom w:val="single" w:color="auto" w:sz="4" w:space="0"/>
              <w:right w:val="single" w:color="auto" w:sz="4" w:space="0"/>
            </w:tcBorders>
            <w:shd w:val="clear" w:color="auto" w:fill="auto"/>
            <w:vAlign w:val="center"/>
          </w:tcPr>
          <w:p w14:paraId="3169D19C">
            <w:pPr>
              <w:widowControl/>
              <w:spacing w:line="360" w:lineRule="auto"/>
              <w:jc w:val="center"/>
              <w:rPr>
                <w:rFonts w:ascii="等线" w:hAnsi="等线" w:eastAsia="等线" w:cs="宋体"/>
                <w:color w:val="000000"/>
                <w:kern w:val="0"/>
                <w:szCs w:val="21"/>
              </w:rPr>
            </w:pPr>
            <w:r>
              <w:rPr>
                <w:rFonts w:hint="eastAsia" w:ascii="等线" w:hAnsi="等线" w:eastAsia="等线" w:cs="宋体"/>
                <w:color w:val="000000"/>
                <w:kern w:val="0"/>
                <w:szCs w:val="21"/>
              </w:rPr>
              <w:t>性能监控</w:t>
            </w:r>
          </w:p>
        </w:tc>
        <w:tc>
          <w:tcPr>
            <w:tcW w:w="9393" w:type="dxa"/>
            <w:tcBorders>
              <w:top w:val="nil"/>
              <w:left w:val="nil"/>
              <w:bottom w:val="single" w:color="auto" w:sz="4" w:space="0"/>
              <w:right w:val="single" w:color="auto" w:sz="4" w:space="0"/>
            </w:tcBorders>
            <w:shd w:val="clear" w:color="auto" w:fill="auto"/>
            <w:noWrap/>
            <w:vAlign w:val="center"/>
          </w:tcPr>
          <w:p w14:paraId="3BDA0DBF">
            <w:pPr>
              <w:widowControl/>
              <w:spacing w:line="360" w:lineRule="auto"/>
              <w:rPr>
                <w:rFonts w:ascii="等线" w:hAnsi="等线" w:eastAsia="等线" w:cs="宋体"/>
                <w:color w:val="000000"/>
                <w:kern w:val="0"/>
                <w:szCs w:val="21"/>
              </w:rPr>
            </w:pPr>
            <w:r>
              <w:rPr>
                <w:rFonts w:hint="eastAsia" w:ascii="等线" w:hAnsi="等线" w:eastAsia="等线" w:cs="宋体"/>
                <w:color w:val="000000"/>
                <w:kern w:val="0"/>
                <w:szCs w:val="21"/>
              </w:rPr>
              <w:t>支持物理视图查看机器状态</w:t>
            </w:r>
          </w:p>
        </w:tc>
      </w:tr>
      <w:tr w14:paraId="2A5E7CF2">
        <w:tblPrEx>
          <w:tblCellMar>
            <w:top w:w="0" w:type="dxa"/>
            <w:left w:w="108" w:type="dxa"/>
            <w:bottom w:w="0" w:type="dxa"/>
            <w:right w:w="108" w:type="dxa"/>
          </w:tblCellMar>
        </w:tblPrEx>
        <w:trPr>
          <w:trHeight w:val="528" w:hRule="atLeast"/>
        </w:trPr>
        <w:tc>
          <w:tcPr>
            <w:tcW w:w="1380" w:type="dxa"/>
            <w:vMerge w:val="continue"/>
            <w:tcBorders>
              <w:top w:val="nil"/>
              <w:left w:val="single" w:color="auto" w:sz="4" w:space="0"/>
              <w:bottom w:val="single" w:color="auto" w:sz="4" w:space="0"/>
              <w:right w:val="single" w:color="auto" w:sz="4" w:space="0"/>
            </w:tcBorders>
            <w:vAlign w:val="center"/>
          </w:tcPr>
          <w:p w14:paraId="79C03ABA">
            <w:pPr>
              <w:widowControl/>
              <w:spacing w:line="360" w:lineRule="auto"/>
              <w:jc w:val="left"/>
              <w:rPr>
                <w:rFonts w:ascii="等线" w:hAnsi="等线" w:eastAsia="等线" w:cs="宋体"/>
                <w:color w:val="000000"/>
                <w:kern w:val="0"/>
                <w:szCs w:val="21"/>
              </w:rPr>
            </w:pPr>
          </w:p>
        </w:tc>
        <w:tc>
          <w:tcPr>
            <w:tcW w:w="9393" w:type="dxa"/>
            <w:tcBorders>
              <w:top w:val="nil"/>
              <w:left w:val="nil"/>
              <w:bottom w:val="single" w:color="auto" w:sz="4" w:space="0"/>
              <w:right w:val="single" w:color="auto" w:sz="4" w:space="0"/>
            </w:tcBorders>
            <w:shd w:val="clear" w:color="auto" w:fill="auto"/>
            <w:noWrap/>
            <w:vAlign w:val="center"/>
          </w:tcPr>
          <w:p w14:paraId="6EC9405F">
            <w:pPr>
              <w:widowControl/>
              <w:spacing w:line="360" w:lineRule="auto"/>
              <w:rPr>
                <w:rFonts w:ascii="等线" w:hAnsi="等线" w:eastAsia="等线" w:cs="宋体"/>
                <w:color w:val="000000"/>
                <w:kern w:val="0"/>
                <w:szCs w:val="21"/>
              </w:rPr>
            </w:pPr>
            <w:r>
              <w:rPr>
                <w:rFonts w:hint="eastAsia" w:ascii="等线" w:hAnsi="等线" w:eastAsia="等线" w:cs="宋体"/>
                <w:color w:val="000000"/>
                <w:kern w:val="0"/>
                <w:szCs w:val="21"/>
              </w:rPr>
              <w:t>支持查看节点名称、管理IP、系统IP、开关机状态、CPU利用率、GPU利用率、网络、负载，开关机</w:t>
            </w:r>
          </w:p>
        </w:tc>
      </w:tr>
      <w:tr w14:paraId="57FED68D">
        <w:tblPrEx>
          <w:tblCellMar>
            <w:top w:w="0" w:type="dxa"/>
            <w:left w:w="108" w:type="dxa"/>
            <w:bottom w:w="0" w:type="dxa"/>
            <w:right w:w="108" w:type="dxa"/>
          </w:tblCellMar>
        </w:tblPrEx>
        <w:trPr>
          <w:trHeight w:val="264" w:hRule="atLeast"/>
        </w:trPr>
        <w:tc>
          <w:tcPr>
            <w:tcW w:w="1380" w:type="dxa"/>
            <w:vMerge w:val="restart"/>
            <w:tcBorders>
              <w:top w:val="nil"/>
              <w:left w:val="single" w:color="auto" w:sz="4" w:space="0"/>
              <w:bottom w:val="single" w:color="auto" w:sz="4" w:space="0"/>
              <w:right w:val="single" w:color="auto" w:sz="4" w:space="0"/>
            </w:tcBorders>
            <w:shd w:val="clear" w:color="auto" w:fill="auto"/>
            <w:vAlign w:val="center"/>
          </w:tcPr>
          <w:p w14:paraId="6B921C8C">
            <w:pPr>
              <w:widowControl/>
              <w:spacing w:line="360" w:lineRule="auto"/>
              <w:jc w:val="center"/>
              <w:rPr>
                <w:rFonts w:ascii="等线" w:hAnsi="等线" w:eastAsia="等线" w:cs="宋体"/>
                <w:color w:val="000000"/>
                <w:kern w:val="0"/>
                <w:szCs w:val="21"/>
              </w:rPr>
            </w:pPr>
            <w:r>
              <w:rPr>
                <w:rFonts w:hint="eastAsia" w:ascii="等线" w:hAnsi="等线" w:eastAsia="等线" w:cs="宋体"/>
                <w:color w:val="000000"/>
                <w:kern w:val="0"/>
                <w:szCs w:val="21"/>
              </w:rPr>
              <w:t>作业监控</w:t>
            </w:r>
          </w:p>
        </w:tc>
        <w:tc>
          <w:tcPr>
            <w:tcW w:w="9393" w:type="dxa"/>
            <w:tcBorders>
              <w:top w:val="nil"/>
              <w:left w:val="nil"/>
              <w:bottom w:val="single" w:color="auto" w:sz="4" w:space="0"/>
              <w:right w:val="single" w:color="auto" w:sz="4" w:space="0"/>
            </w:tcBorders>
            <w:shd w:val="clear" w:color="auto" w:fill="auto"/>
            <w:noWrap/>
            <w:vAlign w:val="center"/>
          </w:tcPr>
          <w:p w14:paraId="079D2F5F">
            <w:pPr>
              <w:widowControl/>
              <w:spacing w:line="360" w:lineRule="auto"/>
              <w:rPr>
                <w:rFonts w:ascii="等线" w:hAnsi="等线" w:eastAsia="等线" w:cs="宋体"/>
                <w:color w:val="000000"/>
                <w:kern w:val="0"/>
                <w:szCs w:val="21"/>
              </w:rPr>
            </w:pPr>
            <w:r>
              <w:rPr>
                <w:rFonts w:hint="eastAsia" w:ascii="等线" w:hAnsi="等线" w:eastAsia="等线" w:cs="宋体"/>
                <w:color w:val="000000"/>
                <w:kern w:val="0"/>
                <w:szCs w:val="21"/>
              </w:rPr>
              <w:t>支持查看集群作业状态、作业等待时长TOP5、分区作业统计图</w:t>
            </w:r>
          </w:p>
        </w:tc>
      </w:tr>
      <w:tr w14:paraId="077679DB">
        <w:tblPrEx>
          <w:tblCellMar>
            <w:top w:w="0" w:type="dxa"/>
            <w:left w:w="108" w:type="dxa"/>
            <w:bottom w:w="0" w:type="dxa"/>
            <w:right w:w="108" w:type="dxa"/>
          </w:tblCellMar>
        </w:tblPrEx>
        <w:trPr>
          <w:trHeight w:val="528" w:hRule="atLeast"/>
        </w:trPr>
        <w:tc>
          <w:tcPr>
            <w:tcW w:w="1380" w:type="dxa"/>
            <w:vMerge w:val="continue"/>
            <w:tcBorders>
              <w:top w:val="nil"/>
              <w:left w:val="single" w:color="auto" w:sz="4" w:space="0"/>
              <w:bottom w:val="single" w:color="auto" w:sz="4" w:space="0"/>
              <w:right w:val="single" w:color="auto" w:sz="4" w:space="0"/>
            </w:tcBorders>
            <w:vAlign w:val="center"/>
          </w:tcPr>
          <w:p w14:paraId="1836146D">
            <w:pPr>
              <w:widowControl/>
              <w:spacing w:line="360" w:lineRule="auto"/>
              <w:jc w:val="left"/>
              <w:rPr>
                <w:rFonts w:ascii="等线" w:hAnsi="等线" w:eastAsia="等线" w:cs="宋体"/>
                <w:color w:val="000000"/>
                <w:kern w:val="0"/>
                <w:szCs w:val="21"/>
              </w:rPr>
            </w:pPr>
          </w:p>
        </w:tc>
        <w:tc>
          <w:tcPr>
            <w:tcW w:w="9393" w:type="dxa"/>
            <w:tcBorders>
              <w:top w:val="nil"/>
              <w:left w:val="nil"/>
              <w:bottom w:val="single" w:color="auto" w:sz="4" w:space="0"/>
              <w:right w:val="single" w:color="auto" w:sz="4" w:space="0"/>
            </w:tcBorders>
            <w:shd w:val="clear" w:color="auto" w:fill="auto"/>
            <w:noWrap/>
            <w:vAlign w:val="center"/>
          </w:tcPr>
          <w:p w14:paraId="2C332D28">
            <w:pPr>
              <w:widowControl/>
              <w:spacing w:line="360" w:lineRule="auto"/>
              <w:rPr>
                <w:rFonts w:ascii="等线" w:hAnsi="等线" w:eastAsia="等线" w:cs="宋体"/>
                <w:color w:val="000000"/>
                <w:kern w:val="0"/>
                <w:szCs w:val="21"/>
              </w:rPr>
            </w:pPr>
            <w:r>
              <w:rPr>
                <w:rFonts w:hint="eastAsia" w:ascii="等线" w:hAnsi="等线" w:eastAsia="等线" w:cs="宋体"/>
                <w:color w:val="000000"/>
                <w:kern w:val="0"/>
                <w:szCs w:val="21"/>
              </w:rPr>
              <w:t>支持查看当前作业，包括Id、名称、状态、等待时长、运行时长、CPU数、GPU数，支持CPU数量和GPU数量排序</w:t>
            </w:r>
          </w:p>
        </w:tc>
      </w:tr>
      <w:tr w14:paraId="5A22412A">
        <w:tblPrEx>
          <w:tblCellMar>
            <w:top w:w="0" w:type="dxa"/>
            <w:left w:w="108" w:type="dxa"/>
            <w:bottom w:w="0" w:type="dxa"/>
            <w:right w:w="108" w:type="dxa"/>
          </w:tblCellMar>
        </w:tblPrEx>
        <w:trPr>
          <w:trHeight w:val="528" w:hRule="atLeast"/>
        </w:trPr>
        <w:tc>
          <w:tcPr>
            <w:tcW w:w="1380" w:type="dxa"/>
            <w:tcBorders>
              <w:top w:val="nil"/>
              <w:left w:val="single" w:color="auto" w:sz="4" w:space="0"/>
              <w:bottom w:val="single" w:color="auto" w:sz="4" w:space="0"/>
              <w:right w:val="single" w:color="auto" w:sz="4" w:space="0"/>
            </w:tcBorders>
            <w:shd w:val="clear" w:color="auto" w:fill="auto"/>
            <w:vAlign w:val="center"/>
          </w:tcPr>
          <w:p w14:paraId="6A910FD2">
            <w:pPr>
              <w:widowControl/>
              <w:spacing w:line="360" w:lineRule="auto"/>
              <w:jc w:val="center"/>
              <w:rPr>
                <w:rFonts w:ascii="等线" w:hAnsi="等线" w:eastAsia="等线" w:cs="宋体"/>
                <w:color w:val="000000"/>
                <w:kern w:val="0"/>
                <w:szCs w:val="21"/>
              </w:rPr>
            </w:pPr>
            <w:r>
              <w:rPr>
                <w:rFonts w:hint="eastAsia" w:ascii="等线" w:hAnsi="等线" w:eastAsia="等线" w:cs="宋体"/>
                <w:color w:val="000000"/>
                <w:kern w:val="0"/>
                <w:szCs w:val="21"/>
              </w:rPr>
              <w:t>用户大屏</w:t>
            </w:r>
          </w:p>
        </w:tc>
        <w:tc>
          <w:tcPr>
            <w:tcW w:w="9393" w:type="dxa"/>
            <w:tcBorders>
              <w:top w:val="nil"/>
              <w:left w:val="nil"/>
              <w:bottom w:val="single" w:color="auto" w:sz="4" w:space="0"/>
              <w:right w:val="single" w:color="auto" w:sz="4" w:space="0"/>
            </w:tcBorders>
            <w:shd w:val="clear" w:color="auto" w:fill="auto"/>
            <w:noWrap/>
            <w:vAlign w:val="center"/>
          </w:tcPr>
          <w:p w14:paraId="11F48EE5">
            <w:pPr>
              <w:widowControl/>
              <w:spacing w:line="360" w:lineRule="auto"/>
              <w:rPr>
                <w:rFonts w:ascii="等线" w:hAnsi="等线" w:eastAsia="等线" w:cs="宋体"/>
                <w:color w:val="000000"/>
                <w:kern w:val="0"/>
                <w:szCs w:val="21"/>
              </w:rPr>
            </w:pPr>
            <w:r>
              <w:rPr>
                <w:rFonts w:hint="eastAsia" w:ascii="等线" w:hAnsi="等线" w:eastAsia="等线" w:cs="宋体"/>
                <w:color w:val="000000"/>
                <w:kern w:val="0"/>
                <w:szCs w:val="21"/>
              </w:rPr>
              <w:t>查看大屏展示功能，展示用户统计信息、资源的使用情况，CPU、GPU、内存使用率趋势图、作业提交趋势图</w:t>
            </w:r>
          </w:p>
        </w:tc>
      </w:tr>
      <w:tr w14:paraId="6D8B722A">
        <w:tblPrEx>
          <w:tblCellMar>
            <w:top w:w="0" w:type="dxa"/>
            <w:left w:w="108" w:type="dxa"/>
            <w:bottom w:w="0" w:type="dxa"/>
            <w:right w:w="108" w:type="dxa"/>
          </w:tblCellMar>
        </w:tblPrEx>
        <w:trPr>
          <w:trHeight w:val="264" w:hRule="atLeast"/>
        </w:trPr>
        <w:tc>
          <w:tcPr>
            <w:tcW w:w="1380" w:type="dxa"/>
            <w:tcBorders>
              <w:top w:val="nil"/>
              <w:left w:val="single" w:color="auto" w:sz="4" w:space="0"/>
              <w:bottom w:val="single" w:color="auto" w:sz="4" w:space="0"/>
              <w:right w:val="single" w:color="auto" w:sz="4" w:space="0"/>
            </w:tcBorders>
            <w:shd w:val="clear" w:color="auto" w:fill="auto"/>
            <w:vAlign w:val="center"/>
          </w:tcPr>
          <w:p w14:paraId="4399B2FA">
            <w:pPr>
              <w:widowControl/>
              <w:spacing w:line="360" w:lineRule="auto"/>
              <w:jc w:val="center"/>
              <w:rPr>
                <w:rFonts w:ascii="等线" w:hAnsi="等线" w:eastAsia="等线" w:cs="宋体"/>
                <w:color w:val="000000"/>
                <w:kern w:val="0"/>
                <w:szCs w:val="21"/>
              </w:rPr>
            </w:pPr>
            <w:r>
              <w:rPr>
                <w:rFonts w:hint="eastAsia" w:ascii="等线" w:hAnsi="等线" w:eastAsia="等线" w:cs="宋体"/>
                <w:color w:val="000000"/>
                <w:kern w:val="0"/>
                <w:szCs w:val="21"/>
              </w:rPr>
              <w:t>作业调度</w:t>
            </w:r>
          </w:p>
        </w:tc>
        <w:tc>
          <w:tcPr>
            <w:tcW w:w="9393" w:type="dxa"/>
            <w:tcBorders>
              <w:top w:val="nil"/>
              <w:left w:val="nil"/>
              <w:bottom w:val="single" w:color="auto" w:sz="4" w:space="0"/>
              <w:right w:val="single" w:color="auto" w:sz="4" w:space="0"/>
            </w:tcBorders>
            <w:shd w:val="clear" w:color="auto" w:fill="auto"/>
            <w:noWrap/>
            <w:vAlign w:val="center"/>
          </w:tcPr>
          <w:p w14:paraId="2B0270F9">
            <w:pPr>
              <w:widowControl/>
              <w:spacing w:line="360" w:lineRule="auto"/>
              <w:rPr>
                <w:rFonts w:ascii="等线" w:hAnsi="等线" w:eastAsia="等线" w:cs="宋体"/>
                <w:color w:val="000000"/>
                <w:kern w:val="0"/>
                <w:szCs w:val="21"/>
              </w:rPr>
            </w:pPr>
            <w:r>
              <w:rPr>
                <w:rFonts w:hint="eastAsia" w:ascii="等线" w:hAnsi="等线" w:eastAsia="等线" w:cs="宋体"/>
                <w:color w:val="000000"/>
                <w:kern w:val="0"/>
                <w:szCs w:val="21"/>
              </w:rPr>
              <w:t>支持先进先出、 回填、抢占、绝对优先级、独占等多种调度策略</w:t>
            </w:r>
          </w:p>
        </w:tc>
      </w:tr>
      <w:tr w14:paraId="11B66DCE">
        <w:tblPrEx>
          <w:tblCellMar>
            <w:top w:w="0" w:type="dxa"/>
            <w:left w:w="108" w:type="dxa"/>
            <w:bottom w:w="0" w:type="dxa"/>
            <w:right w:w="108" w:type="dxa"/>
          </w:tblCellMar>
        </w:tblPrEx>
        <w:trPr>
          <w:trHeight w:val="264" w:hRule="atLeast"/>
        </w:trPr>
        <w:tc>
          <w:tcPr>
            <w:tcW w:w="1380" w:type="dxa"/>
            <w:vMerge w:val="restart"/>
            <w:tcBorders>
              <w:top w:val="nil"/>
              <w:left w:val="single" w:color="auto" w:sz="4" w:space="0"/>
              <w:bottom w:val="single" w:color="auto" w:sz="4" w:space="0"/>
              <w:right w:val="single" w:color="auto" w:sz="4" w:space="0"/>
            </w:tcBorders>
            <w:shd w:val="clear" w:color="auto" w:fill="auto"/>
            <w:vAlign w:val="center"/>
          </w:tcPr>
          <w:p w14:paraId="5CD7518D">
            <w:pPr>
              <w:widowControl/>
              <w:spacing w:line="360" w:lineRule="auto"/>
              <w:jc w:val="center"/>
              <w:rPr>
                <w:rFonts w:ascii="等线" w:hAnsi="等线" w:eastAsia="等线" w:cs="宋体"/>
                <w:color w:val="000000"/>
                <w:kern w:val="0"/>
                <w:szCs w:val="21"/>
              </w:rPr>
            </w:pPr>
            <w:r>
              <w:rPr>
                <w:rFonts w:hint="eastAsia" w:ascii="等线" w:hAnsi="等线" w:eastAsia="等线" w:cs="宋体"/>
                <w:color w:val="000000"/>
                <w:kern w:val="0"/>
                <w:szCs w:val="21"/>
              </w:rPr>
              <w:t>作业提交</w:t>
            </w:r>
          </w:p>
        </w:tc>
        <w:tc>
          <w:tcPr>
            <w:tcW w:w="9393" w:type="dxa"/>
            <w:tcBorders>
              <w:top w:val="nil"/>
              <w:left w:val="nil"/>
              <w:bottom w:val="single" w:color="auto" w:sz="4" w:space="0"/>
              <w:right w:val="single" w:color="auto" w:sz="4" w:space="0"/>
            </w:tcBorders>
            <w:shd w:val="clear" w:color="auto" w:fill="auto"/>
            <w:noWrap/>
            <w:vAlign w:val="center"/>
          </w:tcPr>
          <w:p w14:paraId="4BC0176A">
            <w:pPr>
              <w:widowControl/>
              <w:spacing w:line="360" w:lineRule="auto"/>
              <w:rPr>
                <w:rFonts w:ascii="等线" w:hAnsi="等线" w:eastAsia="等线" w:cs="宋体"/>
                <w:color w:val="000000"/>
                <w:kern w:val="0"/>
                <w:szCs w:val="21"/>
              </w:rPr>
            </w:pPr>
            <w:r>
              <w:rPr>
                <w:rFonts w:hint="eastAsia" w:ascii="等线" w:hAnsi="等线" w:eastAsia="等线" w:cs="宋体"/>
                <w:color w:val="000000"/>
                <w:kern w:val="0"/>
                <w:szCs w:val="21"/>
              </w:rPr>
              <w:t>支持脚本和web模板在线提交两种方式</w:t>
            </w:r>
          </w:p>
        </w:tc>
      </w:tr>
      <w:tr w14:paraId="5D44B7F1">
        <w:tblPrEx>
          <w:tblCellMar>
            <w:top w:w="0" w:type="dxa"/>
            <w:left w:w="108" w:type="dxa"/>
            <w:bottom w:w="0" w:type="dxa"/>
            <w:right w:w="108" w:type="dxa"/>
          </w:tblCellMar>
        </w:tblPrEx>
        <w:trPr>
          <w:trHeight w:val="264" w:hRule="atLeast"/>
        </w:trPr>
        <w:tc>
          <w:tcPr>
            <w:tcW w:w="1380" w:type="dxa"/>
            <w:vMerge w:val="continue"/>
            <w:tcBorders>
              <w:top w:val="nil"/>
              <w:left w:val="single" w:color="auto" w:sz="4" w:space="0"/>
              <w:bottom w:val="single" w:color="auto" w:sz="4" w:space="0"/>
              <w:right w:val="single" w:color="auto" w:sz="4" w:space="0"/>
            </w:tcBorders>
            <w:vAlign w:val="center"/>
          </w:tcPr>
          <w:p w14:paraId="17B47506">
            <w:pPr>
              <w:widowControl/>
              <w:spacing w:line="360" w:lineRule="auto"/>
              <w:jc w:val="left"/>
              <w:rPr>
                <w:rFonts w:ascii="等线" w:hAnsi="等线" w:eastAsia="等线" w:cs="宋体"/>
                <w:color w:val="000000"/>
                <w:kern w:val="0"/>
                <w:szCs w:val="21"/>
              </w:rPr>
            </w:pPr>
          </w:p>
        </w:tc>
        <w:tc>
          <w:tcPr>
            <w:tcW w:w="9393" w:type="dxa"/>
            <w:tcBorders>
              <w:top w:val="nil"/>
              <w:left w:val="nil"/>
              <w:bottom w:val="single" w:color="auto" w:sz="4" w:space="0"/>
              <w:right w:val="single" w:color="auto" w:sz="4" w:space="0"/>
            </w:tcBorders>
            <w:shd w:val="clear" w:color="auto" w:fill="auto"/>
            <w:noWrap/>
            <w:vAlign w:val="center"/>
          </w:tcPr>
          <w:p w14:paraId="1895AABA">
            <w:pPr>
              <w:widowControl/>
              <w:spacing w:line="360" w:lineRule="auto"/>
              <w:rPr>
                <w:rFonts w:ascii="等线" w:hAnsi="等线" w:eastAsia="等线" w:cs="宋体"/>
                <w:color w:val="000000"/>
                <w:kern w:val="0"/>
                <w:szCs w:val="21"/>
              </w:rPr>
            </w:pPr>
            <w:r>
              <w:rPr>
                <w:rFonts w:hint="eastAsia" w:ascii="等线" w:hAnsi="等线" w:eastAsia="等线" w:cs="宋体"/>
                <w:color w:val="000000"/>
                <w:kern w:val="0"/>
                <w:szCs w:val="21"/>
              </w:rPr>
              <w:t>支持作业容器化运行</w:t>
            </w:r>
          </w:p>
        </w:tc>
      </w:tr>
      <w:tr w14:paraId="19F2188F">
        <w:tblPrEx>
          <w:tblCellMar>
            <w:top w:w="0" w:type="dxa"/>
            <w:left w:w="108" w:type="dxa"/>
            <w:bottom w:w="0" w:type="dxa"/>
            <w:right w:w="108" w:type="dxa"/>
          </w:tblCellMar>
        </w:tblPrEx>
        <w:trPr>
          <w:trHeight w:val="528" w:hRule="atLeast"/>
        </w:trPr>
        <w:tc>
          <w:tcPr>
            <w:tcW w:w="1380" w:type="dxa"/>
            <w:vMerge w:val="restart"/>
            <w:tcBorders>
              <w:top w:val="nil"/>
              <w:left w:val="single" w:color="auto" w:sz="4" w:space="0"/>
              <w:bottom w:val="single" w:color="auto" w:sz="4" w:space="0"/>
              <w:right w:val="single" w:color="auto" w:sz="4" w:space="0"/>
            </w:tcBorders>
            <w:shd w:val="clear" w:color="auto" w:fill="auto"/>
            <w:vAlign w:val="center"/>
          </w:tcPr>
          <w:p w14:paraId="46A7C490">
            <w:pPr>
              <w:widowControl/>
              <w:spacing w:line="360" w:lineRule="auto"/>
              <w:jc w:val="center"/>
              <w:rPr>
                <w:rFonts w:ascii="等线" w:hAnsi="等线" w:eastAsia="等线" w:cs="宋体"/>
                <w:color w:val="000000"/>
                <w:kern w:val="0"/>
                <w:szCs w:val="21"/>
              </w:rPr>
            </w:pPr>
            <w:r>
              <w:rPr>
                <w:rFonts w:hint="eastAsia" w:ascii="等线" w:hAnsi="等线" w:eastAsia="等线" w:cs="宋体"/>
                <w:color w:val="000000"/>
                <w:kern w:val="0"/>
                <w:szCs w:val="21"/>
              </w:rPr>
              <w:t>实时作业</w:t>
            </w:r>
          </w:p>
        </w:tc>
        <w:tc>
          <w:tcPr>
            <w:tcW w:w="9393" w:type="dxa"/>
            <w:tcBorders>
              <w:top w:val="nil"/>
              <w:left w:val="nil"/>
              <w:bottom w:val="single" w:color="auto" w:sz="4" w:space="0"/>
              <w:right w:val="single" w:color="auto" w:sz="4" w:space="0"/>
            </w:tcBorders>
            <w:shd w:val="clear" w:color="auto" w:fill="auto"/>
            <w:noWrap/>
            <w:vAlign w:val="center"/>
          </w:tcPr>
          <w:p w14:paraId="41663F47">
            <w:pPr>
              <w:widowControl/>
              <w:spacing w:line="360" w:lineRule="auto"/>
              <w:rPr>
                <w:rFonts w:ascii="等线" w:hAnsi="等线" w:eastAsia="等线" w:cs="宋体"/>
                <w:color w:val="000000"/>
                <w:kern w:val="0"/>
                <w:szCs w:val="21"/>
              </w:rPr>
            </w:pPr>
            <w:r>
              <w:rPr>
                <w:rFonts w:hint="eastAsia" w:ascii="等线" w:hAnsi="等线" w:eastAsia="等线" w:cs="宋体"/>
                <w:color w:val="000000"/>
                <w:kern w:val="0"/>
                <w:szCs w:val="21"/>
              </w:rPr>
              <w:t>支持查看、挂起、恢复、停止实时作业，可查看作业ID、名称、用户、组织、状态、作业运行时长、所属分区，作业输出和工作目录</w:t>
            </w:r>
          </w:p>
        </w:tc>
      </w:tr>
      <w:tr w14:paraId="32247C4A">
        <w:tblPrEx>
          <w:tblCellMar>
            <w:top w:w="0" w:type="dxa"/>
            <w:left w:w="108" w:type="dxa"/>
            <w:bottom w:w="0" w:type="dxa"/>
            <w:right w:w="108" w:type="dxa"/>
          </w:tblCellMar>
        </w:tblPrEx>
        <w:trPr>
          <w:trHeight w:val="792" w:hRule="atLeast"/>
        </w:trPr>
        <w:tc>
          <w:tcPr>
            <w:tcW w:w="1380" w:type="dxa"/>
            <w:vMerge w:val="continue"/>
            <w:tcBorders>
              <w:top w:val="nil"/>
              <w:left w:val="single" w:color="auto" w:sz="4" w:space="0"/>
              <w:bottom w:val="single" w:color="auto" w:sz="4" w:space="0"/>
              <w:right w:val="single" w:color="auto" w:sz="4" w:space="0"/>
            </w:tcBorders>
            <w:vAlign w:val="center"/>
          </w:tcPr>
          <w:p w14:paraId="74EA5975">
            <w:pPr>
              <w:widowControl/>
              <w:spacing w:line="360" w:lineRule="auto"/>
              <w:jc w:val="left"/>
              <w:rPr>
                <w:rFonts w:ascii="等线" w:hAnsi="等线" w:eastAsia="等线" w:cs="宋体"/>
                <w:color w:val="000000"/>
                <w:kern w:val="0"/>
                <w:szCs w:val="21"/>
              </w:rPr>
            </w:pPr>
          </w:p>
        </w:tc>
        <w:tc>
          <w:tcPr>
            <w:tcW w:w="9393" w:type="dxa"/>
            <w:tcBorders>
              <w:top w:val="nil"/>
              <w:left w:val="nil"/>
              <w:bottom w:val="single" w:color="auto" w:sz="4" w:space="0"/>
              <w:right w:val="single" w:color="auto" w:sz="4" w:space="0"/>
            </w:tcBorders>
            <w:shd w:val="clear" w:color="auto" w:fill="auto"/>
            <w:noWrap/>
            <w:vAlign w:val="center"/>
          </w:tcPr>
          <w:p w14:paraId="0C9968DF">
            <w:pPr>
              <w:widowControl/>
              <w:spacing w:line="360" w:lineRule="auto"/>
              <w:rPr>
                <w:rFonts w:ascii="等线" w:hAnsi="等线" w:eastAsia="等线" w:cs="宋体"/>
                <w:color w:val="000000"/>
                <w:kern w:val="0"/>
                <w:szCs w:val="21"/>
              </w:rPr>
            </w:pPr>
            <w:r>
              <w:rPr>
                <w:rFonts w:hint="eastAsia" w:ascii="等线" w:hAnsi="等线" w:eastAsia="等线" w:cs="宋体"/>
                <w:color w:val="000000"/>
                <w:kern w:val="0"/>
                <w:szCs w:val="21"/>
              </w:rPr>
              <w:t>支持查看作业详细信息，包括作业ID、名称、状态、使用节点数量、节点列表、所在分区、总核数、GPU卡数、QOS、优先级、用户、组织、输入路径、输出路径、错误路径、错误原因、提交时间、开始时间、运行时长</w:t>
            </w:r>
          </w:p>
        </w:tc>
      </w:tr>
      <w:tr w14:paraId="7460B4DF">
        <w:tblPrEx>
          <w:tblCellMar>
            <w:top w:w="0" w:type="dxa"/>
            <w:left w:w="108" w:type="dxa"/>
            <w:bottom w:w="0" w:type="dxa"/>
            <w:right w:w="108" w:type="dxa"/>
          </w:tblCellMar>
        </w:tblPrEx>
        <w:trPr>
          <w:trHeight w:val="264" w:hRule="atLeast"/>
        </w:trPr>
        <w:tc>
          <w:tcPr>
            <w:tcW w:w="1380" w:type="dxa"/>
            <w:vMerge w:val="continue"/>
            <w:tcBorders>
              <w:top w:val="nil"/>
              <w:left w:val="single" w:color="auto" w:sz="4" w:space="0"/>
              <w:bottom w:val="single" w:color="auto" w:sz="4" w:space="0"/>
              <w:right w:val="single" w:color="auto" w:sz="4" w:space="0"/>
            </w:tcBorders>
            <w:vAlign w:val="center"/>
          </w:tcPr>
          <w:p w14:paraId="581AF86F">
            <w:pPr>
              <w:widowControl/>
              <w:spacing w:line="360" w:lineRule="auto"/>
              <w:jc w:val="left"/>
              <w:rPr>
                <w:rFonts w:ascii="等线" w:hAnsi="等线" w:eastAsia="等线" w:cs="宋体"/>
                <w:color w:val="000000"/>
                <w:kern w:val="0"/>
                <w:szCs w:val="21"/>
              </w:rPr>
            </w:pPr>
          </w:p>
        </w:tc>
        <w:tc>
          <w:tcPr>
            <w:tcW w:w="9393" w:type="dxa"/>
            <w:tcBorders>
              <w:top w:val="nil"/>
              <w:left w:val="nil"/>
              <w:bottom w:val="single" w:color="auto" w:sz="4" w:space="0"/>
              <w:right w:val="single" w:color="auto" w:sz="4" w:space="0"/>
            </w:tcBorders>
            <w:shd w:val="clear" w:color="auto" w:fill="auto"/>
            <w:noWrap/>
            <w:vAlign w:val="center"/>
          </w:tcPr>
          <w:p w14:paraId="7B00376A">
            <w:pPr>
              <w:widowControl/>
              <w:spacing w:line="360" w:lineRule="auto"/>
              <w:rPr>
                <w:rFonts w:ascii="等线" w:hAnsi="等线" w:eastAsia="等线" w:cs="宋体"/>
                <w:color w:val="000000"/>
                <w:kern w:val="0"/>
                <w:szCs w:val="21"/>
              </w:rPr>
            </w:pPr>
            <w:r>
              <w:rPr>
                <w:rFonts w:hint="eastAsia" w:ascii="等线" w:hAnsi="等线" w:eastAsia="等线" w:cs="宋体"/>
                <w:color w:val="000000"/>
                <w:kern w:val="0"/>
                <w:szCs w:val="21"/>
              </w:rPr>
              <w:t>支持作业精确、模糊搜索</w:t>
            </w:r>
          </w:p>
        </w:tc>
      </w:tr>
      <w:tr w14:paraId="553B2011">
        <w:tblPrEx>
          <w:tblCellMar>
            <w:top w:w="0" w:type="dxa"/>
            <w:left w:w="108" w:type="dxa"/>
            <w:bottom w:w="0" w:type="dxa"/>
            <w:right w:w="108" w:type="dxa"/>
          </w:tblCellMar>
        </w:tblPrEx>
        <w:trPr>
          <w:trHeight w:val="528" w:hRule="atLeast"/>
        </w:trPr>
        <w:tc>
          <w:tcPr>
            <w:tcW w:w="1380" w:type="dxa"/>
            <w:vMerge w:val="restart"/>
            <w:tcBorders>
              <w:top w:val="nil"/>
              <w:left w:val="single" w:color="auto" w:sz="4" w:space="0"/>
              <w:bottom w:val="single" w:color="auto" w:sz="4" w:space="0"/>
              <w:right w:val="single" w:color="auto" w:sz="4" w:space="0"/>
            </w:tcBorders>
            <w:shd w:val="clear" w:color="auto" w:fill="auto"/>
            <w:vAlign w:val="center"/>
          </w:tcPr>
          <w:p w14:paraId="1EF31929">
            <w:pPr>
              <w:widowControl/>
              <w:spacing w:line="360" w:lineRule="auto"/>
              <w:jc w:val="center"/>
              <w:rPr>
                <w:rFonts w:ascii="等线" w:hAnsi="等线" w:eastAsia="等线" w:cs="宋体"/>
                <w:color w:val="000000"/>
                <w:kern w:val="0"/>
                <w:szCs w:val="21"/>
              </w:rPr>
            </w:pPr>
            <w:r>
              <w:rPr>
                <w:rFonts w:hint="eastAsia" w:ascii="等线" w:hAnsi="等线" w:eastAsia="等线" w:cs="宋体"/>
                <w:color w:val="000000"/>
                <w:kern w:val="0"/>
                <w:szCs w:val="21"/>
              </w:rPr>
              <w:t>历史作业</w:t>
            </w:r>
          </w:p>
        </w:tc>
        <w:tc>
          <w:tcPr>
            <w:tcW w:w="9393" w:type="dxa"/>
            <w:tcBorders>
              <w:top w:val="nil"/>
              <w:left w:val="nil"/>
              <w:bottom w:val="single" w:color="auto" w:sz="4" w:space="0"/>
              <w:right w:val="single" w:color="auto" w:sz="4" w:space="0"/>
            </w:tcBorders>
            <w:shd w:val="clear" w:color="auto" w:fill="auto"/>
            <w:noWrap/>
            <w:vAlign w:val="center"/>
          </w:tcPr>
          <w:p w14:paraId="3512B48E">
            <w:pPr>
              <w:widowControl/>
              <w:spacing w:line="360" w:lineRule="auto"/>
              <w:rPr>
                <w:rFonts w:ascii="等线" w:hAnsi="等线" w:eastAsia="等线" w:cs="宋体"/>
                <w:color w:val="000000"/>
                <w:kern w:val="0"/>
                <w:szCs w:val="21"/>
              </w:rPr>
            </w:pPr>
            <w:r>
              <w:rPr>
                <w:rFonts w:hint="eastAsia" w:ascii="等线" w:hAnsi="等线" w:eastAsia="等线" w:cs="宋体"/>
                <w:color w:val="000000"/>
                <w:kern w:val="0"/>
                <w:szCs w:val="21"/>
              </w:rPr>
              <w:t>支持查看历史作业记录，包括作业ID、名称、用户、组织、状态、所属分区、CPU总数、GPU卡数、节点数 、运行节点列表、运行时长、提交时间、作业输出和工作目录</w:t>
            </w:r>
          </w:p>
        </w:tc>
      </w:tr>
      <w:tr w14:paraId="6C486541">
        <w:tblPrEx>
          <w:tblCellMar>
            <w:top w:w="0" w:type="dxa"/>
            <w:left w:w="108" w:type="dxa"/>
            <w:bottom w:w="0" w:type="dxa"/>
            <w:right w:w="108" w:type="dxa"/>
          </w:tblCellMar>
        </w:tblPrEx>
        <w:trPr>
          <w:trHeight w:val="792" w:hRule="atLeast"/>
        </w:trPr>
        <w:tc>
          <w:tcPr>
            <w:tcW w:w="1380" w:type="dxa"/>
            <w:vMerge w:val="continue"/>
            <w:tcBorders>
              <w:top w:val="nil"/>
              <w:left w:val="single" w:color="auto" w:sz="4" w:space="0"/>
              <w:bottom w:val="single" w:color="auto" w:sz="4" w:space="0"/>
              <w:right w:val="single" w:color="auto" w:sz="4" w:space="0"/>
            </w:tcBorders>
            <w:vAlign w:val="center"/>
          </w:tcPr>
          <w:p w14:paraId="2CB6AEBB">
            <w:pPr>
              <w:widowControl/>
              <w:spacing w:line="360" w:lineRule="auto"/>
              <w:jc w:val="left"/>
              <w:rPr>
                <w:rFonts w:ascii="等线" w:hAnsi="等线" w:eastAsia="等线" w:cs="宋体"/>
                <w:color w:val="000000"/>
                <w:kern w:val="0"/>
                <w:szCs w:val="21"/>
              </w:rPr>
            </w:pPr>
          </w:p>
        </w:tc>
        <w:tc>
          <w:tcPr>
            <w:tcW w:w="9393" w:type="dxa"/>
            <w:tcBorders>
              <w:top w:val="nil"/>
              <w:left w:val="nil"/>
              <w:bottom w:val="single" w:color="auto" w:sz="4" w:space="0"/>
              <w:right w:val="single" w:color="auto" w:sz="4" w:space="0"/>
            </w:tcBorders>
            <w:shd w:val="clear" w:color="auto" w:fill="auto"/>
            <w:noWrap/>
            <w:vAlign w:val="center"/>
          </w:tcPr>
          <w:p w14:paraId="1183F7B8">
            <w:pPr>
              <w:widowControl/>
              <w:spacing w:line="360" w:lineRule="auto"/>
              <w:rPr>
                <w:rFonts w:ascii="等线" w:hAnsi="等线" w:eastAsia="等线" w:cs="宋体"/>
                <w:color w:val="000000"/>
                <w:kern w:val="0"/>
                <w:szCs w:val="21"/>
              </w:rPr>
            </w:pPr>
            <w:r>
              <w:rPr>
                <w:rFonts w:hint="eastAsia" w:ascii="等线" w:hAnsi="等线" w:eastAsia="等线" w:cs="宋体"/>
                <w:color w:val="000000"/>
                <w:kern w:val="0"/>
                <w:szCs w:val="21"/>
              </w:rPr>
              <w:t>支持查看历史作业详细信息，包括作业ID、名称、状态、使用节点数量、节点列表、所在分区、总核数、GPU卡数、QOS、优先级、用户、组织、输入路径、输出路径、错误路径、错误原因、提交时间、开始时间、运行时长</w:t>
            </w:r>
          </w:p>
        </w:tc>
      </w:tr>
      <w:tr w14:paraId="4A0605F7">
        <w:tblPrEx>
          <w:tblCellMar>
            <w:top w:w="0" w:type="dxa"/>
            <w:left w:w="108" w:type="dxa"/>
            <w:bottom w:w="0" w:type="dxa"/>
            <w:right w:w="108" w:type="dxa"/>
          </w:tblCellMar>
        </w:tblPrEx>
        <w:trPr>
          <w:trHeight w:val="264" w:hRule="atLeast"/>
        </w:trPr>
        <w:tc>
          <w:tcPr>
            <w:tcW w:w="1380" w:type="dxa"/>
            <w:vMerge w:val="continue"/>
            <w:tcBorders>
              <w:top w:val="nil"/>
              <w:left w:val="single" w:color="auto" w:sz="4" w:space="0"/>
              <w:bottom w:val="single" w:color="auto" w:sz="4" w:space="0"/>
              <w:right w:val="single" w:color="auto" w:sz="4" w:space="0"/>
            </w:tcBorders>
            <w:vAlign w:val="center"/>
          </w:tcPr>
          <w:p w14:paraId="60FD26E7">
            <w:pPr>
              <w:widowControl/>
              <w:spacing w:line="360" w:lineRule="auto"/>
              <w:jc w:val="left"/>
              <w:rPr>
                <w:rFonts w:ascii="等线" w:hAnsi="等线" w:eastAsia="等线" w:cs="宋体"/>
                <w:color w:val="000000"/>
                <w:kern w:val="0"/>
                <w:szCs w:val="21"/>
              </w:rPr>
            </w:pPr>
          </w:p>
        </w:tc>
        <w:tc>
          <w:tcPr>
            <w:tcW w:w="9393" w:type="dxa"/>
            <w:tcBorders>
              <w:top w:val="nil"/>
              <w:left w:val="nil"/>
              <w:bottom w:val="single" w:color="auto" w:sz="4" w:space="0"/>
              <w:right w:val="single" w:color="auto" w:sz="4" w:space="0"/>
            </w:tcBorders>
            <w:shd w:val="clear" w:color="auto" w:fill="auto"/>
            <w:noWrap/>
            <w:vAlign w:val="center"/>
          </w:tcPr>
          <w:p w14:paraId="3592EFEA">
            <w:pPr>
              <w:widowControl/>
              <w:spacing w:line="360" w:lineRule="auto"/>
              <w:rPr>
                <w:rFonts w:ascii="等线" w:hAnsi="等线" w:eastAsia="等线" w:cs="宋体"/>
                <w:color w:val="000000"/>
                <w:kern w:val="0"/>
                <w:szCs w:val="21"/>
              </w:rPr>
            </w:pPr>
            <w:r>
              <w:rPr>
                <w:rFonts w:hint="eastAsia" w:ascii="等线" w:hAnsi="等线" w:eastAsia="等线" w:cs="宋体"/>
                <w:color w:val="000000"/>
                <w:kern w:val="0"/>
                <w:szCs w:val="21"/>
              </w:rPr>
              <w:t>可查看周期一年的历史作业</w:t>
            </w:r>
          </w:p>
        </w:tc>
      </w:tr>
      <w:tr w14:paraId="58AB9A3C">
        <w:tblPrEx>
          <w:tblCellMar>
            <w:top w:w="0" w:type="dxa"/>
            <w:left w:w="108" w:type="dxa"/>
            <w:bottom w:w="0" w:type="dxa"/>
            <w:right w:w="108" w:type="dxa"/>
          </w:tblCellMar>
        </w:tblPrEx>
        <w:trPr>
          <w:trHeight w:val="264" w:hRule="atLeast"/>
        </w:trPr>
        <w:tc>
          <w:tcPr>
            <w:tcW w:w="1380" w:type="dxa"/>
            <w:vMerge w:val="continue"/>
            <w:tcBorders>
              <w:top w:val="nil"/>
              <w:left w:val="single" w:color="auto" w:sz="4" w:space="0"/>
              <w:bottom w:val="single" w:color="auto" w:sz="4" w:space="0"/>
              <w:right w:val="single" w:color="auto" w:sz="4" w:space="0"/>
            </w:tcBorders>
            <w:vAlign w:val="center"/>
          </w:tcPr>
          <w:p w14:paraId="2E2419F6">
            <w:pPr>
              <w:widowControl/>
              <w:spacing w:line="360" w:lineRule="auto"/>
              <w:jc w:val="left"/>
              <w:rPr>
                <w:rFonts w:ascii="等线" w:hAnsi="等线" w:eastAsia="等线" w:cs="宋体"/>
                <w:color w:val="000000"/>
                <w:kern w:val="0"/>
                <w:szCs w:val="21"/>
              </w:rPr>
            </w:pPr>
          </w:p>
        </w:tc>
        <w:tc>
          <w:tcPr>
            <w:tcW w:w="9393" w:type="dxa"/>
            <w:tcBorders>
              <w:top w:val="nil"/>
              <w:left w:val="nil"/>
              <w:bottom w:val="single" w:color="auto" w:sz="4" w:space="0"/>
              <w:right w:val="single" w:color="auto" w:sz="4" w:space="0"/>
            </w:tcBorders>
            <w:shd w:val="clear" w:color="auto" w:fill="auto"/>
            <w:noWrap/>
            <w:vAlign w:val="center"/>
          </w:tcPr>
          <w:p w14:paraId="7A34E402">
            <w:pPr>
              <w:widowControl/>
              <w:spacing w:line="360" w:lineRule="auto"/>
              <w:rPr>
                <w:rFonts w:ascii="等线" w:hAnsi="等线" w:eastAsia="等线" w:cs="宋体"/>
                <w:color w:val="000000"/>
                <w:kern w:val="0"/>
                <w:szCs w:val="21"/>
              </w:rPr>
            </w:pPr>
            <w:r>
              <w:rPr>
                <w:rFonts w:hint="eastAsia" w:ascii="等线" w:hAnsi="等线" w:eastAsia="等线" w:cs="宋体"/>
                <w:color w:val="000000"/>
                <w:kern w:val="0"/>
                <w:szCs w:val="21"/>
              </w:rPr>
              <w:t>支持作业精确、模糊搜索</w:t>
            </w:r>
          </w:p>
        </w:tc>
      </w:tr>
      <w:tr w14:paraId="07B27A01">
        <w:tblPrEx>
          <w:tblCellMar>
            <w:top w:w="0" w:type="dxa"/>
            <w:left w:w="108" w:type="dxa"/>
            <w:bottom w:w="0" w:type="dxa"/>
            <w:right w:w="108" w:type="dxa"/>
          </w:tblCellMar>
        </w:tblPrEx>
        <w:trPr>
          <w:trHeight w:val="528" w:hRule="atLeast"/>
        </w:trPr>
        <w:tc>
          <w:tcPr>
            <w:tcW w:w="1380" w:type="dxa"/>
            <w:tcBorders>
              <w:top w:val="nil"/>
              <w:left w:val="single" w:color="auto" w:sz="4" w:space="0"/>
              <w:bottom w:val="single" w:color="auto" w:sz="4" w:space="0"/>
              <w:right w:val="single" w:color="auto" w:sz="4" w:space="0"/>
            </w:tcBorders>
            <w:shd w:val="clear" w:color="auto" w:fill="auto"/>
            <w:vAlign w:val="center"/>
          </w:tcPr>
          <w:p w14:paraId="359C982D">
            <w:pPr>
              <w:widowControl/>
              <w:spacing w:line="360" w:lineRule="auto"/>
              <w:jc w:val="center"/>
              <w:rPr>
                <w:rFonts w:ascii="等线" w:hAnsi="等线" w:eastAsia="等线" w:cs="宋体"/>
                <w:color w:val="000000"/>
                <w:kern w:val="0"/>
                <w:szCs w:val="21"/>
              </w:rPr>
            </w:pPr>
            <w:r>
              <w:rPr>
                <w:rFonts w:hint="eastAsia" w:ascii="等线" w:hAnsi="等线" w:eastAsia="等线" w:cs="宋体"/>
                <w:color w:val="000000"/>
                <w:kern w:val="0"/>
                <w:szCs w:val="21"/>
              </w:rPr>
              <w:t>作业模板</w:t>
            </w:r>
          </w:p>
        </w:tc>
        <w:tc>
          <w:tcPr>
            <w:tcW w:w="9393" w:type="dxa"/>
            <w:tcBorders>
              <w:top w:val="nil"/>
              <w:left w:val="nil"/>
              <w:bottom w:val="single" w:color="auto" w:sz="4" w:space="0"/>
              <w:right w:val="single" w:color="auto" w:sz="4" w:space="0"/>
            </w:tcBorders>
            <w:shd w:val="clear" w:color="auto" w:fill="auto"/>
            <w:noWrap/>
            <w:vAlign w:val="center"/>
          </w:tcPr>
          <w:p w14:paraId="13CE9898">
            <w:pPr>
              <w:widowControl/>
              <w:spacing w:line="360" w:lineRule="auto"/>
              <w:rPr>
                <w:rFonts w:ascii="等线" w:hAnsi="等线" w:eastAsia="等线" w:cs="宋体"/>
                <w:color w:val="000000"/>
                <w:kern w:val="0"/>
                <w:szCs w:val="21"/>
              </w:rPr>
            </w:pPr>
            <w:r>
              <w:rPr>
                <w:rFonts w:hint="eastAsia" w:ascii="等线" w:hAnsi="等线" w:eastAsia="等线" w:cs="宋体"/>
                <w:color w:val="000000"/>
                <w:kern w:val="0"/>
                <w:szCs w:val="21"/>
              </w:rPr>
              <w:t>支持增删改查作业模板，可新建和查看Customization、CFD、Chemistry、Material Science、Mathematics应用类型的作业模板</w:t>
            </w:r>
          </w:p>
        </w:tc>
      </w:tr>
      <w:tr w14:paraId="07FA177D">
        <w:tblPrEx>
          <w:tblCellMar>
            <w:top w:w="0" w:type="dxa"/>
            <w:left w:w="108" w:type="dxa"/>
            <w:bottom w:w="0" w:type="dxa"/>
            <w:right w:w="108" w:type="dxa"/>
          </w:tblCellMar>
        </w:tblPrEx>
        <w:trPr>
          <w:trHeight w:val="264" w:hRule="atLeast"/>
        </w:trPr>
        <w:tc>
          <w:tcPr>
            <w:tcW w:w="1380" w:type="dxa"/>
            <w:vMerge w:val="restart"/>
            <w:tcBorders>
              <w:top w:val="nil"/>
              <w:left w:val="single" w:color="auto" w:sz="4" w:space="0"/>
              <w:bottom w:val="single" w:color="auto" w:sz="4" w:space="0"/>
              <w:right w:val="single" w:color="auto" w:sz="4" w:space="0"/>
            </w:tcBorders>
            <w:shd w:val="clear" w:color="auto" w:fill="auto"/>
            <w:vAlign w:val="center"/>
          </w:tcPr>
          <w:p w14:paraId="4F6E9E80">
            <w:pPr>
              <w:widowControl/>
              <w:spacing w:line="360" w:lineRule="auto"/>
              <w:jc w:val="center"/>
              <w:rPr>
                <w:rFonts w:ascii="等线" w:hAnsi="等线" w:eastAsia="等线" w:cs="宋体"/>
                <w:color w:val="000000"/>
                <w:kern w:val="0"/>
                <w:szCs w:val="21"/>
              </w:rPr>
            </w:pPr>
            <w:r>
              <w:rPr>
                <w:rFonts w:hint="eastAsia" w:ascii="等线" w:hAnsi="等线" w:eastAsia="等线" w:cs="宋体"/>
                <w:color w:val="000000"/>
                <w:kern w:val="0"/>
                <w:szCs w:val="21"/>
              </w:rPr>
              <w:t>镜像库</w:t>
            </w:r>
          </w:p>
        </w:tc>
        <w:tc>
          <w:tcPr>
            <w:tcW w:w="9393" w:type="dxa"/>
            <w:tcBorders>
              <w:top w:val="nil"/>
              <w:left w:val="nil"/>
              <w:bottom w:val="single" w:color="auto" w:sz="4" w:space="0"/>
              <w:right w:val="single" w:color="auto" w:sz="4" w:space="0"/>
            </w:tcBorders>
            <w:shd w:val="clear" w:color="auto" w:fill="auto"/>
            <w:noWrap/>
            <w:vAlign w:val="center"/>
          </w:tcPr>
          <w:p w14:paraId="5BBF8B52">
            <w:pPr>
              <w:widowControl/>
              <w:spacing w:line="360" w:lineRule="auto"/>
              <w:rPr>
                <w:rFonts w:ascii="等线" w:hAnsi="等线" w:eastAsia="等线" w:cs="宋体"/>
                <w:color w:val="000000"/>
                <w:kern w:val="0"/>
                <w:szCs w:val="21"/>
              </w:rPr>
            </w:pPr>
            <w:r>
              <w:rPr>
                <w:rFonts w:hint="eastAsia" w:ascii="等线" w:hAnsi="等线" w:eastAsia="等线" w:cs="宋体"/>
                <w:color w:val="000000"/>
                <w:kern w:val="0"/>
                <w:szCs w:val="21"/>
              </w:rPr>
              <w:t>支持增删改查、上传和下载镜像。</w:t>
            </w:r>
          </w:p>
        </w:tc>
      </w:tr>
      <w:tr w14:paraId="7C25EC06">
        <w:tblPrEx>
          <w:tblCellMar>
            <w:top w:w="0" w:type="dxa"/>
            <w:left w:w="108" w:type="dxa"/>
            <w:bottom w:w="0" w:type="dxa"/>
            <w:right w:w="108" w:type="dxa"/>
          </w:tblCellMar>
        </w:tblPrEx>
        <w:trPr>
          <w:trHeight w:val="264" w:hRule="atLeast"/>
        </w:trPr>
        <w:tc>
          <w:tcPr>
            <w:tcW w:w="1380" w:type="dxa"/>
            <w:vMerge w:val="continue"/>
            <w:tcBorders>
              <w:top w:val="nil"/>
              <w:left w:val="single" w:color="auto" w:sz="4" w:space="0"/>
              <w:bottom w:val="single" w:color="auto" w:sz="4" w:space="0"/>
              <w:right w:val="single" w:color="auto" w:sz="4" w:space="0"/>
            </w:tcBorders>
            <w:vAlign w:val="center"/>
          </w:tcPr>
          <w:p w14:paraId="75287410">
            <w:pPr>
              <w:widowControl/>
              <w:spacing w:line="360" w:lineRule="auto"/>
              <w:jc w:val="left"/>
              <w:rPr>
                <w:rFonts w:ascii="等线" w:hAnsi="等线" w:eastAsia="等线" w:cs="宋体"/>
                <w:color w:val="000000"/>
                <w:kern w:val="0"/>
                <w:szCs w:val="21"/>
              </w:rPr>
            </w:pPr>
          </w:p>
        </w:tc>
        <w:tc>
          <w:tcPr>
            <w:tcW w:w="9393" w:type="dxa"/>
            <w:tcBorders>
              <w:top w:val="nil"/>
              <w:left w:val="nil"/>
              <w:bottom w:val="single" w:color="auto" w:sz="4" w:space="0"/>
              <w:right w:val="single" w:color="auto" w:sz="4" w:space="0"/>
            </w:tcBorders>
            <w:shd w:val="clear" w:color="auto" w:fill="auto"/>
            <w:noWrap/>
            <w:vAlign w:val="center"/>
          </w:tcPr>
          <w:p w14:paraId="355641E5">
            <w:pPr>
              <w:widowControl/>
              <w:spacing w:line="360" w:lineRule="auto"/>
              <w:rPr>
                <w:rFonts w:ascii="等线" w:hAnsi="等线" w:eastAsia="等线" w:cs="宋体"/>
                <w:color w:val="000000"/>
                <w:kern w:val="0"/>
                <w:szCs w:val="21"/>
              </w:rPr>
            </w:pPr>
            <w:r>
              <w:rPr>
                <w:rFonts w:hint="eastAsia" w:ascii="等线" w:hAnsi="等线" w:eastAsia="等线" w:cs="宋体"/>
                <w:color w:val="000000"/>
                <w:kern w:val="0"/>
                <w:szCs w:val="21"/>
              </w:rPr>
              <w:t>支持设置镜像的访问级别（公共、私有）</w:t>
            </w:r>
          </w:p>
        </w:tc>
      </w:tr>
      <w:tr w14:paraId="588FB868">
        <w:tblPrEx>
          <w:tblCellMar>
            <w:top w:w="0" w:type="dxa"/>
            <w:left w:w="108" w:type="dxa"/>
            <w:bottom w:w="0" w:type="dxa"/>
            <w:right w:w="108" w:type="dxa"/>
          </w:tblCellMar>
        </w:tblPrEx>
        <w:trPr>
          <w:trHeight w:val="528" w:hRule="atLeast"/>
        </w:trPr>
        <w:tc>
          <w:tcPr>
            <w:tcW w:w="1380" w:type="dxa"/>
            <w:vMerge w:val="restart"/>
            <w:tcBorders>
              <w:top w:val="nil"/>
              <w:left w:val="single" w:color="auto" w:sz="4" w:space="0"/>
              <w:bottom w:val="single" w:color="auto" w:sz="4" w:space="0"/>
              <w:right w:val="single" w:color="auto" w:sz="4" w:space="0"/>
            </w:tcBorders>
            <w:shd w:val="clear" w:color="auto" w:fill="auto"/>
            <w:vAlign w:val="center"/>
          </w:tcPr>
          <w:p w14:paraId="107C6DFB">
            <w:pPr>
              <w:widowControl/>
              <w:spacing w:line="360" w:lineRule="auto"/>
              <w:jc w:val="center"/>
              <w:rPr>
                <w:rFonts w:ascii="等线" w:hAnsi="等线" w:eastAsia="等线" w:cs="宋体"/>
                <w:color w:val="000000"/>
                <w:kern w:val="0"/>
                <w:szCs w:val="21"/>
              </w:rPr>
            </w:pPr>
            <w:r>
              <w:rPr>
                <w:rFonts w:hint="eastAsia" w:ascii="等线" w:hAnsi="等线" w:eastAsia="等线" w:cs="宋体"/>
                <w:color w:val="000000"/>
                <w:kern w:val="0"/>
                <w:szCs w:val="21"/>
              </w:rPr>
              <w:t>计费设置</w:t>
            </w:r>
          </w:p>
        </w:tc>
        <w:tc>
          <w:tcPr>
            <w:tcW w:w="9393" w:type="dxa"/>
            <w:tcBorders>
              <w:top w:val="nil"/>
              <w:left w:val="nil"/>
              <w:bottom w:val="single" w:color="auto" w:sz="4" w:space="0"/>
              <w:right w:val="single" w:color="auto" w:sz="4" w:space="0"/>
            </w:tcBorders>
            <w:shd w:val="clear" w:color="auto" w:fill="auto"/>
            <w:noWrap/>
            <w:vAlign w:val="center"/>
          </w:tcPr>
          <w:p w14:paraId="1E44E8B6">
            <w:pPr>
              <w:widowControl/>
              <w:spacing w:line="360" w:lineRule="auto"/>
              <w:rPr>
                <w:rFonts w:ascii="等线" w:hAnsi="等线" w:eastAsia="等线" w:cs="宋体"/>
                <w:color w:val="000000"/>
                <w:kern w:val="0"/>
                <w:szCs w:val="21"/>
              </w:rPr>
            </w:pPr>
            <w:r>
              <w:rPr>
                <w:rFonts w:hint="eastAsia" w:ascii="等线" w:hAnsi="等线" w:eastAsia="等线" w:cs="宋体"/>
                <w:color w:val="000000"/>
                <w:kern w:val="0"/>
                <w:szCs w:val="21"/>
              </w:rPr>
              <w:t>支持为不同组织设置不同的CPU、GPU计费费率，CPU按核计费，GPU按卡计费，余额阈值，计费周期。支持设置欠费后是否能提交作业</w:t>
            </w:r>
          </w:p>
        </w:tc>
      </w:tr>
      <w:tr w14:paraId="4DC12FF1">
        <w:tblPrEx>
          <w:tblCellMar>
            <w:top w:w="0" w:type="dxa"/>
            <w:left w:w="108" w:type="dxa"/>
            <w:bottom w:w="0" w:type="dxa"/>
            <w:right w:w="108" w:type="dxa"/>
          </w:tblCellMar>
        </w:tblPrEx>
        <w:trPr>
          <w:trHeight w:val="264" w:hRule="atLeast"/>
        </w:trPr>
        <w:tc>
          <w:tcPr>
            <w:tcW w:w="1380" w:type="dxa"/>
            <w:vMerge w:val="continue"/>
            <w:tcBorders>
              <w:top w:val="nil"/>
              <w:left w:val="single" w:color="auto" w:sz="4" w:space="0"/>
              <w:bottom w:val="single" w:color="auto" w:sz="4" w:space="0"/>
              <w:right w:val="single" w:color="auto" w:sz="4" w:space="0"/>
            </w:tcBorders>
            <w:vAlign w:val="center"/>
          </w:tcPr>
          <w:p w14:paraId="50408B5D">
            <w:pPr>
              <w:widowControl/>
              <w:spacing w:line="360" w:lineRule="auto"/>
              <w:jc w:val="left"/>
              <w:rPr>
                <w:rFonts w:ascii="等线" w:hAnsi="等线" w:eastAsia="等线" w:cs="宋体"/>
                <w:color w:val="000000"/>
                <w:kern w:val="0"/>
                <w:szCs w:val="21"/>
              </w:rPr>
            </w:pPr>
          </w:p>
        </w:tc>
        <w:tc>
          <w:tcPr>
            <w:tcW w:w="9393" w:type="dxa"/>
            <w:tcBorders>
              <w:top w:val="nil"/>
              <w:left w:val="nil"/>
              <w:bottom w:val="single" w:color="auto" w:sz="4" w:space="0"/>
              <w:right w:val="single" w:color="auto" w:sz="4" w:space="0"/>
            </w:tcBorders>
            <w:shd w:val="clear" w:color="auto" w:fill="auto"/>
            <w:noWrap/>
            <w:vAlign w:val="center"/>
          </w:tcPr>
          <w:p w14:paraId="5127A7D9">
            <w:pPr>
              <w:widowControl/>
              <w:spacing w:line="360" w:lineRule="auto"/>
              <w:rPr>
                <w:rFonts w:ascii="等线" w:hAnsi="等线" w:eastAsia="等线" w:cs="宋体"/>
                <w:color w:val="000000"/>
                <w:kern w:val="0"/>
                <w:szCs w:val="21"/>
              </w:rPr>
            </w:pPr>
            <w:r>
              <w:rPr>
                <w:rFonts w:hint="eastAsia" w:ascii="等线" w:hAnsi="等线" w:eastAsia="等线" w:cs="宋体"/>
                <w:color w:val="000000"/>
                <w:kern w:val="0"/>
                <w:szCs w:val="21"/>
              </w:rPr>
              <w:t>支持查看充值记录，包括组织、总额、余额、状态；支持按组织、状态模糊查询</w:t>
            </w:r>
          </w:p>
        </w:tc>
      </w:tr>
      <w:tr w14:paraId="5850F289">
        <w:tblPrEx>
          <w:tblCellMar>
            <w:top w:w="0" w:type="dxa"/>
            <w:left w:w="108" w:type="dxa"/>
            <w:bottom w:w="0" w:type="dxa"/>
            <w:right w:w="108" w:type="dxa"/>
          </w:tblCellMar>
        </w:tblPrEx>
        <w:trPr>
          <w:trHeight w:val="264" w:hRule="atLeast"/>
        </w:trPr>
        <w:tc>
          <w:tcPr>
            <w:tcW w:w="1380" w:type="dxa"/>
            <w:tcBorders>
              <w:top w:val="nil"/>
              <w:left w:val="single" w:color="auto" w:sz="4" w:space="0"/>
              <w:bottom w:val="single" w:color="auto" w:sz="4" w:space="0"/>
              <w:right w:val="single" w:color="auto" w:sz="4" w:space="0"/>
            </w:tcBorders>
            <w:shd w:val="clear" w:color="auto" w:fill="auto"/>
            <w:vAlign w:val="center"/>
          </w:tcPr>
          <w:p w14:paraId="1E761113">
            <w:pPr>
              <w:widowControl/>
              <w:spacing w:line="360" w:lineRule="auto"/>
              <w:jc w:val="center"/>
              <w:rPr>
                <w:rFonts w:ascii="等线" w:hAnsi="等线" w:eastAsia="等线" w:cs="宋体"/>
                <w:color w:val="000000"/>
                <w:kern w:val="0"/>
                <w:szCs w:val="21"/>
              </w:rPr>
            </w:pPr>
            <w:r>
              <w:rPr>
                <w:rFonts w:hint="eastAsia" w:ascii="等线" w:hAnsi="等线" w:eastAsia="等线" w:cs="宋体"/>
                <w:color w:val="000000"/>
                <w:kern w:val="0"/>
                <w:szCs w:val="21"/>
              </w:rPr>
              <w:t>充值记录</w:t>
            </w:r>
          </w:p>
        </w:tc>
        <w:tc>
          <w:tcPr>
            <w:tcW w:w="9393" w:type="dxa"/>
            <w:tcBorders>
              <w:top w:val="nil"/>
              <w:left w:val="nil"/>
              <w:bottom w:val="single" w:color="auto" w:sz="4" w:space="0"/>
              <w:right w:val="single" w:color="auto" w:sz="4" w:space="0"/>
            </w:tcBorders>
            <w:shd w:val="clear" w:color="auto" w:fill="auto"/>
            <w:noWrap/>
            <w:vAlign w:val="center"/>
          </w:tcPr>
          <w:p w14:paraId="5C1071C6">
            <w:pPr>
              <w:widowControl/>
              <w:spacing w:line="360" w:lineRule="auto"/>
              <w:rPr>
                <w:rFonts w:ascii="等线" w:hAnsi="等线" w:eastAsia="等线" w:cs="宋体"/>
                <w:color w:val="000000"/>
                <w:kern w:val="0"/>
                <w:szCs w:val="21"/>
              </w:rPr>
            </w:pPr>
            <w:r>
              <w:rPr>
                <w:rFonts w:hint="eastAsia" w:ascii="等线" w:hAnsi="等线" w:eastAsia="等线" w:cs="宋体"/>
                <w:color w:val="000000"/>
                <w:kern w:val="0"/>
                <w:szCs w:val="21"/>
              </w:rPr>
              <w:t>支持对组织进行充值和查看余额。</w:t>
            </w:r>
          </w:p>
        </w:tc>
      </w:tr>
      <w:tr w14:paraId="32B58D2E">
        <w:tblPrEx>
          <w:tblCellMar>
            <w:top w:w="0" w:type="dxa"/>
            <w:left w:w="108" w:type="dxa"/>
            <w:bottom w:w="0" w:type="dxa"/>
            <w:right w:w="108" w:type="dxa"/>
          </w:tblCellMar>
        </w:tblPrEx>
        <w:trPr>
          <w:trHeight w:val="264" w:hRule="atLeast"/>
        </w:trPr>
        <w:tc>
          <w:tcPr>
            <w:tcW w:w="1380" w:type="dxa"/>
            <w:vMerge w:val="restart"/>
            <w:tcBorders>
              <w:top w:val="nil"/>
              <w:left w:val="single" w:color="auto" w:sz="4" w:space="0"/>
              <w:bottom w:val="single" w:color="auto" w:sz="4" w:space="0"/>
              <w:right w:val="single" w:color="auto" w:sz="4" w:space="0"/>
            </w:tcBorders>
            <w:shd w:val="clear" w:color="auto" w:fill="auto"/>
            <w:vAlign w:val="center"/>
          </w:tcPr>
          <w:p w14:paraId="08AE5A3E">
            <w:pPr>
              <w:widowControl/>
              <w:spacing w:line="360" w:lineRule="auto"/>
              <w:jc w:val="center"/>
              <w:rPr>
                <w:rFonts w:ascii="等线" w:hAnsi="等线" w:eastAsia="等线" w:cs="宋体"/>
                <w:color w:val="000000"/>
                <w:kern w:val="0"/>
                <w:szCs w:val="21"/>
              </w:rPr>
            </w:pPr>
            <w:r>
              <w:rPr>
                <w:rFonts w:hint="eastAsia" w:ascii="等线" w:hAnsi="等线" w:eastAsia="等线" w:cs="宋体"/>
                <w:color w:val="000000"/>
                <w:kern w:val="0"/>
                <w:szCs w:val="21"/>
              </w:rPr>
              <w:t>账单</w:t>
            </w:r>
          </w:p>
        </w:tc>
        <w:tc>
          <w:tcPr>
            <w:tcW w:w="9393" w:type="dxa"/>
            <w:tcBorders>
              <w:top w:val="nil"/>
              <w:left w:val="nil"/>
              <w:bottom w:val="single" w:color="auto" w:sz="4" w:space="0"/>
              <w:right w:val="single" w:color="auto" w:sz="4" w:space="0"/>
            </w:tcBorders>
            <w:shd w:val="clear" w:color="auto" w:fill="auto"/>
            <w:noWrap/>
            <w:vAlign w:val="center"/>
          </w:tcPr>
          <w:p w14:paraId="2BE00ED1">
            <w:pPr>
              <w:widowControl/>
              <w:spacing w:line="360" w:lineRule="auto"/>
              <w:rPr>
                <w:rFonts w:ascii="等线" w:hAnsi="等线" w:eastAsia="等线" w:cs="宋体"/>
                <w:color w:val="000000"/>
                <w:kern w:val="0"/>
                <w:szCs w:val="21"/>
              </w:rPr>
            </w:pPr>
            <w:r>
              <w:rPr>
                <w:rFonts w:hint="eastAsia" w:ascii="等线" w:hAnsi="等线" w:eastAsia="等线" w:cs="宋体"/>
                <w:color w:val="000000"/>
                <w:kern w:val="0"/>
                <w:szCs w:val="21"/>
              </w:rPr>
              <w:t>支持查看集群、组织、用户的消费总额。</w:t>
            </w:r>
          </w:p>
        </w:tc>
      </w:tr>
      <w:tr w14:paraId="0CB1268E">
        <w:tblPrEx>
          <w:tblCellMar>
            <w:top w:w="0" w:type="dxa"/>
            <w:left w:w="108" w:type="dxa"/>
            <w:bottom w:w="0" w:type="dxa"/>
            <w:right w:w="108" w:type="dxa"/>
          </w:tblCellMar>
        </w:tblPrEx>
        <w:trPr>
          <w:trHeight w:val="264" w:hRule="atLeast"/>
        </w:trPr>
        <w:tc>
          <w:tcPr>
            <w:tcW w:w="1380" w:type="dxa"/>
            <w:vMerge w:val="continue"/>
            <w:tcBorders>
              <w:top w:val="nil"/>
              <w:left w:val="single" w:color="auto" w:sz="4" w:space="0"/>
              <w:bottom w:val="single" w:color="auto" w:sz="4" w:space="0"/>
              <w:right w:val="single" w:color="auto" w:sz="4" w:space="0"/>
            </w:tcBorders>
            <w:vAlign w:val="center"/>
          </w:tcPr>
          <w:p w14:paraId="37041074">
            <w:pPr>
              <w:widowControl/>
              <w:spacing w:line="360" w:lineRule="auto"/>
              <w:jc w:val="left"/>
              <w:rPr>
                <w:rFonts w:ascii="等线" w:hAnsi="等线" w:eastAsia="等线" w:cs="宋体"/>
                <w:color w:val="000000"/>
                <w:kern w:val="0"/>
                <w:szCs w:val="21"/>
              </w:rPr>
            </w:pPr>
          </w:p>
        </w:tc>
        <w:tc>
          <w:tcPr>
            <w:tcW w:w="9393" w:type="dxa"/>
            <w:tcBorders>
              <w:top w:val="nil"/>
              <w:left w:val="nil"/>
              <w:bottom w:val="single" w:color="auto" w:sz="4" w:space="0"/>
              <w:right w:val="single" w:color="auto" w:sz="4" w:space="0"/>
            </w:tcBorders>
            <w:shd w:val="clear" w:color="auto" w:fill="auto"/>
            <w:noWrap/>
            <w:vAlign w:val="center"/>
          </w:tcPr>
          <w:p w14:paraId="4DBE3F56">
            <w:pPr>
              <w:widowControl/>
              <w:spacing w:line="360" w:lineRule="auto"/>
              <w:rPr>
                <w:rFonts w:ascii="等线" w:hAnsi="等线" w:eastAsia="等线" w:cs="宋体"/>
                <w:color w:val="000000"/>
                <w:kern w:val="0"/>
                <w:szCs w:val="21"/>
              </w:rPr>
            </w:pPr>
            <w:r>
              <w:rPr>
                <w:rFonts w:hint="eastAsia" w:ascii="等线" w:hAnsi="等线" w:eastAsia="等线" w:cs="宋体"/>
                <w:color w:val="000000"/>
                <w:kern w:val="0"/>
                <w:szCs w:val="21"/>
              </w:rPr>
              <w:t>支持查看月/周账单总额、趋势图。</w:t>
            </w:r>
          </w:p>
        </w:tc>
      </w:tr>
      <w:tr w14:paraId="690C0F73">
        <w:tblPrEx>
          <w:tblCellMar>
            <w:top w:w="0" w:type="dxa"/>
            <w:left w:w="108" w:type="dxa"/>
            <w:bottom w:w="0" w:type="dxa"/>
            <w:right w:w="108" w:type="dxa"/>
          </w:tblCellMar>
        </w:tblPrEx>
        <w:trPr>
          <w:trHeight w:val="528" w:hRule="atLeast"/>
        </w:trPr>
        <w:tc>
          <w:tcPr>
            <w:tcW w:w="1380" w:type="dxa"/>
            <w:vMerge w:val="continue"/>
            <w:tcBorders>
              <w:top w:val="nil"/>
              <w:left w:val="single" w:color="auto" w:sz="4" w:space="0"/>
              <w:bottom w:val="single" w:color="auto" w:sz="4" w:space="0"/>
              <w:right w:val="single" w:color="auto" w:sz="4" w:space="0"/>
            </w:tcBorders>
            <w:vAlign w:val="center"/>
          </w:tcPr>
          <w:p w14:paraId="4A76B7CD">
            <w:pPr>
              <w:widowControl/>
              <w:spacing w:line="360" w:lineRule="auto"/>
              <w:jc w:val="left"/>
              <w:rPr>
                <w:rFonts w:ascii="等线" w:hAnsi="等线" w:eastAsia="等线" w:cs="宋体"/>
                <w:color w:val="000000"/>
                <w:kern w:val="0"/>
                <w:szCs w:val="21"/>
              </w:rPr>
            </w:pPr>
          </w:p>
        </w:tc>
        <w:tc>
          <w:tcPr>
            <w:tcW w:w="9393" w:type="dxa"/>
            <w:tcBorders>
              <w:top w:val="nil"/>
              <w:left w:val="nil"/>
              <w:bottom w:val="single" w:color="auto" w:sz="4" w:space="0"/>
              <w:right w:val="single" w:color="auto" w:sz="4" w:space="0"/>
            </w:tcBorders>
            <w:shd w:val="clear" w:color="auto" w:fill="auto"/>
            <w:noWrap/>
            <w:vAlign w:val="center"/>
          </w:tcPr>
          <w:p w14:paraId="45BD3D3D">
            <w:pPr>
              <w:widowControl/>
              <w:spacing w:line="360" w:lineRule="auto"/>
              <w:rPr>
                <w:rFonts w:ascii="等线" w:hAnsi="等线" w:eastAsia="等线" w:cs="宋体"/>
                <w:color w:val="000000"/>
                <w:kern w:val="0"/>
                <w:szCs w:val="21"/>
              </w:rPr>
            </w:pPr>
            <w:r>
              <w:rPr>
                <w:rFonts w:hint="eastAsia" w:ascii="等线" w:hAnsi="等线" w:eastAsia="等线" w:cs="宋体"/>
                <w:color w:val="000000"/>
                <w:kern w:val="0"/>
                <w:szCs w:val="21"/>
              </w:rPr>
              <w:t>支持按作业、用户、组织维度查看账单，包括用户名称、组织名称、作业ID、作业数量、作业平均运行时长、CPU核时、GPU卡时、消费金额。</w:t>
            </w:r>
          </w:p>
        </w:tc>
      </w:tr>
      <w:tr w14:paraId="1F018155">
        <w:tblPrEx>
          <w:tblCellMar>
            <w:top w:w="0" w:type="dxa"/>
            <w:left w:w="108" w:type="dxa"/>
            <w:bottom w:w="0" w:type="dxa"/>
            <w:right w:w="108" w:type="dxa"/>
          </w:tblCellMar>
        </w:tblPrEx>
        <w:trPr>
          <w:trHeight w:val="264" w:hRule="atLeast"/>
        </w:trPr>
        <w:tc>
          <w:tcPr>
            <w:tcW w:w="1380" w:type="dxa"/>
            <w:vMerge w:val="continue"/>
            <w:tcBorders>
              <w:top w:val="nil"/>
              <w:left w:val="single" w:color="auto" w:sz="4" w:space="0"/>
              <w:bottom w:val="single" w:color="auto" w:sz="4" w:space="0"/>
              <w:right w:val="single" w:color="auto" w:sz="4" w:space="0"/>
            </w:tcBorders>
            <w:vAlign w:val="center"/>
          </w:tcPr>
          <w:p w14:paraId="25467ACD">
            <w:pPr>
              <w:widowControl/>
              <w:spacing w:line="360" w:lineRule="auto"/>
              <w:jc w:val="left"/>
              <w:rPr>
                <w:rFonts w:ascii="等线" w:hAnsi="等线" w:eastAsia="等线" w:cs="宋体"/>
                <w:color w:val="000000"/>
                <w:kern w:val="0"/>
                <w:szCs w:val="21"/>
              </w:rPr>
            </w:pPr>
          </w:p>
        </w:tc>
        <w:tc>
          <w:tcPr>
            <w:tcW w:w="9393" w:type="dxa"/>
            <w:tcBorders>
              <w:top w:val="nil"/>
              <w:left w:val="nil"/>
              <w:bottom w:val="single" w:color="auto" w:sz="4" w:space="0"/>
              <w:right w:val="single" w:color="auto" w:sz="4" w:space="0"/>
            </w:tcBorders>
            <w:shd w:val="clear" w:color="auto" w:fill="auto"/>
            <w:noWrap/>
            <w:vAlign w:val="center"/>
          </w:tcPr>
          <w:p w14:paraId="4981ED95">
            <w:pPr>
              <w:widowControl/>
              <w:spacing w:line="360" w:lineRule="auto"/>
              <w:rPr>
                <w:rFonts w:ascii="等线" w:hAnsi="等线" w:eastAsia="等线" w:cs="宋体"/>
                <w:color w:val="000000"/>
                <w:kern w:val="0"/>
                <w:szCs w:val="21"/>
              </w:rPr>
            </w:pPr>
            <w:r>
              <w:rPr>
                <w:rFonts w:hint="eastAsia" w:ascii="等线" w:hAnsi="等线" w:eastAsia="等线" w:cs="宋体"/>
                <w:color w:val="000000"/>
                <w:kern w:val="0"/>
                <w:szCs w:val="21"/>
              </w:rPr>
              <w:t>支持按组织、用户、作业维度进行查询。</w:t>
            </w:r>
          </w:p>
        </w:tc>
      </w:tr>
      <w:tr w14:paraId="078152BA">
        <w:tblPrEx>
          <w:tblCellMar>
            <w:top w:w="0" w:type="dxa"/>
            <w:left w:w="108" w:type="dxa"/>
            <w:bottom w:w="0" w:type="dxa"/>
            <w:right w:w="108" w:type="dxa"/>
          </w:tblCellMar>
        </w:tblPrEx>
        <w:trPr>
          <w:trHeight w:val="264" w:hRule="atLeast"/>
        </w:trPr>
        <w:tc>
          <w:tcPr>
            <w:tcW w:w="1380" w:type="dxa"/>
            <w:vMerge w:val="continue"/>
            <w:tcBorders>
              <w:top w:val="nil"/>
              <w:left w:val="single" w:color="auto" w:sz="4" w:space="0"/>
              <w:bottom w:val="single" w:color="auto" w:sz="4" w:space="0"/>
              <w:right w:val="single" w:color="auto" w:sz="4" w:space="0"/>
            </w:tcBorders>
            <w:vAlign w:val="center"/>
          </w:tcPr>
          <w:p w14:paraId="7B98C5BB">
            <w:pPr>
              <w:widowControl/>
              <w:spacing w:line="360" w:lineRule="auto"/>
              <w:jc w:val="left"/>
              <w:rPr>
                <w:rFonts w:ascii="等线" w:hAnsi="等线" w:eastAsia="等线" w:cs="宋体"/>
                <w:color w:val="000000"/>
                <w:kern w:val="0"/>
                <w:szCs w:val="21"/>
              </w:rPr>
            </w:pPr>
          </w:p>
        </w:tc>
        <w:tc>
          <w:tcPr>
            <w:tcW w:w="9393" w:type="dxa"/>
            <w:tcBorders>
              <w:top w:val="nil"/>
              <w:left w:val="nil"/>
              <w:bottom w:val="single" w:color="auto" w:sz="4" w:space="0"/>
              <w:right w:val="single" w:color="auto" w:sz="4" w:space="0"/>
            </w:tcBorders>
            <w:shd w:val="clear" w:color="auto" w:fill="auto"/>
            <w:noWrap/>
            <w:vAlign w:val="center"/>
          </w:tcPr>
          <w:p w14:paraId="014D7074">
            <w:pPr>
              <w:widowControl/>
              <w:spacing w:line="360" w:lineRule="auto"/>
              <w:rPr>
                <w:rFonts w:ascii="等线" w:hAnsi="等线" w:eastAsia="等线" w:cs="宋体"/>
                <w:color w:val="000000"/>
                <w:kern w:val="0"/>
                <w:szCs w:val="21"/>
              </w:rPr>
            </w:pPr>
            <w:r>
              <w:rPr>
                <w:rFonts w:hint="eastAsia" w:ascii="等线" w:hAnsi="等线" w:eastAsia="等线" w:cs="宋体"/>
                <w:color w:val="000000"/>
                <w:kern w:val="0"/>
                <w:szCs w:val="21"/>
              </w:rPr>
              <w:t>支持账单导出。</w:t>
            </w:r>
          </w:p>
        </w:tc>
      </w:tr>
      <w:tr w14:paraId="63D7AF4B">
        <w:tblPrEx>
          <w:tblCellMar>
            <w:top w:w="0" w:type="dxa"/>
            <w:left w:w="108" w:type="dxa"/>
            <w:bottom w:w="0" w:type="dxa"/>
            <w:right w:w="108" w:type="dxa"/>
          </w:tblCellMar>
        </w:tblPrEx>
        <w:trPr>
          <w:trHeight w:val="264" w:hRule="atLeast"/>
        </w:trPr>
        <w:tc>
          <w:tcPr>
            <w:tcW w:w="1380" w:type="dxa"/>
            <w:vMerge w:val="restart"/>
            <w:tcBorders>
              <w:top w:val="nil"/>
              <w:left w:val="single" w:color="auto" w:sz="4" w:space="0"/>
              <w:bottom w:val="single" w:color="auto" w:sz="4" w:space="0"/>
              <w:right w:val="single" w:color="auto" w:sz="4" w:space="0"/>
            </w:tcBorders>
            <w:shd w:val="clear" w:color="auto" w:fill="auto"/>
            <w:vAlign w:val="center"/>
          </w:tcPr>
          <w:p w14:paraId="519AD691">
            <w:pPr>
              <w:widowControl/>
              <w:spacing w:line="360" w:lineRule="auto"/>
              <w:jc w:val="center"/>
              <w:rPr>
                <w:rFonts w:ascii="等线" w:hAnsi="等线" w:eastAsia="等线" w:cs="宋体"/>
                <w:color w:val="000000"/>
                <w:kern w:val="0"/>
                <w:szCs w:val="21"/>
              </w:rPr>
            </w:pPr>
            <w:r>
              <w:rPr>
                <w:rFonts w:hint="eastAsia" w:ascii="等线" w:hAnsi="等线" w:eastAsia="等线" w:cs="宋体"/>
                <w:color w:val="000000"/>
                <w:kern w:val="0"/>
                <w:szCs w:val="21"/>
              </w:rPr>
              <w:t>用户设置</w:t>
            </w:r>
          </w:p>
        </w:tc>
        <w:tc>
          <w:tcPr>
            <w:tcW w:w="9393" w:type="dxa"/>
            <w:tcBorders>
              <w:top w:val="nil"/>
              <w:left w:val="nil"/>
              <w:bottom w:val="single" w:color="auto" w:sz="4" w:space="0"/>
              <w:right w:val="single" w:color="auto" w:sz="4" w:space="0"/>
            </w:tcBorders>
            <w:shd w:val="clear" w:color="auto" w:fill="auto"/>
            <w:noWrap/>
            <w:vAlign w:val="center"/>
          </w:tcPr>
          <w:p w14:paraId="5830AD54">
            <w:pPr>
              <w:widowControl/>
              <w:spacing w:line="360" w:lineRule="auto"/>
              <w:rPr>
                <w:rFonts w:ascii="等线" w:hAnsi="等线" w:eastAsia="等线" w:cs="宋体"/>
                <w:color w:val="000000"/>
                <w:kern w:val="0"/>
                <w:szCs w:val="21"/>
              </w:rPr>
            </w:pPr>
            <w:r>
              <w:rPr>
                <w:rFonts w:hint="eastAsia" w:ascii="等线" w:hAnsi="等线" w:eastAsia="等线" w:cs="宋体"/>
                <w:color w:val="000000"/>
                <w:kern w:val="0"/>
                <w:szCs w:val="21"/>
              </w:rPr>
              <w:t>支持增删改查用户，对用户启用、禁用操作。支持导入用户。</w:t>
            </w:r>
          </w:p>
        </w:tc>
      </w:tr>
      <w:tr w14:paraId="272FEA20">
        <w:tblPrEx>
          <w:tblCellMar>
            <w:top w:w="0" w:type="dxa"/>
            <w:left w:w="108" w:type="dxa"/>
            <w:bottom w:w="0" w:type="dxa"/>
            <w:right w:w="108" w:type="dxa"/>
          </w:tblCellMar>
        </w:tblPrEx>
        <w:trPr>
          <w:trHeight w:val="264" w:hRule="atLeast"/>
        </w:trPr>
        <w:tc>
          <w:tcPr>
            <w:tcW w:w="1380" w:type="dxa"/>
            <w:vMerge w:val="continue"/>
            <w:tcBorders>
              <w:top w:val="nil"/>
              <w:left w:val="single" w:color="auto" w:sz="4" w:space="0"/>
              <w:bottom w:val="single" w:color="auto" w:sz="4" w:space="0"/>
              <w:right w:val="single" w:color="auto" w:sz="4" w:space="0"/>
            </w:tcBorders>
            <w:vAlign w:val="center"/>
          </w:tcPr>
          <w:p w14:paraId="6E3E0AD7">
            <w:pPr>
              <w:widowControl/>
              <w:spacing w:line="360" w:lineRule="auto"/>
              <w:jc w:val="left"/>
              <w:rPr>
                <w:rFonts w:ascii="等线" w:hAnsi="等线" w:eastAsia="等线" w:cs="宋体"/>
                <w:color w:val="000000"/>
                <w:kern w:val="0"/>
                <w:szCs w:val="21"/>
              </w:rPr>
            </w:pPr>
          </w:p>
        </w:tc>
        <w:tc>
          <w:tcPr>
            <w:tcW w:w="9393" w:type="dxa"/>
            <w:tcBorders>
              <w:top w:val="nil"/>
              <w:left w:val="nil"/>
              <w:bottom w:val="single" w:color="auto" w:sz="4" w:space="0"/>
              <w:right w:val="single" w:color="auto" w:sz="4" w:space="0"/>
            </w:tcBorders>
            <w:shd w:val="clear" w:color="auto" w:fill="auto"/>
            <w:noWrap/>
            <w:vAlign w:val="center"/>
          </w:tcPr>
          <w:p w14:paraId="3BFC3863">
            <w:pPr>
              <w:widowControl/>
              <w:spacing w:line="360" w:lineRule="auto"/>
              <w:rPr>
                <w:rFonts w:ascii="等线" w:hAnsi="等线" w:eastAsia="等线" w:cs="宋体"/>
                <w:color w:val="000000"/>
                <w:kern w:val="0"/>
                <w:szCs w:val="21"/>
              </w:rPr>
            </w:pPr>
            <w:r>
              <w:rPr>
                <w:rFonts w:hint="eastAsia" w:ascii="等线" w:hAnsi="等线" w:eastAsia="等线" w:cs="宋体"/>
                <w:color w:val="000000"/>
                <w:kern w:val="0"/>
                <w:szCs w:val="21"/>
              </w:rPr>
              <w:t>支持选择用户权限，包括超级管理员、组织管理员及普通用户。</w:t>
            </w:r>
          </w:p>
        </w:tc>
      </w:tr>
      <w:tr w14:paraId="09EA337F">
        <w:tblPrEx>
          <w:tblCellMar>
            <w:top w:w="0" w:type="dxa"/>
            <w:left w:w="108" w:type="dxa"/>
            <w:bottom w:w="0" w:type="dxa"/>
            <w:right w:w="108" w:type="dxa"/>
          </w:tblCellMar>
        </w:tblPrEx>
        <w:trPr>
          <w:trHeight w:val="528" w:hRule="atLeast"/>
        </w:trPr>
        <w:tc>
          <w:tcPr>
            <w:tcW w:w="1380" w:type="dxa"/>
            <w:tcBorders>
              <w:top w:val="nil"/>
              <w:left w:val="single" w:color="auto" w:sz="4" w:space="0"/>
              <w:bottom w:val="single" w:color="auto" w:sz="4" w:space="0"/>
              <w:right w:val="single" w:color="auto" w:sz="4" w:space="0"/>
            </w:tcBorders>
            <w:shd w:val="clear" w:color="auto" w:fill="auto"/>
            <w:vAlign w:val="center"/>
          </w:tcPr>
          <w:p w14:paraId="4C45AC8D">
            <w:pPr>
              <w:widowControl/>
              <w:spacing w:line="360" w:lineRule="auto"/>
              <w:jc w:val="center"/>
              <w:rPr>
                <w:rFonts w:ascii="等线" w:hAnsi="等线" w:eastAsia="等线" w:cs="宋体"/>
                <w:color w:val="000000"/>
                <w:kern w:val="0"/>
                <w:szCs w:val="21"/>
              </w:rPr>
            </w:pPr>
            <w:r>
              <w:rPr>
                <w:rFonts w:hint="eastAsia" w:ascii="等线" w:hAnsi="等线" w:eastAsia="等线" w:cs="宋体"/>
                <w:color w:val="000000"/>
                <w:kern w:val="0"/>
                <w:szCs w:val="21"/>
              </w:rPr>
              <w:t>用户详情</w:t>
            </w:r>
          </w:p>
        </w:tc>
        <w:tc>
          <w:tcPr>
            <w:tcW w:w="9393" w:type="dxa"/>
            <w:tcBorders>
              <w:top w:val="nil"/>
              <w:left w:val="nil"/>
              <w:bottom w:val="single" w:color="auto" w:sz="4" w:space="0"/>
              <w:right w:val="single" w:color="auto" w:sz="4" w:space="0"/>
            </w:tcBorders>
            <w:shd w:val="clear" w:color="auto" w:fill="auto"/>
            <w:noWrap/>
            <w:vAlign w:val="center"/>
          </w:tcPr>
          <w:p w14:paraId="31C414A9">
            <w:pPr>
              <w:widowControl/>
              <w:spacing w:line="360" w:lineRule="auto"/>
              <w:rPr>
                <w:rFonts w:ascii="等线" w:hAnsi="等线" w:eastAsia="等线" w:cs="宋体"/>
                <w:color w:val="000000"/>
                <w:kern w:val="0"/>
                <w:szCs w:val="21"/>
              </w:rPr>
            </w:pPr>
            <w:r>
              <w:rPr>
                <w:rFonts w:hint="eastAsia" w:ascii="等线" w:hAnsi="等线" w:eastAsia="等线" w:cs="宋体"/>
                <w:color w:val="000000"/>
                <w:kern w:val="0"/>
                <w:szCs w:val="21"/>
              </w:rPr>
              <w:t>设置用户详情，包括用户权限、组织名称、邮箱、手机号、优先级、最大运行作业数、最大使用核数、最大使用GPU数、备注。</w:t>
            </w:r>
          </w:p>
        </w:tc>
      </w:tr>
      <w:tr w14:paraId="090798C2">
        <w:tblPrEx>
          <w:tblCellMar>
            <w:top w:w="0" w:type="dxa"/>
            <w:left w:w="108" w:type="dxa"/>
            <w:bottom w:w="0" w:type="dxa"/>
            <w:right w:w="108" w:type="dxa"/>
          </w:tblCellMar>
        </w:tblPrEx>
        <w:trPr>
          <w:trHeight w:val="528" w:hRule="atLeast"/>
        </w:trPr>
        <w:tc>
          <w:tcPr>
            <w:tcW w:w="1380" w:type="dxa"/>
            <w:tcBorders>
              <w:top w:val="nil"/>
              <w:left w:val="single" w:color="auto" w:sz="4" w:space="0"/>
              <w:bottom w:val="single" w:color="auto" w:sz="4" w:space="0"/>
              <w:right w:val="single" w:color="auto" w:sz="4" w:space="0"/>
            </w:tcBorders>
            <w:shd w:val="clear" w:color="auto" w:fill="auto"/>
            <w:vAlign w:val="center"/>
          </w:tcPr>
          <w:p w14:paraId="5205A0C6">
            <w:pPr>
              <w:widowControl/>
              <w:spacing w:line="360" w:lineRule="auto"/>
              <w:jc w:val="center"/>
              <w:rPr>
                <w:rFonts w:ascii="等线" w:hAnsi="等线" w:eastAsia="等线" w:cs="宋体"/>
                <w:color w:val="000000"/>
                <w:kern w:val="0"/>
                <w:szCs w:val="21"/>
              </w:rPr>
            </w:pPr>
            <w:r>
              <w:rPr>
                <w:rFonts w:hint="eastAsia" w:ascii="等线" w:hAnsi="等线" w:eastAsia="等线" w:cs="宋体"/>
                <w:color w:val="000000"/>
                <w:kern w:val="0"/>
                <w:szCs w:val="21"/>
              </w:rPr>
              <w:t>组织详情</w:t>
            </w:r>
          </w:p>
        </w:tc>
        <w:tc>
          <w:tcPr>
            <w:tcW w:w="9393" w:type="dxa"/>
            <w:tcBorders>
              <w:top w:val="nil"/>
              <w:left w:val="nil"/>
              <w:bottom w:val="single" w:color="auto" w:sz="4" w:space="0"/>
              <w:right w:val="single" w:color="auto" w:sz="4" w:space="0"/>
            </w:tcBorders>
            <w:shd w:val="clear" w:color="auto" w:fill="auto"/>
            <w:noWrap/>
            <w:vAlign w:val="center"/>
          </w:tcPr>
          <w:p w14:paraId="1F1DDA58">
            <w:pPr>
              <w:widowControl/>
              <w:spacing w:line="360" w:lineRule="auto"/>
              <w:rPr>
                <w:rFonts w:ascii="等线" w:hAnsi="等线" w:eastAsia="等线" w:cs="宋体"/>
                <w:color w:val="000000"/>
                <w:kern w:val="0"/>
                <w:szCs w:val="21"/>
              </w:rPr>
            </w:pPr>
            <w:r>
              <w:rPr>
                <w:rFonts w:hint="eastAsia" w:ascii="等线" w:hAnsi="等线" w:eastAsia="等线" w:cs="宋体"/>
                <w:color w:val="000000"/>
                <w:kern w:val="0"/>
                <w:szCs w:val="21"/>
              </w:rPr>
              <w:t>支持增删改查组织，组织详情,包括最大运行作业数、最大使用核数、最大使用GPU数、备注。</w:t>
            </w:r>
          </w:p>
        </w:tc>
      </w:tr>
      <w:tr w14:paraId="2844B41A">
        <w:tblPrEx>
          <w:tblCellMar>
            <w:top w:w="0" w:type="dxa"/>
            <w:left w:w="108" w:type="dxa"/>
            <w:bottom w:w="0" w:type="dxa"/>
            <w:right w:w="108" w:type="dxa"/>
          </w:tblCellMar>
        </w:tblPrEx>
        <w:trPr>
          <w:trHeight w:val="264" w:hRule="atLeast"/>
        </w:trPr>
        <w:tc>
          <w:tcPr>
            <w:tcW w:w="1380" w:type="dxa"/>
            <w:tcBorders>
              <w:top w:val="nil"/>
              <w:left w:val="single" w:color="auto" w:sz="4" w:space="0"/>
              <w:bottom w:val="single" w:color="auto" w:sz="4" w:space="0"/>
              <w:right w:val="single" w:color="auto" w:sz="4" w:space="0"/>
            </w:tcBorders>
            <w:shd w:val="clear" w:color="auto" w:fill="auto"/>
            <w:vAlign w:val="center"/>
          </w:tcPr>
          <w:p w14:paraId="79C0EEF5">
            <w:pPr>
              <w:widowControl/>
              <w:spacing w:line="360" w:lineRule="auto"/>
              <w:jc w:val="center"/>
              <w:rPr>
                <w:rFonts w:ascii="等线" w:hAnsi="等线" w:eastAsia="等线" w:cs="宋体"/>
                <w:color w:val="000000"/>
                <w:kern w:val="0"/>
                <w:szCs w:val="21"/>
              </w:rPr>
            </w:pPr>
            <w:r>
              <w:rPr>
                <w:rFonts w:hint="eastAsia" w:ascii="等线" w:hAnsi="等线" w:eastAsia="等线" w:cs="宋体"/>
                <w:color w:val="000000"/>
                <w:kern w:val="0"/>
                <w:szCs w:val="21"/>
              </w:rPr>
              <w:t>作业管理对接</w:t>
            </w:r>
          </w:p>
        </w:tc>
        <w:tc>
          <w:tcPr>
            <w:tcW w:w="9393" w:type="dxa"/>
            <w:tcBorders>
              <w:top w:val="nil"/>
              <w:left w:val="nil"/>
              <w:bottom w:val="single" w:color="auto" w:sz="4" w:space="0"/>
              <w:right w:val="single" w:color="auto" w:sz="4" w:space="0"/>
            </w:tcBorders>
            <w:shd w:val="clear" w:color="auto" w:fill="auto"/>
            <w:noWrap/>
            <w:vAlign w:val="center"/>
          </w:tcPr>
          <w:p w14:paraId="1E5A51B3">
            <w:pPr>
              <w:widowControl/>
              <w:spacing w:line="360" w:lineRule="auto"/>
              <w:rPr>
                <w:rFonts w:ascii="等线" w:hAnsi="等线" w:eastAsia="等线" w:cs="宋体"/>
                <w:color w:val="000000"/>
                <w:kern w:val="0"/>
                <w:szCs w:val="21"/>
              </w:rPr>
            </w:pPr>
            <w:r>
              <w:rPr>
                <w:rFonts w:hint="eastAsia" w:ascii="等线" w:hAnsi="等线" w:eastAsia="等线" w:cs="宋体"/>
                <w:color w:val="000000"/>
                <w:kern w:val="0"/>
                <w:szCs w:val="21"/>
              </w:rPr>
              <w:t>▲承诺管理软件支持与学校E算平台对接，实现任务/作业管理功能。可通过提供的接口获取任务/作业的资源需求情况、作业状态等信息，实现作业的基本维护操作，如提交、取消等（提供承诺函）。</w:t>
            </w:r>
          </w:p>
        </w:tc>
      </w:tr>
      <w:tr w14:paraId="75CAC2D3">
        <w:tblPrEx>
          <w:tblCellMar>
            <w:top w:w="0" w:type="dxa"/>
            <w:left w:w="108" w:type="dxa"/>
            <w:bottom w:w="0" w:type="dxa"/>
            <w:right w:w="108" w:type="dxa"/>
          </w:tblCellMar>
        </w:tblPrEx>
        <w:trPr>
          <w:trHeight w:val="1056" w:hRule="atLeast"/>
        </w:trPr>
        <w:tc>
          <w:tcPr>
            <w:tcW w:w="1380" w:type="dxa"/>
            <w:tcBorders>
              <w:top w:val="nil"/>
              <w:left w:val="single" w:color="auto" w:sz="4" w:space="0"/>
              <w:bottom w:val="single" w:color="auto" w:sz="4" w:space="0"/>
              <w:right w:val="single" w:color="auto" w:sz="4" w:space="0"/>
            </w:tcBorders>
            <w:shd w:val="clear" w:color="auto" w:fill="auto"/>
            <w:vAlign w:val="center"/>
          </w:tcPr>
          <w:p w14:paraId="193BF05C">
            <w:pPr>
              <w:widowControl/>
              <w:spacing w:line="360" w:lineRule="auto"/>
              <w:jc w:val="center"/>
              <w:rPr>
                <w:rFonts w:ascii="等线" w:hAnsi="等线" w:eastAsia="等线" w:cs="宋体"/>
                <w:color w:val="000000"/>
                <w:kern w:val="0"/>
                <w:szCs w:val="21"/>
              </w:rPr>
            </w:pPr>
            <w:r>
              <w:rPr>
                <w:rFonts w:hint="eastAsia" w:ascii="等线" w:hAnsi="等线" w:eastAsia="等线" w:cs="宋体"/>
                <w:color w:val="000000"/>
                <w:kern w:val="0"/>
                <w:szCs w:val="21"/>
              </w:rPr>
              <w:t>监控平台对接</w:t>
            </w:r>
          </w:p>
        </w:tc>
        <w:tc>
          <w:tcPr>
            <w:tcW w:w="9393" w:type="dxa"/>
            <w:tcBorders>
              <w:top w:val="nil"/>
              <w:left w:val="nil"/>
              <w:bottom w:val="single" w:color="auto" w:sz="4" w:space="0"/>
              <w:right w:val="single" w:color="auto" w:sz="4" w:space="0"/>
            </w:tcBorders>
            <w:shd w:val="clear" w:color="auto" w:fill="auto"/>
            <w:noWrap/>
            <w:vAlign w:val="center"/>
          </w:tcPr>
          <w:p w14:paraId="3FD3EC1C">
            <w:pPr>
              <w:widowControl/>
              <w:spacing w:line="360" w:lineRule="auto"/>
              <w:rPr>
                <w:rFonts w:ascii="等线" w:hAnsi="等线" w:eastAsia="等线" w:cs="宋体"/>
                <w:color w:val="000000"/>
                <w:kern w:val="0"/>
                <w:szCs w:val="21"/>
              </w:rPr>
            </w:pPr>
            <w:r>
              <w:rPr>
                <w:rFonts w:hint="eastAsia" w:ascii="等线" w:hAnsi="等线" w:eastAsia="等线" w:cs="宋体"/>
                <w:color w:val="000000"/>
                <w:kern w:val="0"/>
                <w:szCs w:val="21"/>
              </w:rPr>
              <w:t>▲承诺配合学校部署学校统一监控。本项目中所有设备，包括计算节点、存储服务器、管理服务器等，应支持基本的监控通信协议，如SNMP，或根据需要部署监控代理，以实现与统一监控平台的对接，帮助学校实时获取设备运行情况，包括但不限于CPU负载、内存负载、GPU卡负载、运行功耗、机箱温度、故障告警等相关信息。如若无法准确获取，应配合部署需求，提供必要的技术支持和文档，如技术文档、API说明或MIB库等（提供承诺函）。</w:t>
            </w:r>
          </w:p>
        </w:tc>
      </w:tr>
      <w:tr w14:paraId="7D5EC428">
        <w:tblPrEx>
          <w:tblCellMar>
            <w:top w:w="0" w:type="dxa"/>
            <w:left w:w="108" w:type="dxa"/>
            <w:bottom w:w="0" w:type="dxa"/>
            <w:right w:w="108" w:type="dxa"/>
          </w:tblCellMar>
        </w:tblPrEx>
        <w:trPr>
          <w:trHeight w:val="528" w:hRule="atLeast"/>
        </w:trPr>
        <w:tc>
          <w:tcPr>
            <w:tcW w:w="1380" w:type="dxa"/>
            <w:tcBorders>
              <w:top w:val="nil"/>
              <w:left w:val="single" w:color="auto" w:sz="4" w:space="0"/>
              <w:bottom w:val="single" w:color="auto" w:sz="4" w:space="0"/>
              <w:right w:val="single" w:color="auto" w:sz="4" w:space="0"/>
            </w:tcBorders>
            <w:shd w:val="clear" w:color="auto" w:fill="auto"/>
            <w:vAlign w:val="center"/>
          </w:tcPr>
          <w:p w14:paraId="1A468EAC">
            <w:pPr>
              <w:widowControl/>
              <w:spacing w:line="360" w:lineRule="auto"/>
              <w:jc w:val="center"/>
              <w:rPr>
                <w:rFonts w:ascii="等线" w:hAnsi="等线" w:eastAsia="等线" w:cs="宋体"/>
                <w:color w:val="000000"/>
                <w:kern w:val="0"/>
                <w:szCs w:val="21"/>
              </w:rPr>
            </w:pPr>
            <w:r>
              <w:rPr>
                <w:rFonts w:hint="eastAsia" w:ascii="等线" w:hAnsi="等线" w:eastAsia="等线" w:cs="宋体"/>
                <w:color w:val="000000"/>
                <w:kern w:val="0"/>
                <w:szCs w:val="21"/>
              </w:rPr>
              <w:t>数据管理对接</w:t>
            </w:r>
          </w:p>
        </w:tc>
        <w:tc>
          <w:tcPr>
            <w:tcW w:w="9393" w:type="dxa"/>
            <w:tcBorders>
              <w:top w:val="nil"/>
              <w:left w:val="nil"/>
              <w:bottom w:val="single" w:color="auto" w:sz="4" w:space="0"/>
              <w:right w:val="single" w:color="auto" w:sz="4" w:space="0"/>
            </w:tcBorders>
            <w:shd w:val="clear" w:color="auto" w:fill="auto"/>
            <w:noWrap/>
            <w:vAlign w:val="center"/>
          </w:tcPr>
          <w:p w14:paraId="7F55DC48">
            <w:pPr>
              <w:widowControl/>
              <w:spacing w:line="360" w:lineRule="auto"/>
              <w:rPr>
                <w:rFonts w:ascii="等线" w:hAnsi="等线" w:eastAsia="等线" w:cs="宋体"/>
                <w:color w:val="000000"/>
                <w:kern w:val="0"/>
                <w:szCs w:val="21"/>
              </w:rPr>
            </w:pPr>
            <w:r>
              <w:rPr>
                <w:rFonts w:hint="eastAsia" w:ascii="等线" w:hAnsi="等线" w:eastAsia="等线" w:cs="宋体"/>
                <w:color w:val="000000"/>
                <w:kern w:val="0"/>
                <w:szCs w:val="21"/>
              </w:rPr>
              <w:t>▲承诺管理软件支持与学校平台对接，实现数据管理功能。提供数据管理接口，支持包括但不限于安全获取用户的文件数据列表、传输数据、修改数据、复制数据等操作（提供承诺函）。</w:t>
            </w:r>
          </w:p>
        </w:tc>
      </w:tr>
      <w:tr w14:paraId="774E7448">
        <w:tblPrEx>
          <w:tblCellMar>
            <w:top w:w="0" w:type="dxa"/>
            <w:left w:w="108" w:type="dxa"/>
            <w:bottom w:w="0" w:type="dxa"/>
            <w:right w:w="108" w:type="dxa"/>
          </w:tblCellMar>
        </w:tblPrEx>
        <w:trPr>
          <w:trHeight w:val="528" w:hRule="atLeast"/>
        </w:trPr>
        <w:tc>
          <w:tcPr>
            <w:tcW w:w="1380" w:type="dxa"/>
            <w:tcBorders>
              <w:top w:val="nil"/>
              <w:left w:val="single" w:color="auto" w:sz="4" w:space="0"/>
              <w:bottom w:val="single" w:color="auto" w:sz="4" w:space="0"/>
              <w:right w:val="single" w:color="auto" w:sz="4" w:space="0"/>
            </w:tcBorders>
            <w:shd w:val="clear" w:color="auto" w:fill="auto"/>
            <w:vAlign w:val="center"/>
          </w:tcPr>
          <w:p w14:paraId="7FECB631">
            <w:pPr>
              <w:widowControl/>
              <w:spacing w:line="360" w:lineRule="auto"/>
              <w:jc w:val="center"/>
              <w:rPr>
                <w:rFonts w:ascii="等线" w:hAnsi="等线" w:eastAsia="等线" w:cs="宋体"/>
                <w:color w:val="000000"/>
                <w:kern w:val="0"/>
                <w:szCs w:val="21"/>
              </w:rPr>
            </w:pPr>
            <w:r>
              <w:rPr>
                <w:rFonts w:hint="eastAsia" w:ascii="等线" w:hAnsi="等线" w:eastAsia="等线" w:cs="宋体"/>
                <w:color w:val="000000"/>
                <w:kern w:val="0"/>
                <w:szCs w:val="21"/>
              </w:rPr>
              <w:t>平台对接</w:t>
            </w:r>
          </w:p>
        </w:tc>
        <w:tc>
          <w:tcPr>
            <w:tcW w:w="9393" w:type="dxa"/>
            <w:tcBorders>
              <w:top w:val="nil"/>
              <w:left w:val="nil"/>
              <w:bottom w:val="single" w:color="auto" w:sz="4" w:space="0"/>
              <w:right w:val="single" w:color="auto" w:sz="4" w:space="0"/>
            </w:tcBorders>
            <w:shd w:val="clear" w:color="auto" w:fill="auto"/>
            <w:noWrap/>
            <w:vAlign w:val="center"/>
          </w:tcPr>
          <w:p w14:paraId="7BFF9187">
            <w:pPr>
              <w:widowControl/>
              <w:spacing w:line="360" w:lineRule="auto"/>
              <w:rPr>
                <w:rFonts w:ascii="等线" w:hAnsi="等线" w:eastAsia="等线" w:cs="宋体"/>
                <w:color w:val="000000"/>
                <w:kern w:val="0"/>
                <w:szCs w:val="21"/>
              </w:rPr>
            </w:pPr>
            <w:r>
              <w:rPr>
                <w:rFonts w:hint="eastAsia" w:ascii="等线" w:hAnsi="等线" w:eastAsia="等线" w:cs="宋体"/>
                <w:color w:val="000000"/>
                <w:kern w:val="0"/>
                <w:szCs w:val="21"/>
              </w:rPr>
              <w:t>▲学校平台对接：承诺满足与统一监控系统的功能对接，满足通过学校E算平台集中访问和使用的需要（提供承诺函）。</w:t>
            </w:r>
          </w:p>
        </w:tc>
      </w:tr>
    </w:tbl>
    <w:p w14:paraId="72232BAB">
      <w:pPr>
        <w:spacing w:line="360" w:lineRule="auto"/>
        <w:rPr>
          <w:rFonts w:eastAsiaTheme="minorHAnsi"/>
          <w:sz w:val="18"/>
        </w:rPr>
      </w:pPr>
    </w:p>
    <w:p w14:paraId="12C15A83">
      <w:pPr>
        <w:spacing w:line="360" w:lineRule="auto"/>
        <w:rPr>
          <w:rFonts w:eastAsiaTheme="minorHAnsi"/>
        </w:rPr>
      </w:pPr>
    </w:p>
    <w:p w14:paraId="5CDD422A">
      <w:pPr>
        <w:widowControl/>
        <w:spacing w:line="360" w:lineRule="auto"/>
        <w:jc w:val="left"/>
        <w:rPr>
          <w:rFonts w:eastAsiaTheme="minorHAnsi"/>
        </w:rPr>
      </w:pPr>
      <w:r>
        <w:rPr>
          <w:rFonts w:eastAsiaTheme="minorHAnsi"/>
        </w:rPr>
        <w:br w:type="page"/>
      </w:r>
    </w:p>
    <w:p w14:paraId="2CF4F120">
      <w:pPr>
        <w:pStyle w:val="3"/>
        <w:spacing w:line="360" w:lineRule="auto"/>
        <w:rPr>
          <w:rFonts w:asciiTheme="minorHAnsi" w:hAnsiTheme="minorHAnsi" w:eastAsiaTheme="minorHAnsi"/>
          <w:sz w:val="28"/>
        </w:rPr>
      </w:pPr>
      <w:r>
        <w:rPr>
          <w:rFonts w:hint="eastAsia" w:asciiTheme="minorHAnsi" w:hAnsiTheme="minorHAnsi" w:eastAsiaTheme="minorHAnsi"/>
          <w:sz w:val="28"/>
        </w:rPr>
        <w:t>2.</w:t>
      </w:r>
      <w:r>
        <w:rPr>
          <w:rFonts w:hint="eastAsia" w:cs="Times New Roman" w:eastAsiaTheme="minorHAnsi"/>
          <w:color w:val="000000" w:themeColor="text1"/>
          <w:szCs w:val="21"/>
          <w14:textFill>
            <w14:solidFill>
              <w14:schemeClr w14:val="tx1"/>
            </w14:solidFill>
          </w14:textFill>
        </w:rPr>
        <w:t>云计算超融合GPU服务器设备</w:t>
      </w:r>
    </w:p>
    <w:tbl>
      <w:tblPr>
        <w:tblStyle w:val="11"/>
        <w:tblW w:w="10773" w:type="dxa"/>
        <w:tblInd w:w="-5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9355"/>
      </w:tblGrid>
      <w:tr w14:paraId="42C25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shd w:val="clear" w:color="auto" w:fill="auto"/>
            <w:vAlign w:val="center"/>
          </w:tcPr>
          <w:p w14:paraId="143A7BE9">
            <w:pPr>
              <w:widowControl/>
              <w:spacing w:line="360" w:lineRule="auto"/>
              <w:jc w:val="center"/>
              <w:rPr>
                <w:rFonts w:cs="宋体" w:eastAsiaTheme="minorHAnsi"/>
                <w:b/>
                <w:bCs/>
                <w:color w:val="000000"/>
                <w:kern w:val="0"/>
                <w:szCs w:val="21"/>
              </w:rPr>
            </w:pPr>
            <w:r>
              <w:rPr>
                <w:rFonts w:hint="eastAsia" w:cs="宋体" w:eastAsiaTheme="minorHAnsi"/>
                <w:b/>
                <w:bCs/>
                <w:color w:val="000000"/>
                <w:kern w:val="0"/>
                <w:szCs w:val="21"/>
              </w:rPr>
              <w:t>功能明细</w:t>
            </w:r>
          </w:p>
        </w:tc>
        <w:tc>
          <w:tcPr>
            <w:tcW w:w="9355" w:type="dxa"/>
            <w:shd w:val="clear" w:color="auto" w:fill="auto"/>
            <w:vAlign w:val="center"/>
          </w:tcPr>
          <w:p w14:paraId="5119E965">
            <w:pPr>
              <w:widowControl/>
              <w:spacing w:line="360" w:lineRule="auto"/>
              <w:jc w:val="center"/>
              <w:rPr>
                <w:rFonts w:cs="宋体" w:eastAsiaTheme="minorHAnsi"/>
                <w:b/>
                <w:bCs/>
                <w:color w:val="000000"/>
                <w:kern w:val="0"/>
                <w:szCs w:val="21"/>
              </w:rPr>
            </w:pPr>
            <w:r>
              <w:rPr>
                <w:rFonts w:hint="eastAsia" w:cs="宋体" w:eastAsiaTheme="minorHAnsi"/>
                <w:b/>
                <w:bCs/>
                <w:color w:val="000000"/>
                <w:kern w:val="0"/>
                <w:szCs w:val="21"/>
              </w:rPr>
              <w:t>参数要求</w:t>
            </w:r>
          </w:p>
        </w:tc>
      </w:tr>
      <w:tr w14:paraId="09619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shd w:val="clear" w:color="auto" w:fill="auto"/>
            <w:vAlign w:val="center"/>
          </w:tcPr>
          <w:p w14:paraId="5CF7A945">
            <w:pPr>
              <w:widowControl/>
              <w:spacing w:line="360" w:lineRule="auto"/>
              <w:jc w:val="center"/>
              <w:rPr>
                <w:rFonts w:cs="宋体" w:eastAsiaTheme="minorHAnsi"/>
                <w:color w:val="000000"/>
                <w:kern w:val="0"/>
                <w:szCs w:val="21"/>
              </w:rPr>
            </w:pPr>
            <w:r>
              <w:rPr>
                <w:rFonts w:hint="eastAsia" w:cs="宋体" w:eastAsiaTheme="minorHAnsi"/>
                <w:color w:val="000000"/>
                <w:kern w:val="0"/>
                <w:szCs w:val="21"/>
              </w:rPr>
              <w:t>规格</w:t>
            </w:r>
          </w:p>
        </w:tc>
        <w:tc>
          <w:tcPr>
            <w:tcW w:w="9355" w:type="dxa"/>
            <w:shd w:val="clear" w:color="auto" w:fill="auto"/>
            <w:vAlign w:val="center"/>
          </w:tcPr>
          <w:p w14:paraId="666AD964">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每台设备为4U机架式</w:t>
            </w:r>
          </w:p>
        </w:tc>
      </w:tr>
      <w:tr w14:paraId="6CF5D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vMerge w:val="restart"/>
            <w:shd w:val="clear" w:color="auto" w:fill="auto"/>
            <w:vAlign w:val="center"/>
          </w:tcPr>
          <w:p w14:paraId="1ADAB82C">
            <w:pPr>
              <w:widowControl/>
              <w:spacing w:line="360" w:lineRule="auto"/>
              <w:jc w:val="center"/>
              <w:rPr>
                <w:rFonts w:cs="宋体" w:eastAsiaTheme="minorHAnsi"/>
                <w:color w:val="000000"/>
                <w:kern w:val="0"/>
                <w:szCs w:val="21"/>
              </w:rPr>
            </w:pPr>
            <w:r>
              <w:rPr>
                <w:rFonts w:hint="eastAsia" w:cs="宋体" w:eastAsiaTheme="minorHAnsi"/>
                <w:color w:val="000000"/>
                <w:kern w:val="0"/>
                <w:szCs w:val="21"/>
              </w:rPr>
              <w:t>CPU</w:t>
            </w:r>
          </w:p>
        </w:tc>
        <w:tc>
          <w:tcPr>
            <w:tcW w:w="9355" w:type="dxa"/>
            <w:shd w:val="clear" w:color="auto" w:fill="auto"/>
            <w:vAlign w:val="center"/>
          </w:tcPr>
          <w:p w14:paraId="67AC6DEE">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每台设备配置2颗性能不低于第五代至强可扩展金牌处理器</w:t>
            </w:r>
          </w:p>
        </w:tc>
      </w:tr>
      <w:tr w14:paraId="2E9EC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vMerge w:val="continue"/>
            <w:shd w:val="clear" w:color="auto" w:fill="auto"/>
            <w:vAlign w:val="center"/>
          </w:tcPr>
          <w:p w14:paraId="2B23D4E7">
            <w:pPr>
              <w:widowControl/>
              <w:spacing w:line="360" w:lineRule="auto"/>
              <w:jc w:val="left"/>
              <w:rPr>
                <w:rFonts w:cs="宋体" w:eastAsiaTheme="minorHAnsi"/>
                <w:color w:val="000000"/>
                <w:kern w:val="0"/>
                <w:szCs w:val="21"/>
              </w:rPr>
            </w:pPr>
          </w:p>
        </w:tc>
        <w:tc>
          <w:tcPr>
            <w:tcW w:w="9355" w:type="dxa"/>
            <w:shd w:val="clear" w:color="auto" w:fill="auto"/>
            <w:vAlign w:val="center"/>
          </w:tcPr>
          <w:p w14:paraId="0D606856">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★每颗处理器：核心数≥24，线程数≥48，基础频率≥2.9GHz，最高频率≥4.1GHz，缓存≥60MB（提供技术支持材料）</w:t>
            </w:r>
          </w:p>
        </w:tc>
      </w:tr>
      <w:tr w14:paraId="3F8AF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vMerge w:val="restart"/>
            <w:shd w:val="clear" w:color="auto" w:fill="auto"/>
            <w:vAlign w:val="center"/>
          </w:tcPr>
          <w:p w14:paraId="5427F4CA">
            <w:pPr>
              <w:widowControl/>
              <w:spacing w:line="360" w:lineRule="auto"/>
              <w:jc w:val="center"/>
              <w:rPr>
                <w:rFonts w:cs="宋体" w:eastAsiaTheme="minorHAnsi"/>
                <w:color w:val="000000"/>
                <w:kern w:val="0"/>
                <w:szCs w:val="21"/>
              </w:rPr>
            </w:pPr>
            <w:r>
              <w:rPr>
                <w:rFonts w:hint="eastAsia" w:cs="宋体" w:eastAsiaTheme="minorHAnsi"/>
                <w:color w:val="000000"/>
                <w:kern w:val="0"/>
                <w:szCs w:val="21"/>
              </w:rPr>
              <w:t>GPU</w:t>
            </w:r>
          </w:p>
        </w:tc>
        <w:tc>
          <w:tcPr>
            <w:tcW w:w="9355" w:type="dxa"/>
            <w:shd w:val="clear" w:color="auto" w:fill="auto"/>
            <w:vAlign w:val="center"/>
          </w:tcPr>
          <w:p w14:paraId="6093CAF4">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每台设备配置4块GPU</w:t>
            </w:r>
          </w:p>
        </w:tc>
      </w:tr>
      <w:tr w14:paraId="6F1A1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vMerge w:val="continue"/>
            <w:shd w:val="clear" w:color="auto" w:fill="auto"/>
            <w:vAlign w:val="center"/>
          </w:tcPr>
          <w:p w14:paraId="168F746F">
            <w:pPr>
              <w:widowControl/>
              <w:spacing w:line="360" w:lineRule="auto"/>
              <w:jc w:val="left"/>
              <w:rPr>
                <w:rFonts w:cs="宋体" w:eastAsiaTheme="minorHAnsi"/>
                <w:color w:val="000000"/>
                <w:kern w:val="0"/>
                <w:szCs w:val="21"/>
              </w:rPr>
            </w:pPr>
          </w:p>
        </w:tc>
        <w:tc>
          <w:tcPr>
            <w:tcW w:w="9355" w:type="dxa"/>
            <w:shd w:val="clear" w:color="auto" w:fill="auto"/>
            <w:vAlign w:val="center"/>
          </w:tcPr>
          <w:p w14:paraId="275E176A">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★显存≥48GB GDDR6，FP32≥59.3Tflops，FP16≥119.5Tflops，显存带宽≥864GB/s（提供技术支持材料）</w:t>
            </w:r>
          </w:p>
        </w:tc>
      </w:tr>
      <w:tr w14:paraId="731FC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vMerge w:val="restart"/>
            <w:shd w:val="clear" w:color="auto" w:fill="auto"/>
            <w:vAlign w:val="center"/>
          </w:tcPr>
          <w:p w14:paraId="496FE6C0">
            <w:pPr>
              <w:widowControl/>
              <w:spacing w:line="360" w:lineRule="auto"/>
              <w:jc w:val="center"/>
              <w:rPr>
                <w:rFonts w:cs="宋体" w:eastAsiaTheme="minorHAnsi"/>
                <w:color w:val="000000"/>
                <w:kern w:val="0"/>
                <w:szCs w:val="21"/>
              </w:rPr>
            </w:pPr>
            <w:r>
              <w:rPr>
                <w:rFonts w:hint="eastAsia" w:cs="宋体" w:eastAsiaTheme="minorHAnsi"/>
                <w:color w:val="000000"/>
                <w:kern w:val="0"/>
                <w:szCs w:val="21"/>
              </w:rPr>
              <w:t>内存</w:t>
            </w:r>
          </w:p>
        </w:tc>
        <w:tc>
          <w:tcPr>
            <w:tcW w:w="9355" w:type="dxa"/>
            <w:shd w:val="clear" w:color="auto" w:fill="auto"/>
            <w:vAlign w:val="center"/>
          </w:tcPr>
          <w:p w14:paraId="7880E9EB">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每台设备可支持内存数量≥32</w:t>
            </w:r>
          </w:p>
        </w:tc>
      </w:tr>
      <w:tr w14:paraId="1E0EC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vMerge w:val="continue"/>
            <w:shd w:val="clear" w:color="auto" w:fill="auto"/>
            <w:vAlign w:val="center"/>
          </w:tcPr>
          <w:p w14:paraId="79F22AC6">
            <w:pPr>
              <w:widowControl/>
              <w:spacing w:line="360" w:lineRule="auto"/>
              <w:jc w:val="left"/>
              <w:rPr>
                <w:rFonts w:cs="宋体" w:eastAsiaTheme="minorHAnsi"/>
                <w:color w:val="000000"/>
                <w:kern w:val="0"/>
                <w:szCs w:val="21"/>
              </w:rPr>
            </w:pPr>
          </w:p>
        </w:tc>
        <w:tc>
          <w:tcPr>
            <w:tcW w:w="9355" w:type="dxa"/>
            <w:shd w:val="clear" w:color="auto" w:fill="auto"/>
            <w:vAlign w:val="center"/>
          </w:tcPr>
          <w:p w14:paraId="41CEADF6">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 xml:space="preserve">每台设备配置DDR5内存或以上规格 </w:t>
            </w:r>
          </w:p>
        </w:tc>
      </w:tr>
      <w:tr w14:paraId="29F72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vMerge w:val="continue"/>
            <w:shd w:val="clear" w:color="auto" w:fill="auto"/>
            <w:vAlign w:val="center"/>
          </w:tcPr>
          <w:p w14:paraId="02EFA1B4">
            <w:pPr>
              <w:widowControl/>
              <w:spacing w:line="360" w:lineRule="auto"/>
              <w:jc w:val="left"/>
              <w:rPr>
                <w:rFonts w:cs="宋体" w:eastAsiaTheme="minorHAnsi"/>
                <w:color w:val="000000"/>
                <w:kern w:val="0"/>
                <w:szCs w:val="21"/>
              </w:rPr>
            </w:pPr>
          </w:p>
        </w:tc>
        <w:tc>
          <w:tcPr>
            <w:tcW w:w="9355" w:type="dxa"/>
            <w:shd w:val="clear" w:color="auto" w:fill="auto"/>
            <w:vAlign w:val="center"/>
          </w:tcPr>
          <w:p w14:paraId="11332D52">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每台设备内存频率≥5600MHz</w:t>
            </w:r>
          </w:p>
        </w:tc>
      </w:tr>
      <w:tr w14:paraId="17817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vMerge w:val="continue"/>
            <w:shd w:val="clear" w:color="auto" w:fill="auto"/>
            <w:vAlign w:val="center"/>
          </w:tcPr>
          <w:p w14:paraId="1C124659">
            <w:pPr>
              <w:widowControl/>
              <w:spacing w:line="360" w:lineRule="auto"/>
              <w:jc w:val="left"/>
              <w:rPr>
                <w:rFonts w:cs="宋体" w:eastAsiaTheme="minorHAnsi"/>
                <w:color w:val="000000"/>
                <w:kern w:val="0"/>
                <w:szCs w:val="21"/>
              </w:rPr>
            </w:pPr>
          </w:p>
        </w:tc>
        <w:tc>
          <w:tcPr>
            <w:tcW w:w="9355" w:type="dxa"/>
            <w:shd w:val="clear" w:color="auto" w:fill="auto"/>
            <w:vAlign w:val="center"/>
          </w:tcPr>
          <w:p w14:paraId="0BD86B5D">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每台设备配置内存容量≥512GB</w:t>
            </w:r>
          </w:p>
        </w:tc>
      </w:tr>
      <w:tr w14:paraId="537B6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vMerge w:val="restart"/>
            <w:shd w:val="clear" w:color="auto" w:fill="auto"/>
            <w:vAlign w:val="center"/>
          </w:tcPr>
          <w:p w14:paraId="63EA64F8">
            <w:pPr>
              <w:widowControl/>
              <w:spacing w:line="360" w:lineRule="auto"/>
              <w:jc w:val="center"/>
              <w:rPr>
                <w:rFonts w:cs="宋体" w:eastAsiaTheme="minorHAnsi"/>
                <w:color w:val="000000"/>
                <w:kern w:val="0"/>
                <w:szCs w:val="21"/>
              </w:rPr>
            </w:pPr>
            <w:r>
              <w:rPr>
                <w:rFonts w:hint="eastAsia" w:cs="宋体" w:eastAsiaTheme="minorHAnsi"/>
                <w:color w:val="000000"/>
                <w:kern w:val="0"/>
                <w:szCs w:val="21"/>
              </w:rPr>
              <w:t>硬盘</w:t>
            </w:r>
          </w:p>
        </w:tc>
        <w:tc>
          <w:tcPr>
            <w:tcW w:w="9355" w:type="dxa"/>
            <w:shd w:val="clear" w:color="auto" w:fill="auto"/>
            <w:vAlign w:val="center"/>
          </w:tcPr>
          <w:p w14:paraId="3DCA4C35">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每台设备配置2块企业级SSD系统盘，单盘容量≥</w:t>
            </w:r>
            <w:r>
              <w:rPr>
                <w:rFonts w:cs="宋体" w:eastAsiaTheme="minorHAnsi"/>
                <w:color w:val="000000"/>
                <w:kern w:val="0"/>
                <w:szCs w:val="21"/>
              </w:rPr>
              <w:t>48</w:t>
            </w:r>
            <w:r>
              <w:rPr>
                <w:rFonts w:hint="eastAsia" w:cs="宋体" w:eastAsiaTheme="minorHAnsi"/>
                <w:color w:val="000000"/>
                <w:kern w:val="0"/>
                <w:szCs w:val="21"/>
              </w:rPr>
              <w:t>0GB</w:t>
            </w:r>
          </w:p>
        </w:tc>
      </w:tr>
      <w:tr w14:paraId="0985D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vMerge w:val="continue"/>
            <w:shd w:val="clear" w:color="auto" w:fill="auto"/>
            <w:vAlign w:val="center"/>
          </w:tcPr>
          <w:p w14:paraId="20510EC3">
            <w:pPr>
              <w:widowControl/>
              <w:spacing w:line="360" w:lineRule="auto"/>
              <w:jc w:val="left"/>
              <w:rPr>
                <w:rFonts w:cs="宋体" w:eastAsiaTheme="minorHAnsi"/>
                <w:color w:val="000000"/>
                <w:kern w:val="0"/>
                <w:szCs w:val="21"/>
              </w:rPr>
            </w:pPr>
          </w:p>
        </w:tc>
        <w:tc>
          <w:tcPr>
            <w:tcW w:w="9355" w:type="dxa"/>
            <w:shd w:val="clear" w:color="auto" w:fill="auto"/>
            <w:vAlign w:val="center"/>
          </w:tcPr>
          <w:p w14:paraId="0F82C083">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每台设备配置</w:t>
            </w:r>
            <w:r>
              <w:rPr>
                <w:rFonts w:cs="宋体" w:eastAsiaTheme="minorHAnsi"/>
                <w:color w:val="000000"/>
                <w:kern w:val="0"/>
                <w:szCs w:val="21"/>
              </w:rPr>
              <w:t>6</w:t>
            </w:r>
            <w:r>
              <w:rPr>
                <w:rFonts w:hint="eastAsia" w:cs="宋体" w:eastAsiaTheme="minorHAnsi"/>
                <w:color w:val="000000"/>
                <w:kern w:val="0"/>
                <w:szCs w:val="21"/>
              </w:rPr>
              <w:t>块企业级SSD数据盘，单盘容量≥</w:t>
            </w:r>
            <w:r>
              <w:rPr>
                <w:rFonts w:cs="宋体" w:eastAsiaTheme="minorHAnsi"/>
                <w:color w:val="000000"/>
                <w:kern w:val="0"/>
                <w:szCs w:val="21"/>
              </w:rPr>
              <w:t>3.84</w:t>
            </w:r>
            <w:r>
              <w:rPr>
                <w:rFonts w:hint="eastAsia" w:cs="宋体" w:eastAsiaTheme="minorHAnsi"/>
                <w:color w:val="000000"/>
                <w:kern w:val="0"/>
                <w:szCs w:val="21"/>
              </w:rPr>
              <w:t>TB</w:t>
            </w:r>
          </w:p>
        </w:tc>
      </w:tr>
      <w:tr w14:paraId="255FF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shd w:val="clear" w:color="auto" w:fill="auto"/>
            <w:vAlign w:val="center"/>
          </w:tcPr>
          <w:p w14:paraId="34612BA9">
            <w:pPr>
              <w:widowControl/>
              <w:spacing w:line="360" w:lineRule="auto"/>
              <w:jc w:val="center"/>
              <w:rPr>
                <w:rFonts w:cs="宋体" w:eastAsiaTheme="minorHAnsi"/>
                <w:color w:val="000000"/>
                <w:kern w:val="0"/>
                <w:szCs w:val="21"/>
              </w:rPr>
            </w:pPr>
            <w:r>
              <w:rPr>
                <w:rFonts w:hint="eastAsia" w:cs="宋体" w:eastAsiaTheme="minorHAnsi"/>
                <w:color w:val="000000"/>
                <w:kern w:val="0"/>
                <w:szCs w:val="21"/>
              </w:rPr>
              <w:t>RAID卡</w:t>
            </w:r>
          </w:p>
        </w:tc>
        <w:tc>
          <w:tcPr>
            <w:tcW w:w="9355" w:type="dxa"/>
            <w:shd w:val="clear" w:color="auto" w:fill="auto"/>
            <w:vAlign w:val="center"/>
          </w:tcPr>
          <w:p w14:paraId="7F8B42DE">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 xml:space="preserve">每台设备配置高性能RAID阵列卡 </w:t>
            </w:r>
          </w:p>
        </w:tc>
      </w:tr>
      <w:tr w14:paraId="520AA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shd w:val="clear" w:color="auto" w:fill="auto"/>
            <w:vAlign w:val="center"/>
          </w:tcPr>
          <w:p w14:paraId="5A2171F1">
            <w:pPr>
              <w:widowControl/>
              <w:spacing w:line="360" w:lineRule="auto"/>
              <w:jc w:val="center"/>
              <w:rPr>
                <w:rFonts w:cs="宋体" w:eastAsiaTheme="minorHAnsi"/>
                <w:color w:val="000000"/>
                <w:kern w:val="0"/>
                <w:szCs w:val="21"/>
              </w:rPr>
            </w:pPr>
            <w:r>
              <w:rPr>
                <w:rFonts w:hint="eastAsia" w:cs="宋体" w:eastAsiaTheme="minorHAnsi"/>
                <w:color w:val="000000"/>
                <w:kern w:val="0"/>
                <w:szCs w:val="21"/>
              </w:rPr>
              <w:t>网络接口</w:t>
            </w:r>
          </w:p>
        </w:tc>
        <w:tc>
          <w:tcPr>
            <w:tcW w:w="9355" w:type="dxa"/>
            <w:shd w:val="clear" w:color="auto" w:fill="auto"/>
            <w:vAlign w:val="center"/>
          </w:tcPr>
          <w:p w14:paraId="30E0E4D8">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每台设备配置≥6个25Gb万兆光口，并满配光模块</w:t>
            </w:r>
          </w:p>
        </w:tc>
      </w:tr>
      <w:tr w14:paraId="6892C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shd w:val="clear" w:color="auto" w:fill="auto"/>
            <w:vAlign w:val="center"/>
          </w:tcPr>
          <w:p w14:paraId="500E74D8">
            <w:pPr>
              <w:widowControl/>
              <w:spacing w:line="360" w:lineRule="auto"/>
              <w:jc w:val="center"/>
              <w:rPr>
                <w:rFonts w:cs="宋体" w:eastAsiaTheme="minorHAnsi"/>
                <w:color w:val="000000"/>
                <w:kern w:val="0"/>
                <w:szCs w:val="21"/>
              </w:rPr>
            </w:pPr>
            <w:r>
              <w:rPr>
                <w:rFonts w:hint="eastAsia" w:cs="宋体" w:eastAsiaTheme="minorHAnsi"/>
                <w:color w:val="000000"/>
                <w:kern w:val="0"/>
                <w:szCs w:val="21"/>
              </w:rPr>
              <w:t>显示接口</w:t>
            </w:r>
          </w:p>
        </w:tc>
        <w:tc>
          <w:tcPr>
            <w:tcW w:w="9355" w:type="dxa"/>
            <w:shd w:val="clear" w:color="auto" w:fill="auto"/>
            <w:vAlign w:val="center"/>
          </w:tcPr>
          <w:p w14:paraId="2ABCC68C">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每台设备配置≥1个VGA接口</w:t>
            </w:r>
          </w:p>
        </w:tc>
      </w:tr>
      <w:tr w14:paraId="03921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shd w:val="clear" w:color="auto" w:fill="auto"/>
            <w:vAlign w:val="center"/>
          </w:tcPr>
          <w:p w14:paraId="0FC06BE2">
            <w:pPr>
              <w:widowControl/>
              <w:spacing w:line="360" w:lineRule="auto"/>
              <w:jc w:val="center"/>
              <w:rPr>
                <w:rFonts w:cs="宋体" w:eastAsiaTheme="minorHAnsi"/>
                <w:color w:val="000000"/>
                <w:kern w:val="0"/>
                <w:szCs w:val="21"/>
              </w:rPr>
            </w:pPr>
            <w:r>
              <w:rPr>
                <w:rFonts w:hint="eastAsia" w:cs="宋体" w:eastAsiaTheme="minorHAnsi"/>
                <w:color w:val="000000"/>
                <w:kern w:val="0"/>
                <w:szCs w:val="21"/>
              </w:rPr>
              <w:t>USB接口</w:t>
            </w:r>
          </w:p>
        </w:tc>
        <w:tc>
          <w:tcPr>
            <w:tcW w:w="9355" w:type="dxa"/>
            <w:shd w:val="clear" w:color="auto" w:fill="auto"/>
            <w:vAlign w:val="center"/>
          </w:tcPr>
          <w:p w14:paraId="05CD40EF">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每台设备配置≥1个USB 3.0接口</w:t>
            </w:r>
          </w:p>
        </w:tc>
      </w:tr>
      <w:tr w14:paraId="40616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vMerge w:val="restart"/>
            <w:shd w:val="clear" w:color="auto" w:fill="auto"/>
            <w:vAlign w:val="center"/>
          </w:tcPr>
          <w:p w14:paraId="66F20051">
            <w:pPr>
              <w:widowControl/>
              <w:spacing w:line="360" w:lineRule="auto"/>
              <w:jc w:val="center"/>
              <w:rPr>
                <w:rFonts w:cs="宋体" w:eastAsiaTheme="minorHAnsi"/>
                <w:color w:val="000000"/>
                <w:kern w:val="0"/>
                <w:szCs w:val="21"/>
              </w:rPr>
            </w:pPr>
            <w:r>
              <w:rPr>
                <w:rFonts w:hint="eastAsia" w:cs="宋体" w:eastAsiaTheme="minorHAnsi"/>
                <w:color w:val="000000"/>
                <w:kern w:val="0"/>
                <w:szCs w:val="21"/>
              </w:rPr>
              <w:t>电源</w:t>
            </w:r>
          </w:p>
        </w:tc>
        <w:tc>
          <w:tcPr>
            <w:tcW w:w="9355" w:type="dxa"/>
            <w:shd w:val="clear" w:color="auto" w:fill="auto"/>
            <w:vAlign w:val="center"/>
          </w:tcPr>
          <w:p w14:paraId="358AE588">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热插拔冗余电源，支持系统满功率运行，半数电源不影响服务器性能</w:t>
            </w:r>
          </w:p>
        </w:tc>
      </w:tr>
      <w:tr w14:paraId="77CAF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vMerge w:val="continue"/>
            <w:shd w:val="clear" w:color="auto" w:fill="auto"/>
            <w:vAlign w:val="center"/>
          </w:tcPr>
          <w:p w14:paraId="76DC76C3">
            <w:pPr>
              <w:widowControl/>
              <w:spacing w:line="360" w:lineRule="auto"/>
              <w:jc w:val="left"/>
              <w:rPr>
                <w:rFonts w:cs="宋体" w:eastAsiaTheme="minorHAnsi"/>
                <w:color w:val="000000"/>
                <w:kern w:val="0"/>
                <w:szCs w:val="21"/>
              </w:rPr>
            </w:pPr>
          </w:p>
        </w:tc>
        <w:tc>
          <w:tcPr>
            <w:tcW w:w="9355" w:type="dxa"/>
            <w:shd w:val="clear" w:color="auto" w:fill="auto"/>
            <w:vAlign w:val="center"/>
          </w:tcPr>
          <w:p w14:paraId="7B64EA4A">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电源功率≥</w:t>
            </w:r>
            <w:r>
              <w:rPr>
                <w:rFonts w:cs="宋体" w:eastAsiaTheme="minorHAnsi"/>
                <w:color w:val="000000"/>
                <w:kern w:val="0"/>
                <w:szCs w:val="21"/>
              </w:rPr>
              <w:t>27</w:t>
            </w:r>
            <w:r>
              <w:rPr>
                <w:rFonts w:hint="eastAsia" w:cs="宋体" w:eastAsiaTheme="minorHAnsi"/>
                <w:color w:val="000000"/>
                <w:kern w:val="0"/>
                <w:szCs w:val="21"/>
              </w:rPr>
              <w:t>00W</w:t>
            </w:r>
          </w:p>
        </w:tc>
      </w:tr>
      <w:tr w14:paraId="06F0C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shd w:val="clear" w:color="auto" w:fill="auto"/>
            <w:vAlign w:val="center"/>
          </w:tcPr>
          <w:p w14:paraId="5D9A2A0A">
            <w:pPr>
              <w:widowControl/>
              <w:spacing w:line="360" w:lineRule="auto"/>
              <w:jc w:val="center"/>
              <w:rPr>
                <w:rFonts w:cs="宋体" w:eastAsiaTheme="minorHAnsi"/>
                <w:color w:val="000000"/>
                <w:kern w:val="0"/>
                <w:szCs w:val="21"/>
              </w:rPr>
            </w:pPr>
            <w:r>
              <w:rPr>
                <w:rFonts w:hint="eastAsia" w:cs="宋体" w:eastAsiaTheme="minorHAnsi"/>
                <w:color w:val="000000"/>
                <w:kern w:val="0"/>
                <w:szCs w:val="21"/>
              </w:rPr>
              <w:t>AI能力</w:t>
            </w:r>
          </w:p>
        </w:tc>
        <w:tc>
          <w:tcPr>
            <w:tcW w:w="9355" w:type="dxa"/>
            <w:shd w:val="clear" w:color="auto" w:fill="auto"/>
            <w:vAlign w:val="center"/>
          </w:tcPr>
          <w:p w14:paraId="32423965">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服务器厂商通过ISO42001人工智能管理体系认证</w:t>
            </w:r>
          </w:p>
        </w:tc>
      </w:tr>
      <w:tr w14:paraId="1B80C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vMerge w:val="restart"/>
            <w:shd w:val="clear" w:color="auto" w:fill="auto"/>
            <w:vAlign w:val="center"/>
          </w:tcPr>
          <w:p w14:paraId="5EF37DC4">
            <w:pPr>
              <w:widowControl/>
              <w:spacing w:line="360" w:lineRule="auto"/>
              <w:jc w:val="center"/>
              <w:rPr>
                <w:rFonts w:cs="宋体" w:eastAsiaTheme="minorHAnsi"/>
                <w:color w:val="000000"/>
                <w:kern w:val="0"/>
                <w:szCs w:val="21"/>
              </w:rPr>
            </w:pPr>
            <w:r>
              <w:rPr>
                <w:rFonts w:hint="eastAsia" w:cs="宋体" w:eastAsiaTheme="minorHAnsi"/>
                <w:color w:val="000000"/>
                <w:kern w:val="0"/>
                <w:szCs w:val="21"/>
              </w:rPr>
              <w:t>超融合和虚拟化软件</w:t>
            </w:r>
          </w:p>
        </w:tc>
        <w:tc>
          <w:tcPr>
            <w:tcW w:w="9355" w:type="dxa"/>
            <w:shd w:val="clear" w:color="auto" w:fill="auto"/>
            <w:vAlign w:val="center"/>
          </w:tcPr>
          <w:p w14:paraId="56AD8EC9">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每台设备配置云平台软件（2CPU）</w:t>
            </w:r>
          </w:p>
        </w:tc>
      </w:tr>
      <w:tr w14:paraId="76DD5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vMerge w:val="continue"/>
            <w:shd w:val="clear" w:color="auto" w:fill="auto"/>
            <w:vAlign w:val="center"/>
          </w:tcPr>
          <w:p w14:paraId="1545B68F">
            <w:pPr>
              <w:widowControl/>
              <w:spacing w:line="360" w:lineRule="auto"/>
              <w:jc w:val="left"/>
              <w:rPr>
                <w:rFonts w:cs="宋体" w:eastAsiaTheme="minorHAnsi"/>
                <w:color w:val="000000"/>
                <w:kern w:val="0"/>
                <w:szCs w:val="21"/>
              </w:rPr>
            </w:pPr>
          </w:p>
        </w:tc>
        <w:tc>
          <w:tcPr>
            <w:tcW w:w="9355" w:type="dxa"/>
            <w:shd w:val="clear" w:color="auto" w:fill="auto"/>
            <w:vAlign w:val="center"/>
          </w:tcPr>
          <w:p w14:paraId="26FD9A25">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每台设备配置分布式存储软件（2CPU）</w:t>
            </w:r>
          </w:p>
        </w:tc>
      </w:tr>
      <w:tr w14:paraId="29430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 w:hRule="atLeast"/>
        </w:trPr>
        <w:tc>
          <w:tcPr>
            <w:tcW w:w="1418" w:type="dxa"/>
            <w:vMerge w:val="restart"/>
            <w:shd w:val="clear" w:color="auto" w:fill="auto"/>
            <w:vAlign w:val="center"/>
          </w:tcPr>
          <w:p w14:paraId="0215196D">
            <w:pPr>
              <w:widowControl/>
              <w:spacing w:line="360" w:lineRule="auto"/>
              <w:jc w:val="center"/>
              <w:rPr>
                <w:rFonts w:cs="宋体" w:eastAsiaTheme="minorHAnsi"/>
                <w:color w:val="000000"/>
                <w:kern w:val="0"/>
                <w:szCs w:val="21"/>
              </w:rPr>
            </w:pPr>
            <w:r>
              <w:rPr>
                <w:rFonts w:hint="eastAsia" w:cs="宋体" w:eastAsiaTheme="minorHAnsi"/>
                <w:color w:val="000000"/>
                <w:kern w:val="0"/>
                <w:szCs w:val="21"/>
              </w:rPr>
              <w:t>总体要求</w:t>
            </w:r>
          </w:p>
        </w:tc>
        <w:tc>
          <w:tcPr>
            <w:tcW w:w="9355" w:type="dxa"/>
            <w:shd w:val="clear" w:color="auto" w:fill="auto"/>
            <w:vAlign w:val="center"/>
          </w:tcPr>
          <w:p w14:paraId="46038BD9">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云平台采用国产自研可控的虚拟化技术，通过计算虚拟化、存储虚拟化、网络虚拟化、管理平台软件提供管理便捷、资源伸缩、服务智能的虚拟化系统，向下可兼容不同厂商不同版本硬件（包括服务器、交换机、集中式SAN存储、CPU、硬盘、raid卡、网卡等设备），向上可以对接支撑各类业务系统稳定运行及发展需要（包括操作系统、数据库、中间件、安全软件、桌面云软件、容灾备份软件等），以此建设以业务需求驱动的云管理综合平台，实现生态完整、选择灵活的数字化底座。</w:t>
            </w:r>
          </w:p>
        </w:tc>
      </w:tr>
      <w:tr w14:paraId="27827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418" w:type="dxa"/>
            <w:vMerge w:val="continue"/>
            <w:shd w:val="clear" w:color="auto" w:fill="auto"/>
            <w:vAlign w:val="center"/>
          </w:tcPr>
          <w:p w14:paraId="7500457E">
            <w:pPr>
              <w:widowControl/>
              <w:spacing w:line="360" w:lineRule="auto"/>
              <w:jc w:val="left"/>
              <w:rPr>
                <w:rFonts w:cs="宋体" w:eastAsiaTheme="minorHAnsi"/>
                <w:color w:val="000000"/>
                <w:kern w:val="0"/>
                <w:szCs w:val="21"/>
              </w:rPr>
            </w:pPr>
          </w:p>
        </w:tc>
        <w:tc>
          <w:tcPr>
            <w:tcW w:w="9355" w:type="dxa"/>
            <w:shd w:val="clear" w:color="auto" w:fill="auto"/>
            <w:vAlign w:val="center"/>
          </w:tcPr>
          <w:p w14:paraId="5802A1A3">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支持多款国产处理器，可通过一套管理平台统一管理x86架构和非x86架构的机器，同时支持主流的国产芯片架构，包括：鲲鹏、飞腾、龙芯、兆芯、海光、申威，支持采用主流的国产操作系统作为物理机操作系统，包括麒麟、统信等。提供技术支持材料。</w:t>
            </w:r>
          </w:p>
        </w:tc>
      </w:tr>
      <w:tr w14:paraId="78DBC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418" w:type="dxa"/>
            <w:vMerge w:val="restart"/>
            <w:shd w:val="clear" w:color="auto" w:fill="auto"/>
            <w:vAlign w:val="center"/>
          </w:tcPr>
          <w:p w14:paraId="58B7BE6E">
            <w:pPr>
              <w:widowControl/>
              <w:spacing w:line="360" w:lineRule="auto"/>
              <w:jc w:val="center"/>
              <w:rPr>
                <w:rFonts w:cs="宋体" w:eastAsiaTheme="minorHAnsi"/>
                <w:color w:val="000000"/>
                <w:kern w:val="0"/>
                <w:szCs w:val="21"/>
              </w:rPr>
            </w:pPr>
            <w:r>
              <w:rPr>
                <w:rFonts w:hint="eastAsia" w:cs="宋体" w:eastAsiaTheme="minorHAnsi"/>
                <w:color w:val="000000"/>
                <w:kern w:val="0"/>
                <w:szCs w:val="21"/>
              </w:rPr>
              <w:t>开放性</w:t>
            </w:r>
          </w:p>
        </w:tc>
        <w:tc>
          <w:tcPr>
            <w:tcW w:w="9355" w:type="dxa"/>
            <w:shd w:val="clear" w:color="auto" w:fill="auto"/>
            <w:vAlign w:val="center"/>
          </w:tcPr>
          <w:p w14:paraId="4FC7CF5A">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为满足后续二次开发和集成要求，云平台原厂须提供可在线下载的API开发手册，JAVA和Python格式的SDK工具包；云平台须支持任意界面一键开启API调用请求实时查看功能，能够在产品页面直接显示调用的API，并可根据API请求类型进行分类查看，提高二次开发效率。</w:t>
            </w:r>
          </w:p>
        </w:tc>
      </w:tr>
      <w:tr w14:paraId="3A1F6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vMerge w:val="continue"/>
            <w:shd w:val="clear" w:color="auto" w:fill="auto"/>
            <w:vAlign w:val="center"/>
          </w:tcPr>
          <w:p w14:paraId="6485E901">
            <w:pPr>
              <w:widowControl/>
              <w:spacing w:line="360" w:lineRule="auto"/>
              <w:jc w:val="left"/>
              <w:rPr>
                <w:rFonts w:cs="宋体" w:eastAsiaTheme="minorHAnsi"/>
                <w:color w:val="000000"/>
                <w:kern w:val="0"/>
                <w:szCs w:val="21"/>
              </w:rPr>
            </w:pPr>
          </w:p>
        </w:tc>
        <w:tc>
          <w:tcPr>
            <w:tcW w:w="9355" w:type="dxa"/>
            <w:shd w:val="clear" w:color="auto" w:fill="auto"/>
            <w:vAlign w:val="center"/>
          </w:tcPr>
          <w:p w14:paraId="68089E73">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为减少平台运维难度，须提供可在线查看的常见运维指南及常见排障指南，相关信息及文档须有公开链接，无需身份验证即可查看。</w:t>
            </w:r>
          </w:p>
        </w:tc>
      </w:tr>
      <w:tr w14:paraId="3F32A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418" w:type="dxa"/>
            <w:vMerge w:val="continue"/>
            <w:shd w:val="clear" w:color="auto" w:fill="auto"/>
            <w:vAlign w:val="center"/>
          </w:tcPr>
          <w:p w14:paraId="38E6D82B">
            <w:pPr>
              <w:widowControl/>
              <w:spacing w:line="360" w:lineRule="auto"/>
              <w:jc w:val="left"/>
              <w:rPr>
                <w:rFonts w:cs="宋体" w:eastAsiaTheme="minorHAnsi"/>
                <w:color w:val="000000"/>
                <w:kern w:val="0"/>
                <w:szCs w:val="21"/>
              </w:rPr>
            </w:pPr>
          </w:p>
        </w:tc>
        <w:tc>
          <w:tcPr>
            <w:tcW w:w="9355" w:type="dxa"/>
            <w:shd w:val="clear" w:color="auto" w:fill="auto"/>
            <w:vAlign w:val="center"/>
          </w:tcPr>
          <w:p w14:paraId="300A30DF">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▲云平台支持通过界面操作无缝接入校内统一身份认证系统，相应第三方用户将免密登录云平台，便捷使用云资源，支持添加AD/LDAP/OIDC/OAuth2/CAS等服务器。（提供技术支持材料）</w:t>
            </w:r>
          </w:p>
        </w:tc>
      </w:tr>
      <w:tr w14:paraId="0D9B4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418" w:type="dxa"/>
            <w:vMerge w:val="continue"/>
            <w:shd w:val="clear" w:color="auto" w:fill="auto"/>
            <w:vAlign w:val="center"/>
          </w:tcPr>
          <w:p w14:paraId="65466A1C">
            <w:pPr>
              <w:widowControl/>
              <w:spacing w:line="360" w:lineRule="auto"/>
              <w:jc w:val="left"/>
              <w:rPr>
                <w:rFonts w:cs="宋体" w:eastAsiaTheme="minorHAnsi"/>
                <w:color w:val="000000"/>
                <w:kern w:val="0"/>
                <w:szCs w:val="21"/>
              </w:rPr>
            </w:pPr>
          </w:p>
        </w:tc>
        <w:tc>
          <w:tcPr>
            <w:tcW w:w="9355" w:type="dxa"/>
            <w:shd w:val="clear" w:color="auto" w:fill="auto"/>
            <w:vAlign w:val="center"/>
          </w:tcPr>
          <w:p w14:paraId="68C0F5C9">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云平台创建的虚拟机兼容适配现有市场上主流国内外操作系统，包括麒麟、统信、openEuler、openAnolis、深度、Windows、CentOS、RedHat、SUSE、Ubuntu、FreeBSD等。</w:t>
            </w:r>
          </w:p>
        </w:tc>
      </w:tr>
      <w:tr w14:paraId="4FE5B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418" w:type="dxa"/>
            <w:vMerge w:val="restart"/>
            <w:shd w:val="clear" w:color="auto" w:fill="auto"/>
            <w:vAlign w:val="center"/>
          </w:tcPr>
          <w:p w14:paraId="4E7A26C0">
            <w:pPr>
              <w:widowControl/>
              <w:spacing w:line="360" w:lineRule="auto"/>
              <w:jc w:val="center"/>
              <w:rPr>
                <w:rFonts w:cs="宋体" w:eastAsiaTheme="minorHAnsi"/>
                <w:color w:val="000000"/>
                <w:kern w:val="0"/>
                <w:szCs w:val="21"/>
              </w:rPr>
            </w:pPr>
            <w:r>
              <w:rPr>
                <w:rFonts w:hint="eastAsia" w:cs="宋体" w:eastAsiaTheme="minorHAnsi"/>
                <w:color w:val="000000"/>
                <w:kern w:val="0"/>
                <w:szCs w:val="21"/>
              </w:rPr>
              <w:t>便捷性</w:t>
            </w:r>
          </w:p>
        </w:tc>
        <w:tc>
          <w:tcPr>
            <w:tcW w:w="9355" w:type="dxa"/>
            <w:shd w:val="clear" w:color="auto" w:fill="auto"/>
            <w:vAlign w:val="center"/>
          </w:tcPr>
          <w:p w14:paraId="0D4E8D10">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云平台须支持一键扫描功能，对当前集群包括计算、存储、网络、安全等模块进行一次全方位扫描，评估当前集群环境健康度、故障诊断，替代人工逐项分析定位，并提供优化方案及优化路径。</w:t>
            </w:r>
          </w:p>
        </w:tc>
      </w:tr>
      <w:tr w14:paraId="7A225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vMerge w:val="continue"/>
            <w:shd w:val="clear" w:color="auto" w:fill="auto"/>
            <w:vAlign w:val="center"/>
          </w:tcPr>
          <w:p w14:paraId="3CE4A4DD">
            <w:pPr>
              <w:widowControl/>
              <w:spacing w:line="360" w:lineRule="auto"/>
              <w:jc w:val="left"/>
              <w:rPr>
                <w:rFonts w:cs="宋体" w:eastAsiaTheme="minorHAnsi"/>
                <w:color w:val="000000"/>
                <w:kern w:val="0"/>
                <w:szCs w:val="21"/>
              </w:rPr>
            </w:pPr>
          </w:p>
        </w:tc>
        <w:tc>
          <w:tcPr>
            <w:tcW w:w="9355" w:type="dxa"/>
            <w:shd w:val="clear" w:color="auto" w:fill="auto"/>
            <w:vAlign w:val="center"/>
          </w:tcPr>
          <w:p w14:paraId="581D67B3">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为保证操作便捷性，云平台须支持任意界面打开内部搜索功能，可根据关键词搜索资源、功能入口、相关技术文档及操作实践手册等。</w:t>
            </w:r>
          </w:p>
        </w:tc>
      </w:tr>
      <w:tr w14:paraId="2AC88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vMerge w:val="continue"/>
            <w:shd w:val="clear" w:color="auto" w:fill="auto"/>
            <w:vAlign w:val="center"/>
          </w:tcPr>
          <w:p w14:paraId="320F6AF5">
            <w:pPr>
              <w:widowControl/>
              <w:spacing w:line="360" w:lineRule="auto"/>
              <w:jc w:val="left"/>
              <w:rPr>
                <w:rFonts w:cs="宋体" w:eastAsiaTheme="minorHAnsi"/>
                <w:color w:val="000000"/>
                <w:kern w:val="0"/>
                <w:szCs w:val="21"/>
              </w:rPr>
            </w:pPr>
          </w:p>
        </w:tc>
        <w:tc>
          <w:tcPr>
            <w:tcW w:w="9355" w:type="dxa"/>
            <w:shd w:val="clear" w:color="auto" w:fill="auto"/>
            <w:vAlign w:val="center"/>
          </w:tcPr>
          <w:p w14:paraId="4AE88781">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为简化升级操作和最小化升级带来的影响，平台须支持免费的一键式升级，升级过程对业务透明，不影响业务正常运行，保证业务连续性。</w:t>
            </w:r>
          </w:p>
        </w:tc>
      </w:tr>
      <w:tr w14:paraId="6951E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418" w:type="dxa"/>
            <w:vMerge w:val="continue"/>
            <w:shd w:val="clear" w:color="auto" w:fill="auto"/>
            <w:vAlign w:val="center"/>
          </w:tcPr>
          <w:p w14:paraId="1B7E99E9">
            <w:pPr>
              <w:widowControl/>
              <w:spacing w:line="360" w:lineRule="auto"/>
              <w:jc w:val="left"/>
              <w:rPr>
                <w:rFonts w:cs="宋体" w:eastAsiaTheme="minorHAnsi"/>
                <w:color w:val="000000"/>
                <w:kern w:val="0"/>
                <w:szCs w:val="21"/>
              </w:rPr>
            </w:pPr>
          </w:p>
        </w:tc>
        <w:tc>
          <w:tcPr>
            <w:tcW w:w="9355" w:type="dxa"/>
            <w:shd w:val="clear" w:color="auto" w:fill="auto"/>
            <w:vAlign w:val="center"/>
          </w:tcPr>
          <w:p w14:paraId="4A3AE258">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须支持在不中断业务的情况下，将新节点自动或手动加入现有集群中，无论何种副本个数都能够以1个节点为单位进行扩容，实现集群计算、存储和网络资源的无缝扩展。</w:t>
            </w:r>
          </w:p>
        </w:tc>
      </w:tr>
      <w:tr w14:paraId="7B2C6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vMerge w:val="restart"/>
            <w:shd w:val="clear" w:color="auto" w:fill="auto"/>
            <w:vAlign w:val="center"/>
          </w:tcPr>
          <w:p w14:paraId="71F2E4B4">
            <w:pPr>
              <w:widowControl/>
              <w:spacing w:line="360" w:lineRule="auto"/>
              <w:jc w:val="center"/>
              <w:rPr>
                <w:rFonts w:cs="宋体" w:eastAsiaTheme="minorHAnsi"/>
                <w:color w:val="000000"/>
                <w:kern w:val="0"/>
                <w:szCs w:val="21"/>
              </w:rPr>
            </w:pPr>
            <w:r>
              <w:rPr>
                <w:rFonts w:hint="eastAsia" w:cs="宋体" w:eastAsiaTheme="minorHAnsi"/>
                <w:color w:val="000000"/>
                <w:kern w:val="0"/>
                <w:szCs w:val="21"/>
              </w:rPr>
              <w:t>计算虚拟化</w:t>
            </w:r>
          </w:p>
        </w:tc>
        <w:tc>
          <w:tcPr>
            <w:tcW w:w="9355" w:type="dxa"/>
            <w:shd w:val="clear" w:color="auto" w:fill="auto"/>
            <w:vAlign w:val="center"/>
          </w:tcPr>
          <w:p w14:paraId="31BEC273">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云平台须支持虚拟机高可用，当出现物理机故障时，其上运行的虚拟机会自动疏散至其他正常的物理机并运行，保障业务的连续性。</w:t>
            </w:r>
          </w:p>
        </w:tc>
      </w:tr>
      <w:tr w14:paraId="4E38F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418" w:type="dxa"/>
            <w:vMerge w:val="continue"/>
            <w:shd w:val="clear" w:color="auto" w:fill="auto"/>
            <w:vAlign w:val="center"/>
          </w:tcPr>
          <w:p w14:paraId="47E76970">
            <w:pPr>
              <w:widowControl/>
              <w:spacing w:line="360" w:lineRule="auto"/>
              <w:jc w:val="left"/>
              <w:rPr>
                <w:rFonts w:cs="宋体" w:eastAsiaTheme="minorHAnsi"/>
                <w:color w:val="000000"/>
                <w:kern w:val="0"/>
                <w:szCs w:val="21"/>
              </w:rPr>
            </w:pPr>
          </w:p>
        </w:tc>
        <w:tc>
          <w:tcPr>
            <w:tcW w:w="9355" w:type="dxa"/>
            <w:shd w:val="clear" w:color="auto" w:fill="auto"/>
            <w:vAlign w:val="center"/>
          </w:tcPr>
          <w:p w14:paraId="7268EB3C">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云平台须支持统一的虚拟机管理界面，在同一界面上提供虚拟机修改配置、关机、重启、停止、关闭电源、标签绑定、硬盘加载/卸载、SSH密钥、网卡加载/卸载、制作镜像模板、创建备份（灵活可选主机及其挂载的硬盘）、报警策略等功能。</w:t>
            </w:r>
          </w:p>
        </w:tc>
      </w:tr>
      <w:tr w14:paraId="59A42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418" w:type="dxa"/>
            <w:vMerge w:val="continue"/>
            <w:shd w:val="clear" w:color="auto" w:fill="auto"/>
            <w:vAlign w:val="center"/>
          </w:tcPr>
          <w:p w14:paraId="53FBD50E">
            <w:pPr>
              <w:widowControl/>
              <w:spacing w:line="360" w:lineRule="auto"/>
              <w:jc w:val="left"/>
              <w:rPr>
                <w:rFonts w:cs="宋体" w:eastAsiaTheme="minorHAnsi"/>
                <w:color w:val="000000"/>
                <w:kern w:val="0"/>
                <w:szCs w:val="21"/>
              </w:rPr>
            </w:pPr>
          </w:p>
        </w:tc>
        <w:tc>
          <w:tcPr>
            <w:tcW w:w="9355" w:type="dxa"/>
            <w:shd w:val="clear" w:color="auto" w:fill="auto"/>
            <w:vAlign w:val="center"/>
          </w:tcPr>
          <w:p w14:paraId="62911D18">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云平台须支持虚拟机回收站功能，防止因虚拟机误删除导致数据丢失，支持设置回收站文件保存周期，超期的文件将被自动删除，支持批量销毁或还原虚拟机。</w:t>
            </w:r>
          </w:p>
        </w:tc>
      </w:tr>
      <w:tr w14:paraId="7D0F7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vMerge w:val="continue"/>
            <w:shd w:val="clear" w:color="auto" w:fill="auto"/>
            <w:vAlign w:val="center"/>
          </w:tcPr>
          <w:p w14:paraId="1CAEF290">
            <w:pPr>
              <w:widowControl/>
              <w:spacing w:line="360" w:lineRule="auto"/>
              <w:jc w:val="left"/>
              <w:rPr>
                <w:rFonts w:cs="宋体" w:eastAsiaTheme="minorHAnsi"/>
                <w:color w:val="000000"/>
                <w:kern w:val="0"/>
                <w:szCs w:val="21"/>
              </w:rPr>
            </w:pPr>
          </w:p>
        </w:tc>
        <w:tc>
          <w:tcPr>
            <w:tcW w:w="9355" w:type="dxa"/>
            <w:shd w:val="clear" w:color="auto" w:fill="auto"/>
            <w:vAlign w:val="center"/>
          </w:tcPr>
          <w:p w14:paraId="0F921D9A">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云平台须支持并提供iso、raw、qcow2、vmdk、ovf等格式的镜像或模板导入功能，同时支持导出OVA格式虚拟机。</w:t>
            </w:r>
          </w:p>
        </w:tc>
      </w:tr>
      <w:tr w14:paraId="6DACC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vMerge w:val="continue"/>
            <w:shd w:val="clear" w:color="auto" w:fill="auto"/>
            <w:vAlign w:val="center"/>
          </w:tcPr>
          <w:p w14:paraId="361979BA">
            <w:pPr>
              <w:widowControl/>
              <w:spacing w:line="360" w:lineRule="auto"/>
              <w:jc w:val="left"/>
              <w:rPr>
                <w:rFonts w:cs="宋体" w:eastAsiaTheme="minorHAnsi"/>
                <w:color w:val="000000"/>
                <w:kern w:val="0"/>
                <w:szCs w:val="21"/>
              </w:rPr>
            </w:pPr>
          </w:p>
        </w:tc>
        <w:tc>
          <w:tcPr>
            <w:tcW w:w="9355" w:type="dxa"/>
            <w:shd w:val="clear" w:color="auto" w:fill="auto"/>
            <w:vAlign w:val="center"/>
          </w:tcPr>
          <w:p w14:paraId="11A775DF">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为满足虚拟化不同场景接入模式，云平台须支持并提供SPICE、VNC、SPICE+VNC三种模式的控制台，SPICE协议可新增SSL加密通道。</w:t>
            </w:r>
          </w:p>
        </w:tc>
      </w:tr>
      <w:tr w14:paraId="544B1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418" w:type="dxa"/>
            <w:vMerge w:val="continue"/>
            <w:shd w:val="clear" w:color="auto" w:fill="auto"/>
            <w:vAlign w:val="center"/>
          </w:tcPr>
          <w:p w14:paraId="6B0C3ADB">
            <w:pPr>
              <w:widowControl/>
              <w:spacing w:line="360" w:lineRule="auto"/>
              <w:jc w:val="left"/>
              <w:rPr>
                <w:rFonts w:cs="宋体" w:eastAsiaTheme="minorHAnsi"/>
                <w:color w:val="000000"/>
                <w:kern w:val="0"/>
                <w:szCs w:val="21"/>
              </w:rPr>
            </w:pPr>
          </w:p>
        </w:tc>
        <w:tc>
          <w:tcPr>
            <w:tcW w:w="9355" w:type="dxa"/>
            <w:shd w:val="clear" w:color="auto" w:fill="auto"/>
            <w:vAlign w:val="center"/>
          </w:tcPr>
          <w:p w14:paraId="2DBAEAFD">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云平台须同时支持并提供虚拟机的关机/开机快照功能，支持设置快照将虚拟机磁盘文件信息保存到镜像文件中，快照需要支持磁盘级快照和内存级快照。</w:t>
            </w:r>
          </w:p>
        </w:tc>
      </w:tr>
      <w:tr w14:paraId="60295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1418" w:type="dxa"/>
            <w:vMerge w:val="continue"/>
            <w:shd w:val="clear" w:color="auto" w:fill="auto"/>
            <w:vAlign w:val="center"/>
          </w:tcPr>
          <w:p w14:paraId="21C3301B">
            <w:pPr>
              <w:widowControl/>
              <w:spacing w:line="360" w:lineRule="auto"/>
              <w:jc w:val="left"/>
              <w:rPr>
                <w:rFonts w:cs="宋体" w:eastAsiaTheme="minorHAnsi"/>
                <w:color w:val="000000"/>
                <w:kern w:val="0"/>
                <w:szCs w:val="21"/>
              </w:rPr>
            </w:pPr>
          </w:p>
        </w:tc>
        <w:tc>
          <w:tcPr>
            <w:tcW w:w="9355" w:type="dxa"/>
            <w:shd w:val="clear" w:color="auto" w:fill="auto"/>
            <w:vAlign w:val="center"/>
          </w:tcPr>
          <w:p w14:paraId="1290B3C9">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支持云主机弹性伸缩功能，通过对云主机CPU使用率、内存使用率进行监控，按照既定策略动态增加或减少弹性伸缩组内的云主机数量；支持对弹性伸缩组内的云主机进行健康检查，自动隔离故障云主机并创建新的云主机，确保组内健康云主机数不低于设置的最小值，每次触发弹性伸缩策略后进行消息通知，支持查看伸缩记录。</w:t>
            </w:r>
          </w:p>
        </w:tc>
      </w:tr>
      <w:tr w14:paraId="2C39C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vMerge w:val="continue"/>
            <w:shd w:val="clear" w:color="auto" w:fill="auto"/>
            <w:vAlign w:val="center"/>
          </w:tcPr>
          <w:p w14:paraId="0091C159">
            <w:pPr>
              <w:widowControl/>
              <w:spacing w:line="360" w:lineRule="auto"/>
              <w:jc w:val="left"/>
              <w:rPr>
                <w:rFonts w:cs="宋体" w:eastAsiaTheme="minorHAnsi"/>
                <w:color w:val="000000"/>
                <w:kern w:val="0"/>
                <w:szCs w:val="21"/>
              </w:rPr>
            </w:pPr>
          </w:p>
        </w:tc>
        <w:tc>
          <w:tcPr>
            <w:tcW w:w="9355" w:type="dxa"/>
            <w:shd w:val="clear" w:color="auto" w:fill="auto"/>
            <w:vAlign w:val="center"/>
          </w:tcPr>
          <w:p w14:paraId="23BD2418">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▲同时支持主流GPU设备的直通和虚拟化，通过全图形化界面操作能够将GPU设备或vGPU设备加载到云主机中（提供技术支持材料）。</w:t>
            </w:r>
          </w:p>
        </w:tc>
      </w:tr>
      <w:tr w14:paraId="70D69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418" w:type="dxa"/>
            <w:vMerge w:val="continue"/>
            <w:shd w:val="clear" w:color="auto" w:fill="auto"/>
            <w:vAlign w:val="center"/>
          </w:tcPr>
          <w:p w14:paraId="503B822A">
            <w:pPr>
              <w:widowControl/>
              <w:spacing w:line="360" w:lineRule="auto"/>
              <w:jc w:val="left"/>
              <w:rPr>
                <w:rFonts w:cs="宋体" w:eastAsiaTheme="minorHAnsi"/>
                <w:color w:val="000000"/>
                <w:kern w:val="0"/>
                <w:szCs w:val="21"/>
              </w:rPr>
            </w:pPr>
          </w:p>
        </w:tc>
        <w:tc>
          <w:tcPr>
            <w:tcW w:w="9355" w:type="dxa"/>
            <w:shd w:val="clear" w:color="auto" w:fill="auto"/>
            <w:vAlign w:val="center"/>
          </w:tcPr>
          <w:p w14:paraId="1DBDE741">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▲支持GPU规格功能，可定义物理GPU设备或vGPU设备涉及的GPU帧数、显存、分辨率等规格，支持为物理GPU规格设置ROM，以及设置GPU/vGPU资源的共享模式，可共享给所有或指定的项目和账户使用（提供技术支持材料）。</w:t>
            </w:r>
          </w:p>
        </w:tc>
      </w:tr>
      <w:tr w14:paraId="4FCCF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418" w:type="dxa"/>
            <w:vMerge w:val="continue"/>
            <w:shd w:val="clear" w:color="auto" w:fill="auto"/>
            <w:vAlign w:val="center"/>
          </w:tcPr>
          <w:p w14:paraId="49AEAC9E">
            <w:pPr>
              <w:widowControl/>
              <w:spacing w:line="360" w:lineRule="auto"/>
              <w:jc w:val="left"/>
              <w:rPr>
                <w:rFonts w:cs="宋体" w:eastAsiaTheme="minorHAnsi"/>
                <w:color w:val="000000"/>
                <w:kern w:val="0"/>
                <w:szCs w:val="21"/>
              </w:rPr>
            </w:pPr>
          </w:p>
        </w:tc>
        <w:tc>
          <w:tcPr>
            <w:tcW w:w="9355" w:type="dxa"/>
            <w:shd w:val="clear" w:color="auto" w:fill="auto"/>
            <w:vAlign w:val="center"/>
          </w:tcPr>
          <w:p w14:paraId="1C652454">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▲支持指定规格或指定设备方式为云主机加载GPU设备（物理GPU、vGPU），创建云主机时，可按照所选规格分配GPU设备，可设置关机自动卸载GPU设备，最大化利用GPU资源（提供技术支持材料）。</w:t>
            </w:r>
          </w:p>
        </w:tc>
      </w:tr>
      <w:tr w14:paraId="55E77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418" w:type="dxa"/>
            <w:vMerge w:val="restart"/>
            <w:shd w:val="clear" w:color="auto" w:fill="auto"/>
            <w:vAlign w:val="center"/>
          </w:tcPr>
          <w:p w14:paraId="32A09991">
            <w:pPr>
              <w:widowControl/>
              <w:spacing w:line="360" w:lineRule="auto"/>
              <w:jc w:val="center"/>
              <w:rPr>
                <w:rFonts w:cs="宋体" w:eastAsiaTheme="minorHAnsi"/>
                <w:color w:val="000000"/>
                <w:kern w:val="0"/>
                <w:szCs w:val="21"/>
              </w:rPr>
            </w:pPr>
            <w:r>
              <w:rPr>
                <w:rFonts w:hint="eastAsia" w:cs="宋体" w:eastAsiaTheme="minorHAnsi"/>
                <w:color w:val="000000"/>
                <w:kern w:val="0"/>
                <w:szCs w:val="21"/>
              </w:rPr>
              <w:t>网络虚拟化</w:t>
            </w:r>
          </w:p>
        </w:tc>
        <w:tc>
          <w:tcPr>
            <w:tcW w:w="9355" w:type="dxa"/>
            <w:shd w:val="clear" w:color="auto" w:fill="auto"/>
            <w:vAlign w:val="center"/>
          </w:tcPr>
          <w:p w14:paraId="2174C0D8">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云平台须具备纯软SDN以及SDN控制器外接能力，支持扁平网络和VPC网络两种网络架构，不限制VPC路由器的使用数量，并且支持VPC路由器主备部署保证VPC网络稳定性。</w:t>
            </w:r>
          </w:p>
        </w:tc>
      </w:tr>
      <w:tr w14:paraId="12AB3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418" w:type="dxa"/>
            <w:vMerge w:val="continue"/>
            <w:shd w:val="clear" w:color="auto" w:fill="auto"/>
            <w:vAlign w:val="center"/>
          </w:tcPr>
          <w:p w14:paraId="2D523354">
            <w:pPr>
              <w:widowControl/>
              <w:spacing w:line="360" w:lineRule="auto"/>
              <w:jc w:val="left"/>
              <w:rPr>
                <w:rFonts w:cs="宋体" w:eastAsiaTheme="minorHAnsi"/>
                <w:color w:val="000000"/>
                <w:kern w:val="0"/>
                <w:szCs w:val="21"/>
              </w:rPr>
            </w:pPr>
          </w:p>
        </w:tc>
        <w:tc>
          <w:tcPr>
            <w:tcW w:w="9355" w:type="dxa"/>
            <w:shd w:val="clear" w:color="auto" w:fill="auto"/>
            <w:vAlign w:val="center"/>
          </w:tcPr>
          <w:p w14:paraId="6C28F9A4">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▲云平台具备NFV能力，需要支持安全组、负载均衡、虚拟防火墙、端口转发、虚拟IP、端口镜像、Netflow、OSPF动态路由、IPsec VPN、组播路由、黑洞路由等网络功能，且不限制数量使用数量、带宽性能和吞吐速率，（提供技术支持材料）。</w:t>
            </w:r>
          </w:p>
        </w:tc>
      </w:tr>
      <w:tr w14:paraId="4AB10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1418" w:type="dxa"/>
            <w:vMerge w:val="continue"/>
            <w:shd w:val="clear" w:color="auto" w:fill="auto"/>
            <w:vAlign w:val="center"/>
          </w:tcPr>
          <w:p w14:paraId="5CCD25D3">
            <w:pPr>
              <w:widowControl/>
              <w:spacing w:line="360" w:lineRule="auto"/>
              <w:jc w:val="left"/>
              <w:rPr>
                <w:rFonts w:cs="宋体" w:eastAsiaTheme="minorHAnsi"/>
                <w:color w:val="000000"/>
                <w:kern w:val="0"/>
                <w:szCs w:val="21"/>
              </w:rPr>
            </w:pPr>
          </w:p>
        </w:tc>
        <w:tc>
          <w:tcPr>
            <w:tcW w:w="9355" w:type="dxa"/>
            <w:shd w:val="clear" w:color="auto" w:fill="auto"/>
            <w:vAlign w:val="center"/>
          </w:tcPr>
          <w:p w14:paraId="1D2C899D">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云平台须支持在任意三层网络中创建负载均衡器，通过流量分发扩展应用系统对内的服务能力；负载均衡器不限数量、吞吐速率、带宽性能；支持TCP/UDP/HTTP/HTTPS协议、轮询/最小链接/源地址哈希/加权轮询等不同算法的负载均衡服务，负载均衡器可以将公网地址的访问流量分发到一组后端的云主机上。</w:t>
            </w:r>
          </w:p>
        </w:tc>
      </w:tr>
      <w:tr w14:paraId="21B21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vMerge w:val="continue"/>
            <w:shd w:val="clear" w:color="auto" w:fill="auto"/>
            <w:vAlign w:val="center"/>
          </w:tcPr>
          <w:p w14:paraId="7ED9C755">
            <w:pPr>
              <w:widowControl/>
              <w:spacing w:line="360" w:lineRule="auto"/>
              <w:jc w:val="left"/>
              <w:rPr>
                <w:rFonts w:cs="宋体" w:eastAsiaTheme="minorHAnsi"/>
                <w:color w:val="000000"/>
                <w:kern w:val="0"/>
                <w:szCs w:val="21"/>
              </w:rPr>
            </w:pPr>
          </w:p>
        </w:tc>
        <w:tc>
          <w:tcPr>
            <w:tcW w:w="9355" w:type="dxa"/>
            <w:shd w:val="clear" w:color="auto" w:fill="auto"/>
            <w:vAlign w:val="center"/>
          </w:tcPr>
          <w:p w14:paraId="4B18377B">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为保障高并发业务的网络性能需求，云平台须支持在UI界面将物理网卡虚拟化切割成多张虚拟网卡直接给云主机使用。</w:t>
            </w:r>
          </w:p>
        </w:tc>
      </w:tr>
      <w:tr w14:paraId="1FFE0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vMerge w:val="restart"/>
            <w:shd w:val="clear" w:color="auto" w:fill="auto"/>
            <w:vAlign w:val="center"/>
          </w:tcPr>
          <w:p w14:paraId="31D10CE1">
            <w:pPr>
              <w:widowControl/>
              <w:spacing w:line="360" w:lineRule="auto"/>
              <w:jc w:val="center"/>
              <w:rPr>
                <w:rFonts w:cs="宋体" w:eastAsiaTheme="minorHAnsi"/>
                <w:color w:val="000000"/>
                <w:kern w:val="0"/>
                <w:szCs w:val="21"/>
              </w:rPr>
            </w:pPr>
            <w:r>
              <w:rPr>
                <w:rFonts w:hint="eastAsia" w:cs="宋体" w:eastAsiaTheme="minorHAnsi"/>
                <w:color w:val="000000"/>
                <w:kern w:val="0"/>
                <w:szCs w:val="21"/>
              </w:rPr>
              <w:t>存储虚拟化</w:t>
            </w:r>
          </w:p>
        </w:tc>
        <w:tc>
          <w:tcPr>
            <w:tcW w:w="9355" w:type="dxa"/>
            <w:shd w:val="clear" w:color="auto" w:fill="auto"/>
            <w:vAlign w:val="center"/>
          </w:tcPr>
          <w:p w14:paraId="26D2106A">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采用分布式的软件定义存储架构，把所有服务器硬盘组织成一个虚拟存储资源池，提供分布式存储服务，无需独立的元数据及控制器节点。</w:t>
            </w:r>
          </w:p>
        </w:tc>
      </w:tr>
      <w:tr w14:paraId="6513C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vMerge w:val="continue"/>
            <w:shd w:val="clear" w:color="auto" w:fill="auto"/>
            <w:vAlign w:val="center"/>
          </w:tcPr>
          <w:p w14:paraId="621A8900">
            <w:pPr>
              <w:widowControl/>
              <w:spacing w:line="360" w:lineRule="auto"/>
              <w:jc w:val="left"/>
              <w:rPr>
                <w:rFonts w:cs="宋体" w:eastAsiaTheme="minorHAnsi"/>
                <w:color w:val="000000"/>
                <w:kern w:val="0"/>
                <w:szCs w:val="21"/>
              </w:rPr>
            </w:pPr>
          </w:p>
        </w:tc>
        <w:tc>
          <w:tcPr>
            <w:tcW w:w="9355" w:type="dxa"/>
            <w:shd w:val="clear" w:color="auto" w:fill="auto"/>
            <w:vAlign w:val="center"/>
          </w:tcPr>
          <w:p w14:paraId="01CFC581">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分布式存储须兼容SAS、NIL-SAS、SATA HDD、SATA SSD、M.2 SSD、U.2 NVMe等多种存储硬盘接口。</w:t>
            </w:r>
          </w:p>
        </w:tc>
      </w:tr>
      <w:tr w14:paraId="5308A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418" w:type="dxa"/>
            <w:vMerge w:val="continue"/>
            <w:shd w:val="clear" w:color="auto" w:fill="auto"/>
            <w:vAlign w:val="center"/>
          </w:tcPr>
          <w:p w14:paraId="6009BA77">
            <w:pPr>
              <w:widowControl/>
              <w:spacing w:line="360" w:lineRule="auto"/>
              <w:jc w:val="left"/>
              <w:rPr>
                <w:rFonts w:cs="宋体" w:eastAsiaTheme="minorHAnsi"/>
                <w:color w:val="000000"/>
                <w:kern w:val="0"/>
                <w:szCs w:val="21"/>
              </w:rPr>
            </w:pPr>
          </w:p>
        </w:tc>
        <w:tc>
          <w:tcPr>
            <w:tcW w:w="9355" w:type="dxa"/>
            <w:shd w:val="clear" w:color="auto" w:fill="auto"/>
            <w:vAlign w:val="center"/>
          </w:tcPr>
          <w:p w14:paraId="43B53CD5">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分布式存储须支持线性扩展，随着系统规模（节点数量）的增加，系统性能和容量线性提升；支持在线扩展，可在不中断业务的情况下进行扩容；支持在线平滑升级、扩容的过程中选择自行增加硬件部件。</w:t>
            </w:r>
          </w:p>
        </w:tc>
      </w:tr>
      <w:tr w14:paraId="3997A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vMerge w:val="continue"/>
            <w:shd w:val="clear" w:color="auto" w:fill="auto"/>
            <w:vAlign w:val="center"/>
          </w:tcPr>
          <w:p w14:paraId="44715DBE">
            <w:pPr>
              <w:widowControl/>
              <w:spacing w:line="360" w:lineRule="auto"/>
              <w:jc w:val="left"/>
              <w:rPr>
                <w:rFonts w:cs="宋体" w:eastAsiaTheme="minorHAnsi"/>
                <w:color w:val="000000"/>
                <w:kern w:val="0"/>
                <w:szCs w:val="21"/>
              </w:rPr>
            </w:pPr>
          </w:p>
        </w:tc>
        <w:tc>
          <w:tcPr>
            <w:tcW w:w="9355" w:type="dxa"/>
            <w:shd w:val="clear" w:color="auto" w:fill="auto"/>
            <w:vAlign w:val="center"/>
          </w:tcPr>
          <w:p w14:paraId="6EE64277">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分布式存储的Cache策略支持原生集成的内存读Cache和SSD读写Cache。在同一套硬件中支持全闪和混闪存储池。</w:t>
            </w:r>
          </w:p>
        </w:tc>
      </w:tr>
      <w:tr w14:paraId="2170A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418" w:type="dxa"/>
            <w:vMerge w:val="continue"/>
            <w:shd w:val="clear" w:color="auto" w:fill="auto"/>
            <w:vAlign w:val="center"/>
          </w:tcPr>
          <w:p w14:paraId="71CD727A">
            <w:pPr>
              <w:widowControl/>
              <w:spacing w:line="360" w:lineRule="auto"/>
              <w:jc w:val="left"/>
              <w:rPr>
                <w:rFonts w:cs="宋体" w:eastAsiaTheme="minorHAnsi"/>
                <w:color w:val="000000"/>
                <w:kern w:val="0"/>
                <w:szCs w:val="21"/>
              </w:rPr>
            </w:pPr>
          </w:p>
        </w:tc>
        <w:tc>
          <w:tcPr>
            <w:tcW w:w="9355" w:type="dxa"/>
            <w:shd w:val="clear" w:color="auto" w:fill="auto"/>
            <w:vAlign w:val="center"/>
          </w:tcPr>
          <w:p w14:paraId="62310C99">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分布式存储须支持2~6副本，且支持在线修改副本数；或采用EC（纠删码）算法，以少量的冗余信息保证数据可靠性，比多副本机制获得更多的有效存储容量。</w:t>
            </w:r>
          </w:p>
        </w:tc>
      </w:tr>
      <w:tr w14:paraId="38F68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vMerge w:val="continue"/>
            <w:shd w:val="clear" w:color="auto" w:fill="auto"/>
            <w:vAlign w:val="center"/>
          </w:tcPr>
          <w:p w14:paraId="4A733212">
            <w:pPr>
              <w:widowControl/>
              <w:spacing w:line="360" w:lineRule="auto"/>
              <w:jc w:val="left"/>
              <w:rPr>
                <w:rFonts w:cs="宋体" w:eastAsiaTheme="minorHAnsi"/>
                <w:color w:val="000000"/>
                <w:kern w:val="0"/>
                <w:szCs w:val="21"/>
              </w:rPr>
            </w:pPr>
          </w:p>
        </w:tc>
        <w:tc>
          <w:tcPr>
            <w:tcW w:w="9355" w:type="dxa"/>
            <w:shd w:val="clear" w:color="auto" w:fill="auto"/>
            <w:vAlign w:val="center"/>
          </w:tcPr>
          <w:p w14:paraId="192617FC">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分布式存储须支持通过热点预测，写入合并等技术将高速设备与低速设备结合，大幅提升存储池的读写性能。</w:t>
            </w:r>
          </w:p>
        </w:tc>
      </w:tr>
      <w:tr w14:paraId="55CBD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418" w:type="dxa"/>
            <w:vMerge w:val="continue"/>
            <w:shd w:val="clear" w:color="auto" w:fill="auto"/>
            <w:vAlign w:val="center"/>
          </w:tcPr>
          <w:p w14:paraId="557DF69A">
            <w:pPr>
              <w:widowControl/>
              <w:spacing w:line="360" w:lineRule="auto"/>
              <w:jc w:val="left"/>
              <w:rPr>
                <w:rFonts w:cs="宋体" w:eastAsiaTheme="minorHAnsi"/>
                <w:color w:val="000000"/>
                <w:kern w:val="0"/>
                <w:szCs w:val="21"/>
              </w:rPr>
            </w:pPr>
          </w:p>
        </w:tc>
        <w:tc>
          <w:tcPr>
            <w:tcW w:w="9355" w:type="dxa"/>
            <w:shd w:val="clear" w:color="auto" w:fill="auto"/>
            <w:vAlign w:val="center"/>
          </w:tcPr>
          <w:p w14:paraId="1E4DB953">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分布式存储须支持在数据较长时间处于降级状态时，例如节点丢失或副本丢失，系统自动触发数据重建恢复。支持对数据重建速度进行QoS限速，避免数据重建过程中IO性能占用对业务性能造成影响。</w:t>
            </w:r>
          </w:p>
        </w:tc>
      </w:tr>
      <w:tr w14:paraId="650FE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vMerge w:val="continue"/>
            <w:shd w:val="clear" w:color="auto" w:fill="auto"/>
            <w:vAlign w:val="center"/>
          </w:tcPr>
          <w:p w14:paraId="45BC055C">
            <w:pPr>
              <w:widowControl/>
              <w:spacing w:line="360" w:lineRule="auto"/>
              <w:jc w:val="left"/>
              <w:rPr>
                <w:rFonts w:cs="宋体" w:eastAsiaTheme="minorHAnsi"/>
                <w:color w:val="000000"/>
                <w:kern w:val="0"/>
                <w:szCs w:val="21"/>
              </w:rPr>
            </w:pPr>
          </w:p>
        </w:tc>
        <w:tc>
          <w:tcPr>
            <w:tcW w:w="9355" w:type="dxa"/>
            <w:shd w:val="clear" w:color="auto" w:fill="auto"/>
            <w:vAlign w:val="center"/>
          </w:tcPr>
          <w:p w14:paraId="1A3D68BB">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为保证平台架构的灵活性和扩展，平台应该支持FC-SAN、IP-SAN、本地存储、NFS、分布式存储等不同存储接口。</w:t>
            </w:r>
          </w:p>
        </w:tc>
      </w:tr>
      <w:tr w14:paraId="74176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418" w:type="dxa"/>
            <w:vMerge w:val="restart"/>
            <w:shd w:val="clear" w:color="auto" w:fill="auto"/>
            <w:vAlign w:val="center"/>
          </w:tcPr>
          <w:p w14:paraId="3835DBA8">
            <w:pPr>
              <w:widowControl/>
              <w:spacing w:line="360" w:lineRule="auto"/>
              <w:jc w:val="center"/>
              <w:rPr>
                <w:rFonts w:cs="宋体" w:eastAsiaTheme="minorHAnsi"/>
                <w:color w:val="000000"/>
                <w:kern w:val="0"/>
                <w:szCs w:val="21"/>
              </w:rPr>
            </w:pPr>
            <w:r>
              <w:rPr>
                <w:rFonts w:hint="eastAsia" w:cs="宋体" w:eastAsiaTheme="minorHAnsi"/>
                <w:color w:val="000000"/>
                <w:kern w:val="0"/>
                <w:szCs w:val="21"/>
              </w:rPr>
              <w:t>运营运维管理</w:t>
            </w:r>
          </w:p>
        </w:tc>
        <w:tc>
          <w:tcPr>
            <w:tcW w:w="9355" w:type="dxa"/>
            <w:shd w:val="clear" w:color="auto" w:fill="auto"/>
            <w:vAlign w:val="center"/>
          </w:tcPr>
          <w:p w14:paraId="782E262A">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为方便跨区域管理，云平台须支持并配置镜像同步功能，能够在同一管理节点下将一个或多个镜像仓库中的镜像同步至指定镜像仓库，满足区域间的镜像同步需求。</w:t>
            </w:r>
          </w:p>
        </w:tc>
      </w:tr>
      <w:tr w14:paraId="6E3CF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vMerge w:val="continue"/>
            <w:shd w:val="clear" w:color="auto" w:fill="auto"/>
            <w:vAlign w:val="center"/>
          </w:tcPr>
          <w:p w14:paraId="32F41952">
            <w:pPr>
              <w:widowControl/>
              <w:spacing w:line="360" w:lineRule="auto"/>
              <w:jc w:val="left"/>
              <w:rPr>
                <w:rFonts w:cs="宋体" w:eastAsiaTheme="minorHAnsi"/>
                <w:color w:val="000000"/>
                <w:kern w:val="0"/>
                <w:szCs w:val="21"/>
              </w:rPr>
            </w:pPr>
          </w:p>
        </w:tc>
        <w:tc>
          <w:tcPr>
            <w:tcW w:w="9355" w:type="dxa"/>
            <w:shd w:val="clear" w:color="auto" w:fill="auto"/>
            <w:vAlign w:val="center"/>
          </w:tcPr>
          <w:p w14:paraId="2DFF6255">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云平台须支持应用中心，可自定义添加各种类型的第三方应用入口，包括存储、数据库、安全，以及各类IaaS、PaaS、SaaS服务。</w:t>
            </w:r>
          </w:p>
        </w:tc>
      </w:tr>
      <w:tr w14:paraId="73A7C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418" w:type="dxa"/>
            <w:vMerge w:val="continue"/>
            <w:shd w:val="clear" w:color="auto" w:fill="auto"/>
            <w:vAlign w:val="center"/>
          </w:tcPr>
          <w:p w14:paraId="7EDAC0F2">
            <w:pPr>
              <w:widowControl/>
              <w:spacing w:line="360" w:lineRule="auto"/>
              <w:jc w:val="left"/>
              <w:rPr>
                <w:rFonts w:cs="宋体" w:eastAsiaTheme="minorHAnsi"/>
                <w:color w:val="000000"/>
                <w:kern w:val="0"/>
                <w:szCs w:val="21"/>
              </w:rPr>
            </w:pPr>
          </w:p>
        </w:tc>
        <w:tc>
          <w:tcPr>
            <w:tcW w:w="9355" w:type="dxa"/>
            <w:shd w:val="clear" w:color="auto" w:fill="auto"/>
            <w:vAlign w:val="center"/>
          </w:tcPr>
          <w:p w14:paraId="76453DE5">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云平台须支持“所画即所得”功能，能够支持可视化方式和编排语言两种方式。通过资源栈模板，定义所需的云资源、资源间的依赖关系、资源配置等，可实现自动化批量部署和配置资源，轻松管理云资源生命周期，通过API和SDK集成自动化运维能力。</w:t>
            </w:r>
          </w:p>
        </w:tc>
      </w:tr>
      <w:tr w14:paraId="229B8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418" w:type="dxa"/>
            <w:vMerge w:val="continue"/>
            <w:shd w:val="clear" w:color="auto" w:fill="auto"/>
            <w:vAlign w:val="center"/>
          </w:tcPr>
          <w:p w14:paraId="17092607">
            <w:pPr>
              <w:widowControl/>
              <w:spacing w:line="360" w:lineRule="auto"/>
              <w:jc w:val="left"/>
              <w:rPr>
                <w:rFonts w:cs="宋体" w:eastAsiaTheme="minorHAnsi"/>
                <w:color w:val="000000"/>
                <w:kern w:val="0"/>
                <w:szCs w:val="21"/>
              </w:rPr>
            </w:pPr>
          </w:p>
        </w:tc>
        <w:tc>
          <w:tcPr>
            <w:tcW w:w="9355" w:type="dxa"/>
            <w:shd w:val="clear" w:color="auto" w:fill="auto"/>
            <w:vAlign w:val="center"/>
          </w:tcPr>
          <w:p w14:paraId="0402C24D">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为保障及时有效地发现业务运行问题，云平台须支持从云主机内部获取监控数据，支持主流Linux/Windows以及国产操作系统云主机的内部负载实时监控，且支持自定义阈值、周期、次数、方式的自动报警功能。</w:t>
            </w:r>
          </w:p>
        </w:tc>
      </w:tr>
      <w:tr w14:paraId="64697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418" w:type="dxa"/>
            <w:vMerge w:val="continue"/>
            <w:shd w:val="clear" w:color="auto" w:fill="auto"/>
            <w:vAlign w:val="center"/>
          </w:tcPr>
          <w:p w14:paraId="01C0FAFC">
            <w:pPr>
              <w:widowControl/>
              <w:spacing w:line="360" w:lineRule="auto"/>
              <w:jc w:val="left"/>
              <w:rPr>
                <w:rFonts w:cs="宋体" w:eastAsiaTheme="minorHAnsi"/>
                <w:color w:val="000000"/>
                <w:kern w:val="0"/>
                <w:szCs w:val="21"/>
              </w:rPr>
            </w:pPr>
          </w:p>
        </w:tc>
        <w:tc>
          <w:tcPr>
            <w:tcW w:w="9355" w:type="dxa"/>
            <w:shd w:val="clear" w:color="auto" w:fill="auto"/>
            <w:vAlign w:val="center"/>
          </w:tcPr>
          <w:p w14:paraId="32EEFF14">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为提升资源利用率、减少硬件负载，云平台须支持动态资源调度（DRS），能够以集群为单位监控物理机CPU或内存负载情况，用户可按照调度建议手动迁移云主机或开启自动迁移云主机。</w:t>
            </w:r>
          </w:p>
        </w:tc>
      </w:tr>
      <w:tr w14:paraId="63753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1418" w:type="dxa"/>
            <w:vMerge w:val="continue"/>
            <w:shd w:val="clear" w:color="auto" w:fill="auto"/>
            <w:vAlign w:val="center"/>
          </w:tcPr>
          <w:p w14:paraId="79920F56">
            <w:pPr>
              <w:widowControl/>
              <w:spacing w:line="360" w:lineRule="auto"/>
              <w:jc w:val="left"/>
              <w:rPr>
                <w:rFonts w:cs="宋体" w:eastAsiaTheme="minorHAnsi"/>
                <w:color w:val="000000"/>
                <w:kern w:val="0"/>
                <w:szCs w:val="21"/>
              </w:rPr>
            </w:pPr>
          </w:p>
        </w:tc>
        <w:tc>
          <w:tcPr>
            <w:tcW w:w="9355" w:type="dxa"/>
            <w:shd w:val="clear" w:color="auto" w:fill="auto"/>
            <w:vAlign w:val="center"/>
          </w:tcPr>
          <w:p w14:paraId="2D676FCF">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云平台支持多租户管理功能，内置在云平台中。支持自定义组织架构，须以架构树方式呈现；支持添加、删除部门，更改部门负责人、添加、删除成员操作；灵活匹配组织管理需求。支持自定义工单审批自定义，满足多级审批的需求。工单内容须支持：申请延长周期、更改云主机配置、删除云主机。（提供技术支持材料）</w:t>
            </w:r>
          </w:p>
        </w:tc>
      </w:tr>
      <w:tr w14:paraId="15C09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vMerge w:val="continue"/>
            <w:shd w:val="clear" w:color="auto" w:fill="auto"/>
            <w:vAlign w:val="center"/>
          </w:tcPr>
          <w:p w14:paraId="02C8B1D7">
            <w:pPr>
              <w:widowControl/>
              <w:spacing w:line="360" w:lineRule="auto"/>
              <w:jc w:val="left"/>
              <w:rPr>
                <w:rFonts w:cs="宋体" w:eastAsiaTheme="minorHAnsi"/>
                <w:color w:val="000000"/>
                <w:kern w:val="0"/>
                <w:szCs w:val="21"/>
              </w:rPr>
            </w:pPr>
          </w:p>
        </w:tc>
        <w:tc>
          <w:tcPr>
            <w:tcW w:w="9355" w:type="dxa"/>
            <w:shd w:val="clear" w:color="auto" w:fill="auto"/>
            <w:vAlign w:val="center"/>
          </w:tcPr>
          <w:p w14:paraId="57C0C5F8">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提供监控大屏，可全屏展示平台内物理资源、虚拟资源的使用情况和实时性能负载情况，大屏界面自动同步数据不需要手动刷新。</w:t>
            </w:r>
          </w:p>
        </w:tc>
      </w:tr>
      <w:tr w14:paraId="4C3FF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vMerge w:val="continue"/>
            <w:shd w:val="clear" w:color="auto" w:fill="auto"/>
            <w:vAlign w:val="center"/>
          </w:tcPr>
          <w:p w14:paraId="2D072E6E">
            <w:pPr>
              <w:widowControl/>
              <w:spacing w:line="360" w:lineRule="auto"/>
              <w:jc w:val="left"/>
              <w:rPr>
                <w:rFonts w:cs="宋体" w:eastAsiaTheme="minorHAnsi"/>
                <w:color w:val="000000"/>
                <w:kern w:val="0"/>
                <w:szCs w:val="21"/>
              </w:rPr>
            </w:pPr>
          </w:p>
        </w:tc>
        <w:tc>
          <w:tcPr>
            <w:tcW w:w="9355" w:type="dxa"/>
            <w:shd w:val="clear" w:color="auto" w:fill="auto"/>
            <w:vAlign w:val="center"/>
          </w:tcPr>
          <w:p w14:paraId="23B69EF5">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为保证运维便捷性，云平台须支持以按钮及API为细粒度的权限开关，支持为不同用户个性化分配管理角色，支持单独设置监控大屏角色。</w:t>
            </w:r>
          </w:p>
        </w:tc>
      </w:tr>
      <w:tr w14:paraId="424B5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418" w:type="dxa"/>
            <w:vMerge w:val="continue"/>
            <w:shd w:val="clear" w:color="auto" w:fill="auto"/>
            <w:vAlign w:val="center"/>
          </w:tcPr>
          <w:p w14:paraId="160BDE03">
            <w:pPr>
              <w:widowControl/>
              <w:spacing w:line="360" w:lineRule="auto"/>
              <w:jc w:val="left"/>
              <w:rPr>
                <w:rFonts w:cs="宋体" w:eastAsiaTheme="minorHAnsi"/>
                <w:color w:val="000000"/>
                <w:kern w:val="0"/>
                <w:szCs w:val="21"/>
              </w:rPr>
            </w:pPr>
          </w:p>
        </w:tc>
        <w:tc>
          <w:tcPr>
            <w:tcW w:w="9355" w:type="dxa"/>
            <w:shd w:val="clear" w:color="auto" w:fill="auto"/>
            <w:vAlign w:val="center"/>
          </w:tcPr>
          <w:p w14:paraId="7CF22BB4">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云平台支持V2V迁移功能，支持将VMware环境中的指定云主机迁移至云平台中；支持迁移任务QoS，保证迁移任务的稳定性；支持压缩模式，有效压缩迁移数据，提高空间利用率；支持CentOS/RHEL/Windows/麒麟/统信等主流操作系统类型的虚拟机迁移。</w:t>
            </w:r>
          </w:p>
        </w:tc>
      </w:tr>
      <w:tr w14:paraId="1B403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vMerge w:val="restart"/>
            <w:shd w:val="clear" w:color="auto" w:fill="auto"/>
            <w:vAlign w:val="center"/>
          </w:tcPr>
          <w:p w14:paraId="3325C6B9">
            <w:pPr>
              <w:widowControl/>
              <w:spacing w:line="360" w:lineRule="auto"/>
              <w:jc w:val="center"/>
              <w:rPr>
                <w:rFonts w:cs="宋体" w:eastAsiaTheme="minorHAnsi"/>
                <w:color w:val="000000"/>
                <w:kern w:val="0"/>
                <w:szCs w:val="21"/>
              </w:rPr>
            </w:pPr>
            <w:r>
              <w:rPr>
                <w:rFonts w:hint="eastAsia" w:cs="宋体" w:eastAsiaTheme="minorHAnsi"/>
                <w:color w:val="000000"/>
                <w:kern w:val="0"/>
                <w:szCs w:val="21"/>
              </w:rPr>
              <w:t>产品资质</w:t>
            </w:r>
          </w:p>
        </w:tc>
        <w:tc>
          <w:tcPr>
            <w:tcW w:w="9355" w:type="dxa"/>
            <w:shd w:val="clear" w:color="auto" w:fill="auto"/>
            <w:vAlign w:val="center"/>
          </w:tcPr>
          <w:p w14:paraId="57DC8AA5">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▲云平台通过中国信息通信研究院的可信云虚拟化云平台先进级认证（提供技术支持材料）。</w:t>
            </w:r>
          </w:p>
        </w:tc>
      </w:tr>
      <w:tr w14:paraId="4C733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vMerge w:val="continue"/>
            <w:shd w:val="clear" w:color="auto" w:fill="auto"/>
            <w:vAlign w:val="center"/>
          </w:tcPr>
          <w:p w14:paraId="7DED90A7">
            <w:pPr>
              <w:widowControl/>
              <w:spacing w:line="360" w:lineRule="auto"/>
              <w:jc w:val="left"/>
              <w:rPr>
                <w:rFonts w:cs="宋体" w:eastAsiaTheme="minorHAnsi"/>
                <w:color w:val="000000"/>
                <w:kern w:val="0"/>
                <w:szCs w:val="21"/>
              </w:rPr>
            </w:pPr>
          </w:p>
        </w:tc>
        <w:tc>
          <w:tcPr>
            <w:tcW w:w="9355" w:type="dxa"/>
            <w:shd w:val="clear" w:color="auto" w:fill="auto"/>
            <w:vAlign w:val="center"/>
          </w:tcPr>
          <w:p w14:paraId="30E3946C">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▲为保证国产自主可控，要求对云平台源代码进行溯源，自主代码率≥90%（提供技术支持材料）。</w:t>
            </w:r>
          </w:p>
        </w:tc>
      </w:tr>
      <w:tr w14:paraId="6DC58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vMerge w:val="restart"/>
            <w:shd w:val="clear" w:color="auto" w:fill="auto"/>
            <w:vAlign w:val="center"/>
          </w:tcPr>
          <w:p w14:paraId="6CB294AC">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云桌面软件</w:t>
            </w:r>
          </w:p>
        </w:tc>
        <w:tc>
          <w:tcPr>
            <w:tcW w:w="9355" w:type="dxa"/>
            <w:shd w:val="clear" w:color="auto" w:fill="auto"/>
            <w:vAlign w:val="center"/>
          </w:tcPr>
          <w:p w14:paraId="0A66C8C1">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每台设备配置云桌面软件（≥1</w:t>
            </w:r>
            <w:r>
              <w:rPr>
                <w:rFonts w:cs="宋体" w:eastAsiaTheme="minorHAnsi"/>
                <w:color w:val="000000"/>
                <w:kern w:val="0"/>
                <w:szCs w:val="21"/>
              </w:rPr>
              <w:t>0</w:t>
            </w:r>
            <w:r>
              <w:rPr>
                <w:rFonts w:hint="eastAsia" w:cs="宋体" w:eastAsiaTheme="minorHAnsi"/>
                <w:color w:val="000000"/>
                <w:kern w:val="0"/>
                <w:szCs w:val="21"/>
              </w:rPr>
              <w:t>个授权）</w:t>
            </w:r>
          </w:p>
        </w:tc>
      </w:tr>
      <w:tr w14:paraId="1490B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vMerge w:val="continue"/>
            <w:shd w:val="clear" w:color="auto" w:fill="auto"/>
            <w:vAlign w:val="center"/>
          </w:tcPr>
          <w:p w14:paraId="3C1CF309">
            <w:pPr>
              <w:widowControl/>
              <w:spacing w:line="360" w:lineRule="auto"/>
              <w:jc w:val="center"/>
              <w:rPr>
                <w:rFonts w:cs="宋体" w:eastAsiaTheme="minorHAnsi"/>
                <w:color w:val="000000"/>
                <w:kern w:val="0"/>
                <w:szCs w:val="21"/>
              </w:rPr>
            </w:pPr>
          </w:p>
        </w:tc>
        <w:tc>
          <w:tcPr>
            <w:tcW w:w="9355" w:type="dxa"/>
            <w:tcBorders>
              <w:top w:val="single" w:color="auto" w:sz="4" w:space="0"/>
              <w:bottom w:val="single" w:color="auto" w:sz="4" w:space="0"/>
              <w:right w:val="single" w:color="auto" w:sz="4" w:space="0"/>
            </w:tcBorders>
            <w:shd w:val="clear" w:color="auto" w:fill="auto"/>
            <w:vAlign w:val="center"/>
          </w:tcPr>
          <w:p w14:paraId="5BEC5FB1">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云桌面管理平台支持部署在超融合云平台上，调用超融合平台上的虚拟化资源创建云桌面。</w:t>
            </w:r>
          </w:p>
        </w:tc>
      </w:tr>
      <w:tr w14:paraId="1C850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vMerge w:val="continue"/>
            <w:shd w:val="clear" w:color="auto" w:fill="auto"/>
            <w:vAlign w:val="center"/>
          </w:tcPr>
          <w:p w14:paraId="36DEEDBD">
            <w:pPr>
              <w:widowControl/>
              <w:spacing w:line="360" w:lineRule="auto"/>
              <w:jc w:val="left"/>
              <w:rPr>
                <w:rFonts w:cs="宋体" w:eastAsiaTheme="minorHAnsi"/>
                <w:color w:val="000000"/>
                <w:kern w:val="0"/>
                <w:szCs w:val="21"/>
              </w:rPr>
            </w:pPr>
          </w:p>
        </w:tc>
        <w:tc>
          <w:tcPr>
            <w:tcW w:w="9355" w:type="dxa"/>
            <w:tcBorders>
              <w:top w:val="single" w:color="auto" w:sz="4" w:space="0"/>
              <w:bottom w:val="single" w:color="auto" w:sz="4" w:space="0"/>
              <w:right w:val="single" w:color="auto" w:sz="4" w:space="0"/>
            </w:tcBorders>
            <w:shd w:val="clear" w:color="auto" w:fill="auto"/>
            <w:vAlign w:val="center"/>
          </w:tcPr>
          <w:p w14:paraId="685014F2">
            <w:pPr>
              <w:widowControl/>
              <w:spacing w:line="360" w:lineRule="auto"/>
              <w:jc w:val="left"/>
              <w:rPr>
                <w:rFonts w:cs="宋体" w:eastAsiaTheme="minorHAnsi"/>
                <w:color w:val="000000"/>
                <w:kern w:val="0"/>
                <w:szCs w:val="21"/>
              </w:rPr>
            </w:pPr>
            <w:r>
              <w:rPr>
                <w:rFonts w:cs="宋体" w:eastAsiaTheme="minorHAnsi"/>
                <w:color w:val="000000"/>
                <w:kern w:val="0"/>
                <w:szCs w:val="21"/>
              </w:rPr>
              <w:t>每套授权对应一台独享云桌面虚拟机，不限定单台虚拟桌面的CPU和内存大小。</w:t>
            </w:r>
          </w:p>
        </w:tc>
      </w:tr>
      <w:tr w14:paraId="4B285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vMerge w:val="continue"/>
            <w:shd w:val="clear" w:color="auto" w:fill="auto"/>
            <w:vAlign w:val="center"/>
          </w:tcPr>
          <w:p w14:paraId="2A67CB02">
            <w:pPr>
              <w:widowControl/>
              <w:spacing w:line="360" w:lineRule="auto"/>
              <w:jc w:val="left"/>
              <w:rPr>
                <w:rFonts w:cs="宋体" w:eastAsiaTheme="minorHAnsi"/>
                <w:color w:val="000000"/>
                <w:kern w:val="0"/>
                <w:szCs w:val="21"/>
              </w:rPr>
            </w:pPr>
          </w:p>
        </w:tc>
        <w:tc>
          <w:tcPr>
            <w:tcW w:w="9355" w:type="dxa"/>
            <w:tcBorders>
              <w:top w:val="single" w:color="auto" w:sz="4" w:space="0"/>
              <w:bottom w:val="single" w:color="auto" w:sz="4" w:space="0"/>
              <w:right w:val="single" w:color="auto" w:sz="4" w:space="0"/>
            </w:tcBorders>
            <w:shd w:val="clear" w:color="auto" w:fill="auto"/>
            <w:vAlign w:val="center"/>
          </w:tcPr>
          <w:p w14:paraId="7A166DE0">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支持非G</w:t>
            </w:r>
            <w:r>
              <w:rPr>
                <w:rFonts w:cs="宋体" w:eastAsiaTheme="minorHAnsi"/>
                <w:color w:val="000000"/>
                <w:kern w:val="0"/>
                <w:szCs w:val="21"/>
              </w:rPr>
              <w:t>PU</w:t>
            </w:r>
            <w:r>
              <w:rPr>
                <w:rFonts w:hint="eastAsia" w:cs="宋体" w:eastAsiaTheme="minorHAnsi"/>
                <w:color w:val="000000"/>
                <w:kern w:val="0"/>
                <w:szCs w:val="21"/>
              </w:rPr>
              <w:t>云桌面、G</w:t>
            </w:r>
            <w:r>
              <w:rPr>
                <w:rFonts w:cs="宋体" w:eastAsiaTheme="minorHAnsi"/>
                <w:color w:val="000000"/>
                <w:kern w:val="0"/>
                <w:szCs w:val="21"/>
              </w:rPr>
              <w:t>PU</w:t>
            </w:r>
            <w:r>
              <w:rPr>
                <w:rFonts w:hint="eastAsia" w:cs="宋体" w:eastAsiaTheme="minorHAnsi"/>
                <w:color w:val="000000"/>
                <w:kern w:val="0"/>
                <w:szCs w:val="21"/>
              </w:rPr>
              <w:t>云桌面、v</w:t>
            </w:r>
            <w:r>
              <w:rPr>
                <w:rFonts w:cs="宋体" w:eastAsiaTheme="minorHAnsi"/>
                <w:color w:val="000000"/>
                <w:kern w:val="0"/>
                <w:szCs w:val="21"/>
              </w:rPr>
              <w:t>GPU</w:t>
            </w:r>
            <w:r>
              <w:rPr>
                <w:rFonts w:hint="eastAsia" w:cs="宋体" w:eastAsiaTheme="minorHAnsi"/>
                <w:color w:val="000000"/>
                <w:kern w:val="0"/>
                <w:szCs w:val="21"/>
              </w:rPr>
              <w:t>云桌面等不同云桌面类型。</w:t>
            </w:r>
          </w:p>
        </w:tc>
      </w:tr>
      <w:tr w14:paraId="7CE96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vMerge w:val="continue"/>
            <w:shd w:val="clear" w:color="auto" w:fill="auto"/>
            <w:vAlign w:val="center"/>
          </w:tcPr>
          <w:p w14:paraId="4DAB2C42">
            <w:pPr>
              <w:widowControl/>
              <w:spacing w:line="360" w:lineRule="auto"/>
              <w:jc w:val="left"/>
              <w:rPr>
                <w:rFonts w:cs="宋体" w:eastAsiaTheme="minorHAnsi"/>
                <w:color w:val="000000"/>
                <w:kern w:val="0"/>
                <w:szCs w:val="21"/>
              </w:rPr>
            </w:pPr>
          </w:p>
        </w:tc>
        <w:tc>
          <w:tcPr>
            <w:tcW w:w="9355" w:type="dxa"/>
            <w:tcBorders>
              <w:top w:val="single" w:color="auto" w:sz="4" w:space="0"/>
              <w:bottom w:val="single" w:color="auto" w:sz="4" w:space="0"/>
              <w:right w:val="single" w:color="auto" w:sz="4" w:space="0"/>
            </w:tcBorders>
            <w:shd w:val="clear" w:color="auto" w:fill="auto"/>
            <w:vAlign w:val="center"/>
          </w:tcPr>
          <w:p w14:paraId="185C3EDE">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支持发布</w:t>
            </w:r>
            <w:r>
              <w:rPr>
                <w:rFonts w:cs="宋体" w:eastAsiaTheme="minorHAnsi"/>
                <w:color w:val="000000"/>
                <w:kern w:val="0"/>
                <w:szCs w:val="21"/>
              </w:rPr>
              <w:t>Windows系统，统信UOS、麒麟等不同类型云桌面，灵活满足用户不同桌面需求。</w:t>
            </w:r>
          </w:p>
        </w:tc>
      </w:tr>
      <w:tr w14:paraId="4F73B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vMerge w:val="continue"/>
            <w:shd w:val="clear" w:color="auto" w:fill="auto"/>
            <w:vAlign w:val="center"/>
          </w:tcPr>
          <w:p w14:paraId="19DC7DC5">
            <w:pPr>
              <w:widowControl/>
              <w:spacing w:line="360" w:lineRule="auto"/>
              <w:jc w:val="left"/>
              <w:rPr>
                <w:rFonts w:cs="宋体" w:eastAsiaTheme="minorHAnsi"/>
                <w:color w:val="000000"/>
                <w:kern w:val="0"/>
                <w:szCs w:val="21"/>
              </w:rPr>
            </w:pPr>
          </w:p>
        </w:tc>
        <w:tc>
          <w:tcPr>
            <w:tcW w:w="9355" w:type="dxa"/>
            <w:tcBorders>
              <w:top w:val="single" w:color="auto" w:sz="4" w:space="0"/>
              <w:bottom w:val="single" w:color="auto" w:sz="4" w:space="0"/>
              <w:right w:val="single" w:color="auto" w:sz="4" w:space="0"/>
            </w:tcBorders>
            <w:shd w:val="clear" w:color="auto" w:fill="auto"/>
            <w:vAlign w:val="center"/>
          </w:tcPr>
          <w:p w14:paraId="1E506C53">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支持通过软件客户端、浏览器、瘦终端等方式访问云桌面。用户无需购买额外的瘦终端，在既有的办公</w:t>
            </w:r>
            <w:r>
              <w:rPr>
                <w:rFonts w:cs="宋体" w:eastAsiaTheme="minorHAnsi"/>
                <w:color w:val="000000"/>
                <w:kern w:val="0"/>
                <w:szCs w:val="21"/>
              </w:rPr>
              <w:t>PC/笔记本上以软终端</w:t>
            </w:r>
            <w:r>
              <w:rPr>
                <w:rFonts w:hint="eastAsia" w:cs="宋体" w:eastAsiaTheme="minorHAnsi"/>
                <w:color w:val="000000"/>
                <w:kern w:val="0"/>
                <w:szCs w:val="21"/>
              </w:rPr>
              <w:t>、浏览器</w:t>
            </w:r>
            <w:r>
              <w:rPr>
                <w:rFonts w:cs="宋体" w:eastAsiaTheme="minorHAnsi"/>
                <w:color w:val="000000"/>
                <w:kern w:val="0"/>
                <w:szCs w:val="21"/>
              </w:rPr>
              <w:t>形式即可登录</w:t>
            </w:r>
            <w:r>
              <w:rPr>
                <w:rFonts w:hint="eastAsia" w:cs="宋体" w:eastAsiaTheme="minorHAnsi"/>
                <w:color w:val="000000"/>
                <w:kern w:val="0"/>
                <w:szCs w:val="21"/>
              </w:rPr>
              <w:t>。</w:t>
            </w:r>
          </w:p>
        </w:tc>
      </w:tr>
      <w:tr w14:paraId="113A4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vMerge w:val="continue"/>
            <w:shd w:val="clear" w:color="auto" w:fill="auto"/>
            <w:vAlign w:val="center"/>
          </w:tcPr>
          <w:p w14:paraId="58FF52DE">
            <w:pPr>
              <w:widowControl/>
              <w:spacing w:line="360" w:lineRule="auto"/>
              <w:jc w:val="left"/>
              <w:rPr>
                <w:rFonts w:cs="宋体" w:eastAsiaTheme="minorHAnsi"/>
                <w:color w:val="000000"/>
                <w:kern w:val="0"/>
                <w:szCs w:val="21"/>
              </w:rPr>
            </w:pPr>
          </w:p>
        </w:tc>
        <w:tc>
          <w:tcPr>
            <w:tcW w:w="9355" w:type="dxa"/>
            <w:tcBorders>
              <w:top w:val="single" w:color="auto" w:sz="4" w:space="0"/>
              <w:bottom w:val="single" w:color="auto" w:sz="4" w:space="0"/>
              <w:right w:val="single" w:color="auto" w:sz="4" w:space="0"/>
            </w:tcBorders>
            <w:shd w:val="clear" w:color="auto" w:fill="auto"/>
            <w:vAlign w:val="center"/>
          </w:tcPr>
          <w:p w14:paraId="6C74D249">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支持终端断开连接后云桌面自动关机、并释放计算资源，以有效提高资源使用效率。</w:t>
            </w:r>
          </w:p>
        </w:tc>
      </w:tr>
      <w:tr w14:paraId="5D4E3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vMerge w:val="continue"/>
            <w:shd w:val="clear" w:color="auto" w:fill="auto"/>
            <w:vAlign w:val="center"/>
          </w:tcPr>
          <w:p w14:paraId="60EAC729">
            <w:pPr>
              <w:widowControl/>
              <w:spacing w:line="360" w:lineRule="auto"/>
              <w:jc w:val="left"/>
              <w:rPr>
                <w:rFonts w:cs="宋体" w:eastAsiaTheme="minorHAnsi"/>
                <w:color w:val="000000"/>
                <w:kern w:val="0"/>
                <w:szCs w:val="21"/>
              </w:rPr>
            </w:pPr>
          </w:p>
        </w:tc>
        <w:tc>
          <w:tcPr>
            <w:tcW w:w="9355" w:type="dxa"/>
            <w:tcBorders>
              <w:top w:val="single" w:color="auto" w:sz="4" w:space="0"/>
              <w:bottom w:val="single" w:color="auto" w:sz="4" w:space="0"/>
              <w:right w:val="single" w:color="auto" w:sz="4" w:space="0"/>
            </w:tcBorders>
            <w:shd w:val="clear" w:color="auto" w:fill="auto"/>
            <w:vAlign w:val="center"/>
          </w:tcPr>
          <w:p w14:paraId="59089AE7">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为满足不同的应用场景，支持发布专用桌面、动态桌面等不同类型桌面资源池。</w:t>
            </w:r>
          </w:p>
        </w:tc>
      </w:tr>
      <w:tr w14:paraId="5749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vMerge w:val="continue"/>
            <w:shd w:val="clear" w:color="auto" w:fill="auto"/>
            <w:vAlign w:val="center"/>
          </w:tcPr>
          <w:p w14:paraId="2E65D6A9">
            <w:pPr>
              <w:widowControl/>
              <w:spacing w:line="360" w:lineRule="auto"/>
              <w:jc w:val="left"/>
              <w:rPr>
                <w:rFonts w:cs="宋体" w:eastAsiaTheme="minorHAnsi"/>
                <w:color w:val="000000"/>
                <w:kern w:val="0"/>
                <w:szCs w:val="21"/>
              </w:rPr>
            </w:pPr>
          </w:p>
        </w:tc>
        <w:tc>
          <w:tcPr>
            <w:tcW w:w="9355" w:type="dxa"/>
            <w:tcBorders>
              <w:top w:val="single" w:color="auto" w:sz="4" w:space="0"/>
              <w:bottom w:val="single" w:color="auto" w:sz="4" w:space="0"/>
              <w:right w:val="single" w:color="auto" w:sz="4" w:space="0"/>
            </w:tcBorders>
            <w:shd w:val="clear" w:color="auto" w:fill="auto"/>
            <w:vAlign w:val="center"/>
          </w:tcPr>
          <w:p w14:paraId="6123B3B4">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本地系统和云桌面之间可以通过文件传输功能来共享传输文件，支持通过简单的</w:t>
            </w:r>
            <w:r>
              <w:rPr>
                <w:rFonts w:cs="宋体" w:eastAsiaTheme="minorHAnsi"/>
                <w:color w:val="000000"/>
                <w:kern w:val="0"/>
                <w:szCs w:val="21"/>
              </w:rPr>
              <w:t>Ctrl+C、Ctrl+V方式进行文件传输。</w:t>
            </w:r>
          </w:p>
        </w:tc>
      </w:tr>
      <w:tr w14:paraId="4A418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vMerge w:val="continue"/>
            <w:shd w:val="clear" w:color="auto" w:fill="auto"/>
            <w:vAlign w:val="center"/>
          </w:tcPr>
          <w:p w14:paraId="30D539FB">
            <w:pPr>
              <w:widowControl/>
              <w:spacing w:line="360" w:lineRule="auto"/>
              <w:jc w:val="left"/>
              <w:rPr>
                <w:rFonts w:cs="宋体" w:eastAsiaTheme="minorHAnsi"/>
                <w:color w:val="000000"/>
                <w:kern w:val="0"/>
                <w:szCs w:val="21"/>
              </w:rPr>
            </w:pPr>
          </w:p>
        </w:tc>
        <w:tc>
          <w:tcPr>
            <w:tcW w:w="9355" w:type="dxa"/>
            <w:tcBorders>
              <w:top w:val="single" w:color="auto" w:sz="4" w:space="0"/>
              <w:bottom w:val="single" w:color="auto" w:sz="4" w:space="0"/>
              <w:right w:val="single" w:color="auto" w:sz="4" w:space="0"/>
            </w:tcBorders>
            <w:shd w:val="clear" w:color="auto" w:fill="auto"/>
            <w:vAlign w:val="center"/>
          </w:tcPr>
          <w:p w14:paraId="6EB25F76">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支持将桌面终端本地各种外设重定向到</w:t>
            </w:r>
            <w:r>
              <w:rPr>
                <w:rFonts w:cs="宋体" w:eastAsiaTheme="minorHAnsi"/>
                <w:color w:val="000000"/>
                <w:kern w:val="0"/>
                <w:szCs w:val="21"/>
              </w:rPr>
              <w:t>云桌面使用，设备类型包括且不限于安全U盘、USB存储等，实现终端本地与云应用同时使用外设。</w:t>
            </w:r>
          </w:p>
        </w:tc>
      </w:tr>
      <w:tr w14:paraId="73358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vMerge w:val="continue"/>
            <w:shd w:val="clear" w:color="auto" w:fill="auto"/>
            <w:vAlign w:val="center"/>
          </w:tcPr>
          <w:p w14:paraId="5435BAC7">
            <w:pPr>
              <w:widowControl/>
              <w:spacing w:line="360" w:lineRule="auto"/>
              <w:jc w:val="left"/>
              <w:rPr>
                <w:rFonts w:cs="宋体" w:eastAsiaTheme="minorHAnsi"/>
                <w:color w:val="000000"/>
                <w:kern w:val="0"/>
                <w:szCs w:val="21"/>
              </w:rPr>
            </w:pPr>
          </w:p>
        </w:tc>
        <w:tc>
          <w:tcPr>
            <w:tcW w:w="9355" w:type="dxa"/>
            <w:tcBorders>
              <w:top w:val="single" w:color="auto" w:sz="4" w:space="0"/>
              <w:bottom w:val="single" w:color="auto" w:sz="4" w:space="0"/>
              <w:right w:val="single" w:color="auto" w:sz="4" w:space="0"/>
            </w:tcBorders>
            <w:shd w:val="clear" w:color="auto" w:fill="auto"/>
            <w:vAlign w:val="center"/>
          </w:tcPr>
          <w:p w14:paraId="612AAF42">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为适应其显示器大小或个人喜好，用户可以根据需要自行调整所连接云桌面的分辨率和显示窗口效果，有助于提高用户的舒适度和工作效率。</w:t>
            </w:r>
          </w:p>
        </w:tc>
      </w:tr>
      <w:tr w14:paraId="16899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18" w:type="dxa"/>
            <w:vMerge w:val="continue"/>
            <w:tcBorders>
              <w:bottom w:val="single" w:color="auto" w:sz="4" w:space="0"/>
            </w:tcBorders>
            <w:shd w:val="clear" w:color="auto" w:fill="auto"/>
            <w:vAlign w:val="center"/>
          </w:tcPr>
          <w:p w14:paraId="67D7543B">
            <w:pPr>
              <w:widowControl/>
              <w:spacing w:line="360" w:lineRule="auto"/>
              <w:jc w:val="left"/>
              <w:rPr>
                <w:rFonts w:cs="宋体" w:eastAsiaTheme="minorHAnsi"/>
                <w:color w:val="000000"/>
                <w:kern w:val="0"/>
                <w:szCs w:val="21"/>
              </w:rPr>
            </w:pPr>
          </w:p>
        </w:tc>
        <w:tc>
          <w:tcPr>
            <w:tcW w:w="9355" w:type="dxa"/>
            <w:tcBorders>
              <w:top w:val="single" w:color="auto" w:sz="4" w:space="0"/>
              <w:bottom w:val="single" w:color="auto" w:sz="4" w:space="0"/>
              <w:right w:val="single" w:color="auto" w:sz="4" w:space="0"/>
            </w:tcBorders>
            <w:shd w:val="clear" w:color="auto" w:fill="auto"/>
            <w:vAlign w:val="center"/>
          </w:tcPr>
          <w:p w14:paraId="74DCB46A">
            <w:pPr>
              <w:widowControl/>
              <w:spacing w:line="360" w:lineRule="auto"/>
              <w:jc w:val="left"/>
              <w:rPr>
                <w:rFonts w:cs="宋体" w:eastAsiaTheme="minorHAnsi"/>
                <w:color w:val="000000"/>
                <w:kern w:val="0"/>
                <w:szCs w:val="21"/>
              </w:rPr>
            </w:pPr>
            <w:r>
              <w:rPr>
                <w:rFonts w:hint="eastAsia" w:cs="宋体" w:eastAsiaTheme="minorHAnsi"/>
                <w:color w:val="000000"/>
                <w:kern w:val="0"/>
                <w:szCs w:val="21"/>
              </w:rPr>
              <w:t>支持合理回收闲置未使用桌面的资源，避免服务器资源的浪费。</w:t>
            </w:r>
          </w:p>
        </w:tc>
      </w:tr>
    </w:tbl>
    <w:p w14:paraId="03FD7019">
      <w:pPr>
        <w:widowControl/>
        <w:spacing w:line="360" w:lineRule="auto"/>
        <w:jc w:val="left"/>
        <w:rPr>
          <w:rFonts w:eastAsiaTheme="minorHAnsi"/>
        </w:rPr>
      </w:pPr>
    </w:p>
    <w:p w14:paraId="403EAD1E">
      <w:pPr>
        <w:widowControl/>
        <w:jc w:val="left"/>
        <w:rPr>
          <w:rFonts w:eastAsiaTheme="minorHAnsi" w:cstheme="majorBidi"/>
          <w:b/>
          <w:bCs/>
          <w:sz w:val="28"/>
          <w:szCs w:val="32"/>
        </w:rPr>
      </w:pPr>
      <w:r>
        <w:rPr>
          <w:rFonts w:eastAsiaTheme="minorHAnsi"/>
          <w:sz w:val="28"/>
        </w:rPr>
        <w:br w:type="page"/>
      </w:r>
    </w:p>
    <w:p w14:paraId="7CE2BB42">
      <w:pPr>
        <w:pStyle w:val="2"/>
        <w:spacing w:line="360" w:lineRule="auto"/>
        <w:rPr>
          <w:rFonts w:eastAsiaTheme="minorHAnsi"/>
          <w:sz w:val="32"/>
        </w:rPr>
      </w:pPr>
      <w:bookmarkStart w:id="4" w:name="_Toc12570"/>
      <w:bookmarkStart w:id="5" w:name="_Toc166754169"/>
      <w:r>
        <w:rPr>
          <w:rFonts w:eastAsiaTheme="minorHAnsi"/>
          <w:sz w:val="32"/>
        </w:rPr>
        <w:t>三、</w:t>
      </w:r>
      <w:r>
        <w:rPr>
          <w:rFonts w:hint="eastAsia" w:eastAsiaTheme="minorHAnsi"/>
          <w:sz w:val="32"/>
        </w:rPr>
        <w:t>设备</w:t>
      </w:r>
      <w:r>
        <w:rPr>
          <w:rFonts w:eastAsiaTheme="minorHAnsi"/>
          <w:sz w:val="32"/>
        </w:rPr>
        <w:t>交付时间和地点</w:t>
      </w:r>
      <w:bookmarkEnd w:id="4"/>
      <w:bookmarkEnd w:id="5"/>
    </w:p>
    <w:p w14:paraId="755F278D">
      <w:pPr>
        <w:spacing w:line="360" w:lineRule="auto"/>
        <w:ind w:firstLine="420" w:firstLineChars="200"/>
        <w:rPr>
          <w:rFonts w:cs="Times New Roman" w:eastAsiaTheme="minorHAnsi"/>
          <w:szCs w:val="21"/>
        </w:rPr>
      </w:pPr>
      <w:r>
        <w:rPr>
          <w:rFonts w:cs="Times New Roman" w:eastAsiaTheme="minorHAnsi"/>
          <w:szCs w:val="21"/>
        </w:rPr>
        <w:t>交付地点：上海科技大学中心机房</w:t>
      </w:r>
    </w:p>
    <w:p w14:paraId="1984AE08">
      <w:pPr>
        <w:pStyle w:val="2"/>
        <w:spacing w:line="360" w:lineRule="auto"/>
        <w:rPr>
          <w:sz w:val="24"/>
        </w:rPr>
      </w:pPr>
      <w:r>
        <w:rPr>
          <w:rFonts w:hint="eastAsia" w:eastAsiaTheme="minorHAnsi"/>
          <w:sz w:val="32"/>
        </w:rPr>
        <w:t>四、商务要求</w:t>
      </w:r>
      <w:r>
        <w:rPr>
          <w:rFonts w:hint="eastAsia"/>
          <w:sz w:val="24"/>
        </w:rPr>
        <w:t>（包括交货期、付款方式等）</w:t>
      </w:r>
    </w:p>
    <w:p w14:paraId="0F3A9E1F">
      <w:pPr>
        <w:spacing w:line="360" w:lineRule="auto"/>
        <w:rPr>
          <w:bCs/>
          <w:sz w:val="24"/>
        </w:rPr>
      </w:pPr>
      <w:r>
        <w:rPr>
          <w:rFonts w:hint="eastAsia"/>
          <w:bCs/>
          <w:sz w:val="24"/>
        </w:rPr>
        <w:t>交货期：</w:t>
      </w:r>
    </w:p>
    <w:p w14:paraId="12151F9B">
      <w:pPr>
        <w:spacing w:line="360" w:lineRule="auto"/>
        <w:ind w:firstLine="480" w:firstLineChars="200"/>
        <w:rPr>
          <w:bCs/>
          <w:sz w:val="24"/>
        </w:rPr>
      </w:pPr>
      <w:r>
        <w:rPr>
          <w:rFonts w:hint="eastAsia"/>
          <w:bCs/>
          <w:sz w:val="24"/>
          <w:lang w:eastAsia="zh-CN"/>
        </w:rPr>
        <w:t>自</w:t>
      </w:r>
      <w:r>
        <w:rPr>
          <w:rFonts w:hint="eastAsia"/>
          <w:bCs/>
          <w:sz w:val="24"/>
        </w:rPr>
        <w:t>合同签订</w:t>
      </w:r>
      <w:r>
        <w:rPr>
          <w:rFonts w:hint="eastAsia"/>
          <w:bCs/>
          <w:sz w:val="24"/>
          <w:lang w:eastAsia="zh-CN"/>
        </w:rPr>
        <w:t>之日起</w:t>
      </w:r>
      <w:r>
        <w:rPr>
          <w:rFonts w:hint="eastAsia"/>
          <w:bCs/>
          <w:sz w:val="24"/>
          <w:u w:val="single"/>
        </w:rPr>
        <w:t>30天</w:t>
      </w:r>
      <w:r>
        <w:rPr>
          <w:bCs/>
          <w:sz w:val="24"/>
        </w:rPr>
        <w:t>内完成送货上门</w:t>
      </w:r>
      <w:r>
        <w:rPr>
          <w:rFonts w:hint="eastAsia"/>
          <w:bCs/>
          <w:sz w:val="24"/>
        </w:rPr>
        <w:t>，</w:t>
      </w:r>
      <w:r>
        <w:rPr>
          <w:rFonts w:hint="eastAsia"/>
          <w:bCs/>
          <w:sz w:val="24"/>
          <w:lang w:val="en-US" w:eastAsia="zh-CN"/>
        </w:rPr>
        <w:t>4</w:t>
      </w:r>
      <w:r>
        <w:rPr>
          <w:rFonts w:hint="eastAsia"/>
          <w:bCs/>
          <w:sz w:val="24"/>
          <w:u w:val="single"/>
        </w:rPr>
        <w:t>5</w:t>
      </w:r>
      <w:r>
        <w:rPr>
          <w:rFonts w:hint="eastAsia"/>
          <w:bCs/>
          <w:sz w:val="24"/>
        </w:rPr>
        <w:t>天内完成</w:t>
      </w:r>
      <w:r>
        <w:rPr>
          <w:bCs/>
          <w:sz w:val="24"/>
        </w:rPr>
        <w:t>安装、调试、培训</w:t>
      </w:r>
      <w:r>
        <w:rPr>
          <w:rFonts w:hint="eastAsia"/>
          <w:bCs/>
          <w:sz w:val="24"/>
          <w:lang w:eastAsia="zh-CN"/>
        </w:rPr>
        <w:t>并通过验收</w:t>
      </w:r>
      <w:r>
        <w:rPr>
          <w:bCs/>
          <w:sz w:val="24"/>
        </w:rPr>
        <w:t>。</w:t>
      </w:r>
    </w:p>
    <w:p w14:paraId="4F6A47B6">
      <w:pPr>
        <w:spacing w:line="360" w:lineRule="auto"/>
        <w:rPr>
          <w:bCs/>
          <w:sz w:val="24"/>
        </w:rPr>
      </w:pPr>
      <w:r>
        <w:rPr>
          <w:rFonts w:hint="eastAsia"/>
          <w:bCs/>
          <w:sz w:val="24"/>
        </w:rPr>
        <w:t>付款方式：</w:t>
      </w:r>
    </w:p>
    <w:p w14:paraId="4FCABCBA">
      <w:pPr>
        <w:spacing w:line="360" w:lineRule="auto"/>
        <w:ind w:firstLine="420" w:firstLineChars="200"/>
      </w:pPr>
      <w:r>
        <w:rPr>
          <w:rFonts w:hint="eastAsia" w:cs="Times New Roman" w:eastAsiaTheme="minorHAnsi"/>
          <w:szCs w:val="21"/>
        </w:rPr>
        <w:t>付款方式：</w:t>
      </w:r>
      <w:r>
        <w:t>第一笔付款-预付款 (</w:t>
      </w:r>
      <w:r>
        <w:rPr>
          <w:rFonts w:hint="eastAsia"/>
        </w:rPr>
        <w:t>合同总价的</w:t>
      </w:r>
      <w:r>
        <w:t>30%)：合同签订</w:t>
      </w:r>
      <w:r>
        <w:rPr>
          <w:rFonts w:hint="eastAsia"/>
          <w:lang w:eastAsia="zh-CN"/>
        </w:rPr>
        <w:t>且采购人收到发票和履约保证金后</w:t>
      </w:r>
      <w:r>
        <w:t>十个工作日</w:t>
      </w:r>
      <w:r>
        <w:rPr>
          <w:rFonts w:hint="eastAsia"/>
          <w:lang w:eastAsia="zh-CN"/>
        </w:rPr>
        <w:t>内</w:t>
      </w:r>
      <w:r>
        <w:t>，支付预付款；第二笔付款-交货付款 (</w:t>
      </w:r>
      <w:r>
        <w:rPr>
          <w:rFonts w:hint="eastAsia"/>
        </w:rPr>
        <w:t>合同总价的</w:t>
      </w:r>
      <w:r>
        <w:t>50%)：采购人收到全部货物十个工作日内，支付</w:t>
      </w:r>
      <w:r>
        <w:rPr>
          <w:rFonts w:hint="eastAsia"/>
        </w:rPr>
        <w:t>交货付款</w:t>
      </w:r>
      <w:r>
        <w:t>；第三笔付款-最终验收付款 (</w:t>
      </w:r>
      <w:r>
        <w:rPr>
          <w:rFonts w:hint="eastAsia"/>
        </w:rPr>
        <w:t>合同总价的</w:t>
      </w:r>
      <w:r>
        <w:t>20%)：验收单或验收报告出具后及收到发票后十个工作日内，支付最终验收付款</w:t>
      </w:r>
      <w:r>
        <w:rPr>
          <w:rFonts w:hint="eastAsia"/>
          <w:lang w:eastAsia="zh-CN"/>
        </w:rPr>
        <w:t>并退还履约保证金</w:t>
      </w:r>
      <w:r>
        <w:t>。</w:t>
      </w:r>
    </w:p>
    <w:p w14:paraId="2FB6FD9E">
      <w:pPr>
        <w:spacing w:line="360" w:lineRule="auto"/>
        <w:ind w:firstLine="420" w:firstLineChars="200"/>
        <w:rPr>
          <w:rFonts w:hint="eastAsia" w:cs="Times New Roman" w:eastAsiaTheme="minorHAnsi"/>
          <w:szCs w:val="21"/>
        </w:rPr>
      </w:pPr>
      <w:r>
        <w:rPr>
          <w:rFonts w:hint="eastAsia" w:cs="Times New Roman" w:eastAsiaTheme="minorHAnsi"/>
          <w:szCs w:val="21"/>
        </w:rPr>
        <w:t>履约保证金：</w:t>
      </w:r>
      <w:r>
        <w:t>中标人须在合同签订前提交履约保证金，金额为</w:t>
      </w:r>
      <w:r>
        <w:rPr>
          <w:rStyle w:val="14"/>
          <w:rFonts w:ascii="Arial" w:hAnsi="Arial" w:cs="Arial"/>
          <w:b w:val="0"/>
          <w:color w:val="000000"/>
        </w:rPr>
        <w:t>合同总价的5%</w:t>
      </w:r>
      <w:r>
        <w:rPr>
          <w:rStyle w:val="14"/>
          <w:rFonts w:hint="eastAsia" w:ascii="Arial" w:hAnsi="Arial" w:cs="Arial"/>
          <w:b w:val="0"/>
          <w:color w:val="000000"/>
        </w:rPr>
        <w:t>，</w:t>
      </w:r>
      <w:r>
        <w:t>项目履约完成并经采购人验收合格后，</w:t>
      </w:r>
      <w:r>
        <w:rPr>
          <w:rStyle w:val="14"/>
          <w:rFonts w:ascii="Arial" w:hAnsi="Arial" w:cs="Arial"/>
          <w:b w:val="0"/>
          <w:color w:val="000000"/>
        </w:rPr>
        <w:t>无息原路退还</w:t>
      </w:r>
      <w:r>
        <w:rPr>
          <w:rStyle w:val="14"/>
          <w:rFonts w:hint="eastAsia" w:ascii="Arial" w:hAnsi="Arial" w:cs="Arial"/>
          <w:b w:val="0"/>
          <w:color w:val="000000"/>
        </w:rPr>
        <w:t>。</w:t>
      </w:r>
    </w:p>
    <w:p w14:paraId="48EF9AAC">
      <w:pPr>
        <w:spacing w:line="360" w:lineRule="auto"/>
        <w:ind w:firstLine="480" w:firstLineChars="200"/>
        <w:rPr>
          <w:bCs/>
          <w:sz w:val="24"/>
        </w:rPr>
      </w:pPr>
    </w:p>
    <w:p w14:paraId="44B082A6">
      <w:pPr>
        <w:pStyle w:val="2"/>
        <w:spacing w:line="360" w:lineRule="auto"/>
        <w:rPr>
          <w:rFonts w:eastAsiaTheme="minorHAnsi"/>
          <w:sz w:val="32"/>
        </w:rPr>
      </w:pPr>
      <w:bookmarkStart w:id="6" w:name="_Toc31422"/>
      <w:r>
        <w:rPr>
          <w:rFonts w:hint="eastAsia" w:eastAsiaTheme="minorHAnsi"/>
          <w:sz w:val="32"/>
        </w:rPr>
        <w:t>五、设备要求</w:t>
      </w:r>
      <w:bookmarkEnd w:id="6"/>
    </w:p>
    <w:p w14:paraId="6601793E">
      <w:pPr>
        <w:spacing w:line="360" w:lineRule="auto"/>
        <w:ind w:firstLine="420"/>
        <w:rPr>
          <w:rFonts w:hint="eastAsia" w:eastAsiaTheme="minorHAnsi"/>
          <w:szCs w:val="21"/>
        </w:rPr>
      </w:pPr>
      <w:r>
        <w:rPr>
          <w:rFonts w:hint="eastAsia" w:eastAsiaTheme="minorHAnsi"/>
          <w:szCs w:val="21"/>
        </w:rPr>
        <w:t>本次招标的“</w:t>
      </w:r>
      <w:r>
        <w:rPr>
          <w:rFonts w:hint="eastAsia" w:cs="Times New Roman" w:eastAsiaTheme="minorHAnsi"/>
          <w:color w:val="000000" w:themeColor="text1"/>
          <w:szCs w:val="21"/>
          <w14:textFill>
            <w14:solidFill>
              <w14:schemeClr w14:val="tx1"/>
            </w14:solidFill>
          </w14:textFill>
        </w:rPr>
        <w:t>推理计算GPU服务器设备</w:t>
      </w:r>
      <w:r>
        <w:rPr>
          <w:rFonts w:hint="eastAsia" w:eastAsiaTheme="minorHAnsi"/>
          <w:szCs w:val="21"/>
        </w:rPr>
        <w:t>”，</w:t>
      </w:r>
      <w:r>
        <w:rPr>
          <w:rFonts w:hint="eastAsia"/>
        </w:rPr>
        <w:t>将作为已有集群的计算节点扩展通过IB网络挂载数据盘的同时，通过以太网与调度节点互联，并要求支持torquePBS或SLURM调度。</w:t>
      </w:r>
      <w:r>
        <w:rPr>
          <w:rFonts w:hint="eastAsia" w:eastAsiaTheme="minorHAnsi"/>
          <w:szCs w:val="21"/>
        </w:rPr>
        <w:t>同时，投标人需将已有资源和新增资源进行统一管理以及统一分配，投标人可自行提供技术方案。</w:t>
      </w:r>
    </w:p>
    <w:p w14:paraId="39CE8D8A">
      <w:pPr>
        <w:pStyle w:val="16"/>
        <w:numPr>
          <w:ilvl w:val="0"/>
          <w:numId w:val="3"/>
        </w:numPr>
        <w:spacing w:line="360" w:lineRule="auto"/>
        <w:ind w:firstLineChars="0"/>
        <w:rPr>
          <w:rFonts w:eastAsiaTheme="minorHAnsi"/>
          <w:szCs w:val="21"/>
        </w:rPr>
      </w:pPr>
      <w:r>
        <w:rPr>
          <w:rFonts w:hint="eastAsia" w:eastAsiaTheme="minorHAnsi"/>
          <w:szCs w:val="21"/>
        </w:rPr>
        <w:t>新设备需不影响原有设备性能及运行效率；</w:t>
      </w:r>
    </w:p>
    <w:p w14:paraId="076C87B7">
      <w:pPr>
        <w:pStyle w:val="16"/>
        <w:numPr>
          <w:ilvl w:val="0"/>
          <w:numId w:val="3"/>
        </w:numPr>
        <w:spacing w:line="360" w:lineRule="auto"/>
        <w:ind w:firstLineChars="0"/>
        <w:rPr>
          <w:rFonts w:eastAsiaTheme="minorHAnsi"/>
          <w:szCs w:val="21"/>
        </w:rPr>
      </w:pPr>
      <w:r>
        <w:rPr>
          <w:rFonts w:hint="eastAsia" w:eastAsiaTheme="minorHAnsi"/>
          <w:szCs w:val="21"/>
        </w:rPr>
        <w:t>建设过程中不得影响原有正常运行业务；</w:t>
      </w:r>
    </w:p>
    <w:p w14:paraId="25403B92">
      <w:pPr>
        <w:pStyle w:val="16"/>
        <w:numPr>
          <w:ilvl w:val="0"/>
          <w:numId w:val="3"/>
        </w:numPr>
        <w:spacing w:line="360" w:lineRule="auto"/>
        <w:ind w:firstLineChars="0"/>
        <w:rPr>
          <w:rFonts w:eastAsiaTheme="minorHAnsi"/>
          <w:szCs w:val="21"/>
        </w:rPr>
      </w:pPr>
      <w:r>
        <w:rPr>
          <w:rFonts w:hint="eastAsia" w:eastAsiaTheme="minorHAnsi"/>
          <w:szCs w:val="21"/>
        </w:rPr>
        <w:t>须具备</w:t>
      </w:r>
      <w:r>
        <w:rPr>
          <w:rFonts w:eastAsiaTheme="minorHAnsi"/>
          <w:szCs w:val="21"/>
        </w:rPr>
        <w:t>良好的可扩展性，能够支持未来业务扩展的需求；</w:t>
      </w:r>
    </w:p>
    <w:p w14:paraId="5F812591">
      <w:pPr>
        <w:pStyle w:val="16"/>
        <w:numPr>
          <w:ilvl w:val="0"/>
          <w:numId w:val="3"/>
        </w:numPr>
        <w:spacing w:line="360" w:lineRule="auto"/>
        <w:ind w:firstLineChars="0"/>
        <w:rPr>
          <w:rFonts w:eastAsiaTheme="minorHAnsi"/>
          <w:szCs w:val="21"/>
        </w:rPr>
      </w:pPr>
      <w:r>
        <w:rPr>
          <w:rFonts w:eastAsiaTheme="minorHAnsi"/>
          <w:szCs w:val="21"/>
        </w:rPr>
        <w:t>需支持安全的远程访问管理和监控，便于随时掌握系统状态</w:t>
      </w:r>
      <w:r>
        <w:rPr>
          <w:rFonts w:hint="eastAsia" w:eastAsiaTheme="minorHAnsi"/>
          <w:szCs w:val="21"/>
        </w:rPr>
        <w:t>；</w:t>
      </w:r>
    </w:p>
    <w:p w14:paraId="1CE392E8">
      <w:pPr>
        <w:pStyle w:val="16"/>
        <w:numPr>
          <w:ilvl w:val="0"/>
          <w:numId w:val="3"/>
        </w:numPr>
        <w:spacing w:line="360" w:lineRule="auto"/>
        <w:ind w:firstLineChars="0"/>
        <w:rPr>
          <w:rFonts w:eastAsiaTheme="minorHAnsi"/>
          <w:szCs w:val="21"/>
        </w:rPr>
      </w:pPr>
      <w:r>
        <w:rPr>
          <w:rFonts w:hint="eastAsia" w:eastAsiaTheme="minorHAnsi"/>
          <w:szCs w:val="21"/>
        </w:rPr>
        <w:t>需要确保新的资源和系统配置符合安全要求，以防止潜在的安全风险。</w:t>
      </w:r>
    </w:p>
    <w:p w14:paraId="0C5CD269">
      <w:pPr>
        <w:pStyle w:val="2"/>
        <w:spacing w:line="360" w:lineRule="auto"/>
        <w:rPr>
          <w:rFonts w:eastAsiaTheme="minorHAnsi"/>
          <w:sz w:val="32"/>
        </w:rPr>
      </w:pPr>
      <w:bookmarkStart w:id="7" w:name="_Toc11356"/>
      <w:r>
        <w:rPr>
          <w:rFonts w:hint="eastAsia" w:eastAsiaTheme="minorHAnsi"/>
          <w:sz w:val="32"/>
        </w:rPr>
        <w:t>六、服务要求</w:t>
      </w:r>
      <w:bookmarkEnd w:id="7"/>
    </w:p>
    <w:p w14:paraId="5C7BC075">
      <w:pPr>
        <w:pStyle w:val="3"/>
        <w:spacing w:line="360" w:lineRule="auto"/>
        <w:rPr>
          <w:rFonts w:asciiTheme="minorHAnsi" w:hAnsiTheme="minorHAnsi" w:eastAsiaTheme="minorHAnsi"/>
          <w:sz w:val="28"/>
        </w:rPr>
      </w:pPr>
      <w:bookmarkStart w:id="8" w:name="_Toc166754171"/>
      <w:bookmarkStart w:id="9" w:name="_Toc15102"/>
      <w:r>
        <w:rPr>
          <w:rFonts w:hint="eastAsia" w:asciiTheme="minorHAnsi" w:hAnsiTheme="minorHAnsi" w:eastAsiaTheme="minorHAnsi"/>
          <w:sz w:val="28"/>
        </w:rPr>
        <w:t>1.设备配套要求</w:t>
      </w:r>
      <w:bookmarkEnd w:id="8"/>
      <w:bookmarkEnd w:id="9"/>
    </w:p>
    <w:p w14:paraId="5B99FA73">
      <w:pPr>
        <w:numPr>
          <w:ilvl w:val="0"/>
          <w:numId w:val="4"/>
        </w:numPr>
        <w:spacing w:line="360" w:lineRule="auto"/>
        <w:ind w:left="0" w:firstLine="420" w:firstLineChars="200"/>
        <w:rPr>
          <w:rFonts w:eastAsiaTheme="minorHAnsi"/>
          <w:szCs w:val="21"/>
        </w:rPr>
      </w:pPr>
      <w:r>
        <w:rPr>
          <w:rFonts w:hint="eastAsia" w:eastAsiaTheme="minorHAnsi"/>
          <w:szCs w:val="21"/>
        </w:rPr>
        <w:t>中标人需对本项目所含系统的供电提出明确的需求。</w:t>
      </w:r>
    </w:p>
    <w:p w14:paraId="4819E0EB">
      <w:pPr>
        <w:numPr>
          <w:ilvl w:val="0"/>
          <w:numId w:val="4"/>
        </w:numPr>
        <w:spacing w:line="360" w:lineRule="auto"/>
        <w:ind w:left="0" w:firstLine="420" w:firstLineChars="200"/>
        <w:rPr>
          <w:rFonts w:eastAsiaTheme="minorHAnsi"/>
          <w:szCs w:val="21"/>
        </w:rPr>
      </w:pPr>
      <w:r>
        <w:rPr>
          <w:rFonts w:hint="eastAsia" w:eastAsiaTheme="minorHAnsi"/>
          <w:szCs w:val="21"/>
        </w:rPr>
        <w:t>中标人对需要其他工程商提供的通信接口、设备监控界面等须提出明确的要求。</w:t>
      </w:r>
    </w:p>
    <w:p w14:paraId="2394E7AC">
      <w:pPr>
        <w:numPr>
          <w:ilvl w:val="0"/>
          <w:numId w:val="4"/>
        </w:numPr>
        <w:spacing w:line="360" w:lineRule="auto"/>
        <w:ind w:left="0" w:firstLine="420" w:firstLineChars="200"/>
        <w:rPr>
          <w:rFonts w:eastAsiaTheme="minorHAnsi"/>
          <w:szCs w:val="21"/>
        </w:rPr>
      </w:pPr>
      <w:r>
        <w:rPr>
          <w:rFonts w:hint="eastAsia" w:eastAsiaTheme="minorHAnsi"/>
          <w:szCs w:val="21"/>
        </w:rPr>
        <w:t>项目实施后中标人需提供完整的电子文档和安装手册。</w:t>
      </w:r>
    </w:p>
    <w:p w14:paraId="4778363D">
      <w:pPr>
        <w:numPr>
          <w:ilvl w:val="0"/>
          <w:numId w:val="4"/>
        </w:numPr>
        <w:spacing w:line="360" w:lineRule="auto"/>
        <w:ind w:left="0" w:firstLine="420" w:firstLineChars="200"/>
        <w:rPr>
          <w:rFonts w:eastAsiaTheme="minorHAnsi"/>
          <w:szCs w:val="21"/>
        </w:rPr>
      </w:pPr>
      <w:r>
        <w:rPr>
          <w:rFonts w:hint="eastAsia" w:eastAsiaTheme="minorHAnsi"/>
          <w:szCs w:val="21"/>
        </w:rPr>
        <w:t>投标方所提供的系统方案要充分考虑现有实际情况，签订合同后，招标方有权要求中标人根据现场情况对投标方案及产品进行深化和调整。</w:t>
      </w:r>
    </w:p>
    <w:p w14:paraId="7FE4EB1D">
      <w:pPr>
        <w:numPr>
          <w:ilvl w:val="0"/>
          <w:numId w:val="4"/>
        </w:numPr>
        <w:spacing w:line="360" w:lineRule="auto"/>
        <w:ind w:left="0" w:firstLine="420" w:firstLineChars="200"/>
        <w:rPr>
          <w:rFonts w:eastAsiaTheme="minorHAnsi"/>
          <w:szCs w:val="21"/>
        </w:rPr>
      </w:pPr>
      <w:r>
        <w:rPr>
          <w:rFonts w:hint="eastAsia" w:eastAsiaTheme="minorHAnsi"/>
          <w:szCs w:val="21"/>
        </w:rPr>
        <w:t>中标人提供相关的各类培训，包括技术培训和操作培训，并制定详细的培训计划。</w:t>
      </w:r>
    </w:p>
    <w:p w14:paraId="0B44012C">
      <w:pPr>
        <w:pStyle w:val="3"/>
        <w:spacing w:line="360" w:lineRule="auto"/>
        <w:rPr>
          <w:rFonts w:asciiTheme="minorHAnsi" w:hAnsiTheme="minorHAnsi" w:eastAsiaTheme="minorHAnsi"/>
          <w:sz w:val="28"/>
        </w:rPr>
      </w:pPr>
      <w:r>
        <w:rPr>
          <w:rFonts w:eastAsiaTheme="minorHAnsi"/>
        </w:rPr>
        <w:br w:type="page"/>
      </w:r>
      <w:r>
        <w:rPr>
          <w:rFonts w:hint="eastAsia" w:eastAsiaTheme="minorHAnsi"/>
        </w:rPr>
        <w:t>2.</w:t>
      </w:r>
      <w:r>
        <w:rPr>
          <w:rFonts w:hint="eastAsia" w:asciiTheme="minorHAnsi" w:hAnsiTheme="minorHAnsi" w:eastAsiaTheme="minorHAnsi"/>
          <w:sz w:val="28"/>
        </w:rPr>
        <w:t>设备质保及售后服务要求</w:t>
      </w:r>
    </w:p>
    <w:p w14:paraId="3D63883D">
      <w:pPr>
        <w:spacing w:line="360" w:lineRule="auto"/>
        <w:ind w:firstLine="567"/>
        <w:rPr>
          <w:rFonts w:eastAsiaTheme="minorHAnsi"/>
          <w:b/>
          <w:szCs w:val="21"/>
        </w:rPr>
      </w:pPr>
      <w:r>
        <w:rPr>
          <w:rFonts w:hint="eastAsia" w:eastAsiaTheme="minorHAnsi"/>
          <w:b/>
          <w:szCs w:val="21"/>
        </w:rPr>
        <w:t>整体要求</w:t>
      </w:r>
    </w:p>
    <w:p w14:paraId="383D86C0">
      <w:pPr>
        <w:numPr>
          <w:ilvl w:val="0"/>
          <w:numId w:val="5"/>
        </w:numPr>
        <w:spacing w:line="360" w:lineRule="auto"/>
        <w:ind w:left="0" w:firstLine="420" w:firstLineChars="200"/>
        <w:rPr>
          <w:rFonts w:eastAsiaTheme="minorHAnsi"/>
          <w:szCs w:val="21"/>
        </w:rPr>
      </w:pPr>
      <w:r>
        <w:rPr>
          <w:rFonts w:hint="eastAsia" w:eastAsiaTheme="minorHAnsi"/>
          <w:szCs w:val="21"/>
        </w:rPr>
        <w:t>项目设备提供</w:t>
      </w:r>
      <w:r>
        <w:rPr>
          <w:rFonts w:eastAsiaTheme="minorHAnsi"/>
          <w:szCs w:val="21"/>
        </w:rPr>
        <w:t>自</w:t>
      </w:r>
      <w:r>
        <w:rPr>
          <w:rFonts w:hint="eastAsia" w:eastAsiaTheme="minorHAnsi"/>
          <w:szCs w:val="21"/>
        </w:rPr>
        <w:t>项目</w:t>
      </w:r>
      <w:r>
        <w:rPr>
          <w:rFonts w:eastAsiaTheme="minorHAnsi"/>
          <w:szCs w:val="21"/>
        </w:rPr>
        <w:t>验收通过之日起</w:t>
      </w:r>
      <w:r>
        <w:rPr>
          <w:rFonts w:hint="eastAsia" w:eastAsiaTheme="minorHAnsi"/>
          <w:szCs w:val="21"/>
          <w:lang w:eastAsia="zh-CN"/>
        </w:rPr>
        <w:t>不少于</w:t>
      </w:r>
      <w:r>
        <w:rPr>
          <w:rFonts w:hint="eastAsia" w:eastAsiaTheme="minorHAnsi"/>
          <w:szCs w:val="21"/>
          <w:lang w:val="en-US" w:eastAsia="zh-CN"/>
        </w:rPr>
        <w:t>60个月</w:t>
      </w:r>
      <w:r>
        <w:rPr>
          <w:rFonts w:hint="eastAsia" w:eastAsiaTheme="minorHAnsi"/>
          <w:szCs w:val="21"/>
          <w:lang w:eastAsia="zh-CN"/>
        </w:rPr>
        <w:t>的</w:t>
      </w:r>
      <w:r>
        <w:rPr>
          <w:rFonts w:hint="eastAsia" w:eastAsiaTheme="minorHAnsi"/>
          <w:szCs w:val="21"/>
        </w:rPr>
        <w:t>7</w:t>
      </w:r>
      <w:r>
        <w:rPr>
          <w:rFonts w:eastAsiaTheme="minorHAnsi"/>
          <w:szCs w:val="21"/>
        </w:rPr>
        <w:t>*24</w:t>
      </w:r>
      <w:r>
        <w:rPr>
          <w:rFonts w:hint="eastAsia" w:eastAsiaTheme="minorHAnsi"/>
          <w:szCs w:val="21"/>
          <w:lang w:val="en-US" w:eastAsia="zh-CN"/>
        </w:rPr>
        <w:t>h免费</w:t>
      </w:r>
      <w:r>
        <w:rPr>
          <w:rFonts w:hint="eastAsia" w:eastAsiaTheme="minorHAnsi"/>
          <w:szCs w:val="21"/>
        </w:rPr>
        <w:t>原厂质保及售后服务</w:t>
      </w:r>
      <w:r>
        <w:rPr>
          <w:rFonts w:eastAsiaTheme="minorHAnsi"/>
          <w:szCs w:val="21"/>
        </w:rPr>
        <w:t>。</w:t>
      </w:r>
    </w:p>
    <w:p w14:paraId="10C00CBF">
      <w:pPr>
        <w:numPr>
          <w:ilvl w:val="0"/>
          <w:numId w:val="5"/>
        </w:numPr>
        <w:spacing w:line="360" w:lineRule="auto"/>
        <w:ind w:left="0" w:firstLine="420" w:firstLineChars="200"/>
        <w:rPr>
          <w:rFonts w:eastAsiaTheme="minorHAnsi"/>
          <w:szCs w:val="21"/>
        </w:rPr>
      </w:pPr>
      <w:r>
        <w:rPr>
          <w:rFonts w:hint="eastAsia" w:eastAsiaTheme="minorHAnsi"/>
          <w:szCs w:val="21"/>
        </w:rPr>
        <w:t>产品质量：中标人提供的成品设备是原装的、全新的、未使用过的、高性价比、高可靠性的产品，定制产品选用最佳材料和一流工艺，并在各个方面符合合同规定的质量、规格和性能要求。产品及外包装无损、零配件齐全、在规定的质保期内，将对由于设计、工艺或材料的缺陷或故障负责。</w:t>
      </w:r>
    </w:p>
    <w:p w14:paraId="443D0C61">
      <w:pPr>
        <w:numPr>
          <w:ilvl w:val="0"/>
          <w:numId w:val="5"/>
        </w:numPr>
        <w:spacing w:line="360" w:lineRule="auto"/>
        <w:ind w:left="0" w:firstLine="420" w:firstLineChars="200"/>
        <w:rPr>
          <w:rFonts w:eastAsiaTheme="minorHAnsi"/>
          <w:szCs w:val="21"/>
        </w:rPr>
      </w:pPr>
      <w:r>
        <w:rPr>
          <w:rFonts w:hint="eastAsia" w:eastAsiaTheme="minorHAnsi"/>
          <w:szCs w:val="21"/>
        </w:rPr>
        <w:t>资料完备：中标人提供完整的资料，如产品质量合格证、保修单、技术指标资料、说明书等，系统调试完毕提供调试报告，在试运行期间提供试运行报告，在培训期间提供培训手册，保证整个系统的数据和资料确保准确无误，并保证设备按时正确地安装、调试和验收，满足正常运行和维修保养的需要。</w:t>
      </w:r>
    </w:p>
    <w:p w14:paraId="2262A4D7">
      <w:pPr>
        <w:numPr>
          <w:ilvl w:val="255"/>
          <w:numId w:val="0"/>
        </w:numPr>
        <w:spacing w:line="360" w:lineRule="auto"/>
        <w:ind w:left="420" w:leftChars="200"/>
        <w:rPr>
          <w:rFonts w:eastAsiaTheme="minorHAnsi"/>
          <w:szCs w:val="21"/>
        </w:rPr>
      </w:pPr>
      <w:r>
        <w:rPr>
          <w:rFonts w:hint="eastAsia" w:eastAsiaTheme="minorHAnsi"/>
          <w:szCs w:val="21"/>
        </w:rPr>
        <w:t>4）</w:t>
      </w:r>
      <w:r>
        <w:rPr>
          <w:rFonts w:eastAsiaTheme="minorHAnsi"/>
          <w:szCs w:val="21"/>
        </w:rPr>
        <w:t xml:space="preserve">  </w:t>
      </w:r>
      <w:r>
        <w:rPr>
          <w:rFonts w:hint="eastAsia" w:eastAsiaTheme="minorHAnsi"/>
          <w:szCs w:val="21"/>
        </w:rPr>
        <w:t>提供原厂授权证明优先考虑。</w:t>
      </w:r>
    </w:p>
    <w:p w14:paraId="79FAACB9">
      <w:pPr>
        <w:spacing w:line="360" w:lineRule="auto"/>
        <w:ind w:firstLine="567"/>
        <w:rPr>
          <w:rFonts w:eastAsiaTheme="minorHAnsi"/>
          <w:b/>
          <w:szCs w:val="21"/>
        </w:rPr>
      </w:pPr>
      <w:r>
        <w:rPr>
          <w:rFonts w:hint="eastAsia" w:eastAsiaTheme="minorHAnsi"/>
          <w:b/>
          <w:szCs w:val="21"/>
        </w:rPr>
        <w:t>服务标准</w:t>
      </w:r>
    </w:p>
    <w:p w14:paraId="3EAD73F9">
      <w:pPr>
        <w:numPr>
          <w:ilvl w:val="0"/>
          <w:numId w:val="6"/>
        </w:numPr>
        <w:spacing w:line="360" w:lineRule="auto"/>
        <w:ind w:left="0" w:firstLine="420" w:firstLineChars="200"/>
        <w:rPr>
          <w:rFonts w:eastAsiaTheme="minorHAnsi"/>
          <w:szCs w:val="21"/>
        </w:rPr>
      </w:pPr>
      <w:r>
        <w:rPr>
          <w:rFonts w:hint="eastAsia" w:eastAsiaTheme="minorHAnsi"/>
          <w:szCs w:val="21"/>
        </w:rPr>
        <w:t>投标产品须为全新的原装正品，相关的配套附件质量优良，数量齐全。如设备运行需使用专用的操作系统，应当包含在投标产品和报价中。</w:t>
      </w:r>
    </w:p>
    <w:p w14:paraId="7605A101">
      <w:pPr>
        <w:numPr>
          <w:ilvl w:val="0"/>
          <w:numId w:val="6"/>
        </w:numPr>
        <w:spacing w:line="360" w:lineRule="auto"/>
        <w:ind w:left="0" w:firstLine="420" w:firstLineChars="200"/>
        <w:rPr>
          <w:rFonts w:eastAsiaTheme="minorHAnsi"/>
          <w:szCs w:val="21"/>
        </w:rPr>
      </w:pPr>
      <w:r>
        <w:rPr>
          <w:rFonts w:hint="eastAsia" w:eastAsiaTheme="minorHAnsi"/>
          <w:szCs w:val="21"/>
        </w:rPr>
        <w:t>投标总价包含包装、运输、安装集成等全部伴随服务费用。设备到达用户指定交货地点后，根据用户的时间安排，设备制造商和中标人承诺在接到用户通知后</w:t>
      </w:r>
      <w:r>
        <w:rPr>
          <w:rFonts w:eastAsiaTheme="minorHAnsi"/>
          <w:szCs w:val="21"/>
        </w:rPr>
        <w:t>3个工作日内进行安装调试，直至通过验收。</w:t>
      </w:r>
    </w:p>
    <w:p w14:paraId="5D2CA689">
      <w:pPr>
        <w:pStyle w:val="3"/>
        <w:spacing w:line="360" w:lineRule="auto"/>
        <w:rPr>
          <w:rFonts w:asciiTheme="minorHAnsi" w:hAnsiTheme="minorHAnsi" w:eastAsiaTheme="minorHAnsi"/>
          <w:sz w:val="28"/>
        </w:rPr>
      </w:pPr>
      <w:bookmarkStart w:id="10" w:name="_Toc155285230"/>
      <w:bookmarkStart w:id="11" w:name="_Toc155257269"/>
      <w:bookmarkStart w:id="12" w:name="_Toc277855550"/>
      <w:bookmarkStart w:id="13" w:name="_Toc409797406"/>
      <w:bookmarkStart w:id="14" w:name="_Toc5074"/>
      <w:bookmarkStart w:id="15" w:name="_Toc166754173"/>
      <w:bookmarkStart w:id="16" w:name="_Toc278974835"/>
      <w:bookmarkStart w:id="17" w:name="_Toc454437021"/>
      <w:bookmarkStart w:id="18" w:name="_Toc277954612"/>
      <w:bookmarkStart w:id="19" w:name="_Toc415267977"/>
      <w:bookmarkStart w:id="20" w:name="_Toc445341138"/>
      <w:r>
        <w:rPr>
          <w:rFonts w:hint="eastAsia" w:asciiTheme="minorHAnsi" w:hAnsiTheme="minorHAnsi" w:eastAsiaTheme="minorHAnsi"/>
          <w:sz w:val="28"/>
        </w:rPr>
        <w:t>3.设备管理要求</w:t>
      </w:r>
      <w:bookmarkEnd w:id="10"/>
      <w:bookmarkEnd w:id="11"/>
      <w:bookmarkEnd w:id="12"/>
      <w:bookmarkEnd w:id="13"/>
      <w:bookmarkEnd w:id="14"/>
      <w:bookmarkEnd w:id="15"/>
      <w:bookmarkEnd w:id="16"/>
      <w:bookmarkEnd w:id="17"/>
      <w:bookmarkEnd w:id="18"/>
      <w:bookmarkEnd w:id="19"/>
      <w:bookmarkEnd w:id="20"/>
    </w:p>
    <w:p w14:paraId="3BC9A77D">
      <w:pPr>
        <w:numPr>
          <w:ilvl w:val="0"/>
          <w:numId w:val="7"/>
        </w:numPr>
        <w:spacing w:line="360" w:lineRule="auto"/>
        <w:ind w:left="0" w:firstLine="420" w:firstLineChars="200"/>
        <w:rPr>
          <w:rFonts w:eastAsiaTheme="minorHAnsi"/>
          <w:szCs w:val="21"/>
        </w:rPr>
      </w:pPr>
      <w:r>
        <w:rPr>
          <w:rFonts w:hint="eastAsia" w:eastAsiaTheme="minorHAnsi"/>
          <w:szCs w:val="21"/>
        </w:rPr>
        <w:t>项目管理首先要建立管理的原则、组织、协调机制和实施办法。投标方需提供实施本项目的完整的项目管理方案，并在项目建设过程中严格执行。</w:t>
      </w:r>
    </w:p>
    <w:p w14:paraId="644FD531">
      <w:pPr>
        <w:numPr>
          <w:ilvl w:val="0"/>
          <w:numId w:val="7"/>
        </w:numPr>
        <w:spacing w:line="360" w:lineRule="auto"/>
        <w:ind w:left="0" w:firstLine="420" w:firstLineChars="200"/>
        <w:rPr>
          <w:rFonts w:eastAsiaTheme="minorHAnsi"/>
          <w:szCs w:val="21"/>
        </w:rPr>
      </w:pPr>
      <w:r>
        <w:rPr>
          <w:rFonts w:hint="eastAsia" w:eastAsiaTheme="minorHAnsi"/>
          <w:szCs w:val="21"/>
        </w:rPr>
        <w:t>需高度重视对过程的管理控制，高度重视对各类文档的管理，需建立中间环节和文档的内部测试审核制度。</w:t>
      </w:r>
    </w:p>
    <w:p w14:paraId="6B1B9E91">
      <w:pPr>
        <w:numPr>
          <w:ilvl w:val="0"/>
          <w:numId w:val="7"/>
        </w:numPr>
        <w:spacing w:line="360" w:lineRule="auto"/>
        <w:ind w:left="0" w:firstLine="420" w:firstLineChars="200"/>
        <w:rPr>
          <w:rFonts w:eastAsiaTheme="minorHAnsi"/>
          <w:szCs w:val="21"/>
        </w:rPr>
      </w:pPr>
      <w:r>
        <w:rPr>
          <w:rFonts w:hint="eastAsia" w:eastAsiaTheme="minorHAnsi"/>
          <w:szCs w:val="21"/>
        </w:rPr>
        <w:t>设备制造商和中标人需对用户技术人员（至少</w:t>
      </w:r>
      <w:r>
        <w:rPr>
          <w:rFonts w:eastAsiaTheme="minorHAnsi"/>
          <w:szCs w:val="21"/>
        </w:rPr>
        <w:t>2人）进行免费培训，培训讲师为设备原厂商专业技术人员</w:t>
      </w:r>
      <w:r>
        <w:rPr>
          <w:rFonts w:hint="eastAsia" w:eastAsiaTheme="minorHAnsi"/>
          <w:szCs w:val="21"/>
        </w:rPr>
        <w:t>优先</w:t>
      </w:r>
      <w:r>
        <w:rPr>
          <w:rFonts w:eastAsiaTheme="minorHAnsi"/>
          <w:szCs w:val="21"/>
        </w:rPr>
        <w:t>。培训不少于1</w:t>
      </w:r>
      <w:r>
        <w:rPr>
          <w:rFonts w:hint="eastAsia" w:eastAsiaTheme="minorHAnsi"/>
          <w:szCs w:val="21"/>
        </w:rPr>
        <w:t>次</w:t>
      </w:r>
      <w:r>
        <w:rPr>
          <w:rFonts w:eastAsiaTheme="minorHAnsi"/>
          <w:szCs w:val="21"/>
        </w:rPr>
        <w:t>。</w:t>
      </w:r>
    </w:p>
    <w:p w14:paraId="5A4EC785">
      <w:pPr>
        <w:numPr>
          <w:ilvl w:val="0"/>
          <w:numId w:val="7"/>
        </w:numPr>
        <w:spacing w:line="360" w:lineRule="auto"/>
        <w:ind w:left="0" w:firstLine="420" w:firstLineChars="200"/>
        <w:rPr>
          <w:rFonts w:eastAsiaTheme="minorHAnsi"/>
          <w:szCs w:val="21"/>
        </w:rPr>
      </w:pPr>
      <w:r>
        <w:rPr>
          <w:rFonts w:hint="eastAsia" w:eastAsiaTheme="minorHAnsi"/>
          <w:szCs w:val="21"/>
        </w:rPr>
        <w:t>本项目需提供项目经理</w:t>
      </w:r>
      <w:r>
        <w:rPr>
          <w:rFonts w:hint="eastAsia" w:eastAsiaTheme="minorHAnsi"/>
          <w:szCs w:val="21"/>
          <w:lang w:eastAsia="zh-CN"/>
        </w:rPr>
        <w:t>和工程师</w:t>
      </w:r>
      <w:r>
        <w:rPr>
          <w:rFonts w:hint="eastAsia" w:eastAsiaTheme="minorHAnsi"/>
          <w:szCs w:val="21"/>
        </w:rPr>
        <w:t>负责项目对接</w:t>
      </w:r>
      <w:r>
        <w:rPr>
          <w:rFonts w:hint="eastAsia" w:eastAsiaTheme="minorHAnsi"/>
          <w:szCs w:val="21"/>
          <w:lang w:eastAsia="zh-CN"/>
        </w:rPr>
        <w:t>和部署</w:t>
      </w:r>
      <w:r>
        <w:rPr>
          <w:rFonts w:hint="eastAsia" w:eastAsiaTheme="minorHAnsi"/>
          <w:szCs w:val="21"/>
        </w:rPr>
        <w:t>。项目经理具有信息系统项目管理师（高级）证书，</w:t>
      </w:r>
      <w:r>
        <w:rPr>
          <w:rFonts w:hint="eastAsia" w:eastAsiaTheme="minorHAnsi"/>
          <w:szCs w:val="21"/>
          <w:lang w:eastAsia="zh-CN"/>
        </w:rPr>
        <w:t>工程师</w:t>
      </w:r>
      <w:r>
        <w:rPr>
          <w:rFonts w:hint="eastAsia" w:eastAsiaTheme="minorHAnsi"/>
          <w:szCs w:val="21"/>
        </w:rPr>
        <w:t>具有两年以上HPC或AI领域从业经验优先考虑。</w:t>
      </w:r>
    </w:p>
    <w:p w14:paraId="0CAF99A4">
      <w:pPr>
        <w:pStyle w:val="3"/>
        <w:spacing w:line="360" w:lineRule="auto"/>
        <w:rPr>
          <w:rFonts w:asciiTheme="minorHAnsi" w:hAnsiTheme="minorHAnsi" w:eastAsiaTheme="minorHAnsi"/>
          <w:sz w:val="28"/>
        </w:rPr>
      </w:pPr>
      <w:bookmarkStart w:id="21" w:name="_Toc10265"/>
      <w:bookmarkStart w:id="22" w:name="_Toc166754174"/>
      <w:r>
        <w:rPr>
          <w:rFonts w:hint="eastAsia" w:asciiTheme="minorHAnsi" w:hAnsiTheme="minorHAnsi" w:eastAsiaTheme="minorHAnsi"/>
          <w:sz w:val="28"/>
        </w:rPr>
        <w:t>4.设备实施要求</w:t>
      </w:r>
      <w:bookmarkEnd w:id="21"/>
      <w:bookmarkEnd w:id="22"/>
    </w:p>
    <w:p w14:paraId="73A13465">
      <w:pPr>
        <w:pStyle w:val="16"/>
        <w:spacing w:line="360" w:lineRule="auto"/>
        <w:rPr>
          <w:rFonts w:eastAsiaTheme="minorHAnsi"/>
          <w:szCs w:val="21"/>
        </w:rPr>
      </w:pPr>
      <w:r>
        <w:rPr>
          <w:rFonts w:hint="eastAsia" w:eastAsiaTheme="minorHAnsi"/>
          <w:szCs w:val="21"/>
        </w:rPr>
        <w:t>1）本项目要求采用交钥匙的工作方式，包括系统深化设计、设备材料送货、安装、接线、调试、开通、培训和售后服务等。</w:t>
      </w:r>
    </w:p>
    <w:p w14:paraId="215879F5">
      <w:pPr>
        <w:pStyle w:val="16"/>
        <w:spacing w:line="360" w:lineRule="auto"/>
        <w:rPr>
          <w:rFonts w:eastAsiaTheme="minorHAnsi"/>
          <w:szCs w:val="21"/>
        </w:rPr>
      </w:pPr>
      <w:r>
        <w:rPr>
          <w:rFonts w:eastAsiaTheme="minorHAnsi"/>
          <w:szCs w:val="21"/>
        </w:rPr>
        <w:t>2</w:t>
      </w:r>
      <w:r>
        <w:rPr>
          <w:rFonts w:hint="eastAsia" w:eastAsiaTheme="minorHAnsi"/>
          <w:szCs w:val="21"/>
        </w:rPr>
        <w:t>）投标人须提供合理、完善的项目组织管理和实施方案，确保集成工作统筹有序。其中需要包括但不限于项目实施、质量管理、人员和组织管理、项目验收、应急处理预案、培训方案等。</w:t>
      </w:r>
    </w:p>
    <w:p w14:paraId="0E10BCAA">
      <w:pPr>
        <w:pStyle w:val="16"/>
        <w:spacing w:line="360" w:lineRule="auto"/>
        <w:rPr>
          <w:rFonts w:eastAsiaTheme="minorHAnsi"/>
          <w:szCs w:val="21"/>
        </w:rPr>
      </w:pPr>
      <w:r>
        <w:rPr>
          <w:rFonts w:hint="eastAsia" w:eastAsiaTheme="minorHAnsi"/>
          <w:szCs w:val="21"/>
        </w:rPr>
        <w:t>3）投标人所提供的设备需完全满足本项目建设要求。除特定外接设备外，所有需要的接口设备、缆线、软件、控制器、服务器</w:t>
      </w:r>
      <w:r>
        <w:rPr>
          <w:rFonts w:eastAsiaTheme="minorHAnsi"/>
          <w:szCs w:val="21"/>
        </w:rPr>
        <w:t>I/O槽等需配齐，以构成实用系统。</w:t>
      </w:r>
    </w:p>
    <w:p w14:paraId="3AA75D5D">
      <w:pPr>
        <w:pStyle w:val="16"/>
        <w:spacing w:line="360" w:lineRule="auto"/>
        <w:rPr>
          <w:rFonts w:eastAsiaTheme="minorHAnsi"/>
          <w:szCs w:val="21"/>
        </w:rPr>
      </w:pPr>
      <w:r>
        <w:rPr>
          <w:rFonts w:hint="eastAsia" w:eastAsiaTheme="minorHAnsi"/>
          <w:szCs w:val="21"/>
        </w:rPr>
        <w:t>4）</w:t>
      </w:r>
      <w:r>
        <w:rPr>
          <w:rFonts w:eastAsiaTheme="minorHAnsi"/>
          <w:szCs w:val="21"/>
        </w:rPr>
        <w:t>特殊工具</w:t>
      </w:r>
      <w:r>
        <w:rPr>
          <w:rFonts w:hint="eastAsia" w:eastAsiaTheme="minorHAnsi"/>
          <w:szCs w:val="21"/>
        </w:rPr>
        <w:t>：中标人需提供用于系统安装与配置的介质（光盘、磁盘等）。如果需提供特殊工具来维护硬件和软件，投标人需列出特殊工具的清单、价格、名称和数量，但不包括在总价格中。</w:t>
      </w:r>
    </w:p>
    <w:p w14:paraId="3EA9F2B5">
      <w:pPr>
        <w:pStyle w:val="3"/>
        <w:spacing w:line="360" w:lineRule="auto"/>
        <w:rPr>
          <w:rFonts w:asciiTheme="minorHAnsi" w:hAnsiTheme="minorHAnsi" w:eastAsiaTheme="minorHAnsi"/>
          <w:sz w:val="28"/>
        </w:rPr>
      </w:pPr>
      <w:bookmarkStart w:id="23" w:name="_Toc21305"/>
      <w:bookmarkStart w:id="24" w:name="_Toc166754175"/>
      <w:r>
        <w:rPr>
          <w:rFonts w:hint="eastAsia" w:asciiTheme="minorHAnsi" w:hAnsiTheme="minorHAnsi" w:eastAsiaTheme="minorHAnsi"/>
          <w:sz w:val="28"/>
        </w:rPr>
        <w:t>5.设备培训要求</w:t>
      </w:r>
      <w:bookmarkEnd w:id="23"/>
      <w:bookmarkEnd w:id="24"/>
    </w:p>
    <w:p w14:paraId="53F53ADA">
      <w:pPr>
        <w:numPr>
          <w:ilvl w:val="0"/>
          <w:numId w:val="8"/>
        </w:numPr>
        <w:spacing w:line="360" w:lineRule="auto"/>
        <w:ind w:left="0" w:firstLine="420" w:firstLineChars="200"/>
        <w:rPr>
          <w:rFonts w:eastAsiaTheme="minorHAnsi"/>
          <w:szCs w:val="21"/>
        </w:rPr>
      </w:pPr>
      <w:r>
        <w:rPr>
          <w:rFonts w:eastAsiaTheme="minorHAnsi"/>
          <w:szCs w:val="21"/>
        </w:rPr>
        <w:t>制定详细的培训计划，并提供相关的各类培训，包括技术培训和操作培训。</w:t>
      </w:r>
    </w:p>
    <w:p w14:paraId="456F8DC2">
      <w:pPr>
        <w:numPr>
          <w:ilvl w:val="0"/>
          <w:numId w:val="8"/>
        </w:numPr>
        <w:spacing w:line="360" w:lineRule="auto"/>
        <w:ind w:left="0" w:firstLine="420" w:firstLineChars="200"/>
        <w:rPr>
          <w:rFonts w:eastAsiaTheme="minorHAnsi"/>
          <w:szCs w:val="21"/>
        </w:rPr>
      </w:pPr>
      <w:r>
        <w:rPr>
          <w:rFonts w:eastAsiaTheme="minorHAnsi"/>
          <w:szCs w:val="21"/>
        </w:rPr>
        <w:t>投标方需根据本项目的需求，分别列出系统正常运行、管理和使用所需要的培训，包括但不限于：</w:t>
      </w:r>
    </w:p>
    <w:p w14:paraId="2BAAA3E1">
      <w:pPr>
        <w:numPr>
          <w:ilvl w:val="0"/>
          <w:numId w:val="9"/>
        </w:numPr>
        <w:spacing w:line="360" w:lineRule="auto"/>
        <w:ind w:left="0" w:firstLine="420" w:firstLineChars="200"/>
        <w:rPr>
          <w:rFonts w:eastAsiaTheme="minorHAnsi"/>
          <w:szCs w:val="21"/>
        </w:rPr>
      </w:pPr>
      <w:r>
        <w:rPr>
          <w:rFonts w:eastAsiaTheme="minorHAnsi"/>
          <w:szCs w:val="21"/>
        </w:rPr>
        <w:t>培训人数、人次；</w:t>
      </w:r>
    </w:p>
    <w:p w14:paraId="1948C0E4">
      <w:pPr>
        <w:numPr>
          <w:ilvl w:val="0"/>
          <w:numId w:val="9"/>
        </w:numPr>
        <w:spacing w:line="360" w:lineRule="auto"/>
        <w:ind w:left="0" w:firstLine="420" w:firstLineChars="200"/>
        <w:rPr>
          <w:rFonts w:eastAsiaTheme="minorHAnsi"/>
          <w:szCs w:val="21"/>
        </w:rPr>
      </w:pPr>
      <w:r>
        <w:rPr>
          <w:rFonts w:eastAsiaTheme="minorHAnsi"/>
          <w:szCs w:val="21"/>
        </w:rPr>
        <w:t>培训的详细课程；</w:t>
      </w:r>
    </w:p>
    <w:p w14:paraId="58998169">
      <w:pPr>
        <w:numPr>
          <w:ilvl w:val="0"/>
          <w:numId w:val="9"/>
        </w:numPr>
        <w:spacing w:line="360" w:lineRule="auto"/>
        <w:ind w:left="0" w:firstLine="420" w:firstLineChars="200"/>
        <w:rPr>
          <w:rFonts w:eastAsiaTheme="minorHAnsi"/>
          <w:szCs w:val="21"/>
        </w:rPr>
      </w:pPr>
      <w:r>
        <w:rPr>
          <w:rFonts w:eastAsiaTheme="minorHAnsi"/>
          <w:szCs w:val="21"/>
        </w:rPr>
        <w:t>培训方式；</w:t>
      </w:r>
    </w:p>
    <w:p w14:paraId="6FB747BB">
      <w:pPr>
        <w:numPr>
          <w:ilvl w:val="0"/>
          <w:numId w:val="9"/>
        </w:numPr>
        <w:spacing w:line="360" w:lineRule="auto"/>
        <w:ind w:left="0" w:firstLine="420" w:firstLineChars="200"/>
        <w:rPr>
          <w:rFonts w:eastAsiaTheme="minorHAnsi"/>
          <w:szCs w:val="21"/>
        </w:rPr>
      </w:pPr>
      <w:r>
        <w:rPr>
          <w:rFonts w:eastAsiaTheme="minorHAnsi"/>
          <w:szCs w:val="21"/>
        </w:rPr>
        <w:t>培训场地安排；</w:t>
      </w:r>
    </w:p>
    <w:p w14:paraId="6A7E88AD">
      <w:pPr>
        <w:numPr>
          <w:ilvl w:val="0"/>
          <w:numId w:val="9"/>
        </w:numPr>
        <w:spacing w:line="360" w:lineRule="auto"/>
        <w:ind w:left="0" w:firstLine="420" w:firstLineChars="200"/>
        <w:rPr>
          <w:rFonts w:eastAsiaTheme="minorHAnsi"/>
          <w:szCs w:val="21"/>
        </w:rPr>
      </w:pPr>
      <w:r>
        <w:rPr>
          <w:rFonts w:eastAsiaTheme="minorHAnsi"/>
          <w:szCs w:val="21"/>
        </w:rPr>
        <w:t>培训教材安排；</w:t>
      </w:r>
    </w:p>
    <w:p w14:paraId="24833A47">
      <w:pPr>
        <w:numPr>
          <w:ilvl w:val="0"/>
          <w:numId w:val="9"/>
        </w:numPr>
        <w:spacing w:line="360" w:lineRule="auto"/>
        <w:ind w:left="0" w:firstLine="420" w:firstLineChars="200"/>
        <w:rPr>
          <w:rFonts w:eastAsiaTheme="minorHAnsi"/>
          <w:szCs w:val="21"/>
        </w:rPr>
      </w:pPr>
      <w:r>
        <w:rPr>
          <w:rFonts w:eastAsiaTheme="minorHAnsi"/>
          <w:szCs w:val="21"/>
        </w:rPr>
        <w:t>培训时间安排；</w:t>
      </w:r>
    </w:p>
    <w:p w14:paraId="77692DB0">
      <w:pPr>
        <w:pStyle w:val="3"/>
        <w:spacing w:line="360" w:lineRule="auto"/>
        <w:rPr>
          <w:rFonts w:asciiTheme="minorHAnsi" w:hAnsiTheme="minorHAnsi" w:eastAsiaTheme="minorHAnsi"/>
          <w:sz w:val="28"/>
        </w:rPr>
      </w:pPr>
      <w:bookmarkStart w:id="25" w:name="_Toc166754176"/>
      <w:bookmarkStart w:id="26" w:name="_Toc291"/>
      <w:r>
        <w:rPr>
          <w:rFonts w:hint="eastAsia" w:asciiTheme="minorHAnsi" w:hAnsiTheme="minorHAnsi" w:eastAsiaTheme="minorHAnsi"/>
          <w:sz w:val="28"/>
        </w:rPr>
        <w:t>6.验收标准</w:t>
      </w:r>
      <w:bookmarkEnd w:id="25"/>
      <w:bookmarkEnd w:id="26"/>
    </w:p>
    <w:p w14:paraId="32592288">
      <w:pPr>
        <w:pStyle w:val="16"/>
        <w:numPr>
          <w:ilvl w:val="0"/>
          <w:numId w:val="10"/>
        </w:numPr>
        <w:adjustRightInd w:val="0"/>
        <w:snapToGrid w:val="0"/>
        <w:spacing w:line="360" w:lineRule="auto"/>
        <w:ind w:left="0" w:firstLine="420"/>
        <w:jc w:val="left"/>
        <w:rPr>
          <w:rFonts w:eastAsiaTheme="minorHAnsi"/>
          <w:color w:val="000000" w:themeColor="text1"/>
          <w:szCs w:val="21"/>
          <w14:textFill>
            <w14:solidFill>
              <w14:schemeClr w14:val="tx1"/>
            </w14:solidFill>
          </w14:textFill>
        </w:rPr>
      </w:pPr>
      <w:r>
        <w:rPr>
          <w:rFonts w:hint="eastAsia" w:eastAsiaTheme="minorHAnsi"/>
          <w:color w:val="000000" w:themeColor="text1"/>
          <w:szCs w:val="21"/>
          <w14:textFill>
            <w14:solidFill>
              <w14:schemeClr w14:val="tx1"/>
            </w14:solidFill>
          </w14:textFill>
        </w:rPr>
        <w:t>中标人完成本项目应达到的质量标准应符合国家、地方及相关政府管理部门和行业与本项目有关的各项技术标准、规范要求，并满足采购人实际需求。标准、规范等不一致的，以要求高（严格）的为准。</w:t>
      </w:r>
    </w:p>
    <w:p w14:paraId="619D9A7D">
      <w:pPr>
        <w:pStyle w:val="16"/>
        <w:numPr>
          <w:ilvl w:val="0"/>
          <w:numId w:val="10"/>
        </w:numPr>
        <w:adjustRightInd w:val="0"/>
        <w:snapToGrid w:val="0"/>
        <w:spacing w:line="360" w:lineRule="auto"/>
        <w:ind w:left="0" w:firstLine="420"/>
        <w:jc w:val="left"/>
        <w:rPr>
          <w:rFonts w:eastAsiaTheme="minorHAnsi"/>
          <w:color w:val="000000" w:themeColor="text1"/>
          <w:szCs w:val="21"/>
          <w14:textFill>
            <w14:solidFill>
              <w14:schemeClr w14:val="tx1"/>
            </w14:solidFill>
          </w14:textFill>
        </w:rPr>
      </w:pPr>
      <w:r>
        <w:rPr>
          <w:rFonts w:hint="eastAsia" w:eastAsiaTheme="minorHAnsi"/>
          <w:color w:val="000000" w:themeColor="text1"/>
          <w:szCs w:val="21"/>
          <w14:textFill>
            <w14:solidFill>
              <w14:schemeClr w14:val="tx1"/>
            </w14:solidFill>
          </w14:textFill>
        </w:rPr>
        <w:t>本项目验收将由采购人组织进行或委托第三方进行。</w:t>
      </w:r>
    </w:p>
    <w:p w14:paraId="604B83CE">
      <w:pPr>
        <w:pStyle w:val="16"/>
        <w:numPr>
          <w:ilvl w:val="0"/>
          <w:numId w:val="10"/>
        </w:numPr>
        <w:adjustRightInd w:val="0"/>
        <w:snapToGrid w:val="0"/>
        <w:spacing w:line="360" w:lineRule="auto"/>
        <w:ind w:left="0" w:firstLine="420"/>
        <w:jc w:val="left"/>
        <w:rPr>
          <w:rFonts w:eastAsiaTheme="minorHAnsi"/>
          <w:color w:val="000000" w:themeColor="text1"/>
          <w:szCs w:val="21"/>
          <w14:textFill>
            <w14:solidFill>
              <w14:schemeClr w14:val="tx1"/>
            </w14:solidFill>
          </w14:textFill>
        </w:rPr>
      </w:pPr>
      <w:r>
        <w:rPr>
          <w:rFonts w:hint="eastAsia" w:eastAsiaTheme="minorHAnsi"/>
          <w:color w:val="000000" w:themeColor="text1"/>
          <w:szCs w:val="21"/>
          <w14:textFill>
            <w14:solidFill>
              <w14:schemeClr w14:val="tx1"/>
            </w14:solidFill>
          </w14:textFill>
        </w:rPr>
        <w:t>货物送达后，由采购人组织对货物的规格、数量、技术参数进行验收，验收通过后出具书面证明。如发现货物与合同规定不符的，采购人应当通知中标人提出退货或换货的要求，中标人应在接到采购人通知后的3个工作日内予以退还，费用由中标人承担。</w:t>
      </w:r>
    </w:p>
    <w:p w14:paraId="5369428E">
      <w:pPr>
        <w:pStyle w:val="16"/>
        <w:numPr>
          <w:ilvl w:val="0"/>
          <w:numId w:val="10"/>
        </w:numPr>
        <w:adjustRightInd w:val="0"/>
        <w:snapToGrid w:val="0"/>
        <w:spacing w:line="360" w:lineRule="auto"/>
        <w:ind w:left="0" w:firstLine="420"/>
        <w:jc w:val="left"/>
        <w:rPr>
          <w:rFonts w:eastAsiaTheme="minorHAnsi"/>
          <w:color w:val="000000" w:themeColor="text1"/>
          <w:szCs w:val="21"/>
          <w14:textFill>
            <w14:solidFill>
              <w14:schemeClr w14:val="tx1"/>
            </w14:solidFill>
          </w14:textFill>
        </w:rPr>
      </w:pPr>
      <w:r>
        <w:rPr>
          <w:rFonts w:hint="eastAsia" w:eastAsiaTheme="minorHAnsi"/>
          <w:color w:val="000000" w:themeColor="text1"/>
          <w:szCs w:val="21"/>
          <w14:textFill>
            <w14:solidFill>
              <w14:schemeClr w14:val="tx1"/>
            </w14:solidFill>
          </w14:textFill>
        </w:rPr>
        <w:t>本项目连续2次验收未获通过，采购人有权解除合同并按照合同约定的违约条款处理。</w:t>
      </w:r>
    </w:p>
    <w:p w14:paraId="187B44C3">
      <w:pPr>
        <w:pStyle w:val="16"/>
        <w:numPr>
          <w:ilvl w:val="0"/>
          <w:numId w:val="10"/>
        </w:numPr>
        <w:adjustRightInd w:val="0"/>
        <w:snapToGrid w:val="0"/>
        <w:spacing w:line="360" w:lineRule="auto"/>
        <w:ind w:left="0" w:firstLine="420"/>
        <w:jc w:val="left"/>
        <w:rPr>
          <w:rFonts w:eastAsiaTheme="minorHAnsi"/>
          <w:color w:val="000000" w:themeColor="text1"/>
          <w:szCs w:val="21"/>
          <w14:textFill>
            <w14:solidFill>
              <w14:schemeClr w14:val="tx1"/>
            </w14:solidFill>
          </w14:textFill>
        </w:rPr>
      </w:pPr>
      <w:r>
        <w:rPr>
          <w:rFonts w:hint="eastAsia" w:eastAsiaTheme="minorHAnsi"/>
          <w:color w:val="000000" w:themeColor="text1"/>
          <w:szCs w:val="21"/>
          <w14:textFill>
            <w14:solidFill>
              <w14:schemeClr w14:val="tx1"/>
            </w14:solidFill>
          </w14:textFill>
        </w:rPr>
        <w:t>验收要求</w:t>
      </w:r>
    </w:p>
    <w:p w14:paraId="4E237EBB">
      <w:pPr>
        <w:pStyle w:val="16"/>
        <w:numPr>
          <w:ilvl w:val="0"/>
          <w:numId w:val="9"/>
        </w:numPr>
        <w:adjustRightInd w:val="0"/>
        <w:snapToGrid w:val="0"/>
        <w:spacing w:line="360" w:lineRule="auto"/>
        <w:ind w:left="0" w:firstLine="420"/>
        <w:jc w:val="left"/>
        <w:rPr>
          <w:rFonts w:eastAsiaTheme="minorHAnsi"/>
          <w:color w:val="000000" w:themeColor="text1"/>
          <w:szCs w:val="21"/>
          <w14:textFill>
            <w14:solidFill>
              <w14:schemeClr w14:val="tx1"/>
            </w14:solidFill>
          </w14:textFill>
        </w:rPr>
      </w:pPr>
      <w:r>
        <w:rPr>
          <w:rFonts w:hint="eastAsia" w:eastAsiaTheme="minorHAnsi"/>
          <w:color w:val="000000" w:themeColor="text1"/>
          <w:szCs w:val="21"/>
          <w14:textFill>
            <w14:solidFill>
              <w14:schemeClr w14:val="tx1"/>
            </w14:solidFill>
          </w14:textFill>
        </w:rPr>
        <w:t>设备到货后，采购人与中标人共同配合有关部门对所有设备进行开箱检查，出现损坏、数量不全或产品不对等问题时，由中标人负责解决。</w:t>
      </w:r>
    </w:p>
    <w:p w14:paraId="3BDC96DB">
      <w:pPr>
        <w:pStyle w:val="16"/>
        <w:numPr>
          <w:ilvl w:val="0"/>
          <w:numId w:val="9"/>
        </w:numPr>
        <w:adjustRightInd w:val="0"/>
        <w:snapToGrid w:val="0"/>
        <w:spacing w:line="360" w:lineRule="auto"/>
        <w:ind w:left="0" w:firstLine="420"/>
        <w:jc w:val="left"/>
        <w:rPr>
          <w:rFonts w:eastAsiaTheme="minorHAnsi"/>
          <w:color w:val="000000" w:themeColor="text1"/>
          <w:szCs w:val="21"/>
          <w14:textFill>
            <w14:solidFill>
              <w14:schemeClr w14:val="tx1"/>
            </w14:solidFill>
          </w14:textFill>
        </w:rPr>
      </w:pPr>
      <w:r>
        <w:rPr>
          <w:rFonts w:hint="eastAsia" w:eastAsiaTheme="minorHAnsi"/>
          <w:color w:val="000000" w:themeColor="text1"/>
          <w:szCs w:val="21"/>
          <w14:textFill>
            <w14:solidFill>
              <w14:schemeClr w14:val="tx1"/>
            </w14:solidFill>
          </w14:textFill>
        </w:rPr>
        <w:t>根据标书要求对本次所有采购设备的型号、规格、数量、外形、外观、包装及资料、文件（如装箱单、保修单、随箱介质等）进行验收。</w:t>
      </w:r>
    </w:p>
    <w:p w14:paraId="635C80CE">
      <w:pPr>
        <w:pStyle w:val="16"/>
        <w:numPr>
          <w:ilvl w:val="0"/>
          <w:numId w:val="9"/>
        </w:numPr>
        <w:adjustRightInd w:val="0"/>
        <w:snapToGrid w:val="0"/>
        <w:spacing w:line="360" w:lineRule="auto"/>
        <w:ind w:left="0" w:firstLine="420"/>
        <w:jc w:val="left"/>
        <w:rPr>
          <w:rFonts w:eastAsiaTheme="minorHAnsi"/>
          <w:color w:val="000000" w:themeColor="text1"/>
          <w:szCs w:val="21"/>
          <w14:textFill>
            <w14:solidFill>
              <w14:schemeClr w14:val="tx1"/>
            </w14:solidFill>
          </w14:textFill>
        </w:rPr>
      </w:pPr>
      <w:r>
        <w:rPr>
          <w:rFonts w:hint="eastAsia" w:eastAsiaTheme="minorHAnsi"/>
          <w:color w:val="000000" w:themeColor="text1"/>
          <w:szCs w:val="21"/>
          <w14:textFill>
            <w14:solidFill>
              <w14:schemeClr w14:val="tx1"/>
            </w14:solidFill>
          </w14:textFill>
        </w:rPr>
        <w:t>设备安装、系统集成调试完成后，由中标人制定测试方案，经用户确认后，对产品的性能和配置进行测试，并形成测试报告。所有测试费用均应包含在投标总价中。</w:t>
      </w:r>
    </w:p>
    <w:p w14:paraId="3F774507">
      <w:pPr>
        <w:pStyle w:val="16"/>
        <w:numPr>
          <w:ilvl w:val="0"/>
          <w:numId w:val="9"/>
        </w:numPr>
        <w:adjustRightInd w:val="0"/>
        <w:snapToGrid w:val="0"/>
        <w:spacing w:line="360" w:lineRule="auto"/>
        <w:ind w:left="0" w:firstLine="420"/>
        <w:jc w:val="left"/>
        <w:rPr>
          <w:rFonts w:eastAsiaTheme="minorHAnsi"/>
          <w:color w:val="000000" w:themeColor="text1"/>
          <w:szCs w:val="21"/>
          <w14:textFill>
            <w14:solidFill>
              <w14:schemeClr w14:val="tx1"/>
            </w14:solidFill>
          </w14:textFill>
        </w:rPr>
      </w:pPr>
      <w:r>
        <w:rPr>
          <w:rFonts w:hint="eastAsia" w:eastAsiaTheme="minorHAnsi"/>
          <w:color w:val="000000" w:themeColor="text1"/>
          <w:szCs w:val="21"/>
          <w14:textFill>
            <w14:solidFill>
              <w14:schemeClr w14:val="tx1"/>
            </w14:solidFill>
          </w14:textFill>
        </w:rPr>
        <w:t>测试过程中，若设备产品性能指标或功能不符合标书要求，可经协商再次测试；若经过三次测试仍达不到标书要求的性能和功能指标，用户有权退货；由此产生的一切费用由中标人承担。</w:t>
      </w:r>
    </w:p>
    <w:p w14:paraId="61152BC8">
      <w:pPr>
        <w:pStyle w:val="16"/>
        <w:numPr>
          <w:ilvl w:val="0"/>
          <w:numId w:val="9"/>
        </w:numPr>
        <w:adjustRightInd w:val="0"/>
        <w:snapToGrid w:val="0"/>
        <w:spacing w:line="360" w:lineRule="auto"/>
        <w:ind w:left="0" w:firstLine="420"/>
        <w:jc w:val="left"/>
        <w:rPr>
          <w:rFonts w:eastAsiaTheme="minorHAnsi"/>
          <w:color w:val="000000" w:themeColor="text1"/>
          <w:szCs w:val="21"/>
          <w14:textFill>
            <w14:solidFill>
              <w14:schemeClr w14:val="tx1"/>
            </w14:solidFill>
          </w14:textFill>
        </w:rPr>
      </w:pPr>
      <w:r>
        <w:rPr>
          <w:rFonts w:hint="eastAsia" w:eastAsiaTheme="minorHAnsi"/>
          <w:color w:val="000000" w:themeColor="text1"/>
          <w:szCs w:val="21"/>
          <w14:textFill>
            <w14:solidFill>
              <w14:schemeClr w14:val="tx1"/>
            </w14:solidFill>
          </w14:textFill>
        </w:rPr>
        <w:t>性能测试</w:t>
      </w:r>
    </w:p>
    <w:tbl>
      <w:tblPr>
        <w:tblStyle w:val="12"/>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3"/>
        <w:gridCol w:w="2187"/>
        <w:gridCol w:w="2858"/>
        <w:gridCol w:w="3798"/>
      </w:tblGrid>
      <w:tr w14:paraId="0AE92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9" w:type="pct"/>
          </w:tcPr>
          <w:p w14:paraId="0945BF92">
            <w:pPr>
              <w:jc w:val="center"/>
            </w:pPr>
            <w:r>
              <w:rPr>
                <w:rFonts w:hint="eastAsia"/>
              </w:rPr>
              <w:t>序号</w:t>
            </w:r>
          </w:p>
        </w:tc>
        <w:tc>
          <w:tcPr>
            <w:tcW w:w="1110" w:type="pct"/>
          </w:tcPr>
          <w:p w14:paraId="2D368990">
            <w:pPr>
              <w:jc w:val="center"/>
            </w:pPr>
            <w:r>
              <w:rPr>
                <w:rFonts w:hint="eastAsia"/>
              </w:rPr>
              <w:t>验收环节</w:t>
            </w:r>
          </w:p>
        </w:tc>
        <w:tc>
          <w:tcPr>
            <w:tcW w:w="1451" w:type="pct"/>
          </w:tcPr>
          <w:p w14:paraId="25B96B08">
            <w:pPr>
              <w:jc w:val="center"/>
            </w:pPr>
            <w:r>
              <w:rPr>
                <w:rFonts w:hint="eastAsia"/>
              </w:rPr>
              <w:t>验收内容</w:t>
            </w:r>
          </w:p>
        </w:tc>
        <w:tc>
          <w:tcPr>
            <w:tcW w:w="1928" w:type="pct"/>
          </w:tcPr>
          <w:p w14:paraId="582C03C3">
            <w:pPr>
              <w:jc w:val="center"/>
            </w:pPr>
            <w:r>
              <w:rPr>
                <w:rFonts w:hint="eastAsia"/>
              </w:rPr>
              <w:t>验收标准</w:t>
            </w:r>
          </w:p>
        </w:tc>
      </w:tr>
      <w:tr w14:paraId="207B2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9" w:type="pct"/>
            <w:vAlign w:val="center"/>
          </w:tcPr>
          <w:p w14:paraId="0B6CDBCE">
            <w:pPr>
              <w:jc w:val="center"/>
            </w:pPr>
            <w:r>
              <w:rPr>
                <w:rFonts w:hint="eastAsia"/>
              </w:rPr>
              <w:t>1</w:t>
            </w:r>
          </w:p>
        </w:tc>
        <w:tc>
          <w:tcPr>
            <w:tcW w:w="1110" w:type="pct"/>
            <w:vMerge w:val="restart"/>
            <w:vAlign w:val="center"/>
          </w:tcPr>
          <w:p w14:paraId="7018C320">
            <w:pPr>
              <w:jc w:val="center"/>
            </w:pPr>
            <w:r>
              <w:rPr>
                <w:rFonts w:hint="eastAsia"/>
              </w:rPr>
              <w:t>推理计算GPU服务器性能测试</w:t>
            </w:r>
          </w:p>
        </w:tc>
        <w:tc>
          <w:tcPr>
            <w:tcW w:w="2858" w:type="dxa"/>
            <w:vAlign w:val="center"/>
          </w:tcPr>
          <w:p w14:paraId="656FD27F">
            <w:pPr>
              <w:jc w:val="left"/>
            </w:pPr>
            <w:r>
              <w:rPr>
                <w:rFonts w:hint="eastAsia"/>
              </w:rPr>
              <w:t>整机性能测试</w:t>
            </w:r>
          </w:p>
        </w:tc>
        <w:tc>
          <w:tcPr>
            <w:tcW w:w="3798" w:type="dxa"/>
            <w:vAlign w:val="center"/>
          </w:tcPr>
          <w:p w14:paraId="4B21EFC2">
            <w:r>
              <w:rPr>
                <w:rFonts w:hint="eastAsia"/>
              </w:rPr>
              <w:t>单机HPL效率≥90%</w:t>
            </w:r>
          </w:p>
        </w:tc>
      </w:tr>
      <w:tr w14:paraId="15764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9" w:type="pct"/>
            <w:vAlign w:val="center"/>
          </w:tcPr>
          <w:p w14:paraId="1733CC14">
            <w:pPr>
              <w:jc w:val="center"/>
            </w:pPr>
            <w:r>
              <w:rPr>
                <w:rFonts w:hint="eastAsia"/>
              </w:rPr>
              <w:t>2</w:t>
            </w:r>
          </w:p>
        </w:tc>
        <w:tc>
          <w:tcPr>
            <w:tcW w:w="1110" w:type="pct"/>
            <w:vMerge w:val="continue"/>
            <w:vAlign w:val="center"/>
          </w:tcPr>
          <w:p w14:paraId="76E2B2BD">
            <w:pPr>
              <w:jc w:val="center"/>
            </w:pPr>
          </w:p>
        </w:tc>
        <w:tc>
          <w:tcPr>
            <w:tcW w:w="2858" w:type="dxa"/>
            <w:vAlign w:val="center"/>
          </w:tcPr>
          <w:p w14:paraId="39CED618">
            <w:pPr>
              <w:jc w:val="left"/>
            </w:pPr>
            <w:r>
              <w:rPr>
                <w:rFonts w:hint="eastAsia"/>
              </w:rPr>
              <w:t>内存带宽测试</w:t>
            </w:r>
          </w:p>
        </w:tc>
        <w:tc>
          <w:tcPr>
            <w:tcW w:w="3798" w:type="dxa"/>
            <w:vAlign w:val="center"/>
          </w:tcPr>
          <w:p w14:paraId="52A571DB">
            <w:r>
              <w:rPr>
                <w:rFonts w:hint="eastAsia"/>
              </w:rPr>
              <w:t>单机实测内存Triad带宽≥500GB/s</w:t>
            </w:r>
          </w:p>
        </w:tc>
      </w:tr>
      <w:tr w14:paraId="1052D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9" w:type="pct"/>
            <w:vAlign w:val="center"/>
          </w:tcPr>
          <w:p w14:paraId="6E59502B">
            <w:pPr>
              <w:jc w:val="center"/>
            </w:pPr>
            <w:r>
              <w:rPr>
                <w:rFonts w:hint="eastAsia"/>
              </w:rPr>
              <w:t>3</w:t>
            </w:r>
          </w:p>
        </w:tc>
        <w:tc>
          <w:tcPr>
            <w:tcW w:w="1110" w:type="pct"/>
            <w:vMerge w:val="continue"/>
            <w:vAlign w:val="center"/>
          </w:tcPr>
          <w:p w14:paraId="56C33ABE">
            <w:pPr>
              <w:jc w:val="center"/>
            </w:pPr>
          </w:p>
        </w:tc>
        <w:tc>
          <w:tcPr>
            <w:tcW w:w="2858" w:type="dxa"/>
            <w:vAlign w:val="center"/>
          </w:tcPr>
          <w:p w14:paraId="6FECE4F9">
            <w:pPr>
              <w:jc w:val="left"/>
            </w:pPr>
            <w:r>
              <w:rPr>
                <w:rFonts w:hint="eastAsia"/>
              </w:rPr>
              <w:t>显存带宽测试</w:t>
            </w:r>
          </w:p>
        </w:tc>
        <w:tc>
          <w:tcPr>
            <w:tcW w:w="3798" w:type="dxa"/>
            <w:vAlign w:val="center"/>
          </w:tcPr>
          <w:p w14:paraId="06F9AC3F">
            <w:r>
              <w:rPr>
                <w:rFonts w:hint="eastAsia"/>
              </w:rPr>
              <w:t>显存</w:t>
            </w:r>
            <w:r>
              <w:t>带宽基准测试</w:t>
            </w:r>
            <w:r>
              <w:rPr>
                <w:rFonts w:hint="eastAsia"/>
              </w:rPr>
              <w:t>，</w:t>
            </w:r>
            <w:r>
              <w:t>实测带宽不低于理论带宽</w:t>
            </w:r>
            <w:r>
              <w:rPr>
                <w:rFonts w:hint="eastAsia"/>
              </w:rPr>
              <w:t>的</w:t>
            </w:r>
            <w:r>
              <w:t>90%</w:t>
            </w:r>
          </w:p>
        </w:tc>
      </w:tr>
      <w:tr w14:paraId="08427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9" w:type="pct"/>
            <w:vAlign w:val="center"/>
          </w:tcPr>
          <w:p w14:paraId="00D730C2">
            <w:pPr>
              <w:jc w:val="center"/>
            </w:pPr>
            <w:r>
              <w:rPr>
                <w:rFonts w:hint="eastAsia"/>
              </w:rPr>
              <w:t>4</w:t>
            </w:r>
          </w:p>
        </w:tc>
        <w:tc>
          <w:tcPr>
            <w:tcW w:w="1110" w:type="pct"/>
            <w:vMerge w:val="continue"/>
            <w:vAlign w:val="center"/>
          </w:tcPr>
          <w:p w14:paraId="5A45292A">
            <w:pPr>
              <w:jc w:val="center"/>
            </w:pPr>
          </w:p>
        </w:tc>
        <w:tc>
          <w:tcPr>
            <w:tcW w:w="2858" w:type="dxa"/>
            <w:vAlign w:val="center"/>
          </w:tcPr>
          <w:p w14:paraId="1B1EFC77">
            <w:pPr>
              <w:jc w:val="left"/>
            </w:pPr>
            <w:r>
              <w:rPr>
                <w:rFonts w:hint="eastAsia"/>
              </w:rPr>
              <w:t>应用性能测试</w:t>
            </w:r>
          </w:p>
        </w:tc>
        <w:tc>
          <w:tcPr>
            <w:tcW w:w="3798" w:type="dxa"/>
            <w:vAlign w:val="center"/>
          </w:tcPr>
          <w:p w14:paraId="7C55C2E9">
            <w:r>
              <w:rPr>
                <w:rFonts w:hint="eastAsia"/>
              </w:rPr>
              <w:t>采用FP</w:t>
            </w:r>
            <w:r>
              <w:t>4</w:t>
            </w:r>
            <w:r>
              <w:rPr>
                <w:rFonts w:hint="eastAsia"/>
              </w:rPr>
              <w:t>量化精度，ISO</w:t>
            </w:r>
            <w:r>
              <w:t>/OSL= 1024</w:t>
            </w:r>
            <w:r>
              <w:rPr>
                <w:rFonts w:hint="eastAsia"/>
              </w:rPr>
              <w:t>/</w:t>
            </w:r>
            <w:r>
              <w:t>1024</w:t>
            </w:r>
            <w:r>
              <w:rPr>
                <w:rFonts w:hint="eastAsia"/>
              </w:rPr>
              <w:t>，实测3</w:t>
            </w:r>
            <w:r>
              <w:t>2</w:t>
            </w:r>
            <w:r>
              <w:rPr>
                <w:rFonts w:hint="eastAsia"/>
              </w:rPr>
              <w:t>并发下的mean</w:t>
            </w:r>
            <w:r>
              <w:t>_TPOT</w:t>
            </w:r>
            <w:r>
              <w:rPr>
                <w:rFonts w:hint="eastAsia"/>
              </w:rPr>
              <w:t>≤</w:t>
            </w:r>
            <w:r>
              <w:t>60</w:t>
            </w:r>
            <w:r>
              <w:rPr>
                <w:rFonts w:hint="eastAsia"/>
              </w:rPr>
              <w:t>ms</w:t>
            </w:r>
          </w:p>
        </w:tc>
      </w:tr>
      <w:tr w14:paraId="33AC1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9" w:type="pct"/>
            <w:vAlign w:val="center"/>
          </w:tcPr>
          <w:p w14:paraId="4F3D9DFF">
            <w:pPr>
              <w:jc w:val="center"/>
            </w:pPr>
            <w:r>
              <w:rPr>
                <w:rFonts w:hint="eastAsia"/>
              </w:rPr>
              <w:t>5</w:t>
            </w:r>
          </w:p>
        </w:tc>
        <w:tc>
          <w:tcPr>
            <w:tcW w:w="1110" w:type="pct"/>
            <w:vMerge w:val="continue"/>
            <w:vAlign w:val="center"/>
          </w:tcPr>
          <w:p w14:paraId="27D34AD5">
            <w:pPr>
              <w:jc w:val="center"/>
            </w:pPr>
          </w:p>
        </w:tc>
        <w:tc>
          <w:tcPr>
            <w:tcW w:w="2858" w:type="dxa"/>
            <w:vAlign w:val="center"/>
          </w:tcPr>
          <w:p w14:paraId="6E6DC3A2">
            <w:pPr>
              <w:jc w:val="left"/>
            </w:pPr>
            <w:r>
              <w:rPr>
                <w:rFonts w:hint="eastAsia"/>
              </w:rPr>
              <w:t>GPU算力测试</w:t>
            </w:r>
          </w:p>
        </w:tc>
        <w:tc>
          <w:tcPr>
            <w:tcW w:w="3798" w:type="dxa"/>
            <w:vAlign w:val="center"/>
          </w:tcPr>
          <w:p w14:paraId="543B7CC6">
            <w:r>
              <w:rPr>
                <w:rFonts w:hint="eastAsia"/>
              </w:rPr>
              <w:t>FP</w:t>
            </w:r>
            <w:r>
              <w:t>4</w:t>
            </w:r>
            <w:r>
              <w:rPr>
                <w:rFonts w:hint="eastAsia"/>
              </w:rPr>
              <w:t>、FP</w:t>
            </w:r>
            <w:r>
              <w:t>8</w:t>
            </w:r>
            <w:r>
              <w:rPr>
                <w:rFonts w:hint="eastAsia"/>
              </w:rPr>
              <w:t>精度的GEMM性能不低于理论值的9</w:t>
            </w:r>
            <w:r>
              <w:t>0%</w:t>
            </w:r>
          </w:p>
        </w:tc>
      </w:tr>
      <w:tr w14:paraId="016DE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9" w:type="pct"/>
            <w:vAlign w:val="center"/>
          </w:tcPr>
          <w:p w14:paraId="4F047E57">
            <w:pPr>
              <w:jc w:val="center"/>
            </w:pPr>
            <w:r>
              <w:rPr>
                <w:rFonts w:hint="eastAsia"/>
              </w:rPr>
              <w:t>6</w:t>
            </w:r>
          </w:p>
        </w:tc>
        <w:tc>
          <w:tcPr>
            <w:tcW w:w="1110" w:type="pct"/>
            <w:vMerge w:val="restart"/>
            <w:vAlign w:val="center"/>
          </w:tcPr>
          <w:p w14:paraId="4D8F5E9A">
            <w:pPr>
              <w:jc w:val="center"/>
            </w:pPr>
            <w:r>
              <w:rPr>
                <w:rFonts w:hint="eastAsia"/>
              </w:rPr>
              <w:t>云计算超融合GPU服务器测试</w:t>
            </w:r>
          </w:p>
        </w:tc>
        <w:tc>
          <w:tcPr>
            <w:tcW w:w="1451" w:type="pct"/>
            <w:vAlign w:val="center"/>
          </w:tcPr>
          <w:p w14:paraId="54F5F58C">
            <w:r>
              <w:rPr>
                <w:rFonts w:hint="eastAsia"/>
              </w:rPr>
              <w:t>服务器读写测试</w:t>
            </w:r>
          </w:p>
        </w:tc>
        <w:tc>
          <w:tcPr>
            <w:tcW w:w="1928" w:type="pct"/>
            <w:vAlign w:val="center"/>
          </w:tcPr>
          <w:p w14:paraId="5D1305D4">
            <w:r>
              <w:rPr>
                <w:rFonts w:hint="eastAsia"/>
              </w:rPr>
              <w:t>使用如FIO工具，单个主机IOPS≥3万</w:t>
            </w:r>
          </w:p>
        </w:tc>
      </w:tr>
      <w:tr w14:paraId="3CF0F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9" w:type="pct"/>
            <w:vAlign w:val="center"/>
          </w:tcPr>
          <w:p w14:paraId="71D40635">
            <w:pPr>
              <w:jc w:val="center"/>
            </w:pPr>
            <w:r>
              <w:rPr>
                <w:rFonts w:hint="eastAsia"/>
              </w:rPr>
              <w:t>7</w:t>
            </w:r>
          </w:p>
        </w:tc>
        <w:tc>
          <w:tcPr>
            <w:tcW w:w="1110" w:type="pct"/>
            <w:vMerge w:val="continue"/>
            <w:vAlign w:val="center"/>
          </w:tcPr>
          <w:p w14:paraId="075B7B26">
            <w:pPr>
              <w:jc w:val="center"/>
            </w:pPr>
          </w:p>
        </w:tc>
        <w:tc>
          <w:tcPr>
            <w:tcW w:w="1451" w:type="pct"/>
            <w:vAlign w:val="center"/>
          </w:tcPr>
          <w:p w14:paraId="6FF5145F">
            <w:r>
              <w:rPr>
                <w:rFonts w:hint="eastAsia"/>
              </w:rPr>
              <w:t>集群读写测试</w:t>
            </w:r>
          </w:p>
        </w:tc>
        <w:tc>
          <w:tcPr>
            <w:tcW w:w="1928" w:type="pct"/>
            <w:vAlign w:val="center"/>
          </w:tcPr>
          <w:p w14:paraId="235A54A9">
            <w:r>
              <w:rPr>
                <w:rFonts w:hint="eastAsia"/>
              </w:rPr>
              <w:t>使用如FIO工具，集群IOPS≥20万，吞吐≥3GB/s。</w:t>
            </w:r>
          </w:p>
        </w:tc>
      </w:tr>
      <w:tr w14:paraId="21B3F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9" w:type="pct"/>
            <w:vAlign w:val="center"/>
          </w:tcPr>
          <w:p w14:paraId="3729D865">
            <w:pPr>
              <w:jc w:val="center"/>
            </w:pPr>
            <w:r>
              <w:rPr>
                <w:rFonts w:hint="eastAsia"/>
              </w:rPr>
              <w:t>8</w:t>
            </w:r>
          </w:p>
        </w:tc>
        <w:tc>
          <w:tcPr>
            <w:tcW w:w="1110" w:type="pct"/>
            <w:vMerge w:val="continue"/>
            <w:vAlign w:val="center"/>
          </w:tcPr>
          <w:p w14:paraId="7C8297A9">
            <w:pPr>
              <w:jc w:val="center"/>
            </w:pPr>
          </w:p>
        </w:tc>
        <w:tc>
          <w:tcPr>
            <w:tcW w:w="1451" w:type="pct"/>
            <w:vAlign w:val="center"/>
          </w:tcPr>
          <w:p w14:paraId="6D8A8D49">
            <w:r>
              <w:rPr>
                <w:rFonts w:hint="eastAsia"/>
              </w:rPr>
              <w:t>GPU虚拟化测试</w:t>
            </w:r>
          </w:p>
        </w:tc>
        <w:tc>
          <w:tcPr>
            <w:tcW w:w="1928" w:type="pct"/>
            <w:vAlign w:val="center"/>
          </w:tcPr>
          <w:p w14:paraId="66101AE7">
            <w:r>
              <w:rPr>
                <w:rFonts w:hint="eastAsia"/>
              </w:rPr>
              <w:t>GPU直通测试、vGPU切割测试、vGPU还原测试、vGPU云桌面测试</w:t>
            </w:r>
          </w:p>
        </w:tc>
      </w:tr>
    </w:tbl>
    <w:p w14:paraId="645DB69A">
      <w:pPr>
        <w:pStyle w:val="16"/>
        <w:adjustRightInd w:val="0"/>
        <w:snapToGrid w:val="0"/>
        <w:spacing w:line="360" w:lineRule="auto"/>
        <w:ind w:left="420" w:leftChars="200" w:firstLine="0" w:firstLineChars="0"/>
        <w:jc w:val="left"/>
        <w:rPr>
          <w:rFonts w:eastAsiaTheme="minorHAnsi"/>
          <w:color w:val="000000" w:themeColor="text1"/>
          <w:szCs w:val="21"/>
          <w:highlight w:val="yellow"/>
          <w14:textFill>
            <w14:solidFill>
              <w14:schemeClr w14:val="tx1"/>
            </w14:solidFill>
          </w14:textFill>
        </w:rPr>
      </w:pPr>
    </w:p>
    <w:p w14:paraId="769CC494">
      <w:pPr>
        <w:rPr>
          <w:rFonts w:eastAsiaTheme="minorHAnsi"/>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w:altName w:val="汉仪中宋简"/>
    <w:panose1 w:val="02010600030101010101"/>
    <w:charset w:val="86"/>
    <w:family w:val="auto"/>
    <w:pitch w:val="default"/>
    <w:sig w:usb0="00000000" w:usb1="00000000" w:usb2="00000016" w:usb3="00000000" w:csb0="0004000F" w:csb1="00000000"/>
  </w:font>
  <w:font w:name="汉仪中宋简">
    <w:panose1 w:val="02010600000101010101"/>
    <w:charset w:val="86"/>
    <w:family w:val="auto"/>
    <w:pitch w:val="default"/>
    <w:sig w:usb0="00000001" w:usb1="080E0800" w:usb2="00000002" w:usb3="00000000" w:csb0="00040000" w:csb1="00000000"/>
  </w:font>
  <w:font w:name="等线 Light">
    <w:altName w:val="汉仪中宋简"/>
    <w:panose1 w:val="02010600030101010101"/>
    <w:charset w:val="86"/>
    <w:family w:val="auto"/>
    <w:pitch w:val="default"/>
    <w:sig w:usb0="00000000" w:usb1="00000000" w:usb2="00000016" w:usb3="00000000" w:csb0="0004000F" w:csb1="00000000"/>
  </w:font>
  <w:font w:name="等线">
    <w:altName w:val="仿宋_GB2312"/>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Liberation Serif">
    <w:panose1 w:val="02020603050405020304"/>
    <w:charset w:val="00"/>
    <w:family w:val="auto"/>
    <w:pitch w:val="default"/>
    <w:sig w:usb0="A00002AF" w:usb1="500078FB" w:usb2="00000000" w:usb3="00000000" w:csb0="6000009F" w:csb1="DFD70000"/>
  </w:font>
  <w:font w:name="等线 Light">
    <w:altName w:val="仿宋_GB2312"/>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BED13D"/>
    <w:multiLevelType w:val="singleLevel"/>
    <w:tmpl w:val="D1BED13D"/>
    <w:lvl w:ilvl="0" w:tentative="0">
      <w:start w:val="1"/>
      <w:numFmt w:val="chineseCounting"/>
      <w:suff w:val="nothing"/>
      <w:lvlText w:val="%1、"/>
      <w:lvlJc w:val="left"/>
      <w:rPr>
        <w:rFonts w:hint="eastAsia"/>
      </w:rPr>
    </w:lvl>
  </w:abstractNum>
  <w:abstractNum w:abstractNumId="1">
    <w:nsid w:val="04653760"/>
    <w:multiLevelType w:val="multilevel"/>
    <w:tmpl w:val="04653760"/>
    <w:lvl w:ilvl="0" w:tentative="0">
      <w:start w:val="1"/>
      <w:numFmt w:val="decimal"/>
      <w:lvlText w:val="%1)"/>
      <w:lvlJc w:val="left"/>
      <w:pPr>
        <w:ind w:left="900" w:hanging="420"/>
      </w:pPr>
      <w:rPr>
        <w:rFonts w:hint="eastAsia"/>
      </w:rPr>
    </w:lvl>
    <w:lvl w:ilvl="1" w:tentative="0">
      <w:start w:val="1"/>
      <w:numFmt w:val="decimal"/>
      <w:lvlText w:val="%2、"/>
      <w:lvlJc w:val="left"/>
      <w:pPr>
        <w:ind w:left="1260" w:hanging="360"/>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0AC01221"/>
    <w:multiLevelType w:val="multilevel"/>
    <w:tmpl w:val="0AC01221"/>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
    <w:nsid w:val="148452BA"/>
    <w:multiLevelType w:val="multilevel"/>
    <w:tmpl w:val="148452BA"/>
    <w:lvl w:ilvl="0" w:tentative="0">
      <w:start w:val="1"/>
      <w:numFmt w:val="decimal"/>
      <w:lvlText w:val="%1)"/>
      <w:lvlJc w:val="left"/>
      <w:pPr>
        <w:ind w:left="1272"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1E362B77"/>
    <w:multiLevelType w:val="multilevel"/>
    <w:tmpl w:val="1E362B77"/>
    <w:lvl w:ilvl="0" w:tentative="0">
      <w:start w:val="1"/>
      <w:numFmt w:val="bullet"/>
      <w:lvlText w:val=""/>
      <w:lvlJc w:val="left"/>
      <w:pPr>
        <w:ind w:left="980"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5">
    <w:nsid w:val="432348E3"/>
    <w:multiLevelType w:val="multilevel"/>
    <w:tmpl w:val="432348E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pStyle w:val="4"/>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8241832"/>
    <w:multiLevelType w:val="multilevel"/>
    <w:tmpl w:val="5824183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
    <w:nsid w:val="59C52ED9"/>
    <w:multiLevelType w:val="multilevel"/>
    <w:tmpl w:val="59C52ED9"/>
    <w:lvl w:ilvl="0" w:tentative="0">
      <w:start w:val="1"/>
      <w:numFmt w:val="decimal"/>
      <w:lvlText w:val="%1)"/>
      <w:lvlJc w:val="left"/>
      <w:pPr>
        <w:ind w:left="900" w:hanging="420"/>
      </w:pPr>
      <w:rPr>
        <w:rFonts w:hint="eastAsia"/>
      </w:rPr>
    </w:lvl>
    <w:lvl w:ilvl="1" w:tentative="0">
      <w:start w:val="1"/>
      <w:numFmt w:val="decimal"/>
      <w:lvlText w:val="%2、"/>
      <w:lvlJc w:val="left"/>
      <w:pPr>
        <w:ind w:left="1260" w:hanging="360"/>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6EC37A78"/>
    <w:multiLevelType w:val="multilevel"/>
    <w:tmpl w:val="6EC37A78"/>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
    <w:nsid w:val="76CC449B"/>
    <w:multiLevelType w:val="multilevel"/>
    <w:tmpl w:val="76CC449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5"/>
  </w:num>
  <w:num w:numId="2">
    <w:abstractNumId w:val="0"/>
  </w:num>
  <w:num w:numId="3">
    <w:abstractNumId w:val="4"/>
  </w:num>
  <w:num w:numId="4">
    <w:abstractNumId w:val="9"/>
  </w:num>
  <w:num w:numId="5">
    <w:abstractNumId w:val="8"/>
  </w:num>
  <w:num w:numId="6">
    <w:abstractNumId w:val="6"/>
  </w:num>
  <w:num w:numId="7">
    <w:abstractNumId w:val="3"/>
  </w:num>
  <w:num w:numId="8">
    <w:abstractNumId w:val="7"/>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I4ZWY0YWFmOWE4NzFmMjg3OTFjNGFmOThkOGY0NzcifQ=="/>
  </w:docVars>
  <w:rsids>
    <w:rsidRoot w:val="00AD4EE1"/>
    <w:rsid w:val="00006CF6"/>
    <w:rsid w:val="0001509C"/>
    <w:rsid w:val="00063F92"/>
    <w:rsid w:val="000708DC"/>
    <w:rsid w:val="000B0D7B"/>
    <w:rsid w:val="000D2683"/>
    <w:rsid w:val="00106B28"/>
    <w:rsid w:val="001278A5"/>
    <w:rsid w:val="00186D8B"/>
    <w:rsid w:val="001B259A"/>
    <w:rsid w:val="002248E5"/>
    <w:rsid w:val="00283C0E"/>
    <w:rsid w:val="002D6DF0"/>
    <w:rsid w:val="00325C8A"/>
    <w:rsid w:val="003A0531"/>
    <w:rsid w:val="003A36D9"/>
    <w:rsid w:val="003A6DCE"/>
    <w:rsid w:val="003A7FF6"/>
    <w:rsid w:val="003B72E7"/>
    <w:rsid w:val="003C384C"/>
    <w:rsid w:val="003C3EDC"/>
    <w:rsid w:val="003D5322"/>
    <w:rsid w:val="003F412E"/>
    <w:rsid w:val="00431507"/>
    <w:rsid w:val="00436A81"/>
    <w:rsid w:val="00441BCB"/>
    <w:rsid w:val="00466663"/>
    <w:rsid w:val="004A0514"/>
    <w:rsid w:val="004D1F1F"/>
    <w:rsid w:val="004D5315"/>
    <w:rsid w:val="004E1CD4"/>
    <w:rsid w:val="004E4331"/>
    <w:rsid w:val="0052663B"/>
    <w:rsid w:val="005270CC"/>
    <w:rsid w:val="00534A44"/>
    <w:rsid w:val="0054561B"/>
    <w:rsid w:val="00561B7F"/>
    <w:rsid w:val="00564542"/>
    <w:rsid w:val="005920A0"/>
    <w:rsid w:val="005C3219"/>
    <w:rsid w:val="005E022A"/>
    <w:rsid w:val="005E3757"/>
    <w:rsid w:val="0064516B"/>
    <w:rsid w:val="006A0031"/>
    <w:rsid w:val="006A6FCA"/>
    <w:rsid w:val="006C673B"/>
    <w:rsid w:val="00717D8B"/>
    <w:rsid w:val="0072078A"/>
    <w:rsid w:val="007539C3"/>
    <w:rsid w:val="007712F2"/>
    <w:rsid w:val="00782E2E"/>
    <w:rsid w:val="007D1D48"/>
    <w:rsid w:val="008002A9"/>
    <w:rsid w:val="008022A6"/>
    <w:rsid w:val="008159A0"/>
    <w:rsid w:val="0082108F"/>
    <w:rsid w:val="008223B6"/>
    <w:rsid w:val="008271F3"/>
    <w:rsid w:val="0088627D"/>
    <w:rsid w:val="008D5DDB"/>
    <w:rsid w:val="0090134D"/>
    <w:rsid w:val="0094156F"/>
    <w:rsid w:val="00956931"/>
    <w:rsid w:val="0099535D"/>
    <w:rsid w:val="009A550E"/>
    <w:rsid w:val="00A2432D"/>
    <w:rsid w:val="00A34680"/>
    <w:rsid w:val="00A84823"/>
    <w:rsid w:val="00AB2E55"/>
    <w:rsid w:val="00AD4EE1"/>
    <w:rsid w:val="00AF4770"/>
    <w:rsid w:val="00B3773F"/>
    <w:rsid w:val="00B55E57"/>
    <w:rsid w:val="00B63784"/>
    <w:rsid w:val="00B84AC1"/>
    <w:rsid w:val="00B875FE"/>
    <w:rsid w:val="00B94BAB"/>
    <w:rsid w:val="00B963A4"/>
    <w:rsid w:val="00BD6C87"/>
    <w:rsid w:val="00BF3641"/>
    <w:rsid w:val="00C1280A"/>
    <w:rsid w:val="00C147E1"/>
    <w:rsid w:val="00C663E1"/>
    <w:rsid w:val="00D35551"/>
    <w:rsid w:val="00D95D47"/>
    <w:rsid w:val="00DB2A1B"/>
    <w:rsid w:val="00DC526C"/>
    <w:rsid w:val="00DF41ED"/>
    <w:rsid w:val="00E1462C"/>
    <w:rsid w:val="00E16AE8"/>
    <w:rsid w:val="00E77997"/>
    <w:rsid w:val="00EA2ED0"/>
    <w:rsid w:val="00EB2A49"/>
    <w:rsid w:val="00EF60AF"/>
    <w:rsid w:val="00F136D7"/>
    <w:rsid w:val="00F27397"/>
    <w:rsid w:val="00F53987"/>
    <w:rsid w:val="00F55F11"/>
    <w:rsid w:val="00F618D9"/>
    <w:rsid w:val="00F839C0"/>
    <w:rsid w:val="00FA312A"/>
    <w:rsid w:val="00FB0DF4"/>
    <w:rsid w:val="00FE55D4"/>
    <w:rsid w:val="00FE582B"/>
    <w:rsid w:val="0B4E04A0"/>
    <w:rsid w:val="138F28CD"/>
    <w:rsid w:val="16953CC6"/>
    <w:rsid w:val="188E6BEA"/>
    <w:rsid w:val="19726F19"/>
    <w:rsid w:val="1C39214D"/>
    <w:rsid w:val="1EDA5D8D"/>
    <w:rsid w:val="2B0D656A"/>
    <w:rsid w:val="2E8976D0"/>
    <w:rsid w:val="33404CBE"/>
    <w:rsid w:val="35A35C34"/>
    <w:rsid w:val="390E2362"/>
    <w:rsid w:val="43731BD7"/>
    <w:rsid w:val="448239EF"/>
    <w:rsid w:val="4F2E40D2"/>
    <w:rsid w:val="4FA2771F"/>
    <w:rsid w:val="54DC411F"/>
    <w:rsid w:val="576DCFF1"/>
    <w:rsid w:val="5B1F5EC6"/>
    <w:rsid w:val="5CFDA8C1"/>
    <w:rsid w:val="5E084FFB"/>
    <w:rsid w:val="5EFB92D0"/>
    <w:rsid w:val="60C61C86"/>
    <w:rsid w:val="6679F61F"/>
    <w:rsid w:val="68933B61"/>
    <w:rsid w:val="732E66D2"/>
    <w:rsid w:val="77D4758A"/>
    <w:rsid w:val="77FF8CFA"/>
    <w:rsid w:val="79471663"/>
    <w:rsid w:val="7CD47455"/>
    <w:rsid w:val="7FFE4203"/>
    <w:rsid w:val="D5F66E00"/>
    <w:rsid w:val="DEF37F6D"/>
    <w:rsid w:val="DEF726D1"/>
    <w:rsid w:val="F1FF0F46"/>
    <w:rsid w:val="FBCF4AAD"/>
    <w:rsid w:val="FDFE01AD"/>
    <w:rsid w:val="FEFDAADD"/>
    <w:rsid w:val="FEFF2803"/>
    <w:rsid w:val="FFFD7EE3"/>
    <w:rsid w:val="FFFEC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4"/>
    <w:basedOn w:val="1"/>
    <w:next w:val="1"/>
    <w:link w:val="19"/>
    <w:autoRedefine/>
    <w:qFormat/>
    <w:uiPriority w:val="0"/>
    <w:pPr>
      <w:keepNext/>
      <w:widowControl/>
      <w:numPr>
        <w:ilvl w:val="3"/>
        <w:numId w:val="1"/>
      </w:numPr>
      <w:spacing w:before="240" w:after="60" w:line="360" w:lineRule="auto"/>
      <w:ind w:left="0" w:firstLine="0"/>
      <w:outlineLvl w:val="3"/>
    </w:pPr>
    <w:rPr>
      <w:rFonts w:ascii="宋体" w:hAnsi="Arial" w:eastAsia="宋体" w:cs="Times New Roman"/>
      <w:b/>
      <w:kern w:val="0"/>
      <w:sz w:val="24"/>
      <w:szCs w:val="20"/>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2"/>
    <w:autoRedefine/>
    <w:semiHidden/>
    <w:unhideWhenUsed/>
    <w:qFormat/>
    <w:uiPriority w:val="99"/>
    <w:pPr>
      <w:jc w:val="left"/>
    </w:pPr>
  </w:style>
  <w:style w:type="paragraph" w:styleId="6">
    <w:name w:val="Balloon Text"/>
    <w:basedOn w:val="1"/>
    <w:link w:val="21"/>
    <w:semiHidden/>
    <w:unhideWhenUsed/>
    <w:qFormat/>
    <w:uiPriority w:val="99"/>
    <w:rPr>
      <w:sz w:val="18"/>
      <w:szCs w:val="18"/>
    </w:rPr>
  </w:style>
  <w:style w:type="paragraph" w:styleId="7">
    <w:name w:val="footer"/>
    <w:basedOn w:val="1"/>
    <w:link w:val="25"/>
    <w:unhideWhenUsed/>
    <w:qFormat/>
    <w:uiPriority w:val="99"/>
    <w:pPr>
      <w:tabs>
        <w:tab w:val="center" w:pos="4153"/>
        <w:tab w:val="right" w:pos="8306"/>
      </w:tabs>
      <w:snapToGrid w:val="0"/>
      <w:jc w:val="left"/>
    </w:pPr>
    <w:rPr>
      <w:sz w:val="18"/>
      <w:szCs w:val="18"/>
    </w:rPr>
  </w:style>
  <w:style w:type="paragraph" w:styleId="8">
    <w:name w:val="header"/>
    <w:basedOn w:val="1"/>
    <w:link w:val="24"/>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semiHidden/>
    <w:unhideWhenUsed/>
    <w:qFormat/>
    <w:uiPriority w:val="39"/>
  </w:style>
  <w:style w:type="paragraph" w:styleId="10">
    <w:name w:val="annotation subject"/>
    <w:basedOn w:val="5"/>
    <w:next w:val="5"/>
    <w:link w:val="23"/>
    <w:autoRedefine/>
    <w:semiHidden/>
    <w:unhideWhenUsed/>
    <w:qFormat/>
    <w:uiPriority w:val="99"/>
    <w:rPr>
      <w:b/>
      <w:bCs/>
    </w:rPr>
  </w:style>
  <w:style w:type="table" w:styleId="12">
    <w:name w:val="Table Grid"/>
    <w:basedOn w:val="1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bCs/>
    </w:rPr>
  </w:style>
  <w:style w:type="character" w:styleId="15">
    <w:name w:val="annotation reference"/>
    <w:basedOn w:val="13"/>
    <w:autoRedefine/>
    <w:semiHidden/>
    <w:unhideWhenUsed/>
    <w:qFormat/>
    <w:uiPriority w:val="99"/>
    <w:rPr>
      <w:sz w:val="21"/>
      <w:szCs w:val="21"/>
    </w:rPr>
  </w:style>
  <w:style w:type="paragraph" w:styleId="16">
    <w:name w:val="List Paragraph"/>
    <w:basedOn w:val="1"/>
    <w:link w:val="20"/>
    <w:autoRedefine/>
    <w:qFormat/>
    <w:uiPriority w:val="34"/>
    <w:pPr>
      <w:ind w:firstLine="420" w:firstLineChars="200"/>
    </w:pPr>
  </w:style>
  <w:style w:type="character" w:customStyle="1" w:styleId="17">
    <w:name w:val="标题 1 字符"/>
    <w:basedOn w:val="13"/>
    <w:link w:val="2"/>
    <w:qFormat/>
    <w:uiPriority w:val="9"/>
    <w:rPr>
      <w:b/>
      <w:bCs/>
      <w:kern w:val="44"/>
      <w:sz w:val="44"/>
      <w:szCs w:val="44"/>
    </w:rPr>
  </w:style>
  <w:style w:type="character" w:customStyle="1" w:styleId="18">
    <w:name w:val="标题 2 字符"/>
    <w:basedOn w:val="13"/>
    <w:link w:val="3"/>
    <w:qFormat/>
    <w:uiPriority w:val="9"/>
    <w:rPr>
      <w:rFonts w:asciiTheme="majorHAnsi" w:hAnsiTheme="majorHAnsi" w:eastAsiaTheme="majorEastAsia" w:cstheme="majorBidi"/>
      <w:b/>
      <w:bCs/>
      <w:sz w:val="32"/>
      <w:szCs w:val="32"/>
    </w:rPr>
  </w:style>
  <w:style w:type="character" w:customStyle="1" w:styleId="19">
    <w:name w:val="标题 4 字符"/>
    <w:basedOn w:val="13"/>
    <w:link w:val="4"/>
    <w:autoRedefine/>
    <w:qFormat/>
    <w:uiPriority w:val="0"/>
    <w:rPr>
      <w:rFonts w:ascii="宋体" w:hAnsi="Arial" w:eastAsia="宋体" w:cs="Times New Roman"/>
      <w:b/>
      <w:kern w:val="0"/>
      <w:sz w:val="24"/>
      <w:szCs w:val="20"/>
    </w:rPr>
  </w:style>
  <w:style w:type="character" w:customStyle="1" w:styleId="20">
    <w:name w:val="列表段落 字符"/>
    <w:link w:val="16"/>
    <w:autoRedefine/>
    <w:qFormat/>
    <w:locked/>
    <w:uiPriority w:val="34"/>
  </w:style>
  <w:style w:type="character" w:customStyle="1" w:styleId="21">
    <w:name w:val="批注框文本 字符"/>
    <w:basedOn w:val="13"/>
    <w:link w:val="6"/>
    <w:semiHidden/>
    <w:qFormat/>
    <w:uiPriority w:val="99"/>
    <w:rPr>
      <w:rFonts w:asciiTheme="minorHAnsi" w:hAnsiTheme="minorHAnsi" w:eastAsiaTheme="minorEastAsia" w:cstheme="minorBidi"/>
      <w:kern w:val="2"/>
      <w:sz w:val="18"/>
      <w:szCs w:val="18"/>
    </w:rPr>
  </w:style>
  <w:style w:type="character" w:customStyle="1" w:styleId="22">
    <w:name w:val="批注文字 字符"/>
    <w:basedOn w:val="13"/>
    <w:link w:val="5"/>
    <w:autoRedefine/>
    <w:semiHidden/>
    <w:qFormat/>
    <w:uiPriority w:val="99"/>
    <w:rPr>
      <w:rFonts w:asciiTheme="minorHAnsi" w:hAnsiTheme="minorHAnsi" w:eastAsiaTheme="minorEastAsia" w:cstheme="minorBidi"/>
      <w:kern w:val="2"/>
      <w:sz w:val="21"/>
      <w:szCs w:val="22"/>
    </w:rPr>
  </w:style>
  <w:style w:type="character" w:customStyle="1" w:styleId="23">
    <w:name w:val="批注主题 字符"/>
    <w:basedOn w:val="22"/>
    <w:link w:val="10"/>
    <w:semiHidden/>
    <w:qFormat/>
    <w:uiPriority w:val="99"/>
    <w:rPr>
      <w:rFonts w:asciiTheme="minorHAnsi" w:hAnsiTheme="minorHAnsi" w:eastAsiaTheme="minorEastAsia" w:cstheme="minorBidi"/>
      <w:b/>
      <w:bCs/>
      <w:kern w:val="2"/>
      <w:sz w:val="21"/>
      <w:szCs w:val="22"/>
    </w:rPr>
  </w:style>
  <w:style w:type="character" w:customStyle="1" w:styleId="24">
    <w:name w:val="页眉 字符"/>
    <w:basedOn w:val="13"/>
    <w:link w:val="8"/>
    <w:autoRedefine/>
    <w:qFormat/>
    <w:uiPriority w:val="99"/>
    <w:rPr>
      <w:rFonts w:asciiTheme="minorHAnsi" w:hAnsiTheme="minorHAnsi" w:eastAsiaTheme="minorEastAsia" w:cstheme="minorBidi"/>
      <w:kern w:val="2"/>
      <w:sz w:val="18"/>
      <w:szCs w:val="18"/>
    </w:rPr>
  </w:style>
  <w:style w:type="character" w:customStyle="1" w:styleId="25">
    <w:name w:val="页脚 字符"/>
    <w:basedOn w:val="13"/>
    <w:link w:val="7"/>
    <w:autoRedefine/>
    <w:qFormat/>
    <w:uiPriority w:val="99"/>
    <w:rPr>
      <w:rFonts w:asciiTheme="minorHAnsi" w:hAnsiTheme="minorHAnsi" w:eastAsiaTheme="minorEastAsia" w:cstheme="minorBidi"/>
      <w:kern w:val="2"/>
      <w:sz w:val="18"/>
      <w:szCs w:val="18"/>
    </w:rPr>
  </w:style>
  <w:style w:type="paragraph" w:styleId="26">
    <w:name w:val="No Spacing"/>
    <w:autoRedefine/>
    <w:qFormat/>
    <w:uiPriority w:val="1"/>
    <w:pPr>
      <w:widowControl w:val="0"/>
      <w:jc w:val="both"/>
    </w:pPr>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xmlns="http://schemas.wps.cn/vas-ai-hub/contract-review">
    <reviewItem xmlns="http://schemas.wps.cn/vas-ai-hub/contract-review">
      <errorID xmlns="http://schemas.wps.cn/vas-ai-hub/contract-review">155d8d9c-e403-4ccf-9fe0-32f90b70036c</errorID>
      <errorWord xmlns="http://schemas.wps.cn/vas-ai-hub/contract-review">1、</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5C6E8D42</paraID>
      <start xmlns="http://schemas.wps.cn/vas-ai-hub/contract-review">0</start>
      <end xmlns="http://schemas.wps.cn/vas-ai-hub/contract-review">2</end>
      <status xmlns="http://schemas.wps.cn/vas-ai-hub/contract-review">modified</status>
      <modifiedWord xmlns="http://schemas.wps.cn/vas-ai-hub/contract-review">1.</modifiedWord>
      <trackRevisions xmlns="http://schemas.wps.cn/vas-ai-hub/contract-review">false</trackRevisions>
    </reviewItem>
    <reviewItem xmlns="http://schemas.wps.cn/vas-ai-hub/contract-review">
      <errorID xmlns="http://schemas.wps.cn/vas-ai-hub/contract-review">6bb2045e-1905-45ae-86dc-be4e5b7bb0cc</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explain xmlns="http://schemas.wps.cn/vas-ai-hub/contract-review">文本全半角错误。</explain>
      <paraID xmlns="http://schemas.wps.cn/vas-ai-hub/contract-review">793739B2</paraID>
      <start xmlns="http://schemas.wps.cn/vas-ai-hub/contract-review">10</start>
      <end xmlns="http://schemas.wps.cn/vas-ai-hub/contract-review">11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b7a09889-a4c3-454d-806b-508714a7ae94</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70EB26D3</paraID>
      <start xmlns="http://schemas.wps.cn/vas-ai-hub/contract-review">11</start>
      <end xmlns="http://schemas.wps.cn/vas-ai-hub/contract-review">12</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4441136a-c2f6-4a24-9145-824bbf078299</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70EB26D3</paraID>
      <start xmlns="http://schemas.wps.cn/vas-ai-hub/contract-review">16</start>
      <end xmlns="http://schemas.wps.cn/vas-ai-hub/contract-review">17</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4bc7ec76-cb07-48ea-befc-97d755cabdb3</errorID>
      <errorWord xmlns="http://schemas.wps.cn/vas-ai-hub/contract-review">搜素</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搜索</item>
      </candidateList>
      <explain xmlns="http://schemas.wps.cn/vas-ai-hub/contract-review">〈动〉仔细寻找（隐藏的人或东西）：～残敌｜四处～。</explain>
      <paraID xmlns="http://schemas.wps.cn/vas-ai-hub/contract-review"> C1255B7</paraID>
      <start xmlns="http://schemas.wps.cn/vas-ai-hub/contract-review">9</start>
      <end xmlns="http://schemas.wps.cn/vas-ai-hub/contract-review">11</end>
      <status xmlns="http://schemas.wps.cn/vas-ai-hub/contract-review">modified</status>
      <modifiedWord xmlns="http://schemas.wps.cn/vas-ai-hub/contract-review">搜索</modifiedWord>
      <trackRevisions xmlns="http://schemas.wps.cn/vas-ai-hub/contract-review">false</trackRevisions>
    </reviewItem>
    <reviewItem xmlns="http://schemas.wps.cn/vas-ai-hub/contract-review">
      <errorID xmlns="http://schemas.wps.cn/vas-ai-hub/contract-review">ce8f71a9-89c3-465d-912c-f114bc3396a7</errorID>
      <errorWord xmlns="http://schemas.wps.cn/vas-ai-hub/contract-review">搜素</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搜索</item>
      </candidateList>
      <explain xmlns="http://schemas.wps.cn/vas-ai-hub/contract-review">〈动〉仔细寻找（隐藏的人或东西）：～残敌｜四处～。</explain>
      <paraID xmlns="http://schemas.wps.cn/vas-ai-hub/contract-review">2ADE0AC4</paraID>
      <start xmlns="http://schemas.wps.cn/vas-ai-hub/contract-review">9</start>
      <end xmlns="http://schemas.wps.cn/vas-ai-hub/contract-review">11</end>
      <status xmlns="http://schemas.wps.cn/vas-ai-hub/contract-review">modified</status>
      <modifiedWord xmlns="http://schemas.wps.cn/vas-ai-hub/contract-review">搜索</modifiedWord>
      <trackRevisions xmlns="http://schemas.wps.cn/vas-ai-hub/contract-review">false</trackRevisions>
    </reviewItem>
    <reviewItem xmlns="http://schemas.wps.cn/vas-ai-hub/contract-review">
      <errorID xmlns="http://schemas.wps.cn/vas-ai-hub/contract-review">64457f84-378d-4c4d-8f8f-ad0cdc0184fa</errorID>
      <errorWord xmlns="http://schemas.wps.cn/vas-ai-hub/contract-review">MaterialScience</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Material Science</item>
      </candidateList>
      <explain xmlns="http://schemas.wps.cn/vas-ai-hub/contract-review"/>
      <paraID xmlns="http://schemas.wps.cn/vas-ai-hub/contract-review">6C08AC3F</paraID>
      <start xmlns="http://schemas.wps.cn/vas-ai-hub/contract-review">45</start>
      <end xmlns="http://schemas.wps.cn/vas-ai-hub/contract-review">61</end>
      <status xmlns="http://schemas.wps.cn/vas-ai-hub/contract-review">modified</status>
      <modifiedWord xmlns="http://schemas.wps.cn/vas-ai-hub/contract-review">Material Science</modifiedWord>
      <trackRevisions xmlns="http://schemas.wps.cn/vas-ai-hub/contract-review">false</trackRevisions>
    </reviewItem>
    <reviewItem xmlns="http://schemas.wps.cn/vas-ai-hub/contract-review">
      <errorID xmlns="http://schemas.wps.cn/vas-ai-hub/contract-review">e4000999-500c-4798-914a-d2a661f8de8d</errorID>
      <errorWord xmlns="http://schemas.wps.cn/vas-ai-hub/contract-review">上传下载</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上传和下载</item>
      </candidateList>
      <explain xmlns="http://schemas.wps.cn/vas-ai-hub/contract-review"/>
      <paraID xmlns="http://schemas.wps.cn/vas-ai-hub/contract-review">5968019F</paraID>
      <start xmlns="http://schemas.wps.cn/vas-ai-hub/contract-review">7</start>
      <end xmlns="http://schemas.wps.cn/vas-ai-hub/contract-review">12</end>
      <status xmlns="http://schemas.wps.cn/vas-ai-hub/contract-review">modified</status>
      <modifiedWord xmlns="http://schemas.wps.cn/vas-ai-hub/contract-review">上传和下载</modifiedWord>
      <trackRevisions xmlns="http://schemas.wps.cn/vas-ai-hub/contract-review">false</trackRevisions>
    </reviewItem>
    <reviewItem xmlns="http://schemas.wps.cn/vas-ai-hub/contract-review">
      <errorID xmlns="http://schemas.wps.cn/vas-ai-hub/contract-review">8a5b028a-265a-48cb-be21-8dc15643c043</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 6EDA2D1</paraID>
      <start xmlns="http://schemas.wps.cn/vas-ai-hub/contract-review">22</start>
      <end xmlns="http://schemas.wps.cn/vas-ai-hub/contract-review">23</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c27c8e88-b683-4d86-8fe5-54b429aa2a8b</errorID>
      <errorWord xmlns="http://schemas.wps.cn/vas-ai-hub/contract-review">模糊查询</errorWord>
      <group xmlns="http://schemas.wps.cn/vas-ai-hub/contract-review">L1_Grammar</group>
      <groupName xmlns="http://schemas.wps.cn/vas-ai-hub/contract-review">语法问题</groupName>
      <ability xmlns="http://schemas.wps.cn/vas-ai-hub/contract-review">L2_Grammar</ability>
      <abilityName xmlns="http://schemas.wps.cn/vas-ai-hub/contract-review">语法错误</abilityName>
      <candidateList xmlns="http://schemas.wps.cn/vas-ai-hub/contract-review">
        <item xmlns="http://schemas.wps.cn/vas-ai-hub/contract-review">进行模糊查询。</item>
      </candidateList>
      <explain xmlns="http://schemas.wps.cn/vas-ai-hub/contract-review"/>
      <paraID xmlns="http://schemas.wps.cn/vas-ai-hub/contract-review"> 6EDA2D1</paraID>
      <start xmlns="http://schemas.wps.cn/vas-ai-hub/contract-review">31</start>
      <end xmlns="http://schemas.wps.cn/vas-ai-hub/contract-review">35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9b3f97e6-3689-46d8-bd63-02557a205978</errorID>
      <errorWord xmlns="http://schemas.wps.cn/vas-ai-hub/contract-review">充值</errorWord>
      <group xmlns="http://schemas.wps.cn/vas-ai-hub/contract-review">L1_Grammar</group>
      <groupName xmlns="http://schemas.wps.cn/vas-ai-hub/contract-review">语法问题</groupName>
      <ability xmlns="http://schemas.wps.cn/vas-ai-hub/contract-review">L2_Grammar</ability>
      <abilityName xmlns="http://schemas.wps.cn/vas-ai-hub/contract-review">语法错误</abilityName>
      <candidateList xmlns="http://schemas.wps.cn/vas-ai-hub/contract-review">
        <item xmlns="http://schemas.wps.cn/vas-ai-hub/contract-review">进行充值</item>
      </candidateList>
      <explain xmlns="http://schemas.wps.cn/vas-ai-hub/contract-review"/>
      <paraID xmlns="http://schemas.wps.cn/vas-ai-hub/contract-review">34E715E2</paraID>
      <start xmlns="http://schemas.wps.cn/vas-ai-hub/contract-review">5</start>
      <end xmlns="http://schemas.wps.cn/vas-ai-hub/contract-review">9</end>
      <status xmlns="http://schemas.wps.cn/vas-ai-hub/contract-review">modified</status>
      <modifiedWord xmlns="http://schemas.wps.cn/vas-ai-hub/contract-review">进行充值</modifiedWord>
      <trackRevisions xmlns="http://schemas.wps.cn/vas-ai-hub/contract-review">false</trackRevisions>
    </reviewItem>
    <reviewItem xmlns="http://schemas.wps.cn/vas-ai-hub/contract-review">
      <errorID xmlns="http://schemas.wps.cn/vas-ai-hub/contract-review">fbe91c83-b55c-42e5-9827-d69ba628098a</errorID>
      <errorWord xmlns="http://schemas.wps.cn/vas-ai-hub/contract-review">总额</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总额。</item>
      </candidateList>
      <explain xmlns="http://schemas.wps.cn/vas-ai-hub/contract-review"/>
      <paraID xmlns="http://schemas.wps.cn/vas-ai-hub/contract-review">329468BF</paraID>
      <start xmlns="http://schemas.wps.cn/vas-ai-hub/contract-review">15</start>
      <end xmlns="http://schemas.wps.cn/vas-ai-hub/contract-review">18</end>
      <status xmlns="http://schemas.wps.cn/vas-ai-hub/contract-review">modified</status>
      <modifiedWord xmlns="http://schemas.wps.cn/vas-ai-hub/contract-review">总额。</modifiedWord>
      <trackRevisions xmlns="http://schemas.wps.cn/vas-ai-hub/contract-review">false</trackRevisions>
    </reviewItem>
    <reviewItem xmlns="http://schemas.wps.cn/vas-ai-hub/contract-review">
      <errorID xmlns="http://schemas.wps.cn/vas-ai-hub/contract-review">68fc05f5-461c-445e-8a44-c8a25480e878</errorID>
      <errorWord xmlns="http://schemas.wps.cn/vas-ai-hub/contract-review">图</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图。</item>
      </candidateList>
      <explain xmlns="http://schemas.wps.cn/vas-ai-hub/contract-review"/>
      <paraID xmlns="http://schemas.wps.cn/vas-ai-hub/contract-review">630888A5</paraID>
      <start xmlns="http://schemas.wps.cn/vas-ai-hub/contract-review">14</start>
      <end xmlns="http://schemas.wps.cn/vas-ai-hub/contract-review">16</end>
      <status xmlns="http://schemas.wps.cn/vas-ai-hub/contract-review">modified</status>
      <modifiedWord xmlns="http://schemas.wps.cn/vas-ai-hub/contract-review">图。</modifiedWord>
      <trackRevisions xmlns="http://schemas.wps.cn/vas-ai-hub/contract-review">false</trackRevisions>
    </reviewItem>
    <reviewItem xmlns="http://schemas.wps.cn/vas-ai-hub/contract-review">
      <errorID xmlns="http://schemas.wps.cn/vas-ai-hub/contract-review">bcd7d196-6a0a-40c6-a387-4a9abeb83d1f</errorID>
      <errorWord xmlns="http://schemas.wps.cn/vas-ai-hub/contract-review">金额</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金额。</item>
      </candidateList>
      <explain xmlns="http://schemas.wps.cn/vas-ai-hub/contract-review"/>
      <paraID xmlns="http://schemas.wps.cn/vas-ai-hub/contract-review">1893B659</paraID>
      <start xmlns="http://schemas.wps.cn/vas-ai-hub/contract-review">63</start>
      <end xmlns="http://schemas.wps.cn/vas-ai-hub/contract-review">66</end>
      <status xmlns="http://schemas.wps.cn/vas-ai-hub/contract-review">modified</status>
      <modifiedWord xmlns="http://schemas.wps.cn/vas-ai-hub/contract-review">金额。</modifiedWord>
      <trackRevisions xmlns="http://schemas.wps.cn/vas-ai-hub/contract-review">false</trackRevisions>
    </reviewItem>
    <reviewItem xmlns="http://schemas.wps.cn/vas-ai-hub/contract-review">
      <errorID xmlns="http://schemas.wps.cn/vas-ai-hub/contract-review">7410213d-6671-471f-a4f2-a22c5c4162f8</errorID>
      <errorWord xmlns="http://schemas.wps.cn/vas-ai-hub/contract-review">组织</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按组织</item>
      </candidateList>
      <explain xmlns="http://schemas.wps.cn/vas-ai-hub/contract-review"/>
      <paraID xmlns="http://schemas.wps.cn/vas-ai-hub/contract-review"> BE99BA0</paraID>
      <start xmlns="http://schemas.wps.cn/vas-ai-hub/contract-review">2</start>
      <end xmlns="http://schemas.wps.cn/vas-ai-hub/contract-review">5</end>
      <status xmlns="http://schemas.wps.cn/vas-ai-hub/contract-review">modified</status>
      <modifiedWord xmlns="http://schemas.wps.cn/vas-ai-hub/contract-review">按组织</modifiedWord>
      <trackRevisions xmlns="http://schemas.wps.cn/vas-ai-hub/contract-review">false</trackRevisions>
    </reviewItem>
    <reviewItem xmlns="http://schemas.wps.cn/vas-ai-hub/contract-review">
      <errorID xmlns="http://schemas.wps.cn/vas-ai-hub/contract-review">49e15792-decb-4150-a1c7-c0d09465f543</errorID>
      <errorWord xmlns="http://schemas.wps.cn/vas-ai-hub/contract-review">查询</errorWord>
      <group xmlns="http://schemas.wps.cn/vas-ai-hub/contract-review">L1_Grammar</group>
      <groupName xmlns="http://schemas.wps.cn/vas-ai-hub/contract-review">语法问题</groupName>
      <ability xmlns="http://schemas.wps.cn/vas-ai-hub/contract-review">L2_Grammar</ability>
      <abilityName xmlns="http://schemas.wps.cn/vas-ai-hub/contract-review">语法错误</abilityName>
      <candidateList xmlns="http://schemas.wps.cn/vas-ai-hub/contract-review">
        <item xmlns="http://schemas.wps.cn/vas-ai-hub/contract-review">进行查询</item>
      </candidateList>
      <explain xmlns="http://schemas.wps.cn/vas-ai-hub/contract-review"/>
      <paraID xmlns="http://schemas.wps.cn/vas-ai-hub/contract-review"> BE99BA0</paraID>
      <start xmlns="http://schemas.wps.cn/vas-ai-hub/contract-review">13</start>
      <end xmlns="http://schemas.wps.cn/vas-ai-hub/contract-review">17</end>
      <status xmlns="http://schemas.wps.cn/vas-ai-hub/contract-review">modified</status>
      <modifiedWord xmlns="http://schemas.wps.cn/vas-ai-hub/contract-review">进行查询</modifiedWord>
      <trackRevisions xmlns="http://schemas.wps.cn/vas-ai-hub/contract-review">false</trackRevisions>
    </reviewItem>
    <reviewItem xmlns="http://schemas.wps.cn/vas-ai-hub/contract-review">
      <errorID xmlns="http://schemas.wps.cn/vas-ai-hub/contract-review">0e39a70e-8b42-4893-aca6-b84313090fdd</errorID>
      <errorWord xmlns="http://schemas.wps.cn/vas-ai-hub/contract-review">导出</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导出。</item>
      </candidateList>
      <explain xmlns="http://schemas.wps.cn/vas-ai-hub/contract-review"/>
      <paraID xmlns="http://schemas.wps.cn/vas-ai-hub/contract-review">3928732B</paraID>
      <start xmlns="http://schemas.wps.cn/vas-ai-hub/contract-review">4</start>
      <end xmlns="http://schemas.wps.cn/vas-ai-hub/contract-review">7</end>
      <status xmlns="http://schemas.wps.cn/vas-ai-hub/contract-review">modified</status>
      <modifiedWord xmlns="http://schemas.wps.cn/vas-ai-hub/contract-review">导出。</modifiedWord>
      <trackRevisions xmlns="http://schemas.wps.cn/vas-ai-hub/contract-review">false</trackRevisions>
    </reviewItem>
    <reviewItem xmlns="http://schemas.wps.cn/vas-ai-hub/contract-review">
      <errorID xmlns="http://schemas.wps.cn/vas-ai-hub/contract-review">60782851-1027-409d-9ac4-a63475355aea</errorID>
      <errorWord xmlns="http://schemas.wps.cn/vas-ai-hub/contract-review">启用</errorWord>
      <group xmlns="http://schemas.wps.cn/vas-ai-hub/contract-review">L1_Grammar</group>
      <groupName xmlns="http://schemas.wps.cn/vas-ai-hub/contract-review">语法问题</groupName>
      <ability xmlns="http://schemas.wps.cn/vas-ai-hub/contract-review">L2_Grammar</ability>
      <abilityName xmlns="http://schemas.wps.cn/vas-ai-hub/contract-review">语法错误</abilityName>
      <candidateList xmlns="http://schemas.wps.cn/vas-ai-hub/contract-review">
        <item xmlns="http://schemas.wps.cn/vas-ai-hub/contract-review">进行启用</item>
      </candidateList>
      <explain xmlns="http://schemas.wps.cn/vas-ai-hub/contract-review"/>
      <paraID xmlns="http://schemas.wps.cn/vas-ai-hub/contract-review"> 1F1A15C</paraID>
      <start xmlns="http://schemas.wps.cn/vas-ai-hub/contract-review">12</start>
      <end xmlns="http://schemas.wps.cn/vas-ai-hub/contract-review">14</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f2bc0c0d-5378-458e-9c50-310b78f05eb5</errorID>
      <errorWord xmlns="http://schemas.wps.cn/vas-ai-hub/contract-review">。</errorWord>
      <group xmlns="http://schemas.wps.cn/vas-ai-hub/contract-review">L1_Grammar</group>
      <groupName xmlns="http://schemas.wps.cn/vas-ai-hub/contract-review">语法问题</groupName>
      <ability xmlns="http://schemas.wps.cn/vas-ai-hub/contract-review">L2_Grammar</ability>
      <abilityName xmlns="http://schemas.wps.cn/vas-ai-hub/contract-review">语法错误</abilityName>
      <candidateList xmlns="http://schemas.wps.cn/vas-ai-hub/contract-review">
        <item xmlns="http://schemas.wps.cn/vas-ai-hub/contract-review">操作。</item>
      </candidateList>
      <explain xmlns="http://schemas.wps.cn/vas-ai-hub/contract-review"/>
      <paraID xmlns="http://schemas.wps.cn/vas-ai-hub/contract-review"> 1F1A15C</paraID>
      <start xmlns="http://schemas.wps.cn/vas-ai-hub/contract-review">17</start>
      <end xmlns="http://schemas.wps.cn/vas-ai-hub/contract-review">20</end>
      <status xmlns="http://schemas.wps.cn/vas-ai-hub/contract-review">modified</status>
      <modifiedWord xmlns="http://schemas.wps.cn/vas-ai-hub/contract-review">操作。</modifiedWord>
      <trackRevisions xmlns="http://schemas.wps.cn/vas-ai-hub/contract-review">false</trackRevisions>
    </reviewItem>
    <reviewItem xmlns="http://schemas.wps.cn/vas-ai-hub/contract-review">
      <errorID xmlns="http://schemas.wps.cn/vas-ai-hub/contract-review">eccf2479-7daf-4516-af2e-45ad5eb090eb</errorID>
      <errorWord xmlns="http://schemas.wps.cn/vas-ai-hub/contract-review">用户</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用户。</item>
      </candidateList>
      <explain xmlns="http://schemas.wps.cn/vas-ai-hub/contract-review"/>
      <paraID xmlns="http://schemas.wps.cn/vas-ai-hub/contract-review"> 1F1A15C</paraID>
      <start xmlns="http://schemas.wps.cn/vas-ai-hub/contract-review">24</start>
      <end xmlns="http://schemas.wps.cn/vas-ai-hub/contract-review">27</end>
      <status xmlns="http://schemas.wps.cn/vas-ai-hub/contract-review">modified</status>
      <modifiedWord xmlns="http://schemas.wps.cn/vas-ai-hub/contract-review">用户。</modifiedWord>
      <trackRevisions xmlns="http://schemas.wps.cn/vas-ai-hub/contract-review">false</trackRevisions>
    </reviewItem>
    <reviewItem xmlns="http://schemas.wps.cn/vas-ai-hub/contract-review">
      <errorID xmlns="http://schemas.wps.cn/vas-ai-hub/contract-review">a271b8a2-7ab3-4e0c-859f-da4f9bc424e5</errorID>
      <errorWord xmlns="http://schemas.wps.cn/vas-ai-hub/contract-review">普通用户</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普通用户。</item>
      </candidateList>
      <explain xmlns="http://schemas.wps.cn/vas-ai-hub/contract-review"/>
      <paraID xmlns="http://schemas.wps.cn/vas-ai-hub/contract-review">5861198C</paraID>
      <start xmlns="http://schemas.wps.cn/vas-ai-hub/contract-review">23</start>
      <end xmlns="http://schemas.wps.cn/vas-ai-hub/contract-review">28</end>
      <status xmlns="http://schemas.wps.cn/vas-ai-hub/contract-review">modified</status>
      <modifiedWord xmlns="http://schemas.wps.cn/vas-ai-hub/contract-review">普通用户。</modifiedWord>
      <trackRevisions xmlns="http://schemas.wps.cn/vas-ai-hub/contract-review">false</trackRevisions>
    </reviewItem>
    <reviewItem xmlns="http://schemas.wps.cn/vas-ai-hub/contract-review">
      <errorID xmlns="http://schemas.wps.cn/vas-ai-hub/contract-review">0cadf045-e83c-485b-81af-bff2b50c145a</errorID>
      <errorWord xmlns="http://schemas.wps.cn/vas-ai-hub/contract-review">备注</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备注。</item>
      </candidateList>
      <explain xmlns="http://schemas.wps.cn/vas-ai-hub/contract-review"/>
      <paraID xmlns="http://schemas.wps.cn/vas-ai-hub/contract-review">2F2A9A15</paraID>
      <start xmlns="http://schemas.wps.cn/vas-ai-hub/contract-review">54</start>
      <end xmlns="http://schemas.wps.cn/vas-ai-hub/contract-review">57</end>
      <status xmlns="http://schemas.wps.cn/vas-ai-hub/contract-review">modified</status>
      <modifiedWord xmlns="http://schemas.wps.cn/vas-ai-hub/contract-review">备注。</modifiedWord>
      <trackRevisions xmlns="http://schemas.wps.cn/vas-ai-hub/contract-review">false</trackRevisions>
    </reviewItem>
    <reviewItem xmlns="http://schemas.wps.cn/vas-ai-hub/contract-review">
      <errorID xmlns="http://schemas.wps.cn/vas-ai-hub/contract-review">ef261c02-7ce0-46fa-be47-0c264cbbf195</errorID>
      <errorWord xmlns="http://schemas.wps.cn/vas-ai-hub/contract-review">实现</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，实现</item>
      </candidateList>
      <explain xmlns="http://schemas.wps.cn/vas-ai-hub/contract-review"/>
      <paraID xmlns="http://schemas.wps.cn/vas-ai-hub/contract-review">14FD2F75</paraID>
      <start xmlns="http://schemas.wps.cn/vas-ai-hub/contract-review">18</start>
      <end xmlns="http://schemas.wps.cn/vas-ai-hub/contract-review">21</end>
      <status xmlns="http://schemas.wps.cn/vas-ai-hub/contract-review">modified</status>
      <modifiedWord xmlns="http://schemas.wps.cn/vas-ai-hub/contract-review">，实现</modifiedWord>
      <trackRevisions xmlns="http://schemas.wps.cn/vas-ai-hub/contract-review">false</trackRevisions>
    </reviewItem>
    <reviewItem xmlns="http://schemas.wps.cn/vas-ai-hub/contract-review">
      <errorID xmlns="http://schemas.wps.cn/vas-ai-hub/contract-review">f355c3dd-e78d-4731-94d2-5deff8770e91</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14FD2F75</paraID>
      <start xmlns="http://schemas.wps.cn/vas-ai-hub/contract-review">30</start>
      <end xmlns="http://schemas.wps.cn/vas-ai-hub/contract-review">31</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007d27ea-cde9-43c8-b8da-db5ecae26103</errorID>
      <errorWord xmlns="http://schemas.wps.cn/vas-ai-hub/contract-review">进行</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获取</item>
      </candidateList>
      <explain xmlns="http://schemas.wps.cn/vas-ai-hub/contract-review"/>
      <paraID xmlns="http://schemas.wps.cn/vas-ai-hub/contract-review">14FD2F75</paraID>
      <start xmlns="http://schemas.wps.cn/vas-ai-hub/contract-review">39</start>
      <end xmlns="http://schemas.wps.cn/vas-ai-hub/contract-review">41</end>
      <status xmlns="http://schemas.wps.cn/vas-ai-hub/contract-review">modified</status>
      <modifiedWord xmlns="http://schemas.wps.cn/vas-ai-hub/contract-review">获取</modifiedWord>
      <trackRevisions xmlns="http://schemas.wps.cn/vas-ai-hub/contract-review">false</trackRevisions>
    </reviewItem>
    <reviewItem xmlns="http://schemas.wps.cn/vas-ai-hub/contract-review">
      <errorID xmlns="http://schemas.wps.cn/vas-ai-hub/contract-review">d3d3e3b1-e2eb-438f-bcb5-a252c7cd8b77</errorID>
      <errorWord xmlns="http://schemas.wps.cn/vas-ai-hub/contract-review">，</errorWord>
      <group xmlns="http://schemas.wps.cn/vas-ai-hub/contract-review">L1_Grammar</group>
      <groupName xmlns="http://schemas.wps.cn/vas-ai-hub/contract-review">语法问题</groupName>
      <ability xmlns="http://schemas.wps.cn/vas-ai-hub/contract-review">L2_Grammar</ability>
      <abilityName xmlns="http://schemas.wps.cn/vas-ai-hub/contract-review">语法错误</abilityName>
      <candidateList xmlns="http://schemas.wps.cn/vas-ai-hub/contract-review">
        <item xmlns="http://schemas.wps.cn/vas-ai-hub/contract-review">信息，</item>
      </candidateList>
      <explain xmlns="http://schemas.wps.cn/vas-ai-hub/contract-review"/>
      <paraID xmlns="http://schemas.wps.cn/vas-ai-hub/contract-review">14FD2F75</paraID>
      <start xmlns="http://schemas.wps.cn/vas-ai-hub/contract-review">59</start>
      <end xmlns="http://schemas.wps.cn/vas-ai-hub/contract-review">62</end>
      <status xmlns="http://schemas.wps.cn/vas-ai-hub/contract-review">modified</status>
      <modifiedWord xmlns="http://schemas.wps.cn/vas-ai-hub/contract-review">信息，</modifiedWord>
      <trackRevisions xmlns="http://schemas.wps.cn/vas-ai-hub/contract-review">false</trackRevisions>
    </reviewItem>
    <reviewItem xmlns="http://schemas.wps.cn/vas-ai-hub/contract-review">
      <errorID xmlns="http://schemas.wps.cn/vas-ai-hub/contract-review">04c7c0f6-15fb-4c66-b57a-dd3c09fb82a8</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14FD2F75</paraID>
      <start xmlns="http://schemas.wps.cn/vas-ai-hub/contract-review">87</start>
      <end xmlns="http://schemas.wps.cn/vas-ai-hub/contract-review">89</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10100a89-1c88-4a3e-892a-85ba06a87fa8</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637E22DF</paraID>
      <start xmlns="http://schemas.wps.cn/vas-ai-hub/contract-review">15</start>
      <end xmlns="http://schemas.wps.cn/vas-ai-hub/contract-review">16</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a245d7a7-116f-45aa-8927-e7804e02fd30</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
      </candidateList>
      <explain xmlns="http://schemas.wps.cn/vas-ai-hub/contract-review"/>
      <paraID xmlns="http://schemas.wps.cn/vas-ai-hub/contract-review">637E22DF</paraID>
      <start xmlns="http://schemas.wps.cn/vas-ai-hub/contract-review">27</start>
      <end xmlns="http://schemas.wps.cn/vas-ai-hub/contract-review">27</end>
      <status xmlns="http://schemas.wps.cn/vas-ai-hub/contract-review">modified</status>
      <modifiedWord xmlns="http://schemas.wps.cn/vas-ai-hub/contract-review"/>
      <trackRevisions xmlns="http://schemas.wps.cn/vas-ai-hub/contract-review">false</trackRevisions>
    </reviewItem>
    <reviewItem xmlns="http://schemas.wps.cn/vas-ai-hub/contract-review">
      <errorID xmlns="http://schemas.wps.cn/vas-ai-hub/contract-review">f50e98c7-d2d0-450b-88fc-4b5dca0c7b1e</errorID>
      <errorWord xmlns="http://schemas.wps.cn/vas-ai-hub/contract-review">如</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，如</item>
      </candidateList>
      <explain xmlns="http://schemas.wps.cn/vas-ai-hub/contract-review"/>
      <paraID xmlns="http://schemas.wps.cn/vas-ai-hub/contract-review">637E22DF</paraID>
      <start xmlns="http://schemas.wps.cn/vas-ai-hub/contract-review">57</start>
      <end xmlns="http://schemas.wps.cn/vas-ai-hub/contract-review">59</end>
      <status xmlns="http://schemas.wps.cn/vas-ai-hub/contract-review">modified</status>
      <modifiedWord xmlns="http://schemas.wps.cn/vas-ai-hub/contract-review">，如</modifiedWord>
      <trackRevisions xmlns="http://schemas.wps.cn/vas-ai-hub/contract-review">false</trackRevisions>
    </reviewItem>
    <reviewItem xmlns="http://schemas.wps.cn/vas-ai-hub/contract-review">
      <errorID xmlns="http://schemas.wps.cn/vas-ai-hub/contract-review">cc915a5f-2fc5-4b66-aea6-bf5b7bfd9346</errorID>
      <errorWord xmlns="http://schemas.wps.cn/vas-ai-hub/contract-review">或</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，或</item>
      </candidateList>
      <explain xmlns="http://schemas.wps.cn/vas-ai-hub/contract-review"/>
      <paraID xmlns="http://schemas.wps.cn/vas-ai-hub/contract-review">637E22DF</paraID>
      <start xmlns="http://schemas.wps.cn/vas-ai-hub/contract-review">63</start>
      <end xmlns="http://schemas.wps.cn/vas-ai-hub/contract-review">65</end>
      <status xmlns="http://schemas.wps.cn/vas-ai-hub/contract-review">modified</status>
      <modifiedWord xmlns="http://schemas.wps.cn/vas-ai-hub/contract-review">，或</modifiedWord>
      <trackRevisions xmlns="http://schemas.wps.cn/vas-ai-hub/contract-review">false</trackRevisions>
    </reviewItem>
    <reviewItem xmlns="http://schemas.wps.cn/vas-ai-hub/contract-review">
      <errorID xmlns="http://schemas.wps.cn/vas-ai-hub/contract-review">5219c090-9c82-426f-ad40-576560677bb7</errorID>
      <errorWord xmlns="http://schemas.wps.cn/vas-ai-hub/contract-review">来</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，以</item>
      </candidateList>
      <explain xmlns="http://schemas.wps.cn/vas-ai-hub/contract-review"/>
      <paraID xmlns="http://schemas.wps.cn/vas-ai-hub/contract-review">637E22DF</paraID>
      <start xmlns="http://schemas.wps.cn/vas-ai-hub/contract-review">75</start>
      <end xmlns="http://schemas.wps.cn/vas-ai-hub/contract-review">77</end>
      <status xmlns="http://schemas.wps.cn/vas-ai-hub/contract-review">modified</status>
      <modifiedWord xmlns="http://schemas.wps.cn/vas-ai-hub/contract-review">，以</modifiedWord>
      <trackRevisions xmlns="http://schemas.wps.cn/vas-ai-hub/contract-review">false</trackRevisions>
    </reviewItem>
    <reviewItem xmlns="http://schemas.wps.cn/vas-ai-hub/contract-review">
      <errorID xmlns="http://schemas.wps.cn/vas-ai-hub/contract-review">94cc7b7f-45a0-495e-8637-40a201efeaaf</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
      </candidateList>
      <explain xmlns="http://schemas.wps.cn/vas-ai-hub/contract-review"/>
      <paraID xmlns="http://schemas.wps.cn/vas-ai-hub/contract-review">637E22DF</paraID>
      <start xmlns="http://schemas.wps.cn/vas-ai-hub/contract-review">111</start>
      <end xmlns="http://schemas.wps.cn/vas-ai-hub/contract-review">111</end>
      <status xmlns="http://schemas.wps.cn/vas-ai-hub/contract-review">modified</status>
      <modifiedWord xmlns="http://schemas.wps.cn/vas-ai-hub/contract-review"/>
      <trackRevisions xmlns="http://schemas.wps.cn/vas-ai-hub/contract-review">false</trackRevisions>
    </reviewItem>
    <reviewItem xmlns="http://schemas.wps.cn/vas-ai-hub/contract-review">
      <errorID xmlns="http://schemas.wps.cn/vas-ai-hub/contract-review">05c6b4b3-9083-47bd-9bab-0181f40ecf18</errorID>
      <errorWord xmlns="http://schemas.wps.cn/vas-ai-hub/contract-review">如若</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。如若</item>
      </candidateList>
      <explain xmlns="http://schemas.wps.cn/vas-ai-hub/contract-review"/>
      <paraID xmlns="http://schemas.wps.cn/vas-ai-hub/contract-review">637E22DF</paraID>
      <start xmlns="http://schemas.wps.cn/vas-ai-hub/contract-review">148</start>
      <end xmlns="http://schemas.wps.cn/vas-ai-hub/contract-review">151</end>
      <status xmlns="http://schemas.wps.cn/vas-ai-hub/contract-review">modified</status>
      <modifiedWord xmlns="http://schemas.wps.cn/vas-ai-hub/contract-review">。如若</modifiedWord>
      <trackRevisions xmlns="http://schemas.wps.cn/vas-ai-hub/contract-review">false</trackRevisions>
    </reviewItem>
    <reviewItem xmlns="http://schemas.wps.cn/vas-ai-hub/contract-review">
      <errorID xmlns="http://schemas.wps.cn/vas-ai-hub/contract-review">23b24350-0917-4a62-9ee5-fc88132dc6ca</errorID>
      <errorWord xmlns="http://schemas.wps.cn/vas-ai-hub/contract-review">需要</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需求，</item>
      </candidateList>
      <explain xmlns="http://schemas.wps.cn/vas-ai-hub/contract-review"/>
      <paraID xmlns="http://schemas.wps.cn/vas-ai-hub/contract-review">637E22DF</paraID>
      <start xmlns="http://schemas.wps.cn/vas-ai-hub/contract-review">163</start>
      <end xmlns="http://schemas.wps.cn/vas-ai-hub/contract-review">166</end>
      <status xmlns="http://schemas.wps.cn/vas-ai-hub/contract-review">modified</status>
      <modifiedWord xmlns="http://schemas.wps.cn/vas-ai-hub/contract-review">需求，</modifiedWord>
      <trackRevisions xmlns="http://schemas.wps.cn/vas-ai-hub/contract-review">false</trackRevisions>
    </reviewItem>
    <reviewItem xmlns="http://schemas.wps.cn/vas-ai-hub/contract-review">
      <errorID xmlns="http://schemas.wps.cn/vas-ai-hub/contract-review">890de95b-dc13-4b9a-9230-56b7601ddc87</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
      </candidateList>
      <explain xmlns="http://schemas.wps.cn/vas-ai-hub/contract-review"/>
      <paraID xmlns="http://schemas.wps.cn/vas-ai-hub/contract-review">637E22DF</paraID>
      <start xmlns="http://schemas.wps.cn/vas-ai-hub/contract-review">180</start>
      <end xmlns="http://schemas.wps.cn/vas-ai-hub/contract-review">180</end>
      <status xmlns="http://schemas.wps.cn/vas-ai-hub/contract-review">modified</status>
      <modifiedWord xmlns="http://schemas.wps.cn/vas-ai-hub/contract-review"/>
      <trackRevisions xmlns="http://schemas.wps.cn/vas-ai-hub/contract-review">false</trackRevisions>
    </reviewItem>
    <reviewItem xmlns="http://schemas.wps.cn/vas-ai-hub/contract-review">
      <errorID xmlns="http://schemas.wps.cn/vas-ai-hub/contract-review">a5f2904e-8341-43c0-aef9-d1e17b02fd6b</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637E22DF</paraID>
      <start xmlns="http://schemas.wps.cn/vas-ai-hub/contract-review">202</start>
      <end xmlns="http://schemas.wps.cn/vas-ai-hub/contract-review">204</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52942409-f8b1-47ec-96a0-5b59e7e69f0b</errorID>
      <errorWord xmlns="http://schemas.wps.cn/vas-ai-hub/contract-review">实现</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，实现</item>
      </candidateList>
      <explain xmlns="http://schemas.wps.cn/vas-ai-hub/contract-review"/>
      <paraID xmlns="http://schemas.wps.cn/vas-ai-hub/contract-review">6BD917AF</paraID>
      <start xmlns="http://schemas.wps.cn/vas-ai-hub/contract-review">16</start>
      <end xmlns="http://schemas.wps.cn/vas-ai-hub/contract-review">19</end>
      <status xmlns="http://schemas.wps.cn/vas-ai-hub/contract-review">modified</status>
      <modifiedWord xmlns="http://schemas.wps.cn/vas-ai-hub/contract-review">，实现</modifiedWord>
      <trackRevisions xmlns="http://schemas.wps.cn/vas-ai-hub/contract-review">false</trackRevisions>
    </reviewItem>
    <reviewItem xmlns="http://schemas.wps.cn/vas-ai-hub/contract-review">
      <errorID xmlns="http://schemas.wps.cn/vas-ai-hub/contract-review">8c1220bf-f887-4785-a11e-9560a416d725</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6BD917AF</paraID>
      <start xmlns="http://schemas.wps.cn/vas-ai-hub/contract-review">25</start>
      <end xmlns="http://schemas.wps.cn/vas-ai-hub/contract-review">26</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c4a9ddac-7b82-4adf-8e3c-6d1012615b5b</errorID>
      <errorWord xmlns="http://schemas.wps.cn/vas-ai-hub/contract-review">（</errorWord>
      <group xmlns="http://schemas.wps.cn/vas-ai-hub/contract-review">L1_Grammar</group>
      <groupName xmlns="http://schemas.wps.cn/vas-ai-hub/contract-review">语法问题</groupName>
      <ability xmlns="http://schemas.wps.cn/vas-ai-hub/contract-review">L2_Grammar</ability>
      <abilityName xmlns="http://schemas.wps.cn/vas-ai-hub/contract-review">语法错误</abilityName>
      <candidateList xmlns="http://schemas.wps.cn/vas-ai-hub/contract-review">
        <item xmlns="http://schemas.wps.cn/vas-ai-hub/contract-review">操作（</item>
      </candidateList>
      <explain xmlns="http://schemas.wps.cn/vas-ai-hub/contract-review"/>
      <paraID xmlns="http://schemas.wps.cn/vas-ai-hub/contract-review">6BD917AF</paraID>
      <start xmlns="http://schemas.wps.cn/vas-ai-hub/contract-review">72</start>
      <end xmlns="http://schemas.wps.cn/vas-ai-hub/contract-review">75</end>
      <status xmlns="http://schemas.wps.cn/vas-ai-hub/contract-review">modified</status>
      <modifiedWord xmlns="http://schemas.wps.cn/vas-ai-hub/contract-review">操作（</modifiedWord>
      <trackRevisions xmlns="http://schemas.wps.cn/vas-ai-hub/contract-review">false</trackRevisions>
    </reviewItem>
    <reviewItem xmlns="http://schemas.wps.cn/vas-ai-hub/contract-review">
      <errorID xmlns="http://schemas.wps.cn/vas-ai-hub/contract-review">85b11fa5-18e1-495a-8290-9dc001ef623f</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6BD917AF</paraID>
      <start xmlns="http://schemas.wps.cn/vas-ai-hub/contract-review">80</start>
      <end xmlns="http://schemas.wps.cn/vas-ai-hub/contract-review">82</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ef6019a5-1e13-44c3-b053-61d70411824c</errorID>
      <errorWord xmlns="http://schemas.wps.cn/vas-ai-hub/contract-review">平台可</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平台</item>
      </candidateList>
      <explain xmlns="http://schemas.wps.cn/vas-ai-hub/contract-review"/>
      <paraID xmlns="http://schemas.wps.cn/vas-ai-hub/contract-review">5D878766</paraID>
      <start xmlns="http://schemas.wps.cn/vas-ai-hub/contract-review">33</start>
      <end xmlns="http://schemas.wps.cn/vas-ai-hub/contract-review">35</end>
      <status xmlns="http://schemas.wps.cn/vas-ai-hub/contract-review">modified</status>
      <modifiedWord xmlns="http://schemas.wps.cn/vas-ai-hub/contract-review">平台</modifiedWord>
      <trackRevisions xmlns="http://schemas.wps.cn/vas-ai-hub/contract-review">false</trackRevisions>
    </reviewItem>
    <reviewItem xmlns="http://schemas.wps.cn/vas-ai-hub/contract-review">
      <errorID xmlns="http://schemas.wps.cn/vas-ai-hub/contract-review">0be3fa72-4eb2-4ca4-b577-dafc829ac70a</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5D878766</paraID>
      <start xmlns="http://schemas.wps.cn/vas-ai-hub/contract-review">51</start>
      <end xmlns="http://schemas.wps.cn/vas-ai-hub/contract-review">53</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e7141c38-e41e-473b-b2fe-388bfe47efa6</errorID>
      <errorWord xmlns="http://schemas.wps.cn/vas-ai-hub/contract-review">2、</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2.</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 AD783A6</paraID>
      <start xmlns="http://schemas.wps.cn/vas-ai-hub/contract-review">0</start>
      <end xmlns="http://schemas.wps.cn/vas-ai-hub/contract-review">2</end>
      <status xmlns="http://schemas.wps.cn/vas-ai-hub/contract-review">modified</status>
      <modifiedWord xmlns="http://schemas.wps.cn/vas-ai-hub/contract-review">2.</modifiedWord>
      <trackRevisions xmlns="http://schemas.wps.cn/vas-ai-hub/contract-review">false</trackRevisions>
    </reviewItem>
    <reviewItem xmlns="http://schemas.wps.cn/vas-ai-hub/contract-review">
      <errorID xmlns="http://schemas.wps.cn/vas-ai-hub/contract-review">e55e6c33-a980-41f7-99db-f8a5fc1e650c</errorID>
      <errorWord xmlns="http://schemas.wps.cn/vas-ai-hub/contract-review">灵活的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灵活</item>
      </candidateList>
      <explain xmlns="http://schemas.wps.cn/vas-ai-hub/contract-review"/>
      <paraID xmlns="http://schemas.wps.cn/vas-ai-hub/contract-review">623A3362</paraID>
      <start xmlns="http://schemas.wps.cn/vas-ai-hub/contract-review">210</start>
      <end xmlns="http://schemas.wps.cn/vas-ai-hub/contract-review">212</end>
      <status xmlns="http://schemas.wps.cn/vas-ai-hub/contract-review">modified</status>
      <modifiedWord xmlns="http://schemas.wps.cn/vas-ai-hub/contract-review">灵活</modifiedWord>
      <trackRevisions xmlns="http://schemas.wps.cn/vas-ai-hub/contract-review">false</trackRevisions>
    </reviewItem>
    <reviewItem xmlns="http://schemas.wps.cn/vas-ai-hub/contract-review">
      <errorID xmlns="http://schemas.wps.cn/vas-ai-hub/contract-review">97346f02-92f2-442e-8f2c-69bc334ea01c</errorID>
      <errorWord xmlns="http://schemas.wps.cn/vas-ai-hub/contract-review">关闭电能源</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关闭电源</item>
      </candidateList>
      <explain xmlns="http://schemas.wps.cn/vas-ai-hub/contract-review"/>
      <paraID xmlns="http://schemas.wps.cn/vas-ai-hub/contract-review">5ABFC059</paraID>
      <start xmlns="http://schemas.wps.cn/vas-ai-hub/contract-review">42</start>
      <end xmlns="http://schemas.wps.cn/vas-ai-hub/contract-review">46</end>
      <status xmlns="http://schemas.wps.cn/vas-ai-hub/contract-review">modified</status>
      <modifiedWord xmlns="http://schemas.wps.cn/vas-ai-hub/contract-review">关闭电源</modifiedWord>
      <trackRevisions xmlns="http://schemas.wps.cn/vas-ai-hub/contract-review">false</trackRevisions>
    </reviewItem>
    <reviewItem xmlns="http://schemas.wps.cn/vas-ai-hub/contract-review">
      <errorID xmlns="http://schemas.wps.cn/vas-ai-hub/contract-review">858b716d-ad79-414b-85c3-b5e35ff2035e</errorID>
      <errorWord xmlns="http://schemas.wps.cn/vas-ai-hub/contract-review">秘钥</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密钥</item>
      </candidateList>
      <explain xmlns="http://schemas.wps.cn/vas-ai-hub/contract-review">〈名〉密码和明码之间的对应替代关系。如以00，01，02，03代替字母A，B，C，D，那么00译成A，01译成B，02译成C，03译成D就是密钥。</explain>
      <paraID xmlns="http://schemas.wps.cn/vas-ai-hub/contract-review">5ABFC059</paraID>
      <start xmlns="http://schemas.wps.cn/vas-ai-hub/contract-review">63</start>
      <end xmlns="http://schemas.wps.cn/vas-ai-hub/contract-review">65</end>
      <status xmlns="http://schemas.wps.cn/vas-ai-hub/contract-review">modified</status>
      <modifiedWord xmlns="http://schemas.wps.cn/vas-ai-hub/contract-review">密钥</modifiedWord>
      <trackRevisions xmlns="http://schemas.wps.cn/vas-ai-hub/contract-review">false</trackRevisions>
    </reviewItem>
    <reviewItem xmlns="http://schemas.wps.cn/vas-ai-hub/contract-review">
      <errorID xmlns="http://schemas.wps.cn/vas-ai-hub/contract-review">3c812e5d-e979-4c54-9025-b85296d24073</errorID>
      <errorWord xmlns="http://schemas.wps.cn/vas-ai-hub/contract-review">模版</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模板</item>
      </candidateList>
      <explain xmlns="http://schemas.wps.cn/vas-ai-hub/contract-review">存在发音相同字词的误用。</explain>
      <paraID xmlns="http://schemas.wps.cn/vas-ai-hub/contract-review"> C1CB487</paraID>
      <start xmlns="http://schemas.wps.cn/vas-ai-hub/contract-review">38</start>
      <end xmlns="http://schemas.wps.cn/vas-ai-hub/contract-review">40</end>
      <status xmlns="http://schemas.wps.cn/vas-ai-hub/contract-review">modified</status>
      <modifiedWord xmlns="http://schemas.wps.cn/vas-ai-hub/contract-review">模板</modifiedWord>
      <trackRevisions xmlns="http://schemas.wps.cn/vas-ai-hub/contract-review">false</trackRevisions>
    </reviewItem>
    <reviewItem xmlns="http://schemas.wps.cn/vas-ai-hub/contract-review">
      <errorID xmlns="http://schemas.wps.cn/vas-ai-hub/contract-review">4efce17f-1659-4bb0-8b3b-45b9537f28d1</errorID>
      <errorWord xmlns="http://schemas.wps.cn/vas-ai-hub/contract-review">不通</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不同</item>
      </candidateList>
      <explain xmlns="http://schemas.wps.cn/vas-ai-hub/contract-review"/>
      <paraID xmlns="http://schemas.wps.cn/vas-ai-hub/contract-review">11DA1AE6</paraID>
      <start xmlns="http://schemas.wps.cn/vas-ai-hub/contract-review">6</start>
      <end xmlns="http://schemas.wps.cn/vas-ai-hub/contract-review">8</end>
      <status xmlns="http://schemas.wps.cn/vas-ai-hub/contract-review">modified</status>
      <modifiedWord xmlns="http://schemas.wps.cn/vas-ai-hub/contract-review">不同</modifiedWord>
      <trackRevisions xmlns="http://schemas.wps.cn/vas-ai-hub/contract-review">false</trackRevisions>
    </reviewItem>
    <reviewItem xmlns="http://schemas.wps.cn/vas-ai-hub/contract-review">
      <errorID xmlns="http://schemas.wps.cn/vas-ai-hub/contract-review">e530c434-5a84-4555-9cce-14e7f228be82</errorID>
      <errorWord xmlns="http://schemas.wps.cn/vas-ai-hub/contract-review">根据</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通过</item>
      </candidateList>
      <explain xmlns="http://schemas.wps.cn/vas-ai-hub/contract-review"/>
      <paraID xmlns="http://schemas.wps.cn/vas-ai-hub/contract-review">1FE9CEC7</paraID>
      <start xmlns="http://schemas.wps.cn/vas-ai-hub/contract-review">12</start>
      <end xmlns="http://schemas.wps.cn/vas-ai-hub/contract-review">14</end>
      <status xmlns="http://schemas.wps.cn/vas-ai-hub/contract-review">modified</status>
      <modifiedWord xmlns="http://schemas.wps.cn/vas-ai-hub/contract-review">通过</modifiedWord>
      <trackRevisions xmlns="http://schemas.wps.cn/vas-ai-hub/contract-review">false</trackRevisions>
    </reviewItem>
    <reviewItem xmlns="http://schemas.wps.cn/vas-ai-hub/contract-review">
      <errorID xmlns="http://schemas.wps.cn/vas-ai-hub/contract-review">fdb67ebb-d6c0-4b91-baa0-1b4fa37c6b8b</errorID>
      <errorWord xmlns="http://schemas.wps.cn/vas-ai-hub/contract-review">限制数量使用</errorWord>
      <group xmlns="http://schemas.wps.cn/vas-ai-hub/contract-review">L1_Grammar</group>
      <groupName xmlns="http://schemas.wps.cn/vas-ai-hub/contract-review">语法问题</groupName>
      <ability xmlns="http://schemas.wps.cn/vas-ai-hub/contract-review">L2_Grammar</ability>
      <abilityName xmlns="http://schemas.wps.cn/vas-ai-hub/contract-review">语法错误</abilityName>
      <candidateList xmlns="http://schemas.wps.cn/vas-ai-hub/contract-review">
        <item xmlns="http://schemas.wps.cn/vas-ai-hub/contract-review">限制</item>
      </candidateList>
      <explain xmlns="http://schemas.wps.cn/vas-ai-hub/contract-review"/>
      <paraID xmlns="http://schemas.wps.cn/vas-ai-hub/contract-review">3159DC9C</paraID>
      <start xmlns="http://schemas.wps.cn/vas-ai-hub/contract-review">90</start>
      <end xmlns="http://schemas.wps.cn/vas-ai-hub/contract-review">96</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184f81fb-b9a2-4c42-bb7b-6bd88fdbeb4a</errorID>
      <errorWord xmlns="http://schemas.wps.cn/vas-ai-hub/contract-review">须支持</errorWord>
      <group xmlns="http://schemas.wps.cn/vas-ai-hub/contract-review">L1_Grammar</group>
      <groupName xmlns="http://schemas.wps.cn/vas-ai-hub/contract-review">语法问题</groupName>
      <ability xmlns="http://schemas.wps.cn/vas-ai-hub/contract-review">L2_Grammar</ability>
      <abilityName xmlns="http://schemas.wps.cn/vas-ai-hub/contract-review">语法错误</abilityName>
      <candidateList xmlns="http://schemas.wps.cn/vas-ai-hub/contract-review">
        <item xmlns="http://schemas.wps.cn/vas-ai-hub/contract-review">须</item>
      </candidateList>
      <explain xmlns="http://schemas.wps.cn/vas-ai-hub/contract-review"/>
      <paraID xmlns="http://schemas.wps.cn/vas-ai-hub/contract-review">36DA2F55</paraID>
      <start xmlns="http://schemas.wps.cn/vas-ai-hub/contract-review">5</start>
      <end xmlns="http://schemas.wps.cn/vas-ai-hub/contract-review">6</end>
      <status xmlns="http://schemas.wps.cn/vas-ai-hub/contract-review">modified</status>
      <modifiedWord xmlns="http://schemas.wps.cn/vas-ai-hub/contract-review">须</modifiedWord>
      <trackRevisions xmlns="http://schemas.wps.cn/vas-ai-hub/contract-review">false</trackRevisions>
    </reviewItem>
    <reviewItem xmlns="http://schemas.wps.cn/vas-ai-hub/contract-review">
      <errorID xmlns="http://schemas.wps.cn/vas-ai-hub/contract-review">610cf064-7674-49f1-9cf7-fb97dcfd223a</errorID>
      <errorWord xmlns="http://schemas.wps.cn/vas-ai-hub/contract-review">、以及</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，以及</item>
      </candidateList>
      <explain xmlns="http://schemas.wps.cn/vas-ai-hub/contract-review">连接词前后不宜使用顿号，建议使用逗号。</explain>
      <paraID xmlns="http://schemas.wps.cn/vas-ai-hub/contract-review"> BC90EAF</paraID>
      <start xmlns="http://schemas.wps.cn/vas-ai-hub/contract-review">41</start>
      <end xmlns="http://schemas.wps.cn/vas-ai-hub/contract-review">44</end>
      <status xmlns="http://schemas.wps.cn/vas-ai-hub/contract-review">modified</status>
      <modifiedWord xmlns="http://schemas.wps.cn/vas-ai-hub/contract-review">，以及</modifiedWord>
      <trackRevisions xmlns="http://schemas.wps.cn/vas-ai-hub/contract-review">false</trackRevisions>
    </reviewItem>
    <reviewItem xmlns="http://schemas.wps.cn/vas-ai-hub/contract-review">
      <errorID xmlns="http://schemas.wps.cn/vas-ai-hub/contract-review">b2c57c25-679a-4f1b-93ac-c2e42a920031</errorID>
      <errorWord xmlns="http://schemas.wps.cn/vas-ai-hub/contract-review">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地</item>
      </candidateList>
      <explain xmlns="http://schemas.wps.cn/vas-ai-hub/contract-review"/>
      <paraID xmlns="http://schemas.wps.cn/vas-ai-hub/contract-review">5D7FDF8C</paraID>
      <start xmlns="http://schemas.wps.cn/vas-ai-hub/contract-review">7</start>
      <end xmlns="http://schemas.wps.cn/vas-ai-hub/contract-review">8</end>
      <status xmlns="http://schemas.wps.cn/vas-ai-hub/contract-review">modified</status>
      <modifiedWord xmlns="http://schemas.wps.cn/vas-ai-hub/contract-review">地</modifiedWord>
      <trackRevisions xmlns="http://schemas.wps.cn/vas-ai-hub/contract-review">false</trackRevisions>
    </reviewItem>
    <reviewItem xmlns="http://schemas.wps.cn/vas-ai-hub/contract-review">
      <errorID xmlns="http://schemas.wps.cn/vas-ai-hub/contract-review">6575b74a-46a6-45cc-9b4d-f0f55d2f3152</errorID>
      <errorWord xmlns="http://schemas.wps.cn/vas-ai-hub/contract-review">须支持</errorWord>
      <group xmlns="http://schemas.wps.cn/vas-ai-hub/contract-review">L1_Grammar</group>
      <groupName xmlns="http://schemas.wps.cn/vas-ai-hub/contract-review">语法问题</groupName>
      <ability xmlns="http://schemas.wps.cn/vas-ai-hub/contract-review">L2_Grammar</ability>
      <abilityName xmlns="http://schemas.wps.cn/vas-ai-hub/contract-review">语法错误</abilityName>
      <candidateList xmlns="http://schemas.wps.cn/vas-ai-hub/contract-review">
        <item xmlns="http://schemas.wps.cn/vas-ai-hub/contract-review">须</item>
      </candidateList>
      <explain xmlns="http://schemas.wps.cn/vas-ai-hub/contract-review"/>
      <paraID xmlns="http://schemas.wps.cn/vas-ai-hub/contract-review">22F4BDE6</paraID>
      <start xmlns="http://schemas.wps.cn/vas-ai-hub/contract-review">19</start>
      <end xmlns="http://schemas.wps.cn/vas-ai-hub/contract-review">20</end>
      <status xmlns="http://schemas.wps.cn/vas-ai-hub/contract-review">modified</status>
      <modifiedWord xmlns="http://schemas.wps.cn/vas-ai-hub/contract-review">须</modifiedWord>
      <trackRevisions xmlns="http://schemas.wps.cn/vas-ai-hub/contract-review">false</trackRevisions>
    </reviewItem>
    <reviewItem xmlns="http://schemas.wps.cn/vas-ai-hub/contract-review">
      <errorID xmlns="http://schemas.wps.cn/vas-ai-hub/contract-review">7a283be2-c560-451f-ac37-feec1cfb6314</errorID>
      <errorWord xmlns="http://schemas.wps.cn/vas-ai-hub/contract-review">云主机</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功能</item>
      </candidateList>
      <explain xmlns="http://schemas.wps.cn/vas-ai-hub/contract-review"/>
      <paraID xmlns="http://schemas.wps.cn/vas-ai-hub/contract-review">22F4BDE6</paraID>
      <start xmlns="http://schemas.wps.cn/vas-ai-hub/contract-review">81</start>
      <end xmlns="http://schemas.wps.cn/vas-ai-hub/contract-review">84</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008ac144-13b7-4672-a7c4-de757ca90607</errorID>
      <errorWord xmlns="http://schemas.wps.cn/vas-ai-hub/contract-review">自定义</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流程</item>
      </candidateList>
      <explain xmlns="http://schemas.wps.cn/vas-ai-hub/contract-review"/>
      <paraID xmlns="http://schemas.wps.cn/vas-ai-hub/contract-review">1612AA76</paraID>
      <start xmlns="http://schemas.wps.cn/vas-ai-hub/contract-review">90</start>
      <end xmlns="http://schemas.wps.cn/vas-ai-hub/contract-review">93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927705e6-5ca9-4c5a-8444-c4b7b7507eb6</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
      </candidateList>
      <explain xmlns="http://schemas.wps.cn/vas-ai-hub/contract-review"/>
      <paraID xmlns="http://schemas.wps.cn/vas-ai-hub/contract-review">1612AA76</paraID>
      <start xmlns="http://schemas.wps.cn/vas-ai-hub/contract-review">143</start>
      <end xmlns="http://schemas.wps.cn/vas-ai-hub/contract-review">143</end>
      <status xmlns="http://schemas.wps.cn/vas-ai-hub/contract-review">modified</status>
      <modifiedWord xmlns="http://schemas.wps.cn/vas-ai-hub/contract-review"/>
      <trackRevisions xmlns="http://schemas.wps.cn/vas-ai-hub/contract-review">false</trackRevisions>
    </reviewItem>
    <reviewItem xmlns="http://schemas.wps.cn/vas-ai-hub/contract-review">
      <errorID xmlns="http://schemas.wps.cn/vas-ai-hub/contract-review">ea4732b4-48e4-40a7-a5ab-85f27afd4577</errorID>
      <errorWord xmlns="http://schemas.wps.cn/vas-ai-hub/contract-review">方便性</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便捷性</item>
      </candidateList>
      <explain xmlns="http://schemas.wps.cn/vas-ai-hub/contract-review"/>
      <paraID xmlns="http://schemas.wps.cn/vas-ai-hub/contract-review">35D7C6C7</paraID>
      <start xmlns="http://schemas.wps.cn/vas-ai-hub/contract-review">5</start>
      <end xmlns="http://schemas.wps.cn/vas-ai-hub/contract-review">8</end>
      <status xmlns="http://schemas.wps.cn/vas-ai-hub/contract-review">modified</status>
      <modifiedWord xmlns="http://schemas.wps.cn/vas-ai-hub/contract-review">便捷性</modifiedWord>
      <trackRevisions xmlns="http://schemas.wps.cn/vas-ai-hub/contract-review">false</trackRevisions>
    </reviewItem>
    <reviewItem xmlns="http://schemas.wps.cn/vas-ai-hub/contract-review">
      <errorID xmlns="http://schemas.wps.cn/vas-ai-hub/contract-review">63812aad-8983-458a-a8fa-26c9cf38e1eb</errorID>
      <errorWord xmlns="http://schemas.wps.cn/vas-ai-hub/contract-review">个性化为不同用户</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为不同用户个性化</item>
      </candidateList>
      <explain xmlns="http://schemas.wps.cn/vas-ai-hub/contract-review"/>
      <paraID xmlns="http://schemas.wps.cn/vas-ai-hub/contract-review">35D7C6C7</paraID>
      <start xmlns="http://schemas.wps.cn/vas-ai-hub/contract-review">34</start>
      <end xmlns="http://schemas.wps.cn/vas-ai-hub/contract-review">42</end>
      <status xmlns="http://schemas.wps.cn/vas-ai-hub/contract-review">modified</status>
      <modifiedWord xmlns="http://schemas.wps.cn/vas-ai-hub/contract-review">为不同用户个性化</modifiedWord>
      <trackRevisions xmlns="http://schemas.wps.cn/vas-ai-hub/contract-review">false</trackRevisions>
    </reviewItem>
    <reviewItem xmlns="http://schemas.wps.cn/vas-ai-hub/contract-review">
      <errorID xmlns="http://schemas.wps.cn/vas-ai-hub/contract-review">f1022769-47cf-4c89-a817-c6a4824d09c2</errorID>
      <errorWord xmlns="http://schemas.wps.cn/vas-ai-hub/contract-review">中来</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中</item>
      </candidateList>
      <explain xmlns="http://schemas.wps.cn/vas-ai-hub/contract-review">〈动〉❶正对上；恰好合上：～选｜猜～了｜三枪都打～了目标。❷受到；遭受：～毒｜～暑｜胳膊上～了一枪。</explain>
      <paraID xmlns="http://schemas.wps.cn/vas-ai-hub/contract-review">4E64E4AA</paraID>
      <start xmlns="http://schemas.wps.cn/vas-ai-hub/contract-review">37</start>
      <end xmlns="http://schemas.wps.cn/vas-ai-hub/contract-review">38</end>
      <status xmlns="http://schemas.wps.cn/vas-ai-hub/contract-review">modified</status>
      <modifiedWord xmlns="http://schemas.wps.cn/vas-ai-hub/contract-review">中</modifiedWord>
      <trackRevisions xmlns="http://schemas.wps.cn/vas-ai-hub/contract-review">false</trackRevisions>
    </reviewItem>
    <reviewItem xmlns="http://schemas.wps.cn/vas-ai-hub/contract-review">
      <errorID xmlns="http://schemas.wps.cn/vas-ai-hub/contract-review">c9c675ab-3fcd-4c15-a5b7-93f45669105d</errorID>
      <errorWord xmlns="http://schemas.wps.cn/vas-ai-hub/contract-review">数据换存储</errorWord>
      <group xmlns="http://schemas.wps.cn/vas-ai-hub/contract-review">L1_Grammar</group>
      <groupName xmlns="http://schemas.wps.cn/vas-ai-hub/contract-review">语法问题</groupName>
      <ability xmlns="http://schemas.wps.cn/vas-ai-hub/contract-review">L2_Grammar</ability>
      <abilityName xmlns="http://schemas.wps.cn/vas-ai-hub/contract-review">语法错误</abilityName>
      <candidateList xmlns="http://schemas.wps.cn/vas-ai-hub/contract-review">
        <item xmlns="http://schemas.wps.cn/vas-ai-hub/contract-review">数据</item>
      </candidateList>
      <explain xmlns="http://schemas.wps.cn/vas-ai-hub/contract-review"/>
      <paraID xmlns="http://schemas.wps.cn/vas-ai-hub/contract-review">4E64E4AA</paraID>
      <start xmlns="http://schemas.wps.cn/vas-ai-hub/contract-review">73</start>
      <end xmlns="http://schemas.wps.cn/vas-ai-hub/contract-review">75</end>
      <status xmlns="http://schemas.wps.cn/vas-ai-hub/contract-review">modified</status>
      <modifiedWord xmlns="http://schemas.wps.cn/vas-ai-hub/contract-review">数据</modifiedWord>
      <trackRevisions xmlns="http://schemas.wps.cn/vas-ai-hub/contract-review">false</trackRevisions>
    </reviewItem>
    <reviewItem xmlns="http://schemas.wps.cn/vas-ai-hub/contract-review">
      <errorID xmlns="http://schemas.wps.cn/vas-ai-hub/contract-review">aa2862e6-3e50-43ad-b6ec-908a31e83cc4</errorID>
      <errorWord xmlns="http://schemas.wps.cn/vas-ai-hub/contract-review">。（提供技术支持材料）</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（提供技术支持材料）。</item>
      </candidateList>
      <explain xmlns="http://schemas.wps.cn/vas-ai-hub/contract-review"/>
      <paraID xmlns="http://schemas.wps.cn/vas-ai-hub/contract-review">241AB984</paraID>
      <start xmlns="http://schemas.wps.cn/vas-ai-hub/contract-review">29</start>
      <end xmlns="http://schemas.wps.cn/vas-ai-hub/contract-review">40</end>
      <status xmlns="http://schemas.wps.cn/vas-ai-hub/contract-review">modified</status>
      <modifiedWord xmlns="http://schemas.wps.cn/vas-ai-hub/contract-review">（提供技术支持材料）。</modifiedWord>
      <trackRevisions xmlns="http://schemas.wps.cn/vas-ai-hub/contract-review">false</trackRevisions>
    </reviewItem>
    <reviewItem xmlns="http://schemas.wps.cn/vas-ai-hub/contract-review">
      <errorID xmlns="http://schemas.wps.cn/vas-ai-hub/contract-review">5e8b3381-f0e9-4802-8710-bc840c535d2e</errorID>
      <errorWord xmlns="http://schemas.wps.cn/vas-ai-hub/contract-review">要求</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需</item>
      </candidateList>
      <explain xmlns="http://schemas.wps.cn/vas-ai-hub/contract-review"/>
      <paraID xmlns="http://schemas.wps.cn/vas-ai-hub/contract-review">585F3EB4</paraID>
      <start xmlns="http://schemas.wps.cn/vas-ai-hub/contract-review">10</start>
      <end xmlns="http://schemas.wps.cn/vas-ai-hub/contract-review">12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2d88d8de-4cea-4b51-9ec6-83819c58b1f0</errorID>
      <errorWord xmlns="http://schemas.wps.cn/vas-ai-hub/contract-review">，要求</errorWord>
      <group xmlns="http://schemas.wps.cn/vas-ai-hub/contract-review">L1_Grammar</group>
      <groupName xmlns="http://schemas.wps.cn/vas-ai-hub/contract-review">语法问题</groupName>
      <ability xmlns="http://schemas.wps.cn/vas-ai-hub/contract-review">L2_Grammar</ability>
      <abilityName xmlns="http://schemas.wps.cn/vas-ai-hub/contract-review">语法错误</abilityName>
      <candidateList xmlns="http://schemas.wps.cn/vas-ai-hub/contract-review">
        <item xmlns="http://schemas.wps.cn/vas-ai-hub/contract-review">，</item>
      </candidateList>
      <explain xmlns="http://schemas.wps.cn/vas-ai-hub/contract-review"/>
      <paraID xmlns="http://schemas.wps.cn/vas-ai-hub/contract-review">585F3EB4</paraID>
      <start xmlns="http://schemas.wps.cn/vas-ai-hub/contract-review">23</start>
      <end xmlns="http://schemas.wps.cn/vas-ai-hub/contract-review">24</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aa2544b2-3003-4e1f-af30-9cc93afc1e47</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
      </candidateList>
      <explain xmlns="http://schemas.wps.cn/vas-ai-hub/contract-review"/>
      <paraID xmlns="http://schemas.wps.cn/vas-ai-hub/contract-review">585F3EB4</paraID>
      <start xmlns="http://schemas.wps.cn/vas-ai-hub/contract-review">33</start>
      <end xmlns="http://schemas.wps.cn/vas-ai-hub/contract-review">33</end>
      <status xmlns="http://schemas.wps.cn/vas-ai-hub/contract-review">modified</status>
      <modifiedWord xmlns="http://schemas.wps.cn/vas-ai-hub/contract-review"/>
      <trackRevisions xmlns="http://schemas.wps.cn/vas-ai-hub/contract-review">false</trackRevisions>
    </reviewItem>
    <reviewItem xmlns="http://schemas.wps.cn/vas-ai-hub/contract-review">
      <errorID xmlns="http://schemas.wps.cn/vas-ai-hub/contract-review">2fbe89e4-b548-4572-94b3-28b428ac68e2</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585F3EB4</paraID>
      <start xmlns="http://schemas.wps.cn/vas-ai-hub/contract-review">42</start>
      <end xmlns="http://schemas.wps.cn/vas-ai-hub/contract-review">44</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8bab7547-6d96-426f-95b3-ca091e841407</errorID>
      <errorWord xmlns="http://schemas.wps.cn/vas-ai-hub/contract-review">断开链接</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断开连接</item>
      </candidateList>
      <explain xmlns="http://schemas.wps.cn/vas-ai-hub/contract-review">存在发音相同字词的误用。</explain>
      <paraID xmlns="http://schemas.wps.cn/vas-ai-hub/contract-review"> F70AA74</paraID>
      <start xmlns="http://schemas.wps.cn/vas-ai-hub/contract-review">4</start>
      <end xmlns="http://schemas.wps.cn/vas-ai-hub/contract-review">8</end>
      <status xmlns="http://schemas.wps.cn/vas-ai-hub/contract-review">modified</status>
      <modifiedWord xmlns="http://schemas.wps.cn/vas-ai-hub/contract-review">断开连接</modifiedWord>
      <trackRevisions xmlns="http://schemas.wps.cn/vas-ai-hub/contract-review">false</trackRevisions>
    </reviewItem>
    <reviewItem xmlns="http://schemas.wps.cn/vas-ai-hub/contract-review">
      <errorID xmlns="http://schemas.wps.cn/vas-ai-hub/contract-review">2de79a33-cad9-4677-a63b-51b633d04b44</errorID>
      <errorWord xmlns="http://schemas.wps.cn/vas-ai-hub/contract-review">之前</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之间</item>
      </candidateList>
      <explain xmlns="http://schemas.wps.cn/vas-ai-hub/contract-review"/>
      <paraID xmlns="http://schemas.wps.cn/vas-ai-hub/contract-review">7564BF4A</paraID>
      <start xmlns="http://schemas.wps.cn/vas-ai-hub/contract-review">8</start>
      <end xmlns="http://schemas.wps.cn/vas-ai-hub/contract-review">10</end>
      <status xmlns="http://schemas.wps.cn/vas-ai-hub/contract-review">modified</status>
      <modifiedWord xmlns="http://schemas.wps.cn/vas-ai-hub/contract-review">之间</modifiedWord>
      <trackRevisions xmlns="http://schemas.wps.cn/vas-ai-hub/contract-review">false</trackRevisions>
    </reviewItem>
    <reviewItem xmlns="http://schemas.wps.cn/vas-ai-hub/contract-review">
      <errorID xmlns="http://schemas.wps.cn/vas-ai-hub/contract-review">681b696b-6b57-436c-b19f-536a3da2ab7f</errorID>
      <errorWord xmlns="http://schemas.wps.cn/vas-ai-hub/contract-review">显示</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和显示</item>
      </candidateList>
      <explain xmlns="http://schemas.wps.cn/vas-ai-hub/contract-review"/>
      <paraID xmlns="http://schemas.wps.cn/vas-ai-hub/contract-review">4D778C6A</paraID>
      <start xmlns="http://schemas.wps.cn/vas-ai-hub/contract-review">37</start>
      <end xmlns="http://schemas.wps.cn/vas-ai-hub/contract-review">40</end>
      <status xmlns="http://schemas.wps.cn/vas-ai-hub/contract-review">modified</status>
      <modifiedWord xmlns="http://schemas.wps.cn/vas-ai-hub/contract-review">和显示</modifiedWord>
      <trackRevisions xmlns="http://schemas.wps.cn/vas-ai-hub/contract-review">false</trackRevisions>
    </reviewItem>
    <reviewItem xmlns="http://schemas.wps.cn/vas-ai-hub/contract-review">
      <errorID xmlns="http://schemas.wps.cn/vas-ai-hub/contract-review">0435cbdf-9d28-4063-a35a-33975401f62a</errorID>
      <errorWord xmlns="http://schemas.wps.cn/vas-ai-hub/contract-review">工作效率</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工作效率。</item>
      </candidateList>
      <explain xmlns="http://schemas.wps.cn/vas-ai-hub/contract-review"/>
      <paraID xmlns="http://schemas.wps.cn/vas-ai-hub/contract-review">4D778C6A</paraID>
      <start xmlns="http://schemas.wps.cn/vas-ai-hub/contract-review">57</start>
      <end xmlns="http://schemas.wps.cn/vas-ai-hub/contract-review">62</end>
      <status xmlns="http://schemas.wps.cn/vas-ai-hub/contract-review">modified</status>
      <modifiedWord xmlns="http://schemas.wps.cn/vas-ai-hub/contract-review">工作效率。</modifiedWord>
      <trackRevisions xmlns="http://schemas.wps.cn/vas-ai-hub/contract-review">false</trackRevisions>
    </reviewItem>
    <reviewItem xmlns="http://schemas.wps.cn/vas-ai-hub/contract-review">
      <errorID xmlns="http://schemas.wps.cn/vas-ai-hub/contract-review">1dcc0f11-71af-4784-8780-dc6b6a689c2c</errorID>
      <errorWord xmlns="http://schemas.wps.cn/vas-ai-hub/contract-review">本此</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本次</item>
      </candidateList>
      <explain xmlns="http://schemas.wps.cn/vas-ai-hub/contract-review"/>
      <paraID xmlns="http://schemas.wps.cn/vas-ai-hub/contract-review"> CCA359B</paraID>
      <start xmlns="http://schemas.wps.cn/vas-ai-hub/contract-review">0</start>
      <end xmlns="http://schemas.wps.cn/vas-ai-hub/contract-review">2</end>
      <status xmlns="http://schemas.wps.cn/vas-ai-hub/contract-review">modified</status>
      <modifiedWord xmlns="http://schemas.wps.cn/vas-ai-hub/contract-review">本次</modifiedWord>
      <trackRevisions xmlns="http://schemas.wps.cn/vas-ai-hub/contract-review">false</trackRevisions>
    </reviewItem>
    <reviewItem xmlns="http://schemas.wps.cn/vas-ai-hub/contract-review">
      <errorID xmlns="http://schemas.wps.cn/vas-ai-hub/contract-review">8a152cd6-9b29-4f42-8c38-dfebb7d25b1d</errorID>
      <errorWord xmlns="http://schemas.wps.cn/vas-ai-hub/contract-review">1、</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6EE88B0C</paraID>
      <start xmlns="http://schemas.wps.cn/vas-ai-hub/contract-review">0</start>
      <end xmlns="http://schemas.wps.cn/vas-ai-hub/contract-review">2</end>
      <status xmlns="http://schemas.wps.cn/vas-ai-hub/contract-review">modified</status>
      <modifiedWord xmlns="http://schemas.wps.cn/vas-ai-hub/contract-review">1.</modifiedWord>
      <trackRevisions xmlns="http://schemas.wps.cn/vas-ai-hub/contract-review">false</trackRevisions>
    </reviewItem>
    <reviewItem xmlns="http://schemas.wps.cn/vas-ai-hub/contract-review">
      <errorID xmlns="http://schemas.wps.cn/vas-ai-hub/contract-review">d60fa806-5794-4683-a9e3-99d7b5d41165</errorID>
      <errorWord xmlns="http://schemas.wps.cn/vas-ai-hub/contract-review">2、</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2.</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6A5BEA04</paraID>
      <start xmlns="http://schemas.wps.cn/vas-ai-hub/contract-review">1</start>
      <end xmlns="http://schemas.wps.cn/vas-ai-hub/contract-review">3</end>
      <status xmlns="http://schemas.wps.cn/vas-ai-hub/contract-review">modified</status>
      <modifiedWord xmlns="http://schemas.wps.cn/vas-ai-hub/contract-review">2.</modifiedWord>
      <trackRevisions xmlns="http://schemas.wps.cn/vas-ai-hub/contract-review">false</trackRevisions>
    </reviewItem>
    <reviewItem xmlns="http://schemas.wps.cn/vas-ai-hub/contract-review">
      <errorID xmlns="http://schemas.wps.cn/vas-ai-hub/contract-review">d1bb4878-c1f2-4a83-800a-856cee281556</errorID>
      <errorWord xmlns="http://schemas.wps.cn/vas-ai-hub/contract-review">期</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期内</item>
      </candidateList>
      <explain xmlns="http://schemas.wps.cn/vas-ai-hub/contract-review"/>
      <paraID xmlns="http://schemas.wps.cn/vas-ai-hub/contract-review"> 869CD02</paraID>
      <start xmlns="http://schemas.wps.cn/vas-ai-hub/contract-review">104</start>
      <end xmlns="http://schemas.wps.cn/vas-ai-hub/contract-review">106</end>
      <status xmlns="http://schemas.wps.cn/vas-ai-hub/contract-review">modified</status>
      <modifiedWord xmlns="http://schemas.wps.cn/vas-ai-hub/contract-review">期内</modifiedWord>
      <trackRevisions xmlns="http://schemas.wps.cn/vas-ai-hub/contract-review">false</trackRevisions>
    </reviewItem>
    <reviewItem xmlns="http://schemas.wps.cn/vas-ai-hub/contract-review">
      <errorID xmlns="http://schemas.wps.cn/vas-ai-hub/contract-review">68c67e36-3982-40ed-a806-4839aedf8adb</errorID>
      <errorWord xmlns="http://schemas.wps.cn/vas-ai-hub/contract-review">4)</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4）</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 8BF7FFA</paraID>
      <start xmlns="http://schemas.wps.cn/vas-ai-hub/contract-review">0</start>
      <end xmlns="http://schemas.wps.cn/vas-ai-hub/contract-review">2</end>
      <status xmlns="http://schemas.wps.cn/vas-ai-hub/contract-review">modified</status>
      <modifiedWord xmlns="http://schemas.wps.cn/vas-ai-hub/contract-review">4）</modifiedWord>
      <trackRevisions xmlns="http://schemas.wps.cn/vas-ai-hub/contract-review">false</trackRevisions>
    </reviewItem>
    <reviewItem xmlns="http://schemas.wps.cn/vas-ai-hub/contract-review">
      <errorID xmlns="http://schemas.wps.cn/vas-ai-hub/contract-review">4bfccf39-7e3c-430c-bdcc-1a226e279c02</errorID>
      <errorWord xmlns="http://schemas.wps.cn/vas-ai-hub/contract-review">3、</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3.</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 C1BE580</paraID>
      <start xmlns="http://schemas.wps.cn/vas-ai-hub/contract-review">0</start>
      <end xmlns="http://schemas.wps.cn/vas-ai-hub/contract-review">2</end>
      <status xmlns="http://schemas.wps.cn/vas-ai-hub/contract-review">modified</status>
      <modifiedWord xmlns="http://schemas.wps.cn/vas-ai-hub/contract-review">3.</modifiedWord>
      <trackRevisions xmlns="http://schemas.wps.cn/vas-ai-hub/contract-review">false</trackRevisions>
    </reviewItem>
    <reviewItem xmlns="http://schemas.wps.cn/vas-ai-hub/contract-review">
      <errorID xmlns="http://schemas.wps.cn/vas-ai-hub/contract-review">26ea4187-f0d1-4504-8d45-c25c0e2ddd12</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25401334</paraID>
      <start xmlns="http://schemas.wps.cn/vas-ai-hub/contract-review">14</start>
      <end xmlns="http://schemas.wps.cn/vas-ai-hub/contract-review">15</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edfa738e-aaf3-4cab-8f99-8352329319df</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25401334</paraID>
      <start xmlns="http://schemas.wps.cn/vas-ai-hub/contract-review">17</start>
      <end xmlns="http://schemas.wps.cn/vas-ai-hub/contract-review">18</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55f06c3e-b7c6-4753-a7b8-b3364e73fee6</errorID>
      <errorWord xmlns="http://schemas.wps.cn/vas-ai-hub/contract-review">4、</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4.</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 533DB18</paraID>
      <start xmlns="http://schemas.wps.cn/vas-ai-hub/contract-review">0</start>
      <end xmlns="http://schemas.wps.cn/vas-ai-hub/contract-review">2</end>
      <status xmlns="http://schemas.wps.cn/vas-ai-hub/contract-review">modified</status>
      <modifiedWord xmlns="http://schemas.wps.cn/vas-ai-hub/contract-review">4.</modifiedWord>
      <trackRevisions xmlns="http://schemas.wps.cn/vas-ai-hub/contract-review">false</trackRevisions>
    </reviewItem>
    <reviewItem xmlns="http://schemas.wps.cn/vas-ai-hub/contract-review">
      <errorID xmlns="http://schemas.wps.cn/vas-ai-hub/contract-review">7dca167a-327e-4370-a786-4374c3bac504</errorID>
      <errorWord xmlns="http://schemas.wps.cn/vas-ai-hub/contract-review">不仅</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不</item>
      </candidateList>
      <explain xmlns="http://schemas.wps.cn/vas-ai-hub/contract-review"/>
      <paraID xmlns="http://schemas.wps.cn/vas-ai-hub/contract-review">20BBE72C</paraID>
      <start xmlns="http://schemas.wps.cn/vas-ai-hub/contract-review">44</start>
      <end xmlns="http://schemas.wps.cn/vas-ai-hub/contract-review">45</end>
      <status xmlns="http://schemas.wps.cn/vas-ai-hub/contract-review">modified</status>
      <modifiedWord xmlns="http://schemas.wps.cn/vas-ai-hub/contract-review">不</modifiedWord>
      <trackRevisions xmlns="http://schemas.wps.cn/vas-ai-hub/contract-review">false</trackRevisions>
    </reviewItem>
    <reviewItem xmlns="http://schemas.wps.cn/vas-ai-hub/contract-review">
      <errorID xmlns="http://schemas.wps.cn/vas-ai-hub/contract-review">d1bc06c3-366d-47ff-ad22-9e9e92386e77</errorID>
      <errorWord xmlns="http://schemas.wps.cn/vas-ai-hub/contract-review">5、</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5.</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135A550C</paraID>
      <start xmlns="http://schemas.wps.cn/vas-ai-hub/contract-review">0</start>
      <end xmlns="http://schemas.wps.cn/vas-ai-hub/contract-review">2</end>
      <status xmlns="http://schemas.wps.cn/vas-ai-hub/contract-review">modified</status>
      <modifiedWord xmlns="http://schemas.wps.cn/vas-ai-hub/contract-review">5.</modifiedWord>
      <trackRevisions xmlns="http://schemas.wps.cn/vas-ai-hub/contract-review">false</trackRevisions>
    </reviewItem>
    <reviewItem xmlns="http://schemas.wps.cn/vas-ai-hub/contract-review">
      <errorID xmlns="http://schemas.wps.cn/vas-ai-hub/contract-review">81da8d9d-df78-46b0-b00b-b38c7cee5104</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
      </candidateList>
      <explain xmlns="http://schemas.wps.cn/vas-ai-hub/contract-review"/>
      <paraID xmlns="http://schemas.wps.cn/vas-ai-hub/contract-review">65F86C64</paraID>
      <start xmlns="http://schemas.wps.cn/vas-ai-hub/contract-review">38</start>
      <end xmlns="http://schemas.wps.cn/vas-ai-hub/contract-review">38</end>
      <status xmlns="http://schemas.wps.cn/vas-ai-hub/contract-review">modified</status>
      <modifiedWord xmlns="http://schemas.wps.cn/vas-ai-hub/contract-review"/>
      <trackRevisions xmlns="http://schemas.wps.cn/vas-ai-hub/contract-review">false</trackRevisions>
    </reviewItem>
    <reviewItem xmlns="http://schemas.wps.cn/vas-ai-hub/contract-review">
      <errorID xmlns="http://schemas.wps.cn/vas-ai-hub/contract-review">48f4609d-0f3f-48b6-bbb4-baf5d03b22ff</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
      </candidateList>
      <explain xmlns="http://schemas.wps.cn/vas-ai-hub/contract-review"/>
      <paraID xmlns="http://schemas.wps.cn/vas-ai-hub/contract-review">65F86C64</paraID>
      <start xmlns="http://schemas.wps.cn/vas-ai-hub/contract-review">42</start>
      <end xmlns="http://schemas.wps.cn/vas-ai-hub/contract-review">42</end>
      <status xmlns="http://schemas.wps.cn/vas-ai-hub/contract-review">modified</status>
      <modifiedWord xmlns="http://schemas.wps.cn/vas-ai-hub/contract-review"/>
      <trackRevisions xmlns="http://schemas.wps.cn/vas-ai-hub/contract-review">false</trackRevisions>
    </reviewItem>
    <reviewItem xmlns="http://schemas.wps.cn/vas-ai-hub/contract-review">
      <errorID xmlns="http://schemas.wps.cn/vas-ai-hub/contract-review">b5c162e6-e08a-4d58-9145-97dd38cb3b04</errorID>
      <errorWord xmlns="http://schemas.wps.cn/vas-ai-hub/contract-review">6、</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6.</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76970305</paraID>
      <start xmlns="http://schemas.wps.cn/vas-ai-hub/contract-review">0</start>
      <end xmlns="http://schemas.wps.cn/vas-ai-hub/contract-review">2</end>
      <status xmlns="http://schemas.wps.cn/vas-ai-hub/contract-review">modified</status>
      <modifiedWord xmlns="http://schemas.wps.cn/vas-ai-hub/contract-review">6.</modifiedWord>
      <trackRevisions xmlns="http://schemas.wps.cn/vas-ai-hub/contract-review">false</trackRevisions>
    </reviewItem>
    <reviewItem xmlns="http://schemas.wps.cn/vas-ai-hub/contract-review">
      <errorID xmlns="http://schemas.wps.cn/vas-ai-hub/contract-review">3a1ff89e-889f-4e22-8859-ecc5ab028b47</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1A5BD9CB</paraID>
      <start xmlns="http://schemas.wps.cn/vas-ai-hub/contract-review">65</start>
      <end xmlns="http://schemas.wps.cn/vas-ai-hub/contract-review">66</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3ea082d9-8796-4352-9144-29c7f8940c24</errorID>
      <errorWord xmlns="http://schemas.wps.cn/vas-ai-hub/contract-review">甲方</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采购人</item>
      </candidateList>
      <explain xmlns="http://schemas.wps.cn/vas-ai-hub/contract-review"/>
      <paraID xmlns="http://schemas.wps.cn/vas-ai-hub/contract-review">4B975EC1</paraID>
      <start xmlns="http://schemas.wps.cn/vas-ai-hub/contract-review">85</start>
      <end xmlns="http://schemas.wps.cn/vas-ai-hub/contract-review">88</end>
      <status xmlns="http://schemas.wps.cn/vas-ai-hub/contract-review">modified</status>
      <modifiedWord xmlns="http://schemas.wps.cn/vas-ai-hub/contract-review">采购人</modifiedWord>
      <trackRevisions xmlns="http://schemas.wps.cn/vas-ai-hub/contract-review">false</trackRevisions>
    </reviewItem>
    <reviewItem xmlns="http://schemas.wps.cn/vas-ai-hub/contract-review">
      <errorID xmlns="http://schemas.wps.cn/vas-ai-hub/contract-review">65a6d379-3e60-4ceb-8263-5ec4fab030fb</errorID>
      <errorWord xmlns="http://schemas.wps.cn/vas-ai-hub/contract-review">并</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item>
      </candidateList>
      <explain xmlns="http://schemas.wps.cn/vas-ai-hub/contract-review"/>
      <paraID xmlns="http://schemas.wps.cn/vas-ai-hub/contract-review"> 39759FA</paraID>
      <start xmlns="http://schemas.wps.cn/vas-ai-hub/contract-review">25</start>
      <end xmlns="http://schemas.wps.cn/vas-ai-hub/contract-review">26</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0258d0d2-3190-48e7-bc2f-c47839b41c7a</errorID>
      <errorWord xmlns="http://schemas.wps.cn/vas-ai-hub/contract-review">测试检查</errorWord>
      <group xmlns="http://schemas.wps.cn/vas-ai-hub/contract-review">L1_Grammar</group>
      <groupName xmlns="http://schemas.wps.cn/vas-ai-hub/contract-review">语法问题</groupName>
      <ability xmlns="http://schemas.wps.cn/vas-ai-hub/contract-review">L2_Grammar</ability>
      <abilityName xmlns="http://schemas.wps.cn/vas-ai-hub/contract-review">语法错误</abilityName>
      <candidateList xmlns="http://schemas.wps.cn/vas-ai-hub/contract-review">
        <item xmlns="http://schemas.wps.cn/vas-ai-hub/contract-review">测试</item>
      </candidateList>
      <explain xmlns="http://schemas.wps.cn/vas-ai-hub/contract-review"/>
      <paraID xmlns="http://schemas.wps.cn/vas-ai-hub/contract-review"> 39759FA</paraID>
      <start xmlns="http://schemas.wps.cn/vas-ai-hub/contract-review">44</start>
      <end xmlns="http://schemas.wps.cn/vas-ai-hub/contract-review">46</end>
      <status xmlns="http://schemas.wps.cn/vas-ai-hub/contract-review">modified</status>
      <modifiedWord xmlns="http://schemas.wps.cn/vas-ai-hub/contract-review">测试</modifiedWord>
      <trackRevisions xmlns="http://schemas.wps.cn/vas-ai-hub/contract-review">false</trackRevisions>
    </reviewItem>
    <reviewItem xmlns="http://schemas.wps.cn/vas-ai-hub/contract-review">
      <errorID xmlns="http://schemas.wps.cn/vas-ai-hub/contract-review">a02ff3f0-b5f3-4b8e-ab4c-a1d98f2b2785</errorID>
      <errorWord xmlns="http://schemas.wps.cn/vas-ai-hub/contract-review">出现</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，若</item>
      </candidateList>
      <explain xmlns="http://schemas.wps.cn/vas-ai-hub/contract-review"/>
      <paraID xmlns="http://schemas.wps.cn/vas-ai-hub/contract-review">3491DDCD</paraID>
      <start xmlns="http://schemas.wps.cn/vas-ai-hub/contract-review">5</start>
      <end xmlns="http://schemas.wps.cn/vas-ai-hub/contract-review">7</end>
      <status xmlns="http://schemas.wps.cn/vas-ai-hub/contract-review">modified</status>
      <modifiedWord xmlns="http://schemas.wps.cn/vas-ai-hub/contract-review">，若</modifiedWord>
      <trackRevisions xmlns="http://schemas.wps.cn/vas-ai-hub/contract-review">false</trackRevisions>
    </reviewItem>
    <reviewItem xmlns="http://schemas.wps.cn/vas-ai-hub/contract-review">
      <errorID xmlns="http://schemas.wps.cn/vas-ai-hub/contract-review">3f933c42-d718-431e-be76-c6b088099427</errorID>
      <errorWord xmlns="http://schemas.wps.cn/vas-ai-hub/contract-review">功能上</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功能</item>
      </candidateList>
      <explain xmlns="http://schemas.wps.cn/vas-ai-hub/contract-review"/>
      <paraID xmlns="http://schemas.wps.cn/vas-ai-hub/contract-review">3491DDCD</paraID>
      <start xmlns="http://schemas.wps.cn/vas-ai-hub/contract-review">16</start>
      <end xmlns="http://schemas.wps.cn/vas-ai-hub/contract-review">18</end>
      <status xmlns="http://schemas.wps.cn/vas-ai-hub/contract-review">modified</status>
      <modifiedWord xmlns="http://schemas.wps.cn/vas-ai-hub/contract-review">功能</modifiedWord>
      <trackRevisions xmlns="http://schemas.wps.cn/vas-ai-hub/contract-review">false</trackRevisions>
    </reviewItem>
    <reviewItem xmlns="http://schemas.wps.cn/vas-ai-hub/contract-review">
      <errorID xmlns="http://schemas.wps.cn/vas-ai-hub/contract-review">dca4ebf0-931d-4fd8-8092-28ec484d9263</errorID>
      <errorWord xmlns="http://schemas.wps.cn/vas-ai-hub/contract-review">要求时</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要求</item>
      </candidateList>
      <explain xmlns="http://schemas.wps.cn/vas-ai-hub/contract-review"/>
      <paraID xmlns="http://schemas.wps.cn/vas-ai-hub/contract-review">3491DDCD</paraID>
      <start xmlns="http://schemas.wps.cn/vas-ai-hub/contract-review">23</start>
      <end xmlns="http://schemas.wps.cn/vas-ai-hub/contract-review">25</end>
      <status xmlns="http://schemas.wps.cn/vas-ai-hub/contract-review">modified</status>
      <modifiedWord xmlns="http://schemas.wps.cn/vas-ai-hub/contract-review">要求</modifiedWord>
      <trackRevisions xmlns="http://schemas.wps.cn/vas-ai-hub/contract-review">false</trackRevisions>
    </reviewItem>
    <reviewItem xmlns="http://schemas.wps.cn/vas-ai-hub/contract-review">
      <errorID xmlns="http://schemas.wps.cn/vas-ai-hub/contract-review">237b760f-9eb4-4c1c-b6fe-d20c20b5441d</errorID>
      <errorWord xmlns="http://schemas.wps.cn/vas-ai-hub/contract-review">，</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；若</item>
      </candidateList>
      <explain xmlns="http://schemas.wps.cn/vas-ai-hub/contract-review"/>
      <paraID xmlns="http://schemas.wps.cn/vas-ai-hub/contract-review">3491DDCD</paraID>
      <start xmlns="http://schemas.wps.cn/vas-ai-hub/contract-review">34</start>
      <end xmlns="http://schemas.wps.cn/vas-ai-hub/contract-review">36</end>
      <status xmlns="http://schemas.wps.cn/vas-ai-hub/contract-review">modified</status>
      <modifiedWord xmlns="http://schemas.wps.cn/vas-ai-hub/contract-review">；若</modifiedWord>
      <trackRevisions xmlns="http://schemas.wps.cn/vas-ai-hub/contract-review">false</trackRevisions>
    </reviewItem>
    <reviewItem xmlns="http://schemas.wps.cn/vas-ai-hub/contract-review">
      <errorID xmlns="http://schemas.wps.cn/vas-ai-hub/contract-review">82912c7a-0fc2-425e-9bfc-02fe8fe5ed3e</errorID>
      <errorWord xmlns="http://schemas.wps.cn/vas-ai-hub/contract-review">指标时</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指标</item>
      </candidateList>
      <explain xmlns="http://schemas.wps.cn/vas-ai-hub/contract-review"/>
      <paraID xmlns="http://schemas.wps.cn/vas-ai-hub/contract-review">3491DDCD</paraID>
      <start xmlns="http://schemas.wps.cn/vas-ai-hub/contract-review">56</start>
      <end xmlns="http://schemas.wps.cn/vas-ai-hub/contract-review">58</end>
      <status xmlns="http://schemas.wps.cn/vas-ai-hub/contract-review">modified</status>
      <modifiedWord xmlns="http://schemas.wps.cn/vas-ai-hub/contract-review">指标</modifiedWord>
      <trackRevisions xmlns="http://schemas.wps.cn/vas-ai-hub/contract-review">false</trackRevisions>
    </reviewItem>
    <reviewItem xmlns="http://schemas.wps.cn/vas-ai-hub/contract-review">
      <errorID xmlns="http://schemas.wps.cn/vas-ai-hub/contract-review">921bb337-9388-4596-a9c5-7cf577bcf6c4</errorID>
      <errorWord xmlns="http://schemas.wps.cn/vas-ai-hub/contract-review">s</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s。</item>
      </candidateList>
      <explain xmlns="http://schemas.wps.cn/vas-ai-hub/contract-review"/>
      <paraID xmlns="http://schemas.wps.cn/vas-ai-hub/contract-review">7C820383</paraID>
      <start xmlns="http://schemas.wps.cn/vas-ai-hub/contract-review">27</start>
      <end xmlns="http://schemas.wps.cn/vas-ai-hub/contract-review">29</end>
      <status xmlns="http://schemas.wps.cn/vas-ai-hub/contract-review">modified</status>
      <modifiedWord xmlns="http://schemas.wps.cn/vas-ai-hub/contract-review">s。</modifiedWord>
      <trackRevisions xmlns="http://schemas.wps.cn/vas-ai-hub/contract-review">false</trackRevisions>
    </reviewItem>
    <reviewItem xmlns="http://schemas.wps.cn/vas-ai-hub/contract-review">
      <errorID xmlns="http://schemas.wps.cn/vas-ai-hub/contract-review">c863c197-06d3-4e4a-a2ae-7d845ea99d02</errorID>
      <errorWord xmlns="http://schemas.wps.cn/vas-ai-hub/contract-review">1、</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119CAB2E</paraID>
      <start xmlns="http://schemas.wps.cn/vas-ai-hub/contract-review">0</start>
      <end xmlns="http://schemas.wps.cn/vas-ai-hub/contract-review">2</end>
      <status xmlns="http://schemas.wps.cn/vas-ai-hub/contract-review">modified</status>
      <modifiedWord xmlns="http://schemas.wps.cn/vas-ai-hub/contract-review">1.</modifiedWord>
      <trackRevisions xmlns="http://schemas.wps.cn/vas-ai-hub/contract-review">false</trackRevisions>
    </reviewItem>
    <reviewItem xmlns="http://schemas.wps.cn/vas-ai-hub/contract-review">
      <errorID xmlns="http://schemas.wps.cn/vas-ai-hub/contract-review">e858d5cc-54de-460a-b5b9-6d9895392c19</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119CAB2E</paraID>
      <start xmlns="http://schemas.wps.cn/vas-ai-hub/contract-review">17</start>
      <end xmlns="http://schemas.wps.cn/vas-ai-hub/contract-review">18</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0c15f0f8-b15a-4393-a4f7-335a68910bcd</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119CAB2E</paraID>
      <start xmlns="http://schemas.wps.cn/vas-ai-hub/contract-review">20</start>
      <end xmlns="http://schemas.wps.cn/vas-ai-hub/contract-review">21</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b47c98d2-29f1-4284-b5ed-67f633d08178</errorID>
      <errorWord xmlns="http://schemas.wps.cn/vas-ai-hub/contract-review">二年</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两年</item>
      </candidateList>
      <explain xmlns="http://schemas.wps.cn/vas-ai-hub/contract-review"/>
      <paraID xmlns="http://schemas.wps.cn/vas-ai-hub/contract-review">119CAB2E</paraID>
      <start xmlns="http://schemas.wps.cn/vas-ai-hub/contract-review">35</start>
      <end xmlns="http://schemas.wps.cn/vas-ai-hub/contract-review">37</end>
      <status xmlns="http://schemas.wps.cn/vas-ai-hub/contract-review">modified</status>
      <modifiedWord xmlns="http://schemas.wps.cn/vas-ai-hub/contract-review">两年</modifiedWord>
      <trackRevisions xmlns="http://schemas.wps.cn/vas-ai-hub/contract-review">false</trackRevisions>
    </reviewItem>
    <reviewItem xmlns="http://schemas.wps.cn/vas-ai-hub/contract-review">
      <errorID xmlns="http://schemas.wps.cn/vas-ai-hub/contract-review">598f3f0f-0156-4c2c-a82c-322cd59640aa</errorID>
      <errorWord xmlns="http://schemas.wps.cn/vas-ai-hub/contract-review">满意度的水平</errorWord>
      <group xmlns="http://schemas.wps.cn/vas-ai-hub/contract-review">L1_Grammar</group>
      <groupName xmlns="http://schemas.wps.cn/vas-ai-hub/contract-review">语法问题</groupName>
      <ability xmlns="http://schemas.wps.cn/vas-ai-hub/contract-review">L2_Grammar</ability>
      <abilityName xmlns="http://schemas.wps.cn/vas-ai-hub/contract-review">语法错误</abilityName>
      <candidateList xmlns="http://schemas.wps.cn/vas-ai-hub/contract-review">
        <item xmlns="http://schemas.wps.cn/vas-ai-hub/contract-review">满意度</item>
      </candidateList>
      <explain xmlns="http://schemas.wps.cn/vas-ai-hub/contract-review"/>
      <paraID xmlns="http://schemas.wps.cn/vas-ai-hub/contract-review">22E873BB</paraID>
      <start xmlns="http://schemas.wps.cn/vas-ai-hub/contract-review">42</start>
      <end xmlns="http://schemas.wps.cn/vas-ai-hub/contract-review">45</end>
      <status xmlns="http://schemas.wps.cn/vas-ai-hub/contract-review">modified</status>
      <modifiedWord xmlns="http://schemas.wps.cn/vas-ai-hub/contract-review">满意度</modifiedWord>
      <trackRevisions xmlns="http://schemas.wps.cn/vas-ai-hub/contract-review">false</trackRevisions>
    </reviewItem>
    <reviewItem xmlns="http://schemas.wps.cn/vas-ai-hub/contract-review">
      <errorID xmlns="http://schemas.wps.cn/vas-ai-hub/contract-review">09daf257-ef95-4fc1-b8a1-318589ef1842</errorID>
      <errorWord xmlns="http://schemas.wps.cn/vas-ai-hub/contract-review">。制造商的</errorWord>
      <group xmlns="http://schemas.wps.cn/vas-ai-hub/contract-review">L1_Grammar</group>
      <groupName xmlns="http://schemas.wps.cn/vas-ai-hub/contract-review">语法问题</groupName>
      <ability xmlns="http://schemas.wps.cn/vas-ai-hub/contract-review">L2_Grammar</ability>
      <abilityName xmlns="http://schemas.wps.cn/vas-ai-hub/contract-review">语法错误</abilityName>
      <candidateList xmlns="http://schemas.wps.cn/vas-ai-hub/contract-review">
        <item xmlns="http://schemas.wps.cn/vas-ai-hub/contract-review">、</item>
      </candidateList>
      <explain xmlns="http://schemas.wps.cn/vas-ai-hub/contract-review"/>
      <paraID xmlns="http://schemas.wps.cn/vas-ai-hub/contract-review">22E873BB</paraID>
      <start xmlns="http://schemas.wps.cn/vas-ai-hub/contract-review">71</start>
      <end xmlns="http://schemas.wps.cn/vas-ai-hub/contract-review">72</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afa0773f-df4f-47df-9f48-68302720464d</errorID>
      <errorWord xmlns="http://schemas.wps.cn/vas-ai-hub/contract-review">。</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等。</item>
      </candidateList>
      <explain xmlns="http://schemas.wps.cn/vas-ai-hub/contract-review"/>
      <paraID xmlns="http://schemas.wps.cn/vas-ai-hub/contract-review">22E873BB</paraID>
      <start xmlns="http://schemas.wps.cn/vas-ai-hub/contract-review">93</start>
      <end xmlns="http://schemas.wps.cn/vas-ai-hub/contract-review">95</end>
      <status xmlns="http://schemas.wps.cn/vas-ai-hub/contract-review">modified</status>
      <modifiedWord xmlns="http://schemas.wps.cn/vas-ai-hub/contract-review">等。</modifiedWord>
      <trackRevisions xmlns="http://schemas.wps.cn/vas-ai-hub/contract-review">false</trackRevisions>
    </reviewItem>
  </reviewItems>
  <config xmlns="http://schemas.wps.cn/vas-ai-hub/contract-review"/>
</contractReview>
</file>

<file path=customXml/itemProps1.xml><?xml version="1.0" encoding="utf-8"?>
<ds:datastoreItem xmlns:ds="http://schemas.openxmlformats.org/officeDocument/2006/customXml" ds:itemID="{9BC51951-98F6-4E22-8EA5-A08195434DB0}">
  <ds:schemaRefs/>
</ds:datastoreItem>
</file>

<file path=docProps/app.xml><?xml version="1.0" encoding="utf-8"?>
<Properties xmlns="http://schemas.openxmlformats.org/officeDocument/2006/extended-properties" xmlns:vt="http://schemas.openxmlformats.org/officeDocument/2006/docPropsVTypes">
  <Template>Normal</Template>
  <Pages>15</Pages>
  <Words>690</Words>
  <Characters>724</Characters>
  <Lines>96</Lines>
  <Paragraphs>27</Paragraphs>
  <TotalTime>3</TotalTime>
  <ScaleCrop>false</ScaleCrop>
  <LinksUpToDate>false</LinksUpToDate>
  <CharactersWithSpaces>748</CharactersWithSpaces>
  <Application>WPS Office_12.8.2.1118_F1E327BC-269C-435d-A152-05C5408002CA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2026-05-14T07:38:00Z</dcterms:created>
  <dc:creator>user</dc:creator>
  <cp:lastModifiedBy>user</cp:lastModifiedBy>
  <dcterms:modified xsi:type="dcterms:W3CDTF">2026-05-18T15:39:43Z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eyJoZGlkIjoiODQ1MzAzMWY3NjU2N2FhZGFlYjMwMTU4MjgzMjAzNDciLCJ1c2VySWQiOiI1NDE0OTMwNzkifQ==</vt:lpwstr>
  </property>
  <property fmtid="{D5CDD505-2E9C-101B-9397-08002B2CF9AE}" pid="3" name="KSOProductBuildVer">
    <vt:lpwstr>2052-12.8.2.1118</vt:lpwstr>
  </property>
  <property fmtid="{D5CDD505-2E9C-101B-9397-08002B2CF9AE}" pid="4" name="ICV">
    <vt:lpwstr>24725C3E9E5B4E9FBBB1CA86EEBC1915_13</vt:lpwstr>
  </property>
</Properties>
</file>