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4F556">
      <w:pPr>
        <w:spacing w:line="276" w:lineRule="auto"/>
        <w:jc w:val="center"/>
        <w:rPr>
          <w:rFonts w:cs="Times New Roman"/>
          <w:b/>
          <w:sz w:val="44"/>
          <w:szCs w:val="21"/>
        </w:rPr>
      </w:pPr>
      <w:r>
        <w:rPr>
          <w:rFonts w:cs="Times New Roman"/>
          <w:b/>
          <w:sz w:val="44"/>
          <w:szCs w:val="21"/>
        </w:rPr>
        <w:t>上海科技大学</w:t>
      </w:r>
    </w:p>
    <w:p w14:paraId="374BF57A">
      <w:pPr>
        <w:spacing w:line="276" w:lineRule="auto"/>
        <w:jc w:val="center"/>
        <w:rPr>
          <w:rFonts w:cs="Times New Roman"/>
          <w:b/>
          <w:sz w:val="44"/>
          <w:szCs w:val="21"/>
        </w:rPr>
      </w:pPr>
      <w:r>
        <w:rPr>
          <w:rFonts w:hint="eastAsia" w:cs="Times New Roman"/>
          <w:b/>
          <w:sz w:val="44"/>
          <w:szCs w:val="21"/>
        </w:rPr>
        <w:t>云计算中心增能服务器</w:t>
      </w:r>
      <w:r>
        <w:rPr>
          <w:rFonts w:cs="Times New Roman"/>
          <w:b/>
          <w:sz w:val="44"/>
          <w:szCs w:val="21"/>
        </w:rPr>
        <w:t>项目</w:t>
      </w:r>
    </w:p>
    <w:p w14:paraId="4DF89F2F">
      <w:pPr>
        <w:spacing w:line="276" w:lineRule="auto"/>
        <w:jc w:val="center"/>
        <w:rPr>
          <w:rFonts w:cs="Times New Roman"/>
          <w:b/>
          <w:sz w:val="44"/>
          <w:szCs w:val="21"/>
        </w:rPr>
      </w:pPr>
      <w:r>
        <w:rPr>
          <w:rFonts w:hint="eastAsia" w:cs="Times New Roman"/>
          <w:b/>
          <w:sz w:val="44"/>
          <w:szCs w:val="21"/>
        </w:rPr>
        <w:t>招标需求</w:t>
      </w:r>
    </w:p>
    <w:p w14:paraId="1BFD5C39">
      <w:pPr>
        <w:pStyle w:val="2"/>
        <w:spacing w:line="360" w:lineRule="auto"/>
        <w:rPr>
          <w:rFonts w:eastAsiaTheme="minorHAnsi"/>
          <w:sz w:val="32"/>
        </w:rPr>
      </w:pPr>
    </w:p>
    <w:p w14:paraId="307AFCC4">
      <w:pPr>
        <w:rPr>
          <w:rFonts w:eastAsiaTheme="minorHAnsi"/>
          <w:sz w:val="32"/>
        </w:rPr>
      </w:pPr>
    </w:p>
    <w:p w14:paraId="6FA0E4F1">
      <w:pPr>
        <w:rPr>
          <w:rFonts w:eastAsiaTheme="minorHAnsi"/>
          <w:sz w:val="32"/>
        </w:rPr>
      </w:pPr>
    </w:p>
    <w:p w14:paraId="51676795">
      <w:pPr>
        <w:rPr>
          <w:rFonts w:eastAsiaTheme="minorHAnsi"/>
          <w:sz w:val="32"/>
        </w:rPr>
      </w:pPr>
    </w:p>
    <w:p w14:paraId="536835F0">
      <w:pPr>
        <w:rPr>
          <w:rFonts w:eastAsiaTheme="minorHAnsi"/>
          <w:sz w:val="32"/>
        </w:rPr>
      </w:pPr>
    </w:p>
    <w:p w14:paraId="2F22751D">
      <w:pPr>
        <w:rPr>
          <w:rFonts w:eastAsiaTheme="minorHAnsi"/>
          <w:sz w:val="32"/>
        </w:rPr>
      </w:pPr>
    </w:p>
    <w:p w14:paraId="7127BB03">
      <w:pPr>
        <w:rPr>
          <w:rFonts w:eastAsiaTheme="minorHAnsi"/>
          <w:sz w:val="32"/>
        </w:rPr>
      </w:pPr>
    </w:p>
    <w:p w14:paraId="60752428">
      <w:pPr>
        <w:rPr>
          <w:rFonts w:eastAsiaTheme="minorHAnsi"/>
          <w:sz w:val="32"/>
        </w:rPr>
      </w:pPr>
    </w:p>
    <w:p w14:paraId="6DD57437">
      <w:pPr>
        <w:rPr>
          <w:rFonts w:eastAsiaTheme="minorHAnsi"/>
          <w:sz w:val="32"/>
        </w:rPr>
      </w:pPr>
    </w:p>
    <w:p w14:paraId="0D864233">
      <w:pPr>
        <w:rPr>
          <w:rFonts w:eastAsiaTheme="minorHAnsi"/>
          <w:sz w:val="32"/>
        </w:rPr>
      </w:pPr>
    </w:p>
    <w:p w14:paraId="01322D88">
      <w:pPr>
        <w:rPr>
          <w:rFonts w:eastAsiaTheme="minorHAnsi"/>
          <w:sz w:val="32"/>
        </w:rPr>
      </w:pPr>
    </w:p>
    <w:p w14:paraId="0055F9A2">
      <w:pPr>
        <w:rPr>
          <w:rFonts w:eastAsiaTheme="minorHAnsi"/>
          <w:sz w:val="32"/>
        </w:rPr>
        <w:sectPr>
          <w:pgSz w:w="11906" w:h="16838"/>
          <w:pgMar w:top="1134" w:right="1134" w:bottom="1134" w:left="1134" w:header="851" w:footer="992" w:gutter="0"/>
          <w:cols w:space="425" w:num="1"/>
          <w:docGrid w:type="lines" w:linePitch="312" w:charSpace="0"/>
        </w:sectPr>
      </w:pPr>
    </w:p>
    <w:p w14:paraId="68018CB0">
      <w:pPr>
        <w:pStyle w:val="2"/>
        <w:spacing w:line="360" w:lineRule="auto"/>
        <w:rPr>
          <w:rFonts w:eastAsiaTheme="minorHAnsi"/>
          <w:sz w:val="32"/>
        </w:rPr>
      </w:pPr>
      <w:r>
        <w:rPr>
          <w:rFonts w:hint="eastAsia" w:eastAsiaTheme="minorHAnsi"/>
          <w:sz w:val="32"/>
        </w:rPr>
        <w:t>一、货物需求一览表</w:t>
      </w:r>
    </w:p>
    <w:tbl>
      <w:tblPr>
        <w:tblStyle w:val="10"/>
        <w:tblW w:w="8706" w:type="dxa"/>
        <w:jc w:val="center"/>
        <w:tblLayout w:type="autofit"/>
        <w:tblCellMar>
          <w:top w:w="0" w:type="dxa"/>
          <w:left w:w="108" w:type="dxa"/>
          <w:bottom w:w="0" w:type="dxa"/>
          <w:right w:w="108" w:type="dxa"/>
        </w:tblCellMar>
      </w:tblPr>
      <w:tblGrid>
        <w:gridCol w:w="766"/>
        <w:gridCol w:w="3814"/>
        <w:gridCol w:w="837"/>
        <w:gridCol w:w="1276"/>
        <w:gridCol w:w="2013"/>
      </w:tblGrid>
      <w:tr w14:paraId="3A8669C8">
        <w:tblPrEx>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65E288">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cs="Times New Roman" w:eastAsiaTheme="minorHAnsi"/>
                <w:color w:val="000000" w:themeColor="text1"/>
                <w:szCs w:val="21"/>
                <w14:textFill>
                  <w14:solidFill>
                    <w14:schemeClr w14:val="tx1"/>
                  </w14:solidFill>
                </w14:textFill>
              </w:rPr>
              <w:t>序号</w:t>
            </w:r>
          </w:p>
        </w:tc>
        <w:tc>
          <w:tcPr>
            <w:tcW w:w="3814" w:type="dxa"/>
            <w:tcBorders>
              <w:top w:val="single" w:color="auto" w:sz="4" w:space="0"/>
              <w:left w:val="nil"/>
              <w:bottom w:val="single" w:color="auto" w:sz="4" w:space="0"/>
              <w:right w:val="single" w:color="auto" w:sz="4" w:space="0"/>
            </w:tcBorders>
            <w:shd w:val="clear" w:color="auto" w:fill="auto"/>
            <w:noWrap/>
            <w:vAlign w:val="center"/>
          </w:tcPr>
          <w:p w14:paraId="0296F7C0">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cs="Times New Roman" w:eastAsiaTheme="minorHAnsi"/>
                <w:color w:val="000000" w:themeColor="text1"/>
                <w:szCs w:val="21"/>
                <w14:textFill>
                  <w14:solidFill>
                    <w14:schemeClr w14:val="tx1"/>
                  </w14:solidFill>
                </w14:textFill>
              </w:rPr>
              <w:t>设备名称</w:t>
            </w:r>
          </w:p>
        </w:tc>
        <w:tc>
          <w:tcPr>
            <w:tcW w:w="837" w:type="dxa"/>
            <w:tcBorders>
              <w:top w:val="single" w:color="auto" w:sz="4" w:space="0"/>
              <w:left w:val="nil"/>
              <w:bottom w:val="single" w:color="auto" w:sz="4" w:space="0"/>
              <w:right w:val="single" w:color="auto" w:sz="4" w:space="0"/>
            </w:tcBorders>
            <w:shd w:val="clear" w:color="auto" w:fill="auto"/>
            <w:noWrap/>
            <w:vAlign w:val="center"/>
          </w:tcPr>
          <w:p w14:paraId="2B87FFA2">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cs="Times New Roman" w:eastAsiaTheme="minorHAnsi"/>
                <w:color w:val="000000" w:themeColor="text1"/>
                <w:szCs w:val="21"/>
                <w14:textFill>
                  <w14:solidFill>
                    <w14:schemeClr w14:val="tx1"/>
                  </w14:solidFill>
                </w14:textFill>
              </w:rPr>
              <w:t>单位</w:t>
            </w:r>
          </w:p>
        </w:tc>
        <w:tc>
          <w:tcPr>
            <w:tcW w:w="1276" w:type="dxa"/>
            <w:tcBorders>
              <w:top w:val="single" w:color="auto" w:sz="4" w:space="0"/>
              <w:left w:val="nil"/>
              <w:bottom w:val="single" w:color="auto" w:sz="4" w:space="0"/>
              <w:right w:val="single" w:color="auto" w:sz="4" w:space="0"/>
            </w:tcBorders>
            <w:shd w:val="clear" w:color="auto" w:fill="auto"/>
            <w:noWrap/>
            <w:vAlign w:val="center"/>
          </w:tcPr>
          <w:p w14:paraId="485A317D">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cs="Times New Roman" w:eastAsiaTheme="minorHAnsi"/>
                <w:color w:val="000000" w:themeColor="text1"/>
                <w:szCs w:val="21"/>
                <w14:textFill>
                  <w14:solidFill>
                    <w14:schemeClr w14:val="tx1"/>
                  </w14:solidFill>
                </w14:textFill>
              </w:rPr>
              <w:t>数量</w:t>
            </w:r>
          </w:p>
        </w:tc>
        <w:tc>
          <w:tcPr>
            <w:tcW w:w="2013" w:type="dxa"/>
            <w:tcBorders>
              <w:top w:val="single" w:color="auto" w:sz="4" w:space="0"/>
              <w:left w:val="nil"/>
              <w:bottom w:val="single" w:color="auto" w:sz="4" w:space="0"/>
              <w:right w:val="single" w:color="auto" w:sz="4" w:space="0"/>
            </w:tcBorders>
            <w:shd w:val="clear" w:color="auto" w:fill="auto"/>
            <w:noWrap/>
            <w:vAlign w:val="center"/>
          </w:tcPr>
          <w:p w14:paraId="6A0D98BA">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cs="Times New Roman" w:eastAsiaTheme="minorHAnsi"/>
                <w:color w:val="000000" w:themeColor="text1"/>
                <w:szCs w:val="21"/>
                <w14:textFill>
                  <w14:solidFill>
                    <w14:schemeClr w14:val="tx1"/>
                  </w14:solidFill>
                </w14:textFill>
              </w:rPr>
              <w:t>技术要求</w:t>
            </w:r>
          </w:p>
        </w:tc>
      </w:tr>
      <w:tr w14:paraId="2D09508C">
        <w:tblPrEx>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ABE299">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cs="Times New Roman" w:eastAsiaTheme="minorHAnsi"/>
                <w:color w:val="000000" w:themeColor="text1"/>
                <w:szCs w:val="21"/>
                <w14:textFill>
                  <w14:solidFill>
                    <w14:schemeClr w14:val="tx1"/>
                  </w14:solidFill>
                </w14:textFill>
              </w:rPr>
              <w:t>1</w:t>
            </w:r>
          </w:p>
        </w:tc>
        <w:tc>
          <w:tcPr>
            <w:tcW w:w="3814" w:type="dxa"/>
            <w:tcBorders>
              <w:top w:val="single" w:color="auto" w:sz="4" w:space="0"/>
              <w:left w:val="nil"/>
              <w:bottom w:val="single" w:color="auto" w:sz="4" w:space="0"/>
              <w:right w:val="single" w:color="auto" w:sz="4" w:space="0"/>
            </w:tcBorders>
            <w:shd w:val="clear" w:color="auto" w:fill="auto"/>
            <w:vAlign w:val="center"/>
          </w:tcPr>
          <w:p w14:paraId="31B06767">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hint="eastAsia" w:cs="Times New Roman" w:eastAsiaTheme="minorHAnsi"/>
                <w:color w:val="000000" w:themeColor="text1"/>
                <w:szCs w:val="21"/>
                <w14:textFill>
                  <w14:solidFill>
                    <w14:schemeClr w14:val="tx1"/>
                  </w14:solidFill>
                </w14:textFill>
              </w:rPr>
              <w:t>云计算中心增能服务器设备（一）（核心产品）</w:t>
            </w:r>
          </w:p>
        </w:tc>
        <w:tc>
          <w:tcPr>
            <w:tcW w:w="837" w:type="dxa"/>
            <w:tcBorders>
              <w:top w:val="single" w:color="auto" w:sz="4" w:space="0"/>
              <w:left w:val="nil"/>
              <w:bottom w:val="single" w:color="auto" w:sz="4" w:space="0"/>
              <w:right w:val="single" w:color="auto" w:sz="4" w:space="0"/>
            </w:tcBorders>
            <w:shd w:val="clear" w:color="auto" w:fill="auto"/>
            <w:noWrap/>
            <w:vAlign w:val="center"/>
          </w:tcPr>
          <w:p w14:paraId="4E674EF3">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hint="eastAsia" w:cs="Times New Roman" w:eastAsiaTheme="minorHAnsi"/>
                <w:color w:val="000000" w:themeColor="text1"/>
                <w:szCs w:val="21"/>
                <w14:textFill>
                  <w14:solidFill>
                    <w14:schemeClr w14:val="tx1"/>
                  </w14:solidFill>
                </w14:textFill>
              </w:rPr>
              <w:t>台</w:t>
            </w:r>
          </w:p>
        </w:tc>
        <w:tc>
          <w:tcPr>
            <w:tcW w:w="1276" w:type="dxa"/>
            <w:tcBorders>
              <w:top w:val="single" w:color="auto" w:sz="4" w:space="0"/>
              <w:left w:val="nil"/>
              <w:bottom w:val="single" w:color="auto" w:sz="4" w:space="0"/>
              <w:right w:val="single" w:color="auto" w:sz="4" w:space="0"/>
            </w:tcBorders>
            <w:shd w:val="clear" w:color="auto" w:fill="auto"/>
            <w:noWrap/>
            <w:vAlign w:val="center"/>
          </w:tcPr>
          <w:p w14:paraId="613A9588">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cs="Times New Roman" w:eastAsiaTheme="minorHAnsi"/>
                <w:color w:val="000000" w:themeColor="text1"/>
                <w:szCs w:val="21"/>
                <w14:textFill>
                  <w14:solidFill>
                    <w14:schemeClr w14:val="tx1"/>
                  </w14:solidFill>
                </w14:textFill>
              </w:rPr>
              <w:t>6</w:t>
            </w:r>
          </w:p>
        </w:tc>
        <w:tc>
          <w:tcPr>
            <w:tcW w:w="2013" w:type="dxa"/>
            <w:tcBorders>
              <w:top w:val="single" w:color="auto" w:sz="4" w:space="0"/>
              <w:left w:val="nil"/>
              <w:bottom w:val="single" w:color="auto" w:sz="4" w:space="0"/>
              <w:right w:val="single" w:color="auto" w:sz="4" w:space="0"/>
            </w:tcBorders>
            <w:shd w:val="clear" w:color="auto" w:fill="auto"/>
            <w:noWrap/>
            <w:vAlign w:val="center"/>
          </w:tcPr>
          <w:p w14:paraId="618B9C62">
            <w:pPr>
              <w:adjustRightInd w:val="0"/>
              <w:snapToGrid w:val="0"/>
              <w:spacing w:line="360" w:lineRule="auto"/>
              <w:jc w:val="center"/>
              <w:rPr>
                <w:rFonts w:cs="Times New Roman" w:eastAsiaTheme="minorHAnsi"/>
                <w:szCs w:val="21"/>
              </w:rPr>
            </w:pPr>
            <w:r>
              <w:rPr>
                <w:rFonts w:cs="Times New Roman" w:eastAsiaTheme="minorHAnsi"/>
                <w:color w:val="000000" w:themeColor="text1"/>
                <w:szCs w:val="21"/>
                <w14:textFill>
                  <w14:solidFill>
                    <w14:schemeClr w14:val="tx1"/>
                  </w14:solidFill>
                </w14:textFill>
              </w:rPr>
              <w:t>详见技术参数</w:t>
            </w:r>
          </w:p>
        </w:tc>
      </w:tr>
      <w:tr w14:paraId="2F5DBF7D">
        <w:tblPrEx>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79043D">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hint="eastAsia" w:cs="Times New Roman" w:eastAsiaTheme="minorHAnsi"/>
                <w:color w:val="000000" w:themeColor="text1"/>
                <w:szCs w:val="21"/>
                <w14:textFill>
                  <w14:solidFill>
                    <w14:schemeClr w14:val="tx1"/>
                  </w14:solidFill>
                </w14:textFill>
              </w:rPr>
              <w:t>2</w:t>
            </w:r>
          </w:p>
        </w:tc>
        <w:tc>
          <w:tcPr>
            <w:tcW w:w="3814" w:type="dxa"/>
            <w:tcBorders>
              <w:top w:val="single" w:color="auto" w:sz="4" w:space="0"/>
              <w:left w:val="nil"/>
              <w:bottom w:val="single" w:color="auto" w:sz="4" w:space="0"/>
              <w:right w:val="single" w:color="auto" w:sz="4" w:space="0"/>
            </w:tcBorders>
            <w:shd w:val="clear" w:color="auto" w:fill="auto"/>
            <w:vAlign w:val="center"/>
          </w:tcPr>
          <w:p w14:paraId="4BCB3392">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hint="eastAsia" w:cs="Times New Roman" w:eastAsiaTheme="minorHAnsi"/>
                <w:color w:val="000000" w:themeColor="text1"/>
                <w:szCs w:val="21"/>
                <w14:textFill>
                  <w14:solidFill>
                    <w14:schemeClr w14:val="tx1"/>
                  </w14:solidFill>
                </w14:textFill>
              </w:rPr>
              <w:t>云计算中心增能服务器设备（二）</w:t>
            </w:r>
          </w:p>
        </w:tc>
        <w:tc>
          <w:tcPr>
            <w:tcW w:w="837" w:type="dxa"/>
            <w:tcBorders>
              <w:top w:val="single" w:color="auto" w:sz="4" w:space="0"/>
              <w:left w:val="nil"/>
              <w:bottom w:val="single" w:color="auto" w:sz="4" w:space="0"/>
              <w:right w:val="single" w:color="auto" w:sz="4" w:space="0"/>
            </w:tcBorders>
            <w:shd w:val="clear" w:color="auto" w:fill="auto"/>
            <w:noWrap/>
            <w:vAlign w:val="center"/>
          </w:tcPr>
          <w:p w14:paraId="361C1400">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hint="eastAsia" w:cs="Times New Roman" w:eastAsiaTheme="minorHAnsi"/>
                <w:color w:val="000000" w:themeColor="text1"/>
                <w:szCs w:val="21"/>
                <w14:textFill>
                  <w14:solidFill>
                    <w14:schemeClr w14:val="tx1"/>
                  </w14:solidFill>
                </w14:textFill>
              </w:rPr>
              <w:t>台</w:t>
            </w:r>
          </w:p>
        </w:tc>
        <w:tc>
          <w:tcPr>
            <w:tcW w:w="1276" w:type="dxa"/>
            <w:tcBorders>
              <w:top w:val="single" w:color="auto" w:sz="4" w:space="0"/>
              <w:left w:val="nil"/>
              <w:bottom w:val="single" w:color="auto" w:sz="4" w:space="0"/>
              <w:right w:val="single" w:color="auto" w:sz="4" w:space="0"/>
            </w:tcBorders>
            <w:shd w:val="clear" w:color="auto" w:fill="auto"/>
            <w:noWrap/>
            <w:vAlign w:val="center"/>
          </w:tcPr>
          <w:p w14:paraId="6FBD07F8">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cs="Times New Roman" w:eastAsiaTheme="minorHAnsi"/>
                <w:color w:val="000000" w:themeColor="text1"/>
                <w:szCs w:val="21"/>
                <w14:textFill>
                  <w14:solidFill>
                    <w14:schemeClr w14:val="tx1"/>
                  </w14:solidFill>
                </w14:textFill>
              </w:rPr>
              <w:t>2</w:t>
            </w:r>
          </w:p>
        </w:tc>
        <w:tc>
          <w:tcPr>
            <w:tcW w:w="2013" w:type="dxa"/>
            <w:tcBorders>
              <w:top w:val="single" w:color="auto" w:sz="4" w:space="0"/>
              <w:left w:val="nil"/>
              <w:bottom w:val="single" w:color="auto" w:sz="4" w:space="0"/>
              <w:right w:val="single" w:color="auto" w:sz="4" w:space="0"/>
            </w:tcBorders>
            <w:shd w:val="clear" w:color="auto" w:fill="auto"/>
            <w:noWrap/>
            <w:vAlign w:val="center"/>
          </w:tcPr>
          <w:p w14:paraId="09F48443">
            <w:pPr>
              <w:adjustRightInd w:val="0"/>
              <w:snapToGrid w:val="0"/>
              <w:spacing w:line="360" w:lineRule="auto"/>
              <w:jc w:val="center"/>
              <w:rPr>
                <w:rFonts w:cs="Times New Roman" w:eastAsiaTheme="minorHAnsi"/>
                <w:color w:val="000000" w:themeColor="text1"/>
                <w:szCs w:val="21"/>
                <w14:textFill>
                  <w14:solidFill>
                    <w14:schemeClr w14:val="tx1"/>
                  </w14:solidFill>
                </w14:textFill>
              </w:rPr>
            </w:pPr>
            <w:r>
              <w:rPr>
                <w:rFonts w:hint="eastAsia" w:cs="Times New Roman" w:eastAsiaTheme="minorHAnsi"/>
                <w:color w:val="000000" w:themeColor="text1"/>
                <w:szCs w:val="21"/>
                <w14:textFill>
                  <w14:solidFill>
                    <w14:schemeClr w14:val="tx1"/>
                  </w14:solidFill>
                </w14:textFill>
              </w:rPr>
              <w:t>详见技术参数</w:t>
            </w:r>
          </w:p>
        </w:tc>
      </w:tr>
    </w:tbl>
    <w:p w14:paraId="77643D1B">
      <w:pPr>
        <w:pStyle w:val="2"/>
        <w:numPr>
          <w:ilvl w:val="0"/>
          <w:numId w:val="2"/>
        </w:numPr>
        <w:spacing w:line="360" w:lineRule="auto"/>
        <w:rPr>
          <w:rFonts w:eastAsiaTheme="minorHAnsi"/>
          <w:sz w:val="32"/>
        </w:rPr>
      </w:pPr>
      <w:r>
        <w:rPr>
          <w:rFonts w:hint="eastAsia" w:eastAsiaTheme="minorHAnsi"/>
          <w:sz w:val="32"/>
        </w:rPr>
        <w:t>技术参数</w:t>
      </w:r>
    </w:p>
    <w:p w14:paraId="4074695C">
      <w:pPr>
        <w:spacing w:line="360" w:lineRule="auto"/>
        <w:ind w:firstLine="420" w:firstLineChars="200"/>
      </w:pPr>
      <w:r>
        <w:rPr>
          <w:rFonts w:cs="Times New Roman" w:eastAsiaTheme="minorHAnsi"/>
          <w:bCs/>
          <w:szCs w:val="24"/>
        </w:rPr>
        <w:t>★</w:t>
      </w:r>
      <w:r>
        <w:rPr>
          <w:rFonts w:hint="eastAsia" w:cs="Times New Roman" w:eastAsiaTheme="minorHAnsi"/>
          <w:bCs/>
          <w:szCs w:val="24"/>
        </w:rPr>
        <w:t>和</w:t>
      </w:r>
      <w:r>
        <w:rPr>
          <w:rFonts w:cs="Times New Roman" w:eastAsiaTheme="minorHAnsi"/>
          <w:bCs/>
          <w:szCs w:val="24"/>
        </w:rPr>
        <w:t>▲</w:t>
      </w:r>
      <w:r>
        <w:rPr>
          <w:rFonts w:hint="eastAsia" w:cs="Times New Roman" w:eastAsiaTheme="minorHAnsi"/>
          <w:bCs/>
          <w:szCs w:val="24"/>
        </w:rPr>
        <w:t>技术参数应提供技术支持资料，</w:t>
      </w:r>
      <w:r>
        <w:rPr>
          <w:rFonts w:cs="Times New Roman" w:eastAsiaTheme="minorHAnsi"/>
          <w:bCs/>
          <w:szCs w:val="24"/>
        </w:rPr>
        <w:t>技术支持资料以制造商公开发布的印刷资料（产品彩页、产品说明书、产品白皮书、官网截图）、界面截图、第三方检测机构出具的检测报告或在有效期内的证书扫描件等为准，投标人可以只提供上述材料关键页的复印件，关键页需体现投标产品的品牌、规格型号、相关性能指标，相关性能指标需以醒目的方式标明招标文件技术要求对应的序号，凡不符合上述要求的视为无效技术支持资料</w:t>
      </w:r>
      <w:r>
        <w:rPr>
          <w:rFonts w:hint="eastAsia" w:cs="Times New Roman" w:eastAsiaTheme="minorHAnsi"/>
          <w:bCs/>
          <w:szCs w:val="24"/>
        </w:rPr>
        <w:t>。</w:t>
      </w:r>
    </w:p>
    <w:p w14:paraId="5C6E8D42">
      <w:pPr>
        <w:pStyle w:val="3"/>
        <w:spacing w:line="360" w:lineRule="auto"/>
        <w:rPr>
          <w:rFonts w:asciiTheme="minorHAnsi" w:hAnsiTheme="minorHAnsi" w:eastAsiaTheme="minorHAnsi"/>
          <w:sz w:val="28"/>
        </w:rPr>
      </w:pPr>
      <w:r>
        <w:rPr>
          <w:rFonts w:hint="eastAsia" w:asciiTheme="minorHAnsi" w:hAnsiTheme="minorHAnsi" w:eastAsiaTheme="minorHAnsi"/>
          <w:sz w:val="28"/>
        </w:rPr>
        <w:t>1、云计算中心增能服务器设备（一）</w:t>
      </w:r>
    </w:p>
    <w:tbl>
      <w:tblPr>
        <w:tblStyle w:val="10"/>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9351"/>
      </w:tblGrid>
      <w:tr w14:paraId="0E12C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tcBorders>
              <w:bottom w:val="single" w:color="auto" w:sz="4" w:space="0"/>
            </w:tcBorders>
            <w:shd w:val="clear" w:color="000000" w:fill="FFFFFF"/>
            <w:vAlign w:val="center"/>
          </w:tcPr>
          <w:p w14:paraId="4606FB98">
            <w:pPr>
              <w:widowControl/>
              <w:spacing w:line="360" w:lineRule="auto"/>
              <w:jc w:val="center"/>
              <w:rPr>
                <w:rFonts w:cs="宋体" w:eastAsiaTheme="minorHAnsi"/>
                <w:b/>
                <w:bCs/>
                <w:kern w:val="0"/>
                <w:szCs w:val="21"/>
              </w:rPr>
            </w:pPr>
            <w:r>
              <w:rPr>
                <w:rFonts w:hint="eastAsia" w:cs="宋体" w:eastAsiaTheme="minorHAnsi"/>
                <w:b/>
                <w:bCs/>
                <w:kern w:val="0"/>
                <w:szCs w:val="21"/>
              </w:rPr>
              <w:t>功能明细</w:t>
            </w:r>
          </w:p>
        </w:tc>
        <w:tc>
          <w:tcPr>
            <w:tcW w:w="9351" w:type="dxa"/>
            <w:tcBorders>
              <w:bottom w:val="single" w:color="auto" w:sz="4" w:space="0"/>
            </w:tcBorders>
            <w:shd w:val="clear" w:color="000000" w:fill="FFFFFF"/>
            <w:vAlign w:val="center"/>
          </w:tcPr>
          <w:p w14:paraId="4F0CA466">
            <w:pPr>
              <w:widowControl/>
              <w:spacing w:line="360" w:lineRule="auto"/>
              <w:jc w:val="center"/>
              <w:rPr>
                <w:rFonts w:cs="宋体" w:eastAsiaTheme="minorHAnsi"/>
                <w:b/>
                <w:bCs/>
                <w:kern w:val="0"/>
                <w:szCs w:val="21"/>
              </w:rPr>
            </w:pPr>
            <w:r>
              <w:rPr>
                <w:rFonts w:hint="eastAsia" w:cs="宋体" w:eastAsiaTheme="minorHAnsi"/>
                <w:b/>
                <w:bCs/>
                <w:kern w:val="0"/>
                <w:szCs w:val="21"/>
              </w:rPr>
              <w:t>参数要求</w:t>
            </w:r>
          </w:p>
        </w:tc>
      </w:tr>
      <w:tr w14:paraId="773A0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7456EDF">
            <w:pPr>
              <w:widowControl/>
              <w:spacing w:line="360" w:lineRule="auto"/>
              <w:jc w:val="center"/>
              <w:rPr>
                <w:rFonts w:cs="宋体" w:eastAsiaTheme="minorHAnsi"/>
                <w:kern w:val="0"/>
                <w:szCs w:val="21"/>
              </w:rPr>
            </w:pPr>
            <w:r>
              <w:rPr>
                <w:rFonts w:hint="eastAsia" w:cs="宋体" w:eastAsiaTheme="minorHAnsi"/>
                <w:kern w:val="0"/>
                <w:szCs w:val="21"/>
              </w:rPr>
              <w:t>规格</w:t>
            </w:r>
          </w:p>
        </w:tc>
        <w:tc>
          <w:tcPr>
            <w:tcW w:w="9351" w:type="dxa"/>
            <w:tcBorders>
              <w:top w:val="single" w:color="auto" w:sz="4" w:space="0"/>
              <w:left w:val="single" w:color="auto" w:sz="4" w:space="0"/>
              <w:bottom w:val="single" w:color="auto" w:sz="4" w:space="0"/>
              <w:right w:val="single" w:color="auto" w:sz="4" w:space="0"/>
            </w:tcBorders>
            <w:shd w:val="clear" w:color="auto" w:fill="auto"/>
            <w:vAlign w:val="center"/>
          </w:tcPr>
          <w:p w14:paraId="2240D3F9">
            <w:pPr>
              <w:widowControl/>
              <w:spacing w:line="360" w:lineRule="auto"/>
              <w:jc w:val="left"/>
              <w:rPr>
                <w:rFonts w:cs="宋体" w:eastAsiaTheme="minorHAnsi"/>
                <w:kern w:val="0"/>
                <w:szCs w:val="21"/>
              </w:rPr>
            </w:pPr>
            <w:r>
              <w:rPr>
                <w:rFonts w:hint="eastAsia" w:cs="宋体" w:eastAsiaTheme="minorHAnsi"/>
                <w:kern w:val="0"/>
                <w:szCs w:val="21"/>
              </w:rPr>
              <w:t>每台设备为2U机架式</w:t>
            </w:r>
          </w:p>
        </w:tc>
      </w:tr>
      <w:tr w14:paraId="0C70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0E05D5">
            <w:pPr>
              <w:widowControl/>
              <w:spacing w:line="360" w:lineRule="auto"/>
              <w:jc w:val="center"/>
              <w:rPr>
                <w:rFonts w:cs="宋体" w:eastAsiaTheme="minorHAnsi"/>
                <w:kern w:val="0"/>
                <w:szCs w:val="21"/>
              </w:rPr>
            </w:pPr>
            <w:r>
              <w:rPr>
                <w:rFonts w:hint="eastAsia" w:cs="宋体" w:eastAsiaTheme="minorHAnsi"/>
                <w:kern w:val="0"/>
                <w:szCs w:val="21"/>
              </w:rPr>
              <w:t>CPU</w:t>
            </w:r>
          </w:p>
        </w:tc>
        <w:tc>
          <w:tcPr>
            <w:tcW w:w="9351" w:type="dxa"/>
            <w:tcBorders>
              <w:top w:val="single" w:color="auto" w:sz="4" w:space="0"/>
              <w:left w:val="single" w:color="auto" w:sz="4" w:space="0"/>
              <w:bottom w:val="single" w:color="auto" w:sz="4" w:space="0"/>
              <w:right w:val="single" w:color="auto" w:sz="4" w:space="0"/>
            </w:tcBorders>
            <w:shd w:val="clear" w:color="auto" w:fill="auto"/>
            <w:vAlign w:val="center"/>
          </w:tcPr>
          <w:p w14:paraId="3707D834">
            <w:pPr>
              <w:widowControl/>
              <w:spacing w:line="360" w:lineRule="auto"/>
              <w:jc w:val="left"/>
              <w:rPr>
                <w:rFonts w:cs="宋体" w:eastAsiaTheme="minorHAnsi"/>
                <w:kern w:val="0"/>
                <w:szCs w:val="21"/>
              </w:rPr>
            </w:pPr>
            <w:r>
              <w:rPr>
                <w:rFonts w:hint="eastAsia" w:cs="宋体" w:eastAsiaTheme="minorHAnsi"/>
                <w:kern w:val="0"/>
                <w:szCs w:val="21"/>
              </w:rPr>
              <w:t>每台设备配置2颗性能不低于第五代至强可扩展金牌处理器</w:t>
            </w:r>
          </w:p>
        </w:tc>
      </w:tr>
      <w:tr w14:paraId="6B7FC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7DCF8A27">
            <w:pPr>
              <w:widowControl/>
              <w:spacing w:line="360" w:lineRule="auto"/>
              <w:jc w:val="left"/>
              <w:rPr>
                <w:rFonts w:cs="宋体" w:eastAsiaTheme="minorHAnsi"/>
                <w:kern w:val="0"/>
                <w:szCs w:val="21"/>
              </w:rPr>
            </w:pPr>
          </w:p>
        </w:tc>
        <w:tc>
          <w:tcPr>
            <w:tcW w:w="9351" w:type="dxa"/>
            <w:tcBorders>
              <w:top w:val="single" w:color="auto" w:sz="4" w:space="0"/>
              <w:left w:val="single" w:color="auto" w:sz="4" w:space="0"/>
              <w:bottom w:val="single" w:color="auto" w:sz="4" w:space="0"/>
              <w:right w:val="single" w:color="auto" w:sz="4" w:space="0"/>
            </w:tcBorders>
            <w:shd w:val="clear" w:color="auto" w:fill="auto"/>
            <w:vAlign w:val="center"/>
          </w:tcPr>
          <w:p w14:paraId="6785C9E0">
            <w:pPr>
              <w:widowControl/>
              <w:spacing w:line="360" w:lineRule="auto"/>
              <w:jc w:val="left"/>
              <w:rPr>
                <w:rFonts w:cs="宋体" w:eastAsiaTheme="minorHAnsi"/>
                <w:kern w:val="0"/>
                <w:szCs w:val="21"/>
              </w:rPr>
            </w:pPr>
            <w:r>
              <w:rPr>
                <w:rFonts w:hint="eastAsia" w:cs="宋体" w:eastAsiaTheme="minorHAnsi"/>
                <w:kern w:val="0"/>
                <w:szCs w:val="21"/>
              </w:rPr>
              <w:t>★每颗处理器：核心数≥</w:t>
            </w:r>
            <w:r>
              <w:rPr>
                <w:rFonts w:cs="宋体" w:eastAsiaTheme="minorHAnsi"/>
                <w:kern w:val="0"/>
                <w:szCs w:val="21"/>
              </w:rPr>
              <w:t>32</w:t>
            </w:r>
            <w:r>
              <w:rPr>
                <w:rFonts w:hint="eastAsia" w:cs="宋体" w:eastAsiaTheme="minorHAnsi"/>
                <w:kern w:val="0"/>
                <w:szCs w:val="21"/>
              </w:rPr>
              <w:t>，线程数≥</w:t>
            </w:r>
            <w:r>
              <w:rPr>
                <w:rFonts w:cs="宋体" w:eastAsiaTheme="minorHAnsi"/>
                <w:kern w:val="0"/>
                <w:szCs w:val="21"/>
              </w:rPr>
              <w:t>64</w:t>
            </w:r>
            <w:r>
              <w:rPr>
                <w:rFonts w:hint="eastAsia" w:cs="宋体" w:eastAsiaTheme="minorHAnsi"/>
                <w:kern w:val="0"/>
                <w:szCs w:val="21"/>
              </w:rPr>
              <w:t>，基础频率≥2.</w:t>
            </w:r>
            <w:r>
              <w:rPr>
                <w:rFonts w:cs="宋体" w:eastAsiaTheme="minorHAnsi"/>
                <w:kern w:val="0"/>
                <w:szCs w:val="21"/>
              </w:rPr>
              <w:t>1</w:t>
            </w:r>
            <w:r>
              <w:rPr>
                <w:rFonts w:hint="eastAsia" w:cs="宋体" w:eastAsiaTheme="minorHAnsi"/>
                <w:kern w:val="0"/>
                <w:szCs w:val="21"/>
              </w:rPr>
              <w:t>GHz，最高频率≥4</w:t>
            </w:r>
            <w:r>
              <w:rPr>
                <w:rFonts w:cs="宋体" w:eastAsiaTheme="minorHAnsi"/>
                <w:kern w:val="0"/>
                <w:szCs w:val="21"/>
              </w:rPr>
              <w:t>.0</w:t>
            </w:r>
            <w:r>
              <w:rPr>
                <w:rFonts w:hint="eastAsia" w:cs="宋体" w:eastAsiaTheme="minorHAnsi"/>
                <w:kern w:val="0"/>
                <w:szCs w:val="21"/>
              </w:rPr>
              <w:t>GHz，缓存≥160MB（提供技术支持材料）</w:t>
            </w:r>
          </w:p>
        </w:tc>
      </w:tr>
      <w:tr w14:paraId="1948C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63BBDA">
            <w:pPr>
              <w:widowControl/>
              <w:spacing w:line="360" w:lineRule="auto"/>
              <w:jc w:val="center"/>
              <w:rPr>
                <w:rFonts w:cs="宋体" w:eastAsiaTheme="minorHAnsi"/>
                <w:kern w:val="0"/>
                <w:szCs w:val="21"/>
              </w:rPr>
            </w:pPr>
            <w:r>
              <w:rPr>
                <w:rFonts w:hint="eastAsia" w:cs="宋体" w:eastAsiaTheme="minorHAnsi"/>
                <w:kern w:val="0"/>
                <w:szCs w:val="21"/>
              </w:rPr>
              <w:t>内存</w:t>
            </w:r>
          </w:p>
        </w:tc>
        <w:tc>
          <w:tcPr>
            <w:tcW w:w="9351" w:type="dxa"/>
            <w:tcBorders>
              <w:top w:val="single" w:color="auto" w:sz="4" w:space="0"/>
              <w:left w:val="single" w:color="auto" w:sz="4" w:space="0"/>
              <w:bottom w:val="single" w:color="auto" w:sz="4" w:space="0"/>
              <w:right w:val="single" w:color="auto" w:sz="4" w:space="0"/>
            </w:tcBorders>
            <w:shd w:val="clear" w:color="000000" w:fill="FFFFFF"/>
            <w:vAlign w:val="center"/>
          </w:tcPr>
          <w:p w14:paraId="351B4B66">
            <w:pPr>
              <w:widowControl/>
              <w:spacing w:line="360" w:lineRule="auto"/>
              <w:jc w:val="left"/>
              <w:rPr>
                <w:rFonts w:cs="宋体" w:eastAsiaTheme="minorHAnsi"/>
                <w:kern w:val="0"/>
                <w:szCs w:val="21"/>
              </w:rPr>
            </w:pPr>
            <w:r>
              <w:rPr>
                <w:rFonts w:hint="eastAsia" w:cs="宋体" w:eastAsiaTheme="minorHAnsi"/>
                <w:kern w:val="0"/>
                <w:szCs w:val="21"/>
              </w:rPr>
              <w:t>每台设备可支持内存数量≥32</w:t>
            </w:r>
          </w:p>
        </w:tc>
      </w:tr>
      <w:tr w14:paraId="3773C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602E6A97">
            <w:pPr>
              <w:widowControl/>
              <w:spacing w:line="360" w:lineRule="auto"/>
              <w:jc w:val="left"/>
              <w:rPr>
                <w:rFonts w:cs="宋体" w:eastAsiaTheme="minorHAnsi"/>
                <w:kern w:val="0"/>
                <w:szCs w:val="21"/>
              </w:rPr>
            </w:pPr>
          </w:p>
        </w:tc>
        <w:tc>
          <w:tcPr>
            <w:tcW w:w="9351" w:type="dxa"/>
            <w:tcBorders>
              <w:top w:val="single" w:color="auto" w:sz="4" w:space="0"/>
              <w:left w:val="single" w:color="auto" w:sz="4" w:space="0"/>
              <w:bottom w:val="single" w:color="auto" w:sz="4" w:space="0"/>
              <w:right w:val="single" w:color="auto" w:sz="4" w:space="0"/>
            </w:tcBorders>
            <w:shd w:val="clear" w:color="000000" w:fill="FFFFFF"/>
            <w:vAlign w:val="center"/>
          </w:tcPr>
          <w:p w14:paraId="22B027EF">
            <w:pPr>
              <w:widowControl/>
              <w:spacing w:line="360" w:lineRule="auto"/>
              <w:jc w:val="left"/>
              <w:rPr>
                <w:rFonts w:cs="宋体" w:eastAsiaTheme="minorHAnsi"/>
                <w:kern w:val="0"/>
                <w:szCs w:val="21"/>
              </w:rPr>
            </w:pPr>
            <w:r>
              <w:rPr>
                <w:rFonts w:hint="eastAsia" w:cs="宋体" w:eastAsiaTheme="minorHAnsi"/>
                <w:kern w:val="0"/>
                <w:szCs w:val="21"/>
              </w:rPr>
              <w:t xml:space="preserve">每台设备配置DDR5内存或以上规格 </w:t>
            </w:r>
          </w:p>
        </w:tc>
      </w:tr>
      <w:tr w14:paraId="7FB23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65DC473E">
            <w:pPr>
              <w:widowControl/>
              <w:spacing w:line="360" w:lineRule="auto"/>
              <w:jc w:val="left"/>
              <w:rPr>
                <w:rFonts w:cs="宋体" w:eastAsiaTheme="minorHAnsi"/>
                <w:kern w:val="0"/>
                <w:szCs w:val="21"/>
              </w:rPr>
            </w:pPr>
          </w:p>
        </w:tc>
        <w:tc>
          <w:tcPr>
            <w:tcW w:w="9351" w:type="dxa"/>
            <w:tcBorders>
              <w:top w:val="single" w:color="auto" w:sz="4" w:space="0"/>
              <w:left w:val="single" w:color="auto" w:sz="4" w:space="0"/>
              <w:bottom w:val="single" w:color="auto" w:sz="4" w:space="0"/>
              <w:right w:val="single" w:color="auto" w:sz="4" w:space="0"/>
            </w:tcBorders>
            <w:shd w:val="clear" w:color="000000" w:fill="FFFFFF"/>
            <w:vAlign w:val="center"/>
          </w:tcPr>
          <w:p w14:paraId="13575822">
            <w:pPr>
              <w:widowControl/>
              <w:spacing w:line="360" w:lineRule="auto"/>
              <w:jc w:val="left"/>
              <w:rPr>
                <w:rFonts w:cs="宋体" w:eastAsiaTheme="minorHAnsi"/>
                <w:kern w:val="0"/>
                <w:szCs w:val="21"/>
              </w:rPr>
            </w:pPr>
            <w:r>
              <w:rPr>
                <w:rFonts w:hint="eastAsia" w:cs="宋体" w:eastAsiaTheme="minorHAnsi"/>
                <w:kern w:val="0"/>
                <w:szCs w:val="21"/>
              </w:rPr>
              <w:t>每台设备内存频率≥5600MHz</w:t>
            </w:r>
          </w:p>
        </w:tc>
      </w:tr>
      <w:tr w14:paraId="33B9D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1877B08B">
            <w:pPr>
              <w:widowControl/>
              <w:spacing w:line="360" w:lineRule="auto"/>
              <w:jc w:val="left"/>
              <w:rPr>
                <w:rFonts w:cs="宋体" w:eastAsiaTheme="minorHAnsi"/>
                <w:kern w:val="0"/>
                <w:szCs w:val="21"/>
              </w:rPr>
            </w:pPr>
          </w:p>
        </w:tc>
        <w:tc>
          <w:tcPr>
            <w:tcW w:w="9351" w:type="dxa"/>
            <w:tcBorders>
              <w:top w:val="single" w:color="auto" w:sz="4" w:space="0"/>
              <w:left w:val="single" w:color="auto" w:sz="4" w:space="0"/>
              <w:bottom w:val="single" w:color="auto" w:sz="4" w:space="0"/>
              <w:right w:val="single" w:color="auto" w:sz="4" w:space="0"/>
            </w:tcBorders>
            <w:shd w:val="clear" w:color="000000" w:fill="FFFFFF"/>
            <w:vAlign w:val="center"/>
          </w:tcPr>
          <w:p w14:paraId="57A7166B">
            <w:pPr>
              <w:widowControl/>
              <w:spacing w:line="360" w:lineRule="auto"/>
              <w:jc w:val="left"/>
              <w:rPr>
                <w:rFonts w:cs="宋体" w:eastAsiaTheme="minorHAnsi"/>
                <w:kern w:val="0"/>
                <w:szCs w:val="21"/>
              </w:rPr>
            </w:pPr>
            <w:r>
              <w:rPr>
                <w:rFonts w:hint="eastAsia" w:cs="宋体" w:eastAsiaTheme="minorHAnsi"/>
                <w:kern w:val="0"/>
                <w:szCs w:val="21"/>
              </w:rPr>
              <w:t>每台设备配置内存容量≥</w:t>
            </w:r>
            <w:r>
              <w:rPr>
                <w:rFonts w:cs="宋体" w:eastAsiaTheme="minorHAnsi"/>
                <w:kern w:val="0"/>
                <w:szCs w:val="21"/>
              </w:rPr>
              <w:t>512</w:t>
            </w:r>
            <w:r>
              <w:rPr>
                <w:rFonts w:hint="eastAsia" w:cs="宋体" w:eastAsiaTheme="minorHAnsi"/>
                <w:kern w:val="0"/>
                <w:szCs w:val="21"/>
              </w:rPr>
              <w:t>GB</w:t>
            </w:r>
          </w:p>
        </w:tc>
      </w:tr>
      <w:tr w14:paraId="1F73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F0E71C">
            <w:pPr>
              <w:widowControl/>
              <w:spacing w:line="360" w:lineRule="auto"/>
              <w:jc w:val="center"/>
              <w:rPr>
                <w:rFonts w:cs="宋体" w:eastAsiaTheme="minorHAnsi"/>
                <w:kern w:val="0"/>
                <w:szCs w:val="21"/>
              </w:rPr>
            </w:pPr>
            <w:r>
              <w:rPr>
                <w:rFonts w:hint="eastAsia" w:cs="宋体" w:eastAsiaTheme="minorHAnsi"/>
                <w:kern w:val="0"/>
                <w:szCs w:val="21"/>
              </w:rPr>
              <w:t>硬盘</w:t>
            </w:r>
          </w:p>
        </w:tc>
        <w:tc>
          <w:tcPr>
            <w:tcW w:w="9351" w:type="dxa"/>
            <w:tcBorders>
              <w:top w:val="single" w:color="auto" w:sz="4" w:space="0"/>
              <w:left w:val="single" w:color="auto" w:sz="4" w:space="0"/>
              <w:bottom w:val="single" w:color="auto" w:sz="4" w:space="0"/>
              <w:right w:val="single" w:color="auto" w:sz="4" w:space="0"/>
            </w:tcBorders>
            <w:shd w:val="clear" w:color="000000" w:fill="FFFFFF"/>
            <w:vAlign w:val="center"/>
          </w:tcPr>
          <w:p w14:paraId="3B0E5A32">
            <w:pPr>
              <w:widowControl/>
              <w:spacing w:line="360" w:lineRule="auto"/>
              <w:jc w:val="left"/>
              <w:rPr>
                <w:rFonts w:cs="宋体" w:eastAsiaTheme="minorHAnsi"/>
                <w:kern w:val="0"/>
                <w:szCs w:val="21"/>
              </w:rPr>
            </w:pPr>
            <w:r>
              <w:rPr>
                <w:rFonts w:hint="eastAsia" w:cs="宋体" w:eastAsiaTheme="minorHAnsi"/>
                <w:kern w:val="0"/>
                <w:szCs w:val="21"/>
              </w:rPr>
              <w:t>每台设备配置2块企业级SSD系统盘，单盘容量≥960GB</w:t>
            </w:r>
          </w:p>
        </w:tc>
      </w:tr>
      <w:tr w14:paraId="0E6CF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73746366">
            <w:pPr>
              <w:widowControl/>
              <w:spacing w:line="360" w:lineRule="auto"/>
              <w:jc w:val="left"/>
              <w:rPr>
                <w:rFonts w:cs="宋体" w:eastAsiaTheme="minorHAnsi"/>
                <w:kern w:val="0"/>
                <w:szCs w:val="21"/>
              </w:rPr>
            </w:pPr>
          </w:p>
        </w:tc>
        <w:tc>
          <w:tcPr>
            <w:tcW w:w="9351" w:type="dxa"/>
            <w:tcBorders>
              <w:top w:val="single" w:color="auto" w:sz="4" w:space="0"/>
              <w:left w:val="single" w:color="auto" w:sz="4" w:space="0"/>
              <w:bottom w:val="single" w:color="auto" w:sz="4" w:space="0"/>
              <w:right w:val="single" w:color="auto" w:sz="4" w:space="0"/>
            </w:tcBorders>
            <w:shd w:val="clear" w:color="000000" w:fill="FFFFFF"/>
            <w:vAlign w:val="center"/>
          </w:tcPr>
          <w:p w14:paraId="71C05811">
            <w:pPr>
              <w:widowControl/>
              <w:spacing w:line="360" w:lineRule="auto"/>
              <w:jc w:val="left"/>
              <w:rPr>
                <w:rFonts w:cs="宋体" w:eastAsiaTheme="minorHAnsi"/>
                <w:kern w:val="0"/>
                <w:szCs w:val="21"/>
              </w:rPr>
            </w:pPr>
            <w:r>
              <w:rPr>
                <w:rFonts w:hint="eastAsia" w:cs="宋体" w:eastAsiaTheme="minorHAnsi"/>
                <w:kern w:val="0"/>
                <w:szCs w:val="21"/>
              </w:rPr>
              <w:t>每台设备配置2块企业级SSD缓存盘，单盘容量≥1.</w:t>
            </w:r>
            <w:r>
              <w:rPr>
                <w:rFonts w:cs="宋体" w:eastAsiaTheme="minorHAnsi"/>
                <w:kern w:val="0"/>
                <w:szCs w:val="21"/>
              </w:rPr>
              <w:t>6</w:t>
            </w:r>
            <w:r>
              <w:rPr>
                <w:rFonts w:hint="eastAsia" w:cs="宋体" w:eastAsiaTheme="minorHAnsi"/>
                <w:kern w:val="0"/>
                <w:szCs w:val="21"/>
              </w:rPr>
              <w:t>TB</w:t>
            </w:r>
          </w:p>
        </w:tc>
      </w:tr>
      <w:tr w14:paraId="7FDCF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4030BE89">
            <w:pPr>
              <w:widowControl/>
              <w:spacing w:line="360" w:lineRule="auto"/>
              <w:jc w:val="left"/>
              <w:rPr>
                <w:rFonts w:cs="宋体" w:eastAsiaTheme="minorHAnsi"/>
                <w:kern w:val="0"/>
                <w:szCs w:val="21"/>
              </w:rPr>
            </w:pPr>
          </w:p>
        </w:tc>
        <w:tc>
          <w:tcPr>
            <w:tcW w:w="9351" w:type="dxa"/>
            <w:tcBorders>
              <w:top w:val="single" w:color="auto" w:sz="4" w:space="0"/>
              <w:left w:val="single" w:color="auto" w:sz="4" w:space="0"/>
              <w:bottom w:val="single" w:color="auto" w:sz="4" w:space="0"/>
              <w:right w:val="single" w:color="auto" w:sz="4" w:space="0"/>
            </w:tcBorders>
            <w:shd w:val="clear" w:color="000000" w:fill="FFFFFF"/>
            <w:vAlign w:val="center"/>
          </w:tcPr>
          <w:p w14:paraId="36C7213F">
            <w:pPr>
              <w:widowControl/>
              <w:spacing w:line="360" w:lineRule="auto"/>
              <w:jc w:val="left"/>
              <w:rPr>
                <w:rFonts w:cs="宋体" w:eastAsiaTheme="minorHAnsi"/>
                <w:kern w:val="0"/>
                <w:szCs w:val="21"/>
              </w:rPr>
            </w:pPr>
            <w:r>
              <w:rPr>
                <w:rFonts w:hint="eastAsia" w:cs="宋体" w:eastAsiaTheme="minorHAnsi"/>
                <w:kern w:val="0"/>
                <w:szCs w:val="21"/>
              </w:rPr>
              <w:t>每台设备配置2块企业级SSD数据盘，单盘容量≥3</w:t>
            </w:r>
            <w:r>
              <w:rPr>
                <w:rFonts w:cs="宋体" w:eastAsiaTheme="minorHAnsi"/>
                <w:kern w:val="0"/>
                <w:szCs w:val="21"/>
              </w:rPr>
              <w:t>.84</w:t>
            </w:r>
            <w:r>
              <w:rPr>
                <w:rFonts w:hint="eastAsia" w:cs="宋体" w:eastAsiaTheme="minorHAnsi"/>
                <w:kern w:val="0"/>
                <w:szCs w:val="21"/>
              </w:rPr>
              <w:t>TB</w:t>
            </w:r>
          </w:p>
        </w:tc>
      </w:tr>
      <w:tr w14:paraId="68883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40714377">
            <w:pPr>
              <w:widowControl/>
              <w:spacing w:line="360" w:lineRule="auto"/>
              <w:jc w:val="left"/>
              <w:rPr>
                <w:rFonts w:cs="宋体" w:eastAsiaTheme="minorHAnsi"/>
                <w:kern w:val="0"/>
                <w:szCs w:val="21"/>
              </w:rPr>
            </w:pPr>
          </w:p>
        </w:tc>
        <w:tc>
          <w:tcPr>
            <w:tcW w:w="9351" w:type="dxa"/>
            <w:tcBorders>
              <w:top w:val="single" w:color="auto" w:sz="4" w:space="0"/>
              <w:left w:val="single" w:color="auto" w:sz="4" w:space="0"/>
              <w:bottom w:val="single" w:color="auto" w:sz="4" w:space="0"/>
              <w:right w:val="single" w:color="auto" w:sz="4" w:space="0"/>
            </w:tcBorders>
            <w:shd w:val="clear" w:color="000000" w:fill="FFFFFF"/>
            <w:vAlign w:val="center"/>
          </w:tcPr>
          <w:p w14:paraId="11B202BC">
            <w:pPr>
              <w:widowControl/>
              <w:spacing w:line="360" w:lineRule="auto"/>
              <w:jc w:val="left"/>
              <w:rPr>
                <w:rFonts w:cs="宋体" w:eastAsiaTheme="minorHAnsi"/>
                <w:kern w:val="0"/>
                <w:szCs w:val="21"/>
              </w:rPr>
            </w:pPr>
            <w:r>
              <w:rPr>
                <w:rFonts w:hint="eastAsia" w:cs="宋体" w:eastAsiaTheme="minorHAnsi"/>
                <w:kern w:val="0"/>
                <w:szCs w:val="21"/>
              </w:rPr>
              <w:t>每台设备配置8块企业级HDD数据盘，单盘容量≥1</w:t>
            </w:r>
            <w:r>
              <w:rPr>
                <w:rFonts w:cs="宋体" w:eastAsiaTheme="minorHAnsi"/>
                <w:kern w:val="0"/>
                <w:szCs w:val="21"/>
              </w:rPr>
              <w:t>2</w:t>
            </w:r>
            <w:r>
              <w:rPr>
                <w:rFonts w:hint="eastAsia" w:cs="宋体" w:eastAsiaTheme="minorHAnsi"/>
                <w:kern w:val="0"/>
                <w:szCs w:val="21"/>
              </w:rPr>
              <w:t>TB</w:t>
            </w:r>
          </w:p>
        </w:tc>
      </w:tr>
      <w:tr w14:paraId="43B7F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tcBorders>
              <w:top w:val="single" w:color="auto" w:sz="4" w:space="0"/>
            </w:tcBorders>
            <w:shd w:val="clear" w:color="000000" w:fill="FFFFFF"/>
            <w:vAlign w:val="center"/>
          </w:tcPr>
          <w:p w14:paraId="1AAFA0B6">
            <w:pPr>
              <w:widowControl/>
              <w:spacing w:line="360" w:lineRule="auto"/>
              <w:jc w:val="center"/>
              <w:rPr>
                <w:rFonts w:cs="宋体" w:eastAsiaTheme="minorHAnsi"/>
                <w:kern w:val="0"/>
                <w:szCs w:val="21"/>
              </w:rPr>
            </w:pPr>
            <w:r>
              <w:rPr>
                <w:rFonts w:hint="eastAsia" w:cs="宋体" w:eastAsiaTheme="minorHAnsi"/>
                <w:kern w:val="0"/>
                <w:szCs w:val="21"/>
              </w:rPr>
              <w:t>RAID卡</w:t>
            </w:r>
          </w:p>
        </w:tc>
        <w:tc>
          <w:tcPr>
            <w:tcW w:w="9351" w:type="dxa"/>
            <w:tcBorders>
              <w:top w:val="single" w:color="auto" w:sz="4" w:space="0"/>
            </w:tcBorders>
            <w:shd w:val="clear" w:color="000000" w:fill="FFFFFF"/>
            <w:vAlign w:val="center"/>
          </w:tcPr>
          <w:p w14:paraId="3670351D">
            <w:pPr>
              <w:widowControl/>
              <w:spacing w:line="360" w:lineRule="auto"/>
              <w:jc w:val="left"/>
              <w:rPr>
                <w:rFonts w:cs="宋体" w:eastAsiaTheme="minorHAnsi"/>
                <w:kern w:val="0"/>
                <w:szCs w:val="21"/>
              </w:rPr>
            </w:pPr>
            <w:r>
              <w:rPr>
                <w:rFonts w:hint="eastAsia" w:cs="宋体" w:eastAsiaTheme="minorHAnsi"/>
                <w:kern w:val="0"/>
                <w:szCs w:val="21"/>
              </w:rPr>
              <w:t>每台设备配置高性能RAID阵列卡</w:t>
            </w:r>
          </w:p>
        </w:tc>
      </w:tr>
      <w:tr w14:paraId="56484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shd w:val="clear" w:color="000000" w:fill="FFFFFF"/>
            <w:vAlign w:val="center"/>
          </w:tcPr>
          <w:p w14:paraId="5E624465">
            <w:pPr>
              <w:widowControl/>
              <w:spacing w:line="360" w:lineRule="auto"/>
              <w:jc w:val="center"/>
              <w:rPr>
                <w:rFonts w:cs="宋体" w:eastAsiaTheme="minorHAnsi"/>
                <w:kern w:val="0"/>
                <w:szCs w:val="21"/>
              </w:rPr>
            </w:pPr>
            <w:r>
              <w:rPr>
                <w:rFonts w:hint="eastAsia" w:cs="宋体" w:eastAsiaTheme="minorHAnsi"/>
                <w:kern w:val="0"/>
                <w:szCs w:val="21"/>
              </w:rPr>
              <w:t>网络接口</w:t>
            </w:r>
          </w:p>
        </w:tc>
        <w:tc>
          <w:tcPr>
            <w:tcW w:w="9351" w:type="dxa"/>
            <w:shd w:val="clear" w:color="000000" w:fill="FFFFFF"/>
            <w:vAlign w:val="center"/>
          </w:tcPr>
          <w:p w14:paraId="5F863FB5">
            <w:pPr>
              <w:widowControl/>
              <w:spacing w:line="360" w:lineRule="auto"/>
              <w:jc w:val="left"/>
              <w:rPr>
                <w:rFonts w:cs="宋体" w:eastAsiaTheme="minorHAnsi"/>
                <w:kern w:val="0"/>
                <w:szCs w:val="21"/>
              </w:rPr>
            </w:pPr>
            <w:r>
              <w:rPr>
                <w:rFonts w:hint="eastAsia" w:cs="宋体" w:eastAsiaTheme="minorHAnsi"/>
                <w:kern w:val="0"/>
                <w:szCs w:val="21"/>
              </w:rPr>
              <w:t>每台设备配置≥</w:t>
            </w:r>
            <w:r>
              <w:rPr>
                <w:rFonts w:cs="宋体" w:eastAsiaTheme="minorHAnsi"/>
                <w:kern w:val="0"/>
                <w:szCs w:val="21"/>
              </w:rPr>
              <w:t>6</w:t>
            </w:r>
            <w:r>
              <w:rPr>
                <w:rFonts w:hint="eastAsia" w:cs="宋体" w:eastAsiaTheme="minorHAnsi"/>
                <w:kern w:val="0"/>
                <w:szCs w:val="21"/>
              </w:rPr>
              <w:t>个</w:t>
            </w:r>
            <w:r>
              <w:rPr>
                <w:rFonts w:cs="宋体" w:eastAsiaTheme="minorHAnsi"/>
                <w:kern w:val="0"/>
                <w:szCs w:val="21"/>
              </w:rPr>
              <w:t>25</w:t>
            </w:r>
            <w:r>
              <w:rPr>
                <w:rFonts w:hint="eastAsia" w:cs="宋体" w:eastAsiaTheme="minorHAnsi"/>
                <w:kern w:val="0"/>
                <w:szCs w:val="21"/>
              </w:rPr>
              <w:t>Gb万兆光口，并满配光模块</w:t>
            </w:r>
          </w:p>
        </w:tc>
      </w:tr>
      <w:tr w14:paraId="177BE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shd w:val="clear" w:color="000000" w:fill="FFFFFF"/>
            <w:vAlign w:val="center"/>
          </w:tcPr>
          <w:p w14:paraId="0FAFC4A8">
            <w:pPr>
              <w:widowControl/>
              <w:spacing w:line="360" w:lineRule="auto"/>
              <w:jc w:val="center"/>
              <w:rPr>
                <w:rFonts w:cs="宋体" w:eastAsiaTheme="minorHAnsi"/>
                <w:kern w:val="0"/>
                <w:szCs w:val="21"/>
              </w:rPr>
            </w:pPr>
            <w:r>
              <w:rPr>
                <w:rFonts w:hint="eastAsia" w:cs="宋体" w:eastAsiaTheme="minorHAnsi"/>
                <w:kern w:val="0"/>
                <w:szCs w:val="21"/>
              </w:rPr>
              <w:t>显示接口</w:t>
            </w:r>
          </w:p>
        </w:tc>
        <w:tc>
          <w:tcPr>
            <w:tcW w:w="9351" w:type="dxa"/>
            <w:shd w:val="clear" w:color="000000" w:fill="FFFFFF"/>
            <w:vAlign w:val="center"/>
          </w:tcPr>
          <w:p w14:paraId="5B47F504">
            <w:pPr>
              <w:widowControl/>
              <w:spacing w:line="360" w:lineRule="auto"/>
              <w:jc w:val="left"/>
              <w:rPr>
                <w:rFonts w:cs="宋体" w:eastAsiaTheme="minorHAnsi"/>
                <w:kern w:val="0"/>
                <w:szCs w:val="21"/>
              </w:rPr>
            </w:pPr>
            <w:r>
              <w:rPr>
                <w:rFonts w:hint="eastAsia" w:cs="宋体" w:eastAsiaTheme="minorHAnsi"/>
                <w:kern w:val="0"/>
                <w:szCs w:val="21"/>
              </w:rPr>
              <w:t>每台设备配置≥1个VGA接口</w:t>
            </w:r>
          </w:p>
        </w:tc>
      </w:tr>
      <w:tr w14:paraId="7204E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shd w:val="clear" w:color="000000" w:fill="FFFFFF"/>
            <w:vAlign w:val="center"/>
          </w:tcPr>
          <w:p w14:paraId="2B8CEE13">
            <w:pPr>
              <w:widowControl/>
              <w:spacing w:line="360" w:lineRule="auto"/>
              <w:jc w:val="center"/>
              <w:rPr>
                <w:rFonts w:cs="宋体" w:eastAsiaTheme="minorHAnsi"/>
                <w:kern w:val="0"/>
                <w:szCs w:val="21"/>
              </w:rPr>
            </w:pPr>
            <w:r>
              <w:rPr>
                <w:rFonts w:hint="eastAsia" w:cs="宋体" w:eastAsiaTheme="minorHAnsi"/>
                <w:kern w:val="0"/>
                <w:szCs w:val="21"/>
              </w:rPr>
              <w:t>USB接口</w:t>
            </w:r>
          </w:p>
        </w:tc>
        <w:tc>
          <w:tcPr>
            <w:tcW w:w="9351" w:type="dxa"/>
            <w:shd w:val="clear" w:color="000000" w:fill="FFFFFF"/>
            <w:vAlign w:val="center"/>
          </w:tcPr>
          <w:p w14:paraId="6A68F2BA">
            <w:pPr>
              <w:widowControl/>
              <w:spacing w:line="360" w:lineRule="auto"/>
              <w:jc w:val="left"/>
              <w:rPr>
                <w:rFonts w:cs="宋体" w:eastAsiaTheme="minorHAnsi"/>
                <w:kern w:val="0"/>
                <w:szCs w:val="21"/>
              </w:rPr>
            </w:pPr>
            <w:r>
              <w:rPr>
                <w:rFonts w:hint="eastAsia" w:cs="宋体" w:eastAsiaTheme="minorHAnsi"/>
                <w:kern w:val="0"/>
                <w:szCs w:val="21"/>
              </w:rPr>
              <w:t>每台设备配置≥1个USB 3.0接口</w:t>
            </w:r>
          </w:p>
        </w:tc>
      </w:tr>
      <w:tr w14:paraId="2852E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restart"/>
            <w:shd w:val="clear" w:color="000000" w:fill="FFFFFF"/>
            <w:vAlign w:val="center"/>
          </w:tcPr>
          <w:p w14:paraId="73212B3E">
            <w:pPr>
              <w:widowControl/>
              <w:spacing w:line="360" w:lineRule="auto"/>
              <w:jc w:val="center"/>
              <w:rPr>
                <w:rFonts w:cs="宋体" w:eastAsiaTheme="minorHAnsi"/>
                <w:kern w:val="0"/>
                <w:szCs w:val="21"/>
              </w:rPr>
            </w:pPr>
            <w:r>
              <w:rPr>
                <w:rFonts w:hint="eastAsia" w:cs="宋体" w:eastAsiaTheme="minorHAnsi"/>
                <w:kern w:val="0"/>
                <w:szCs w:val="21"/>
              </w:rPr>
              <w:t>电源</w:t>
            </w:r>
          </w:p>
        </w:tc>
        <w:tc>
          <w:tcPr>
            <w:tcW w:w="9351" w:type="dxa"/>
            <w:shd w:val="clear" w:color="000000" w:fill="FFFFFF"/>
            <w:vAlign w:val="center"/>
          </w:tcPr>
          <w:p w14:paraId="25EA55A3">
            <w:pPr>
              <w:widowControl/>
              <w:spacing w:line="360" w:lineRule="auto"/>
              <w:jc w:val="left"/>
              <w:rPr>
                <w:rFonts w:cs="宋体" w:eastAsiaTheme="minorHAnsi"/>
                <w:kern w:val="0"/>
                <w:szCs w:val="21"/>
              </w:rPr>
            </w:pPr>
            <w:r>
              <w:rPr>
                <w:rFonts w:hint="eastAsia" w:cs="宋体" w:eastAsiaTheme="minorHAnsi"/>
                <w:kern w:val="0"/>
                <w:szCs w:val="21"/>
              </w:rPr>
              <w:t>每台设备配置冗余电源，支持热插拔</w:t>
            </w:r>
          </w:p>
        </w:tc>
      </w:tr>
      <w:tr w14:paraId="4895A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continue"/>
            <w:vAlign w:val="center"/>
          </w:tcPr>
          <w:p w14:paraId="10AD7BFE">
            <w:pPr>
              <w:widowControl/>
              <w:spacing w:line="360" w:lineRule="auto"/>
              <w:jc w:val="left"/>
              <w:rPr>
                <w:rFonts w:cs="宋体" w:eastAsiaTheme="minorHAnsi"/>
                <w:kern w:val="0"/>
                <w:szCs w:val="21"/>
              </w:rPr>
            </w:pPr>
          </w:p>
        </w:tc>
        <w:tc>
          <w:tcPr>
            <w:tcW w:w="9351" w:type="dxa"/>
            <w:shd w:val="clear" w:color="000000" w:fill="FFFFFF"/>
            <w:vAlign w:val="center"/>
          </w:tcPr>
          <w:p w14:paraId="338FA171">
            <w:pPr>
              <w:widowControl/>
              <w:spacing w:line="360" w:lineRule="auto"/>
              <w:jc w:val="left"/>
              <w:rPr>
                <w:rFonts w:cs="宋体" w:eastAsiaTheme="minorHAnsi"/>
                <w:kern w:val="0"/>
                <w:szCs w:val="21"/>
              </w:rPr>
            </w:pPr>
            <w:r>
              <w:rPr>
                <w:rFonts w:hint="eastAsia" w:cs="宋体" w:eastAsiaTheme="minorHAnsi"/>
                <w:kern w:val="0"/>
                <w:szCs w:val="21"/>
              </w:rPr>
              <w:t>电源功率≥1300W</w:t>
            </w:r>
          </w:p>
        </w:tc>
      </w:tr>
      <w:tr w14:paraId="42A2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restart"/>
            <w:shd w:val="clear" w:color="000000" w:fill="FFFFFF"/>
            <w:vAlign w:val="center"/>
          </w:tcPr>
          <w:p w14:paraId="4AD48E02">
            <w:pPr>
              <w:widowControl/>
              <w:spacing w:line="360" w:lineRule="auto"/>
              <w:jc w:val="center"/>
              <w:rPr>
                <w:rFonts w:cs="宋体" w:eastAsiaTheme="minorHAnsi"/>
                <w:kern w:val="0"/>
                <w:szCs w:val="21"/>
              </w:rPr>
            </w:pPr>
            <w:r>
              <w:rPr>
                <w:rFonts w:hint="eastAsia" w:cs="宋体" w:eastAsiaTheme="minorHAnsi"/>
                <w:kern w:val="0"/>
                <w:szCs w:val="21"/>
              </w:rPr>
              <w:t>超融合和虚拟化软件</w:t>
            </w:r>
          </w:p>
        </w:tc>
        <w:tc>
          <w:tcPr>
            <w:tcW w:w="9351" w:type="dxa"/>
            <w:shd w:val="clear" w:color="000000" w:fill="FFFFFF"/>
            <w:vAlign w:val="center"/>
          </w:tcPr>
          <w:p w14:paraId="63F155AF">
            <w:pPr>
              <w:widowControl/>
              <w:spacing w:line="360" w:lineRule="auto"/>
              <w:jc w:val="left"/>
              <w:rPr>
                <w:rFonts w:cs="宋体" w:eastAsiaTheme="minorHAnsi"/>
                <w:kern w:val="0"/>
                <w:szCs w:val="21"/>
              </w:rPr>
            </w:pPr>
            <w:r>
              <w:rPr>
                <w:rFonts w:hint="eastAsia" w:cs="宋体" w:eastAsiaTheme="minorHAnsi"/>
                <w:kern w:val="0"/>
                <w:szCs w:val="21"/>
              </w:rPr>
              <w:t>每台设备配置云平台软件（2CPU）</w:t>
            </w:r>
          </w:p>
        </w:tc>
      </w:tr>
      <w:tr w14:paraId="44EE3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continue"/>
            <w:vAlign w:val="center"/>
          </w:tcPr>
          <w:p w14:paraId="318787DD">
            <w:pPr>
              <w:widowControl/>
              <w:spacing w:line="360" w:lineRule="auto"/>
              <w:jc w:val="left"/>
              <w:rPr>
                <w:rFonts w:cs="宋体" w:eastAsiaTheme="minorHAnsi"/>
                <w:kern w:val="0"/>
                <w:szCs w:val="21"/>
              </w:rPr>
            </w:pPr>
          </w:p>
        </w:tc>
        <w:tc>
          <w:tcPr>
            <w:tcW w:w="9351" w:type="dxa"/>
            <w:shd w:val="clear" w:color="000000" w:fill="FFFFFF"/>
            <w:vAlign w:val="center"/>
          </w:tcPr>
          <w:p w14:paraId="70B04C34">
            <w:pPr>
              <w:widowControl/>
              <w:spacing w:line="360" w:lineRule="auto"/>
              <w:jc w:val="left"/>
              <w:rPr>
                <w:rFonts w:cs="宋体" w:eastAsiaTheme="minorHAnsi"/>
                <w:kern w:val="0"/>
                <w:szCs w:val="21"/>
              </w:rPr>
            </w:pPr>
            <w:r>
              <w:rPr>
                <w:rFonts w:hint="eastAsia" w:cs="宋体" w:eastAsiaTheme="minorHAnsi"/>
                <w:kern w:val="0"/>
                <w:szCs w:val="21"/>
              </w:rPr>
              <w:t>每台设备配置分布式存储软件（2CPU）</w:t>
            </w:r>
          </w:p>
        </w:tc>
      </w:tr>
      <w:tr w14:paraId="56F5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jc w:val="center"/>
        </w:trPr>
        <w:tc>
          <w:tcPr>
            <w:tcW w:w="1276" w:type="dxa"/>
            <w:vMerge w:val="restart"/>
            <w:shd w:val="clear" w:color="auto" w:fill="auto"/>
            <w:vAlign w:val="center"/>
          </w:tcPr>
          <w:p w14:paraId="0AF78909">
            <w:pPr>
              <w:widowControl/>
              <w:spacing w:line="360" w:lineRule="auto"/>
              <w:jc w:val="center"/>
              <w:rPr>
                <w:rFonts w:cs="宋体" w:eastAsiaTheme="minorHAnsi"/>
                <w:kern w:val="0"/>
                <w:szCs w:val="21"/>
              </w:rPr>
            </w:pPr>
            <w:r>
              <w:rPr>
                <w:rFonts w:hint="eastAsia" w:cs="宋体" w:eastAsiaTheme="minorHAnsi"/>
                <w:kern w:val="0"/>
                <w:szCs w:val="21"/>
              </w:rPr>
              <w:t>总体要求</w:t>
            </w:r>
          </w:p>
        </w:tc>
        <w:tc>
          <w:tcPr>
            <w:tcW w:w="9351" w:type="dxa"/>
            <w:shd w:val="clear" w:color="auto" w:fill="auto"/>
            <w:vAlign w:val="center"/>
          </w:tcPr>
          <w:p w14:paraId="20D7FB9B">
            <w:pPr>
              <w:widowControl/>
              <w:spacing w:line="360" w:lineRule="auto"/>
              <w:jc w:val="left"/>
              <w:rPr>
                <w:rFonts w:cs="宋体" w:eastAsiaTheme="minorHAnsi"/>
                <w:kern w:val="0"/>
                <w:szCs w:val="21"/>
              </w:rPr>
            </w:pPr>
            <w:r>
              <w:rPr>
                <w:rFonts w:hint="eastAsia" w:cs="宋体" w:eastAsiaTheme="minorHAnsi"/>
                <w:kern w:val="0"/>
                <w:szCs w:val="21"/>
              </w:rPr>
              <w:t>云平台采用国产自研可控的虚拟化技术，通过计算虚拟化、存储虚拟化、网络虚拟化、管理平台软件提供管理便捷、资源伸缩、服务智能的虚拟化系统，向下可兼容不同厂商不同版本硬件（包括服务器、交换机、集中式SAN存储、CPU、硬盘、raid卡、网卡等设备），向上可以对接支撑各类业务系统稳定运行及发展需要（包括操作系统、数据库、中间件、安全软件、桌面云软件、容灾备份软件等），以此建设以业务需求驱动的云管理综合平台，实现生态完整、选择灵活的数字化底座。</w:t>
            </w:r>
          </w:p>
        </w:tc>
      </w:tr>
      <w:tr w14:paraId="6CAC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276" w:type="dxa"/>
            <w:vMerge w:val="continue"/>
            <w:vAlign w:val="center"/>
          </w:tcPr>
          <w:p w14:paraId="5DBABB21">
            <w:pPr>
              <w:widowControl/>
              <w:spacing w:line="360" w:lineRule="auto"/>
              <w:jc w:val="left"/>
              <w:rPr>
                <w:rFonts w:cs="宋体" w:eastAsiaTheme="minorHAnsi"/>
                <w:kern w:val="0"/>
                <w:szCs w:val="21"/>
              </w:rPr>
            </w:pPr>
          </w:p>
        </w:tc>
        <w:tc>
          <w:tcPr>
            <w:tcW w:w="9351" w:type="dxa"/>
            <w:shd w:val="clear" w:color="auto" w:fill="auto"/>
            <w:vAlign w:val="center"/>
          </w:tcPr>
          <w:p w14:paraId="3E5DFBC7">
            <w:pPr>
              <w:widowControl/>
              <w:spacing w:line="360" w:lineRule="auto"/>
              <w:jc w:val="left"/>
              <w:rPr>
                <w:rFonts w:cs="宋体" w:eastAsiaTheme="minorHAnsi"/>
                <w:kern w:val="0"/>
                <w:szCs w:val="21"/>
              </w:rPr>
            </w:pPr>
            <w:r>
              <w:rPr>
                <w:rFonts w:hint="eastAsia" w:cs="宋体" w:eastAsiaTheme="minorHAnsi"/>
                <w:kern w:val="0"/>
                <w:szCs w:val="21"/>
              </w:rPr>
              <w:t>支持多款国产处理器，可通过一套管理平台统一管理x86架构和非x86架构的机器，同时支持主流的国产芯片架构，包括：鲲鹏、飞腾、龙芯、兆芯、海光、申威，支持采用主流的国产操作系统作为物理机操作系统，包括麒麟、统信等。提供技术支持材料。</w:t>
            </w:r>
          </w:p>
        </w:tc>
      </w:tr>
      <w:tr w14:paraId="0C43D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276" w:type="dxa"/>
            <w:vMerge w:val="restart"/>
            <w:shd w:val="clear" w:color="auto" w:fill="auto"/>
            <w:vAlign w:val="center"/>
          </w:tcPr>
          <w:p w14:paraId="265A3929">
            <w:pPr>
              <w:widowControl/>
              <w:spacing w:line="360" w:lineRule="auto"/>
              <w:jc w:val="center"/>
              <w:rPr>
                <w:rFonts w:cs="宋体" w:eastAsiaTheme="minorHAnsi"/>
                <w:kern w:val="0"/>
                <w:szCs w:val="21"/>
              </w:rPr>
            </w:pPr>
            <w:r>
              <w:rPr>
                <w:rFonts w:hint="eastAsia" w:cs="宋体" w:eastAsiaTheme="minorHAnsi"/>
                <w:kern w:val="0"/>
                <w:szCs w:val="21"/>
              </w:rPr>
              <w:t>开放性</w:t>
            </w:r>
          </w:p>
        </w:tc>
        <w:tc>
          <w:tcPr>
            <w:tcW w:w="9351" w:type="dxa"/>
            <w:shd w:val="clear" w:color="auto" w:fill="auto"/>
            <w:vAlign w:val="center"/>
          </w:tcPr>
          <w:p w14:paraId="6A634B72">
            <w:pPr>
              <w:widowControl/>
              <w:spacing w:line="360" w:lineRule="auto"/>
              <w:jc w:val="left"/>
              <w:rPr>
                <w:rFonts w:cs="宋体" w:eastAsiaTheme="minorHAnsi"/>
                <w:kern w:val="0"/>
                <w:szCs w:val="21"/>
              </w:rPr>
            </w:pPr>
            <w:r>
              <w:rPr>
                <w:rFonts w:hint="eastAsia" w:cs="宋体" w:eastAsiaTheme="minorHAnsi"/>
                <w:kern w:val="0"/>
                <w:szCs w:val="21"/>
              </w:rPr>
              <w:t>为满足后续二次开发和集成要求，云平台原厂须提供可在线下载的API开发手册，JAVA和Python格式的SDK工具包；云平台须支持任意界面一键开启API调用请求实时查看功能，能够在产品页面直接显示调用的API，并可根据API请求类型进行分类查看，提高二次开发效率。</w:t>
            </w:r>
          </w:p>
        </w:tc>
      </w:tr>
      <w:tr w14:paraId="3368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148778BB">
            <w:pPr>
              <w:widowControl/>
              <w:spacing w:line="360" w:lineRule="auto"/>
              <w:jc w:val="left"/>
              <w:rPr>
                <w:rFonts w:cs="宋体" w:eastAsiaTheme="minorHAnsi"/>
                <w:kern w:val="0"/>
                <w:szCs w:val="21"/>
              </w:rPr>
            </w:pPr>
          </w:p>
        </w:tc>
        <w:tc>
          <w:tcPr>
            <w:tcW w:w="9351" w:type="dxa"/>
            <w:shd w:val="clear" w:color="auto" w:fill="auto"/>
            <w:vAlign w:val="center"/>
          </w:tcPr>
          <w:p w14:paraId="4B2AC7B4">
            <w:pPr>
              <w:widowControl/>
              <w:spacing w:line="360" w:lineRule="auto"/>
              <w:jc w:val="left"/>
              <w:rPr>
                <w:rFonts w:cs="宋体" w:eastAsiaTheme="minorHAnsi"/>
                <w:kern w:val="0"/>
                <w:szCs w:val="21"/>
              </w:rPr>
            </w:pPr>
            <w:r>
              <w:rPr>
                <w:rFonts w:hint="eastAsia" w:cs="宋体" w:eastAsiaTheme="minorHAnsi"/>
                <w:kern w:val="0"/>
                <w:szCs w:val="21"/>
              </w:rPr>
              <w:t>为减少平台运维难度，须提供可在线查看的常见运维指南及常见排障指南，相关信息及文档须有公开链接，无需身份验证即可查看。</w:t>
            </w:r>
          </w:p>
        </w:tc>
      </w:tr>
      <w:tr w14:paraId="46FE3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33B2BFB1">
            <w:pPr>
              <w:widowControl/>
              <w:spacing w:line="360" w:lineRule="auto"/>
              <w:jc w:val="left"/>
              <w:rPr>
                <w:rFonts w:cs="宋体" w:eastAsiaTheme="minorHAnsi"/>
                <w:kern w:val="0"/>
                <w:szCs w:val="21"/>
              </w:rPr>
            </w:pPr>
          </w:p>
        </w:tc>
        <w:tc>
          <w:tcPr>
            <w:tcW w:w="9351" w:type="dxa"/>
            <w:shd w:val="clear" w:color="auto" w:fill="auto"/>
            <w:vAlign w:val="center"/>
          </w:tcPr>
          <w:p w14:paraId="5FDA254D">
            <w:pPr>
              <w:widowControl/>
              <w:spacing w:line="360" w:lineRule="auto"/>
              <w:jc w:val="left"/>
              <w:rPr>
                <w:rFonts w:cs="宋体" w:eastAsiaTheme="minorHAnsi"/>
                <w:kern w:val="0"/>
                <w:szCs w:val="21"/>
              </w:rPr>
            </w:pPr>
            <w:r>
              <w:rPr>
                <w:rFonts w:hint="eastAsia" w:cs="宋体" w:eastAsiaTheme="minorHAnsi"/>
                <w:kern w:val="0"/>
                <w:szCs w:val="21"/>
              </w:rPr>
              <w:t>▲云平台支持通过界面操作无缝接入校内统一身份认证系统，相应第三方用户将免密登录云平台，便捷使用云资源，支持添加AD/LDAP/OIDC/OAuth2/CAS等服务器。（提供技术支持材料）</w:t>
            </w:r>
          </w:p>
        </w:tc>
      </w:tr>
      <w:tr w14:paraId="738F4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276256EA">
            <w:pPr>
              <w:widowControl/>
              <w:spacing w:line="360" w:lineRule="auto"/>
              <w:jc w:val="left"/>
              <w:rPr>
                <w:rFonts w:cs="宋体" w:eastAsiaTheme="minorHAnsi"/>
                <w:kern w:val="0"/>
                <w:szCs w:val="21"/>
              </w:rPr>
            </w:pPr>
          </w:p>
        </w:tc>
        <w:tc>
          <w:tcPr>
            <w:tcW w:w="9351" w:type="dxa"/>
            <w:shd w:val="clear" w:color="auto" w:fill="auto"/>
            <w:vAlign w:val="center"/>
          </w:tcPr>
          <w:p w14:paraId="2B37C458">
            <w:pPr>
              <w:widowControl/>
              <w:spacing w:line="360" w:lineRule="auto"/>
              <w:jc w:val="left"/>
              <w:rPr>
                <w:rFonts w:cs="宋体" w:eastAsiaTheme="minorHAnsi"/>
                <w:kern w:val="0"/>
                <w:szCs w:val="21"/>
              </w:rPr>
            </w:pPr>
            <w:r>
              <w:rPr>
                <w:rFonts w:hint="eastAsia" w:cs="宋体" w:eastAsiaTheme="minorHAnsi"/>
                <w:kern w:val="0"/>
                <w:szCs w:val="21"/>
              </w:rPr>
              <w:t>云平台创建的虚拟机兼容适配现有市场上主流国内外操作系统，包括麒麟、统信、openEuler、openAnolis、深度、Windows、CentOS、RedHat、SUSE、Ubuntu、FreeBSD等。</w:t>
            </w:r>
          </w:p>
        </w:tc>
      </w:tr>
      <w:tr w14:paraId="0A4F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restart"/>
            <w:shd w:val="clear" w:color="auto" w:fill="auto"/>
            <w:vAlign w:val="center"/>
          </w:tcPr>
          <w:p w14:paraId="066318F1">
            <w:pPr>
              <w:widowControl/>
              <w:spacing w:line="360" w:lineRule="auto"/>
              <w:jc w:val="center"/>
              <w:rPr>
                <w:rFonts w:cs="宋体" w:eastAsiaTheme="minorHAnsi"/>
                <w:kern w:val="0"/>
                <w:szCs w:val="21"/>
              </w:rPr>
            </w:pPr>
            <w:r>
              <w:rPr>
                <w:rFonts w:hint="eastAsia" w:cs="宋体" w:eastAsiaTheme="minorHAnsi"/>
                <w:kern w:val="0"/>
                <w:szCs w:val="21"/>
              </w:rPr>
              <w:t>便捷性</w:t>
            </w:r>
          </w:p>
        </w:tc>
        <w:tc>
          <w:tcPr>
            <w:tcW w:w="9351" w:type="dxa"/>
            <w:shd w:val="clear" w:color="auto" w:fill="auto"/>
            <w:vAlign w:val="center"/>
          </w:tcPr>
          <w:p w14:paraId="7D416AD9">
            <w:pPr>
              <w:widowControl/>
              <w:spacing w:line="360" w:lineRule="auto"/>
              <w:jc w:val="left"/>
              <w:rPr>
                <w:rFonts w:cs="宋体" w:eastAsiaTheme="minorHAnsi"/>
                <w:kern w:val="0"/>
                <w:szCs w:val="21"/>
              </w:rPr>
            </w:pPr>
            <w:r>
              <w:rPr>
                <w:rFonts w:hint="eastAsia" w:cs="宋体" w:eastAsiaTheme="minorHAnsi"/>
                <w:kern w:val="0"/>
                <w:szCs w:val="21"/>
              </w:rPr>
              <w:t>云平台须支持一键扫描功能，对当前集群包括计算、存储、网络、安全等模块进行一次全方位扫描，评估当前集群环境健康度、故障诊断，替代人工逐项分析定位，并提供优化方案及优化路径。</w:t>
            </w:r>
          </w:p>
        </w:tc>
      </w:tr>
      <w:tr w14:paraId="5F8A6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60D88E1C">
            <w:pPr>
              <w:widowControl/>
              <w:spacing w:line="360" w:lineRule="auto"/>
              <w:jc w:val="left"/>
              <w:rPr>
                <w:rFonts w:cs="宋体" w:eastAsiaTheme="minorHAnsi"/>
                <w:kern w:val="0"/>
                <w:szCs w:val="21"/>
              </w:rPr>
            </w:pPr>
          </w:p>
        </w:tc>
        <w:tc>
          <w:tcPr>
            <w:tcW w:w="9351" w:type="dxa"/>
            <w:shd w:val="clear" w:color="auto" w:fill="auto"/>
            <w:vAlign w:val="center"/>
          </w:tcPr>
          <w:p w14:paraId="5637A3F5">
            <w:pPr>
              <w:widowControl/>
              <w:spacing w:line="360" w:lineRule="auto"/>
              <w:jc w:val="left"/>
              <w:rPr>
                <w:rFonts w:cs="宋体" w:eastAsiaTheme="minorHAnsi"/>
                <w:kern w:val="0"/>
                <w:szCs w:val="21"/>
              </w:rPr>
            </w:pPr>
            <w:r>
              <w:rPr>
                <w:rFonts w:hint="eastAsia" w:cs="宋体" w:eastAsiaTheme="minorHAnsi"/>
                <w:kern w:val="0"/>
                <w:szCs w:val="21"/>
              </w:rPr>
              <w:t>为保证操作便捷性，云平台须支持任意界面打开内部搜索功能，可根据关键词搜索资源、功能入口、相关技术文档及操作实践手册等。</w:t>
            </w:r>
          </w:p>
        </w:tc>
      </w:tr>
      <w:tr w14:paraId="42556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703797BF">
            <w:pPr>
              <w:widowControl/>
              <w:spacing w:line="360" w:lineRule="auto"/>
              <w:jc w:val="left"/>
              <w:rPr>
                <w:rFonts w:cs="宋体" w:eastAsiaTheme="minorHAnsi"/>
                <w:kern w:val="0"/>
                <w:szCs w:val="21"/>
              </w:rPr>
            </w:pPr>
          </w:p>
        </w:tc>
        <w:tc>
          <w:tcPr>
            <w:tcW w:w="9351" w:type="dxa"/>
            <w:shd w:val="clear" w:color="auto" w:fill="auto"/>
            <w:vAlign w:val="center"/>
          </w:tcPr>
          <w:p w14:paraId="1CC1797D">
            <w:pPr>
              <w:widowControl/>
              <w:spacing w:line="360" w:lineRule="auto"/>
              <w:jc w:val="left"/>
              <w:rPr>
                <w:rFonts w:cs="宋体" w:eastAsiaTheme="minorHAnsi"/>
                <w:kern w:val="0"/>
                <w:szCs w:val="21"/>
              </w:rPr>
            </w:pPr>
            <w:r>
              <w:rPr>
                <w:rFonts w:hint="eastAsia" w:cs="宋体" w:eastAsiaTheme="minorHAnsi"/>
                <w:kern w:val="0"/>
                <w:szCs w:val="21"/>
              </w:rPr>
              <w:t>为简化升级操作和最小化升级带来的影响，平台须支持免费的一键式升级，升级过程对业务透明，不影响业务正常运行，保证业务连续性。</w:t>
            </w:r>
          </w:p>
        </w:tc>
      </w:tr>
      <w:tr w14:paraId="75E5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78E04C5A">
            <w:pPr>
              <w:widowControl/>
              <w:spacing w:line="360" w:lineRule="auto"/>
              <w:jc w:val="left"/>
              <w:rPr>
                <w:rFonts w:cs="宋体" w:eastAsiaTheme="minorHAnsi"/>
                <w:kern w:val="0"/>
                <w:szCs w:val="21"/>
              </w:rPr>
            </w:pPr>
          </w:p>
        </w:tc>
        <w:tc>
          <w:tcPr>
            <w:tcW w:w="9351" w:type="dxa"/>
            <w:shd w:val="clear" w:color="auto" w:fill="auto"/>
            <w:vAlign w:val="center"/>
          </w:tcPr>
          <w:p w14:paraId="21B4CDCA">
            <w:pPr>
              <w:widowControl/>
              <w:spacing w:line="360" w:lineRule="auto"/>
              <w:jc w:val="left"/>
              <w:rPr>
                <w:rFonts w:cs="宋体" w:eastAsiaTheme="minorHAnsi"/>
                <w:kern w:val="0"/>
                <w:szCs w:val="21"/>
              </w:rPr>
            </w:pPr>
            <w:r>
              <w:rPr>
                <w:rFonts w:hint="eastAsia" w:cs="宋体" w:eastAsiaTheme="minorHAnsi"/>
                <w:kern w:val="0"/>
                <w:szCs w:val="21"/>
              </w:rPr>
              <w:t>须支持在不中断业务的情况下，将新节点自动或手动加入现有集群中，无论何种副本个数都能够以1个节点为单位进行扩容，实现集群计算、存储和网络资源的无缝扩展。</w:t>
            </w:r>
          </w:p>
        </w:tc>
      </w:tr>
      <w:tr w14:paraId="1C650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restart"/>
            <w:shd w:val="clear" w:color="auto" w:fill="auto"/>
            <w:vAlign w:val="center"/>
          </w:tcPr>
          <w:p w14:paraId="675BD36F">
            <w:pPr>
              <w:widowControl/>
              <w:spacing w:line="360" w:lineRule="auto"/>
              <w:jc w:val="center"/>
              <w:rPr>
                <w:rFonts w:cs="宋体" w:eastAsiaTheme="minorHAnsi"/>
                <w:kern w:val="0"/>
                <w:szCs w:val="21"/>
              </w:rPr>
            </w:pPr>
            <w:r>
              <w:rPr>
                <w:rFonts w:hint="eastAsia" w:cs="宋体" w:eastAsiaTheme="minorHAnsi"/>
                <w:kern w:val="0"/>
                <w:szCs w:val="21"/>
              </w:rPr>
              <w:t>计算虚拟化</w:t>
            </w:r>
          </w:p>
        </w:tc>
        <w:tc>
          <w:tcPr>
            <w:tcW w:w="9351" w:type="dxa"/>
            <w:shd w:val="clear" w:color="auto" w:fill="auto"/>
            <w:vAlign w:val="center"/>
          </w:tcPr>
          <w:p w14:paraId="72675AA7">
            <w:pPr>
              <w:widowControl/>
              <w:spacing w:line="360" w:lineRule="auto"/>
              <w:jc w:val="left"/>
              <w:rPr>
                <w:rFonts w:cs="宋体" w:eastAsiaTheme="minorHAnsi"/>
                <w:kern w:val="0"/>
                <w:szCs w:val="21"/>
              </w:rPr>
            </w:pPr>
            <w:r>
              <w:rPr>
                <w:rFonts w:hint="eastAsia" w:cs="宋体" w:eastAsiaTheme="minorHAnsi"/>
                <w:kern w:val="0"/>
                <w:szCs w:val="21"/>
              </w:rPr>
              <w:t>云平台须支持虚拟机高可用，当出现物理机故障时，其上运行的虚拟机会自动疏散至其他正常的物理机并运行，保障业务的连续性。</w:t>
            </w:r>
          </w:p>
        </w:tc>
      </w:tr>
      <w:tr w14:paraId="3F8C1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5E73486F">
            <w:pPr>
              <w:widowControl/>
              <w:spacing w:line="360" w:lineRule="auto"/>
              <w:jc w:val="left"/>
              <w:rPr>
                <w:rFonts w:cs="宋体" w:eastAsiaTheme="minorHAnsi"/>
                <w:kern w:val="0"/>
                <w:szCs w:val="21"/>
              </w:rPr>
            </w:pPr>
          </w:p>
        </w:tc>
        <w:tc>
          <w:tcPr>
            <w:tcW w:w="9351" w:type="dxa"/>
            <w:shd w:val="clear" w:color="auto" w:fill="auto"/>
            <w:vAlign w:val="center"/>
          </w:tcPr>
          <w:p w14:paraId="5499D51E">
            <w:pPr>
              <w:widowControl/>
              <w:spacing w:line="360" w:lineRule="auto"/>
              <w:jc w:val="left"/>
              <w:rPr>
                <w:rFonts w:cs="宋体" w:eastAsiaTheme="minorHAnsi"/>
                <w:kern w:val="0"/>
                <w:szCs w:val="21"/>
              </w:rPr>
            </w:pPr>
            <w:r>
              <w:rPr>
                <w:rFonts w:hint="eastAsia" w:cs="宋体" w:eastAsiaTheme="minorHAnsi"/>
                <w:kern w:val="0"/>
                <w:szCs w:val="21"/>
              </w:rPr>
              <w:t>云平台须支持统一的虚拟机管理界面，在同一界面上提供虚拟机修改配置、关机、重启、停止、关闭电源、标签绑定、硬盘加载/卸载、SSH密钥、网卡加载/卸载、制作镜像模板、创建备份（灵活可选主机及其挂载的硬盘）、报警策略等功能。</w:t>
            </w:r>
          </w:p>
        </w:tc>
      </w:tr>
      <w:tr w14:paraId="79A35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360E170B">
            <w:pPr>
              <w:widowControl/>
              <w:spacing w:line="360" w:lineRule="auto"/>
              <w:jc w:val="left"/>
              <w:rPr>
                <w:rFonts w:cs="宋体" w:eastAsiaTheme="minorHAnsi"/>
                <w:kern w:val="0"/>
                <w:szCs w:val="21"/>
              </w:rPr>
            </w:pPr>
          </w:p>
        </w:tc>
        <w:tc>
          <w:tcPr>
            <w:tcW w:w="9351" w:type="dxa"/>
            <w:shd w:val="clear" w:color="auto" w:fill="auto"/>
            <w:vAlign w:val="center"/>
          </w:tcPr>
          <w:p w14:paraId="7A6D0F81">
            <w:pPr>
              <w:widowControl/>
              <w:spacing w:line="360" w:lineRule="auto"/>
              <w:jc w:val="left"/>
              <w:rPr>
                <w:rFonts w:cs="宋体" w:eastAsiaTheme="minorHAnsi"/>
                <w:kern w:val="0"/>
                <w:szCs w:val="21"/>
              </w:rPr>
            </w:pPr>
            <w:r>
              <w:rPr>
                <w:rFonts w:hint="eastAsia" w:cs="宋体" w:eastAsiaTheme="minorHAnsi"/>
                <w:kern w:val="0"/>
                <w:szCs w:val="21"/>
              </w:rPr>
              <w:t>云平台须支持虚拟机回收站功能，防止因虚拟机误删除导致数据丢失，支持设置回收站文件保存周期，超期的文件将被自动删除，支持批量销毁或还原虚拟机。</w:t>
            </w:r>
          </w:p>
        </w:tc>
      </w:tr>
      <w:tr w14:paraId="35C27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58244D0A">
            <w:pPr>
              <w:widowControl/>
              <w:spacing w:line="360" w:lineRule="auto"/>
              <w:jc w:val="left"/>
              <w:rPr>
                <w:rFonts w:cs="宋体" w:eastAsiaTheme="minorHAnsi"/>
                <w:kern w:val="0"/>
                <w:szCs w:val="21"/>
              </w:rPr>
            </w:pPr>
          </w:p>
        </w:tc>
        <w:tc>
          <w:tcPr>
            <w:tcW w:w="9351" w:type="dxa"/>
            <w:shd w:val="clear" w:color="auto" w:fill="auto"/>
            <w:vAlign w:val="center"/>
          </w:tcPr>
          <w:p w14:paraId="38387F66">
            <w:pPr>
              <w:widowControl/>
              <w:spacing w:line="360" w:lineRule="auto"/>
              <w:jc w:val="left"/>
              <w:rPr>
                <w:rFonts w:cs="宋体" w:eastAsiaTheme="minorHAnsi"/>
                <w:kern w:val="0"/>
                <w:szCs w:val="21"/>
              </w:rPr>
            </w:pPr>
            <w:r>
              <w:rPr>
                <w:rFonts w:hint="eastAsia" w:cs="宋体" w:eastAsiaTheme="minorHAnsi"/>
                <w:kern w:val="0"/>
                <w:szCs w:val="21"/>
              </w:rPr>
              <w:t>云平台须支持并提供iso、raw、qcow2、vmdk、ovf等格式的镜像或模板导入功能，同时支持导出OVA格式虚拟机。</w:t>
            </w:r>
          </w:p>
        </w:tc>
      </w:tr>
      <w:tr w14:paraId="57A89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1B80883D">
            <w:pPr>
              <w:widowControl/>
              <w:spacing w:line="360" w:lineRule="auto"/>
              <w:jc w:val="left"/>
              <w:rPr>
                <w:rFonts w:cs="宋体" w:eastAsiaTheme="minorHAnsi"/>
                <w:kern w:val="0"/>
                <w:szCs w:val="21"/>
              </w:rPr>
            </w:pPr>
          </w:p>
        </w:tc>
        <w:tc>
          <w:tcPr>
            <w:tcW w:w="9351" w:type="dxa"/>
            <w:shd w:val="clear" w:color="auto" w:fill="auto"/>
            <w:vAlign w:val="center"/>
          </w:tcPr>
          <w:p w14:paraId="2993217D">
            <w:pPr>
              <w:widowControl/>
              <w:spacing w:line="360" w:lineRule="auto"/>
              <w:jc w:val="left"/>
              <w:rPr>
                <w:rFonts w:cs="宋体" w:eastAsiaTheme="minorHAnsi"/>
                <w:kern w:val="0"/>
                <w:szCs w:val="21"/>
              </w:rPr>
            </w:pPr>
            <w:r>
              <w:rPr>
                <w:rFonts w:hint="eastAsia" w:cs="宋体" w:eastAsiaTheme="minorHAnsi"/>
                <w:kern w:val="0"/>
                <w:szCs w:val="21"/>
              </w:rPr>
              <w:t>为满足虚拟化不同场景接入模式，云平台须支持并提供SPICE、VNC、SPICE+VNC三种模式的控制台，SPICE协议可新增SSL加密通道。</w:t>
            </w:r>
          </w:p>
        </w:tc>
      </w:tr>
      <w:tr w14:paraId="74B6A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3BF0E01F">
            <w:pPr>
              <w:widowControl/>
              <w:spacing w:line="360" w:lineRule="auto"/>
              <w:jc w:val="left"/>
              <w:rPr>
                <w:rFonts w:cs="宋体" w:eastAsiaTheme="minorHAnsi"/>
                <w:kern w:val="0"/>
                <w:szCs w:val="21"/>
              </w:rPr>
            </w:pPr>
          </w:p>
        </w:tc>
        <w:tc>
          <w:tcPr>
            <w:tcW w:w="9351" w:type="dxa"/>
            <w:shd w:val="clear" w:color="auto" w:fill="auto"/>
            <w:vAlign w:val="center"/>
          </w:tcPr>
          <w:p w14:paraId="18F36E0E">
            <w:pPr>
              <w:widowControl/>
              <w:spacing w:line="360" w:lineRule="auto"/>
              <w:jc w:val="left"/>
              <w:rPr>
                <w:rFonts w:cs="宋体" w:eastAsiaTheme="minorHAnsi"/>
                <w:kern w:val="0"/>
                <w:szCs w:val="21"/>
              </w:rPr>
            </w:pPr>
            <w:r>
              <w:rPr>
                <w:rFonts w:hint="eastAsia" w:cs="宋体" w:eastAsiaTheme="minorHAnsi"/>
                <w:kern w:val="0"/>
                <w:szCs w:val="21"/>
              </w:rPr>
              <w:t>云平台须同时支持并提供虚拟机的关机/开机快照功能，支持设置快照将虚拟机磁盘文件信息保存到镜像文件中，快照需要支持磁盘级快照和内存级快照。</w:t>
            </w:r>
          </w:p>
        </w:tc>
      </w:tr>
      <w:tr w14:paraId="3E56E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276" w:type="dxa"/>
            <w:vMerge w:val="continue"/>
            <w:vAlign w:val="center"/>
          </w:tcPr>
          <w:p w14:paraId="6F1F4A30">
            <w:pPr>
              <w:widowControl/>
              <w:spacing w:line="360" w:lineRule="auto"/>
              <w:jc w:val="left"/>
              <w:rPr>
                <w:rFonts w:cs="宋体" w:eastAsiaTheme="minorHAnsi"/>
                <w:kern w:val="0"/>
                <w:szCs w:val="21"/>
              </w:rPr>
            </w:pPr>
          </w:p>
        </w:tc>
        <w:tc>
          <w:tcPr>
            <w:tcW w:w="9351" w:type="dxa"/>
            <w:shd w:val="clear" w:color="auto" w:fill="auto"/>
            <w:vAlign w:val="center"/>
          </w:tcPr>
          <w:p w14:paraId="24759CEE">
            <w:pPr>
              <w:widowControl/>
              <w:spacing w:line="360" w:lineRule="auto"/>
              <w:jc w:val="left"/>
              <w:rPr>
                <w:rFonts w:cs="宋体" w:eastAsiaTheme="minorHAnsi"/>
                <w:kern w:val="0"/>
                <w:szCs w:val="21"/>
              </w:rPr>
            </w:pPr>
            <w:r>
              <w:rPr>
                <w:rFonts w:hint="eastAsia" w:cs="宋体" w:eastAsiaTheme="minorHAnsi"/>
                <w:kern w:val="0"/>
                <w:szCs w:val="21"/>
              </w:rPr>
              <w:t>支持云主机弹性伸缩功能，根据对云主机CPU使用率、内存使用率进行监控，按照既定策略动态增加或减少弹性伸缩组内的云主机数量；支持对弹性伸缩组内的云主机进行健康检查，自动隔离故障云主机并创建新的云主机，确保组内健康云主机数不低于设置的最小值，每次触发弹性伸缩策略后进行消息通知，支持查看伸缩记录。</w:t>
            </w:r>
          </w:p>
        </w:tc>
      </w:tr>
      <w:tr w14:paraId="5BE94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664DAADF">
            <w:pPr>
              <w:widowControl/>
              <w:spacing w:line="360" w:lineRule="auto"/>
              <w:jc w:val="left"/>
              <w:rPr>
                <w:rFonts w:cs="宋体" w:eastAsiaTheme="minorHAnsi"/>
                <w:kern w:val="0"/>
                <w:szCs w:val="21"/>
              </w:rPr>
            </w:pPr>
          </w:p>
        </w:tc>
        <w:tc>
          <w:tcPr>
            <w:tcW w:w="9351" w:type="dxa"/>
            <w:shd w:val="clear" w:color="auto" w:fill="auto"/>
            <w:vAlign w:val="center"/>
          </w:tcPr>
          <w:p w14:paraId="4CA11D2E">
            <w:pPr>
              <w:widowControl/>
              <w:spacing w:line="360" w:lineRule="auto"/>
              <w:jc w:val="left"/>
              <w:rPr>
                <w:rFonts w:cs="宋体" w:eastAsiaTheme="minorHAnsi"/>
                <w:kern w:val="0"/>
                <w:szCs w:val="21"/>
              </w:rPr>
            </w:pPr>
            <w:r>
              <w:rPr>
                <w:rFonts w:hint="eastAsia" w:cs="宋体" w:eastAsiaTheme="minorHAnsi"/>
                <w:kern w:val="0"/>
                <w:szCs w:val="21"/>
              </w:rPr>
              <w:t>▲同时支持主流GPU设备的直通和虚拟化，通过全图形化界面操作能够将GPU设备或vGPU设备加载到云主机中（提供技术支持材料）。</w:t>
            </w:r>
          </w:p>
        </w:tc>
      </w:tr>
      <w:tr w14:paraId="5DC15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49078DF1">
            <w:pPr>
              <w:widowControl/>
              <w:spacing w:line="360" w:lineRule="auto"/>
              <w:jc w:val="left"/>
              <w:rPr>
                <w:rFonts w:cs="宋体" w:eastAsiaTheme="minorHAnsi"/>
                <w:kern w:val="0"/>
                <w:szCs w:val="21"/>
              </w:rPr>
            </w:pPr>
          </w:p>
        </w:tc>
        <w:tc>
          <w:tcPr>
            <w:tcW w:w="9351" w:type="dxa"/>
            <w:shd w:val="clear" w:color="auto" w:fill="auto"/>
            <w:vAlign w:val="center"/>
          </w:tcPr>
          <w:p w14:paraId="41DD3184">
            <w:pPr>
              <w:widowControl/>
              <w:spacing w:line="360" w:lineRule="auto"/>
              <w:jc w:val="left"/>
              <w:rPr>
                <w:rFonts w:cs="宋体" w:eastAsiaTheme="minorHAnsi"/>
                <w:kern w:val="0"/>
                <w:szCs w:val="21"/>
              </w:rPr>
            </w:pPr>
            <w:r>
              <w:rPr>
                <w:rFonts w:hint="eastAsia" w:cs="宋体" w:eastAsiaTheme="minorHAnsi"/>
                <w:color w:val="000000"/>
                <w:kern w:val="0"/>
                <w:szCs w:val="21"/>
              </w:rPr>
              <w:t>▲支持G</w:t>
            </w:r>
            <w:r>
              <w:rPr>
                <w:rFonts w:cs="宋体" w:eastAsiaTheme="minorHAnsi"/>
                <w:color w:val="000000"/>
                <w:kern w:val="0"/>
                <w:szCs w:val="21"/>
              </w:rPr>
              <w:t>PU</w:t>
            </w:r>
            <w:r>
              <w:rPr>
                <w:rFonts w:hint="eastAsia" w:cs="宋体" w:eastAsiaTheme="minorHAnsi"/>
                <w:color w:val="000000"/>
                <w:kern w:val="0"/>
                <w:szCs w:val="21"/>
              </w:rPr>
              <w:t>规格功能，可</w:t>
            </w:r>
            <w:r>
              <w:rPr>
                <w:rFonts w:cs="宋体" w:eastAsiaTheme="minorHAnsi"/>
                <w:color w:val="000000"/>
                <w:kern w:val="0"/>
                <w:szCs w:val="21"/>
              </w:rPr>
              <w:t>定义</w:t>
            </w:r>
            <w:r>
              <w:rPr>
                <w:rFonts w:hint="eastAsia" w:cs="宋体" w:eastAsiaTheme="minorHAnsi"/>
                <w:color w:val="000000"/>
                <w:kern w:val="0"/>
                <w:szCs w:val="21"/>
              </w:rPr>
              <w:t>物理</w:t>
            </w:r>
            <w:r>
              <w:rPr>
                <w:rFonts w:cs="宋体" w:eastAsiaTheme="minorHAnsi"/>
                <w:color w:val="000000"/>
                <w:kern w:val="0"/>
                <w:szCs w:val="21"/>
              </w:rPr>
              <w:t>GPU设备或vGPU设备涉及的GPU帧数、显存、分辨率等规格</w:t>
            </w:r>
            <w:r>
              <w:rPr>
                <w:rFonts w:hint="eastAsia" w:cs="宋体" w:eastAsiaTheme="minorHAnsi"/>
                <w:color w:val="000000"/>
                <w:kern w:val="0"/>
                <w:szCs w:val="21"/>
              </w:rPr>
              <w:t>，支持为物理</w:t>
            </w:r>
            <w:r>
              <w:rPr>
                <w:rFonts w:cs="宋体" w:eastAsiaTheme="minorHAnsi"/>
                <w:color w:val="000000"/>
                <w:kern w:val="0"/>
                <w:szCs w:val="21"/>
              </w:rPr>
              <w:t>GPU规格设置ROM</w:t>
            </w:r>
            <w:r>
              <w:rPr>
                <w:rFonts w:hint="eastAsia" w:cs="宋体" w:eastAsiaTheme="minorHAnsi"/>
                <w:color w:val="000000"/>
                <w:kern w:val="0"/>
                <w:szCs w:val="21"/>
              </w:rPr>
              <w:t>，以及设置G</w:t>
            </w:r>
            <w:r>
              <w:rPr>
                <w:rFonts w:cs="宋体" w:eastAsiaTheme="minorHAnsi"/>
                <w:color w:val="000000"/>
                <w:kern w:val="0"/>
                <w:szCs w:val="21"/>
              </w:rPr>
              <w:t>PU/</w:t>
            </w:r>
            <w:r>
              <w:rPr>
                <w:rFonts w:hint="eastAsia" w:cs="宋体" w:eastAsiaTheme="minorHAnsi"/>
                <w:color w:val="000000"/>
                <w:kern w:val="0"/>
                <w:szCs w:val="21"/>
              </w:rPr>
              <w:t>v</w:t>
            </w:r>
            <w:r>
              <w:rPr>
                <w:rFonts w:cs="宋体" w:eastAsiaTheme="minorHAnsi"/>
                <w:color w:val="000000"/>
                <w:kern w:val="0"/>
                <w:szCs w:val="21"/>
              </w:rPr>
              <w:t>GPU</w:t>
            </w:r>
            <w:r>
              <w:rPr>
                <w:rFonts w:hint="eastAsia" w:cs="宋体" w:eastAsiaTheme="minorHAnsi"/>
                <w:color w:val="000000"/>
                <w:kern w:val="0"/>
                <w:szCs w:val="21"/>
              </w:rPr>
              <w:t>资源的共享模式，可共享给所有或指定的项目和账户使用（提供技术支持材料）。</w:t>
            </w:r>
          </w:p>
        </w:tc>
      </w:tr>
      <w:tr w14:paraId="32A2D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52690E63">
            <w:pPr>
              <w:widowControl/>
              <w:spacing w:line="360" w:lineRule="auto"/>
              <w:jc w:val="left"/>
              <w:rPr>
                <w:rFonts w:cs="宋体" w:eastAsiaTheme="minorHAnsi"/>
                <w:kern w:val="0"/>
                <w:szCs w:val="21"/>
              </w:rPr>
            </w:pPr>
          </w:p>
        </w:tc>
        <w:tc>
          <w:tcPr>
            <w:tcW w:w="9351" w:type="dxa"/>
            <w:shd w:val="clear" w:color="auto" w:fill="auto"/>
            <w:vAlign w:val="center"/>
          </w:tcPr>
          <w:p w14:paraId="1C377AC9">
            <w:pPr>
              <w:widowControl/>
              <w:spacing w:line="360" w:lineRule="auto"/>
              <w:jc w:val="left"/>
              <w:rPr>
                <w:rFonts w:cs="宋体" w:eastAsiaTheme="minorHAnsi"/>
                <w:kern w:val="0"/>
                <w:szCs w:val="21"/>
              </w:rPr>
            </w:pPr>
            <w:r>
              <w:rPr>
                <w:rFonts w:hint="eastAsia" w:cs="宋体" w:eastAsiaTheme="minorHAnsi"/>
                <w:color w:val="000000"/>
                <w:kern w:val="0"/>
                <w:szCs w:val="21"/>
              </w:rPr>
              <w:t>▲支持指定规格或指定设备方式为云主机加载</w:t>
            </w:r>
            <w:r>
              <w:rPr>
                <w:rFonts w:cs="宋体" w:eastAsiaTheme="minorHAnsi"/>
                <w:color w:val="000000"/>
                <w:kern w:val="0"/>
                <w:szCs w:val="21"/>
              </w:rPr>
              <w:t>GPU设备（物理GPU、vGPU）</w:t>
            </w:r>
            <w:r>
              <w:rPr>
                <w:rFonts w:hint="eastAsia" w:cs="宋体" w:eastAsiaTheme="minorHAnsi"/>
                <w:color w:val="000000"/>
                <w:kern w:val="0"/>
                <w:szCs w:val="21"/>
              </w:rPr>
              <w:t>，创建云主机时，可按照所选规格分配</w:t>
            </w:r>
            <w:r>
              <w:rPr>
                <w:rFonts w:cs="宋体" w:eastAsiaTheme="minorHAnsi"/>
                <w:color w:val="000000"/>
                <w:kern w:val="0"/>
                <w:szCs w:val="21"/>
              </w:rPr>
              <w:t>GPU设备</w:t>
            </w:r>
            <w:r>
              <w:rPr>
                <w:rFonts w:hint="eastAsia" w:cs="宋体" w:eastAsiaTheme="minorHAnsi"/>
                <w:color w:val="000000"/>
                <w:kern w:val="0"/>
                <w:szCs w:val="21"/>
              </w:rPr>
              <w:t>，可设置</w:t>
            </w:r>
            <w:r>
              <w:rPr>
                <w:rFonts w:cs="宋体" w:eastAsiaTheme="minorHAnsi"/>
                <w:color w:val="000000"/>
                <w:kern w:val="0"/>
                <w:szCs w:val="21"/>
              </w:rPr>
              <w:t>关机自动卸载</w:t>
            </w:r>
            <w:r>
              <w:rPr>
                <w:rFonts w:hint="eastAsia" w:cs="宋体" w:eastAsiaTheme="minorHAnsi"/>
                <w:color w:val="000000"/>
                <w:kern w:val="0"/>
                <w:szCs w:val="21"/>
              </w:rPr>
              <w:t>G</w:t>
            </w:r>
            <w:r>
              <w:rPr>
                <w:rFonts w:cs="宋体" w:eastAsiaTheme="minorHAnsi"/>
                <w:color w:val="000000"/>
                <w:kern w:val="0"/>
                <w:szCs w:val="21"/>
              </w:rPr>
              <w:t>PU设备</w:t>
            </w:r>
            <w:r>
              <w:rPr>
                <w:rFonts w:hint="eastAsia" w:cs="宋体" w:eastAsiaTheme="minorHAnsi"/>
                <w:color w:val="000000"/>
                <w:kern w:val="0"/>
                <w:szCs w:val="21"/>
              </w:rPr>
              <w:t>，最大化利用G</w:t>
            </w:r>
            <w:r>
              <w:rPr>
                <w:rFonts w:cs="宋体" w:eastAsiaTheme="minorHAnsi"/>
                <w:color w:val="000000"/>
                <w:kern w:val="0"/>
                <w:szCs w:val="21"/>
              </w:rPr>
              <w:t>PU</w:t>
            </w:r>
            <w:r>
              <w:rPr>
                <w:rFonts w:hint="eastAsia" w:cs="宋体" w:eastAsiaTheme="minorHAnsi"/>
                <w:color w:val="000000"/>
                <w:kern w:val="0"/>
                <w:szCs w:val="21"/>
              </w:rPr>
              <w:t>资源（提供技术支持材料）。</w:t>
            </w:r>
          </w:p>
        </w:tc>
      </w:tr>
      <w:tr w14:paraId="16538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restart"/>
            <w:shd w:val="clear" w:color="auto" w:fill="auto"/>
            <w:vAlign w:val="center"/>
          </w:tcPr>
          <w:p w14:paraId="407FE423">
            <w:pPr>
              <w:widowControl/>
              <w:spacing w:line="360" w:lineRule="auto"/>
              <w:jc w:val="center"/>
              <w:rPr>
                <w:rFonts w:cs="宋体" w:eastAsiaTheme="minorHAnsi"/>
                <w:kern w:val="0"/>
                <w:szCs w:val="21"/>
              </w:rPr>
            </w:pPr>
            <w:r>
              <w:rPr>
                <w:rFonts w:hint="eastAsia" w:cs="宋体" w:eastAsiaTheme="minorHAnsi"/>
                <w:kern w:val="0"/>
                <w:szCs w:val="21"/>
              </w:rPr>
              <w:t>网络虚拟化</w:t>
            </w:r>
          </w:p>
        </w:tc>
        <w:tc>
          <w:tcPr>
            <w:tcW w:w="9351" w:type="dxa"/>
            <w:shd w:val="clear" w:color="auto" w:fill="auto"/>
            <w:vAlign w:val="center"/>
          </w:tcPr>
          <w:p w14:paraId="2D7D0704">
            <w:pPr>
              <w:widowControl/>
              <w:spacing w:line="360" w:lineRule="auto"/>
              <w:jc w:val="left"/>
              <w:rPr>
                <w:rFonts w:cs="宋体" w:eastAsiaTheme="minorHAnsi"/>
                <w:kern w:val="0"/>
                <w:szCs w:val="21"/>
              </w:rPr>
            </w:pPr>
            <w:r>
              <w:rPr>
                <w:rFonts w:hint="eastAsia" w:cs="宋体" w:eastAsiaTheme="minorHAnsi"/>
                <w:kern w:val="0"/>
                <w:szCs w:val="21"/>
              </w:rPr>
              <w:t>云平台须具备纯软SDN以及SDN控制器外接能力，支持扁平网络和VPC网络两种网络架构，不限制VPC路由器的使用数量，并且支持VPC路由器主备部署保证VPC网络稳定性。</w:t>
            </w:r>
          </w:p>
        </w:tc>
      </w:tr>
      <w:tr w14:paraId="3141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276" w:type="dxa"/>
            <w:vMerge w:val="continue"/>
            <w:vAlign w:val="center"/>
          </w:tcPr>
          <w:p w14:paraId="6E150D39">
            <w:pPr>
              <w:widowControl/>
              <w:spacing w:line="360" w:lineRule="auto"/>
              <w:jc w:val="left"/>
              <w:rPr>
                <w:rFonts w:cs="宋体" w:eastAsiaTheme="minorHAnsi"/>
                <w:kern w:val="0"/>
                <w:szCs w:val="21"/>
              </w:rPr>
            </w:pPr>
          </w:p>
        </w:tc>
        <w:tc>
          <w:tcPr>
            <w:tcW w:w="9351" w:type="dxa"/>
            <w:shd w:val="clear" w:color="auto" w:fill="auto"/>
            <w:vAlign w:val="center"/>
          </w:tcPr>
          <w:p w14:paraId="37658F7C">
            <w:pPr>
              <w:widowControl/>
              <w:spacing w:line="360" w:lineRule="auto"/>
              <w:jc w:val="left"/>
              <w:rPr>
                <w:rFonts w:cs="宋体" w:eastAsiaTheme="minorHAnsi"/>
                <w:kern w:val="0"/>
                <w:szCs w:val="21"/>
              </w:rPr>
            </w:pPr>
            <w:r>
              <w:rPr>
                <w:rFonts w:hint="eastAsia" w:cs="宋体" w:eastAsiaTheme="minorHAnsi"/>
                <w:kern w:val="0"/>
                <w:szCs w:val="21"/>
              </w:rPr>
              <w:t>▲云平台具备NFV能力，需要支持安全组、负载均衡、虚拟防火墙、端口转发、虚拟IP、端口镜像、Netflow、OSPF动态路由、IPsec VPN、组播路由、黑洞路由等网络功能，且不限制使用数量、带宽性能和吞吐速率，（提供技术支持材料）。</w:t>
            </w:r>
          </w:p>
        </w:tc>
      </w:tr>
      <w:tr w14:paraId="6B69F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1276" w:type="dxa"/>
            <w:vMerge w:val="continue"/>
            <w:vAlign w:val="center"/>
          </w:tcPr>
          <w:p w14:paraId="0FB28A28">
            <w:pPr>
              <w:widowControl/>
              <w:spacing w:line="360" w:lineRule="auto"/>
              <w:jc w:val="left"/>
              <w:rPr>
                <w:rFonts w:cs="宋体" w:eastAsiaTheme="minorHAnsi"/>
                <w:kern w:val="0"/>
                <w:szCs w:val="21"/>
              </w:rPr>
            </w:pPr>
          </w:p>
        </w:tc>
        <w:tc>
          <w:tcPr>
            <w:tcW w:w="9351" w:type="dxa"/>
            <w:shd w:val="clear" w:color="auto" w:fill="auto"/>
            <w:vAlign w:val="center"/>
          </w:tcPr>
          <w:p w14:paraId="28843A0E">
            <w:pPr>
              <w:widowControl/>
              <w:spacing w:line="360" w:lineRule="auto"/>
              <w:jc w:val="left"/>
              <w:rPr>
                <w:rFonts w:cs="宋体" w:eastAsiaTheme="minorHAnsi"/>
                <w:kern w:val="0"/>
                <w:szCs w:val="21"/>
              </w:rPr>
            </w:pPr>
            <w:r>
              <w:rPr>
                <w:rFonts w:hint="eastAsia" w:cs="宋体" w:eastAsiaTheme="minorHAnsi"/>
                <w:kern w:val="0"/>
                <w:szCs w:val="21"/>
              </w:rPr>
              <w:t>云平台须支持在任意三层网络中创建负载均衡器，通过流量分发扩展应用系统对内的服务能力；负载均衡器不限数量、吞吐速率、带宽性能；支持TCP/UDP/HTTP/HTTPS协议、轮询/最小链接/源地址哈希/加权轮询等不同算法的负载均衡服务，负载均衡器可以将公网地址的访问流量分发到一组后端的云主机上。</w:t>
            </w:r>
          </w:p>
        </w:tc>
      </w:tr>
      <w:tr w14:paraId="5D0B7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3444CC12">
            <w:pPr>
              <w:widowControl/>
              <w:spacing w:line="360" w:lineRule="auto"/>
              <w:jc w:val="left"/>
              <w:rPr>
                <w:rFonts w:cs="宋体" w:eastAsiaTheme="minorHAnsi"/>
                <w:kern w:val="0"/>
                <w:szCs w:val="21"/>
              </w:rPr>
            </w:pPr>
          </w:p>
        </w:tc>
        <w:tc>
          <w:tcPr>
            <w:tcW w:w="9351" w:type="dxa"/>
            <w:shd w:val="clear" w:color="auto" w:fill="auto"/>
            <w:vAlign w:val="center"/>
          </w:tcPr>
          <w:p w14:paraId="2E098D4D">
            <w:pPr>
              <w:widowControl/>
              <w:spacing w:line="360" w:lineRule="auto"/>
              <w:jc w:val="left"/>
              <w:rPr>
                <w:rFonts w:cs="宋体" w:eastAsiaTheme="minorHAnsi"/>
                <w:kern w:val="0"/>
                <w:szCs w:val="21"/>
              </w:rPr>
            </w:pPr>
            <w:r>
              <w:rPr>
                <w:rFonts w:hint="eastAsia" w:cs="宋体" w:eastAsiaTheme="minorHAnsi"/>
                <w:kern w:val="0"/>
                <w:szCs w:val="21"/>
              </w:rPr>
              <w:t>为保障高并发业务的网络性能需求，云平台须支持在UI界面将物理网卡虚拟化切割成多张虚拟网卡直接给云主机使用。</w:t>
            </w:r>
          </w:p>
        </w:tc>
      </w:tr>
      <w:tr w14:paraId="3F817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restart"/>
            <w:shd w:val="clear" w:color="auto" w:fill="auto"/>
            <w:vAlign w:val="center"/>
          </w:tcPr>
          <w:p w14:paraId="1F6BD938">
            <w:pPr>
              <w:widowControl/>
              <w:spacing w:line="360" w:lineRule="auto"/>
              <w:jc w:val="center"/>
              <w:rPr>
                <w:rFonts w:cs="宋体" w:eastAsiaTheme="minorHAnsi"/>
                <w:kern w:val="0"/>
                <w:szCs w:val="21"/>
              </w:rPr>
            </w:pPr>
            <w:r>
              <w:rPr>
                <w:rFonts w:hint="eastAsia" w:cs="宋体" w:eastAsiaTheme="minorHAnsi"/>
                <w:kern w:val="0"/>
                <w:szCs w:val="21"/>
              </w:rPr>
              <w:t>存储虚拟化</w:t>
            </w:r>
          </w:p>
        </w:tc>
        <w:tc>
          <w:tcPr>
            <w:tcW w:w="9351" w:type="dxa"/>
            <w:shd w:val="clear" w:color="auto" w:fill="auto"/>
            <w:vAlign w:val="center"/>
          </w:tcPr>
          <w:p w14:paraId="6250CDEC">
            <w:pPr>
              <w:widowControl/>
              <w:spacing w:line="360" w:lineRule="auto"/>
              <w:jc w:val="left"/>
              <w:rPr>
                <w:rFonts w:cs="宋体" w:eastAsiaTheme="minorHAnsi"/>
                <w:kern w:val="0"/>
                <w:szCs w:val="21"/>
              </w:rPr>
            </w:pPr>
            <w:r>
              <w:rPr>
                <w:rFonts w:hint="eastAsia" w:cs="宋体" w:eastAsiaTheme="minorHAnsi"/>
                <w:kern w:val="0"/>
                <w:szCs w:val="21"/>
              </w:rPr>
              <w:t>采用分布式的软件定义存储架构，把所有服务器硬盘组织成一个虚拟存储资源池，提供分布式存储服务，无需独立的元数据及控制器节点。</w:t>
            </w:r>
          </w:p>
        </w:tc>
      </w:tr>
      <w:tr w14:paraId="1BDFF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66073F9B">
            <w:pPr>
              <w:widowControl/>
              <w:spacing w:line="360" w:lineRule="auto"/>
              <w:jc w:val="left"/>
              <w:rPr>
                <w:rFonts w:cs="宋体" w:eastAsiaTheme="minorHAnsi"/>
                <w:kern w:val="0"/>
                <w:szCs w:val="21"/>
              </w:rPr>
            </w:pPr>
          </w:p>
        </w:tc>
        <w:tc>
          <w:tcPr>
            <w:tcW w:w="9351" w:type="dxa"/>
            <w:shd w:val="clear" w:color="auto" w:fill="auto"/>
            <w:vAlign w:val="center"/>
          </w:tcPr>
          <w:p w14:paraId="2E3E032D">
            <w:pPr>
              <w:widowControl/>
              <w:spacing w:line="360" w:lineRule="auto"/>
              <w:jc w:val="left"/>
              <w:rPr>
                <w:rFonts w:cs="宋体" w:eastAsiaTheme="minorHAnsi"/>
                <w:kern w:val="0"/>
                <w:szCs w:val="21"/>
              </w:rPr>
            </w:pPr>
            <w:r>
              <w:rPr>
                <w:rFonts w:hint="eastAsia" w:cs="宋体" w:eastAsiaTheme="minorHAnsi"/>
                <w:kern w:val="0"/>
                <w:szCs w:val="21"/>
              </w:rPr>
              <w:t>分布式存储须兼容SAS、NIL-SAS、SATA HDD、SATA SSD、M.2 SSD、U.2 NVMe等多种存储硬盘接口。</w:t>
            </w:r>
          </w:p>
        </w:tc>
      </w:tr>
      <w:tr w14:paraId="76BAA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4D3E8E60">
            <w:pPr>
              <w:widowControl/>
              <w:spacing w:line="360" w:lineRule="auto"/>
              <w:jc w:val="left"/>
              <w:rPr>
                <w:rFonts w:cs="宋体" w:eastAsiaTheme="minorHAnsi"/>
                <w:kern w:val="0"/>
                <w:szCs w:val="21"/>
              </w:rPr>
            </w:pPr>
          </w:p>
        </w:tc>
        <w:tc>
          <w:tcPr>
            <w:tcW w:w="9351" w:type="dxa"/>
            <w:shd w:val="clear" w:color="auto" w:fill="auto"/>
            <w:vAlign w:val="center"/>
          </w:tcPr>
          <w:p w14:paraId="2368AE91">
            <w:pPr>
              <w:widowControl/>
              <w:spacing w:line="360" w:lineRule="auto"/>
              <w:jc w:val="left"/>
              <w:rPr>
                <w:rFonts w:cs="宋体" w:eastAsiaTheme="minorHAnsi"/>
                <w:kern w:val="0"/>
                <w:szCs w:val="21"/>
              </w:rPr>
            </w:pPr>
            <w:r>
              <w:rPr>
                <w:rFonts w:hint="eastAsia" w:cs="宋体" w:eastAsiaTheme="minorHAnsi"/>
                <w:kern w:val="0"/>
                <w:szCs w:val="21"/>
              </w:rPr>
              <w:t>分布式存储须支持线性扩展，随着系统规模（节点数量）的增加，系统性能和容量线性提升；支持在线扩展，可在不中断业务的情况下进行扩容；支持在线平滑升级、扩容的过程中选择自行增加硬件部件。</w:t>
            </w:r>
          </w:p>
        </w:tc>
      </w:tr>
      <w:tr w14:paraId="1A9E6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07EB7D86">
            <w:pPr>
              <w:widowControl/>
              <w:spacing w:line="360" w:lineRule="auto"/>
              <w:jc w:val="left"/>
              <w:rPr>
                <w:rFonts w:cs="宋体" w:eastAsiaTheme="minorHAnsi"/>
                <w:kern w:val="0"/>
                <w:szCs w:val="21"/>
              </w:rPr>
            </w:pPr>
          </w:p>
        </w:tc>
        <w:tc>
          <w:tcPr>
            <w:tcW w:w="9351" w:type="dxa"/>
            <w:shd w:val="clear" w:color="auto" w:fill="auto"/>
            <w:vAlign w:val="center"/>
          </w:tcPr>
          <w:p w14:paraId="7349CEE5">
            <w:pPr>
              <w:widowControl/>
              <w:spacing w:line="360" w:lineRule="auto"/>
              <w:jc w:val="left"/>
              <w:rPr>
                <w:rFonts w:cs="宋体" w:eastAsiaTheme="minorHAnsi"/>
                <w:kern w:val="0"/>
                <w:szCs w:val="21"/>
              </w:rPr>
            </w:pPr>
            <w:r>
              <w:rPr>
                <w:rFonts w:hint="eastAsia" w:cs="宋体" w:eastAsiaTheme="minorHAnsi"/>
                <w:kern w:val="0"/>
                <w:szCs w:val="21"/>
              </w:rPr>
              <w:t>分布式存储的Cache策略支持原生集成的内存读Cache和SSD读写Cache。在同一套硬件中支持全闪和混闪存储池。</w:t>
            </w:r>
          </w:p>
        </w:tc>
      </w:tr>
      <w:tr w14:paraId="1C3EC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259DE4F9">
            <w:pPr>
              <w:widowControl/>
              <w:spacing w:line="360" w:lineRule="auto"/>
              <w:jc w:val="left"/>
              <w:rPr>
                <w:rFonts w:cs="宋体" w:eastAsiaTheme="minorHAnsi"/>
                <w:kern w:val="0"/>
                <w:szCs w:val="21"/>
              </w:rPr>
            </w:pPr>
          </w:p>
        </w:tc>
        <w:tc>
          <w:tcPr>
            <w:tcW w:w="9351" w:type="dxa"/>
            <w:shd w:val="clear" w:color="auto" w:fill="auto"/>
            <w:vAlign w:val="center"/>
          </w:tcPr>
          <w:p w14:paraId="374B8677">
            <w:pPr>
              <w:widowControl/>
              <w:spacing w:line="360" w:lineRule="auto"/>
              <w:jc w:val="left"/>
              <w:rPr>
                <w:rFonts w:cs="宋体" w:eastAsiaTheme="minorHAnsi"/>
                <w:kern w:val="0"/>
                <w:szCs w:val="21"/>
              </w:rPr>
            </w:pPr>
            <w:r>
              <w:rPr>
                <w:rFonts w:hint="eastAsia" w:cs="宋体" w:eastAsiaTheme="minorHAnsi"/>
                <w:kern w:val="0"/>
                <w:szCs w:val="21"/>
              </w:rPr>
              <w:t>分布式存储须支持2~6副本，且支持在线修改副本数；或采用EC（纠删码）算法，以少量的冗余信息保证数据可靠性，比多副本机制获得更多的有效存储容量。</w:t>
            </w:r>
          </w:p>
        </w:tc>
      </w:tr>
      <w:tr w14:paraId="223E3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637AD706">
            <w:pPr>
              <w:widowControl/>
              <w:spacing w:line="360" w:lineRule="auto"/>
              <w:jc w:val="left"/>
              <w:rPr>
                <w:rFonts w:cs="宋体" w:eastAsiaTheme="minorHAnsi"/>
                <w:kern w:val="0"/>
                <w:szCs w:val="21"/>
              </w:rPr>
            </w:pPr>
          </w:p>
        </w:tc>
        <w:tc>
          <w:tcPr>
            <w:tcW w:w="9351" w:type="dxa"/>
            <w:shd w:val="clear" w:color="auto" w:fill="auto"/>
            <w:vAlign w:val="center"/>
          </w:tcPr>
          <w:p w14:paraId="4A30F1DB">
            <w:pPr>
              <w:widowControl/>
              <w:spacing w:line="360" w:lineRule="auto"/>
              <w:jc w:val="left"/>
              <w:rPr>
                <w:rFonts w:cs="宋体" w:eastAsiaTheme="minorHAnsi"/>
                <w:kern w:val="0"/>
                <w:szCs w:val="21"/>
              </w:rPr>
            </w:pPr>
            <w:r>
              <w:rPr>
                <w:rFonts w:hint="eastAsia" w:cs="宋体" w:eastAsiaTheme="minorHAnsi"/>
                <w:kern w:val="0"/>
                <w:szCs w:val="21"/>
              </w:rPr>
              <w:t>分布式存储须支持通过热点预测，写入合并等技术将高速设备与低速设备结合，大幅提升存储池的读写性能。</w:t>
            </w:r>
          </w:p>
        </w:tc>
      </w:tr>
      <w:tr w14:paraId="47CF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49EF75EC">
            <w:pPr>
              <w:widowControl/>
              <w:spacing w:line="360" w:lineRule="auto"/>
              <w:jc w:val="left"/>
              <w:rPr>
                <w:rFonts w:cs="宋体" w:eastAsiaTheme="minorHAnsi"/>
                <w:kern w:val="0"/>
                <w:szCs w:val="21"/>
              </w:rPr>
            </w:pPr>
          </w:p>
        </w:tc>
        <w:tc>
          <w:tcPr>
            <w:tcW w:w="9351" w:type="dxa"/>
            <w:shd w:val="clear" w:color="auto" w:fill="auto"/>
            <w:vAlign w:val="center"/>
          </w:tcPr>
          <w:p w14:paraId="6D49FDD2">
            <w:pPr>
              <w:widowControl/>
              <w:spacing w:line="360" w:lineRule="auto"/>
              <w:jc w:val="left"/>
              <w:rPr>
                <w:rFonts w:cs="宋体" w:eastAsiaTheme="minorHAnsi"/>
                <w:kern w:val="0"/>
                <w:szCs w:val="21"/>
              </w:rPr>
            </w:pPr>
            <w:r>
              <w:rPr>
                <w:rFonts w:hint="eastAsia" w:cs="宋体" w:eastAsiaTheme="minorHAnsi"/>
                <w:kern w:val="0"/>
                <w:szCs w:val="21"/>
              </w:rPr>
              <w:t>分布式存储须支持在数据较长时间处于降级状态时，例如节点丢失或副本丢失，系统自动触发数据重建恢复。支持对数据重建速度进行QoS限速，避免数据重建过程中IO性能占用对业务性能造成影响。</w:t>
            </w:r>
          </w:p>
        </w:tc>
      </w:tr>
      <w:tr w14:paraId="39817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4DA2F947">
            <w:pPr>
              <w:widowControl/>
              <w:spacing w:line="360" w:lineRule="auto"/>
              <w:jc w:val="left"/>
              <w:rPr>
                <w:rFonts w:cs="宋体" w:eastAsiaTheme="minorHAnsi"/>
                <w:kern w:val="0"/>
                <w:szCs w:val="21"/>
              </w:rPr>
            </w:pPr>
          </w:p>
        </w:tc>
        <w:tc>
          <w:tcPr>
            <w:tcW w:w="9351" w:type="dxa"/>
            <w:shd w:val="clear" w:color="auto" w:fill="auto"/>
            <w:vAlign w:val="center"/>
          </w:tcPr>
          <w:p w14:paraId="21F63AD4">
            <w:pPr>
              <w:widowControl/>
              <w:spacing w:line="360" w:lineRule="auto"/>
              <w:jc w:val="left"/>
              <w:rPr>
                <w:rFonts w:cs="宋体" w:eastAsiaTheme="minorHAnsi"/>
                <w:kern w:val="0"/>
                <w:szCs w:val="21"/>
              </w:rPr>
            </w:pPr>
            <w:r>
              <w:rPr>
                <w:rFonts w:hint="eastAsia" w:cs="宋体" w:eastAsiaTheme="minorHAnsi"/>
                <w:kern w:val="0"/>
                <w:szCs w:val="21"/>
              </w:rPr>
              <w:t>▲为保证平台架构的灵活性和扩展，平台应该支持FC-SAN、IP-SAN、本地存储、NFS、分布式存储等不同存储接口（提供技术支持材料）。</w:t>
            </w:r>
          </w:p>
        </w:tc>
      </w:tr>
      <w:tr w14:paraId="4028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restart"/>
            <w:shd w:val="clear" w:color="auto" w:fill="auto"/>
            <w:vAlign w:val="center"/>
          </w:tcPr>
          <w:p w14:paraId="595D0838">
            <w:pPr>
              <w:widowControl/>
              <w:spacing w:line="360" w:lineRule="auto"/>
              <w:jc w:val="center"/>
              <w:rPr>
                <w:rFonts w:cs="宋体" w:eastAsiaTheme="minorHAnsi"/>
                <w:kern w:val="0"/>
                <w:szCs w:val="21"/>
              </w:rPr>
            </w:pPr>
            <w:r>
              <w:rPr>
                <w:rFonts w:hint="eastAsia" w:cs="宋体" w:eastAsiaTheme="minorHAnsi"/>
                <w:kern w:val="0"/>
                <w:szCs w:val="21"/>
              </w:rPr>
              <w:t>运营运维管理</w:t>
            </w:r>
          </w:p>
        </w:tc>
        <w:tc>
          <w:tcPr>
            <w:tcW w:w="9351" w:type="dxa"/>
            <w:shd w:val="clear" w:color="auto" w:fill="auto"/>
            <w:vAlign w:val="center"/>
          </w:tcPr>
          <w:p w14:paraId="6746676A">
            <w:pPr>
              <w:widowControl/>
              <w:spacing w:line="360" w:lineRule="auto"/>
              <w:jc w:val="left"/>
              <w:rPr>
                <w:rFonts w:cs="宋体" w:eastAsiaTheme="minorHAnsi"/>
                <w:kern w:val="0"/>
                <w:szCs w:val="21"/>
              </w:rPr>
            </w:pPr>
            <w:r>
              <w:rPr>
                <w:rFonts w:hint="eastAsia" w:cs="宋体" w:eastAsiaTheme="minorHAnsi"/>
                <w:kern w:val="0"/>
                <w:szCs w:val="21"/>
              </w:rPr>
              <w:t>为方便跨区域管理，云平台须支持并配置镜像同步功能，能够在同一管理节点下将一个或多个镜像仓库中的镜像同步至指定镜像仓库，满足区域间的镜像同步需求。</w:t>
            </w:r>
          </w:p>
        </w:tc>
      </w:tr>
      <w:tr w14:paraId="5743C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594A0C87">
            <w:pPr>
              <w:widowControl/>
              <w:spacing w:line="360" w:lineRule="auto"/>
              <w:jc w:val="left"/>
              <w:rPr>
                <w:rFonts w:cs="宋体" w:eastAsiaTheme="minorHAnsi"/>
                <w:kern w:val="0"/>
                <w:szCs w:val="21"/>
              </w:rPr>
            </w:pPr>
          </w:p>
        </w:tc>
        <w:tc>
          <w:tcPr>
            <w:tcW w:w="9351" w:type="dxa"/>
            <w:shd w:val="clear" w:color="auto" w:fill="auto"/>
            <w:vAlign w:val="center"/>
          </w:tcPr>
          <w:p w14:paraId="76B2B463">
            <w:pPr>
              <w:widowControl/>
              <w:spacing w:line="360" w:lineRule="auto"/>
              <w:jc w:val="left"/>
              <w:rPr>
                <w:rFonts w:cs="宋体" w:eastAsiaTheme="minorHAnsi"/>
                <w:kern w:val="0"/>
                <w:szCs w:val="21"/>
              </w:rPr>
            </w:pPr>
            <w:r>
              <w:rPr>
                <w:rFonts w:hint="eastAsia" w:cs="宋体" w:eastAsiaTheme="minorHAnsi"/>
                <w:kern w:val="0"/>
                <w:szCs w:val="21"/>
              </w:rPr>
              <w:t>云平台须支持应用中心，可自定义添加各种类型的第三方应用入口，包括存储、数据库、安全，以及各类IaaS、PaaS、SaaS服务。</w:t>
            </w:r>
          </w:p>
        </w:tc>
      </w:tr>
      <w:tr w14:paraId="0F97E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276" w:type="dxa"/>
            <w:vMerge w:val="continue"/>
            <w:vAlign w:val="center"/>
          </w:tcPr>
          <w:p w14:paraId="0671913D">
            <w:pPr>
              <w:widowControl/>
              <w:spacing w:line="360" w:lineRule="auto"/>
              <w:jc w:val="left"/>
              <w:rPr>
                <w:rFonts w:cs="宋体" w:eastAsiaTheme="minorHAnsi"/>
                <w:kern w:val="0"/>
                <w:szCs w:val="21"/>
              </w:rPr>
            </w:pPr>
          </w:p>
        </w:tc>
        <w:tc>
          <w:tcPr>
            <w:tcW w:w="9351" w:type="dxa"/>
            <w:shd w:val="clear" w:color="auto" w:fill="auto"/>
            <w:vAlign w:val="center"/>
          </w:tcPr>
          <w:p w14:paraId="45E9BBA2">
            <w:pPr>
              <w:widowControl/>
              <w:spacing w:line="360" w:lineRule="auto"/>
              <w:jc w:val="left"/>
              <w:rPr>
                <w:rFonts w:cs="宋体" w:eastAsiaTheme="minorHAnsi"/>
                <w:kern w:val="0"/>
                <w:szCs w:val="21"/>
              </w:rPr>
            </w:pPr>
            <w:r>
              <w:rPr>
                <w:rFonts w:hint="eastAsia" w:cs="宋体" w:eastAsiaTheme="minorHAnsi"/>
                <w:kern w:val="0"/>
                <w:szCs w:val="21"/>
              </w:rPr>
              <w:t>云平台须支持“所画即所得”功能，能够支持可视化方式和编排语言两种方式。通过资源栈模板，定义所需的云资源、资源间的依赖关系、资源配置等，可实现自动化批量部署和配置资源，轻松管理云资源生命周期，通过API和SDK集成自动化运维能力。</w:t>
            </w:r>
          </w:p>
        </w:tc>
      </w:tr>
      <w:tr w14:paraId="5C75C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3D758C75">
            <w:pPr>
              <w:widowControl/>
              <w:spacing w:line="360" w:lineRule="auto"/>
              <w:jc w:val="left"/>
              <w:rPr>
                <w:rFonts w:cs="宋体" w:eastAsiaTheme="minorHAnsi"/>
                <w:kern w:val="0"/>
                <w:szCs w:val="21"/>
              </w:rPr>
            </w:pPr>
          </w:p>
        </w:tc>
        <w:tc>
          <w:tcPr>
            <w:tcW w:w="9351" w:type="dxa"/>
            <w:shd w:val="clear" w:color="auto" w:fill="auto"/>
            <w:vAlign w:val="center"/>
          </w:tcPr>
          <w:p w14:paraId="11D6D8B3">
            <w:pPr>
              <w:widowControl/>
              <w:spacing w:line="360" w:lineRule="auto"/>
              <w:jc w:val="left"/>
              <w:rPr>
                <w:rFonts w:cs="宋体" w:eastAsiaTheme="minorHAnsi"/>
                <w:kern w:val="0"/>
                <w:szCs w:val="21"/>
              </w:rPr>
            </w:pPr>
            <w:r>
              <w:rPr>
                <w:rFonts w:hint="eastAsia" w:cs="宋体" w:eastAsiaTheme="minorHAnsi"/>
                <w:kern w:val="0"/>
                <w:szCs w:val="21"/>
              </w:rPr>
              <w:t>为保障及时有效的发现业务运行问题，云平台须支持从云主机内部获取监控数据，支持主流Linux/Windows以及国产操作系统云主机的内部负载实时监控，且支持自定义阈值、周期、次数、方式的自动报警功能。</w:t>
            </w:r>
          </w:p>
        </w:tc>
      </w:tr>
      <w:tr w14:paraId="1B687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4CF133B3">
            <w:pPr>
              <w:widowControl/>
              <w:spacing w:line="360" w:lineRule="auto"/>
              <w:jc w:val="left"/>
              <w:rPr>
                <w:rFonts w:cs="宋体" w:eastAsiaTheme="minorHAnsi"/>
                <w:kern w:val="0"/>
                <w:szCs w:val="21"/>
              </w:rPr>
            </w:pPr>
          </w:p>
        </w:tc>
        <w:tc>
          <w:tcPr>
            <w:tcW w:w="9351" w:type="dxa"/>
            <w:shd w:val="clear" w:color="auto" w:fill="auto"/>
            <w:vAlign w:val="center"/>
          </w:tcPr>
          <w:p w14:paraId="5195C179">
            <w:pPr>
              <w:widowControl/>
              <w:spacing w:line="360" w:lineRule="auto"/>
              <w:jc w:val="left"/>
              <w:rPr>
                <w:rFonts w:cs="宋体" w:eastAsiaTheme="minorHAnsi"/>
                <w:kern w:val="0"/>
                <w:szCs w:val="21"/>
              </w:rPr>
            </w:pPr>
            <w:r>
              <w:rPr>
                <w:rFonts w:hint="eastAsia" w:cs="宋体" w:eastAsiaTheme="minorHAnsi"/>
                <w:kern w:val="0"/>
                <w:szCs w:val="21"/>
              </w:rPr>
              <w:t>为提升资源利用率、减少硬件负载，云平台须支持动态资源调度（DRS），能够以集群为单位监控物理机CPU或内存负载情况，用户可按照调度建议手动迁移云主机或开启自动迁移云主机。</w:t>
            </w:r>
          </w:p>
        </w:tc>
      </w:tr>
      <w:tr w14:paraId="50B46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1276" w:type="dxa"/>
            <w:vMerge w:val="continue"/>
            <w:vAlign w:val="center"/>
          </w:tcPr>
          <w:p w14:paraId="06747F44">
            <w:pPr>
              <w:widowControl/>
              <w:spacing w:line="360" w:lineRule="auto"/>
              <w:jc w:val="left"/>
              <w:rPr>
                <w:rFonts w:cs="宋体" w:eastAsiaTheme="minorHAnsi"/>
                <w:kern w:val="0"/>
                <w:szCs w:val="21"/>
              </w:rPr>
            </w:pPr>
          </w:p>
        </w:tc>
        <w:tc>
          <w:tcPr>
            <w:tcW w:w="9351" w:type="dxa"/>
            <w:shd w:val="clear" w:color="auto" w:fill="auto"/>
            <w:vAlign w:val="center"/>
          </w:tcPr>
          <w:p w14:paraId="11B5F1B2">
            <w:pPr>
              <w:widowControl/>
              <w:spacing w:line="360" w:lineRule="auto"/>
              <w:jc w:val="left"/>
              <w:rPr>
                <w:rFonts w:cs="宋体" w:eastAsiaTheme="minorHAnsi"/>
                <w:kern w:val="0"/>
                <w:szCs w:val="21"/>
              </w:rPr>
            </w:pPr>
            <w:r>
              <w:rPr>
                <w:rFonts w:hint="eastAsia" w:cs="宋体" w:eastAsiaTheme="minorHAnsi"/>
                <w:kern w:val="0"/>
                <w:szCs w:val="21"/>
              </w:rPr>
              <w:t>▲云平台支持多租户管理功能，内置在云平台中。支持自定义组织架构，须以架构树方式呈现；支持添加、删除部门，更改部门负责人、添加、删除成员操作；灵活匹配组织管理需求。支持自定义工单审批自定义，满足多级审批的需求。工单内容须支持：申请延长周期、更改云主机配置、删除云主机。（提供技术支持材料）。</w:t>
            </w:r>
          </w:p>
        </w:tc>
      </w:tr>
      <w:tr w14:paraId="4AC30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3B385926">
            <w:pPr>
              <w:widowControl/>
              <w:spacing w:line="360" w:lineRule="auto"/>
              <w:jc w:val="left"/>
              <w:rPr>
                <w:rFonts w:cs="宋体" w:eastAsiaTheme="minorHAnsi"/>
                <w:kern w:val="0"/>
                <w:szCs w:val="21"/>
              </w:rPr>
            </w:pPr>
          </w:p>
        </w:tc>
        <w:tc>
          <w:tcPr>
            <w:tcW w:w="9351" w:type="dxa"/>
            <w:shd w:val="clear" w:color="auto" w:fill="auto"/>
            <w:vAlign w:val="center"/>
          </w:tcPr>
          <w:p w14:paraId="2CEA4D31">
            <w:pPr>
              <w:widowControl/>
              <w:spacing w:line="360" w:lineRule="auto"/>
              <w:jc w:val="left"/>
              <w:rPr>
                <w:rFonts w:cs="宋体" w:eastAsiaTheme="minorHAnsi"/>
                <w:kern w:val="0"/>
                <w:szCs w:val="21"/>
              </w:rPr>
            </w:pPr>
            <w:r>
              <w:rPr>
                <w:rFonts w:hint="eastAsia" w:cs="宋体" w:eastAsiaTheme="minorHAnsi"/>
                <w:kern w:val="0"/>
                <w:szCs w:val="21"/>
              </w:rPr>
              <w:t>提供监控大屏，可全屏展示平台内物理资源、虚拟资源的使用情况和实时性能负载情况，大屏界面自动同步数据不需要手动刷新。</w:t>
            </w:r>
          </w:p>
        </w:tc>
      </w:tr>
      <w:tr w14:paraId="00EB8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1568A439">
            <w:pPr>
              <w:widowControl/>
              <w:spacing w:line="360" w:lineRule="auto"/>
              <w:jc w:val="left"/>
              <w:rPr>
                <w:rFonts w:cs="宋体" w:eastAsiaTheme="minorHAnsi"/>
                <w:kern w:val="0"/>
                <w:szCs w:val="21"/>
              </w:rPr>
            </w:pPr>
          </w:p>
        </w:tc>
        <w:tc>
          <w:tcPr>
            <w:tcW w:w="9351" w:type="dxa"/>
            <w:shd w:val="clear" w:color="auto" w:fill="auto"/>
            <w:vAlign w:val="center"/>
          </w:tcPr>
          <w:p w14:paraId="2BA30B93">
            <w:pPr>
              <w:widowControl/>
              <w:spacing w:line="360" w:lineRule="auto"/>
              <w:jc w:val="left"/>
              <w:rPr>
                <w:rFonts w:cs="宋体" w:eastAsiaTheme="minorHAnsi"/>
                <w:kern w:val="0"/>
                <w:szCs w:val="21"/>
              </w:rPr>
            </w:pPr>
            <w:r>
              <w:rPr>
                <w:rFonts w:hint="eastAsia" w:cs="宋体" w:eastAsiaTheme="minorHAnsi"/>
                <w:kern w:val="0"/>
                <w:szCs w:val="21"/>
              </w:rPr>
              <w:t>为保证运维方便性，云平台须支持以按钮及API为细粒度的权限开关，支持个性化为不同用户分配管理角色，支持单独设置监控大屏角色。</w:t>
            </w:r>
          </w:p>
        </w:tc>
      </w:tr>
      <w:tr w14:paraId="10973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276" w:type="dxa"/>
            <w:vMerge w:val="continue"/>
            <w:vAlign w:val="center"/>
          </w:tcPr>
          <w:p w14:paraId="67C093D9">
            <w:pPr>
              <w:widowControl/>
              <w:spacing w:line="360" w:lineRule="auto"/>
              <w:jc w:val="left"/>
              <w:rPr>
                <w:rFonts w:cs="宋体" w:eastAsiaTheme="minorHAnsi"/>
                <w:kern w:val="0"/>
                <w:szCs w:val="21"/>
              </w:rPr>
            </w:pPr>
          </w:p>
        </w:tc>
        <w:tc>
          <w:tcPr>
            <w:tcW w:w="9351" w:type="dxa"/>
            <w:shd w:val="clear" w:color="auto" w:fill="auto"/>
            <w:vAlign w:val="center"/>
          </w:tcPr>
          <w:p w14:paraId="66411598">
            <w:pPr>
              <w:widowControl/>
              <w:spacing w:line="360" w:lineRule="auto"/>
              <w:jc w:val="left"/>
              <w:rPr>
                <w:rFonts w:cs="宋体" w:eastAsiaTheme="minorHAnsi"/>
                <w:kern w:val="0"/>
                <w:szCs w:val="21"/>
              </w:rPr>
            </w:pPr>
            <w:r>
              <w:rPr>
                <w:rFonts w:hint="eastAsia" w:cs="宋体" w:eastAsiaTheme="minorHAnsi"/>
                <w:kern w:val="0"/>
                <w:szCs w:val="21"/>
              </w:rPr>
              <w:t>云平台支持V2V迁移功能，支持将VMware环境中的指定云主机迁移至云平台中；支持迁移任务QoS，保证迁移任务的稳定性；支持压缩模式，有效压缩迁移数据存储，提高空间利用率；支持CentOS/RHEL/Windows/麒麟/统信等主流操作系统类型的虚拟机迁移。</w:t>
            </w:r>
          </w:p>
        </w:tc>
      </w:tr>
      <w:tr w14:paraId="241CF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restart"/>
            <w:shd w:val="clear" w:color="auto" w:fill="auto"/>
            <w:vAlign w:val="center"/>
          </w:tcPr>
          <w:p w14:paraId="3EAD00A1">
            <w:pPr>
              <w:widowControl/>
              <w:spacing w:line="360" w:lineRule="auto"/>
              <w:jc w:val="center"/>
              <w:rPr>
                <w:rFonts w:cs="宋体" w:eastAsiaTheme="minorHAnsi"/>
                <w:kern w:val="0"/>
                <w:szCs w:val="21"/>
              </w:rPr>
            </w:pPr>
            <w:r>
              <w:rPr>
                <w:rFonts w:hint="eastAsia" w:cs="宋体" w:eastAsiaTheme="minorHAnsi"/>
                <w:kern w:val="0"/>
                <w:szCs w:val="21"/>
              </w:rPr>
              <w:t>产品资质</w:t>
            </w:r>
          </w:p>
        </w:tc>
        <w:tc>
          <w:tcPr>
            <w:tcW w:w="9351" w:type="dxa"/>
            <w:shd w:val="clear" w:color="auto" w:fill="auto"/>
            <w:vAlign w:val="center"/>
          </w:tcPr>
          <w:p w14:paraId="23EB9A91">
            <w:pPr>
              <w:widowControl/>
              <w:spacing w:line="360" w:lineRule="auto"/>
              <w:jc w:val="left"/>
              <w:rPr>
                <w:rFonts w:cs="宋体" w:eastAsiaTheme="minorHAnsi"/>
                <w:kern w:val="0"/>
                <w:szCs w:val="21"/>
              </w:rPr>
            </w:pPr>
            <w:r>
              <w:rPr>
                <w:rFonts w:hint="eastAsia" w:cs="宋体" w:eastAsiaTheme="minorHAnsi"/>
                <w:kern w:val="0"/>
                <w:szCs w:val="21"/>
              </w:rPr>
              <w:t>▲云平台通过中国信息通信研究院的可信云虚拟化云平台先进级认证。（提供技术支持材料）</w:t>
            </w:r>
          </w:p>
        </w:tc>
      </w:tr>
      <w:tr w14:paraId="4B67E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continue"/>
            <w:vAlign w:val="center"/>
          </w:tcPr>
          <w:p w14:paraId="4D45D144">
            <w:pPr>
              <w:widowControl/>
              <w:spacing w:line="360" w:lineRule="auto"/>
              <w:jc w:val="left"/>
              <w:rPr>
                <w:rFonts w:cs="宋体" w:eastAsiaTheme="minorHAnsi"/>
                <w:kern w:val="0"/>
                <w:szCs w:val="21"/>
              </w:rPr>
            </w:pPr>
          </w:p>
        </w:tc>
        <w:tc>
          <w:tcPr>
            <w:tcW w:w="9351" w:type="dxa"/>
            <w:shd w:val="clear" w:color="auto" w:fill="auto"/>
            <w:vAlign w:val="center"/>
          </w:tcPr>
          <w:p w14:paraId="503AD7E2">
            <w:pPr>
              <w:widowControl/>
              <w:spacing w:line="360" w:lineRule="auto"/>
              <w:jc w:val="left"/>
              <w:rPr>
                <w:rFonts w:cs="宋体" w:eastAsiaTheme="minorHAnsi"/>
                <w:kern w:val="0"/>
                <w:szCs w:val="21"/>
              </w:rPr>
            </w:pPr>
            <w:r>
              <w:rPr>
                <w:rFonts w:hint="eastAsia" w:cs="宋体" w:eastAsiaTheme="minorHAnsi"/>
                <w:kern w:val="0"/>
                <w:szCs w:val="21"/>
              </w:rPr>
              <w:t>▲为保证国产自主可控，要求对云平台源代码进行溯源，要求自主代码率≥90%；（提供技术支持材料）</w:t>
            </w:r>
          </w:p>
        </w:tc>
      </w:tr>
    </w:tbl>
    <w:p w14:paraId="10874A5D">
      <w:pPr>
        <w:spacing w:line="360" w:lineRule="auto"/>
        <w:rPr>
          <w:rFonts w:eastAsiaTheme="minorHAnsi"/>
          <w:sz w:val="18"/>
        </w:rPr>
      </w:pPr>
    </w:p>
    <w:p w14:paraId="655B1C94">
      <w:pPr>
        <w:spacing w:line="360" w:lineRule="auto"/>
        <w:rPr>
          <w:rFonts w:eastAsiaTheme="minorHAnsi"/>
        </w:rPr>
      </w:pPr>
    </w:p>
    <w:p w14:paraId="52B7F1F5">
      <w:pPr>
        <w:widowControl/>
        <w:spacing w:line="360" w:lineRule="auto"/>
        <w:jc w:val="left"/>
        <w:rPr>
          <w:rFonts w:eastAsiaTheme="minorHAnsi"/>
        </w:rPr>
      </w:pPr>
      <w:r>
        <w:rPr>
          <w:rFonts w:eastAsiaTheme="minorHAnsi"/>
        </w:rPr>
        <w:br w:type="page"/>
      </w:r>
    </w:p>
    <w:p w14:paraId="0AD783A6">
      <w:pPr>
        <w:pStyle w:val="3"/>
        <w:spacing w:line="360" w:lineRule="auto"/>
        <w:rPr>
          <w:rFonts w:asciiTheme="minorHAnsi" w:hAnsiTheme="minorHAnsi" w:eastAsiaTheme="minorHAnsi"/>
          <w:sz w:val="28"/>
        </w:rPr>
      </w:pPr>
      <w:r>
        <w:rPr>
          <w:rFonts w:asciiTheme="minorHAnsi" w:hAnsiTheme="minorHAnsi" w:eastAsiaTheme="minorHAnsi"/>
          <w:sz w:val="28"/>
        </w:rPr>
        <w:t>2</w:t>
      </w:r>
      <w:r>
        <w:rPr>
          <w:rFonts w:hint="eastAsia" w:asciiTheme="minorHAnsi" w:hAnsiTheme="minorHAnsi" w:eastAsiaTheme="minorHAnsi"/>
          <w:sz w:val="28"/>
        </w:rPr>
        <w:t>、云计算中心增能服务器设备（二）</w:t>
      </w:r>
    </w:p>
    <w:tbl>
      <w:tblPr>
        <w:tblStyle w:val="10"/>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9351"/>
      </w:tblGrid>
      <w:tr w14:paraId="0B799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tcBorders>
              <w:bottom w:val="single" w:color="auto" w:sz="4" w:space="0"/>
            </w:tcBorders>
            <w:shd w:val="clear" w:color="000000" w:fill="FFFFFF"/>
            <w:vAlign w:val="center"/>
          </w:tcPr>
          <w:p w14:paraId="399BF92F">
            <w:pPr>
              <w:widowControl/>
              <w:spacing w:line="360" w:lineRule="auto"/>
              <w:jc w:val="center"/>
              <w:rPr>
                <w:rFonts w:cs="宋体" w:eastAsiaTheme="minorHAnsi"/>
                <w:b/>
                <w:bCs/>
                <w:kern w:val="0"/>
                <w:szCs w:val="21"/>
              </w:rPr>
            </w:pPr>
            <w:r>
              <w:rPr>
                <w:rFonts w:hint="eastAsia" w:cs="宋体" w:eastAsiaTheme="minorHAnsi"/>
                <w:b/>
                <w:bCs/>
                <w:kern w:val="0"/>
                <w:szCs w:val="21"/>
              </w:rPr>
              <w:t>功能明细</w:t>
            </w:r>
          </w:p>
        </w:tc>
        <w:tc>
          <w:tcPr>
            <w:tcW w:w="9351" w:type="dxa"/>
            <w:tcBorders>
              <w:bottom w:val="single" w:color="auto" w:sz="4" w:space="0"/>
            </w:tcBorders>
            <w:shd w:val="clear" w:color="000000" w:fill="FFFFFF"/>
            <w:vAlign w:val="center"/>
          </w:tcPr>
          <w:p w14:paraId="2FB34562">
            <w:pPr>
              <w:widowControl/>
              <w:spacing w:line="360" w:lineRule="auto"/>
              <w:jc w:val="center"/>
              <w:rPr>
                <w:rFonts w:cs="宋体" w:eastAsiaTheme="minorHAnsi"/>
                <w:b/>
                <w:bCs/>
                <w:kern w:val="0"/>
                <w:szCs w:val="21"/>
              </w:rPr>
            </w:pPr>
            <w:r>
              <w:rPr>
                <w:rFonts w:hint="eastAsia" w:cs="宋体" w:eastAsiaTheme="minorHAnsi"/>
                <w:b/>
                <w:bCs/>
                <w:kern w:val="0"/>
                <w:szCs w:val="21"/>
              </w:rPr>
              <w:t>参数要求</w:t>
            </w:r>
          </w:p>
        </w:tc>
      </w:tr>
      <w:tr w14:paraId="45075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5340918F">
            <w:pPr>
              <w:widowControl/>
              <w:spacing w:line="360" w:lineRule="auto"/>
              <w:jc w:val="center"/>
              <w:rPr>
                <w:rFonts w:cs="宋体" w:eastAsiaTheme="minorHAnsi"/>
                <w:kern w:val="0"/>
                <w:szCs w:val="21"/>
              </w:rPr>
            </w:pPr>
            <w:r>
              <w:rPr>
                <w:rFonts w:hint="eastAsia" w:cs="宋体" w:eastAsiaTheme="minorHAnsi"/>
                <w:kern w:val="0"/>
                <w:szCs w:val="21"/>
              </w:rPr>
              <w:t>规格</w:t>
            </w:r>
          </w:p>
        </w:tc>
        <w:tc>
          <w:tcPr>
            <w:tcW w:w="9351" w:type="dxa"/>
            <w:tcBorders>
              <w:top w:val="single" w:color="auto" w:sz="4" w:space="0"/>
              <w:left w:val="single" w:color="auto" w:sz="4" w:space="0"/>
              <w:bottom w:val="single" w:color="auto" w:sz="4" w:space="0"/>
              <w:right w:val="single" w:color="auto" w:sz="4" w:space="0"/>
            </w:tcBorders>
            <w:shd w:val="clear" w:color="auto" w:fill="auto"/>
            <w:vAlign w:val="center"/>
          </w:tcPr>
          <w:p w14:paraId="6F1CF59C">
            <w:pPr>
              <w:widowControl/>
              <w:spacing w:line="360" w:lineRule="auto"/>
              <w:jc w:val="left"/>
              <w:rPr>
                <w:rFonts w:cs="宋体" w:eastAsiaTheme="minorHAnsi"/>
                <w:kern w:val="0"/>
                <w:szCs w:val="21"/>
              </w:rPr>
            </w:pPr>
            <w:r>
              <w:rPr>
                <w:rFonts w:hint="eastAsia" w:cs="宋体" w:eastAsiaTheme="minorHAnsi"/>
                <w:kern w:val="0"/>
                <w:szCs w:val="21"/>
              </w:rPr>
              <w:t>每台设备为2U机架式</w:t>
            </w:r>
          </w:p>
        </w:tc>
      </w:tr>
      <w:tr w14:paraId="22E51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066E59">
            <w:pPr>
              <w:widowControl/>
              <w:spacing w:line="360" w:lineRule="auto"/>
              <w:jc w:val="center"/>
              <w:rPr>
                <w:rFonts w:cs="宋体" w:eastAsiaTheme="minorHAnsi"/>
                <w:kern w:val="0"/>
                <w:szCs w:val="21"/>
              </w:rPr>
            </w:pPr>
            <w:r>
              <w:rPr>
                <w:rFonts w:hint="eastAsia" w:cs="宋体" w:eastAsiaTheme="minorHAnsi"/>
                <w:kern w:val="0"/>
                <w:szCs w:val="21"/>
              </w:rPr>
              <w:t>CPU</w:t>
            </w:r>
          </w:p>
        </w:tc>
        <w:tc>
          <w:tcPr>
            <w:tcW w:w="9351" w:type="dxa"/>
            <w:tcBorders>
              <w:top w:val="single" w:color="auto" w:sz="4" w:space="0"/>
              <w:left w:val="single" w:color="auto" w:sz="4" w:space="0"/>
              <w:bottom w:val="single" w:color="auto" w:sz="4" w:space="0"/>
              <w:right w:val="single" w:color="auto" w:sz="4" w:space="0"/>
            </w:tcBorders>
            <w:shd w:val="clear" w:color="auto" w:fill="auto"/>
            <w:vAlign w:val="center"/>
          </w:tcPr>
          <w:p w14:paraId="7FC425A5">
            <w:pPr>
              <w:widowControl/>
              <w:spacing w:line="360" w:lineRule="auto"/>
              <w:jc w:val="left"/>
              <w:rPr>
                <w:rFonts w:cs="宋体" w:eastAsiaTheme="minorHAnsi"/>
                <w:kern w:val="0"/>
                <w:szCs w:val="21"/>
              </w:rPr>
            </w:pPr>
            <w:r>
              <w:rPr>
                <w:rFonts w:hint="eastAsia" w:cs="宋体" w:eastAsiaTheme="minorHAnsi"/>
                <w:kern w:val="0"/>
                <w:szCs w:val="21"/>
              </w:rPr>
              <w:t>每台设备配置2颗性能不低于C8</w:t>
            </w:r>
            <w:r>
              <w:rPr>
                <w:rFonts w:cs="宋体" w:eastAsiaTheme="minorHAnsi"/>
                <w:kern w:val="0"/>
                <w:szCs w:val="21"/>
              </w:rPr>
              <w:t>6</w:t>
            </w:r>
            <w:r>
              <w:rPr>
                <w:rFonts w:hint="eastAsia" w:cs="宋体" w:eastAsiaTheme="minorHAnsi"/>
                <w:kern w:val="0"/>
                <w:szCs w:val="21"/>
              </w:rPr>
              <w:t>-4G处理器</w:t>
            </w:r>
          </w:p>
        </w:tc>
      </w:tr>
      <w:tr w14:paraId="1633B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49EC1C43">
            <w:pPr>
              <w:widowControl/>
              <w:spacing w:line="360" w:lineRule="auto"/>
              <w:jc w:val="left"/>
              <w:rPr>
                <w:rFonts w:cs="宋体" w:eastAsiaTheme="minorHAnsi"/>
                <w:kern w:val="0"/>
                <w:szCs w:val="21"/>
              </w:rPr>
            </w:pPr>
          </w:p>
        </w:tc>
        <w:tc>
          <w:tcPr>
            <w:tcW w:w="9351" w:type="dxa"/>
            <w:tcBorders>
              <w:top w:val="single" w:color="auto" w:sz="4" w:space="0"/>
              <w:left w:val="single" w:color="auto" w:sz="4" w:space="0"/>
              <w:bottom w:val="single" w:color="auto" w:sz="4" w:space="0"/>
              <w:right w:val="single" w:color="auto" w:sz="4" w:space="0"/>
            </w:tcBorders>
            <w:shd w:val="clear" w:color="auto" w:fill="auto"/>
            <w:vAlign w:val="center"/>
          </w:tcPr>
          <w:p w14:paraId="020508EA">
            <w:pPr>
              <w:widowControl/>
              <w:spacing w:line="360" w:lineRule="auto"/>
              <w:jc w:val="left"/>
              <w:rPr>
                <w:rFonts w:cs="宋体" w:eastAsiaTheme="minorHAnsi"/>
                <w:kern w:val="0"/>
                <w:szCs w:val="21"/>
              </w:rPr>
            </w:pPr>
            <w:r>
              <w:rPr>
                <w:rFonts w:hint="eastAsia" w:cs="宋体" w:eastAsiaTheme="minorHAnsi"/>
                <w:kern w:val="0"/>
                <w:szCs w:val="21"/>
              </w:rPr>
              <w:t>★每颗处理器：核心数≥</w:t>
            </w:r>
            <w:r>
              <w:rPr>
                <w:rFonts w:cs="宋体" w:eastAsiaTheme="minorHAnsi"/>
                <w:kern w:val="0"/>
                <w:szCs w:val="21"/>
              </w:rPr>
              <w:t>32</w:t>
            </w:r>
            <w:r>
              <w:rPr>
                <w:rFonts w:hint="eastAsia" w:cs="宋体" w:eastAsiaTheme="minorHAnsi"/>
                <w:kern w:val="0"/>
                <w:szCs w:val="21"/>
              </w:rPr>
              <w:t>，线程数≥</w:t>
            </w:r>
            <w:r>
              <w:rPr>
                <w:rFonts w:cs="宋体" w:eastAsiaTheme="minorHAnsi"/>
                <w:kern w:val="0"/>
                <w:szCs w:val="21"/>
              </w:rPr>
              <w:t>64</w:t>
            </w:r>
            <w:r>
              <w:rPr>
                <w:rFonts w:hint="eastAsia" w:cs="宋体" w:eastAsiaTheme="minorHAnsi"/>
                <w:kern w:val="0"/>
                <w:szCs w:val="21"/>
              </w:rPr>
              <w:t>，基础频率≥2.</w:t>
            </w:r>
            <w:r>
              <w:rPr>
                <w:rFonts w:cs="宋体" w:eastAsiaTheme="minorHAnsi"/>
                <w:kern w:val="0"/>
                <w:szCs w:val="21"/>
              </w:rPr>
              <w:t>5</w:t>
            </w:r>
            <w:r>
              <w:rPr>
                <w:rFonts w:hint="eastAsia" w:cs="宋体" w:eastAsiaTheme="minorHAnsi"/>
                <w:kern w:val="0"/>
                <w:szCs w:val="21"/>
              </w:rPr>
              <w:t>GHz，最高频率≥3</w:t>
            </w:r>
            <w:r>
              <w:rPr>
                <w:rFonts w:cs="宋体" w:eastAsiaTheme="minorHAnsi"/>
                <w:kern w:val="0"/>
                <w:szCs w:val="21"/>
              </w:rPr>
              <w:t>.0</w:t>
            </w:r>
            <w:r>
              <w:rPr>
                <w:rFonts w:hint="eastAsia" w:cs="宋体" w:eastAsiaTheme="minorHAnsi"/>
                <w:kern w:val="0"/>
                <w:szCs w:val="21"/>
              </w:rPr>
              <w:t>GHz，缓存≥</w:t>
            </w:r>
            <w:r>
              <w:rPr>
                <w:rFonts w:cs="宋体" w:eastAsiaTheme="minorHAnsi"/>
                <w:kern w:val="0"/>
                <w:szCs w:val="21"/>
              </w:rPr>
              <w:t>64</w:t>
            </w:r>
            <w:r>
              <w:rPr>
                <w:rFonts w:hint="eastAsia" w:cs="宋体" w:eastAsiaTheme="minorHAnsi"/>
                <w:kern w:val="0"/>
                <w:szCs w:val="21"/>
              </w:rPr>
              <w:t>MB（提供技术支持材料）</w:t>
            </w:r>
          </w:p>
        </w:tc>
      </w:tr>
      <w:tr w14:paraId="3D39E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641799">
            <w:pPr>
              <w:widowControl/>
              <w:spacing w:line="360" w:lineRule="auto"/>
              <w:jc w:val="center"/>
              <w:rPr>
                <w:rFonts w:cs="宋体" w:eastAsiaTheme="minorHAnsi"/>
                <w:kern w:val="0"/>
                <w:szCs w:val="21"/>
              </w:rPr>
            </w:pPr>
            <w:r>
              <w:rPr>
                <w:rFonts w:hint="eastAsia" w:cs="宋体" w:eastAsiaTheme="minorHAnsi"/>
                <w:kern w:val="0"/>
                <w:szCs w:val="21"/>
              </w:rPr>
              <w:t>内存</w:t>
            </w:r>
          </w:p>
        </w:tc>
        <w:tc>
          <w:tcPr>
            <w:tcW w:w="9351" w:type="dxa"/>
            <w:tcBorders>
              <w:top w:val="single" w:color="auto" w:sz="4" w:space="0"/>
              <w:left w:val="single" w:color="auto" w:sz="4" w:space="0"/>
              <w:bottom w:val="single" w:color="auto" w:sz="4" w:space="0"/>
              <w:right w:val="single" w:color="auto" w:sz="4" w:space="0"/>
            </w:tcBorders>
            <w:shd w:val="clear" w:color="000000" w:fill="FFFFFF"/>
            <w:vAlign w:val="center"/>
          </w:tcPr>
          <w:p w14:paraId="12EA2FD6">
            <w:pPr>
              <w:widowControl/>
              <w:spacing w:line="360" w:lineRule="auto"/>
              <w:jc w:val="left"/>
              <w:rPr>
                <w:rFonts w:cs="宋体" w:eastAsiaTheme="minorHAnsi"/>
                <w:kern w:val="0"/>
                <w:szCs w:val="21"/>
              </w:rPr>
            </w:pPr>
            <w:r>
              <w:rPr>
                <w:rFonts w:hint="eastAsia" w:cs="宋体" w:eastAsiaTheme="minorHAnsi"/>
                <w:kern w:val="0"/>
                <w:szCs w:val="21"/>
              </w:rPr>
              <w:t>每台设备可支持内存数量≥</w:t>
            </w:r>
            <w:r>
              <w:rPr>
                <w:rFonts w:cs="宋体" w:eastAsiaTheme="minorHAnsi"/>
                <w:kern w:val="0"/>
                <w:szCs w:val="21"/>
              </w:rPr>
              <w:t>16</w:t>
            </w:r>
          </w:p>
        </w:tc>
      </w:tr>
      <w:tr w14:paraId="0B4A7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70E35A19">
            <w:pPr>
              <w:widowControl/>
              <w:spacing w:line="360" w:lineRule="auto"/>
              <w:jc w:val="left"/>
              <w:rPr>
                <w:rFonts w:cs="宋体" w:eastAsiaTheme="minorHAnsi"/>
                <w:kern w:val="0"/>
                <w:szCs w:val="21"/>
              </w:rPr>
            </w:pPr>
          </w:p>
        </w:tc>
        <w:tc>
          <w:tcPr>
            <w:tcW w:w="9351" w:type="dxa"/>
            <w:tcBorders>
              <w:top w:val="single" w:color="auto" w:sz="4" w:space="0"/>
              <w:left w:val="single" w:color="auto" w:sz="4" w:space="0"/>
              <w:bottom w:val="single" w:color="auto" w:sz="4" w:space="0"/>
              <w:right w:val="single" w:color="auto" w:sz="4" w:space="0"/>
            </w:tcBorders>
            <w:shd w:val="clear" w:color="000000" w:fill="FFFFFF"/>
            <w:vAlign w:val="center"/>
          </w:tcPr>
          <w:p w14:paraId="5D045C01">
            <w:pPr>
              <w:widowControl/>
              <w:spacing w:line="360" w:lineRule="auto"/>
              <w:jc w:val="left"/>
              <w:rPr>
                <w:rFonts w:cs="宋体" w:eastAsiaTheme="minorHAnsi"/>
                <w:kern w:val="0"/>
                <w:szCs w:val="21"/>
              </w:rPr>
            </w:pPr>
            <w:r>
              <w:rPr>
                <w:rFonts w:hint="eastAsia" w:cs="宋体" w:eastAsiaTheme="minorHAnsi"/>
                <w:kern w:val="0"/>
                <w:szCs w:val="21"/>
              </w:rPr>
              <w:t xml:space="preserve">每台设备配置DDR5内存或以上规格 </w:t>
            </w:r>
          </w:p>
        </w:tc>
      </w:tr>
      <w:tr w14:paraId="29068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4250CB1D">
            <w:pPr>
              <w:widowControl/>
              <w:spacing w:line="360" w:lineRule="auto"/>
              <w:jc w:val="left"/>
              <w:rPr>
                <w:rFonts w:cs="宋体" w:eastAsiaTheme="minorHAnsi"/>
                <w:kern w:val="0"/>
                <w:szCs w:val="21"/>
              </w:rPr>
            </w:pPr>
          </w:p>
        </w:tc>
        <w:tc>
          <w:tcPr>
            <w:tcW w:w="9351" w:type="dxa"/>
            <w:tcBorders>
              <w:top w:val="single" w:color="auto" w:sz="4" w:space="0"/>
              <w:left w:val="single" w:color="auto" w:sz="4" w:space="0"/>
              <w:bottom w:val="single" w:color="auto" w:sz="4" w:space="0"/>
              <w:right w:val="single" w:color="auto" w:sz="4" w:space="0"/>
            </w:tcBorders>
            <w:shd w:val="clear" w:color="000000" w:fill="FFFFFF"/>
            <w:vAlign w:val="center"/>
          </w:tcPr>
          <w:p w14:paraId="308CEA55">
            <w:pPr>
              <w:widowControl/>
              <w:spacing w:line="360" w:lineRule="auto"/>
              <w:jc w:val="left"/>
              <w:rPr>
                <w:rFonts w:cs="宋体" w:eastAsiaTheme="minorHAnsi"/>
                <w:kern w:val="0"/>
                <w:szCs w:val="21"/>
              </w:rPr>
            </w:pPr>
            <w:r>
              <w:rPr>
                <w:rFonts w:hint="eastAsia" w:cs="宋体" w:eastAsiaTheme="minorHAnsi"/>
                <w:kern w:val="0"/>
                <w:szCs w:val="21"/>
              </w:rPr>
              <w:t>每台设备内存频率≥5600MHz</w:t>
            </w:r>
          </w:p>
        </w:tc>
      </w:tr>
      <w:tr w14:paraId="6573E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7B770F86">
            <w:pPr>
              <w:widowControl/>
              <w:spacing w:line="360" w:lineRule="auto"/>
              <w:jc w:val="left"/>
              <w:rPr>
                <w:rFonts w:cs="宋体" w:eastAsiaTheme="minorHAnsi"/>
                <w:kern w:val="0"/>
                <w:szCs w:val="21"/>
              </w:rPr>
            </w:pPr>
          </w:p>
        </w:tc>
        <w:tc>
          <w:tcPr>
            <w:tcW w:w="9351" w:type="dxa"/>
            <w:tcBorders>
              <w:top w:val="single" w:color="auto" w:sz="4" w:space="0"/>
              <w:left w:val="single" w:color="auto" w:sz="4" w:space="0"/>
              <w:bottom w:val="single" w:color="auto" w:sz="4" w:space="0"/>
              <w:right w:val="single" w:color="auto" w:sz="4" w:space="0"/>
            </w:tcBorders>
            <w:shd w:val="clear" w:color="000000" w:fill="FFFFFF"/>
            <w:vAlign w:val="center"/>
          </w:tcPr>
          <w:p w14:paraId="219B7F6B">
            <w:pPr>
              <w:widowControl/>
              <w:spacing w:line="360" w:lineRule="auto"/>
              <w:jc w:val="left"/>
              <w:rPr>
                <w:rFonts w:cs="宋体" w:eastAsiaTheme="minorHAnsi"/>
                <w:kern w:val="0"/>
                <w:szCs w:val="21"/>
              </w:rPr>
            </w:pPr>
            <w:r>
              <w:rPr>
                <w:rFonts w:hint="eastAsia" w:cs="宋体" w:eastAsiaTheme="minorHAnsi"/>
                <w:kern w:val="0"/>
                <w:szCs w:val="21"/>
              </w:rPr>
              <w:t>每台设备配置内存容量≥</w:t>
            </w:r>
            <w:r>
              <w:rPr>
                <w:rFonts w:cs="宋体" w:eastAsiaTheme="minorHAnsi"/>
                <w:kern w:val="0"/>
                <w:szCs w:val="21"/>
              </w:rPr>
              <w:t>512</w:t>
            </w:r>
            <w:r>
              <w:rPr>
                <w:rFonts w:hint="eastAsia" w:cs="宋体" w:eastAsiaTheme="minorHAnsi"/>
                <w:kern w:val="0"/>
                <w:szCs w:val="21"/>
              </w:rPr>
              <w:t>GB</w:t>
            </w:r>
          </w:p>
        </w:tc>
      </w:tr>
      <w:tr w14:paraId="5AD3B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D3196B">
            <w:pPr>
              <w:widowControl/>
              <w:spacing w:line="360" w:lineRule="auto"/>
              <w:jc w:val="center"/>
              <w:rPr>
                <w:rFonts w:cs="宋体" w:eastAsiaTheme="minorHAnsi"/>
                <w:kern w:val="0"/>
                <w:szCs w:val="21"/>
              </w:rPr>
            </w:pPr>
            <w:r>
              <w:rPr>
                <w:rFonts w:hint="eastAsia" w:cs="宋体" w:eastAsiaTheme="minorHAnsi"/>
                <w:kern w:val="0"/>
                <w:szCs w:val="21"/>
              </w:rPr>
              <w:t>硬盘</w:t>
            </w:r>
          </w:p>
        </w:tc>
        <w:tc>
          <w:tcPr>
            <w:tcW w:w="9351" w:type="dxa"/>
            <w:tcBorders>
              <w:top w:val="single" w:color="auto" w:sz="4" w:space="0"/>
              <w:left w:val="single" w:color="auto" w:sz="4" w:space="0"/>
              <w:bottom w:val="single" w:color="auto" w:sz="4" w:space="0"/>
              <w:right w:val="single" w:color="auto" w:sz="4" w:space="0"/>
            </w:tcBorders>
            <w:shd w:val="clear" w:color="000000" w:fill="FFFFFF"/>
            <w:vAlign w:val="center"/>
          </w:tcPr>
          <w:p w14:paraId="7F82DFE1">
            <w:pPr>
              <w:widowControl/>
              <w:spacing w:line="360" w:lineRule="auto"/>
              <w:jc w:val="left"/>
              <w:rPr>
                <w:rFonts w:cs="宋体" w:eastAsiaTheme="minorHAnsi"/>
                <w:kern w:val="0"/>
                <w:szCs w:val="21"/>
              </w:rPr>
            </w:pPr>
            <w:r>
              <w:rPr>
                <w:rFonts w:hint="eastAsia" w:cs="宋体" w:eastAsiaTheme="minorHAnsi"/>
                <w:kern w:val="0"/>
                <w:szCs w:val="21"/>
              </w:rPr>
              <w:t>每台设备配置2块企业级SSD系统盘，单盘容量≥</w:t>
            </w:r>
            <w:r>
              <w:rPr>
                <w:rFonts w:cs="宋体" w:eastAsiaTheme="minorHAnsi"/>
                <w:kern w:val="0"/>
                <w:szCs w:val="21"/>
              </w:rPr>
              <w:t>480</w:t>
            </w:r>
            <w:r>
              <w:rPr>
                <w:rFonts w:hint="eastAsia" w:cs="宋体" w:eastAsiaTheme="minorHAnsi"/>
                <w:kern w:val="0"/>
                <w:szCs w:val="21"/>
              </w:rPr>
              <w:t>GB</w:t>
            </w:r>
          </w:p>
        </w:tc>
      </w:tr>
      <w:tr w14:paraId="11DF3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07DCDF8C">
            <w:pPr>
              <w:widowControl/>
              <w:spacing w:line="360" w:lineRule="auto"/>
              <w:jc w:val="left"/>
              <w:rPr>
                <w:rFonts w:cs="宋体" w:eastAsiaTheme="minorHAnsi"/>
                <w:kern w:val="0"/>
                <w:szCs w:val="21"/>
              </w:rPr>
            </w:pPr>
          </w:p>
        </w:tc>
        <w:tc>
          <w:tcPr>
            <w:tcW w:w="9351" w:type="dxa"/>
            <w:tcBorders>
              <w:top w:val="single" w:color="auto" w:sz="4" w:space="0"/>
              <w:left w:val="single" w:color="auto" w:sz="4" w:space="0"/>
              <w:bottom w:val="single" w:color="auto" w:sz="4" w:space="0"/>
              <w:right w:val="single" w:color="auto" w:sz="4" w:space="0"/>
            </w:tcBorders>
            <w:shd w:val="clear" w:color="000000" w:fill="FFFFFF"/>
            <w:vAlign w:val="center"/>
          </w:tcPr>
          <w:p w14:paraId="3F78A1AD">
            <w:pPr>
              <w:widowControl/>
              <w:spacing w:line="360" w:lineRule="auto"/>
              <w:jc w:val="left"/>
              <w:rPr>
                <w:rFonts w:cs="宋体" w:eastAsiaTheme="minorHAnsi"/>
                <w:kern w:val="0"/>
                <w:szCs w:val="21"/>
              </w:rPr>
            </w:pPr>
            <w:r>
              <w:rPr>
                <w:rFonts w:hint="eastAsia" w:cs="宋体" w:eastAsiaTheme="minorHAnsi"/>
                <w:kern w:val="0"/>
                <w:szCs w:val="21"/>
              </w:rPr>
              <w:t>每台设备配置2块企业级SSD数据盘，单盘容量≥1.</w:t>
            </w:r>
            <w:r>
              <w:rPr>
                <w:rFonts w:cs="宋体" w:eastAsiaTheme="minorHAnsi"/>
                <w:kern w:val="0"/>
                <w:szCs w:val="21"/>
              </w:rPr>
              <w:t>92</w:t>
            </w:r>
            <w:r>
              <w:rPr>
                <w:rFonts w:hint="eastAsia" w:cs="宋体" w:eastAsiaTheme="minorHAnsi"/>
                <w:kern w:val="0"/>
                <w:szCs w:val="21"/>
              </w:rPr>
              <w:t>TB</w:t>
            </w:r>
          </w:p>
        </w:tc>
      </w:tr>
      <w:tr w14:paraId="4040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tcBorders>
              <w:top w:val="single" w:color="auto" w:sz="4" w:space="0"/>
            </w:tcBorders>
            <w:shd w:val="clear" w:color="000000" w:fill="FFFFFF"/>
            <w:vAlign w:val="center"/>
          </w:tcPr>
          <w:p w14:paraId="49E7A9A8">
            <w:pPr>
              <w:widowControl/>
              <w:spacing w:line="360" w:lineRule="auto"/>
              <w:jc w:val="center"/>
              <w:rPr>
                <w:rFonts w:cs="宋体" w:eastAsiaTheme="minorHAnsi"/>
                <w:kern w:val="0"/>
                <w:szCs w:val="21"/>
              </w:rPr>
            </w:pPr>
            <w:r>
              <w:rPr>
                <w:rFonts w:hint="eastAsia" w:cs="宋体" w:eastAsiaTheme="minorHAnsi"/>
                <w:kern w:val="0"/>
                <w:szCs w:val="21"/>
              </w:rPr>
              <w:t>RAID卡</w:t>
            </w:r>
          </w:p>
        </w:tc>
        <w:tc>
          <w:tcPr>
            <w:tcW w:w="9351" w:type="dxa"/>
            <w:tcBorders>
              <w:top w:val="single" w:color="auto" w:sz="4" w:space="0"/>
            </w:tcBorders>
            <w:shd w:val="clear" w:color="000000" w:fill="FFFFFF"/>
            <w:vAlign w:val="center"/>
          </w:tcPr>
          <w:p w14:paraId="57645C95">
            <w:pPr>
              <w:widowControl/>
              <w:spacing w:line="360" w:lineRule="auto"/>
              <w:jc w:val="left"/>
              <w:rPr>
                <w:rFonts w:cs="宋体" w:eastAsiaTheme="minorHAnsi"/>
                <w:kern w:val="0"/>
                <w:szCs w:val="21"/>
              </w:rPr>
            </w:pPr>
            <w:r>
              <w:rPr>
                <w:rFonts w:hint="eastAsia" w:cs="宋体" w:eastAsiaTheme="minorHAnsi"/>
                <w:kern w:val="0"/>
                <w:szCs w:val="21"/>
              </w:rPr>
              <w:t>每台设备配置高性能RAID阵列卡，RAID卡缓存≥4GB</w:t>
            </w:r>
          </w:p>
        </w:tc>
      </w:tr>
      <w:tr w14:paraId="6BEB7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shd w:val="clear" w:color="000000" w:fill="FFFFFF"/>
            <w:vAlign w:val="center"/>
          </w:tcPr>
          <w:p w14:paraId="0D958046">
            <w:pPr>
              <w:widowControl/>
              <w:spacing w:line="360" w:lineRule="auto"/>
              <w:jc w:val="center"/>
              <w:rPr>
                <w:rFonts w:cs="宋体" w:eastAsiaTheme="minorHAnsi"/>
                <w:kern w:val="0"/>
                <w:szCs w:val="21"/>
              </w:rPr>
            </w:pPr>
            <w:r>
              <w:rPr>
                <w:rFonts w:hint="eastAsia" w:cs="宋体" w:eastAsiaTheme="minorHAnsi"/>
                <w:kern w:val="0"/>
                <w:szCs w:val="21"/>
              </w:rPr>
              <w:t>网络接口</w:t>
            </w:r>
          </w:p>
        </w:tc>
        <w:tc>
          <w:tcPr>
            <w:tcW w:w="9351" w:type="dxa"/>
            <w:shd w:val="clear" w:color="000000" w:fill="FFFFFF"/>
            <w:vAlign w:val="center"/>
          </w:tcPr>
          <w:p w14:paraId="3B66A598">
            <w:pPr>
              <w:widowControl/>
              <w:spacing w:line="360" w:lineRule="auto"/>
              <w:jc w:val="left"/>
              <w:rPr>
                <w:rFonts w:cs="宋体" w:eastAsiaTheme="minorHAnsi"/>
                <w:kern w:val="0"/>
                <w:szCs w:val="21"/>
              </w:rPr>
            </w:pPr>
            <w:r>
              <w:rPr>
                <w:rFonts w:hint="eastAsia" w:cs="宋体" w:eastAsiaTheme="minorHAnsi"/>
                <w:kern w:val="0"/>
                <w:szCs w:val="21"/>
              </w:rPr>
              <w:t>每台设备配置≥4个</w:t>
            </w:r>
            <w:r>
              <w:rPr>
                <w:rFonts w:cs="宋体" w:eastAsiaTheme="minorHAnsi"/>
                <w:kern w:val="0"/>
                <w:szCs w:val="21"/>
              </w:rPr>
              <w:t>25</w:t>
            </w:r>
            <w:r>
              <w:rPr>
                <w:rFonts w:hint="eastAsia" w:cs="宋体" w:eastAsiaTheme="minorHAnsi"/>
                <w:kern w:val="0"/>
                <w:szCs w:val="21"/>
              </w:rPr>
              <w:t>Gb万兆光口，并满配光模块</w:t>
            </w:r>
          </w:p>
        </w:tc>
      </w:tr>
      <w:tr w14:paraId="587EC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shd w:val="clear" w:color="000000" w:fill="FFFFFF"/>
            <w:vAlign w:val="center"/>
          </w:tcPr>
          <w:p w14:paraId="43A0458A">
            <w:pPr>
              <w:widowControl/>
              <w:spacing w:line="360" w:lineRule="auto"/>
              <w:jc w:val="center"/>
              <w:rPr>
                <w:rFonts w:cs="宋体" w:eastAsiaTheme="minorHAnsi"/>
                <w:kern w:val="0"/>
                <w:szCs w:val="21"/>
              </w:rPr>
            </w:pPr>
            <w:r>
              <w:rPr>
                <w:rFonts w:hint="eastAsia" w:cs="宋体" w:eastAsiaTheme="minorHAnsi"/>
                <w:kern w:val="0"/>
                <w:szCs w:val="21"/>
              </w:rPr>
              <w:t>显示接口</w:t>
            </w:r>
          </w:p>
        </w:tc>
        <w:tc>
          <w:tcPr>
            <w:tcW w:w="9351" w:type="dxa"/>
            <w:shd w:val="clear" w:color="000000" w:fill="FFFFFF"/>
            <w:vAlign w:val="center"/>
          </w:tcPr>
          <w:p w14:paraId="7698A1A9">
            <w:pPr>
              <w:widowControl/>
              <w:spacing w:line="360" w:lineRule="auto"/>
              <w:jc w:val="left"/>
              <w:rPr>
                <w:rFonts w:cs="宋体" w:eastAsiaTheme="minorHAnsi"/>
                <w:kern w:val="0"/>
                <w:szCs w:val="21"/>
              </w:rPr>
            </w:pPr>
            <w:r>
              <w:rPr>
                <w:rFonts w:hint="eastAsia" w:cs="宋体" w:eastAsiaTheme="minorHAnsi"/>
                <w:kern w:val="0"/>
                <w:szCs w:val="21"/>
              </w:rPr>
              <w:t>每台设备配置≥1个VGA接口</w:t>
            </w:r>
          </w:p>
        </w:tc>
      </w:tr>
      <w:tr w14:paraId="2983C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shd w:val="clear" w:color="000000" w:fill="FFFFFF"/>
            <w:vAlign w:val="center"/>
          </w:tcPr>
          <w:p w14:paraId="134378D9">
            <w:pPr>
              <w:widowControl/>
              <w:spacing w:line="360" w:lineRule="auto"/>
              <w:jc w:val="center"/>
              <w:rPr>
                <w:rFonts w:cs="宋体" w:eastAsiaTheme="minorHAnsi"/>
                <w:kern w:val="0"/>
                <w:szCs w:val="21"/>
              </w:rPr>
            </w:pPr>
            <w:r>
              <w:rPr>
                <w:rFonts w:hint="eastAsia" w:cs="宋体" w:eastAsiaTheme="minorHAnsi"/>
                <w:kern w:val="0"/>
                <w:szCs w:val="21"/>
              </w:rPr>
              <w:t>USB接口</w:t>
            </w:r>
          </w:p>
        </w:tc>
        <w:tc>
          <w:tcPr>
            <w:tcW w:w="9351" w:type="dxa"/>
            <w:shd w:val="clear" w:color="000000" w:fill="FFFFFF"/>
            <w:vAlign w:val="center"/>
          </w:tcPr>
          <w:p w14:paraId="1E7FD7BA">
            <w:pPr>
              <w:widowControl/>
              <w:spacing w:line="360" w:lineRule="auto"/>
              <w:jc w:val="left"/>
              <w:rPr>
                <w:rFonts w:cs="宋体" w:eastAsiaTheme="minorHAnsi"/>
                <w:kern w:val="0"/>
                <w:szCs w:val="21"/>
              </w:rPr>
            </w:pPr>
            <w:r>
              <w:rPr>
                <w:rFonts w:hint="eastAsia" w:cs="宋体" w:eastAsiaTheme="minorHAnsi"/>
                <w:kern w:val="0"/>
                <w:szCs w:val="21"/>
              </w:rPr>
              <w:t>每台设备配置≥1个USB 3.0接口</w:t>
            </w:r>
          </w:p>
        </w:tc>
      </w:tr>
      <w:tr w14:paraId="1D107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restart"/>
            <w:shd w:val="clear" w:color="000000" w:fill="FFFFFF"/>
            <w:vAlign w:val="center"/>
          </w:tcPr>
          <w:p w14:paraId="40256114">
            <w:pPr>
              <w:widowControl/>
              <w:spacing w:line="360" w:lineRule="auto"/>
              <w:jc w:val="center"/>
              <w:rPr>
                <w:rFonts w:cs="宋体" w:eastAsiaTheme="minorHAnsi"/>
                <w:kern w:val="0"/>
                <w:szCs w:val="21"/>
              </w:rPr>
            </w:pPr>
            <w:r>
              <w:rPr>
                <w:rFonts w:hint="eastAsia" w:cs="宋体" w:eastAsiaTheme="minorHAnsi"/>
                <w:kern w:val="0"/>
                <w:szCs w:val="21"/>
              </w:rPr>
              <w:t>电源</w:t>
            </w:r>
          </w:p>
        </w:tc>
        <w:tc>
          <w:tcPr>
            <w:tcW w:w="9351" w:type="dxa"/>
            <w:shd w:val="clear" w:color="000000" w:fill="FFFFFF"/>
            <w:vAlign w:val="center"/>
          </w:tcPr>
          <w:p w14:paraId="750A0937">
            <w:pPr>
              <w:widowControl/>
              <w:spacing w:line="360" w:lineRule="auto"/>
              <w:jc w:val="left"/>
              <w:rPr>
                <w:rFonts w:cs="宋体" w:eastAsiaTheme="minorHAnsi"/>
                <w:kern w:val="0"/>
                <w:szCs w:val="21"/>
              </w:rPr>
            </w:pPr>
            <w:r>
              <w:rPr>
                <w:rFonts w:hint="eastAsia" w:cs="宋体" w:eastAsiaTheme="minorHAnsi"/>
                <w:kern w:val="0"/>
                <w:szCs w:val="21"/>
              </w:rPr>
              <w:t>每台设备配置冗余电源，支持热插拔</w:t>
            </w:r>
          </w:p>
        </w:tc>
      </w:tr>
      <w:tr w14:paraId="7DD15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continue"/>
            <w:vAlign w:val="center"/>
          </w:tcPr>
          <w:p w14:paraId="1AE7B208">
            <w:pPr>
              <w:widowControl/>
              <w:spacing w:line="360" w:lineRule="auto"/>
              <w:jc w:val="left"/>
              <w:rPr>
                <w:rFonts w:cs="宋体" w:eastAsiaTheme="minorHAnsi"/>
                <w:kern w:val="0"/>
                <w:szCs w:val="21"/>
              </w:rPr>
            </w:pPr>
          </w:p>
        </w:tc>
        <w:tc>
          <w:tcPr>
            <w:tcW w:w="9351" w:type="dxa"/>
            <w:shd w:val="clear" w:color="000000" w:fill="FFFFFF"/>
            <w:vAlign w:val="center"/>
          </w:tcPr>
          <w:p w14:paraId="45A59EFE">
            <w:pPr>
              <w:widowControl/>
              <w:spacing w:line="360" w:lineRule="auto"/>
              <w:jc w:val="left"/>
              <w:rPr>
                <w:rFonts w:cs="宋体" w:eastAsiaTheme="minorHAnsi"/>
                <w:kern w:val="0"/>
                <w:szCs w:val="21"/>
              </w:rPr>
            </w:pPr>
            <w:r>
              <w:rPr>
                <w:rFonts w:hint="eastAsia" w:cs="宋体" w:eastAsiaTheme="minorHAnsi"/>
                <w:kern w:val="0"/>
                <w:szCs w:val="21"/>
              </w:rPr>
              <w:t>电源功率≥1300W</w:t>
            </w:r>
          </w:p>
        </w:tc>
      </w:tr>
      <w:tr w14:paraId="135AA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shd w:val="clear" w:color="000000" w:fill="FFFFFF"/>
            <w:vAlign w:val="center"/>
          </w:tcPr>
          <w:p w14:paraId="632BEC7F">
            <w:pPr>
              <w:widowControl/>
              <w:spacing w:line="360" w:lineRule="auto"/>
              <w:jc w:val="center"/>
              <w:rPr>
                <w:rFonts w:cs="宋体" w:eastAsiaTheme="minorHAnsi"/>
                <w:kern w:val="0"/>
                <w:szCs w:val="21"/>
              </w:rPr>
            </w:pPr>
            <w:r>
              <w:rPr>
                <w:rFonts w:hint="eastAsia" w:cs="宋体" w:eastAsiaTheme="minorHAnsi"/>
                <w:kern w:val="0"/>
                <w:szCs w:val="21"/>
              </w:rPr>
              <w:t>虚拟化软件</w:t>
            </w:r>
          </w:p>
        </w:tc>
        <w:tc>
          <w:tcPr>
            <w:tcW w:w="9351" w:type="dxa"/>
            <w:shd w:val="clear" w:color="000000" w:fill="FFFFFF"/>
            <w:vAlign w:val="center"/>
          </w:tcPr>
          <w:p w14:paraId="271CB50E">
            <w:pPr>
              <w:widowControl/>
              <w:spacing w:line="360" w:lineRule="auto"/>
              <w:jc w:val="left"/>
              <w:rPr>
                <w:rFonts w:cs="宋体" w:eastAsiaTheme="minorHAnsi"/>
                <w:kern w:val="0"/>
                <w:szCs w:val="21"/>
              </w:rPr>
            </w:pPr>
            <w:r>
              <w:rPr>
                <w:rFonts w:hint="eastAsia" w:cs="宋体" w:eastAsiaTheme="minorHAnsi"/>
                <w:kern w:val="0"/>
                <w:szCs w:val="21"/>
              </w:rPr>
              <w:t>每台设备配置云平台软件（2CPU）</w:t>
            </w:r>
          </w:p>
        </w:tc>
      </w:tr>
      <w:tr w14:paraId="39E55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jc w:val="center"/>
        </w:trPr>
        <w:tc>
          <w:tcPr>
            <w:tcW w:w="1276" w:type="dxa"/>
            <w:vMerge w:val="restart"/>
            <w:shd w:val="clear" w:color="auto" w:fill="auto"/>
            <w:vAlign w:val="center"/>
          </w:tcPr>
          <w:p w14:paraId="0BD24CA3">
            <w:pPr>
              <w:widowControl/>
              <w:spacing w:line="360" w:lineRule="auto"/>
              <w:jc w:val="center"/>
              <w:rPr>
                <w:rFonts w:cs="宋体" w:eastAsiaTheme="minorHAnsi"/>
                <w:kern w:val="0"/>
                <w:szCs w:val="21"/>
              </w:rPr>
            </w:pPr>
            <w:r>
              <w:rPr>
                <w:rFonts w:hint="eastAsia" w:cs="宋体" w:eastAsiaTheme="minorHAnsi"/>
                <w:kern w:val="0"/>
                <w:szCs w:val="21"/>
              </w:rPr>
              <w:t>总体要求</w:t>
            </w:r>
          </w:p>
        </w:tc>
        <w:tc>
          <w:tcPr>
            <w:tcW w:w="9351" w:type="dxa"/>
            <w:shd w:val="clear" w:color="auto" w:fill="auto"/>
            <w:vAlign w:val="center"/>
          </w:tcPr>
          <w:p w14:paraId="1DD2C53C">
            <w:pPr>
              <w:widowControl/>
              <w:spacing w:line="360" w:lineRule="auto"/>
              <w:jc w:val="left"/>
              <w:rPr>
                <w:rFonts w:cs="宋体" w:eastAsiaTheme="minorHAnsi"/>
                <w:kern w:val="0"/>
                <w:szCs w:val="21"/>
              </w:rPr>
            </w:pPr>
            <w:r>
              <w:rPr>
                <w:rFonts w:hint="eastAsia" w:cs="宋体" w:eastAsiaTheme="minorHAnsi"/>
                <w:kern w:val="0"/>
                <w:szCs w:val="21"/>
              </w:rPr>
              <w:t>云平台采用国产自研可控的虚拟化技术，通过计算虚拟化、存储虚拟化、网络虚拟化、管理平台软件提供管理便捷、资源伸缩、服务智能的虚拟化系统，向下可兼容不同厂商不同版本硬件（包括服务器、交换机、集中式SAN存储、CPU、硬盘、raid卡、网卡等设备），向上可以对接支撑各类业务系统稳定运行及发展需要（包括操作系统、数据库、中间件、安全软件、桌面云软件、容灾备份软件等），以此建设以业务需求驱动的云管理综合平台，实现生态完整、选择灵活的数字化底座。</w:t>
            </w:r>
          </w:p>
        </w:tc>
      </w:tr>
      <w:tr w14:paraId="3D8B7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276" w:type="dxa"/>
            <w:vMerge w:val="continue"/>
            <w:vAlign w:val="center"/>
          </w:tcPr>
          <w:p w14:paraId="2E038862">
            <w:pPr>
              <w:widowControl/>
              <w:spacing w:line="360" w:lineRule="auto"/>
              <w:jc w:val="left"/>
              <w:rPr>
                <w:rFonts w:cs="宋体" w:eastAsiaTheme="minorHAnsi"/>
                <w:kern w:val="0"/>
                <w:szCs w:val="21"/>
              </w:rPr>
            </w:pPr>
          </w:p>
        </w:tc>
        <w:tc>
          <w:tcPr>
            <w:tcW w:w="9351" w:type="dxa"/>
            <w:shd w:val="clear" w:color="auto" w:fill="auto"/>
            <w:vAlign w:val="center"/>
          </w:tcPr>
          <w:p w14:paraId="5893EA2C">
            <w:pPr>
              <w:widowControl/>
              <w:spacing w:line="360" w:lineRule="auto"/>
              <w:jc w:val="left"/>
              <w:rPr>
                <w:rFonts w:cs="宋体" w:eastAsiaTheme="minorHAnsi"/>
                <w:kern w:val="0"/>
                <w:szCs w:val="21"/>
              </w:rPr>
            </w:pPr>
            <w:r>
              <w:rPr>
                <w:rFonts w:hint="eastAsia" w:cs="宋体" w:eastAsiaTheme="minorHAnsi"/>
                <w:color w:val="000000"/>
                <w:kern w:val="0"/>
                <w:szCs w:val="21"/>
              </w:rPr>
              <w:t>为满足超融合云平台后续平滑的业务升级需求，平台可兼容海光、鲲鹏、兆芯、飞腾、申威、龙芯等国产芯片，可兼容</w:t>
            </w:r>
            <w:r>
              <w:rPr>
                <w:rFonts w:cs="宋体" w:eastAsiaTheme="minorHAnsi"/>
                <w:color w:val="000000"/>
                <w:kern w:val="0"/>
                <w:szCs w:val="21"/>
              </w:rPr>
              <w:t>X86、ARM、LoongArch和Alpha四种架构的八类平台环境，达到一云多芯的IaaS平台能力</w:t>
            </w:r>
            <w:r>
              <w:rPr>
                <w:rFonts w:hint="eastAsia" w:cs="宋体" w:eastAsiaTheme="minorHAnsi"/>
                <w:kern w:val="0"/>
                <w:szCs w:val="21"/>
              </w:rPr>
              <w:t>。提供技术支持材料。</w:t>
            </w:r>
          </w:p>
        </w:tc>
      </w:tr>
      <w:tr w14:paraId="72EF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276" w:type="dxa"/>
            <w:vMerge w:val="restart"/>
            <w:shd w:val="clear" w:color="auto" w:fill="auto"/>
            <w:vAlign w:val="center"/>
          </w:tcPr>
          <w:p w14:paraId="2ADE6C34">
            <w:pPr>
              <w:widowControl/>
              <w:spacing w:line="360" w:lineRule="auto"/>
              <w:jc w:val="center"/>
              <w:rPr>
                <w:rFonts w:cs="宋体" w:eastAsiaTheme="minorHAnsi"/>
                <w:kern w:val="0"/>
                <w:szCs w:val="21"/>
              </w:rPr>
            </w:pPr>
            <w:r>
              <w:rPr>
                <w:rFonts w:hint="eastAsia" w:cs="宋体" w:eastAsiaTheme="minorHAnsi"/>
                <w:kern w:val="0"/>
                <w:szCs w:val="21"/>
              </w:rPr>
              <w:t>开放性</w:t>
            </w:r>
          </w:p>
        </w:tc>
        <w:tc>
          <w:tcPr>
            <w:tcW w:w="9351" w:type="dxa"/>
            <w:shd w:val="clear" w:color="auto" w:fill="auto"/>
            <w:vAlign w:val="center"/>
          </w:tcPr>
          <w:p w14:paraId="31E9D724">
            <w:pPr>
              <w:widowControl/>
              <w:spacing w:line="360" w:lineRule="auto"/>
              <w:jc w:val="left"/>
              <w:rPr>
                <w:rFonts w:cs="宋体" w:eastAsiaTheme="minorHAnsi"/>
                <w:kern w:val="0"/>
                <w:szCs w:val="21"/>
              </w:rPr>
            </w:pPr>
            <w:r>
              <w:rPr>
                <w:rFonts w:hint="eastAsia" w:cs="宋体" w:eastAsiaTheme="minorHAnsi"/>
                <w:kern w:val="0"/>
                <w:szCs w:val="21"/>
              </w:rPr>
              <w:t>为满足后续二次开发和集成要求，云平台原厂须提供可在线下载的API开发手册，JAVA和Python格式的SDK工具包；云平台须支持任意界面一键开启API调用请求实时查看功能，能够在产品页面直接显示调用的API，并可根据API请求类型进行分类查看，提高二次开发效率。</w:t>
            </w:r>
          </w:p>
        </w:tc>
      </w:tr>
      <w:tr w14:paraId="26273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60B01CB1">
            <w:pPr>
              <w:widowControl/>
              <w:spacing w:line="360" w:lineRule="auto"/>
              <w:jc w:val="left"/>
              <w:rPr>
                <w:rFonts w:cs="宋体" w:eastAsiaTheme="minorHAnsi"/>
                <w:kern w:val="0"/>
                <w:szCs w:val="21"/>
              </w:rPr>
            </w:pPr>
          </w:p>
        </w:tc>
        <w:tc>
          <w:tcPr>
            <w:tcW w:w="9351" w:type="dxa"/>
            <w:shd w:val="clear" w:color="auto" w:fill="auto"/>
            <w:vAlign w:val="center"/>
          </w:tcPr>
          <w:p w14:paraId="5F499D5F">
            <w:pPr>
              <w:widowControl/>
              <w:spacing w:line="360" w:lineRule="auto"/>
              <w:jc w:val="left"/>
              <w:rPr>
                <w:rFonts w:cs="宋体" w:eastAsiaTheme="minorHAnsi"/>
                <w:kern w:val="0"/>
                <w:szCs w:val="21"/>
              </w:rPr>
            </w:pPr>
            <w:r>
              <w:rPr>
                <w:rFonts w:hint="eastAsia" w:cs="宋体" w:eastAsiaTheme="minorHAnsi"/>
                <w:kern w:val="0"/>
                <w:szCs w:val="21"/>
              </w:rPr>
              <w:t>为减少平台运维难度，须提供可在线查看的常见运维指南及常见排障指南，相关信息及文档须有公开链接，无需身份验证即可查看。</w:t>
            </w:r>
          </w:p>
        </w:tc>
      </w:tr>
      <w:tr w14:paraId="6DC3B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49294BFE">
            <w:pPr>
              <w:widowControl/>
              <w:spacing w:line="360" w:lineRule="auto"/>
              <w:jc w:val="left"/>
              <w:rPr>
                <w:rFonts w:cs="宋体" w:eastAsiaTheme="minorHAnsi"/>
                <w:kern w:val="0"/>
                <w:szCs w:val="21"/>
              </w:rPr>
            </w:pPr>
          </w:p>
        </w:tc>
        <w:tc>
          <w:tcPr>
            <w:tcW w:w="9351" w:type="dxa"/>
            <w:shd w:val="clear" w:color="auto" w:fill="auto"/>
            <w:vAlign w:val="center"/>
          </w:tcPr>
          <w:p w14:paraId="505526F0">
            <w:pPr>
              <w:widowControl/>
              <w:spacing w:line="360" w:lineRule="auto"/>
              <w:jc w:val="left"/>
              <w:rPr>
                <w:rFonts w:cs="宋体" w:eastAsiaTheme="minorHAnsi"/>
                <w:kern w:val="0"/>
                <w:szCs w:val="21"/>
              </w:rPr>
            </w:pPr>
            <w:r>
              <w:rPr>
                <w:rFonts w:hint="eastAsia" w:cs="宋体" w:eastAsiaTheme="minorHAnsi"/>
                <w:kern w:val="0"/>
                <w:szCs w:val="21"/>
              </w:rPr>
              <w:t>▲云平台支持通过界面操作无缝接入校内统一身份认证系统，相应第三方用户将免密登录云平台，便捷使用云资源，支持添加AD/LDAP/OIDC/OAuth2/CAS等服务器。（提供技术支持材料）</w:t>
            </w:r>
          </w:p>
        </w:tc>
      </w:tr>
      <w:tr w14:paraId="234D2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07B53ED1">
            <w:pPr>
              <w:widowControl/>
              <w:spacing w:line="360" w:lineRule="auto"/>
              <w:jc w:val="left"/>
              <w:rPr>
                <w:rFonts w:cs="宋体" w:eastAsiaTheme="minorHAnsi"/>
                <w:kern w:val="0"/>
                <w:szCs w:val="21"/>
              </w:rPr>
            </w:pPr>
          </w:p>
        </w:tc>
        <w:tc>
          <w:tcPr>
            <w:tcW w:w="9351" w:type="dxa"/>
            <w:shd w:val="clear" w:color="auto" w:fill="auto"/>
            <w:vAlign w:val="center"/>
          </w:tcPr>
          <w:p w14:paraId="4F379B49">
            <w:pPr>
              <w:widowControl/>
              <w:spacing w:line="360" w:lineRule="auto"/>
              <w:jc w:val="left"/>
              <w:rPr>
                <w:rFonts w:cs="宋体" w:eastAsiaTheme="minorHAnsi"/>
                <w:kern w:val="0"/>
                <w:szCs w:val="21"/>
              </w:rPr>
            </w:pPr>
            <w:r>
              <w:rPr>
                <w:rFonts w:hint="eastAsia" w:cs="宋体" w:eastAsiaTheme="minorHAnsi"/>
                <w:kern w:val="0"/>
                <w:szCs w:val="21"/>
              </w:rPr>
              <w:t>云平台创建的虚拟机兼容适配现有市场上主流国内外操作系统，包括麒麟、统信、openEuler、openAnolis、深度、Windows、CentOS、RedHat、SUSE、Ubuntu、FreeBSD等。</w:t>
            </w:r>
          </w:p>
        </w:tc>
      </w:tr>
      <w:tr w14:paraId="6B55E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restart"/>
            <w:shd w:val="clear" w:color="auto" w:fill="auto"/>
            <w:vAlign w:val="center"/>
          </w:tcPr>
          <w:p w14:paraId="6184BC90">
            <w:pPr>
              <w:widowControl/>
              <w:spacing w:line="360" w:lineRule="auto"/>
              <w:jc w:val="center"/>
              <w:rPr>
                <w:rFonts w:cs="宋体" w:eastAsiaTheme="minorHAnsi"/>
                <w:kern w:val="0"/>
                <w:szCs w:val="21"/>
              </w:rPr>
            </w:pPr>
            <w:r>
              <w:rPr>
                <w:rFonts w:hint="eastAsia" w:cs="宋体" w:eastAsiaTheme="minorHAnsi"/>
                <w:kern w:val="0"/>
                <w:szCs w:val="21"/>
              </w:rPr>
              <w:t>便捷性</w:t>
            </w:r>
          </w:p>
        </w:tc>
        <w:tc>
          <w:tcPr>
            <w:tcW w:w="9351" w:type="dxa"/>
            <w:shd w:val="clear" w:color="auto" w:fill="auto"/>
            <w:vAlign w:val="center"/>
          </w:tcPr>
          <w:p w14:paraId="3C42D799">
            <w:pPr>
              <w:widowControl/>
              <w:spacing w:line="360" w:lineRule="auto"/>
              <w:jc w:val="left"/>
              <w:rPr>
                <w:rFonts w:cs="宋体" w:eastAsiaTheme="minorHAnsi"/>
                <w:kern w:val="0"/>
                <w:szCs w:val="21"/>
              </w:rPr>
            </w:pPr>
            <w:r>
              <w:rPr>
                <w:rFonts w:hint="eastAsia" w:cs="宋体" w:eastAsiaTheme="minorHAnsi"/>
                <w:kern w:val="0"/>
                <w:szCs w:val="21"/>
              </w:rPr>
              <w:t>云平台须支持一键扫描功能，对当前集群包括计算、存储、网络、安全等模块进行一次全方位扫描，评估当前集群环境健康度、故障诊断，替代人工逐项分析定位，并提供优化方案及优化路径。</w:t>
            </w:r>
          </w:p>
        </w:tc>
      </w:tr>
      <w:tr w14:paraId="59045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59D90F86">
            <w:pPr>
              <w:widowControl/>
              <w:spacing w:line="360" w:lineRule="auto"/>
              <w:jc w:val="left"/>
              <w:rPr>
                <w:rFonts w:cs="宋体" w:eastAsiaTheme="minorHAnsi"/>
                <w:kern w:val="0"/>
                <w:szCs w:val="21"/>
              </w:rPr>
            </w:pPr>
          </w:p>
        </w:tc>
        <w:tc>
          <w:tcPr>
            <w:tcW w:w="9351" w:type="dxa"/>
            <w:shd w:val="clear" w:color="auto" w:fill="auto"/>
            <w:vAlign w:val="center"/>
          </w:tcPr>
          <w:p w14:paraId="77357632">
            <w:pPr>
              <w:widowControl/>
              <w:spacing w:line="360" w:lineRule="auto"/>
              <w:jc w:val="left"/>
              <w:rPr>
                <w:rFonts w:cs="宋体" w:eastAsiaTheme="minorHAnsi"/>
                <w:kern w:val="0"/>
                <w:szCs w:val="21"/>
              </w:rPr>
            </w:pPr>
            <w:r>
              <w:rPr>
                <w:rFonts w:hint="eastAsia" w:cs="宋体" w:eastAsiaTheme="minorHAnsi"/>
                <w:kern w:val="0"/>
                <w:szCs w:val="21"/>
              </w:rPr>
              <w:t>为保证操作便捷性，云平台须支持任意界面打开内部搜索功能，可根据关键词搜索资源、功能入口、相关技术文档及操作实践手册等。</w:t>
            </w:r>
          </w:p>
        </w:tc>
      </w:tr>
      <w:tr w14:paraId="5A3A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16E27946">
            <w:pPr>
              <w:widowControl/>
              <w:spacing w:line="360" w:lineRule="auto"/>
              <w:jc w:val="left"/>
              <w:rPr>
                <w:rFonts w:cs="宋体" w:eastAsiaTheme="minorHAnsi"/>
                <w:kern w:val="0"/>
                <w:szCs w:val="21"/>
              </w:rPr>
            </w:pPr>
          </w:p>
        </w:tc>
        <w:tc>
          <w:tcPr>
            <w:tcW w:w="9351" w:type="dxa"/>
            <w:shd w:val="clear" w:color="auto" w:fill="auto"/>
            <w:vAlign w:val="center"/>
          </w:tcPr>
          <w:p w14:paraId="095342E8">
            <w:pPr>
              <w:widowControl/>
              <w:spacing w:line="360" w:lineRule="auto"/>
              <w:jc w:val="left"/>
              <w:rPr>
                <w:rFonts w:cs="宋体" w:eastAsiaTheme="minorHAnsi"/>
                <w:kern w:val="0"/>
                <w:szCs w:val="21"/>
              </w:rPr>
            </w:pPr>
            <w:r>
              <w:rPr>
                <w:rFonts w:hint="eastAsia" w:cs="宋体" w:eastAsiaTheme="minorHAnsi"/>
                <w:kern w:val="0"/>
                <w:szCs w:val="21"/>
              </w:rPr>
              <w:t>为简化升级操作和最小化升级带来的影响，平台须支持免费的一键式升级，升级过程对业务透明，不影响业务正常运行，保证业务连续性。</w:t>
            </w:r>
          </w:p>
        </w:tc>
      </w:tr>
      <w:tr w14:paraId="279C2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0FA3ABB8">
            <w:pPr>
              <w:widowControl/>
              <w:spacing w:line="360" w:lineRule="auto"/>
              <w:jc w:val="left"/>
              <w:rPr>
                <w:rFonts w:cs="宋体" w:eastAsiaTheme="minorHAnsi"/>
                <w:kern w:val="0"/>
                <w:szCs w:val="21"/>
              </w:rPr>
            </w:pPr>
          </w:p>
        </w:tc>
        <w:tc>
          <w:tcPr>
            <w:tcW w:w="9351" w:type="dxa"/>
            <w:shd w:val="clear" w:color="auto" w:fill="auto"/>
            <w:vAlign w:val="center"/>
          </w:tcPr>
          <w:p w14:paraId="14FF779B">
            <w:pPr>
              <w:widowControl/>
              <w:spacing w:line="360" w:lineRule="auto"/>
              <w:jc w:val="left"/>
              <w:rPr>
                <w:rFonts w:cs="宋体" w:eastAsiaTheme="minorHAnsi"/>
                <w:kern w:val="0"/>
                <w:szCs w:val="21"/>
              </w:rPr>
            </w:pPr>
            <w:r>
              <w:rPr>
                <w:rFonts w:hint="eastAsia" w:cs="宋体" w:eastAsiaTheme="minorHAnsi"/>
                <w:kern w:val="0"/>
                <w:szCs w:val="21"/>
              </w:rPr>
              <w:t>须支持在不中断业务的情况下，将新节点自动或手动加入现有集群中，无论何种副本个数都能够以1个节点为单位进行扩容，实现集群计算、存储和网络资源的无缝扩展。</w:t>
            </w:r>
          </w:p>
        </w:tc>
      </w:tr>
      <w:tr w14:paraId="5B274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restart"/>
            <w:shd w:val="clear" w:color="auto" w:fill="auto"/>
            <w:vAlign w:val="center"/>
          </w:tcPr>
          <w:p w14:paraId="2D739194">
            <w:pPr>
              <w:widowControl/>
              <w:spacing w:line="360" w:lineRule="auto"/>
              <w:jc w:val="center"/>
              <w:rPr>
                <w:rFonts w:cs="宋体" w:eastAsiaTheme="minorHAnsi"/>
                <w:kern w:val="0"/>
                <w:szCs w:val="21"/>
              </w:rPr>
            </w:pPr>
            <w:r>
              <w:rPr>
                <w:rFonts w:hint="eastAsia" w:cs="宋体" w:eastAsiaTheme="minorHAnsi"/>
                <w:kern w:val="0"/>
                <w:szCs w:val="21"/>
              </w:rPr>
              <w:t>计算虚拟化</w:t>
            </w:r>
          </w:p>
        </w:tc>
        <w:tc>
          <w:tcPr>
            <w:tcW w:w="9351" w:type="dxa"/>
            <w:shd w:val="clear" w:color="auto" w:fill="auto"/>
            <w:vAlign w:val="center"/>
          </w:tcPr>
          <w:p w14:paraId="45A4B7AD">
            <w:pPr>
              <w:widowControl/>
              <w:spacing w:line="360" w:lineRule="auto"/>
              <w:jc w:val="left"/>
              <w:rPr>
                <w:rFonts w:cs="宋体" w:eastAsiaTheme="minorHAnsi"/>
                <w:kern w:val="0"/>
                <w:szCs w:val="21"/>
              </w:rPr>
            </w:pPr>
            <w:r>
              <w:rPr>
                <w:rFonts w:hint="eastAsia" w:cs="宋体" w:eastAsiaTheme="minorHAnsi"/>
                <w:kern w:val="0"/>
                <w:szCs w:val="21"/>
              </w:rPr>
              <w:t>云平台须支持虚拟机高可用，当出现物理机故障时，其上运行的虚拟机会自动疏散至其他正常的物理机并运行，保障业务的连续性。</w:t>
            </w:r>
          </w:p>
        </w:tc>
      </w:tr>
      <w:tr w14:paraId="39189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0D68BF18">
            <w:pPr>
              <w:widowControl/>
              <w:spacing w:line="360" w:lineRule="auto"/>
              <w:jc w:val="left"/>
              <w:rPr>
                <w:rFonts w:cs="宋体" w:eastAsiaTheme="minorHAnsi"/>
                <w:kern w:val="0"/>
                <w:szCs w:val="21"/>
              </w:rPr>
            </w:pPr>
          </w:p>
        </w:tc>
        <w:tc>
          <w:tcPr>
            <w:tcW w:w="9351" w:type="dxa"/>
            <w:shd w:val="clear" w:color="auto" w:fill="auto"/>
            <w:vAlign w:val="center"/>
          </w:tcPr>
          <w:p w14:paraId="0677B2F2">
            <w:pPr>
              <w:widowControl/>
              <w:spacing w:line="360" w:lineRule="auto"/>
              <w:jc w:val="left"/>
              <w:rPr>
                <w:rFonts w:cs="宋体" w:eastAsiaTheme="minorHAnsi"/>
                <w:kern w:val="0"/>
                <w:szCs w:val="21"/>
              </w:rPr>
            </w:pPr>
            <w:r>
              <w:rPr>
                <w:rFonts w:hint="eastAsia" w:cs="宋体" w:eastAsiaTheme="minorHAnsi"/>
                <w:kern w:val="0"/>
                <w:szCs w:val="21"/>
              </w:rPr>
              <w:t>云平台须支持统一的虚拟机管理界面，在同一界面上提供虚拟机修改配置、关机、重启、停止、关闭电源、标签绑定、硬盘加载/卸载、SSH密钥、网卡加载/卸载、制作镜像模板、创建备份（灵活可选主机及其挂载的硬盘）、报警策略等功能。</w:t>
            </w:r>
          </w:p>
        </w:tc>
      </w:tr>
      <w:tr w14:paraId="0A318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0033B3AB">
            <w:pPr>
              <w:widowControl/>
              <w:spacing w:line="360" w:lineRule="auto"/>
              <w:jc w:val="left"/>
              <w:rPr>
                <w:rFonts w:cs="宋体" w:eastAsiaTheme="minorHAnsi"/>
                <w:kern w:val="0"/>
                <w:szCs w:val="21"/>
              </w:rPr>
            </w:pPr>
          </w:p>
        </w:tc>
        <w:tc>
          <w:tcPr>
            <w:tcW w:w="9351" w:type="dxa"/>
            <w:shd w:val="clear" w:color="auto" w:fill="auto"/>
            <w:vAlign w:val="center"/>
          </w:tcPr>
          <w:p w14:paraId="5A8061B7">
            <w:pPr>
              <w:widowControl/>
              <w:spacing w:line="360" w:lineRule="auto"/>
              <w:jc w:val="left"/>
              <w:rPr>
                <w:rFonts w:cs="宋体" w:eastAsiaTheme="minorHAnsi"/>
                <w:kern w:val="0"/>
                <w:szCs w:val="21"/>
              </w:rPr>
            </w:pPr>
            <w:r>
              <w:rPr>
                <w:rFonts w:hint="eastAsia" w:cs="宋体" w:eastAsiaTheme="minorHAnsi"/>
                <w:kern w:val="0"/>
                <w:szCs w:val="21"/>
              </w:rPr>
              <w:t>云平台须支持虚拟机回收站功能，防止因虚拟机误删除导致数据丢失，支持设置回收站文件保存周期，超期的文件将被自动删除，支持批量销毁或还原虚拟机。</w:t>
            </w:r>
          </w:p>
        </w:tc>
      </w:tr>
      <w:tr w14:paraId="49B1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28C6FE01">
            <w:pPr>
              <w:widowControl/>
              <w:spacing w:line="360" w:lineRule="auto"/>
              <w:jc w:val="left"/>
              <w:rPr>
                <w:rFonts w:cs="宋体" w:eastAsiaTheme="minorHAnsi"/>
                <w:kern w:val="0"/>
                <w:szCs w:val="21"/>
              </w:rPr>
            </w:pPr>
          </w:p>
        </w:tc>
        <w:tc>
          <w:tcPr>
            <w:tcW w:w="9351" w:type="dxa"/>
            <w:shd w:val="clear" w:color="auto" w:fill="auto"/>
            <w:vAlign w:val="center"/>
          </w:tcPr>
          <w:p w14:paraId="750B3305">
            <w:pPr>
              <w:widowControl/>
              <w:spacing w:line="360" w:lineRule="auto"/>
              <w:jc w:val="left"/>
              <w:rPr>
                <w:rFonts w:cs="宋体" w:eastAsiaTheme="minorHAnsi"/>
                <w:kern w:val="0"/>
                <w:szCs w:val="21"/>
              </w:rPr>
            </w:pPr>
            <w:r>
              <w:rPr>
                <w:rFonts w:hint="eastAsia" w:cs="宋体" w:eastAsiaTheme="minorHAnsi"/>
                <w:kern w:val="0"/>
                <w:szCs w:val="21"/>
              </w:rPr>
              <w:t>云平台须支持并提供iso、raw、qcow2、vmdk、ovf等格式的镜像或模板导入功能，同时支持导出OVA格式虚拟机。</w:t>
            </w:r>
          </w:p>
        </w:tc>
      </w:tr>
      <w:tr w14:paraId="33FD0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2CE52BD8">
            <w:pPr>
              <w:widowControl/>
              <w:spacing w:line="360" w:lineRule="auto"/>
              <w:jc w:val="left"/>
              <w:rPr>
                <w:rFonts w:cs="宋体" w:eastAsiaTheme="minorHAnsi"/>
                <w:kern w:val="0"/>
                <w:szCs w:val="21"/>
              </w:rPr>
            </w:pPr>
          </w:p>
        </w:tc>
        <w:tc>
          <w:tcPr>
            <w:tcW w:w="9351" w:type="dxa"/>
            <w:shd w:val="clear" w:color="auto" w:fill="auto"/>
            <w:vAlign w:val="center"/>
          </w:tcPr>
          <w:p w14:paraId="6ECFC672">
            <w:pPr>
              <w:widowControl/>
              <w:spacing w:line="360" w:lineRule="auto"/>
              <w:jc w:val="left"/>
              <w:rPr>
                <w:rFonts w:cs="宋体" w:eastAsiaTheme="minorHAnsi"/>
                <w:kern w:val="0"/>
                <w:szCs w:val="21"/>
              </w:rPr>
            </w:pPr>
            <w:r>
              <w:rPr>
                <w:rFonts w:hint="eastAsia" w:cs="宋体" w:eastAsiaTheme="minorHAnsi"/>
                <w:kern w:val="0"/>
                <w:szCs w:val="21"/>
              </w:rPr>
              <w:t>为满足虚拟化不同场景接入模式，云平台须支持并提供SPICE、VNC、SPICE+VNC三种模式的控制台，SPICE协议可新增SSL加密通道。</w:t>
            </w:r>
          </w:p>
        </w:tc>
      </w:tr>
      <w:tr w14:paraId="4BECF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0C07DB95">
            <w:pPr>
              <w:widowControl/>
              <w:spacing w:line="360" w:lineRule="auto"/>
              <w:jc w:val="left"/>
              <w:rPr>
                <w:rFonts w:cs="宋体" w:eastAsiaTheme="minorHAnsi"/>
                <w:kern w:val="0"/>
                <w:szCs w:val="21"/>
              </w:rPr>
            </w:pPr>
          </w:p>
        </w:tc>
        <w:tc>
          <w:tcPr>
            <w:tcW w:w="9351" w:type="dxa"/>
            <w:shd w:val="clear" w:color="auto" w:fill="auto"/>
            <w:vAlign w:val="center"/>
          </w:tcPr>
          <w:p w14:paraId="247F8A65">
            <w:pPr>
              <w:widowControl/>
              <w:spacing w:line="360" w:lineRule="auto"/>
              <w:jc w:val="left"/>
              <w:rPr>
                <w:rFonts w:cs="宋体" w:eastAsiaTheme="minorHAnsi"/>
                <w:kern w:val="0"/>
                <w:szCs w:val="21"/>
              </w:rPr>
            </w:pPr>
            <w:r>
              <w:rPr>
                <w:rFonts w:hint="eastAsia" w:cs="宋体" w:eastAsiaTheme="minorHAnsi"/>
                <w:kern w:val="0"/>
                <w:szCs w:val="21"/>
              </w:rPr>
              <w:t>云平台须同时支持并提供虚拟机的关机/开机快照功能，支持设置快照将虚拟机磁盘文件信息保存到镜像文件中，快照需要支持磁盘级快照和内存级快照。</w:t>
            </w:r>
          </w:p>
        </w:tc>
      </w:tr>
      <w:tr w14:paraId="328D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276" w:type="dxa"/>
            <w:vMerge w:val="continue"/>
            <w:vAlign w:val="center"/>
          </w:tcPr>
          <w:p w14:paraId="5E01CF65">
            <w:pPr>
              <w:widowControl/>
              <w:spacing w:line="360" w:lineRule="auto"/>
              <w:jc w:val="left"/>
              <w:rPr>
                <w:rFonts w:cs="宋体" w:eastAsiaTheme="minorHAnsi"/>
                <w:kern w:val="0"/>
                <w:szCs w:val="21"/>
              </w:rPr>
            </w:pPr>
          </w:p>
        </w:tc>
        <w:tc>
          <w:tcPr>
            <w:tcW w:w="9351" w:type="dxa"/>
            <w:shd w:val="clear" w:color="auto" w:fill="auto"/>
            <w:vAlign w:val="center"/>
          </w:tcPr>
          <w:p w14:paraId="067E3395">
            <w:pPr>
              <w:widowControl/>
              <w:spacing w:line="360" w:lineRule="auto"/>
              <w:jc w:val="left"/>
              <w:rPr>
                <w:rFonts w:cs="宋体" w:eastAsiaTheme="minorHAnsi"/>
                <w:kern w:val="0"/>
                <w:szCs w:val="21"/>
              </w:rPr>
            </w:pPr>
            <w:r>
              <w:rPr>
                <w:rFonts w:hint="eastAsia" w:cs="宋体" w:eastAsiaTheme="minorHAnsi"/>
                <w:kern w:val="0"/>
                <w:szCs w:val="21"/>
              </w:rPr>
              <w:t>支持云主机弹性伸缩功能，根据对云主机CPU使用率、内存使用率进行监控，按照既定策略动态增加或减少弹性伸缩组内的云主机数量；支持对弹性伸缩组内的云主机进行健康检查，自动隔离故障云主机并创建新的云主机，确保组内健康云主机数不低于设置的最小值，每次触发弹性伸缩策略后进行消息通知，支持查看伸缩记录。</w:t>
            </w:r>
          </w:p>
        </w:tc>
      </w:tr>
      <w:tr w14:paraId="0D66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79519CBF">
            <w:pPr>
              <w:widowControl/>
              <w:spacing w:line="360" w:lineRule="auto"/>
              <w:jc w:val="left"/>
              <w:rPr>
                <w:rFonts w:cs="宋体" w:eastAsiaTheme="minorHAnsi"/>
                <w:kern w:val="0"/>
                <w:szCs w:val="21"/>
              </w:rPr>
            </w:pPr>
          </w:p>
        </w:tc>
        <w:tc>
          <w:tcPr>
            <w:tcW w:w="9351" w:type="dxa"/>
            <w:shd w:val="clear" w:color="auto" w:fill="auto"/>
            <w:vAlign w:val="center"/>
          </w:tcPr>
          <w:p w14:paraId="4AF75435">
            <w:pPr>
              <w:widowControl/>
              <w:spacing w:line="360" w:lineRule="auto"/>
              <w:jc w:val="left"/>
              <w:rPr>
                <w:rFonts w:cs="宋体" w:eastAsiaTheme="minorHAnsi"/>
                <w:kern w:val="0"/>
                <w:szCs w:val="21"/>
              </w:rPr>
            </w:pPr>
            <w:r>
              <w:rPr>
                <w:rFonts w:hint="eastAsia" w:cs="宋体" w:eastAsiaTheme="minorHAnsi"/>
                <w:kern w:val="0"/>
                <w:szCs w:val="21"/>
              </w:rPr>
              <w:t>▲同时支持主流GPU设备的直通和虚拟化，通过全图形化界面操作能够将GPU设备或vGPU设备加载到云主机中（提供技术支持材料）。</w:t>
            </w:r>
          </w:p>
        </w:tc>
      </w:tr>
      <w:tr w14:paraId="3ADC2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271DB29A">
            <w:pPr>
              <w:widowControl/>
              <w:spacing w:line="360" w:lineRule="auto"/>
              <w:jc w:val="left"/>
              <w:rPr>
                <w:rFonts w:cs="宋体" w:eastAsiaTheme="minorHAnsi"/>
                <w:kern w:val="0"/>
                <w:szCs w:val="21"/>
              </w:rPr>
            </w:pPr>
          </w:p>
        </w:tc>
        <w:tc>
          <w:tcPr>
            <w:tcW w:w="9351" w:type="dxa"/>
            <w:shd w:val="clear" w:color="auto" w:fill="auto"/>
            <w:vAlign w:val="center"/>
          </w:tcPr>
          <w:p w14:paraId="395988A6">
            <w:pPr>
              <w:widowControl/>
              <w:spacing w:line="360" w:lineRule="auto"/>
              <w:jc w:val="left"/>
              <w:rPr>
                <w:rFonts w:cs="宋体" w:eastAsiaTheme="minorHAnsi"/>
                <w:kern w:val="0"/>
                <w:szCs w:val="21"/>
              </w:rPr>
            </w:pPr>
            <w:r>
              <w:rPr>
                <w:rFonts w:hint="eastAsia" w:cs="宋体" w:eastAsiaTheme="minorHAnsi"/>
                <w:color w:val="000000"/>
                <w:kern w:val="0"/>
                <w:szCs w:val="21"/>
              </w:rPr>
              <w:t>▲支持G</w:t>
            </w:r>
            <w:r>
              <w:rPr>
                <w:rFonts w:cs="宋体" w:eastAsiaTheme="minorHAnsi"/>
                <w:color w:val="000000"/>
                <w:kern w:val="0"/>
                <w:szCs w:val="21"/>
              </w:rPr>
              <w:t>PU</w:t>
            </w:r>
            <w:r>
              <w:rPr>
                <w:rFonts w:hint="eastAsia" w:cs="宋体" w:eastAsiaTheme="minorHAnsi"/>
                <w:color w:val="000000"/>
                <w:kern w:val="0"/>
                <w:szCs w:val="21"/>
              </w:rPr>
              <w:t>规格功能，可</w:t>
            </w:r>
            <w:r>
              <w:rPr>
                <w:rFonts w:cs="宋体" w:eastAsiaTheme="minorHAnsi"/>
                <w:color w:val="000000"/>
                <w:kern w:val="0"/>
                <w:szCs w:val="21"/>
              </w:rPr>
              <w:t>定义</w:t>
            </w:r>
            <w:r>
              <w:rPr>
                <w:rFonts w:hint="eastAsia" w:cs="宋体" w:eastAsiaTheme="minorHAnsi"/>
                <w:color w:val="000000"/>
                <w:kern w:val="0"/>
                <w:szCs w:val="21"/>
              </w:rPr>
              <w:t>物理</w:t>
            </w:r>
            <w:r>
              <w:rPr>
                <w:rFonts w:cs="宋体" w:eastAsiaTheme="minorHAnsi"/>
                <w:color w:val="000000"/>
                <w:kern w:val="0"/>
                <w:szCs w:val="21"/>
              </w:rPr>
              <w:t>GPU设备或vGPU设备涉及的GPU帧数、显存、分辨率等规格</w:t>
            </w:r>
            <w:r>
              <w:rPr>
                <w:rFonts w:hint="eastAsia" w:cs="宋体" w:eastAsiaTheme="minorHAnsi"/>
                <w:color w:val="000000"/>
                <w:kern w:val="0"/>
                <w:szCs w:val="21"/>
              </w:rPr>
              <w:t>，支持为物理</w:t>
            </w:r>
            <w:r>
              <w:rPr>
                <w:rFonts w:cs="宋体" w:eastAsiaTheme="minorHAnsi"/>
                <w:color w:val="000000"/>
                <w:kern w:val="0"/>
                <w:szCs w:val="21"/>
              </w:rPr>
              <w:t>GPU规格设置ROM</w:t>
            </w:r>
            <w:r>
              <w:rPr>
                <w:rFonts w:hint="eastAsia" w:cs="宋体" w:eastAsiaTheme="minorHAnsi"/>
                <w:color w:val="000000"/>
                <w:kern w:val="0"/>
                <w:szCs w:val="21"/>
              </w:rPr>
              <w:t>，以及设置G</w:t>
            </w:r>
            <w:r>
              <w:rPr>
                <w:rFonts w:cs="宋体" w:eastAsiaTheme="minorHAnsi"/>
                <w:color w:val="000000"/>
                <w:kern w:val="0"/>
                <w:szCs w:val="21"/>
              </w:rPr>
              <w:t>PU/</w:t>
            </w:r>
            <w:r>
              <w:rPr>
                <w:rFonts w:hint="eastAsia" w:cs="宋体" w:eastAsiaTheme="minorHAnsi"/>
                <w:color w:val="000000"/>
                <w:kern w:val="0"/>
                <w:szCs w:val="21"/>
              </w:rPr>
              <w:t>v</w:t>
            </w:r>
            <w:r>
              <w:rPr>
                <w:rFonts w:cs="宋体" w:eastAsiaTheme="minorHAnsi"/>
                <w:color w:val="000000"/>
                <w:kern w:val="0"/>
                <w:szCs w:val="21"/>
              </w:rPr>
              <w:t>GPU</w:t>
            </w:r>
            <w:r>
              <w:rPr>
                <w:rFonts w:hint="eastAsia" w:cs="宋体" w:eastAsiaTheme="minorHAnsi"/>
                <w:color w:val="000000"/>
                <w:kern w:val="0"/>
                <w:szCs w:val="21"/>
              </w:rPr>
              <w:t>资源的共享模式，可共享给所有或指定的项目和账户使用（提供技术支持材料）。</w:t>
            </w:r>
          </w:p>
        </w:tc>
      </w:tr>
      <w:tr w14:paraId="7941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2AA390C7">
            <w:pPr>
              <w:widowControl/>
              <w:spacing w:line="360" w:lineRule="auto"/>
              <w:jc w:val="left"/>
              <w:rPr>
                <w:rFonts w:cs="宋体" w:eastAsiaTheme="minorHAnsi"/>
                <w:kern w:val="0"/>
                <w:szCs w:val="21"/>
              </w:rPr>
            </w:pPr>
          </w:p>
        </w:tc>
        <w:tc>
          <w:tcPr>
            <w:tcW w:w="9351" w:type="dxa"/>
            <w:shd w:val="clear" w:color="auto" w:fill="auto"/>
            <w:vAlign w:val="center"/>
          </w:tcPr>
          <w:p w14:paraId="5FF5F191">
            <w:pPr>
              <w:widowControl/>
              <w:spacing w:line="360" w:lineRule="auto"/>
              <w:jc w:val="left"/>
              <w:rPr>
                <w:rFonts w:cs="宋体" w:eastAsiaTheme="minorHAnsi"/>
                <w:kern w:val="0"/>
                <w:szCs w:val="21"/>
              </w:rPr>
            </w:pPr>
            <w:r>
              <w:rPr>
                <w:rFonts w:hint="eastAsia" w:cs="宋体" w:eastAsiaTheme="minorHAnsi"/>
                <w:color w:val="000000"/>
                <w:kern w:val="0"/>
                <w:szCs w:val="21"/>
              </w:rPr>
              <w:t>▲支持指定规格或指定设备方式为云主机加载</w:t>
            </w:r>
            <w:r>
              <w:rPr>
                <w:rFonts w:cs="宋体" w:eastAsiaTheme="minorHAnsi"/>
                <w:color w:val="000000"/>
                <w:kern w:val="0"/>
                <w:szCs w:val="21"/>
              </w:rPr>
              <w:t>GPU设备（物理GPU、vGPU）</w:t>
            </w:r>
            <w:r>
              <w:rPr>
                <w:rFonts w:hint="eastAsia" w:cs="宋体" w:eastAsiaTheme="minorHAnsi"/>
                <w:color w:val="000000"/>
                <w:kern w:val="0"/>
                <w:szCs w:val="21"/>
              </w:rPr>
              <w:t>，创建云主机时，可按照所选规格分配</w:t>
            </w:r>
            <w:r>
              <w:rPr>
                <w:rFonts w:cs="宋体" w:eastAsiaTheme="minorHAnsi"/>
                <w:color w:val="000000"/>
                <w:kern w:val="0"/>
                <w:szCs w:val="21"/>
              </w:rPr>
              <w:t>GPU设备</w:t>
            </w:r>
            <w:r>
              <w:rPr>
                <w:rFonts w:hint="eastAsia" w:cs="宋体" w:eastAsiaTheme="minorHAnsi"/>
                <w:color w:val="000000"/>
                <w:kern w:val="0"/>
                <w:szCs w:val="21"/>
              </w:rPr>
              <w:t>，可设置</w:t>
            </w:r>
            <w:r>
              <w:rPr>
                <w:rFonts w:cs="宋体" w:eastAsiaTheme="minorHAnsi"/>
                <w:color w:val="000000"/>
                <w:kern w:val="0"/>
                <w:szCs w:val="21"/>
              </w:rPr>
              <w:t>关机自动卸载</w:t>
            </w:r>
            <w:r>
              <w:rPr>
                <w:rFonts w:hint="eastAsia" w:cs="宋体" w:eastAsiaTheme="minorHAnsi"/>
                <w:color w:val="000000"/>
                <w:kern w:val="0"/>
                <w:szCs w:val="21"/>
              </w:rPr>
              <w:t>G</w:t>
            </w:r>
            <w:r>
              <w:rPr>
                <w:rFonts w:cs="宋体" w:eastAsiaTheme="minorHAnsi"/>
                <w:color w:val="000000"/>
                <w:kern w:val="0"/>
                <w:szCs w:val="21"/>
              </w:rPr>
              <w:t>PU设备</w:t>
            </w:r>
            <w:r>
              <w:rPr>
                <w:rFonts w:hint="eastAsia" w:cs="宋体" w:eastAsiaTheme="minorHAnsi"/>
                <w:color w:val="000000"/>
                <w:kern w:val="0"/>
                <w:szCs w:val="21"/>
              </w:rPr>
              <w:t>，最大化利用G</w:t>
            </w:r>
            <w:r>
              <w:rPr>
                <w:rFonts w:cs="宋体" w:eastAsiaTheme="minorHAnsi"/>
                <w:color w:val="000000"/>
                <w:kern w:val="0"/>
                <w:szCs w:val="21"/>
              </w:rPr>
              <w:t>PU</w:t>
            </w:r>
            <w:r>
              <w:rPr>
                <w:rFonts w:hint="eastAsia" w:cs="宋体" w:eastAsiaTheme="minorHAnsi"/>
                <w:color w:val="000000"/>
                <w:kern w:val="0"/>
                <w:szCs w:val="21"/>
              </w:rPr>
              <w:t>资源（提供技术支持材料）。</w:t>
            </w:r>
          </w:p>
        </w:tc>
      </w:tr>
      <w:tr w14:paraId="0F423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restart"/>
            <w:shd w:val="clear" w:color="auto" w:fill="auto"/>
            <w:vAlign w:val="center"/>
          </w:tcPr>
          <w:p w14:paraId="53B24AFC">
            <w:pPr>
              <w:widowControl/>
              <w:spacing w:line="360" w:lineRule="auto"/>
              <w:jc w:val="center"/>
              <w:rPr>
                <w:rFonts w:cs="宋体" w:eastAsiaTheme="minorHAnsi"/>
                <w:kern w:val="0"/>
                <w:szCs w:val="21"/>
              </w:rPr>
            </w:pPr>
            <w:r>
              <w:rPr>
                <w:rFonts w:hint="eastAsia" w:cs="宋体" w:eastAsiaTheme="minorHAnsi"/>
                <w:kern w:val="0"/>
                <w:szCs w:val="21"/>
              </w:rPr>
              <w:t>网络虚拟化</w:t>
            </w:r>
          </w:p>
        </w:tc>
        <w:tc>
          <w:tcPr>
            <w:tcW w:w="9351" w:type="dxa"/>
            <w:shd w:val="clear" w:color="auto" w:fill="auto"/>
            <w:vAlign w:val="center"/>
          </w:tcPr>
          <w:p w14:paraId="79F38BAC">
            <w:pPr>
              <w:widowControl/>
              <w:spacing w:line="360" w:lineRule="auto"/>
              <w:jc w:val="left"/>
              <w:rPr>
                <w:rFonts w:cs="宋体" w:eastAsiaTheme="minorHAnsi"/>
                <w:kern w:val="0"/>
                <w:szCs w:val="21"/>
              </w:rPr>
            </w:pPr>
            <w:r>
              <w:rPr>
                <w:rFonts w:hint="eastAsia" w:cs="宋体" w:eastAsiaTheme="minorHAnsi"/>
                <w:kern w:val="0"/>
                <w:szCs w:val="21"/>
              </w:rPr>
              <w:t>云平台须具备纯软SDN以及SDN控制器外接能力，支持扁平网络和VPC网络两种网络架构，不限制VPC路由器的使用数量，并且支持VPC路由器主备部署保证VPC网络稳定性。</w:t>
            </w:r>
          </w:p>
        </w:tc>
      </w:tr>
      <w:tr w14:paraId="29D6E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276" w:type="dxa"/>
            <w:vMerge w:val="continue"/>
            <w:vAlign w:val="center"/>
          </w:tcPr>
          <w:p w14:paraId="7A087ED2">
            <w:pPr>
              <w:widowControl/>
              <w:spacing w:line="360" w:lineRule="auto"/>
              <w:jc w:val="left"/>
              <w:rPr>
                <w:rFonts w:cs="宋体" w:eastAsiaTheme="minorHAnsi"/>
                <w:kern w:val="0"/>
                <w:szCs w:val="21"/>
              </w:rPr>
            </w:pPr>
          </w:p>
        </w:tc>
        <w:tc>
          <w:tcPr>
            <w:tcW w:w="9351" w:type="dxa"/>
            <w:shd w:val="clear" w:color="auto" w:fill="auto"/>
            <w:vAlign w:val="center"/>
          </w:tcPr>
          <w:p w14:paraId="32F63188">
            <w:pPr>
              <w:widowControl/>
              <w:spacing w:line="360" w:lineRule="auto"/>
              <w:jc w:val="left"/>
              <w:rPr>
                <w:rFonts w:cs="宋体" w:eastAsiaTheme="minorHAnsi"/>
                <w:kern w:val="0"/>
                <w:szCs w:val="21"/>
              </w:rPr>
            </w:pPr>
            <w:r>
              <w:rPr>
                <w:rFonts w:hint="eastAsia" w:cs="宋体" w:eastAsiaTheme="minorHAnsi"/>
                <w:kern w:val="0"/>
                <w:szCs w:val="21"/>
              </w:rPr>
              <w:t>▲云平台具备NFV能力，需要支持安全组、负载均衡、虚拟防火墙、端口转发、虚拟IP、端口镜像、Netflow、OSPF动态路由、IPsec VPN、组播路由、黑洞路由等网络功能，且不限制使用数量、带宽性能和吞吐速率。（提供技术支持材料）。</w:t>
            </w:r>
          </w:p>
        </w:tc>
      </w:tr>
      <w:tr w14:paraId="39291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1276" w:type="dxa"/>
            <w:vMerge w:val="continue"/>
            <w:vAlign w:val="center"/>
          </w:tcPr>
          <w:p w14:paraId="35C0D476">
            <w:pPr>
              <w:widowControl/>
              <w:spacing w:line="360" w:lineRule="auto"/>
              <w:jc w:val="left"/>
              <w:rPr>
                <w:rFonts w:cs="宋体" w:eastAsiaTheme="minorHAnsi"/>
                <w:kern w:val="0"/>
                <w:szCs w:val="21"/>
              </w:rPr>
            </w:pPr>
          </w:p>
        </w:tc>
        <w:tc>
          <w:tcPr>
            <w:tcW w:w="9351" w:type="dxa"/>
            <w:shd w:val="clear" w:color="auto" w:fill="auto"/>
            <w:vAlign w:val="center"/>
          </w:tcPr>
          <w:p w14:paraId="41A384C4">
            <w:pPr>
              <w:widowControl/>
              <w:spacing w:line="360" w:lineRule="auto"/>
              <w:jc w:val="left"/>
              <w:rPr>
                <w:rFonts w:cs="宋体" w:eastAsiaTheme="minorHAnsi"/>
                <w:kern w:val="0"/>
                <w:szCs w:val="21"/>
              </w:rPr>
            </w:pPr>
            <w:r>
              <w:rPr>
                <w:rFonts w:hint="eastAsia" w:cs="宋体" w:eastAsiaTheme="minorHAnsi"/>
                <w:kern w:val="0"/>
                <w:szCs w:val="21"/>
              </w:rPr>
              <w:t>云平台须支持在任意三层网络中创建负载均衡器，通过流量分发扩展应用系统对内的服务能力；负载均衡器不限数量、吞吐速率、带宽性能；支持TCP/UDP/HTTP/HTTPS协议、轮询/最小链接/源地址哈希/加权轮询等不同算法的负载均衡服务，负载均衡器可以将公网地址的访问流量分发到一组后端的云主机上。</w:t>
            </w:r>
          </w:p>
        </w:tc>
      </w:tr>
      <w:tr w14:paraId="2EFDD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7902CF93">
            <w:pPr>
              <w:widowControl/>
              <w:spacing w:line="360" w:lineRule="auto"/>
              <w:jc w:val="left"/>
              <w:rPr>
                <w:rFonts w:cs="宋体" w:eastAsiaTheme="minorHAnsi"/>
                <w:kern w:val="0"/>
                <w:szCs w:val="21"/>
              </w:rPr>
            </w:pPr>
          </w:p>
        </w:tc>
        <w:tc>
          <w:tcPr>
            <w:tcW w:w="9351" w:type="dxa"/>
            <w:shd w:val="clear" w:color="auto" w:fill="auto"/>
            <w:vAlign w:val="center"/>
          </w:tcPr>
          <w:p w14:paraId="7BE22DA4">
            <w:pPr>
              <w:widowControl/>
              <w:spacing w:line="360" w:lineRule="auto"/>
              <w:jc w:val="left"/>
              <w:rPr>
                <w:rFonts w:cs="宋体" w:eastAsiaTheme="minorHAnsi"/>
                <w:kern w:val="0"/>
                <w:szCs w:val="21"/>
              </w:rPr>
            </w:pPr>
            <w:r>
              <w:rPr>
                <w:rFonts w:hint="eastAsia" w:cs="宋体" w:eastAsiaTheme="minorHAnsi"/>
                <w:kern w:val="0"/>
                <w:szCs w:val="21"/>
              </w:rPr>
              <w:t>为保障高并发业务的网络性能需求，云平台须支持在UI界面将物理网卡虚拟化切割成多张虚拟网卡直接给云主机使用。</w:t>
            </w:r>
          </w:p>
        </w:tc>
      </w:tr>
      <w:tr w14:paraId="6CA80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shd w:val="clear" w:color="auto" w:fill="auto"/>
            <w:vAlign w:val="center"/>
          </w:tcPr>
          <w:p w14:paraId="5ACE304E">
            <w:pPr>
              <w:widowControl/>
              <w:spacing w:line="360" w:lineRule="auto"/>
              <w:jc w:val="center"/>
              <w:rPr>
                <w:rFonts w:cs="宋体" w:eastAsiaTheme="minorHAnsi"/>
                <w:kern w:val="0"/>
                <w:szCs w:val="21"/>
              </w:rPr>
            </w:pPr>
            <w:r>
              <w:rPr>
                <w:rFonts w:hint="eastAsia" w:cs="宋体" w:eastAsiaTheme="minorHAnsi"/>
                <w:kern w:val="0"/>
                <w:szCs w:val="21"/>
              </w:rPr>
              <w:t>存储虚拟化</w:t>
            </w:r>
          </w:p>
        </w:tc>
        <w:tc>
          <w:tcPr>
            <w:tcW w:w="9351" w:type="dxa"/>
            <w:shd w:val="clear" w:color="auto" w:fill="auto"/>
            <w:vAlign w:val="center"/>
          </w:tcPr>
          <w:p w14:paraId="331FF934">
            <w:pPr>
              <w:widowControl/>
              <w:spacing w:line="360" w:lineRule="auto"/>
              <w:jc w:val="left"/>
              <w:rPr>
                <w:rFonts w:cs="宋体" w:eastAsiaTheme="minorHAnsi"/>
                <w:kern w:val="0"/>
                <w:szCs w:val="21"/>
              </w:rPr>
            </w:pPr>
            <w:r>
              <w:rPr>
                <w:rFonts w:hint="eastAsia" w:cs="宋体" w:eastAsiaTheme="minorHAnsi"/>
                <w:kern w:val="0"/>
                <w:szCs w:val="21"/>
              </w:rPr>
              <w:t>▲为保证平台架构的灵活性和扩展，平台应该支持FC-SAN、IP-SAN、本地存储、NFS、分布式存储等不同存储接口（提供技术支持材料）。</w:t>
            </w:r>
          </w:p>
        </w:tc>
      </w:tr>
      <w:tr w14:paraId="25775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restart"/>
            <w:shd w:val="clear" w:color="auto" w:fill="auto"/>
            <w:vAlign w:val="center"/>
          </w:tcPr>
          <w:p w14:paraId="10E91088">
            <w:pPr>
              <w:widowControl/>
              <w:spacing w:line="360" w:lineRule="auto"/>
              <w:jc w:val="center"/>
              <w:rPr>
                <w:rFonts w:cs="宋体" w:eastAsiaTheme="minorHAnsi"/>
                <w:kern w:val="0"/>
                <w:szCs w:val="21"/>
              </w:rPr>
            </w:pPr>
            <w:r>
              <w:rPr>
                <w:rFonts w:hint="eastAsia" w:cs="宋体" w:eastAsiaTheme="minorHAnsi"/>
                <w:kern w:val="0"/>
                <w:szCs w:val="21"/>
              </w:rPr>
              <w:t>运营运维管理</w:t>
            </w:r>
          </w:p>
        </w:tc>
        <w:tc>
          <w:tcPr>
            <w:tcW w:w="9351" w:type="dxa"/>
            <w:shd w:val="clear" w:color="auto" w:fill="auto"/>
            <w:vAlign w:val="center"/>
          </w:tcPr>
          <w:p w14:paraId="582BDAD7">
            <w:pPr>
              <w:widowControl/>
              <w:spacing w:line="360" w:lineRule="auto"/>
              <w:jc w:val="left"/>
              <w:rPr>
                <w:rFonts w:cs="宋体" w:eastAsiaTheme="minorHAnsi"/>
                <w:kern w:val="0"/>
                <w:szCs w:val="21"/>
              </w:rPr>
            </w:pPr>
            <w:r>
              <w:rPr>
                <w:rFonts w:hint="eastAsia" w:cs="宋体" w:eastAsiaTheme="minorHAnsi"/>
                <w:kern w:val="0"/>
                <w:szCs w:val="21"/>
              </w:rPr>
              <w:t>为方便跨区域管理，云平台须支持并配置镜像同步功能，能够在同一管理节点下将一个或多个镜像仓库中的镜像同步至指定镜像仓库，满足区域间的镜像同步需求。</w:t>
            </w:r>
          </w:p>
        </w:tc>
      </w:tr>
      <w:tr w14:paraId="0A505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6E08AEF8">
            <w:pPr>
              <w:widowControl/>
              <w:spacing w:line="360" w:lineRule="auto"/>
              <w:jc w:val="left"/>
              <w:rPr>
                <w:rFonts w:cs="宋体" w:eastAsiaTheme="minorHAnsi"/>
                <w:kern w:val="0"/>
                <w:szCs w:val="21"/>
              </w:rPr>
            </w:pPr>
          </w:p>
        </w:tc>
        <w:tc>
          <w:tcPr>
            <w:tcW w:w="9351" w:type="dxa"/>
            <w:shd w:val="clear" w:color="auto" w:fill="auto"/>
            <w:vAlign w:val="center"/>
          </w:tcPr>
          <w:p w14:paraId="5E2D48D8">
            <w:pPr>
              <w:widowControl/>
              <w:spacing w:line="360" w:lineRule="auto"/>
              <w:jc w:val="left"/>
              <w:rPr>
                <w:rFonts w:cs="宋体" w:eastAsiaTheme="minorHAnsi"/>
                <w:kern w:val="0"/>
                <w:szCs w:val="21"/>
              </w:rPr>
            </w:pPr>
            <w:r>
              <w:rPr>
                <w:rFonts w:hint="eastAsia" w:cs="宋体" w:eastAsiaTheme="minorHAnsi"/>
                <w:kern w:val="0"/>
                <w:szCs w:val="21"/>
              </w:rPr>
              <w:t>云平台须支持应用中心，可自定义添加各种类型的第三方应用入口，包括存储、数据库、安全，以及各类IaaS、PaaS、SaaS服务。</w:t>
            </w:r>
          </w:p>
        </w:tc>
      </w:tr>
      <w:tr w14:paraId="008FC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276" w:type="dxa"/>
            <w:vMerge w:val="continue"/>
            <w:vAlign w:val="center"/>
          </w:tcPr>
          <w:p w14:paraId="482F8C82">
            <w:pPr>
              <w:widowControl/>
              <w:spacing w:line="360" w:lineRule="auto"/>
              <w:jc w:val="left"/>
              <w:rPr>
                <w:rFonts w:cs="宋体" w:eastAsiaTheme="minorHAnsi"/>
                <w:kern w:val="0"/>
                <w:szCs w:val="21"/>
              </w:rPr>
            </w:pPr>
          </w:p>
        </w:tc>
        <w:tc>
          <w:tcPr>
            <w:tcW w:w="9351" w:type="dxa"/>
            <w:shd w:val="clear" w:color="auto" w:fill="auto"/>
            <w:vAlign w:val="center"/>
          </w:tcPr>
          <w:p w14:paraId="632E4166">
            <w:pPr>
              <w:widowControl/>
              <w:spacing w:line="360" w:lineRule="auto"/>
              <w:jc w:val="left"/>
              <w:rPr>
                <w:rFonts w:cs="宋体" w:eastAsiaTheme="minorHAnsi"/>
                <w:kern w:val="0"/>
                <w:szCs w:val="21"/>
              </w:rPr>
            </w:pPr>
            <w:r>
              <w:rPr>
                <w:rFonts w:hint="eastAsia" w:cs="宋体" w:eastAsiaTheme="minorHAnsi"/>
                <w:kern w:val="0"/>
                <w:szCs w:val="21"/>
              </w:rPr>
              <w:t>云平台须支持“所画即所得”功能，能够支持可视化方式和编排语言两种方式。通过资源栈模板，定义所需的云资源、资源间的依赖关系、资源配置等，可实现自动化批量部署和配置资源，轻松管理云资源生命周期，通过API和SDK集成自动化运维能力。</w:t>
            </w:r>
          </w:p>
        </w:tc>
      </w:tr>
      <w:tr w14:paraId="165F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27F7CC63">
            <w:pPr>
              <w:widowControl/>
              <w:spacing w:line="360" w:lineRule="auto"/>
              <w:jc w:val="left"/>
              <w:rPr>
                <w:rFonts w:cs="宋体" w:eastAsiaTheme="minorHAnsi"/>
                <w:kern w:val="0"/>
                <w:szCs w:val="21"/>
              </w:rPr>
            </w:pPr>
          </w:p>
        </w:tc>
        <w:tc>
          <w:tcPr>
            <w:tcW w:w="9351" w:type="dxa"/>
            <w:shd w:val="clear" w:color="auto" w:fill="auto"/>
            <w:vAlign w:val="center"/>
          </w:tcPr>
          <w:p w14:paraId="6868C522">
            <w:pPr>
              <w:widowControl/>
              <w:spacing w:line="360" w:lineRule="auto"/>
              <w:jc w:val="left"/>
              <w:rPr>
                <w:rFonts w:cs="宋体" w:eastAsiaTheme="minorHAnsi"/>
                <w:kern w:val="0"/>
                <w:szCs w:val="21"/>
              </w:rPr>
            </w:pPr>
            <w:r>
              <w:rPr>
                <w:rFonts w:hint="eastAsia" w:cs="宋体" w:eastAsiaTheme="minorHAnsi"/>
                <w:kern w:val="0"/>
                <w:szCs w:val="21"/>
              </w:rPr>
              <w:t>为保障及时有效的发现业务运行问题，云平台须支持从云主机内部获取监控数据，支持主流Linux/Windows以及国产操作系统云主机的内部负载实时监控，且支持自定义阈值、周期、次数、方式的自动报警功能。</w:t>
            </w:r>
          </w:p>
        </w:tc>
      </w:tr>
      <w:tr w14:paraId="5C1D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6E841388">
            <w:pPr>
              <w:widowControl/>
              <w:spacing w:line="360" w:lineRule="auto"/>
              <w:jc w:val="left"/>
              <w:rPr>
                <w:rFonts w:cs="宋体" w:eastAsiaTheme="minorHAnsi"/>
                <w:kern w:val="0"/>
                <w:szCs w:val="21"/>
              </w:rPr>
            </w:pPr>
          </w:p>
        </w:tc>
        <w:tc>
          <w:tcPr>
            <w:tcW w:w="9351" w:type="dxa"/>
            <w:shd w:val="clear" w:color="auto" w:fill="auto"/>
            <w:vAlign w:val="center"/>
          </w:tcPr>
          <w:p w14:paraId="5BEE32BA">
            <w:pPr>
              <w:widowControl/>
              <w:spacing w:line="360" w:lineRule="auto"/>
              <w:jc w:val="left"/>
              <w:rPr>
                <w:rFonts w:cs="宋体" w:eastAsiaTheme="minorHAnsi"/>
                <w:kern w:val="0"/>
                <w:szCs w:val="21"/>
              </w:rPr>
            </w:pPr>
            <w:r>
              <w:rPr>
                <w:rFonts w:hint="eastAsia" w:cs="宋体" w:eastAsiaTheme="minorHAnsi"/>
                <w:kern w:val="0"/>
                <w:szCs w:val="21"/>
              </w:rPr>
              <w:t>为提升资源利用率、减少硬件负载，云平台须支持动态资源调度（DRS），能够以集群为单位监控物理机CPU或内存负载情况，用户可按照调度建议手动迁移云主机或开启自动迁移云主机。</w:t>
            </w:r>
          </w:p>
        </w:tc>
      </w:tr>
      <w:tr w14:paraId="026B0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1276" w:type="dxa"/>
            <w:vMerge w:val="continue"/>
            <w:vAlign w:val="center"/>
          </w:tcPr>
          <w:p w14:paraId="5F9CD327">
            <w:pPr>
              <w:widowControl/>
              <w:spacing w:line="360" w:lineRule="auto"/>
              <w:jc w:val="left"/>
              <w:rPr>
                <w:rFonts w:cs="宋体" w:eastAsiaTheme="minorHAnsi"/>
                <w:kern w:val="0"/>
                <w:szCs w:val="21"/>
              </w:rPr>
            </w:pPr>
          </w:p>
        </w:tc>
        <w:tc>
          <w:tcPr>
            <w:tcW w:w="9351" w:type="dxa"/>
            <w:shd w:val="clear" w:color="auto" w:fill="auto"/>
            <w:vAlign w:val="center"/>
          </w:tcPr>
          <w:p w14:paraId="1E5D7555">
            <w:pPr>
              <w:widowControl/>
              <w:spacing w:line="360" w:lineRule="auto"/>
              <w:jc w:val="left"/>
              <w:rPr>
                <w:rFonts w:cs="宋体" w:eastAsiaTheme="minorHAnsi"/>
                <w:kern w:val="0"/>
                <w:szCs w:val="21"/>
              </w:rPr>
            </w:pPr>
            <w:r>
              <w:rPr>
                <w:rFonts w:hint="eastAsia" w:cs="宋体" w:eastAsiaTheme="minorHAnsi"/>
                <w:kern w:val="0"/>
                <w:szCs w:val="21"/>
              </w:rPr>
              <w:t>▲云平台支持多租户管理功能，内置在云平台中。支持自定义组织架构，须以架构树方式呈现；支持添加、删除部门，更改部门负责人、添加、删除成员操作；灵活匹配组织管理需求。支持自定义工单审批自定义，满足多级审批的需求。工单内容须支持：申请延长周期、更改云主机配置、删除云主机。（提供技术支持材料）。</w:t>
            </w:r>
          </w:p>
        </w:tc>
      </w:tr>
      <w:tr w14:paraId="1417D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continue"/>
            <w:vAlign w:val="center"/>
          </w:tcPr>
          <w:p w14:paraId="5E4C441D">
            <w:pPr>
              <w:widowControl/>
              <w:spacing w:line="360" w:lineRule="auto"/>
              <w:jc w:val="left"/>
              <w:rPr>
                <w:rFonts w:cs="宋体" w:eastAsiaTheme="minorHAnsi"/>
                <w:kern w:val="0"/>
                <w:szCs w:val="21"/>
              </w:rPr>
            </w:pPr>
          </w:p>
        </w:tc>
        <w:tc>
          <w:tcPr>
            <w:tcW w:w="9351" w:type="dxa"/>
            <w:shd w:val="clear" w:color="auto" w:fill="auto"/>
            <w:vAlign w:val="center"/>
          </w:tcPr>
          <w:p w14:paraId="2EDDF54A">
            <w:pPr>
              <w:widowControl/>
              <w:spacing w:line="360" w:lineRule="auto"/>
              <w:jc w:val="left"/>
              <w:rPr>
                <w:rFonts w:cs="宋体" w:eastAsiaTheme="minorHAnsi"/>
                <w:kern w:val="0"/>
                <w:szCs w:val="21"/>
              </w:rPr>
            </w:pPr>
            <w:r>
              <w:rPr>
                <w:rFonts w:hint="eastAsia" w:cs="宋体" w:eastAsiaTheme="minorHAnsi"/>
                <w:kern w:val="0"/>
                <w:szCs w:val="21"/>
              </w:rPr>
              <w:t>提供监控大屏，可全屏展示平台内物理资源、虚拟资源的使用情况和实时性能负载情况，大屏界面自动同步数据不需要手动刷新。</w:t>
            </w:r>
          </w:p>
        </w:tc>
      </w:tr>
      <w:tr w14:paraId="42B99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276" w:type="dxa"/>
            <w:vMerge w:val="continue"/>
            <w:vAlign w:val="center"/>
          </w:tcPr>
          <w:p w14:paraId="72F216C9">
            <w:pPr>
              <w:widowControl/>
              <w:spacing w:line="360" w:lineRule="auto"/>
              <w:jc w:val="left"/>
              <w:rPr>
                <w:rFonts w:cs="宋体" w:eastAsiaTheme="minorHAnsi"/>
                <w:kern w:val="0"/>
                <w:szCs w:val="21"/>
              </w:rPr>
            </w:pPr>
          </w:p>
        </w:tc>
        <w:tc>
          <w:tcPr>
            <w:tcW w:w="9351" w:type="dxa"/>
            <w:shd w:val="clear" w:color="auto" w:fill="auto"/>
            <w:vAlign w:val="center"/>
          </w:tcPr>
          <w:p w14:paraId="4C611042">
            <w:pPr>
              <w:widowControl/>
              <w:spacing w:line="360" w:lineRule="auto"/>
              <w:jc w:val="left"/>
              <w:rPr>
                <w:rFonts w:cs="宋体" w:eastAsiaTheme="minorHAnsi"/>
                <w:kern w:val="0"/>
                <w:szCs w:val="21"/>
              </w:rPr>
            </w:pPr>
            <w:r>
              <w:rPr>
                <w:rFonts w:hint="eastAsia" w:cs="宋体" w:eastAsiaTheme="minorHAnsi"/>
                <w:kern w:val="0"/>
                <w:szCs w:val="21"/>
              </w:rPr>
              <w:t>为保证运维方便性，云平台须支持以按钮及API为细粒度的权限开关，支持个性化为不同用户分配管理角色，支持单独设置监控大屏角色。</w:t>
            </w:r>
          </w:p>
        </w:tc>
      </w:tr>
      <w:tr w14:paraId="35E62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1276" w:type="dxa"/>
            <w:vMerge w:val="continue"/>
            <w:vAlign w:val="center"/>
          </w:tcPr>
          <w:p w14:paraId="659EC448">
            <w:pPr>
              <w:widowControl/>
              <w:spacing w:line="360" w:lineRule="auto"/>
              <w:jc w:val="left"/>
              <w:rPr>
                <w:rFonts w:cs="宋体" w:eastAsiaTheme="minorHAnsi"/>
                <w:kern w:val="0"/>
                <w:szCs w:val="21"/>
              </w:rPr>
            </w:pPr>
          </w:p>
        </w:tc>
        <w:tc>
          <w:tcPr>
            <w:tcW w:w="9351" w:type="dxa"/>
            <w:shd w:val="clear" w:color="auto" w:fill="auto"/>
            <w:vAlign w:val="center"/>
          </w:tcPr>
          <w:p w14:paraId="16DCF66B">
            <w:pPr>
              <w:widowControl/>
              <w:spacing w:line="360" w:lineRule="auto"/>
              <w:jc w:val="left"/>
              <w:rPr>
                <w:rFonts w:cs="宋体" w:eastAsiaTheme="minorHAnsi"/>
                <w:kern w:val="0"/>
                <w:szCs w:val="21"/>
              </w:rPr>
            </w:pPr>
            <w:r>
              <w:rPr>
                <w:rFonts w:hint="eastAsia" w:cs="宋体" w:eastAsiaTheme="minorHAnsi"/>
                <w:kern w:val="0"/>
                <w:szCs w:val="21"/>
              </w:rPr>
              <w:t>云平台支持V2V迁移功能，支持将VMware环境中的指定云主机迁移至云平台中；支持迁移任务QoS，保证迁移任务的稳定性；支持压缩模式，有效压缩迁移数据存储，提高空间利用率；支持CentOS/RHEL/Windows/麒麟/统信等主流操作系统类型的虚拟机迁移。</w:t>
            </w:r>
          </w:p>
        </w:tc>
      </w:tr>
      <w:tr w14:paraId="0FFDC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76" w:type="dxa"/>
            <w:vMerge w:val="restart"/>
            <w:shd w:val="clear" w:color="auto" w:fill="auto"/>
            <w:vAlign w:val="center"/>
          </w:tcPr>
          <w:p w14:paraId="5A9E56B2">
            <w:pPr>
              <w:widowControl/>
              <w:spacing w:line="360" w:lineRule="auto"/>
              <w:jc w:val="center"/>
              <w:rPr>
                <w:rFonts w:cs="宋体" w:eastAsiaTheme="minorHAnsi"/>
                <w:kern w:val="0"/>
                <w:szCs w:val="21"/>
              </w:rPr>
            </w:pPr>
            <w:r>
              <w:rPr>
                <w:rFonts w:hint="eastAsia" w:cs="宋体" w:eastAsiaTheme="minorHAnsi"/>
                <w:kern w:val="0"/>
                <w:szCs w:val="21"/>
              </w:rPr>
              <w:t>产品资质</w:t>
            </w:r>
          </w:p>
        </w:tc>
        <w:tc>
          <w:tcPr>
            <w:tcW w:w="9351" w:type="dxa"/>
            <w:shd w:val="clear" w:color="auto" w:fill="auto"/>
            <w:vAlign w:val="center"/>
          </w:tcPr>
          <w:p w14:paraId="0770DDE8">
            <w:pPr>
              <w:widowControl/>
              <w:spacing w:line="360" w:lineRule="auto"/>
              <w:jc w:val="left"/>
              <w:rPr>
                <w:rFonts w:cs="宋体" w:eastAsiaTheme="minorHAnsi"/>
                <w:kern w:val="0"/>
                <w:szCs w:val="21"/>
              </w:rPr>
            </w:pPr>
            <w:r>
              <w:rPr>
                <w:rFonts w:hint="eastAsia" w:cs="宋体" w:eastAsiaTheme="minorHAnsi"/>
                <w:kern w:val="0"/>
                <w:szCs w:val="21"/>
              </w:rPr>
              <w:t>▲云平台通过中国信息通信研究院的可信云虚拟化云平台先进级认证。（提供技术支持材料）</w:t>
            </w:r>
          </w:p>
        </w:tc>
      </w:tr>
      <w:tr w14:paraId="4211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76" w:type="dxa"/>
            <w:vMerge w:val="continue"/>
            <w:vAlign w:val="center"/>
          </w:tcPr>
          <w:p w14:paraId="16EF4C19">
            <w:pPr>
              <w:widowControl/>
              <w:spacing w:line="360" w:lineRule="auto"/>
              <w:jc w:val="left"/>
              <w:rPr>
                <w:rFonts w:cs="宋体" w:eastAsiaTheme="minorHAnsi"/>
                <w:kern w:val="0"/>
                <w:szCs w:val="21"/>
              </w:rPr>
            </w:pPr>
          </w:p>
        </w:tc>
        <w:tc>
          <w:tcPr>
            <w:tcW w:w="9351" w:type="dxa"/>
            <w:shd w:val="clear" w:color="auto" w:fill="auto"/>
            <w:vAlign w:val="center"/>
          </w:tcPr>
          <w:p w14:paraId="75470EDB">
            <w:pPr>
              <w:widowControl/>
              <w:spacing w:line="360" w:lineRule="auto"/>
              <w:jc w:val="left"/>
              <w:rPr>
                <w:rFonts w:cs="宋体" w:eastAsiaTheme="minorHAnsi"/>
                <w:kern w:val="0"/>
                <w:szCs w:val="21"/>
              </w:rPr>
            </w:pPr>
            <w:r>
              <w:rPr>
                <w:rFonts w:hint="eastAsia" w:cs="宋体" w:eastAsiaTheme="minorHAnsi"/>
                <w:kern w:val="0"/>
                <w:szCs w:val="21"/>
              </w:rPr>
              <w:t>▲为保证国产自主可控，要求对云平台源代码进行溯源，要求自主代码率≥90%；（提供技术支持材料）</w:t>
            </w:r>
          </w:p>
        </w:tc>
      </w:tr>
    </w:tbl>
    <w:p w14:paraId="27F10FFB">
      <w:pPr>
        <w:widowControl/>
        <w:spacing w:line="360" w:lineRule="auto"/>
        <w:jc w:val="left"/>
        <w:rPr>
          <w:rFonts w:eastAsiaTheme="minorHAnsi"/>
        </w:rPr>
      </w:pPr>
    </w:p>
    <w:p w14:paraId="39A95648">
      <w:pPr>
        <w:widowControl/>
        <w:jc w:val="left"/>
        <w:rPr>
          <w:rFonts w:eastAsiaTheme="minorHAnsi" w:cstheme="majorBidi"/>
          <w:b/>
          <w:bCs/>
          <w:sz w:val="28"/>
          <w:szCs w:val="32"/>
        </w:rPr>
      </w:pPr>
      <w:r>
        <w:rPr>
          <w:rFonts w:eastAsiaTheme="minorHAnsi"/>
          <w:sz w:val="28"/>
        </w:rPr>
        <w:br w:type="page"/>
      </w:r>
    </w:p>
    <w:p w14:paraId="6E726FE1">
      <w:pPr>
        <w:pStyle w:val="2"/>
        <w:spacing w:line="360" w:lineRule="auto"/>
        <w:rPr>
          <w:rFonts w:eastAsiaTheme="minorHAnsi"/>
          <w:sz w:val="32"/>
        </w:rPr>
      </w:pPr>
      <w:bookmarkStart w:id="0" w:name="_Toc166754169"/>
      <w:r>
        <w:rPr>
          <w:rFonts w:eastAsiaTheme="minorHAnsi"/>
          <w:sz w:val="32"/>
        </w:rPr>
        <w:t>三、</w:t>
      </w:r>
      <w:r>
        <w:rPr>
          <w:rFonts w:hint="eastAsia" w:eastAsiaTheme="minorHAnsi"/>
          <w:sz w:val="32"/>
        </w:rPr>
        <w:t>设备</w:t>
      </w:r>
      <w:r>
        <w:rPr>
          <w:rFonts w:eastAsiaTheme="minorHAnsi"/>
          <w:sz w:val="32"/>
        </w:rPr>
        <w:t>交付时间和地点</w:t>
      </w:r>
      <w:bookmarkEnd w:id="0"/>
    </w:p>
    <w:p w14:paraId="0E044957">
      <w:pPr>
        <w:spacing w:line="360" w:lineRule="auto"/>
        <w:ind w:firstLine="420" w:firstLineChars="200"/>
        <w:rPr>
          <w:rFonts w:cs="Times New Roman" w:eastAsiaTheme="minorHAnsi"/>
          <w:szCs w:val="21"/>
        </w:rPr>
      </w:pPr>
      <w:r>
        <w:rPr>
          <w:rFonts w:cs="Times New Roman" w:eastAsiaTheme="minorHAnsi"/>
          <w:szCs w:val="21"/>
        </w:rPr>
        <w:t>交付地点：上海科技大学中心机房</w:t>
      </w:r>
    </w:p>
    <w:p w14:paraId="54D35BDB">
      <w:pPr>
        <w:spacing w:line="360" w:lineRule="auto"/>
        <w:ind w:firstLine="420" w:firstLineChars="200"/>
        <w:rPr>
          <w:rFonts w:cs="Times New Roman" w:eastAsiaTheme="minorHAnsi"/>
          <w:szCs w:val="21"/>
        </w:rPr>
      </w:pPr>
      <w:r>
        <w:rPr>
          <w:rFonts w:cs="Times New Roman" w:eastAsiaTheme="minorHAnsi"/>
          <w:szCs w:val="21"/>
        </w:rPr>
        <w:t>交付日期：</w:t>
      </w:r>
      <w:r>
        <w:rPr>
          <w:rFonts w:hint="eastAsia" w:cs="Times New Roman" w:eastAsiaTheme="minorHAnsi"/>
          <w:szCs w:val="21"/>
        </w:rPr>
        <w:t>自合同签订之日起</w:t>
      </w:r>
      <w:r>
        <w:rPr>
          <w:rFonts w:cs="Times New Roman" w:eastAsiaTheme="minorHAnsi"/>
          <w:szCs w:val="21"/>
        </w:rPr>
        <w:t>90</w:t>
      </w:r>
      <w:r>
        <w:rPr>
          <w:rFonts w:hint="eastAsia" w:cs="Times New Roman" w:eastAsiaTheme="minorHAnsi"/>
          <w:szCs w:val="21"/>
        </w:rPr>
        <w:t>日</w:t>
      </w:r>
      <w:r>
        <w:rPr>
          <w:rFonts w:cs="Times New Roman" w:eastAsiaTheme="minorHAnsi"/>
          <w:szCs w:val="21"/>
        </w:rPr>
        <w:t>内完成送货上门、就位、安装、调试、培训</w:t>
      </w:r>
      <w:r>
        <w:rPr>
          <w:rFonts w:hint="eastAsia" w:cs="Times New Roman" w:eastAsiaTheme="minorHAnsi"/>
          <w:szCs w:val="21"/>
        </w:rPr>
        <w:t>并通过验收</w:t>
      </w:r>
      <w:r>
        <w:rPr>
          <w:rFonts w:cs="Times New Roman" w:eastAsiaTheme="minorHAnsi"/>
          <w:szCs w:val="21"/>
        </w:rPr>
        <w:t>。</w:t>
      </w:r>
    </w:p>
    <w:p w14:paraId="33CE1A52">
      <w:pPr>
        <w:spacing w:line="360" w:lineRule="auto"/>
        <w:ind w:firstLine="420" w:firstLineChars="200"/>
      </w:pPr>
      <w:r>
        <w:rPr>
          <w:rFonts w:hint="eastAsia" w:cs="Times New Roman" w:eastAsiaTheme="minorHAnsi"/>
          <w:szCs w:val="21"/>
        </w:rPr>
        <w:t>付款方式：</w:t>
      </w:r>
      <w:r>
        <w:t>第一笔付款-预付款 (</w:t>
      </w:r>
      <w:r>
        <w:rPr>
          <w:rFonts w:hint="eastAsia"/>
        </w:rPr>
        <w:t>合同总价的</w:t>
      </w:r>
      <w:r>
        <w:t>30%)：合同签订十个工作日后，支付预付款；第二笔付款-交货付款 (</w:t>
      </w:r>
      <w:r>
        <w:rPr>
          <w:rFonts w:hint="eastAsia"/>
        </w:rPr>
        <w:t>合同总价的</w:t>
      </w:r>
      <w:r>
        <w:t>50%)：采购人收到全部货物十个工作日内，支付</w:t>
      </w:r>
      <w:r>
        <w:rPr>
          <w:rFonts w:hint="eastAsia"/>
        </w:rPr>
        <w:t>交货付款</w:t>
      </w:r>
      <w:r>
        <w:t>；第三笔付款-最终验收付款 (</w:t>
      </w:r>
      <w:r>
        <w:rPr>
          <w:rFonts w:hint="eastAsia"/>
        </w:rPr>
        <w:t>合同总价的</w:t>
      </w:r>
      <w:r>
        <w:t>20%)：验收单或验收报告出具后及收到发票后十个工作日内，支付最终验收付款。</w:t>
      </w:r>
    </w:p>
    <w:p w14:paraId="4238606E">
      <w:pPr>
        <w:spacing w:line="360" w:lineRule="auto"/>
        <w:ind w:firstLine="420" w:firstLineChars="200"/>
        <w:rPr>
          <w:rFonts w:cs="Times New Roman" w:eastAsiaTheme="minorHAnsi"/>
          <w:szCs w:val="21"/>
        </w:rPr>
      </w:pPr>
      <w:r>
        <w:rPr>
          <w:rFonts w:hint="eastAsia" w:cs="Times New Roman" w:eastAsiaTheme="minorHAnsi"/>
          <w:szCs w:val="21"/>
        </w:rPr>
        <w:t>履约保证金：</w:t>
      </w:r>
      <w:r>
        <w:t>中标人须在合同签订前提交履约保证金，金额为</w:t>
      </w:r>
      <w:r>
        <w:rPr>
          <w:rStyle w:val="12"/>
          <w:rFonts w:ascii="Arial" w:hAnsi="Arial" w:cs="Arial"/>
          <w:b w:val="0"/>
          <w:color w:val="000000"/>
        </w:rPr>
        <w:t>合同总价的5%</w:t>
      </w:r>
      <w:r>
        <w:rPr>
          <w:rStyle w:val="12"/>
          <w:rFonts w:hint="eastAsia" w:ascii="Arial" w:hAnsi="Arial" w:cs="Arial"/>
          <w:b w:val="0"/>
          <w:color w:val="000000"/>
        </w:rPr>
        <w:t>，</w:t>
      </w:r>
      <w:r>
        <w:t>项目履约完成并经采购人验收合格后，</w:t>
      </w:r>
      <w:r>
        <w:rPr>
          <w:rStyle w:val="12"/>
          <w:rFonts w:ascii="Arial" w:hAnsi="Arial" w:cs="Arial"/>
          <w:b w:val="0"/>
          <w:color w:val="000000"/>
        </w:rPr>
        <w:t>无息原路退还</w:t>
      </w:r>
      <w:r>
        <w:rPr>
          <w:rStyle w:val="12"/>
          <w:rFonts w:hint="eastAsia" w:ascii="Arial" w:hAnsi="Arial" w:cs="Arial"/>
          <w:b w:val="0"/>
          <w:color w:val="000000"/>
        </w:rPr>
        <w:t>。</w:t>
      </w:r>
    </w:p>
    <w:p w14:paraId="23449319">
      <w:pPr>
        <w:pStyle w:val="2"/>
        <w:spacing w:line="360" w:lineRule="auto"/>
        <w:rPr>
          <w:rFonts w:eastAsiaTheme="minorHAnsi"/>
          <w:sz w:val="32"/>
        </w:rPr>
      </w:pPr>
      <w:r>
        <w:rPr>
          <w:rFonts w:hint="eastAsia" w:eastAsiaTheme="minorHAnsi"/>
          <w:sz w:val="32"/>
        </w:rPr>
        <w:t>四、设备要求</w:t>
      </w:r>
    </w:p>
    <w:p w14:paraId="710AA7B9">
      <w:pPr>
        <w:spacing w:line="360" w:lineRule="auto"/>
        <w:ind w:firstLine="420"/>
        <w:rPr>
          <w:rFonts w:eastAsiaTheme="minorHAnsi"/>
          <w:szCs w:val="21"/>
        </w:rPr>
      </w:pPr>
      <w:r>
        <w:rPr>
          <w:rFonts w:hint="eastAsia" w:eastAsiaTheme="minorHAnsi"/>
          <w:szCs w:val="21"/>
        </w:rPr>
        <w:t>本次招标的“云计算中心增能服务器设备（一）”，为原集群的扩容，投标人需将已有资源和新增资源组成一个统一的资源池，统一分配管理，投标人可自行提供技术方案。</w:t>
      </w:r>
    </w:p>
    <w:p w14:paraId="78BD8D58">
      <w:pPr>
        <w:pStyle w:val="14"/>
        <w:numPr>
          <w:ilvl w:val="0"/>
          <w:numId w:val="3"/>
        </w:numPr>
        <w:spacing w:line="360" w:lineRule="auto"/>
        <w:ind w:firstLineChars="0"/>
        <w:rPr>
          <w:rFonts w:eastAsiaTheme="minorHAnsi"/>
          <w:szCs w:val="21"/>
        </w:rPr>
      </w:pPr>
      <w:r>
        <w:rPr>
          <w:rFonts w:hint="eastAsia" w:eastAsiaTheme="minorHAnsi"/>
          <w:szCs w:val="21"/>
        </w:rPr>
        <w:t>扩容设备需不影响原有设备性能及运行效率；</w:t>
      </w:r>
    </w:p>
    <w:p w14:paraId="11E3FDE5">
      <w:pPr>
        <w:pStyle w:val="14"/>
        <w:numPr>
          <w:ilvl w:val="0"/>
          <w:numId w:val="3"/>
        </w:numPr>
        <w:spacing w:line="360" w:lineRule="auto"/>
        <w:ind w:firstLineChars="0"/>
        <w:rPr>
          <w:rFonts w:eastAsiaTheme="minorHAnsi"/>
          <w:szCs w:val="21"/>
        </w:rPr>
      </w:pPr>
      <w:r>
        <w:rPr>
          <w:rFonts w:hint="eastAsia" w:eastAsiaTheme="minorHAnsi"/>
          <w:szCs w:val="21"/>
        </w:rPr>
        <w:t>扩容过程中不得影响原有正常运行业务；</w:t>
      </w:r>
    </w:p>
    <w:p w14:paraId="490BE44E">
      <w:pPr>
        <w:pStyle w:val="14"/>
        <w:numPr>
          <w:ilvl w:val="0"/>
          <w:numId w:val="3"/>
        </w:numPr>
        <w:spacing w:line="360" w:lineRule="auto"/>
        <w:ind w:firstLineChars="0"/>
        <w:rPr>
          <w:rFonts w:eastAsiaTheme="minorHAnsi"/>
          <w:szCs w:val="21"/>
        </w:rPr>
      </w:pPr>
      <w:r>
        <w:rPr>
          <w:rFonts w:eastAsiaTheme="minorHAnsi"/>
          <w:szCs w:val="21"/>
        </w:rPr>
        <w:t>纳入资源池后，需支持冗余、备份及恢复功能，确保数据安全；</w:t>
      </w:r>
    </w:p>
    <w:p w14:paraId="64438B63">
      <w:pPr>
        <w:pStyle w:val="14"/>
        <w:numPr>
          <w:ilvl w:val="0"/>
          <w:numId w:val="3"/>
        </w:numPr>
        <w:spacing w:line="360" w:lineRule="auto"/>
        <w:ind w:firstLineChars="0"/>
        <w:rPr>
          <w:rFonts w:eastAsiaTheme="minorHAnsi"/>
          <w:szCs w:val="21"/>
        </w:rPr>
      </w:pPr>
      <w:r>
        <w:rPr>
          <w:rFonts w:hint="eastAsia" w:eastAsiaTheme="minorHAnsi"/>
          <w:szCs w:val="21"/>
        </w:rPr>
        <w:t>须具备</w:t>
      </w:r>
      <w:r>
        <w:rPr>
          <w:rFonts w:eastAsiaTheme="minorHAnsi"/>
          <w:szCs w:val="21"/>
        </w:rPr>
        <w:t>良好的可扩展性，能够支持未来业务扩展和容量增长的需求；</w:t>
      </w:r>
    </w:p>
    <w:p w14:paraId="78139D28">
      <w:pPr>
        <w:pStyle w:val="14"/>
        <w:numPr>
          <w:ilvl w:val="0"/>
          <w:numId w:val="3"/>
        </w:numPr>
        <w:spacing w:line="360" w:lineRule="auto"/>
        <w:ind w:firstLineChars="0"/>
        <w:rPr>
          <w:rFonts w:eastAsiaTheme="minorHAnsi"/>
          <w:szCs w:val="21"/>
        </w:rPr>
      </w:pPr>
      <w:r>
        <w:rPr>
          <w:rFonts w:eastAsiaTheme="minorHAnsi"/>
          <w:szCs w:val="21"/>
        </w:rPr>
        <w:t>需支持安全的远程访问管理和监控，便于随时掌握系统状态</w:t>
      </w:r>
      <w:r>
        <w:rPr>
          <w:rFonts w:hint="eastAsia" w:eastAsiaTheme="minorHAnsi"/>
          <w:szCs w:val="21"/>
        </w:rPr>
        <w:t>；</w:t>
      </w:r>
    </w:p>
    <w:p w14:paraId="482EDA2D">
      <w:pPr>
        <w:pStyle w:val="14"/>
        <w:numPr>
          <w:ilvl w:val="0"/>
          <w:numId w:val="3"/>
        </w:numPr>
        <w:spacing w:line="360" w:lineRule="auto"/>
        <w:ind w:firstLineChars="0"/>
        <w:rPr>
          <w:rFonts w:eastAsiaTheme="minorHAnsi"/>
          <w:szCs w:val="21"/>
        </w:rPr>
      </w:pPr>
      <w:r>
        <w:rPr>
          <w:rFonts w:hint="eastAsia" w:eastAsiaTheme="minorHAnsi"/>
          <w:szCs w:val="21"/>
        </w:rPr>
        <w:t>在扩容过程中，需要确保新的资源和系统配置符合安全要求，以防止潜在的安全风险。</w:t>
      </w:r>
    </w:p>
    <w:p w14:paraId="1E47041D">
      <w:pPr>
        <w:widowControl/>
        <w:numPr>
          <w:ilvl w:val="0"/>
          <w:numId w:val="3"/>
        </w:numPr>
        <w:spacing w:line="360" w:lineRule="auto"/>
        <w:jc w:val="left"/>
        <w:rPr>
          <w:rFonts w:cs="Times New Roman" w:eastAsiaTheme="minorHAnsi"/>
          <w:szCs w:val="21"/>
        </w:rPr>
      </w:pPr>
      <w:r>
        <w:rPr>
          <w:rFonts w:hint="eastAsia" w:eastAsiaTheme="minorHAnsi"/>
          <w:szCs w:val="21"/>
        </w:rPr>
        <w:t>扩容完成后，需完成指定业务系统迁移工作。</w:t>
      </w:r>
      <w:r>
        <w:rPr>
          <w:rFonts w:cs="Times New Roman"/>
          <w:szCs w:val="21"/>
        </w:rPr>
        <w:tab/>
      </w:r>
    </w:p>
    <w:p w14:paraId="590204BE">
      <w:pPr>
        <w:pStyle w:val="2"/>
        <w:spacing w:line="360" w:lineRule="auto"/>
        <w:rPr>
          <w:rFonts w:eastAsiaTheme="minorHAnsi"/>
          <w:sz w:val="32"/>
        </w:rPr>
      </w:pPr>
      <w:r>
        <w:rPr>
          <w:rFonts w:hint="eastAsia" w:eastAsiaTheme="minorHAnsi"/>
          <w:sz w:val="32"/>
        </w:rPr>
        <w:t>五、服务要求</w:t>
      </w:r>
    </w:p>
    <w:p w14:paraId="0536EE1E">
      <w:pPr>
        <w:pStyle w:val="3"/>
        <w:spacing w:line="360" w:lineRule="auto"/>
        <w:rPr>
          <w:rFonts w:asciiTheme="minorHAnsi" w:hAnsiTheme="minorHAnsi" w:eastAsiaTheme="minorHAnsi"/>
          <w:sz w:val="28"/>
        </w:rPr>
      </w:pPr>
      <w:bookmarkStart w:id="1" w:name="_Toc166754171"/>
      <w:bookmarkStart w:id="2" w:name="_Toc15102"/>
      <w:r>
        <w:rPr>
          <w:rFonts w:hint="eastAsia" w:asciiTheme="minorHAnsi" w:hAnsiTheme="minorHAnsi" w:eastAsiaTheme="minorHAnsi"/>
          <w:sz w:val="28"/>
        </w:rPr>
        <w:t>1、设备配套要求</w:t>
      </w:r>
      <w:bookmarkEnd w:id="1"/>
      <w:bookmarkEnd w:id="2"/>
    </w:p>
    <w:p w14:paraId="1593DE1B">
      <w:pPr>
        <w:numPr>
          <w:ilvl w:val="0"/>
          <w:numId w:val="4"/>
        </w:numPr>
        <w:spacing w:line="360" w:lineRule="auto"/>
        <w:ind w:left="0" w:firstLine="420" w:firstLineChars="200"/>
        <w:rPr>
          <w:rFonts w:eastAsiaTheme="minorHAnsi"/>
          <w:szCs w:val="21"/>
        </w:rPr>
      </w:pPr>
      <w:r>
        <w:rPr>
          <w:rFonts w:hint="eastAsia" w:eastAsiaTheme="minorHAnsi"/>
          <w:szCs w:val="21"/>
        </w:rPr>
        <w:t>中标人需对本项目所含系统的供电提出明确的需求。</w:t>
      </w:r>
    </w:p>
    <w:p w14:paraId="2AFE8442">
      <w:pPr>
        <w:numPr>
          <w:ilvl w:val="0"/>
          <w:numId w:val="4"/>
        </w:numPr>
        <w:spacing w:line="360" w:lineRule="auto"/>
        <w:ind w:left="0" w:firstLine="420" w:firstLineChars="200"/>
        <w:rPr>
          <w:rFonts w:eastAsiaTheme="minorHAnsi"/>
          <w:szCs w:val="21"/>
        </w:rPr>
      </w:pPr>
      <w:r>
        <w:rPr>
          <w:rFonts w:hint="eastAsia" w:eastAsiaTheme="minorHAnsi"/>
          <w:szCs w:val="21"/>
        </w:rPr>
        <w:t>中标人对需要其他工程商提供的通信接口、设备监控界面等须提出明确的要求。</w:t>
      </w:r>
    </w:p>
    <w:p w14:paraId="05B88A8D">
      <w:pPr>
        <w:numPr>
          <w:ilvl w:val="0"/>
          <w:numId w:val="4"/>
        </w:numPr>
        <w:spacing w:line="360" w:lineRule="auto"/>
        <w:ind w:left="0" w:firstLine="420" w:firstLineChars="200"/>
        <w:rPr>
          <w:rFonts w:eastAsiaTheme="minorHAnsi"/>
          <w:szCs w:val="21"/>
        </w:rPr>
      </w:pPr>
      <w:r>
        <w:rPr>
          <w:rFonts w:hint="eastAsia" w:eastAsiaTheme="minorHAnsi"/>
          <w:szCs w:val="21"/>
        </w:rPr>
        <w:t>项目实施后中标人需提供完整的电子文档和安装手册。</w:t>
      </w:r>
    </w:p>
    <w:p w14:paraId="56F7C258">
      <w:pPr>
        <w:numPr>
          <w:ilvl w:val="0"/>
          <w:numId w:val="4"/>
        </w:numPr>
        <w:spacing w:line="360" w:lineRule="auto"/>
        <w:ind w:left="0" w:firstLine="420" w:firstLineChars="200"/>
        <w:rPr>
          <w:rFonts w:eastAsiaTheme="minorHAnsi"/>
          <w:szCs w:val="21"/>
        </w:rPr>
      </w:pPr>
      <w:r>
        <w:rPr>
          <w:rFonts w:hint="eastAsia" w:eastAsiaTheme="minorHAnsi"/>
          <w:szCs w:val="21"/>
        </w:rPr>
        <w:t>投标方所提供的系统方案要充分考虑现有实际情况，签订合同后，招标方有权要求中标人根据现场情况对投标方案及产品进行深化和调整。</w:t>
      </w:r>
    </w:p>
    <w:p w14:paraId="517D815B">
      <w:pPr>
        <w:numPr>
          <w:ilvl w:val="0"/>
          <w:numId w:val="4"/>
        </w:numPr>
        <w:spacing w:line="360" w:lineRule="auto"/>
        <w:ind w:left="0" w:firstLine="420" w:firstLineChars="200"/>
        <w:rPr>
          <w:rFonts w:eastAsiaTheme="minorHAnsi"/>
          <w:szCs w:val="21"/>
        </w:rPr>
      </w:pPr>
      <w:r>
        <w:rPr>
          <w:rFonts w:hint="eastAsia" w:eastAsiaTheme="minorHAnsi"/>
          <w:szCs w:val="21"/>
        </w:rPr>
        <w:t>中标人提供相关的各类培训，包括技术培训和操作培训，并制定详细的培训计划。</w:t>
      </w:r>
    </w:p>
    <w:p w14:paraId="306F2A3C">
      <w:pPr>
        <w:pStyle w:val="3"/>
        <w:spacing w:line="360" w:lineRule="auto"/>
        <w:rPr>
          <w:rFonts w:asciiTheme="minorHAnsi" w:hAnsiTheme="minorHAnsi" w:eastAsiaTheme="minorHAnsi"/>
          <w:sz w:val="28"/>
        </w:rPr>
      </w:pPr>
      <w:r>
        <w:rPr>
          <w:rFonts w:eastAsiaTheme="minorHAnsi"/>
        </w:rPr>
        <w:br w:type="page"/>
      </w:r>
      <w:r>
        <w:rPr>
          <w:rFonts w:hint="eastAsia" w:eastAsiaTheme="minorHAnsi"/>
        </w:rPr>
        <w:t>2、</w:t>
      </w:r>
      <w:r>
        <w:rPr>
          <w:rFonts w:hint="eastAsia" w:asciiTheme="minorHAnsi" w:hAnsiTheme="minorHAnsi" w:eastAsiaTheme="minorHAnsi"/>
          <w:sz w:val="28"/>
        </w:rPr>
        <w:t>设备质保及售后服务要求</w:t>
      </w:r>
    </w:p>
    <w:p w14:paraId="141EBA26">
      <w:pPr>
        <w:spacing w:line="360" w:lineRule="auto"/>
        <w:ind w:firstLine="567"/>
        <w:rPr>
          <w:rFonts w:eastAsiaTheme="minorHAnsi"/>
          <w:b/>
          <w:szCs w:val="21"/>
        </w:rPr>
      </w:pPr>
      <w:r>
        <w:rPr>
          <w:rFonts w:hint="eastAsia" w:eastAsiaTheme="minorHAnsi"/>
          <w:b/>
          <w:szCs w:val="21"/>
        </w:rPr>
        <w:t>整体要求</w:t>
      </w:r>
    </w:p>
    <w:p w14:paraId="71C56085">
      <w:pPr>
        <w:numPr>
          <w:ilvl w:val="0"/>
          <w:numId w:val="5"/>
        </w:numPr>
        <w:spacing w:line="360" w:lineRule="auto"/>
        <w:ind w:left="0" w:firstLine="420" w:firstLineChars="200"/>
        <w:rPr>
          <w:rFonts w:eastAsiaTheme="minorHAnsi"/>
          <w:szCs w:val="21"/>
        </w:rPr>
      </w:pPr>
      <w:r>
        <w:rPr>
          <w:rFonts w:hint="eastAsia" w:eastAsiaTheme="minorHAnsi"/>
          <w:szCs w:val="21"/>
        </w:rPr>
        <w:t>项目设备提供</w:t>
      </w:r>
      <w:bookmarkStart w:id="20" w:name="_GoBack"/>
      <w:bookmarkEnd w:id="20"/>
      <w:r>
        <w:rPr>
          <w:rFonts w:hint="eastAsia" w:eastAsiaTheme="minorHAnsi"/>
          <w:szCs w:val="21"/>
        </w:rPr>
        <w:t>自项目验收通过之日起不少于60个月的7*24h免费原厂质保及售后服务</w:t>
      </w:r>
      <w:r>
        <w:rPr>
          <w:rFonts w:eastAsiaTheme="minorHAnsi"/>
          <w:szCs w:val="21"/>
        </w:rPr>
        <w:t>。</w:t>
      </w:r>
    </w:p>
    <w:p w14:paraId="3C14BBCA">
      <w:pPr>
        <w:numPr>
          <w:ilvl w:val="0"/>
          <w:numId w:val="5"/>
        </w:numPr>
        <w:spacing w:line="360" w:lineRule="auto"/>
        <w:ind w:left="0" w:firstLine="420" w:firstLineChars="200"/>
        <w:rPr>
          <w:rFonts w:eastAsiaTheme="minorHAnsi"/>
          <w:szCs w:val="21"/>
        </w:rPr>
      </w:pPr>
      <w:r>
        <w:rPr>
          <w:rFonts w:hint="eastAsia" w:eastAsiaTheme="minorHAnsi"/>
          <w:szCs w:val="21"/>
        </w:rPr>
        <w:t>产品质量：中标人提供的成品设备是原装的、全新的、未拆改配过的、未使用过的、高性价比、高可靠性的产品，定制产品选用最佳材料和一流工艺，并在各个方面符合合同规定的质量、规格和性能要求。产品及外包装无损、零配件齐全、在规定的质保期内，将对由于设计、工艺或材料的缺陷或故障负责。</w:t>
      </w:r>
    </w:p>
    <w:p w14:paraId="5C1D5B81">
      <w:pPr>
        <w:numPr>
          <w:ilvl w:val="0"/>
          <w:numId w:val="5"/>
        </w:numPr>
        <w:spacing w:line="360" w:lineRule="auto"/>
        <w:ind w:left="0" w:firstLine="420" w:firstLineChars="200"/>
        <w:rPr>
          <w:rFonts w:eastAsiaTheme="minorHAnsi"/>
          <w:szCs w:val="21"/>
        </w:rPr>
      </w:pPr>
      <w:r>
        <w:rPr>
          <w:rFonts w:hint="eastAsia" w:eastAsiaTheme="minorHAnsi"/>
          <w:szCs w:val="21"/>
        </w:rPr>
        <w:t>资料完备：中标人提供完整的资料，如产品质量合格证、保修单、技术指标资料、说明书等，系统调试完毕提供调试报告，在试运行期间提供试运行报告，在培训期间提供培训手册，保证整个系统的数据和资料确保准确无误，并保证设备按时正确地安装、调试和验收，满足正常运行和维修保养的需要。</w:t>
      </w:r>
    </w:p>
    <w:p w14:paraId="6D4C4366">
      <w:pPr>
        <w:numPr>
          <w:ilvl w:val="255"/>
          <w:numId w:val="0"/>
        </w:numPr>
        <w:spacing w:line="360" w:lineRule="auto"/>
        <w:ind w:left="420" w:leftChars="200"/>
        <w:rPr>
          <w:rFonts w:eastAsiaTheme="minorHAnsi"/>
          <w:szCs w:val="21"/>
        </w:rPr>
      </w:pPr>
      <w:r>
        <w:rPr>
          <w:rFonts w:eastAsiaTheme="minorHAnsi"/>
          <w:szCs w:val="21"/>
        </w:rPr>
        <w:t>4</w:t>
      </w:r>
      <w:r>
        <w:rPr>
          <w:rFonts w:hint="eastAsia" w:eastAsiaTheme="minorHAnsi"/>
          <w:szCs w:val="21"/>
        </w:rPr>
        <w:t>)</w:t>
      </w:r>
      <w:r>
        <w:rPr>
          <w:rFonts w:eastAsiaTheme="minorHAnsi"/>
          <w:szCs w:val="21"/>
        </w:rPr>
        <w:t xml:space="preserve">  </w:t>
      </w:r>
      <w:r>
        <w:rPr>
          <w:rFonts w:hint="eastAsia" w:eastAsiaTheme="minorHAnsi"/>
          <w:szCs w:val="21"/>
        </w:rPr>
        <w:t>提供原厂授权证明优先考虑。</w:t>
      </w:r>
    </w:p>
    <w:p w14:paraId="49B28C12">
      <w:pPr>
        <w:spacing w:line="360" w:lineRule="auto"/>
        <w:ind w:firstLine="567"/>
        <w:rPr>
          <w:rFonts w:eastAsiaTheme="minorHAnsi"/>
          <w:b/>
          <w:szCs w:val="21"/>
        </w:rPr>
      </w:pPr>
      <w:r>
        <w:rPr>
          <w:rFonts w:hint="eastAsia" w:eastAsiaTheme="minorHAnsi"/>
          <w:b/>
          <w:szCs w:val="21"/>
        </w:rPr>
        <w:t>服务标准</w:t>
      </w:r>
    </w:p>
    <w:p w14:paraId="185E52E5">
      <w:pPr>
        <w:numPr>
          <w:ilvl w:val="0"/>
          <w:numId w:val="6"/>
        </w:numPr>
        <w:spacing w:line="360" w:lineRule="auto"/>
        <w:ind w:left="0" w:firstLine="420" w:firstLineChars="200"/>
        <w:rPr>
          <w:rFonts w:eastAsiaTheme="minorHAnsi"/>
          <w:szCs w:val="21"/>
        </w:rPr>
      </w:pPr>
      <w:r>
        <w:rPr>
          <w:rFonts w:hint="eastAsia" w:eastAsiaTheme="minorHAnsi"/>
          <w:szCs w:val="21"/>
        </w:rPr>
        <w:t>投标产品须为全新的原装正品，相关的配套附件质量优良，数量齐全。如设备运行需使用专用的操作系统，应当包含在投标产品和报价中。</w:t>
      </w:r>
    </w:p>
    <w:p w14:paraId="40D77900">
      <w:pPr>
        <w:numPr>
          <w:ilvl w:val="0"/>
          <w:numId w:val="6"/>
        </w:numPr>
        <w:spacing w:line="360" w:lineRule="auto"/>
        <w:ind w:left="0" w:firstLine="420" w:firstLineChars="200"/>
        <w:rPr>
          <w:rFonts w:eastAsiaTheme="minorHAnsi"/>
          <w:szCs w:val="21"/>
        </w:rPr>
      </w:pPr>
      <w:r>
        <w:rPr>
          <w:rFonts w:hint="eastAsia" w:eastAsiaTheme="minorHAnsi"/>
          <w:szCs w:val="21"/>
        </w:rPr>
        <w:t>投标总价包含包装、运输、安装集成等全部伴随服务费用。设备到达用户指定交货地点后，根据用户的时间安排，设备制造商和中标人承诺在接到用户通知后</w:t>
      </w:r>
      <w:r>
        <w:rPr>
          <w:rFonts w:eastAsiaTheme="minorHAnsi"/>
          <w:szCs w:val="21"/>
        </w:rPr>
        <w:t>3个工作日内进行安装调试，直至通过验收。</w:t>
      </w:r>
    </w:p>
    <w:p w14:paraId="068FA958">
      <w:pPr>
        <w:pStyle w:val="3"/>
        <w:spacing w:line="360" w:lineRule="auto"/>
        <w:rPr>
          <w:rFonts w:asciiTheme="minorHAnsi" w:hAnsiTheme="minorHAnsi" w:eastAsiaTheme="minorHAnsi"/>
          <w:sz w:val="28"/>
        </w:rPr>
      </w:pPr>
      <w:bookmarkStart w:id="3" w:name="_Toc5074"/>
      <w:bookmarkStart w:id="4" w:name="_Toc278974835"/>
      <w:bookmarkStart w:id="5" w:name="_Toc166754173"/>
      <w:bookmarkStart w:id="6" w:name="_Toc415267977"/>
      <w:bookmarkStart w:id="7" w:name="_Toc155285230"/>
      <w:bookmarkStart w:id="8" w:name="_Toc277855550"/>
      <w:bookmarkStart w:id="9" w:name="_Toc277954612"/>
      <w:bookmarkStart w:id="10" w:name="_Toc409797406"/>
      <w:bookmarkStart w:id="11" w:name="_Toc155257269"/>
      <w:bookmarkStart w:id="12" w:name="_Toc445341138"/>
      <w:bookmarkStart w:id="13" w:name="_Toc454437021"/>
      <w:r>
        <w:rPr>
          <w:rFonts w:hint="eastAsia" w:asciiTheme="minorHAnsi" w:hAnsiTheme="minorHAnsi" w:eastAsiaTheme="minorHAnsi"/>
          <w:sz w:val="28"/>
        </w:rPr>
        <w:t>3、设备管理要求</w:t>
      </w:r>
      <w:bookmarkEnd w:id="3"/>
      <w:bookmarkEnd w:id="4"/>
      <w:bookmarkEnd w:id="5"/>
      <w:bookmarkEnd w:id="6"/>
      <w:bookmarkEnd w:id="7"/>
      <w:bookmarkEnd w:id="8"/>
      <w:bookmarkEnd w:id="9"/>
      <w:bookmarkEnd w:id="10"/>
      <w:bookmarkEnd w:id="11"/>
      <w:bookmarkEnd w:id="12"/>
      <w:bookmarkEnd w:id="13"/>
    </w:p>
    <w:p w14:paraId="1773D165">
      <w:pPr>
        <w:numPr>
          <w:ilvl w:val="0"/>
          <w:numId w:val="7"/>
        </w:numPr>
        <w:spacing w:line="360" w:lineRule="auto"/>
        <w:ind w:left="0" w:firstLine="420" w:firstLineChars="200"/>
        <w:rPr>
          <w:rFonts w:eastAsiaTheme="minorHAnsi"/>
          <w:szCs w:val="21"/>
        </w:rPr>
      </w:pPr>
      <w:r>
        <w:rPr>
          <w:rFonts w:hint="eastAsia" w:eastAsiaTheme="minorHAnsi"/>
          <w:szCs w:val="21"/>
        </w:rPr>
        <w:t>项目管理首先要建立管理的原则，组织，协调机制和实施办法。投标方需提供实施本项目的完整的项目管理方案，并在项目建设过程中严格执行。</w:t>
      </w:r>
    </w:p>
    <w:p w14:paraId="2B24D102">
      <w:pPr>
        <w:numPr>
          <w:ilvl w:val="0"/>
          <w:numId w:val="7"/>
        </w:numPr>
        <w:spacing w:line="360" w:lineRule="auto"/>
        <w:ind w:left="0" w:firstLine="420" w:firstLineChars="200"/>
        <w:rPr>
          <w:rFonts w:eastAsiaTheme="minorHAnsi"/>
          <w:szCs w:val="21"/>
        </w:rPr>
      </w:pPr>
      <w:r>
        <w:rPr>
          <w:rFonts w:hint="eastAsia" w:eastAsiaTheme="minorHAnsi"/>
          <w:szCs w:val="21"/>
        </w:rPr>
        <w:t>需高度重视对过程的管理控制，高度重视对各类文档的管理，需建立中间环节和文档的内部测试审核制度。</w:t>
      </w:r>
    </w:p>
    <w:p w14:paraId="4A8D65E0">
      <w:pPr>
        <w:numPr>
          <w:ilvl w:val="0"/>
          <w:numId w:val="7"/>
        </w:numPr>
        <w:spacing w:line="360" w:lineRule="auto"/>
        <w:ind w:left="0" w:firstLine="420" w:firstLineChars="200"/>
        <w:rPr>
          <w:rFonts w:eastAsiaTheme="minorHAnsi"/>
          <w:szCs w:val="21"/>
        </w:rPr>
      </w:pPr>
      <w:r>
        <w:rPr>
          <w:rFonts w:hint="eastAsia" w:eastAsiaTheme="minorHAnsi"/>
          <w:szCs w:val="21"/>
        </w:rPr>
        <w:t>设备制造商和中标人需对用户技术人员（至少</w:t>
      </w:r>
      <w:r>
        <w:rPr>
          <w:rFonts w:eastAsiaTheme="minorHAnsi"/>
          <w:szCs w:val="21"/>
        </w:rPr>
        <w:t>2人）进行免费培训，培训讲师为设备原厂商专业技术人员</w:t>
      </w:r>
      <w:r>
        <w:rPr>
          <w:rFonts w:hint="eastAsia" w:eastAsiaTheme="minorHAnsi"/>
          <w:szCs w:val="21"/>
        </w:rPr>
        <w:t>优先</w:t>
      </w:r>
      <w:r>
        <w:rPr>
          <w:rFonts w:eastAsiaTheme="minorHAnsi"/>
          <w:szCs w:val="21"/>
        </w:rPr>
        <w:t>。培训不少于1</w:t>
      </w:r>
      <w:r>
        <w:rPr>
          <w:rFonts w:hint="eastAsia" w:eastAsiaTheme="minorHAnsi"/>
          <w:szCs w:val="21"/>
        </w:rPr>
        <w:t>次</w:t>
      </w:r>
      <w:r>
        <w:rPr>
          <w:rFonts w:eastAsiaTheme="minorHAnsi"/>
          <w:szCs w:val="21"/>
        </w:rPr>
        <w:t>。</w:t>
      </w:r>
    </w:p>
    <w:p w14:paraId="043619AE">
      <w:pPr>
        <w:numPr>
          <w:ilvl w:val="0"/>
          <w:numId w:val="7"/>
        </w:numPr>
        <w:spacing w:line="360" w:lineRule="auto"/>
        <w:ind w:left="0" w:firstLine="420" w:firstLineChars="200"/>
        <w:rPr>
          <w:rFonts w:eastAsiaTheme="minorHAnsi"/>
          <w:szCs w:val="21"/>
        </w:rPr>
      </w:pPr>
      <w:r>
        <w:rPr>
          <w:rFonts w:hint="eastAsia" w:eastAsiaTheme="minorHAnsi"/>
          <w:szCs w:val="21"/>
        </w:rPr>
        <w:t>本项目需提供项目管理人员和技术人员负责项目进度的把控和设备的部署与调试。项目管理人员具有项目相关证书和工作经验；技术人员具有项目相关技术认证证书等优先考虑。</w:t>
      </w:r>
    </w:p>
    <w:p w14:paraId="12747A07">
      <w:pPr>
        <w:numPr>
          <w:ilvl w:val="0"/>
          <w:numId w:val="7"/>
        </w:numPr>
        <w:spacing w:line="360" w:lineRule="auto"/>
        <w:ind w:left="0" w:firstLine="420" w:firstLineChars="200"/>
        <w:rPr>
          <w:rFonts w:eastAsiaTheme="minorHAnsi"/>
          <w:szCs w:val="21"/>
        </w:rPr>
      </w:pPr>
      <w:r>
        <w:rPr>
          <w:rFonts w:hint="eastAsia" w:eastAsiaTheme="minorHAnsi"/>
          <w:szCs w:val="21"/>
        </w:rPr>
        <w:t>投标人具有ISO9001质量管理体系认证证书优先考虑。</w:t>
      </w:r>
    </w:p>
    <w:p w14:paraId="3564BD43">
      <w:pPr>
        <w:pStyle w:val="3"/>
        <w:spacing w:line="360" w:lineRule="auto"/>
        <w:rPr>
          <w:rFonts w:asciiTheme="minorHAnsi" w:hAnsiTheme="minorHAnsi" w:eastAsiaTheme="minorHAnsi"/>
          <w:sz w:val="28"/>
        </w:rPr>
      </w:pPr>
      <w:bookmarkStart w:id="14" w:name="_Toc166754174"/>
      <w:bookmarkStart w:id="15" w:name="_Toc10265"/>
      <w:r>
        <w:rPr>
          <w:rFonts w:hint="eastAsia" w:asciiTheme="minorHAnsi" w:hAnsiTheme="minorHAnsi" w:eastAsiaTheme="minorHAnsi"/>
          <w:sz w:val="28"/>
        </w:rPr>
        <w:t>4、设备实施要求</w:t>
      </w:r>
      <w:bookmarkEnd w:id="14"/>
      <w:bookmarkEnd w:id="15"/>
    </w:p>
    <w:p w14:paraId="4F2B3518">
      <w:pPr>
        <w:pStyle w:val="14"/>
        <w:spacing w:line="360" w:lineRule="auto"/>
        <w:rPr>
          <w:rFonts w:eastAsiaTheme="minorHAnsi"/>
          <w:szCs w:val="21"/>
        </w:rPr>
      </w:pPr>
      <w:r>
        <w:rPr>
          <w:rFonts w:hint="eastAsia" w:eastAsiaTheme="minorHAnsi"/>
          <w:szCs w:val="21"/>
        </w:rPr>
        <w:t>1）本项目要求采用交钥匙的工作方式，包括系统深化设计、设备材料送货、安装、接线、调试、开通、培训和售后服务等。</w:t>
      </w:r>
    </w:p>
    <w:p w14:paraId="4A3033F5">
      <w:pPr>
        <w:pStyle w:val="14"/>
        <w:spacing w:line="360" w:lineRule="auto"/>
        <w:rPr>
          <w:rFonts w:eastAsiaTheme="minorHAnsi"/>
          <w:szCs w:val="21"/>
        </w:rPr>
      </w:pPr>
      <w:r>
        <w:rPr>
          <w:rFonts w:eastAsiaTheme="minorHAnsi"/>
          <w:szCs w:val="21"/>
        </w:rPr>
        <w:t>2</w:t>
      </w:r>
      <w:r>
        <w:rPr>
          <w:rFonts w:hint="eastAsia" w:eastAsiaTheme="minorHAnsi"/>
          <w:szCs w:val="21"/>
        </w:rPr>
        <w:t>）投标人须提供合理、完善的项目组织管理和实施方案，确保集成工作统筹有序。其中需要包括但不仅限于项目实施、质量管理、人员和组织管理、项目验收、应急处理预案、培训方案等。</w:t>
      </w:r>
    </w:p>
    <w:p w14:paraId="465CCE36">
      <w:pPr>
        <w:pStyle w:val="14"/>
        <w:spacing w:line="360" w:lineRule="auto"/>
        <w:rPr>
          <w:rFonts w:eastAsiaTheme="minorHAnsi"/>
          <w:szCs w:val="21"/>
        </w:rPr>
      </w:pPr>
      <w:r>
        <w:rPr>
          <w:rFonts w:hint="eastAsia" w:eastAsiaTheme="minorHAnsi"/>
          <w:szCs w:val="21"/>
        </w:rPr>
        <w:t>3）投标人所提供的设备需完全满足本项目建设要求。除特定外接设备外，所有需要的接口设备、缆线、软件、控制器、服务器</w:t>
      </w:r>
      <w:r>
        <w:rPr>
          <w:rFonts w:eastAsiaTheme="minorHAnsi"/>
          <w:szCs w:val="21"/>
        </w:rPr>
        <w:t>I/O槽等需配齐，以构成实用系统。</w:t>
      </w:r>
    </w:p>
    <w:p w14:paraId="67D346BA">
      <w:pPr>
        <w:pStyle w:val="14"/>
        <w:spacing w:line="360" w:lineRule="auto"/>
        <w:rPr>
          <w:rFonts w:eastAsiaTheme="minorHAnsi"/>
          <w:szCs w:val="21"/>
        </w:rPr>
      </w:pPr>
      <w:r>
        <w:rPr>
          <w:rFonts w:hint="eastAsia" w:eastAsiaTheme="minorHAnsi"/>
          <w:szCs w:val="21"/>
        </w:rPr>
        <w:t>4）</w:t>
      </w:r>
      <w:r>
        <w:rPr>
          <w:rFonts w:eastAsiaTheme="minorHAnsi"/>
          <w:szCs w:val="21"/>
        </w:rPr>
        <w:t>特殊工具</w:t>
      </w:r>
      <w:r>
        <w:rPr>
          <w:rFonts w:hint="eastAsia" w:eastAsiaTheme="minorHAnsi"/>
          <w:szCs w:val="21"/>
        </w:rPr>
        <w:t>：中标人需提供用于系统安装与配置的介质（光盘、磁盘等）。如果需提供特殊工具来维护硬件和软件，投标人需列出特殊工具的清单、价格、名称和数量，但不包括在总价格中。</w:t>
      </w:r>
    </w:p>
    <w:p w14:paraId="70C3D484">
      <w:pPr>
        <w:pStyle w:val="3"/>
        <w:spacing w:line="360" w:lineRule="auto"/>
        <w:rPr>
          <w:rFonts w:asciiTheme="minorHAnsi" w:hAnsiTheme="minorHAnsi" w:eastAsiaTheme="minorHAnsi"/>
          <w:sz w:val="28"/>
        </w:rPr>
      </w:pPr>
      <w:bookmarkStart w:id="16" w:name="_Toc166754175"/>
      <w:bookmarkStart w:id="17" w:name="_Toc21305"/>
      <w:r>
        <w:rPr>
          <w:rFonts w:hint="eastAsia" w:asciiTheme="minorHAnsi" w:hAnsiTheme="minorHAnsi" w:eastAsiaTheme="minorHAnsi"/>
          <w:sz w:val="28"/>
        </w:rPr>
        <w:t>5、设备培训要求</w:t>
      </w:r>
      <w:bookmarkEnd w:id="16"/>
      <w:bookmarkEnd w:id="17"/>
    </w:p>
    <w:p w14:paraId="142304AB">
      <w:pPr>
        <w:numPr>
          <w:ilvl w:val="0"/>
          <w:numId w:val="8"/>
        </w:numPr>
        <w:spacing w:line="360" w:lineRule="auto"/>
        <w:ind w:left="0" w:firstLine="420" w:firstLineChars="200"/>
        <w:rPr>
          <w:rFonts w:eastAsiaTheme="minorHAnsi"/>
          <w:szCs w:val="21"/>
        </w:rPr>
      </w:pPr>
      <w:r>
        <w:rPr>
          <w:rFonts w:eastAsiaTheme="minorHAnsi"/>
          <w:szCs w:val="21"/>
        </w:rPr>
        <w:t>制定详细的培训计划，并提供相关的各类培训，包括技术培训和操作培训。</w:t>
      </w:r>
    </w:p>
    <w:p w14:paraId="678BAD04">
      <w:pPr>
        <w:numPr>
          <w:ilvl w:val="0"/>
          <w:numId w:val="8"/>
        </w:numPr>
        <w:spacing w:line="360" w:lineRule="auto"/>
        <w:ind w:left="0" w:firstLine="420" w:firstLineChars="200"/>
        <w:rPr>
          <w:rFonts w:eastAsiaTheme="minorHAnsi"/>
          <w:szCs w:val="21"/>
        </w:rPr>
      </w:pPr>
      <w:r>
        <w:rPr>
          <w:rFonts w:eastAsiaTheme="minorHAnsi"/>
          <w:szCs w:val="21"/>
        </w:rPr>
        <w:t>投标方需根据本项目的需求，分别列出系统正常运行、管理和使用所需要的培训，包括（但不限于）：</w:t>
      </w:r>
    </w:p>
    <w:p w14:paraId="7CEC1908">
      <w:pPr>
        <w:numPr>
          <w:ilvl w:val="0"/>
          <w:numId w:val="9"/>
        </w:numPr>
        <w:spacing w:line="360" w:lineRule="auto"/>
        <w:ind w:left="0" w:firstLine="420" w:firstLineChars="200"/>
        <w:rPr>
          <w:rFonts w:eastAsiaTheme="minorHAnsi"/>
          <w:szCs w:val="21"/>
        </w:rPr>
      </w:pPr>
      <w:r>
        <w:rPr>
          <w:rFonts w:eastAsiaTheme="minorHAnsi"/>
          <w:szCs w:val="21"/>
        </w:rPr>
        <w:t>培训人数、人次；</w:t>
      </w:r>
    </w:p>
    <w:p w14:paraId="7E53947C">
      <w:pPr>
        <w:numPr>
          <w:ilvl w:val="0"/>
          <w:numId w:val="9"/>
        </w:numPr>
        <w:spacing w:line="360" w:lineRule="auto"/>
        <w:ind w:left="0" w:firstLine="420" w:firstLineChars="200"/>
        <w:rPr>
          <w:rFonts w:eastAsiaTheme="minorHAnsi"/>
          <w:szCs w:val="21"/>
        </w:rPr>
      </w:pPr>
      <w:r>
        <w:rPr>
          <w:rFonts w:eastAsiaTheme="minorHAnsi"/>
          <w:szCs w:val="21"/>
        </w:rPr>
        <w:t>培训的详细课程；</w:t>
      </w:r>
    </w:p>
    <w:p w14:paraId="678DF2FE">
      <w:pPr>
        <w:numPr>
          <w:ilvl w:val="0"/>
          <w:numId w:val="9"/>
        </w:numPr>
        <w:spacing w:line="360" w:lineRule="auto"/>
        <w:ind w:left="0" w:firstLine="420" w:firstLineChars="200"/>
        <w:rPr>
          <w:rFonts w:eastAsiaTheme="minorHAnsi"/>
          <w:szCs w:val="21"/>
        </w:rPr>
      </w:pPr>
      <w:r>
        <w:rPr>
          <w:rFonts w:eastAsiaTheme="minorHAnsi"/>
          <w:szCs w:val="21"/>
        </w:rPr>
        <w:t>培训方式；</w:t>
      </w:r>
    </w:p>
    <w:p w14:paraId="561B7CF4">
      <w:pPr>
        <w:numPr>
          <w:ilvl w:val="0"/>
          <w:numId w:val="9"/>
        </w:numPr>
        <w:spacing w:line="360" w:lineRule="auto"/>
        <w:ind w:left="0" w:firstLine="420" w:firstLineChars="200"/>
        <w:rPr>
          <w:rFonts w:eastAsiaTheme="minorHAnsi"/>
          <w:szCs w:val="21"/>
        </w:rPr>
      </w:pPr>
      <w:r>
        <w:rPr>
          <w:rFonts w:eastAsiaTheme="minorHAnsi"/>
          <w:szCs w:val="21"/>
        </w:rPr>
        <w:t>培训场地安排；</w:t>
      </w:r>
    </w:p>
    <w:p w14:paraId="4CB12B01">
      <w:pPr>
        <w:numPr>
          <w:ilvl w:val="0"/>
          <w:numId w:val="9"/>
        </w:numPr>
        <w:spacing w:line="360" w:lineRule="auto"/>
        <w:ind w:left="0" w:firstLine="420" w:firstLineChars="200"/>
        <w:rPr>
          <w:rFonts w:eastAsiaTheme="minorHAnsi"/>
          <w:szCs w:val="21"/>
        </w:rPr>
      </w:pPr>
      <w:r>
        <w:rPr>
          <w:rFonts w:eastAsiaTheme="minorHAnsi"/>
          <w:szCs w:val="21"/>
        </w:rPr>
        <w:t>培训教材安排；</w:t>
      </w:r>
    </w:p>
    <w:p w14:paraId="13A080EA">
      <w:pPr>
        <w:numPr>
          <w:ilvl w:val="0"/>
          <w:numId w:val="9"/>
        </w:numPr>
        <w:spacing w:line="360" w:lineRule="auto"/>
        <w:ind w:left="0" w:firstLine="420" w:firstLineChars="200"/>
        <w:rPr>
          <w:rFonts w:eastAsiaTheme="minorHAnsi"/>
          <w:szCs w:val="21"/>
        </w:rPr>
      </w:pPr>
      <w:r>
        <w:rPr>
          <w:rFonts w:eastAsiaTheme="minorHAnsi"/>
          <w:szCs w:val="21"/>
        </w:rPr>
        <w:t>培训时间安排；</w:t>
      </w:r>
    </w:p>
    <w:p w14:paraId="7DE6A003">
      <w:pPr>
        <w:pStyle w:val="3"/>
        <w:spacing w:line="360" w:lineRule="auto"/>
        <w:rPr>
          <w:rFonts w:asciiTheme="minorHAnsi" w:hAnsiTheme="minorHAnsi" w:eastAsiaTheme="minorHAnsi"/>
          <w:sz w:val="28"/>
        </w:rPr>
      </w:pPr>
      <w:bookmarkStart w:id="18" w:name="_Toc291"/>
      <w:bookmarkStart w:id="19" w:name="_Toc166754176"/>
      <w:r>
        <w:rPr>
          <w:rFonts w:hint="eastAsia" w:asciiTheme="minorHAnsi" w:hAnsiTheme="minorHAnsi" w:eastAsiaTheme="minorHAnsi"/>
          <w:sz w:val="28"/>
        </w:rPr>
        <w:t>6、验收标准</w:t>
      </w:r>
      <w:bookmarkEnd w:id="18"/>
      <w:bookmarkEnd w:id="19"/>
    </w:p>
    <w:p w14:paraId="49BD14BE">
      <w:pPr>
        <w:pStyle w:val="14"/>
        <w:numPr>
          <w:ilvl w:val="0"/>
          <w:numId w:val="10"/>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中标人完成本项目应达到的质量标准应符合国家、地方及相关政府管理部门和行业与本项目有关的各项技术标准、规范要求，并满足采购人实际需求，标准、规范等不一致的，以要求高（严格）的为准。</w:t>
      </w:r>
    </w:p>
    <w:p w14:paraId="17EF863C">
      <w:pPr>
        <w:pStyle w:val="14"/>
        <w:numPr>
          <w:ilvl w:val="0"/>
          <w:numId w:val="10"/>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本项目验收将由采购人组织进行或委托第三方进行。</w:t>
      </w:r>
    </w:p>
    <w:p w14:paraId="157C97DF">
      <w:pPr>
        <w:pStyle w:val="14"/>
        <w:numPr>
          <w:ilvl w:val="0"/>
          <w:numId w:val="10"/>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货物送达后，由采购人组织对货物的规格、数量、技术参数进行验收，验收通过后出具书面证明。如发现货物与合同规定不符的，采购人应当通知中标人提出退货或换货的要求，投标人应在接到甲方通知后的3个工作日内予以退还，费用由中标人承担。</w:t>
      </w:r>
    </w:p>
    <w:p w14:paraId="06C9EAAC">
      <w:pPr>
        <w:pStyle w:val="14"/>
        <w:numPr>
          <w:ilvl w:val="0"/>
          <w:numId w:val="10"/>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本项目连续2次验收未获通过，采购人有权解除合同并按照合同约定的违约条款处理。</w:t>
      </w:r>
    </w:p>
    <w:p w14:paraId="27658DCA">
      <w:pPr>
        <w:pStyle w:val="14"/>
        <w:numPr>
          <w:ilvl w:val="0"/>
          <w:numId w:val="10"/>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验收要求</w:t>
      </w:r>
    </w:p>
    <w:p w14:paraId="41CA89B9">
      <w:pPr>
        <w:pStyle w:val="14"/>
        <w:numPr>
          <w:ilvl w:val="0"/>
          <w:numId w:val="9"/>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设备到货后，采购人与中标人共同配合有关部门对所有设备进行开箱检查，出现损坏、数量不全或产品不对等问题时，由中标人负责解决。</w:t>
      </w:r>
    </w:p>
    <w:p w14:paraId="562C2059">
      <w:pPr>
        <w:pStyle w:val="14"/>
        <w:numPr>
          <w:ilvl w:val="0"/>
          <w:numId w:val="9"/>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根据标书要求对本次所有采购设备的型号、规格、数量、外形、外观、包装及资料、文件（如装箱单、保修单、随箱介质等）进行验收。</w:t>
      </w:r>
    </w:p>
    <w:p w14:paraId="49077808">
      <w:pPr>
        <w:pStyle w:val="14"/>
        <w:numPr>
          <w:ilvl w:val="0"/>
          <w:numId w:val="9"/>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设备安装、系统集成调试完成后，由中标人制定测试方案并经用户确认后，对产品的性能和配置进行测试检查，并形成测试报告。所有测试费用均应包含在投标总价中。</w:t>
      </w:r>
    </w:p>
    <w:p w14:paraId="404F2CDA">
      <w:pPr>
        <w:pStyle w:val="14"/>
        <w:numPr>
          <w:ilvl w:val="0"/>
          <w:numId w:val="9"/>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测试过程中出现设备产品性能指标或功能上不符合标书要求时，可经协商再次测试，经过三次测试仍达不到标书要求的性能和功能指标时，用户有权退货；由此产生的一切费用由中标人承担。</w:t>
      </w:r>
    </w:p>
    <w:p w14:paraId="5D4BF209">
      <w:pPr>
        <w:pStyle w:val="14"/>
        <w:numPr>
          <w:ilvl w:val="0"/>
          <w:numId w:val="9"/>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性能测试：使用如FIO工具，“云计算中心增能服务器设备（一）”单个主机IOPS ≥3万。</w:t>
      </w:r>
    </w:p>
    <w:p w14:paraId="470753F5">
      <w:pPr>
        <w:pStyle w:val="14"/>
        <w:numPr>
          <w:ilvl w:val="0"/>
          <w:numId w:val="9"/>
        </w:numPr>
        <w:adjustRightInd w:val="0"/>
        <w:snapToGrid w:val="0"/>
        <w:spacing w:line="360" w:lineRule="auto"/>
        <w:ind w:left="0" w:firstLine="420"/>
        <w:jc w:val="left"/>
        <w:rPr>
          <w:rFonts w:eastAsiaTheme="minorHAnsi"/>
          <w:color w:val="000000" w:themeColor="text1"/>
          <w:szCs w:val="21"/>
          <w14:textFill>
            <w14:solidFill>
              <w14:schemeClr w14:val="tx1"/>
            </w14:solidFill>
          </w14:textFill>
        </w:rPr>
      </w:pPr>
      <w:r>
        <w:rPr>
          <w:rFonts w:hint="eastAsia" w:eastAsiaTheme="minorHAnsi"/>
          <w:color w:val="000000" w:themeColor="text1"/>
          <w:szCs w:val="21"/>
          <w14:textFill>
            <w14:solidFill>
              <w14:schemeClr w14:val="tx1"/>
            </w14:solidFill>
          </w14:textFill>
        </w:rPr>
        <w:t>性能测试：使用如FIO工具，“云计算中心增能服务器设备（一）”集群IOPS≥20万，吞吐大于等于3GB/s。</w:t>
      </w:r>
    </w:p>
    <w:p w14:paraId="21F69E16">
      <w:pPr>
        <w:rPr>
          <w:rFonts w:eastAsiaTheme="minorHAnsi"/>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汉仪中宋简">
    <w:panose1 w:val="02010600000101010101"/>
    <w:charset w:val="86"/>
    <w:family w:val="auto"/>
    <w:pitch w:val="default"/>
    <w:sig w:usb0="00000001" w:usb1="080E0800" w:usb2="00000002" w:usb3="00000000" w:csb0="00040000" w:csb1="00000000"/>
  </w:font>
  <w:font w:name="等线 Light">
    <w:altName w:val="汉仪中宋简"/>
    <w:panose1 w:val="02010600030101010101"/>
    <w:charset w:val="86"/>
    <w:family w:val="auto"/>
    <w:pitch w:val="default"/>
    <w:sig w:usb0="00000000" w:usb1="00000000" w:usb2="00000016" w:usb3="00000000" w:csb0="0004000F" w:csb1="00000000"/>
  </w:font>
  <w:font w:name="Arial">
    <w:altName w:val="DejaVu Sans"/>
    <w:panose1 w:val="020B0604020202020204"/>
    <w:charset w:val="00"/>
    <w:family w:val="swiss"/>
    <w:pitch w:val="default"/>
    <w:sig w:usb0="00000000" w:usb1="00000000" w:usb2="00000009" w:usb3="00000000" w:csb0="000001FF" w:csb1="00000000"/>
  </w:font>
  <w:font w:name="等线">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等线 Light">
    <w:altName w:val="仿宋_GB2312"/>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765F37"/>
    <w:multiLevelType w:val="singleLevel"/>
    <w:tmpl w:val="F7765F37"/>
    <w:lvl w:ilvl="0" w:tentative="0">
      <w:start w:val="2"/>
      <w:numFmt w:val="chineseCounting"/>
      <w:suff w:val="nothing"/>
      <w:lvlText w:val="%1、"/>
      <w:lvlJc w:val="left"/>
      <w:rPr>
        <w:rFonts w:hint="eastAsia"/>
      </w:rPr>
    </w:lvl>
  </w:abstractNum>
  <w:abstractNum w:abstractNumId="1">
    <w:nsid w:val="04653760"/>
    <w:multiLevelType w:val="multilevel"/>
    <w:tmpl w:val="04653760"/>
    <w:lvl w:ilvl="0" w:tentative="0">
      <w:start w:val="1"/>
      <w:numFmt w:val="decimal"/>
      <w:lvlText w:val="%1)"/>
      <w:lvlJc w:val="left"/>
      <w:pPr>
        <w:ind w:left="900" w:hanging="420"/>
      </w:pPr>
      <w:rPr>
        <w:rFonts w:hint="eastAsia"/>
      </w:r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0AC01221"/>
    <w:multiLevelType w:val="multilevel"/>
    <w:tmpl w:val="0AC01221"/>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148452BA"/>
    <w:multiLevelType w:val="multilevel"/>
    <w:tmpl w:val="148452BA"/>
    <w:lvl w:ilvl="0" w:tentative="0">
      <w:start w:val="1"/>
      <w:numFmt w:val="decimal"/>
      <w:lvlText w:val="%1)"/>
      <w:lvlJc w:val="left"/>
      <w:pPr>
        <w:ind w:left="1272"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1E362B77"/>
    <w:multiLevelType w:val="multilevel"/>
    <w:tmpl w:val="1E362B77"/>
    <w:lvl w:ilvl="0" w:tentative="0">
      <w:start w:val="1"/>
      <w:numFmt w:val="bullet"/>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5">
    <w:nsid w:val="432348E3"/>
    <w:multiLevelType w:val="multilevel"/>
    <w:tmpl w:val="432348E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4"/>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8241832"/>
    <w:multiLevelType w:val="multilevel"/>
    <w:tmpl w:val="58241832"/>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59C52ED9"/>
    <w:multiLevelType w:val="multilevel"/>
    <w:tmpl w:val="59C52ED9"/>
    <w:lvl w:ilvl="0" w:tentative="0">
      <w:start w:val="1"/>
      <w:numFmt w:val="decimal"/>
      <w:lvlText w:val="%1)"/>
      <w:lvlJc w:val="left"/>
      <w:pPr>
        <w:ind w:left="900" w:hanging="420"/>
      </w:pPr>
      <w:rPr>
        <w:rFonts w:hint="eastAsia"/>
      </w:r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6EC37A78"/>
    <w:multiLevelType w:val="multilevel"/>
    <w:tmpl w:val="6EC37A7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76CC449B"/>
    <w:multiLevelType w:val="multilevel"/>
    <w:tmpl w:val="76CC449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5"/>
  </w:num>
  <w:num w:numId="2">
    <w:abstractNumId w:val="0"/>
  </w:num>
  <w:num w:numId="3">
    <w:abstractNumId w:val="4"/>
  </w:num>
  <w:num w:numId="4">
    <w:abstractNumId w:val="9"/>
  </w:num>
  <w:num w:numId="5">
    <w:abstractNumId w:val="8"/>
  </w:num>
  <w:num w:numId="6">
    <w:abstractNumId w:val="6"/>
  </w:num>
  <w:num w:numId="7">
    <w:abstractNumId w:val="3"/>
  </w:num>
  <w:num w:numId="8">
    <w:abstractNumId w:val="7"/>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EE1"/>
    <w:rsid w:val="00006CF6"/>
    <w:rsid w:val="00046D04"/>
    <w:rsid w:val="00063F92"/>
    <w:rsid w:val="000708DC"/>
    <w:rsid w:val="00106B28"/>
    <w:rsid w:val="001278A5"/>
    <w:rsid w:val="001D436A"/>
    <w:rsid w:val="002248E5"/>
    <w:rsid w:val="002524F8"/>
    <w:rsid w:val="00283C0E"/>
    <w:rsid w:val="002D6DF0"/>
    <w:rsid w:val="0037253F"/>
    <w:rsid w:val="003846E0"/>
    <w:rsid w:val="003A0531"/>
    <w:rsid w:val="003A6DCE"/>
    <w:rsid w:val="003A7FF6"/>
    <w:rsid w:val="003C3EDC"/>
    <w:rsid w:val="003D5322"/>
    <w:rsid w:val="003E2624"/>
    <w:rsid w:val="003E4D87"/>
    <w:rsid w:val="00403A9A"/>
    <w:rsid w:val="00431507"/>
    <w:rsid w:val="00466663"/>
    <w:rsid w:val="004A0514"/>
    <w:rsid w:val="004D1F1F"/>
    <w:rsid w:val="004D5315"/>
    <w:rsid w:val="004F0FFF"/>
    <w:rsid w:val="00505B25"/>
    <w:rsid w:val="005270CC"/>
    <w:rsid w:val="00534A44"/>
    <w:rsid w:val="00561B7F"/>
    <w:rsid w:val="005920A0"/>
    <w:rsid w:val="005C3219"/>
    <w:rsid w:val="005C7903"/>
    <w:rsid w:val="00694EB5"/>
    <w:rsid w:val="006A6FCA"/>
    <w:rsid w:val="00710A2B"/>
    <w:rsid w:val="00717D8B"/>
    <w:rsid w:val="0072078A"/>
    <w:rsid w:val="00725B69"/>
    <w:rsid w:val="007539C3"/>
    <w:rsid w:val="00782E2E"/>
    <w:rsid w:val="00792930"/>
    <w:rsid w:val="007D1D48"/>
    <w:rsid w:val="008022A6"/>
    <w:rsid w:val="0082108F"/>
    <w:rsid w:val="008271F3"/>
    <w:rsid w:val="0088627D"/>
    <w:rsid w:val="008F4CB5"/>
    <w:rsid w:val="0090134D"/>
    <w:rsid w:val="0094156F"/>
    <w:rsid w:val="00956931"/>
    <w:rsid w:val="009730D8"/>
    <w:rsid w:val="009A550E"/>
    <w:rsid w:val="00A34680"/>
    <w:rsid w:val="00A84823"/>
    <w:rsid w:val="00AD4EE1"/>
    <w:rsid w:val="00AF4770"/>
    <w:rsid w:val="00B875FE"/>
    <w:rsid w:val="00B94BAB"/>
    <w:rsid w:val="00BD6C87"/>
    <w:rsid w:val="00BF3641"/>
    <w:rsid w:val="00C1280A"/>
    <w:rsid w:val="00C147E1"/>
    <w:rsid w:val="00C20D2E"/>
    <w:rsid w:val="00C46D8B"/>
    <w:rsid w:val="00C52D92"/>
    <w:rsid w:val="00C663E1"/>
    <w:rsid w:val="00CA49D6"/>
    <w:rsid w:val="00DA38E5"/>
    <w:rsid w:val="00DF41ED"/>
    <w:rsid w:val="00E1462C"/>
    <w:rsid w:val="00E16AE8"/>
    <w:rsid w:val="00E366F5"/>
    <w:rsid w:val="00EA2ED0"/>
    <w:rsid w:val="00EB2A49"/>
    <w:rsid w:val="00EF60AF"/>
    <w:rsid w:val="00F12232"/>
    <w:rsid w:val="00F27397"/>
    <w:rsid w:val="00F53987"/>
    <w:rsid w:val="00F618D9"/>
    <w:rsid w:val="00FA312A"/>
    <w:rsid w:val="00FE55D4"/>
    <w:rsid w:val="00FE582B"/>
    <w:rsid w:val="08670714"/>
    <w:rsid w:val="087B3CF2"/>
    <w:rsid w:val="0F274759"/>
    <w:rsid w:val="12485112"/>
    <w:rsid w:val="157955E3"/>
    <w:rsid w:val="16953CC6"/>
    <w:rsid w:val="188E6BEA"/>
    <w:rsid w:val="18963552"/>
    <w:rsid w:val="18D6574D"/>
    <w:rsid w:val="19726F19"/>
    <w:rsid w:val="1AF06347"/>
    <w:rsid w:val="1B1C538E"/>
    <w:rsid w:val="1D9F4D63"/>
    <w:rsid w:val="1F533349"/>
    <w:rsid w:val="263A491A"/>
    <w:rsid w:val="296C74E1"/>
    <w:rsid w:val="2F3C7955"/>
    <w:rsid w:val="37BD53AB"/>
    <w:rsid w:val="390E2362"/>
    <w:rsid w:val="3D3305EA"/>
    <w:rsid w:val="41850CE8"/>
    <w:rsid w:val="42B06238"/>
    <w:rsid w:val="43731BD7"/>
    <w:rsid w:val="441D16AC"/>
    <w:rsid w:val="448239EF"/>
    <w:rsid w:val="47F7A169"/>
    <w:rsid w:val="4C7E2F03"/>
    <w:rsid w:val="4DEE5E67"/>
    <w:rsid w:val="50F814D6"/>
    <w:rsid w:val="51E41A5B"/>
    <w:rsid w:val="51F669DD"/>
    <w:rsid w:val="55FB7106"/>
    <w:rsid w:val="576DCFF1"/>
    <w:rsid w:val="5A0F163F"/>
    <w:rsid w:val="5B1F5EC6"/>
    <w:rsid w:val="5B8A3673"/>
    <w:rsid w:val="5EFB92D0"/>
    <w:rsid w:val="5F4C7480"/>
    <w:rsid w:val="604162CA"/>
    <w:rsid w:val="60C61C86"/>
    <w:rsid w:val="63FF44D2"/>
    <w:rsid w:val="655553D6"/>
    <w:rsid w:val="6679F61F"/>
    <w:rsid w:val="693D7F76"/>
    <w:rsid w:val="69AF24F6"/>
    <w:rsid w:val="69F148BD"/>
    <w:rsid w:val="6A486BD3"/>
    <w:rsid w:val="6AA45DD3"/>
    <w:rsid w:val="6AB04778"/>
    <w:rsid w:val="6BB43DF4"/>
    <w:rsid w:val="6BE50451"/>
    <w:rsid w:val="70514307"/>
    <w:rsid w:val="709D12FB"/>
    <w:rsid w:val="732E66D2"/>
    <w:rsid w:val="77302EC9"/>
    <w:rsid w:val="77E45A61"/>
    <w:rsid w:val="77FF8CFA"/>
    <w:rsid w:val="79181E66"/>
    <w:rsid w:val="7A4D5B40"/>
    <w:rsid w:val="7B42141C"/>
    <w:rsid w:val="7E9B1744"/>
    <w:rsid w:val="7FFE4203"/>
    <w:rsid w:val="BF7FA05D"/>
    <w:rsid w:val="DEF726D1"/>
    <w:rsid w:val="FBCF4AAD"/>
    <w:rsid w:val="FFFD7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4"/>
    <w:basedOn w:val="1"/>
    <w:next w:val="1"/>
    <w:link w:val="17"/>
    <w:qFormat/>
    <w:uiPriority w:val="0"/>
    <w:pPr>
      <w:keepNext/>
      <w:widowControl/>
      <w:numPr>
        <w:ilvl w:val="3"/>
        <w:numId w:val="1"/>
      </w:numPr>
      <w:spacing w:before="240" w:after="60" w:line="360" w:lineRule="auto"/>
      <w:ind w:left="0" w:firstLine="0"/>
      <w:outlineLvl w:val="3"/>
    </w:pPr>
    <w:rPr>
      <w:rFonts w:ascii="宋体" w:hAnsi="Arial" w:eastAsia="宋体" w:cs="Times New Roman"/>
      <w:b/>
      <w:kern w:val="0"/>
      <w:sz w:val="24"/>
      <w:szCs w:val="2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0"/>
    <w:semiHidden/>
    <w:unhideWhenUsed/>
    <w:qFormat/>
    <w:uiPriority w:val="99"/>
    <w:pPr>
      <w:jc w:val="left"/>
    </w:pPr>
  </w:style>
  <w:style w:type="paragraph" w:styleId="6">
    <w:name w:val="Balloon Text"/>
    <w:basedOn w:val="1"/>
    <w:link w:val="19"/>
    <w:semiHidden/>
    <w:unhideWhenUsed/>
    <w:qFormat/>
    <w:uiPriority w:val="99"/>
    <w:rPr>
      <w:sz w:val="18"/>
      <w:szCs w:val="18"/>
    </w:rPr>
  </w:style>
  <w:style w:type="paragraph" w:styleId="7">
    <w:name w:val="footer"/>
    <w:basedOn w:val="1"/>
    <w:link w:val="23"/>
    <w:unhideWhenUsed/>
    <w:qFormat/>
    <w:uiPriority w:val="99"/>
    <w:pPr>
      <w:tabs>
        <w:tab w:val="center" w:pos="4153"/>
        <w:tab w:val="right" w:pos="8306"/>
      </w:tabs>
      <w:snapToGrid w:val="0"/>
      <w:jc w:val="left"/>
    </w:pPr>
    <w:rPr>
      <w:sz w:val="18"/>
      <w:szCs w:val="18"/>
    </w:rPr>
  </w:style>
  <w:style w:type="paragraph" w:styleId="8">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link w:val="21"/>
    <w:semiHidden/>
    <w:unhideWhenUsed/>
    <w:qFormat/>
    <w:uiPriority w:val="99"/>
    <w:rPr>
      <w:b/>
      <w:bCs/>
    </w:rPr>
  </w:style>
  <w:style w:type="character" w:styleId="12">
    <w:name w:val="Strong"/>
    <w:basedOn w:val="11"/>
    <w:qFormat/>
    <w:uiPriority w:val="22"/>
    <w:rPr>
      <w:b/>
      <w:bCs/>
    </w:rPr>
  </w:style>
  <w:style w:type="character" w:styleId="13">
    <w:name w:val="annotation reference"/>
    <w:basedOn w:val="11"/>
    <w:semiHidden/>
    <w:unhideWhenUsed/>
    <w:qFormat/>
    <w:uiPriority w:val="99"/>
    <w:rPr>
      <w:sz w:val="21"/>
      <w:szCs w:val="21"/>
    </w:rPr>
  </w:style>
  <w:style w:type="paragraph" w:styleId="14">
    <w:name w:val="List Paragraph"/>
    <w:basedOn w:val="1"/>
    <w:link w:val="18"/>
    <w:qFormat/>
    <w:uiPriority w:val="34"/>
    <w:pPr>
      <w:ind w:firstLine="420" w:firstLineChars="200"/>
    </w:pPr>
  </w:style>
  <w:style w:type="character" w:customStyle="1" w:styleId="15">
    <w:name w:val="标题 1 字符"/>
    <w:basedOn w:val="11"/>
    <w:link w:val="2"/>
    <w:qFormat/>
    <w:uiPriority w:val="9"/>
    <w:rPr>
      <w:b/>
      <w:bCs/>
      <w:kern w:val="44"/>
      <w:sz w:val="44"/>
      <w:szCs w:val="44"/>
    </w:rPr>
  </w:style>
  <w:style w:type="character" w:customStyle="1" w:styleId="16">
    <w:name w:val="标题 2 字符"/>
    <w:basedOn w:val="11"/>
    <w:link w:val="3"/>
    <w:qFormat/>
    <w:uiPriority w:val="9"/>
    <w:rPr>
      <w:rFonts w:asciiTheme="majorHAnsi" w:hAnsiTheme="majorHAnsi" w:eastAsiaTheme="majorEastAsia" w:cstheme="majorBidi"/>
      <w:b/>
      <w:bCs/>
      <w:sz w:val="32"/>
      <w:szCs w:val="32"/>
    </w:rPr>
  </w:style>
  <w:style w:type="character" w:customStyle="1" w:styleId="17">
    <w:name w:val="标题 4 字符"/>
    <w:basedOn w:val="11"/>
    <w:link w:val="4"/>
    <w:qFormat/>
    <w:uiPriority w:val="0"/>
    <w:rPr>
      <w:rFonts w:ascii="宋体" w:hAnsi="Arial" w:eastAsia="宋体" w:cs="Times New Roman"/>
      <w:b/>
      <w:kern w:val="0"/>
      <w:sz w:val="24"/>
      <w:szCs w:val="20"/>
    </w:rPr>
  </w:style>
  <w:style w:type="character" w:customStyle="1" w:styleId="18">
    <w:name w:val="列表段落 字符"/>
    <w:link w:val="14"/>
    <w:autoRedefine/>
    <w:qFormat/>
    <w:locked/>
    <w:uiPriority w:val="34"/>
  </w:style>
  <w:style w:type="character" w:customStyle="1" w:styleId="19">
    <w:name w:val="批注框文本 字符"/>
    <w:basedOn w:val="11"/>
    <w:link w:val="6"/>
    <w:semiHidden/>
    <w:qFormat/>
    <w:uiPriority w:val="99"/>
    <w:rPr>
      <w:rFonts w:asciiTheme="minorHAnsi" w:hAnsiTheme="minorHAnsi" w:eastAsiaTheme="minorEastAsia" w:cstheme="minorBidi"/>
      <w:kern w:val="2"/>
      <w:sz w:val="18"/>
      <w:szCs w:val="18"/>
    </w:rPr>
  </w:style>
  <w:style w:type="character" w:customStyle="1" w:styleId="20">
    <w:name w:val="批注文字 字符"/>
    <w:basedOn w:val="11"/>
    <w:link w:val="5"/>
    <w:semiHidden/>
    <w:qFormat/>
    <w:uiPriority w:val="99"/>
    <w:rPr>
      <w:rFonts w:asciiTheme="minorHAnsi" w:hAnsiTheme="minorHAnsi" w:eastAsiaTheme="minorEastAsia" w:cstheme="minorBidi"/>
      <w:kern w:val="2"/>
      <w:sz w:val="21"/>
      <w:szCs w:val="22"/>
    </w:rPr>
  </w:style>
  <w:style w:type="character" w:customStyle="1" w:styleId="21">
    <w:name w:val="批注主题 字符"/>
    <w:basedOn w:val="20"/>
    <w:link w:val="9"/>
    <w:semiHidden/>
    <w:qFormat/>
    <w:uiPriority w:val="99"/>
    <w:rPr>
      <w:rFonts w:asciiTheme="minorHAnsi" w:hAnsiTheme="minorHAnsi" w:eastAsiaTheme="minorEastAsia" w:cstheme="minorBidi"/>
      <w:b/>
      <w:bCs/>
      <w:kern w:val="2"/>
      <w:sz w:val="21"/>
      <w:szCs w:val="22"/>
    </w:rPr>
  </w:style>
  <w:style w:type="character" w:customStyle="1" w:styleId="22">
    <w:name w:val="页眉 字符"/>
    <w:basedOn w:val="11"/>
    <w:link w:val="8"/>
    <w:qFormat/>
    <w:uiPriority w:val="99"/>
    <w:rPr>
      <w:rFonts w:asciiTheme="minorHAnsi" w:hAnsiTheme="minorHAnsi" w:eastAsiaTheme="minorEastAsia" w:cstheme="minorBidi"/>
      <w:kern w:val="2"/>
      <w:sz w:val="18"/>
      <w:szCs w:val="18"/>
    </w:rPr>
  </w:style>
  <w:style w:type="character" w:customStyle="1" w:styleId="23">
    <w:name w:val="页脚 字符"/>
    <w:basedOn w:val="11"/>
    <w:link w:val="7"/>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xmlns="http://schemas.wps.cn/vas-ai-hub/contract-review">
    <reviewItem xmlns="http://schemas.wps.cn/vas-ai-hub/contract-review">
      <errorID xmlns="http://schemas.wps.cn/vas-ai-hub/contract-review">0bdb3ce6-aa7d-4cf7-a6a6-bf75b68b2da2</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5C6E8D42</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0b952936-5abb-41a2-9902-3eeb37a606f1</errorID>
      <errorWord xmlns="http://schemas.wps.cn/vas-ai-hub/contract-review">的的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的</item>
      </candidateList>
      <explain xmlns="http://schemas.wps.cn/vas-ai-hub/contract-review">“的”常用于连接修饰语与名词性中心语，表示属性、所属或描述。</explain>
      <paraID xmlns="http://schemas.wps.cn/vas-ai-hub/contract-review">20D7FB9B</paraID>
      <start xmlns="http://schemas.wps.cn/vas-ai-hub/contract-review">212</start>
      <end xmlns="http://schemas.wps.cn/vas-ai-hub/contract-review">215</end>
      <status xmlns="http://schemas.wps.cn/vas-ai-hub/contract-review">modified</status>
      <modifiedWord xmlns="http://schemas.wps.cn/vas-ai-hub/contract-review">的</modifiedWord>
      <trackRevisions xmlns="http://schemas.wps.cn/vas-ai-hub/contract-review">true</trackRevisions>
    </reviewItem>
    <reviewItem xmlns="http://schemas.wps.cn/vas-ai-hub/contract-review">
      <errorID xmlns="http://schemas.wps.cn/vas-ai-hub/contract-review">82cc36e1-b2e3-47d8-ae70-875d79996aa3</errorID>
      <errorWord xmlns="http://schemas.wps.cn/vas-ai-hub/contract-review">支持支持</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支持</item>
      </candidateList>
      <explain xmlns="http://schemas.wps.cn/vas-ai-hub/contract-review"/>
      <paraID xmlns="http://schemas.wps.cn/vas-ai-hub/contract-review">374B8677</paraID>
      <start xmlns="http://schemas.wps.cn/vas-ai-hub/contract-review">6</start>
      <end xmlns="http://schemas.wps.cn/vas-ai-hub/contract-review">12</end>
      <status xmlns="http://schemas.wps.cn/vas-ai-hub/contract-review">modified</status>
      <modifiedWord xmlns="http://schemas.wps.cn/vas-ai-hub/contract-review">支持</modifiedWord>
      <trackRevisions xmlns="http://schemas.wps.cn/vas-ai-hub/contract-review">true</trackRevisions>
    </reviewItem>
    <reviewItem xmlns="http://schemas.wps.cn/vas-ai-hub/contract-review">
      <errorID xmlns="http://schemas.wps.cn/vas-ai-hub/contract-review">cc585da5-d523-4eee-9fb2-3172b30459c4</errorID>
      <errorWord xmlns="http://schemas.wps.cn/vas-ai-hub/contract-review">、以及</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，以及</item>
      </candidateList>
      <explain xmlns="http://schemas.wps.cn/vas-ai-hub/contract-review">连接词前后不宜使用顿号，建议使用逗号。</explain>
      <paraID xmlns="http://schemas.wps.cn/vas-ai-hub/contract-review">76B2B463</paraID>
      <start xmlns="http://schemas.wps.cn/vas-ai-hub/contract-review">41</start>
      <end xmlns="http://schemas.wps.cn/vas-ai-hub/contract-review">47</end>
      <status xmlns="http://schemas.wps.cn/vas-ai-hub/contract-review">modified</status>
      <modifiedWord xmlns="http://schemas.wps.cn/vas-ai-hub/contract-review">，以及</modifiedWord>
      <trackRevisions xmlns="http://schemas.wps.cn/vas-ai-hub/contract-review">true</trackRevisions>
    </reviewItem>
    <reviewItem xmlns="http://schemas.wps.cn/vas-ai-hub/contract-review">
      <errorID xmlns="http://schemas.wps.cn/vas-ai-hub/contract-review">0fcd02f4-f54f-4bce-8d80-712dcc2f8f75</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11D6D8B3</paraID>
      <start xmlns="http://schemas.wps.cn/vas-ai-hub/contract-review">7</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b5b69d64-850c-4b02-9ece-517f3f844489</errorID>
      <errorWord xmlns="http://schemas.wps.cn/vas-ai-hub/contract-review">中来</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中</item>
      </candidateList>
      <explain xmlns="http://schemas.wps.cn/vas-ai-hub/contract-review">〈动〉❶正对上；恰好合上：～选｜猜～了｜三枪都打～了目标。❷受到；遭受：～毒｜～暑｜胳膊上～了一枪。</explain>
      <paraID xmlns="http://schemas.wps.cn/vas-ai-hub/contract-review">66411598</paraID>
      <start xmlns="http://schemas.wps.cn/vas-ai-hub/contract-review">37</start>
      <end xmlns="http://schemas.wps.cn/vas-ai-hub/contract-review">40</end>
      <status xmlns="http://schemas.wps.cn/vas-ai-hub/contract-review">modified</status>
      <modifiedWord xmlns="http://schemas.wps.cn/vas-ai-hub/contract-review">中</modifiedWord>
      <trackRevisions xmlns="http://schemas.wps.cn/vas-ai-hub/contract-review">true</trackRevisions>
    </reviewItem>
    <reviewItem xmlns="http://schemas.wps.cn/vas-ai-hub/contract-review">
      <errorID xmlns="http://schemas.wps.cn/vas-ai-hub/contract-review">fb6e5a10-c76f-4866-8d4a-518ae8131d36</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AD783A6</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95d0a013-d978-4667-bfbb-fd5462e367ca</errorID>
      <errorWord xmlns="http://schemas.wps.cn/vas-ai-hub/contract-review">、以及</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，以及</item>
      </candidateList>
      <explain xmlns="http://schemas.wps.cn/vas-ai-hub/contract-review">连接词前后不宜使用顿号，建议使用逗号。</explain>
      <paraID xmlns="http://schemas.wps.cn/vas-ai-hub/contract-review">5E2D48D8</paraID>
      <start xmlns="http://schemas.wps.cn/vas-ai-hub/contract-review">41</start>
      <end xmlns="http://schemas.wps.cn/vas-ai-hub/contract-review">47</end>
      <status xmlns="http://schemas.wps.cn/vas-ai-hub/contract-review">modified</status>
      <modifiedWord xmlns="http://schemas.wps.cn/vas-ai-hub/contract-review">，以及</modifiedWord>
      <trackRevisions xmlns="http://schemas.wps.cn/vas-ai-hub/contract-review">true</trackRevisions>
    </reviewItem>
    <reviewItem xmlns="http://schemas.wps.cn/vas-ai-hub/contract-review">
      <errorID xmlns="http://schemas.wps.cn/vas-ai-hub/contract-review">bee2bd32-27b0-4e24-a399-f9aa5c6ce5fc</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6868C522</paraID>
      <start xmlns="http://schemas.wps.cn/vas-ai-hub/contract-review">7</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423c8e03-9324-46b8-88ed-844df89b8a93</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33CE1A52</paraID>
      <start xmlns="http://schemas.wps.cn/vas-ai-hub/contract-review">15</start>
      <end xmlns="http://schemas.wps.cn/vas-ai-hub/contract-review">16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66535bb7-309d-42ad-9add-cbc1e3df0240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33CE1A52</paraID>
      <start xmlns="http://schemas.wps.cn/vas-ai-hub/contract-review">24</start>
      <end xmlns="http://schemas.wps.cn/vas-ai-hub/contract-review">25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57a98aa6-fb03-4eca-901c-cf73a3472e0b</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33CE1A52</paraID>
      <start xmlns="http://schemas.wps.cn/vas-ai-hub/contract-review">48</start>
      <end xmlns="http://schemas.wps.cn/vas-ai-hub/contract-review">49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1f28bb28-3f84-457a-866e-5abb6d400026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33CE1A52</paraID>
      <start xmlns="http://schemas.wps.cn/vas-ai-hub/contract-review">54</start>
      <end xmlns="http://schemas.wps.cn/vas-ai-hub/contract-review">55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5c08a895-0864-416f-814c-40a0ffe0a7d1</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33CE1A52</paraID>
      <start xmlns="http://schemas.wps.cn/vas-ai-hub/contract-review">63</start>
      <end xmlns="http://schemas.wps.cn/vas-ai-hub/contract-review">64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3c8a52f8-3f1f-464d-9569-dfe18d2a58d2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33CE1A52</paraID>
      <start xmlns="http://schemas.wps.cn/vas-ai-hub/contract-review">93</start>
      <end xmlns="http://schemas.wps.cn/vas-ai-hub/contract-review">94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5b5f4356-a73e-409c-a810-8e3656fa5b7e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33CE1A52</paraID>
      <start xmlns="http://schemas.wps.cn/vas-ai-hub/contract-review">101</start>
      <end xmlns="http://schemas.wps.cn/vas-ai-hub/contract-review">102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94da9f65-d51b-468e-b665-343379f89909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33CE1A52</paraID>
      <start xmlns="http://schemas.wps.cn/vas-ai-hub/contract-review">110</start>
      <end xmlns="http://schemas.wps.cn/vas-ai-hub/contract-review">111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f57e2363-ccf6-43d7-b5c0-e8cb7d68aa3b</errorID>
      <errorWord xmlns="http://schemas.wps.cn/vas-ai-hub/contract-review">本此</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本次</item>
      </candidateList>
      <explain xmlns="http://schemas.wps.cn/vas-ai-hub/contract-review"/>
      <paraID xmlns="http://schemas.wps.cn/vas-ai-hub/contract-review">710AA7B9</paraID>
      <start xmlns="http://schemas.wps.cn/vas-ai-hub/contract-review">0</start>
      <end xmlns="http://schemas.wps.cn/vas-ai-hub/contract-review">4</end>
      <status xmlns="http://schemas.wps.cn/vas-ai-hub/contract-review">modified</status>
      <modifiedWord xmlns="http://schemas.wps.cn/vas-ai-hub/contract-review">本次</modifiedWord>
      <trackRevisions xmlns="http://schemas.wps.cn/vas-ai-hub/contract-review">true</trackRevisions>
    </reviewItem>
    <reviewItem xmlns="http://schemas.wps.cn/vas-ai-hub/contract-review">
      <errorID xmlns="http://schemas.wps.cn/vas-ai-hub/contract-review">5af8e9d5-feea-481a-b07f-7ce36441560c</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536EE1E</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8f7d78e6-e242-4e3a-9d00-160beff2838d</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306F2A3C</paraID>
      <start xmlns="http://schemas.wps.cn/vas-ai-hub/contract-review">1</start>
      <end xmlns="http://schemas.wps.cn/vas-ai-hub/contract-review">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1c823ba0-53c6-4e5b-a004-2adc8e547a7e</errorID>
      <errorWord xmlns="http://schemas.wps.cn/vas-ai-hub/contract-review">期</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期内</item>
      </candidateList>
      <explain xmlns="http://schemas.wps.cn/vas-ai-hub/contract-review"/>
      <paraID xmlns="http://schemas.wps.cn/vas-ai-hub/contract-review">3C14BBCA</paraID>
      <start xmlns="http://schemas.wps.cn/vas-ai-hub/contract-review">112</start>
      <end xmlns="http://schemas.wps.cn/vas-ai-hub/contract-review">115</end>
      <status xmlns="http://schemas.wps.cn/vas-ai-hub/contract-review">modified</status>
      <modifiedWord xmlns="http://schemas.wps.cn/vas-ai-hub/contract-review">期内</modifiedWord>
      <trackRevisions xmlns="http://schemas.wps.cn/vas-ai-hub/contract-review">true</trackRevisions>
    </reviewItem>
    <reviewItem xmlns="http://schemas.wps.cn/vas-ai-hub/contract-review">
      <errorID xmlns="http://schemas.wps.cn/vas-ai-hub/contract-review">bff5452b-3838-4bdc-a430-cafac236d293</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6D4C4366</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c49da1f1-f0b2-4a81-87a4-f12502fbd359</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68FA958</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4a20677b-a565-42dd-bda2-d5e45134dff1</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3564BD43</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0a14a75d-d96e-42c8-8799-efb9931f9a56</errorID>
      <errorWord xmlns="http://schemas.wps.cn/vas-ai-hub/contract-review">5、</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5.</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70C3D484</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64dea15b-378f-4e51-b465-52c6889b2616</errorID>
      <errorWord xmlns="http://schemas.wps.cn/vas-ai-hub/contract-review">6、</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6.</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7DE6A003</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3d4cdb14-124c-4dac-afb7-de7ec41cbfb2</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同一形式括号套用。</explain>
      <paraID xmlns="http://schemas.wps.cn/vas-ai-hub/contract-review">26B3DFC9</paraID>
      <start xmlns="http://schemas.wps.cn/vas-ai-hub/contract-review">49</start>
      <end xmlns="http://schemas.wps.cn/vas-ai-hub/contract-review">50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3136383e-0ae1-46e4-9835-da6696b46700</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同一形式括号套用。</explain>
      <paraID xmlns="http://schemas.wps.cn/vas-ai-hub/contract-review">26B3DFC9</paraID>
      <start xmlns="http://schemas.wps.cn/vas-ai-hub/contract-review">54</start>
      <end xmlns="http://schemas.wps.cn/vas-ai-hub/contract-review">55</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F6BAD121-5991-44F2-AC28-ADC2945FE688}">
  <ds:schemaRefs/>
</ds:datastoreItem>
</file>

<file path=docProps/app.xml><?xml version="1.0" encoding="utf-8"?>
<Properties xmlns="http://schemas.openxmlformats.org/officeDocument/2006/extended-properties" xmlns:vt="http://schemas.openxmlformats.org/officeDocument/2006/docPropsVTypes">
  <Template>Normal</Template>
  <Pages>15</Pages>
  <Words>1674</Words>
  <Characters>9546</Characters>
  <Lines>79</Lines>
  <Paragraphs>22</Paragraphs>
  <TotalTime>16</TotalTime>
  <ScaleCrop>false</ScaleCrop>
  <LinksUpToDate>false</LinksUpToDate>
  <CharactersWithSpaces>11198</CharactersWithSpaces>
  <Application>WPS Office_12.8.2.1118_F1E327BC-269C-435d-A152-05C5408002CA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2026-03-26T06:04:00Z</dcterms:created>
  <dc:creator>user</dc:creator>
  <cp:lastModifiedBy>user</cp:lastModifiedBy>
  <dcterms:modified xsi:type="dcterms:W3CDTF">2026-05-15T13:44:01Z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eyJoZGlkIjoiMTNlYzg2MzE2YTBlZGRlYjE1MWU2NDlhYjhhYWFmNTIiLCJ1c2VySWQiOiI0NjE4MTgyMTQifQ==</vt:lpwstr>
  </property>
  <property fmtid="{D5CDD505-2E9C-101B-9397-08002B2CF9AE}" pid="3" name="KSOProductBuildVer">
    <vt:lpwstr>2052-12.8.2.1118</vt:lpwstr>
  </property>
  <property fmtid="{D5CDD505-2E9C-101B-9397-08002B2CF9AE}" pid="4" name="ICV">
    <vt:lpwstr>2A78E7F3C45741288D0E060517604421_13</vt:lpwstr>
  </property>
</Properties>
</file>