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48"/>
          <w:szCs w:val="48"/>
          <w:highlight w:val="none"/>
        </w:rPr>
      </w:pP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基于上海市卫生健康数据的医疗健康公共服务总线子系统建设项目</w:t>
      </w:r>
    </w:p>
    <w:p>
      <w:pPr>
        <w:ind w:firstLine="0" w:firstLineChars="0"/>
        <w:jc w:val="center"/>
        <w:rPr>
          <w:rFonts w:hint="eastAsia" w:ascii="黑体" w:hAnsi="黑体" w:eastAsia="黑体"/>
          <w:sz w:val="52"/>
          <w:szCs w:val="52"/>
          <w:highlight w:val="none"/>
        </w:rPr>
      </w:pPr>
      <w:r>
        <w:rPr>
          <w:rFonts w:hint="eastAsia" w:ascii="黑体" w:hAnsi="黑体" w:eastAsia="黑体"/>
          <w:sz w:val="52"/>
          <w:szCs w:val="52"/>
          <w:highlight w:val="none"/>
        </w:rPr>
        <w:t>采购需求</w:t>
      </w:r>
    </w:p>
    <w:p>
      <w:pPr>
        <w:ind w:firstLine="1040"/>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ind w:firstLine="1040"/>
        <w:rPr>
          <w:rFonts w:hint="eastAsia" w:ascii="黑体" w:hAnsi="黑体" w:eastAsia="黑体"/>
          <w:sz w:val="52"/>
          <w:szCs w:val="52"/>
          <w:highlight w:val="none"/>
        </w:rPr>
      </w:pPr>
    </w:p>
    <w:p>
      <w:pPr>
        <w:ind w:firstLine="0" w:firstLineChars="0"/>
        <w:jc w:val="center"/>
        <w:rPr>
          <w:rFonts w:hint="eastAsia" w:ascii="黑体" w:hAnsi="黑体" w:eastAsia="黑体"/>
          <w:sz w:val="36"/>
          <w:szCs w:val="36"/>
          <w:highlight w:val="none"/>
        </w:rPr>
      </w:pPr>
      <w:r>
        <w:rPr>
          <w:rFonts w:hint="eastAsia" w:ascii="黑体" w:hAnsi="黑体" w:eastAsia="黑体"/>
          <w:sz w:val="36"/>
          <w:szCs w:val="36"/>
          <w:highlight w:val="none"/>
        </w:rPr>
        <w:t>上海市大数据中心</w:t>
      </w:r>
    </w:p>
    <w:p>
      <w:pPr>
        <w:ind w:firstLine="0" w:firstLineChars="0"/>
        <w:jc w:val="center"/>
        <w:rPr>
          <w:rFonts w:hint="eastAsia" w:ascii="黑体" w:hAnsi="黑体" w:eastAsia="黑体"/>
          <w:sz w:val="36"/>
          <w:szCs w:val="36"/>
          <w:highlight w:val="none"/>
        </w:rPr>
      </w:pPr>
      <w:r>
        <w:rPr>
          <w:rFonts w:hint="eastAsia" w:ascii="黑体" w:hAnsi="黑体" w:eastAsia="黑体"/>
          <w:sz w:val="36"/>
          <w:szCs w:val="36"/>
          <w:highlight w:val="none"/>
        </w:rPr>
        <w:t>2025年12月</w:t>
      </w:r>
    </w:p>
    <w:p>
      <w:pPr>
        <w:ind w:firstLine="0" w:firstLineChars="0"/>
        <w:jc w:val="center"/>
        <w:rPr>
          <w:rFonts w:hint="eastAsia" w:ascii="黑体" w:hAnsi="黑体" w:eastAsia="黑体"/>
          <w:sz w:val="72"/>
          <w:szCs w:val="72"/>
          <w:highlight w:val="none"/>
        </w:rPr>
      </w:pPr>
    </w:p>
    <w:p>
      <w:pPr>
        <w:ind w:firstLine="0" w:firstLineChars="0"/>
        <w:jc w:val="center"/>
        <w:rPr>
          <w:rFonts w:hint="eastAsia" w:ascii="黑体" w:hAnsi="黑体" w:eastAsia="黑体"/>
          <w:sz w:val="48"/>
          <w:szCs w:val="48"/>
          <w:highlight w:val="none"/>
        </w:rPr>
      </w:pPr>
    </w:p>
    <w:p>
      <w:pPr>
        <w:ind w:firstLine="0" w:firstLineChars="0"/>
        <w:rPr>
          <w:rFonts w:hint="eastAsia"/>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134" w:right="1797" w:bottom="1135" w:left="1797" w:header="340" w:footer="7" w:gutter="0"/>
          <w:pgNumType w:start="1"/>
          <w:cols w:space="720" w:num="1"/>
          <w:titlePg/>
          <w:docGrid w:type="linesAndChars" w:linePitch="326" w:charSpace="0"/>
        </w:sectPr>
      </w:pPr>
    </w:p>
    <w:p>
      <w:pPr>
        <w:pStyle w:val="2"/>
        <w:rPr>
          <w:rFonts w:hint="eastAsia"/>
          <w:highlight w:val="none"/>
        </w:rPr>
      </w:pPr>
      <w:bookmarkStart w:id="0" w:name="_Toc63785461"/>
      <w:r>
        <w:rPr>
          <w:rFonts w:hint="eastAsia"/>
          <w:highlight w:val="none"/>
        </w:rPr>
        <w:t>项目概况</w:t>
      </w:r>
      <w:bookmarkEnd w:id="0"/>
    </w:p>
    <w:p>
      <w:pPr>
        <w:rPr>
          <w:rFonts w:hint="eastAsia"/>
          <w:highlight w:val="none"/>
        </w:rPr>
      </w:pPr>
      <w:r>
        <w:rPr>
          <w:rFonts w:hint="eastAsia"/>
          <w:highlight w:val="none"/>
        </w:rPr>
        <w:t>项目背景：</w:t>
      </w:r>
    </w:p>
    <w:p>
      <w:pPr>
        <w:rPr>
          <w:rFonts w:hint="eastAsia"/>
          <w:highlight w:val="none"/>
        </w:rPr>
      </w:pPr>
      <w:r>
        <w:rPr>
          <w:rFonts w:hint="eastAsia"/>
          <w:highlight w:val="none"/>
        </w:rPr>
        <w:t>上海市作为全国医疗改革的先行示范区，长期致力于卫生健康信息化建设。自2011年启动“基于市民电子健康档案的卫生信息化工程”（上海市健康信息网项目）以来，通过一期、二期、三期项目的持续建设，已形成全球单体规模最大的医疗健康数据库。截至目前，该数据库对接全市近600家公立医疗机构，累计为3900余万人建立健康档案，存储卫生健康记录超过588亿条，平均日增量达3200万条。通过市区两级平台的深度整合，实现了“两个任何”的核心目标，即在全市任何一台医生工作站（超3.48万台）上可实时调阅居民任何一次健康档案，有效辅助医生全面掌握患者病情，同时通过智能提示推送“小而精”的实时信息，干预临床重复医疗行为，创新“医防融合”业务模式，推动卫生健康业务精细化管理。</w:t>
      </w:r>
    </w:p>
    <w:p>
      <w:pPr>
        <w:rPr>
          <w:rFonts w:hint="eastAsia"/>
          <w:highlight w:val="none"/>
        </w:rPr>
      </w:pPr>
      <w:r>
        <w:rPr>
          <w:rFonts w:hint="eastAsia"/>
          <w:highlight w:val="none"/>
        </w:rPr>
        <w:t>随着“互联网+医疗健康”服务的快速发展，上海市各级卫生健康机构推出了丰富的便民服务，如预约诊疗、健康支付、健康档案查询等，主要通过“随申办”等平台提供服务。然而，当前服务面临同质化建设、标准不一、共享困难等突出问题，各机构独立开发的服务系统存在数据孤岛，部分关键服务接口尚未有效接入，严重制约了业务协同效率和服务质量提升。为合理解决上述问题，本项目拟建设基于上海市卫生健康数据的医疗健康公共服务总线，以实现数据互联互通、服务高效协同、业务效能提升，同时强化数据融合利用的安全保障能力，为医疗健康领域创新应用的落地推广提供全面、坚实的支撑。</w:t>
      </w:r>
    </w:p>
    <w:p>
      <w:pPr>
        <w:rPr>
          <w:rFonts w:hint="eastAsia"/>
          <w:highlight w:val="none"/>
        </w:rPr>
      </w:pPr>
      <w:r>
        <w:rPr>
          <w:rFonts w:hint="eastAsia"/>
          <w:highlight w:val="none"/>
        </w:rPr>
        <w:t>建设期限：合同签订之日起至2026年11月15日前</w:t>
      </w:r>
    </w:p>
    <w:p>
      <w:pPr>
        <w:rPr>
          <w:rFonts w:hint="eastAsia"/>
          <w:highlight w:val="none"/>
        </w:rPr>
      </w:pPr>
      <w:r>
        <w:rPr>
          <w:rFonts w:hint="eastAsia"/>
          <w:highlight w:val="none"/>
        </w:rPr>
        <w:t>建设地点：上海</w:t>
      </w:r>
    </w:p>
    <w:p>
      <w:pPr>
        <w:rPr>
          <w:rFonts w:hint="eastAsia"/>
          <w:highlight w:val="none"/>
        </w:rPr>
      </w:pPr>
      <w:r>
        <w:rPr>
          <w:rFonts w:hint="eastAsia"/>
          <w:highlight w:val="none"/>
        </w:rPr>
        <w:t>预算金额：1425000元</w:t>
      </w:r>
    </w:p>
    <w:p>
      <w:pPr>
        <w:rPr>
          <w:rFonts w:hint="eastAsia"/>
          <w:highlight w:val="none"/>
        </w:rPr>
      </w:pPr>
      <w:r>
        <w:rPr>
          <w:rFonts w:hint="eastAsia"/>
          <w:highlight w:val="none"/>
        </w:rPr>
        <w:t>采购金额（最高限价）：1425000元</w:t>
      </w:r>
    </w:p>
    <w:p>
      <w:pPr>
        <w:rPr>
          <w:rFonts w:hint="eastAsia"/>
          <w:highlight w:val="none"/>
        </w:rPr>
      </w:pPr>
      <w:r>
        <w:rPr>
          <w:rFonts w:hint="eastAsia"/>
          <w:highlight w:val="none"/>
        </w:rPr>
        <w:t>组织形式：集中采购</w:t>
      </w:r>
    </w:p>
    <w:p>
      <w:pPr>
        <w:rPr>
          <w:rFonts w:hint="eastAsia"/>
          <w:highlight w:val="none"/>
        </w:rPr>
      </w:pPr>
      <w:r>
        <w:rPr>
          <w:rFonts w:hint="eastAsia"/>
          <w:highlight w:val="none"/>
        </w:rPr>
        <w:t>采购方式：竞争性磋商</w:t>
      </w:r>
    </w:p>
    <w:p>
      <w:pPr>
        <w:rPr>
          <w:rFonts w:hint="eastAsia"/>
          <w:highlight w:val="none"/>
        </w:rPr>
      </w:pPr>
      <w:r>
        <w:rPr>
          <w:rFonts w:hint="eastAsia"/>
          <w:highlight w:val="none"/>
        </w:rPr>
        <w:t>是否接受联合体投标：否</w:t>
      </w:r>
    </w:p>
    <w:p>
      <w:pPr>
        <w:rPr>
          <w:rFonts w:hint="eastAsia"/>
          <w:highlight w:val="none"/>
        </w:rPr>
      </w:pPr>
      <w:r>
        <w:rPr>
          <w:highlight w:val="none"/>
        </w:rPr>
        <w:t>是否按</w:t>
      </w:r>
      <w:r>
        <w:rPr>
          <w:rFonts w:hint="eastAsia"/>
          <w:highlight w:val="none"/>
          <w:lang w:eastAsia="zh-CN"/>
        </w:rPr>
        <w:t>XC</w:t>
      </w:r>
      <w:r>
        <w:rPr>
          <w:highlight w:val="none"/>
        </w:rPr>
        <w:t>要求建设：是</w:t>
      </w:r>
    </w:p>
    <w:p>
      <w:pPr>
        <w:rPr>
          <w:rFonts w:hint="eastAsia"/>
          <w:highlight w:val="none"/>
        </w:rPr>
      </w:pPr>
      <w:r>
        <w:rPr>
          <w:rFonts w:hint="eastAsia"/>
          <w:highlight w:val="none"/>
        </w:rPr>
        <w:t>运维后所属大系统：卫生健康行业专业管理系统</w:t>
      </w:r>
    </w:p>
    <w:p>
      <w:pPr>
        <w:pStyle w:val="2"/>
        <w:rPr>
          <w:rFonts w:hint="eastAsia"/>
          <w:highlight w:val="none"/>
        </w:rPr>
      </w:pPr>
      <w:bookmarkStart w:id="1" w:name="_Toc47539070"/>
      <w:bookmarkEnd w:id="1"/>
      <w:bookmarkStart w:id="2" w:name="_Toc47531634"/>
      <w:bookmarkEnd w:id="2"/>
      <w:bookmarkStart w:id="3" w:name="_Toc47536272"/>
      <w:bookmarkEnd w:id="3"/>
      <w:bookmarkStart w:id="4" w:name="_Toc47537134"/>
      <w:bookmarkEnd w:id="4"/>
      <w:bookmarkStart w:id="5" w:name="_Toc47532891"/>
      <w:bookmarkEnd w:id="5"/>
      <w:bookmarkStart w:id="6" w:name="_Toc47533256"/>
      <w:bookmarkEnd w:id="6"/>
      <w:bookmarkStart w:id="7" w:name="_Toc47532255"/>
      <w:bookmarkEnd w:id="7"/>
      <w:bookmarkStart w:id="8" w:name="_Toc47536644"/>
      <w:bookmarkEnd w:id="8"/>
      <w:bookmarkStart w:id="9" w:name="_Toc48223882"/>
      <w:bookmarkStart w:id="10" w:name="_Toc63785463"/>
      <w:r>
        <w:rPr>
          <w:rFonts w:hint="eastAsia"/>
          <w:highlight w:val="none"/>
        </w:rPr>
        <w:t>建设目标</w:t>
      </w:r>
      <w:bookmarkEnd w:id="9"/>
      <w:bookmarkEnd w:id="10"/>
    </w:p>
    <w:p>
      <w:pPr>
        <w:rPr>
          <w:rFonts w:hint="eastAsia"/>
          <w:highlight w:val="none"/>
        </w:rPr>
      </w:pPr>
      <w:r>
        <w:rPr>
          <w:rFonts w:hint="eastAsia"/>
          <w:highlight w:val="none"/>
        </w:rPr>
        <w:t>本项目整合全市卫生健康机构的公共服务接口，构建集成化、高效化、智能化、安全化“四化一体”的公共服务总线，形成覆盖医疗、预防、保健、康复等全业务领域的服务目录，接入生产者服务，实现与“随申办”及16个区平台的医疗健康公共服务对接，实现数据互通、服务协同、效率提升与安全合规，为互联网医疗健康公共服务奠定基础。</w:t>
      </w:r>
    </w:p>
    <w:p>
      <w:pPr>
        <w:rPr>
          <w:rFonts w:hint="eastAsia"/>
          <w:highlight w:val="none"/>
        </w:rPr>
      </w:pPr>
      <w:r>
        <w:rPr>
          <w:rFonts w:hint="eastAsia"/>
          <w:highlight w:val="none"/>
        </w:rPr>
        <w:t>（一）应用指标</w:t>
      </w:r>
    </w:p>
    <w:p>
      <w:pPr>
        <w:rPr>
          <w:rFonts w:hint="eastAsia"/>
          <w:highlight w:val="none"/>
        </w:rPr>
      </w:pPr>
      <w:r>
        <w:rPr>
          <w:rFonts w:hint="eastAsia"/>
          <w:highlight w:val="none"/>
        </w:rPr>
        <w:t>1.按照项目方案设计，完成公共服务总线核心架构搭，软件开发完成率100%。</w:t>
      </w:r>
    </w:p>
    <w:p>
      <w:pPr>
        <w:rPr>
          <w:rFonts w:hint="eastAsia"/>
          <w:highlight w:val="none"/>
        </w:rPr>
      </w:pPr>
      <w:r>
        <w:rPr>
          <w:rFonts w:hint="eastAsia"/>
          <w:highlight w:val="none"/>
        </w:rPr>
        <w:t>2.核心功能测试覆盖率达100%，无重大功能缺陷。</w:t>
      </w:r>
    </w:p>
    <w:p>
      <w:pPr>
        <w:rPr>
          <w:rFonts w:hint="eastAsia"/>
          <w:highlight w:val="none"/>
        </w:rPr>
      </w:pPr>
      <w:r>
        <w:rPr>
          <w:rFonts w:hint="eastAsia"/>
          <w:highlight w:val="none"/>
        </w:rPr>
        <w:t>3.</w:t>
      </w:r>
      <w:r>
        <w:rPr>
          <w:rFonts w:hint="default"/>
          <w:highlight w:val="none"/>
          <w:lang w:val="en-US"/>
        </w:rPr>
        <w:t>形成覆盖</w:t>
      </w:r>
      <w:r>
        <w:rPr>
          <w:rFonts w:hint="eastAsia"/>
          <w:highlight w:val="none"/>
          <w:lang w:val="en-US" w:eastAsia="zh-CN"/>
        </w:rPr>
        <w:t>技术上支持</w:t>
      </w:r>
      <w:r>
        <w:rPr>
          <w:rFonts w:hint="eastAsia"/>
          <w:highlight w:val="none"/>
        </w:rPr>
        <w:t>医疗、预防、保健、康复等全业务领域的服务</w:t>
      </w:r>
      <w:r>
        <w:rPr>
          <w:rFonts w:hint="eastAsia"/>
          <w:highlight w:val="none"/>
          <w:lang w:val="en-US" w:eastAsia="zh-CN"/>
        </w:rPr>
        <w:t>接入，形成跨领域的服务目录，构建接口覆盖率达90%以上的综合服务体系</w:t>
      </w:r>
      <w:r>
        <w:rPr>
          <w:rFonts w:hint="eastAsia"/>
          <w:highlight w:val="none"/>
        </w:rPr>
        <w:t>。</w:t>
      </w:r>
    </w:p>
    <w:p>
      <w:pPr>
        <w:rPr>
          <w:rFonts w:hint="eastAsia"/>
          <w:highlight w:val="none"/>
        </w:rPr>
      </w:pPr>
      <w:r>
        <w:rPr>
          <w:rFonts w:hint="eastAsia"/>
          <w:highlight w:val="none"/>
        </w:rPr>
        <w:t>（二）技术指标</w:t>
      </w:r>
    </w:p>
    <w:p>
      <w:pPr>
        <w:rPr>
          <w:rFonts w:hint="eastAsia"/>
          <w:highlight w:val="none"/>
        </w:rPr>
      </w:pPr>
      <w:r>
        <w:rPr>
          <w:rFonts w:hint="eastAsia"/>
          <w:highlight w:val="none"/>
        </w:rPr>
        <w:t>1.服务调用的</w:t>
      </w:r>
      <w:r>
        <w:rPr>
          <w:rFonts w:hint="eastAsia"/>
          <w:highlight w:val="none"/>
          <w:lang w:val="en-US" w:eastAsia="zh-CN"/>
        </w:rPr>
        <w:t>总线与网关服务</w:t>
      </w:r>
      <w:r>
        <w:rPr>
          <w:rFonts w:hint="eastAsia"/>
          <w:highlight w:val="none"/>
        </w:rPr>
        <w:t>平均响应时间不超过500毫秒，峰值</w:t>
      </w:r>
      <w:r>
        <w:rPr>
          <w:rFonts w:hint="eastAsia"/>
          <w:highlight w:val="none"/>
          <w:lang w:val="en-US" w:eastAsia="zh-CN"/>
        </w:rPr>
        <w:t>总线与网关服务</w:t>
      </w:r>
      <w:r>
        <w:rPr>
          <w:rFonts w:hint="eastAsia"/>
          <w:highlight w:val="none"/>
        </w:rPr>
        <w:t>响应时间不超过1000毫秒。能够支持每秒至少5000次的服务调用。</w:t>
      </w:r>
    </w:p>
    <w:p>
      <w:pPr>
        <w:rPr>
          <w:rFonts w:hint="eastAsia"/>
          <w:highlight w:val="none"/>
        </w:rPr>
      </w:pPr>
      <w:r>
        <w:rPr>
          <w:rFonts w:hint="eastAsia"/>
          <w:highlight w:val="none"/>
        </w:rPr>
        <w:t>2.系统具备高可用性，确保配置服务持续稳定。</w:t>
      </w:r>
      <w:r>
        <w:rPr>
          <w:rFonts w:hint="eastAsia"/>
          <w:highlight w:val="none"/>
        </w:rPr>
        <w:t>系统全年可用性≥99.99%。</w:t>
      </w:r>
    </w:p>
    <w:p>
      <w:pPr>
        <w:rPr>
          <w:rFonts w:hint="eastAsia"/>
          <w:highlight w:val="none"/>
        </w:rPr>
      </w:pPr>
      <w:r>
        <w:rPr>
          <w:rFonts w:hint="eastAsia"/>
          <w:highlight w:val="none"/>
        </w:rPr>
        <w:t>3.具备安全的加密设计，数据传输必须进行加密，</w:t>
      </w:r>
      <w:r>
        <w:rPr>
          <w:rFonts w:hint="eastAsia"/>
          <w:highlight w:val="none"/>
        </w:rPr>
        <w:t>核心数据加密保护率100%，</w:t>
      </w:r>
      <w:r>
        <w:rPr>
          <w:rFonts w:hint="eastAsia"/>
          <w:highlight w:val="none"/>
        </w:rPr>
        <w:t>符合等保三级标准。</w:t>
      </w:r>
    </w:p>
    <w:p>
      <w:pPr>
        <w:rPr>
          <w:rFonts w:hint="eastAsia"/>
          <w:highlight w:val="none"/>
        </w:rPr>
      </w:pPr>
      <w:r>
        <w:rPr>
          <w:rFonts w:hint="eastAsia"/>
          <w:highlight w:val="none"/>
        </w:rPr>
        <w:t>（三）绩效指标</w:t>
      </w:r>
    </w:p>
    <w:p>
      <w:pPr>
        <w:rPr>
          <w:rFonts w:hint="eastAsia"/>
          <w:highlight w:val="none"/>
        </w:rPr>
      </w:pPr>
      <w:r>
        <w:rPr>
          <w:rFonts w:hint="eastAsia"/>
          <w:highlight w:val="none"/>
        </w:rPr>
        <w:t>1.制定数据接口标准和服务协议，整合不少于30个公共服务接口。</w:t>
      </w:r>
    </w:p>
    <w:p>
      <w:pPr>
        <w:rPr>
          <w:rFonts w:hint="eastAsia"/>
          <w:highlight w:val="none"/>
        </w:rPr>
      </w:pPr>
      <w:r>
        <w:rPr>
          <w:rFonts w:hint="eastAsia"/>
          <w:highlight w:val="none"/>
        </w:rPr>
        <w:t>2.实现与“随申办”及16个区平台的医疗健康公共服务对接。</w:t>
      </w:r>
    </w:p>
    <w:p>
      <w:pPr>
        <w:ind w:firstLine="0" w:firstLineChars="0"/>
        <w:rPr>
          <w:rFonts w:hint="eastAsia"/>
          <w:b/>
          <w:color w:val="000000"/>
          <w:highlight w:val="none"/>
        </w:rPr>
      </w:pPr>
    </w:p>
    <w:p>
      <w:pPr>
        <w:pStyle w:val="2"/>
        <w:rPr>
          <w:rFonts w:hint="eastAsia"/>
          <w:highlight w:val="none"/>
        </w:rPr>
      </w:pPr>
      <w:bookmarkStart w:id="11" w:name="_Toc47536304"/>
      <w:bookmarkEnd w:id="11"/>
      <w:bookmarkStart w:id="12" w:name="_Toc47537166"/>
      <w:bookmarkEnd w:id="12"/>
      <w:bookmarkStart w:id="13" w:name="_Toc47532923"/>
      <w:bookmarkEnd w:id="13"/>
      <w:bookmarkStart w:id="14" w:name="_Toc47533288"/>
      <w:bookmarkEnd w:id="14"/>
      <w:bookmarkStart w:id="15" w:name="_Toc47539102"/>
      <w:bookmarkEnd w:id="15"/>
      <w:bookmarkStart w:id="16" w:name="_Toc47536676"/>
      <w:bookmarkEnd w:id="16"/>
      <w:r>
        <w:rPr>
          <w:rFonts w:hint="eastAsia"/>
          <w:highlight w:val="none"/>
        </w:rPr>
        <w:t>项目建设内容</w:t>
      </w:r>
    </w:p>
    <w:p>
      <w:pPr>
        <w:pStyle w:val="3"/>
        <w:rPr>
          <w:rFonts w:hint="eastAsia"/>
          <w:highlight w:val="none"/>
        </w:rPr>
      </w:pPr>
      <w:r>
        <w:rPr>
          <w:rFonts w:hint="eastAsia"/>
          <w:highlight w:val="none"/>
        </w:rPr>
        <w:t>技术路线</w:t>
      </w:r>
    </w:p>
    <w:p>
      <w:pPr>
        <w:widowControl/>
        <w:adjustRightInd w:val="0"/>
        <w:rPr>
          <w:rFonts w:hint="eastAsia" w:cs="宋体"/>
          <w:highlight w:val="none"/>
        </w:rPr>
      </w:pPr>
      <w:r>
        <w:rPr>
          <w:rFonts w:hint="eastAsia" w:cs="宋体"/>
          <w:highlight w:val="none"/>
        </w:rPr>
        <w:t>本项目技术架构选择严格遵循</w:t>
      </w:r>
      <w:r>
        <w:rPr>
          <w:rFonts w:hint="eastAsia" w:cs="宋体"/>
          <w:highlight w:val="none"/>
          <w:lang w:eastAsia="zh-CN"/>
        </w:rPr>
        <w:t>XC</w:t>
      </w:r>
      <w:r>
        <w:rPr>
          <w:rFonts w:hint="eastAsia" w:cs="宋体"/>
          <w:highlight w:val="none"/>
        </w:rPr>
        <w:t>相关要求，在服务器操作系统、核心业务数据库、Web 服务容器软件等关键基础软件层面，均优先选用符合</w:t>
      </w:r>
      <w:r>
        <w:rPr>
          <w:rFonts w:hint="eastAsia" w:cs="宋体"/>
          <w:highlight w:val="none"/>
          <w:lang w:eastAsia="zh-CN"/>
        </w:rPr>
        <w:t>XC</w:t>
      </w:r>
      <w:r>
        <w:rPr>
          <w:rFonts w:hint="eastAsia" w:cs="宋体"/>
          <w:highlight w:val="none"/>
        </w:rPr>
        <w:t>标准的国产产品；应用架构设计采用行业主流技术框架，保障系统兼容性与服务稳定性。​（一）软件系统基础架构技术选择​</w:t>
      </w:r>
    </w:p>
    <w:p>
      <w:pPr>
        <w:widowControl/>
        <w:adjustRightInd w:val="0"/>
        <w:rPr>
          <w:rFonts w:hint="eastAsia" w:cs="宋体"/>
          <w:highlight w:val="none"/>
        </w:rPr>
      </w:pPr>
      <w:r>
        <w:rPr>
          <w:rFonts w:hint="eastAsia" w:cs="宋体"/>
          <w:highlight w:val="none"/>
        </w:rPr>
        <w:t>1.采用符合</w:t>
      </w:r>
      <w:r>
        <w:rPr>
          <w:rFonts w:hint="eastAsia" w:cs="宋体"/>
          <w:highlight w:val="none"/>
          <w:lang w:eastAsia="zh-CN"/>
        </w:rPr>
        <w:t>XC</w:t>
      </w:r>
      <w:r>
        <w:rPr>
          <w:rFonts w:hint="eastAsia" w:cs="宋体"/>
          <w:highlight w:val="none"/>
        </w:rPr>
        <w:t>要求的国产服务器操作系统，满足系统底层运行的安全性、稳定性及国产化适配需求。​</w:t>
      </w:r>
    </w:p>
    <w:p>
      <w:pPr>
        <w:widowControl/>
        <w:adjustRightInd w:val="0"/>
        <w:rPr>
          <w:rFonts w:hint="eastAsia" w:cs="宋体"/>
          <w:highlight w:val="none"/>
        </w:rPr>
      </w:pPr>
      <w:r>
        <w:rPr>
          <w:rFonts w:hint="eastAsia" w:cs="宋体"/>
          <w:highlight w:val="none"/>
        </w:rPr>
        <w:t>2.选用国产主流关系型数据库，支撑业务数据的存储、管理、查询及事务处理，保障数据安全性与访问效率。​</w:t>
      </w:r>
    </w:p>
    <w:p>
      <w:pPr>
        <w:widowControl/>
        <w:adjustRightInd w:val="0"/>
        <w:rPr>
          <w:rFonts w:hint="eastAsia" w:cs="宋体"/>
          <w:highlight w:val="none"/>
        </w:rPr>
      </w:pPr>
      <w:r>
        <w:rPr>
          <w:rFonts w:hint="eastAsia" w:cs="宋体"/>
          <w:highlight w:val="none"/>
        </w:rPr>
        <w:t>3.采用国产Web服务容器软件，为后端应用提供部署运行环境，支持服务的高效发布、扩展及运维管理。​</w:t>
      </w:r>
    </w:p>
    <w:p>
      <w:pPr>
        <w:widowControl/>
        <w:adjustRightInd w:val="0"/>
        <w:rPr>
          <w:rFonts w:hint="eastAsia" w:cs="宋体"/>
          <w:highlight w:val="none"/>
        </w:rPr>
      </w:pPr>
      <w:r>
        <w:rPr>
          <w:rFonts w:hint="eastAsia" w:cs="宋体"/>
          <w:highlight w:val="none"/>
        </w:rPr>
        <w:t>（二）软件应用架构技术选择​</w:t>
      </w:r>
    </w:p>
    <w:p>
      <w:pPr>
        <w:widowControl/>
        <w:adjustRightInd w:val="0"/>
        <w:rPr>
          <w:rFonts w:hint="eastAsia" w:cs="宋体"/>
          <w:highlight w:val="none"/>
        </w:rPr>
      </w:pPr>
      <w:r>
        <w:rPr>
          <w:rFonts w:hint="eastAsia" w:cs="宋体"/>
          <w:highlight w:val="none"/>
        </w:rPr>
        <w:t>1.使用Java语言进行开发，开发完成后的应用部署于国产Web服务容器中，对外提供标准化的业务接口服务。​</w:t>
      </w:r>
    </w:p>
    <w:p>
      <w:pPr>
        <w:widowControl/>
        <w:adjustRightInd w:val="0"/>
        <w:rPr>
          <w:rFonts w:hint="eastAsia" w:cs="宋体"/>
          <w:highlight w:val="none"/>
        </w:rPr>
      </w:pPr>
      <w:r>
        <w:rPr>
          <w:rFonts w:hint="eastAsia" w:cs="宋体"/>
          <w:highlight w:val="none"/>
        </w:rPr>
        <w:t>2.采用Vue、React等主流前端开发框架进行前端系统开发，开发完成后的前端资源部署于Nginx服务中，通过反向代理机制实现与后端服务的安全通信及请求转发。</w:t>
      </w:r>
    </w:p>
    <w:p>
      <w:pPr>
        <w:pStyle w:val="3"/>
        <w:rPr>
          <w:rFonts w:hint="eastAsia"/>
          <w:highlight w:val="none"/>
        </w:rPr>
      </w:pPr>
      <w:r>
        <w:rPr>
          <w:rFonts w:hint="eastAsia"/>
          <w:highlight w:val="none"/>
        </w:rPr>
        <w:t>技术架构</w:t>
      </w:r>
    </w:p>
    <w:p>
      <w:pPr>
        <w:widowControl/>
        <w:adjustRightInd w:val="0"/>
        <w:rPr>
          <w:rFonts w:hint="eastAsia" w:ascii="仿宋_GB2312" w:eastAsia="仿宋_GB2312"/>
          <w:kern w:val="0"/>
          <w:sz w:val="28"/>
          <w:szCs w:val="28"/>
          <w:highlight w:val="none"/>
        </w:rPr>
      </w:pPr>
      <w:r>
        <w:rPr>
          <w:rFonts w:hint="eastAsia" w:cs="宋体"/>
          <w:highlight w:val="none"/>
        </w:rPr>
        <w:t>基于上海市卫生健康数据的医疗健康公共服务总线子系统</w:t>
      </w:r>
      <w:r>
        <w:rPr>
          <w:rFonts w:hint="eastAsia" w:cs="宋体"/>
          <w:kern w:val="0"/>
          <w:highlight w:val="none"/>
        </w:rPr>
        <w:t>采用分层架构设计，从底层基础设施到上层应用场景划分为四个核心层次，辅以运行维护和安全管理体系，确保系统的稳定性、扩展性和安全性。系统架构图如下：</w:t>
      </w:r>
    </w:p>
    <w:p>
      <w:pPr>
        <w:widowControl/>
        <w:adjustRightInd w:val="0"/>
        <w:ind w:firstLine="0" w:firstLineChars="0"/>
        <w:rPr>
          <w:rFonts w:hint="eastAsia" w:ascii="仿宋_GB2312" w:eastAsia="仿宋_GB2312"/>
          <w:kern w:val="0"/>
          <w:sz w:val="28"/>
          <w:szCs w:val="28"/>
          <w:highlight w:val="none"/>
        </w:rPr>
      </w:pPr>
    </w:p>
    <w:p>
      <w:pPr>
        <w:ind w:left="0" w:leftChars="0" w:firstLine="0" w:firstLineChars="0"/>
        <w:rPr>
          <w:rFonts w:hint="eastAsia"/>
          <w:highlight w:val="none"/>
        </w:rPr>
      </w:pPr>
      <w:r>
        <w:rPr>
          <w:highlight w:val="none"/>
        </w:rPr>
        <w:drawing>
          <wp:inline distT="0" distB="0" distL="0" distR="0">
            <wp:extent cx="5278120" cy="3155950"/>
            <wp:effectExtent l="0" t="0" r="0" b="6350"/>
            <wp:docPr id="1838702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702073"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8120" cy="3155950"/>
                    </a:xfrm>
                    <a:prstGeom prst="rect">
                      <a:avLst/>
                    </a:prstGeom>
                  </pic:spPr>
                </pic:pic>
              </a:graphicData>
            </a:graphic>
          </wp:inline>
        </w:drawing>
      </w:r>
    </w:p>
    <w:p>
      <w:pPr>
        <w:rPr>
          <w:rFonts w:hint="eastAsia"/>
          <w:highlight w:val="none"/>
        </w:rPr>
      </w:pPr>
      <w:r>
        <w:rPr>
          <w:rFonts w:hint="eastAsia"/>
          <w:highlight w:val="none"/>
        </w:rPr>
        <w:t>基于上海市卫生健康数据融合平台，通过构建公共服务总线，实现内部核心业务区、业务应用区、互联网 DMZ 访问区以及互联网之间的数据交互与服务协同，保障卫生健康业务的高效、安全运行。实现全场景集成能力，打破系统壁垒，适配复杂架构；高可靠性：确保关键业务不中断；智能化运营与治理：降低运维成本；安全合规：满足高敏感医疗健康业务要求。主要内容包括如下：</w:t>
      </w:r>
    </w:p>
    <w:p>
      <w:pPr>
        <w:rPr>
          <w:rFonts w:hint="eastAsia"/>
          <w:highlight w:val="none"/>
        </w:rPr>
      </w:pPr>
      <w:r>
        <w:rPr>
          <w:rFonts w:hint="eastAsia"/>
          <w:highlight w:val="none"/>
        </w:rPr>
        <w:t>（1）</w:t>
      </w:r>
      <w:r>
        <w:rPr>
          <w:rFonts w:hint="eastAsia"/>
          <w:highlight w:val="none"/>
          <w:lang w:eastAsia="zh-CN"/>
        </w:rPr>
        <w:t>XC</w:t>
      </w:r>
      <w:r>
        <w:rPr>
          <w:rFonts w:hint="eastAsia"/>
          <w:highlight w:val="none"/>
        </w:rPr>
        <w:t>云层（底层基础设施层）</w:t>
      </w:r>
    </w:p>
    <w:p>
      <w:pPr>
        <w:rPr>
          <w:rFonts w:hint="eastAsia"/>
          <w:highlight w:val="none"/>
        </w:rPr>
      </w:pPr>
      <w:r>
        <w:rPr>
          <w:rFonts w:hint="eastAsia"/>
          <w:highlight w:val="none"/>
        </w:rPr>
        <w:t>依托政务云平台构建，通过资源虚拟化、服务标准化和技术组件化，形成支撑政务应用高效运行的数字化基座。</w:t>
      </w:r>
    </w:p>
    <w:p>
      <w:pPr>
        <w:rPr>
          <w:rFonts w:hint="eastAsia"/>
          <w:highlight w:val="none"/>
        </w:rPr>
      </w:pPr>
      <w:r>
        <w:rPr>
          <w:rFonts w:hint="eastAsia"/>
          <w:highlight w:val="none"/>
        </w:rPr>
        <w:t>整合计算、存储、网络等基础资源，构建弹性可扩展的分布式资源池，支持CPU利用率动态提升至60%以上。在安全体系方面，严格遵循等保2.0三级标准，实现网络、主机、应用、数据四层安全防护。同时全面适配</w:t>
      </w:r>
      <w:r>
        <w:rPr>
          <w:rFonts w:hint="eastAsia"/>
          <w:highlight w:val="none"/>
          <w:lang w:eastAsia="zh-CN"/>
        </w:rPr>
        <w:t>XC</w:t>
      </w:r>
      <w:r>
        <w:rPr>
          <w:rFonts w:hint="eastAsia"/>
          <w:highlight w:val="none"/>
        </w:rPr>
        <w:t>生态，支持国产芯片与操作系统，已完成100%业务系统的国产化适配。。</w:t>
      </w:r>
    </w:p>
    <w:p>
      <w:pPr>
        <w:rPr>
          <w:rFonts w:hint="eastAsia"/>
          <w:highlight w:val="none"/>
        </w:rPr>
      </w:pPr>
      <w:r>
        <w:rPr>
          <w:rFonts w:hint="eastAsia"/>
          <w:highlight w:val="none"/>
        </w:rPr>
        <w:t>（2）公共服务总线</w:t>
      </w:r>
    </w:p>
    <w:p>
      <w:pPr>
        <w:rPr>
          <w:rFonts w:hint="eastAsia"/>
          <w:highlight w:val="none"/>
        </w:rPr>
      </w:pPr>
      <w:r>
        <w:rPr>
          <w:rFonts w:hint="eastAsia"/>
          <w:highlight w:val="none"/>
        </w:rPr>
        <w:t>作为系统的中枢枢纽，采用松耦合架构实现跨系统服务集成与智能管控，是核心的集成和服务管理平台，分为服务支撑管理和核心服务总线两部分。服务支撑管理负责服务的注册、发布、运行管理，公共服务总线的运行管理，配置中心管理等，是运营层面的支撑。核心服务总线采用异步非阻塞的事件驱动模型，包含接口服务总线（管理主域服务器、服务熔断、访问控制等）、公共服务总线管理，还有传输组件管理（各种适配器如JMS、EMAIL、FTP、Restful、SOAP）、消息服务集成（Kafka、RocketMQ、RabbitMQ等），此层实现服务的整合、消息传递、协议转换，是系统间协作的核心枢纽。通过标准化服务接口与分布式消息队列，构建起连接前端应用（如"随申办"三端）与后端业务系统的服务中台，在保障医疗数据安全传输的同时，支撑日均百万级服务调用的稳定运行。</w:t>
      </w:r>
    </w:p>
    <w:p>
      <w:pPr>
        <w:rPr>
          <w:rFonts w:hint="eastAsia"/>
          <w:highlight w:val="none"/>
        </w:rPr>
      </w:pPr>
      <w:r>
        <w:rPr>
          <w:rFonts w:hint="eastAsia"/>
          <w:highlight w:val="none"/>
        </w:rPr>
        <w:t>（3）网关服务层</w:t>
      </w:r>
    </w:p>
    <w:p>
      <w:pPr>
        <w:rPr>
          <w:rFonts w:hint="eastAsia"/>
          <w:highlight w:val="none"/>
        </w:rPr>
      </w:pPr>
      <w:r>
        <w:rPr>
          <w:rFonts w:hint="eastAsia"/>
          <w:highlight w:val="none"/>
        </w:rPr>
        <w:t>分为网关服务和网关服务支撑。网关服务包括面向</w:t>
      </w:r>
      <w:r>
        <w:rPr>
          <w:rFonts w:hint="eastAsia"/>
          <w:highlight w:val="none"/>
          <w:lang w:val="en-US" w:eastAsia="zh-CN"/>
        </w:rPr>
        <w:t>用户</w:t>
      </w:r>
      <w:r>
        <w:rPr>
          <w:rFonts w:hint="eastAsia"/>
          <w:highlight w:val="none"/>
        </w:rPr>
        <w:t>的</w:t>
      </w:r>
      <w:r>
        <w:rPr>
          <w:rFonts w:hint="eastAsia"/>
          <w:highlight w:val="none"/>
          <w:lang w:val="en-US" w:eastAsia="zh-CN"/>
        </w:rPr>
        <w:t>用户安全</w:t>
      </w:r>
      <w:r>
        <w:rPr>
          <w:rFonts w:hint="eastAsia"/>
          <w:highlight w:val="none"/>
        </w:rPr>
        <w:t>网关服务（用户安全、接口权限、服务安全、防越权、数据缓存、访问日志、故障处理）和面向外部</w:t>
      </w:r>
      <w:r>
        <w:rPr>
          <w:rFonts w:hint="eastAsia"/>
          <w:highlight w:val="none"/>
          <w:lang w:val="en-US" w:eastAsia="zh-CN"/>
        </w:rPr>
        <w:t>服务接入</w:t>
      </w:r>
      <w:r>
        <w:rPr>
          <w:rFonts w:hint="eastAsia"/>
          <w:highlight w:val="none"/>
        </w:rPr>
        <w:t>的开放安全网关服务（类似功能，增加传输数据安全控制），网关服务支撑则包括用户安全网关管理、网关服务与治理、服务注册与发现、安全管理，以及开放安全网关管理、调用方管理、应用注册与管理、网关注册与管理、安全管理。这一层的主要作用是安全管控、访问控制、服务治理，作为外部请求的统一入口，保障安全和稳定性。支撑日均千万级服务调用。</w:t>
      </w:r>
    </w:p>
    <w:p>
      <w:pPr>
        <w:rPr>
          <w:rFonts w:hint="eastAsia"/>
          <w:highlight w:val="none"/>
        </w:rPr>
      </w:pPr>
      <w:r>
        <w:rPr>
          <w:rFonts w:hint="eastAsia"/>
          <w:highlight w:val="none"/>
        </w:rPr>
        <w:t>（4）业务服务层（场景应用层）</w:t>
      </w:r>
    </w:p>
    <w:p>
      <w:pPr>
        <w:rPr>
          <w:rFonts w:hint="eastAsia"/>
          <w:highlight w:val="none"/>
        </w:rPr>
      </w:pPr>
      <w:r>
        <w:rPr>
          <w:rFonts w:hint="eastAsia"/>
          <w:highlight w:val="none"/>
        </w:rPr>
        <w:t>面向用户、应用的顶层入口，整合了底层所有服务和能力，提供统一的医疗服务访问界面，是业务的呈现层，涵盖公众便民业务等，并通过服务对接和渠道管理与外部连接。</w:t>
      </w:r>
    </w:p>
    <w:p>
      <w:pPr>
        <w:pStyle w:val="3"/>
        <w:rPr>
          <w:rFonts w:hint="eastAsia"/>
          <w:highlight w:val="none"/>
        </w:rPr>
      </w:pPr>
      <w:r>
        <w:rPr>
          <w:rFonts w:hint="eastAsia"/>
          <w:highlight w:val="none"/>
        </w:rPr>
        <w:t>数据要求</w:t>
      </w:r>
    </w:p>
    <w:p>
      <w:pPr>
        <w:rPr>
          <w:rFonts w:hint="eastAsia"/>
          <w:highlight w:val="none"/>
        </w:rPr>
      </w:pPr>
      <w:r>
        <w:rPr>
          <w:rFonts w:hint="eastAsia"/>
          <w:highlight w:val="none"/>
        </w:rPr>
        <w:t>（1）数据库设计文档中，原则上应包括新增/升级改造的二级功能模块对应的数据库表。</w:t>
      </w:r>
    </w:p>
    <w:p>
      <w:pPr>
        <w:rPr>
          <w:rFonts w:hint="eastAsia"/>
          <w:highlight w:val="none"/>
        </w:rPr>
      </w:pPr>
      <w:r>
        <w:rPr>
          <w:rFonts w:hint="eastAsia"/>
          <w:highlight w:val="none"/>
        </w:rPr>
        <w:t>（2）新增/升级改造的业务功能模块涉及的业务对象、业务结果的数据库表应完成数据编目上链。</w:t>
      </w:r>
    </w:p>
    <w:p>
      <w:pPr>
        <w:rPr>
          <w:rFonts w:hint="eastAsia"/>
          <w:highlight w:val="none"/>
        </w:rPr>
      </w:pPr>
      <w:r>
        <w:rPr>
          <w:rFonts w:hint="eastAsia"/>
          <w:highlight w:val="none"/>
        </w:rPr>
        <w:t>（3）数据目录名称应符合上海市《公共数据上链实施指南》数据资源命名规范。数据目录中的数据项应包含数据库表的核心数据项，其核心数据项应包含业务主体（人、企、事、产品、地址）、主体唯一标识、时间等关键信息。</w:t>
      </w:r>
    </w:p>
    <w:p>
      <w:pPr>
        <w:rPr>
          <w:rFonts w:hint="eastAsia"/>
          <w:highlight w:val="none"/>
        </w:rPr>
      </w:pPr>
      <w:r>
        <w:rPr>
          <w:rFonts w:hint="eastAsia"/>
          <w:highlight w:val="none"/>
        </w:rPr>
        <w:t>（4）配合完成业务数据标准编制，并按照相关管理规则和技术规范完成数据归集。</w:t>
      </w:r>
    </w:p>
    <w:p>
      <w:pPr>
        <w:pStyle w:val="3"/>
        <w:rPr>
          <w:rFonts w:hint="eastAsia"/>
          <w:highlight w:val="none"/>
        </w:rPr>
      </w:pPr>
      <w:r>
        <w:rPr>
          <w:rFonts w:hint="eastAsia"/>
          <w:highlight w:val="none"/>
        </w:rPr>
        <w:t>软件开发清单</w:t>
      </w:r>
    </w:p>
    <w:p>
      <w:pPr>
        <w:rPr>
          <w:rFonts w:hint="eastAsia"/>
          <w:highlight w:val="none"/>
        </w:rPr>
      </w:pPr>
      <w:r>
        <w:rPr>
          <w:rFonts w:hint="eastAsia"/>
          <w:highlight w:val="none"/>
        </w:rPr>
        <w:t>本项目聚焦于构建一套高效、安全、可扩展的医疗健康公共服务总线体系，通过整合公共服务总线、开放安全网关、用户安全网关、服务注册与发布、配置中心五大核心模块，实现跨系统、跨平台的服务动态集成与安全管控。以标准化接口协议与松耦合架构为基础，支持多环境配置统一管理、服务全生命周期自动化运维，并依托加密签名、熔断缓存等安全机制保障数据传输与接口调用的可靠性，最终提供灵活、安全、易维护的数字化服务支撑能力，助力医疗健康公共服务业务的快速响应与创新迭代。</w:t>
      </w:r>
    </w:p>
    <w:p>
      <w:pPr>
        <w:rPr>
          <w:rFonts w:hint="eastAsia"/>
          <w:highlight w:val="none"/>
        </w:rPr>
      </w:pPr>
      <w:r>
        <w:rPr>
          <w:rFonts w:hint="eastAsia"/>
          <w:highlight w:val="none"/>
        </w:rPr>
        <w:t>1）公共服务总线</w:t>
      </w:r>
    </w:p>
    <w:p>
      <w:pPr>
        <w:rPr>
          <w:rFonts w:hint="eastAsia"/>
          <w:highlight w:val="none"/>
        </w:rPr>
      </w:pPr>
      <w:r>
        <w:rPr>
          <w:rFonts w:hint="eastAsia"/>
          <w:highlight w:val="none"/>
        </w:rPr>
        <w:t>涵盖核心总线服务框架的搭建，消息服务的集成与管理，以及总线服务的全方位治理，包括实现异步非阻塞的事件驱动模型、服务自动发现注册、消息服务的集中推送与接口统一、服务流控与访问控制、响应控制与短时缓存、日志控制等；同时包括对消息服务器的集成管理、服务的管理与治理、服务发现与注册、扩展与集成、安全与认证、以及服务域的隔离与灰度发布等功能，旨在提供一个高效、稳定、安全的服务集成与传输平台。</w:t>
      </w:r>
    </w:p>
    <w:p>
      <w:pPr>
        <w:rPr>
          <w:rFonts w:hint="eastAsia"/>
          <w:highlight w:val="none"/>
        </w:rPr>
      </w:pPr>
      <w:r>
        <w:rPr>
          <w:rFonts w:hint="eastAsia"/>
          <w:highlight w:val="none"/>
        </w:rPr>
        <w:t>2）开放安全网关</w:t>
      </w:r>
    </w:p>
    <w:p>
      <w:pPr>
        <w:rPr>
          <w:rFonts w:hint="eastAsia"/>
          <w:highlight w:val="none"/>
        </w:rPr>
      </w:pPr>
      <w:r>
        <w:rPr>
          <w:rFonts w:hint="eastAsia"/>
          <w:highlight w:val="none"/>
        </w:rPr>
        <w:t>构建一个采用异步非阻塞事件驱动模型的应用网关运行框架，实现应用鉴权、访问控制、加密传输、攻击防护、访问缓存、日志控制及限流控制等安全功能；提供调用方管理、应用注册与管理、网关注册与管理及安全管理等全方位的管理功能，确保应用访问的安全性与可靠性，防止各类网络攻击，并有效管理接口的授权与访问。</w:t>
      </w:r>
    </w:p>
    <w:p>
      <w:pPr>
        <w:rPr>
          <w:rFonts w:hint="eastAsia"/>
          <w:highlight w:val="none"/>
        </w:rPr>
      </w:pPr>
      <w:r>
        <w:rPr>
          <w:rFonts w:hint="eastAsia"/>
          <w:highlight w:val="none"/>
        </w:rPr>
        <w:t>3）用户安全网关</w:t>
      </w:r>
    </w:p>
    <w:p>
      <w:pPr>
        <w:ind w:firstLine="420" w:firstLineChars="0"/>
        <w:rPr>
          <w:rFonts w:hint="eastAsia"/>
          <w:highlight w:val="none"/>
        </w:rPr>
      </w:pPr>
      <w:r>
        <w:rPr>
          <w:rFonts w:hint="eastAsia"/>
          <w:highlight w:val="none"/>
        </w:rPr>
        <w:t>构建一个支持异步非阻塞事件驱动模型的用户网关运行框架，实现用户鉴权、安全控制、越权控制、用户缓存、日志控制、熔断控制及访问控制等核心功能。同时，提供网关服务与治理、服务注册与发现及安全管理等全面的管理功能，确保用户访问的安全性与合规性，有效防范XSS、SQL注入等攻击，并实现用户接口访问权限的严格校验与控制。</w:t>
      </w:r>
    </w:p>
    <w:p>
      <w:pPr>
        <w:rPr>
          <w:rFonts w:hint="eastAsia"/>
          <w:highlight w:val="none"/>
        </w:rPr>
      </w:pPr>
      <w:r>
        <w:rPr>
          <w:rFonts w:hint="eastAsia"/>
          <w:highlight w:val="none"/>
        </w:rPr>
        <w:t>4）服务注册与发布</w:t>
      </w:r>
    </w:p>
    <w:p>
      <w:pPr>
        <w:rPr>
          <w:rFonts w:hint="eastAsia"/>
          <w:highlight w:val="none"/>
        </w:rPr>
      </w:pPr>
      <w:r>
        <w:rPr>
          <w:rFonts w:hint="eastAsia"/>
          <w:highlight w:val="none"/>
        </w:rPr>
        <w:t>围绕实现用户安全网关接口、服务总线接口及应用网关接口的自动化与手动化注册管理能力。包括支持接口的自动注册、手动管理以及接口发布至相应网关环境的功能，确保接口能够安全、高效地被外部用户或系统调用，从而提升服务调用的灵活性与便捷性。</w:t>
      </w:r>
    </w:p>
    <w:p>
      <w:pPr>
        <w:rPr>
          <w:rFonts w:hint="eastAsia"/>
          <w:highlight w:val="none"/>
        </w:rPr>
      </w:pPr>
      <w:r>
        <w:rPr>
          <w:rFonts w:hint="eastAsia"/>
          <w:highlight w:val="none"/>
        </w:rPr>
        <w:t>5）配置中心</w:t>
      </w:r>
    </w:p>
    <w:p>
      <w:pPr>
        <w:rPr>
          <w:rFonts w:hint="eastAsia"/>
          <w:highlight w:val="none"/>
        </w:rPr>
      </w:pPr>
      <w:r>
        <w:rPr>
          <w:rFonts w:hint="eastAsia"/>
          <w:highlight w:val="none"/>
        </w:rPr>
        <w:t>提供集中管理应用程序配置信息的后台，支持应用程序配置的动态调整、敏感数据管理、跨应用配置与查询、多环境配置共享以及历史版本管理等功能。从而简化配置管理流程，提高系统可维护性与稳定性，同时支持故障排除与安全审计，确保配置信息的准确性与安全性。</w:t>
      </w:r>
    </w:p>
    <w:p>
      <w:pPr>
        <w:rPr>
          <w:rFonts w:hint="eastAsia"/>
          <w:highlight w:val="none"/>
        </w:rPr>
      </w:pPr>
      <w:r>
        <w:rPr>
          <w:rFonts w:hint="eastAsia"/>
          <w:highlight w:val="none"/>
        </w:rPr>
        <w:t>详细的软件开发清单如下：</w:t>
      </w:r>
    </w:p>
    <w:tbl>
      <w:tblPr>
        <w:tblStyle w:val="35"/>
        <w:tblW w:w="0" w:type="auto"/>
        <w:tblInd w:w="0" w:type="dxa"/>
        <w:tblLayout w:type="autofit"/>
        <w:tblCellMar>
          <w:top w:w="0" w:type="dxa"/>
          <w:left w:w="108" w:type="dxa"/>
          <w:bottom w:w="0" w:type="dxa"/>
          <w:right w:w="108" w:type="dxa"/>
        </w:tblCellMar>
      </w:tblPr>
      <w:tblGrid>
        <w:gridCol w:w="697"/>
        <w:gridCol w:w="1681"/>
        <w:gridCol w:w="1482"/>
        <w:gridCol w:w="4668"/>
      </w:tblGrid>
      <w:tr>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F3F8FC"/>
            <w:noWrap/>
            <w:vAlign w:val="center"/>
          </w:tcPr>
          <w:p>
            <w:pPr>
              <w:widowControl/>
              <w:spacing w:line="240" w:lineRule="auto"/>
              <w:ind w:firstLine="0" w:firstLineChars="0"/>
              <w:jc w:val="center"/>
              <w:textAlignment w:val="center"/>
              <w:rPr>
                <w:rFonts w:hint="eastAsia" w:cs="宋体"/>
                <w:b/>
                <w:bCs/>
                <w:color w:val="000000"/>
                <w:highlight w:val="none"/>
              </w:rPr>
            </w:pPr>
            <w:r>
              <w:rPr>
                <w:rFonts w:hint="eastAsia" w:cs="宋体"/>
                <w:b/>
                <w:bCs/>
                <w:color w:val="000000"/>
                <w:kern w:val="0"/>
                <w:highlight w:val="none"/>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F3F8FC"/>
            <w:noWrap/>
            <w:vAlign w:val="center"/>
          </w:tcPr>
          <w:p>
            <w:pPr>
              <w:widowControl/>
              <w:spacing w:line="240" w:lineRule="auto"/>
              <w:ind w:firstLine="0" w:firstLineChars="0"/>
              <w:jc w:val="center"/>
              <w:textAlignment w:val="center"/>
              <w:rPr>
                <w:rFonts w:hint="eastAsia" w:cs="宋体"/>
                <w:b/>
                <w:bCs/>
                <w:color w:val="000000"/>
                <w:highlight w:val="none"/>
              </w:rPr>
            </w:pPr>
            <w:r>
              <w:rPr>
                <w:rFonts w:hint="eastAsia" w:cs="宋体"/>
                <w:b/>
                <w:bCs/>
                <w:color w:val="000000"/>
                <w:kern w:val="0"/>
                <w:highlight w:val="none"/>
                <w:lang w:bidi="ar"/>
              </w:rPr>
              <w:t>应用系统名称</w:t>
            </w:r>
          </w:p>
        </w:tc>
        <w:tc>
          <w:tcPr>
            <w:tcW w:w="0" w:type="auto"/>
            <w:tcBorders>
              <w:top w:val="single" w:color="000000" w:sz="4" w:space="0"/>
              <w:left w:val="single" w:color="000000" w:sz="4" w:space="0"/>
              <w:bottom w:val="single" w:color="000000" w:sz="4" w:space="0"/>
              <w:right w:val="single" w:color="000000" w:sz="4" w:space="0"/>
            </w:tcBorders>
            <w:shd w:val="clear" w:color="auto" w:fill="F3F8FC"/>
            <w:noWrap/>
            <w:vAlign w:val="center"/>
          </w:tcPr>
          <w:p>
            <w:pPr>
              <w:widowControl/>
              <w:spacing w:line="240" w:lineRule="auto"/>
              <w:ind w:firstLine="0" w:firstLineChars="0"/>
              <w:jc w:val="center"/>
              <w:textAlignment w:val="center"/>
              <w:rPr>
                <w:rFonts w:hint="eastAsia" w:cs="宋体"/>
                <w:b/>
                <w:bCs/>
                <w:color w:val="000000"/>
                <w:highlight w:val="none"/>
              </w:rPr>
            </w:pPr>
            <w:r>
              <w:rPr>
                <w:rFonts w:hint="eastAsia" w:cs="宋体"/>
                <w:b/>
                <w:bCs/>
                <w:color w:val="000000"/>
                <w:kern w:val="0"/>
                <w:highlight w:val="none"/>
                <w:lang w:bidi="ar"/>
              </w:rPr>
              <w:t>模块名称</w:t>
            </w:r>
          </w:p>
        </w:tc>
        <w:tc>
          <w:tcPr>
            <w:tcW w:w="0" w:type="auto"/>
            <w:tcBorders>
              <w:top w:val="single" w:color="000000" w:sz="4" w:space="0"/>
              <w:left w:val="single" w:color="000000" w:sz="4" w:space="0"/>
              <w:bottom w:val="single" w:color="000000" w:sz="4" w:space="0"/>
              <w:right w:val="single" w:color="000000" w:sz="4" w:space="0"/>
            </w:tcBorders>
            <w:shd w:val="clear" w:color="auto" w:fill="F3F8FC"/>
          </w:tcPr>
          <w:p>
            <w:pPr>
              <w:widowControl/>
              <w:spacing w:line="240" w:lineRule="auto"/>
              <w:ind w:firstLine="0" w:firstLineChars="0"/>
              <w:jc w:val="center"/>
              <w:textAlignment w:val="top"/>
              <w:rPr>
                <w:rFonts w:hint="eastAsia" w:cs="宋体"/>
                <w:b/>
                <w:bCs/>
                <w:color w:val="000000"/>
                <w:highlight w:val="none"/>
              </w:rPr>
            </w:pPr>
            <w:r>
              <w:rPr>
                <w:rFonts w:hint="eastAsia" w:cs="宋体"/>
                <w:b/>
                <w:bCs/>
                <w:color w:val="000000"/>
                <w:kern w:val="0"/>
                <w:highlight w:val="none"/>
                <w:lang w:bidi="ar"/>
              </w:rPr>
              <w:t>模块描述</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公共服务总线</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接口服务总线-主域服务器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支持对SOA架构中的基础资源进行管理，可管理分布式域服务器。提供核心服务配置服务，支持服务注册、安全策略配置、注册新开发的业务服务组件和应用程序接口适配器。</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接口服务总线-域服务器管理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支持资源注册管理、部署管理、安全策略配置、服务状态管理、服务发布和发现。</w:t>
            </w:r>
          </w:p>
        </w:tc>
      </w:tr>
      <w:tr>
        <w:tblPrEx>
          <w:tblCellMar>
            <w:top w:w="0" w:type="dxa"/>
            <w:left w:w="108" w:type="dxa"/>
            <w:bottom w:w="0" w:type="dxa"/>
            <w:right w:w="108" w:type="dxa"/>
          </w:tblCellMar>
        </w:tblPrEx>
        <w:trPr>
          <w:trHeight w:val="9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接口服务总线-服务熔断</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针对每个接口单独设定不同的阈值，以接口并发量设置阈值为上限依据，根据当前接口实际并发量以及接口实际的处理能力动态给接口分配负载请求，以实现对接口承载保护，实现接口业务的长持续、高可靠运行。</w:t>
            </w:r>
          </w:p>
        </w:tc>
      </w:tr>
      <w:tr>
        <w:tblPrEx>
          <w:tblCellMar>
            <w:top w:w="0" w:type="dxa"/>
            <w:left w:w="108" w:type="dxa"/>
            <w:bottom w:w="0" w:type="dxa"/>
            <w:right w:w="108" w:type="dxa"/>
          </w:tblCellMar>
        </w:tblPrEx>
        <w:trPr>
          <w:trHeight w:val="201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接口服务总线-访问控制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灵活的访问管控能力，通过IP过滤、超时控制和智能重试机制，确保服务调用的安全性和高可用性。支持自定义IP白名单/黑名单，精确控制访问权限；允许按接口灵活配置超时时间（默认5秒，可调整），避免长时间阻塞；针对网络波动和服务异常，提供可配置的重试策略，包括超时重试（最多3次）和异常重试（最多2次），有效提升系统健壮性。适用于高并发、网络不稳定等场景，保障关键业务服务的连续性和可靠性。</w:t>
            </w:r>
          </w:p>
        </w:tc>
      </w:tr>
      <w:tr>
        <w:tblPrEx>
          <w:tblCellMar>
            <w:top w:w="0" w:type="dxa"/>
            <w:left w:w="108" w:type="dxa"/>
            <w:bottom w:w="0" w:type="dxa"/>
            <w:right w:w="108" w:type="dxa"/>
          </w:tblCellMar>
        </w:tblPrEx>
        <w:trPr>
          <w:trHeight w:val="1440"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接口服务总线-请求内容控制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全面的请求管控和流量治理能力，通过多维度的安全限制和流量控制机制保障系统稳定运行。支持配置请求头关键字段过滤，精确控制允许的请求头内容；提供文件传输限制功能，可设置文件类型、大小等安全策略；支持灵活配置请求体大小限制（默认10MB，可调整），防止超大请求导致的资源耗尽；同时具备流量复制能力。</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接口服务总线-数据缓存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根据管理系统配置判断接口是否需要缓存接口返回数据，包括缓存级别和缓存时间，可根据访问参数配置缓存等功能。</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接口服务总线-访问日志打印控制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根据日志打印级别配置，控制访问日志是否打印访问请求出入参。打印日志级别包括：入参级别打印，出参级别打印，全参级别打印，禁止打印。</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消息服务集成-消息服务管理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支持总线管理主题、服务生命周期管理主题、服务监控主题、服务调用主题的设置，支持服务的集中管理。</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消息服务集成-消息服务集成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提供与主流消息中间件（如Kafka、RabbitMQ、RocketMQ）的深度集成能力，支持消息的可靠生产、消费和管理，确保系统间高效、异步的数据通信。</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消息服务集成-消息接入适配器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提供服务总线使用HTTP适配器、JMS适配器、EMAIL适配器、FTP适配器的能力。</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公共服务总线管理-服务管理与治理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服务管理与治理主要包括服务接口管理，负载均衡管理，发布管理，服务分组，响应缓存管理功能。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公共服务总线管理-核心消息服务</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提供队列管理，主题与订阅管理，消息会话，虚拟主机管理等管理功能。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公共服务总线管理-服务发现与注册</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提供生产者注册，消费者注册，服务自动发现，服务接口注册等管理功能。</w:t>
            </w:r>
          </w:p>
        </w:tc>
      </w:tr>
      <w:tr>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公共服务总线管理-扩展与集成</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提供消息中间件注册，传输组件注册，注册中心等管理功能。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公共服务总线管理-安全与认证</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提供黑名单管理，白名单管理，数据验证与加密管理，熔断配置管理等管理功能。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公共服务总线管理-服务域管理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对服务的归属进行维护，实现总线服务的隔离，不同的域将会发布到不同的服务器，可以实现灰度发布等功能。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传输组件管理-传输组件API</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支持HTTP传输的SOAP协议、EMAI传输协议、FTP传输协议、HL7传输协议，提供传输组件API。</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18</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开放安全网关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开放安全网关服务-接口权限校验</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提供接口状态校验、接口所属服务状态校验、接口授权校验、接口所属域校验服务。</w:t>
            </w:r>
          </w:p>
        </w:tc>
      </w:tr>
      <w:tr>
        <w:tblPrEx>
          <w:tblCellMar>
            <w:top w:w="0" w:type="dxa"/>
            <w:left w:w="108" w:type="dxa"/>
            <w:bottom w:w="0" w:type="dxa"/>
            <w:right w:w="108" w:type="dxa"/>
          </w:tblCellMar>
        </w:tblPrEx>
        <w:trPr>
          <w:trHeight w:val="115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19</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开放安全网关服务-访问控制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支持ip过滤、接口自定义超时时间、超时重试、异常重试、超时重试次数限制、异常重试次数限制、请求头过滤机制、文件传输限制机制、请求体大小限制、流量复制机制服务，以实现服务访问控制网关的访问控制。</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开放安全网关服务-传输数据安全控制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支持传输国密签名校验、传输数据 AES 加密校验、传输 RSA 签名校验和传输数据国密加密校验，保证数据安全完整性。</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开放安全网关服务-服务安全保护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根据管理系统接口配置和请求内容进行判断，对访问接口防XSS（跨站脚本）攻击，对访问接口防SQL注入攻击，对访问接口防重放攻击。</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开放安全网关服务-数据缓存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根据管理系统配置判断接口是否需要缓存接口返回数据，包括缓存级别和缓存时间，可根据访问参数配置缓存等功能。</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开放安全网关服务-访问日志打印控制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根据日志打印级别配置，控制访问日志是否打印访问请求出入参。打印日志级别包括：入参级别打印，出参级别打印，全参级别打印，禁止打印。</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开放安全网关服务-故障处理机制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提供服务限流和服务熔断服务，限流根据并发情况计算并调整请求代理，熔断在并发达到阈值时暂停服务并在一段时间后重试恢复。</w:t>
            </w:r>
          </w:p>
        </w:tc>
      </w:tr>
      <w:tr>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开放安全网关管理-调用方管理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提供接口授权，接口授权组管理，调用方注册等管理功能。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开放安全网关管理-应用注册与管理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提供应用注册，应用接口注册，应用接口负载均衡，响应缓存管理等管理功能。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开放安全网关管理-网关注册与管理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提供发布管理，网关节点注册，网关服务域注册，开放网关管理等管理功能。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开放安全网关管理-安全管理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提供访问管理，防XSS攻击管理，防注入攻击管理，访问策略控制，熔断配置管理等管理功能。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29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用户安全网关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用户安全网关服务-接口权限校验</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提供接口状态校验、接口所属服务状态校验、接口授权校验、接口所属域校验服务。</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用户安全网关服务-服务安全保护</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根据管理系统接口配置和请求内容进行判断，对访问接口防XSS（跨站脚本）攻击，对访问接口防SQL注入攻击，对访问接口防重放攻击。</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用户安全网关服务-防用户越权访问</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支持单配置和多配置防护，根据越权访问策略校验用户接口访问权限。</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32</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用户安全网关服务-数据缓存</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根据管理系统配置判断接口是否需要缓存接口返回数据，包括缓存级别和缓存时间，可根据访问参数配置缓存等功能。</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用户安全网关服务-访问日志打印控制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根据管理系统配置判断接口打印日志级别进行日志打印控制，打印日志级别包括：入参级别打印，出参级别打印，全参级别打印，禁止打印。</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用户安全网关服务-故障处理机制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提供服务限流和服务熔断服务，限流根据并发情况计算并调整请求代理，熔断在并发达到阈值时暂停服务并在一段时间后重试恢复。</w:t>
            </w:r>
          </w:p>
        </w:tc>
      </w:tr>
      <w:tr>
        <w:tblPrEx>
          <w:tblCellMar>
            <w:top w:w="0" w:type="dxa"/>
            <w:left w:w="108" w:type="dxa"/>
            <w:bottom w:w="0" w:type="dxa"/>
            <w:right w:w="108" w:type="dxa"/>
          </w:tblCellMar>
        </w:tblPrEx>
        <w:trPr>
          <w:trHeight w:val="1152"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用户安全网关服务-访问控制</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支持ip过滤、接口自定义超时时间、超时重试、异常重试、超时重试次数限制、异常重试次数限制、请求头过滤机制、文件传输限制机制、请求体大小限制、流量复制机制服务，以实现用户服务网关对应的访问控制。</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36</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用户安全网关管理-网关服务与治理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包括应用接口管理，应用接口负载均衡，发布管理，应用接口响应缓存等管理功能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37</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用户安全网关管理-服务注册与发现</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包括调用方注册，应用注册，网关服务域注册，网关节点注册等管理功能。</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38</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用户安全网关管理-安全管理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包括包括安全域名管理，黑名管理(单)，防XSS攻击管理，防注入攻击管理，防重放攻击管理，防用户越权访问管理，熔断配置管理等管理功能</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39</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服务注册与发布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用户安全网关接口注册与发布管理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用户安全网关接口的自动注册与手动管理。程序可通过注解在启动时自动将接口注册至注册中心，注解用于标识接口专供用户安全网关使用，配置注解属性后，接口将默认注册到用户安全网关并授权给默认应用；同时，提供管理系统支持手动注册用户安全网关接口，便于灵活调整接口的注册与配置；注册完成后，接口会自动发布至网关环境，供外部用户安全调用。</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40</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服务总线接口注册与发布管理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企业服务总线（ESB）接口的自动化与手动化注册管理能力。通过注解标识接口专供ESB使用，程序在启动时自动将接口注册至注册中心，并根据注解属性配置完成ESB平台的自动注册；同时，支持通过管理系统手动注册ESB接口，便于灵活调整服务配置；注册完成后，接口会自动发布至ESB平台，供内部服务或系统通过总线高效调用。</w:t>
            </w:r>
          </w:p>
        </w:tc>
      </w:tr>
      <w:tr>
        <w:tblPrEx>
          <w:tblCellMar>
            <w:top w:w="0" w:type="dxa"/>
            <w:left w:w="108" w:type="dxa"/>
            <w:bottom w:w="0" w:type="dxa"/>
            <w:right w:w="108" w:type="dxa"/>
          </w:tblCellMar>
        </w:tblPrEx>
        <w:trPr>
          <w:trHeight w:val="864"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41</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开放网关接口注册与发布管理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开放网关接口的自动化注册与灵活管理。通过注解标识接口专供开放网关使用，程序在启动时自动将接口注册至注册中心，并根据注解属性完成开放网关的自动注册；同时，提供管理系统支持手动注册开放网关接口，便于按需调整第三方接口的配置；注册完成后，接口会自动发布至开放网关环境，供第三方系统通过加密签名验证后安全调用。</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42</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配置中心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应用配置管理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提供全面的应用程序配置管理能力，涵盖配置信息管理、动态更新、状态监控及数据安全保护。支持集中管理应用程序的配置信息，确保配置数据有序存储与访问；支持在运行时动态调整配置参数，无需重启服务即可生效，提升系统灵活性；提供配置变更实时通知与状态监控服务，确保运维人员及时掌握配置动态；同时，内置敏感数据管理机制，通过加密存储、访问控制等安全手段，保障配置中敏感信息的安全性。</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43</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跨应用配置与查询</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支持集中存储应用程序配置信息，支持简化配置管理，支持提高可维护性和系统稳定性。</w:t>
            </w:r>
          </w:p>
        </w:tc>
      </w:tr>
      <w:tr>
        <w:tblPrEx>
          <w:tblCellMar>
            <w:top w:w="0" w:type="dxa"/>
            <w:left w:w="108" w:type="dxa"/>
            <w:bottom w:w="0" w:type="dxa"/>
            <w:right w:w="108" w:type="dxa"/>
          </w:tblCellMar>
        </w:tblPrEx>
        <w:trPr>
          <w:trHeight w:val="288"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44</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多环境配置共享</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支持多环境配置管理。支持不同应用程序或服务可共享相同配置。</w:t>
            </w:r>
          </w:p>
        </w:tc>
      </w:tr>
      <w:tr>
        <w:tblPrEx>
          <w:tblCellMar>
            <w:top w:w="0" w:type="dxa"/>
            <w:left w:w="108" w:type="dxa"/>
            <w:bottom w:w="0" w:type="dxa"/>
            <w:right w:w="108" w:type="dxa"/>
          </w:tblCellMar>
        </w:tblPrEx>
        <w:trPr>
          <w:trHeight w:val="576" w:hRule="atLeast"/>
        </w:trPr>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jc w:val="center"/>
              <w:textAlignment w:val="center"/>
              <w:rPr>
                <w:rFonts w:hint="eastAsia" w:cs="宋体"/>
                <w:color w:val="000000"/>
                <w:highlight w:val="none"/>
              </w:rPr>
            </w:pPr>
            <w:r>
              <w:rPr>
                <w:rFonts w:hint="eastAsia" w:cs="宋体"/>
                <w:color w:val="000000"/>
                <w:kern w:val="0"/>
                <w:highlight w:val="none"/>
                <w:lang w:bidi="ar"/>
              </w:rPr>
              <w:t>45</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rFonts w:hint="eastAsia" w:cs="宋体"/>
                <w:color w:val="000000"/>
                <w:highlight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240" w:lineRule="auto"/>
              <w:ind w:firstLine="0" w:firstLineChars="0"/>
              <w:textAlignment w:val="center"/>
              <w:rPr>
                <w:rFonts w:hint="eastAsia" w:cs="宋体"/>
                <w:color w:val="000000"/>
                <w:highlight w:val="none"/>
              </w:rPr>
            </w:pPr>
            <w:r>
              <w:rPr>
                <w:rFonts w:hint="eastAsia" w:cs="宋体"/>
                <w:color w:val="000000"/>
                <w:kern w:val="0"/>
                <w:highlight w:val="none"/>
                <w:lang w:bidi="ar"/>
              </w:rPr>
              <w:t>历史版本管理</w:t>
            </w:r>
          </w:p>
        </w:tc>
        <w:tc>
          <w:tcPr>
            <w:tcW w:w="0" w:type="auto"/>
            <w:tcBorders>
              <w:top w:val="single" w:color="000000" w:sz="4" w:space="0"/>
              <w:left w:val="single" w:color="000000" w:sz="4" w:space="0"/>
              <w:bottom w:val="single" w:color="000000" w:sz="4" w:space="0"/>
              <w:right w:val="single" w:color="000000" w:sz="4" w:space="0"/>
            </w:tcBorders>
            <w:shd w:val="clear" w:color="auto" w:fill="FFFFFF"/>
          </w:tcPr>
          <w:p>
            <w:pPr>
              <w:widowControl/>
              <w:spacing w:line="240" w:lineRule="auto"/>
              <w:ind w:firstLine="0" w:firstLineChars="0"/>
              <w:jc w:val="left"/>
              <w:textAlignment w:val="center"/>
              <w:rPr>
                <w:rFonts w:hint="eastAsia" w:cs="宋体"/>
                <w:color w:val="000000"/>
                <w:highlight w:val="none"/>
              </w:rPr>
            </w:pPr>
            <w:r>
              <w:rPr>
                <w:rFonts w:hint="eastAsia"/>
                <w:highlight w:val="none"/>
              </w:rPr>
              <w:t>支持跟踪配置变更历史，支持回滚。支持记录配置修改历史，支持故障排除和安全审计。</w:t>
            </w:r>
          </w:p>
        </w:tc>
      </w:tr>
    </w:tbl>
    <w:p>
      <w:pPr>
        <w:ind w:firstLine="0" w:firstLineChars="0"/>
        <w:rPr>
          <w:rFonts w:hint="eastAsia"/>
          <w:highlight w:val="none"/>
        </w:rPr>
      </w:pPr>
    </w:p>
    <w:p>
      <w:pPr>
        <w:pStyle w:val="2"/>
        <w:rPr>
          <w:rFonts w:hint="eastAsia"/>
          <w:highlight w:val="none"/>
        </w:rPr>
      </w:pPr>
      <w:bookmarkStart w:id="17" w:name="_Toc63785502"/>
      <w:r>
        <w:rPr>
          <w:rFonts w:hint="eastAsia"/>
          <w:highlight w:val="none"/>
        </w:rPr>
        <w:t>电子政务云资源需求</w:t>
      </w:r>
      <w:bookmarkEnd w:id="17"/>
    </w:p>
    <w:p>
      <w:pPr>
        <w:rPr>
          <w:rFonts w:hint="eastAsia"/>
          <w:highlight w:val="none"/>
          <w:lang w:bidi="ar"/>
        </w:rPr>
      </w:pPr>
      <w:bookmarkStart w:id="18" w:name="_Toc63785503"/>
      <w:r>
        <w:rPr>
          <w:rFonts w:hint="eastAsia"/>
          <w:highlight w:val="none"/>
          <w:lang w:bidi="ar"/>
        </w:rPr>
        <w:t>本项目依托上海市电子政务云资源部署，系统需依据</w:t>
      </w:r>
      <w:r>
        <w:rPr>
          <w:rFonts w:hint="eastAsia"/>
          <w:highlight w:val="none"/>
          <w:lang w:eastAsia="zh-CN" w:bidi="ar"/>
        </w:rPr>
        <w:t>XC</w:t>
      </w:r>
      <w:r>
        <w:rPr>
          <w:rFonts w:hint="eastAsia"/>
          <w:highlight w:val="none"/>
          <w:lang w:bidi="ar"/>
        </w:rPr>
        <w:t>要求实现。项目实施过程中按照上海市电子政务云平台实际分配的资源情况作动态调整。</w:t>
      </w:r>
    </w:p>
    <w:p>
      <w:pPr>
        <w:pStyle w:val="2"/>
        <w:rPr>
          <w:rFonts w:hint="eastAsia"/>
          <w:highlight w:val="none"/>
        </w:rPr>
      </w:pPr>
      <w:r>
        <w:rPr>
          <w:rFonts w:hint="eastAsia"/>
          <w:highlight w:val="none"/>
        </w:rPr>
        <w:t>其他工作要求</w:t>
      </w:r>
      <w:bookmarkEnd w:id="18"/>
    </w:p>
    <w:p>
      <w:pPr>
        <w:keepNext/>
        <w:keepLines/>
        <w:numPr>
          <w:ilvl w:val="1"/>
          <w:numId w:val="3"/>
        </w:numPr>
        <w:tabs>
          <w:tab w:val="left" w:pos="360"/>
        </w:tabs>
        <w:spacing w:before="120" w:line="240" w:lineRule="auto"/>
        <w:ind w:left="0" w:firstLine="0" w:firstLineChars="0"/>
        <w:outlineLvl w:val="1"/>
        <w:rPr>
          <w:rFonts w:hint="eastAsia" w:ascii="仿宋" w:hAnsi="仿宋" w:eastAsia="仿宋"/>
          <w:b/>
          <w:vanish/>
          <w:color w:val="000000"/>
          <w:sz w:val="28"/>
          <w:szCs w:val="20"/>
          <w:highlight w:val="none"/>
        </w:rPr>
      </w:pPr>
      <w:bookmarkStart w:id="19" w:name="_Toc62219358"/>
      <w:bookmarkEnd w:id="19"/>
      <w:bookmarkStart w:id="20" w:name="_Toc63785504"/>
      <w:bookmarkEnd w:id="20"/>
      <w:bookmarkStart w:id="21" w:name="_Toc63785439"/>
      <w:bookmarkEnd w:id="21"/>
      <w:bookmarkStart w:id="22" w:name="_Toc62209488"/>
      <w:bookmarkEnd w:id="22"/>
      <w:bookmarkStart w:id="23" w:name="_Toc63762370"/>
      <w:bookmarkEnd w:id="23"/>
      <w:bookmarkStart w:id="24" w:name="_Toc63585480"/>
      <w:bookmarkEnd w:id="24"/>
      <w:bookmarkStart w:id="25" w:name="_Toc63151871"/>
      <w:bookmarkEnd w:id="25"/>
      <w:bookmarkStart w:id="26" w:name="_Toc61968111"/>
      <w:bookmarkEnd w:id="26"/>
    </w:p>
    <w:p>
      <w:pPr>
        <w:pStyle w:val="3"/>
        <w:rPr>
          <w:rFonts w:hint="eastAsia"/>
          <w:highlight w:val="none"/>
        </w:rPr>
      </w:pPr>
      <w:bookmarkStart w:id="27" w:name="_Toc63785505"/>
      <w:r>
        <w:rPr>
          <w:rFonts w:hint="eastAsia"/>
          <w:highlight w:val="none"/>
        </w:rPr>
        <w:t>售后服务要求</w:t>
      </w:r>
      <w:bookmarkEnd w:id="27"/>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本项目从系统验收通过之日起1年内提供7*24小时免费技术支持和售后服务，1年后进入有偿维护期。</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在质量保证期内，供应商将按照售后服务的承诺提供保修和运行维护服务，如果厂商对信息系统中软、硬件设备等产品中的部分保修期超过上述期限的，则按照厂商的规定进行免费保修。</w:t>
      </w:r>
    </w:p>
    <w:p>
      <w:pPr>
        <w:rPr>
          <w:rFonts w:hint="eastAsia"/>
          <w:highlight w:val="none"/>
        </w:rPr>
      </w:pPr>
      <w:r>
        <w:rPr>
          <w:rFonts w:hint="eastAsia"/>
          <w:color w:val="000000" w:themeColor="text1"/>
          <w:highlight w:val="none"/>
          <w14:textFill>
            <w14:solidFill>
              <w14:schemeClr w14:val="tx1"/>
            </w14:solidFill>
          </w14:textFill>
        </w:rPr>
        <w:t>在质量保证期内，供应商负责信息系统的运行维护工作，确保信息系统安全、稳定、可靠地运行。本项目涉及的运行维护工作范围为：日常巡检、系统维护、系统优化、功能维护、软件升级、版本更新以及其他技术维护服务。</w:t>
      </w:r>
    </w:p>
    <w:p>
      <w:pPr>
        <w:pStyle w:val="3"/>
        <w:rPr>
          <w:rFonts w:hint="eastAsia"/>
          <w:highlight w:val="none"/>
        </w:rPr>
      </w:pPr>
      <w:bookmarkStart w:id="28" w:name="_Toc63785506"/>
      <w:r>
        <w:rPr>
          <w:rFonts w:hint="eastAsia"/>
          <w:highlight w:val="none"/>
        </w:rPr>
        <w:t>应急响应要求</w:t>
      </w:r>
      <w:bookmarkEnd w:id="28"/>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供应商对系统故障应能够实时响应，若系统发生故障，接到通知后</w:t>
      </w:r>
      <w:r>
        <w:rPr>
          <w:rFonts w:ascii="宋体" w:hAnsi="宋体"/>
          <w:sz w:val="24"/>
          <w:szCs w:val="24"/>
          <w:highlight w:val="none"/>
        </w:rPr>
        <w:t>30分钟之内响应，专业工程师2小时内到达现场</w:t>
      </w:r>
      <w:r>
        <w:rPr>
          <w:rFonts w:hint="eastAsia" w:ascii="宋体" w:hAnsi="宋体"/>
          <w:sz w:val="24"/>
          <w:szCs w:val="24"/>
          <w:highlight w:val="none"/>
        </w:rPr>
        <w:t>。特殊故障与客户沟通协商后，按照协商的方式制定解决方案并进行处理。</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具体故障级别及对应的应急响应要求如下：</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一级故障：在</w:t>
      </w:r>
      <w:r>
        <w:rPr>
          <w:rFonts w:ascii="宋体" w:hAnsi="宋体"/>
          <w:sz w:val="24"/>
          <w:szCs w:val="24"/>
          <w:highlight w:val="none"/>
        </w:rPr>
        <w:t>1小时内确诊，总故障解决时间不超过4小时。</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二级故障：在</w:t>
      </w:r>
      <w:r>
        <w:rPr>
          <w:rFonts w:ascii="宋体" w:hAnsi="宋体"/>
          <w:sz w:val="24"/>
          <w:szCs w:val="24"/>
          <w:highlight w:val="none"/>
        </w:rPr>
        <w:t>2小时内确诊，并在4小时内由专家到达现场确诊并解决，总故障解决时间不超过8小时；</w:t>
      </w:r>
    </w:p>
    <w:p>
      <w:pPr>
        <w:pStyle w:val="106"/>
        <w:snapToGrid w:val="0"/>
        <w:spacing w:line="360" w:lineRule="auto"/>
        <w:ind w:firstLine="480"/>
        <w:rPr>
          <w:rFonts w:hint="eastAsia" w:ascii="宋体" w:hAnsi="宋体"/>
          <w:sz w:val="24"/>
          <w:szCs w:val="24"/>
          <w:highlight w:val="none"/>
        </w:rPr>
      </w:pPr>
      <w:r>
        <w:rPr>
          <w:rFonts w:hint="eastAsia" w:ascii="宋体" w:hAnsi="宋体"/>
          <w:sz w:val="24"/>
          <w:szCs w:val="24"/>
          <w:highlight w:val="none"/>
        </w:rPr>
        <w:t>三、四级故障：在</w:t>
      </w:r>
      <w:r>
        <w:rPr>
          <w:rFonts w:ascii="宋体" w:hAnsi="宋体"/>
          <w:sz w:val="24"/>
          <w:szCs w:val="24"/>
          <w:highlight w:val="none"/>
        </w:rPr>
        <w:t>4小时内确诊故障，总故障解决时间不超过16小时。</w:t>
      </w:r>
    </w:p>
    <w:p>
      <w:pPr>
        <w:pStyle w:val="3"/>
        <w:rPr>
          <w:rFonts w:hint="eastAsia"/>
          <w:highlight w:val="none"/>
        </w:rPr>
      </w:pPr>
      <w:bookmarkStart w:id="29" w:name="_Toc63785507"/>
      <w:r>
        <w:rPr>
          <w:rFonts w:hint="eastAsia"/>
          <w:highlight w:val="none"/>
        </w:rPr>
        <w:t>培训要求</w:t>
      </w:r>
      <w:bookmarkEnd w:id="29"/>
    </w:p>
    <w:p>
      <w:pPr>
        <w:rPr>
          <w:rFonts w:hint="eastAsia"/>
          <w:highlight w:val="none"/>
        </w:rPr>
      </w:pPr>
      <w:r>
        <w:rPr>
          <w:rFonts w:hint="eastAsia"/>
          <w:highlight w:val="none"/>
        </w:rPr>
        <w:t>对系统使用单位提供业务操作培训，应提供详细培训方案。</w:t>
      </w:r>
    </w:p>
    <w:p>
      <w:pPr>
        <w:rPr>
          <w:rFonts w:hint="eastAsia"/>
          <w:highlight w:val="none"/>
        </w:rPr>
      </w:pPr>
      <w:r>
        <w:rPr>
          <w:rFonts w:hint="eastAsia"/>
          <w:highlight w:val="none"/>
        </w:rPr>
        <w:t>(1)在12个月的质量保证期内，提供2次与项目相关的必要培训。</w:t>
      </w:r>
    </w:p>
    <w:p>
      <w:pPr>
        <w:rPr>
          <w:rFonts w:hint="eastAsia"/>
          <w:highlight w:val="none"/>
        </w:rPr>
      </w:pPr>
      <w:r>
        <w:rPr>
          <w:rFonts w:hint="eastAsia"/>
          <w:highlight w:val="none"/>
        </w:rPr>
        <w:t>(2)供应商需要开展分层次的人员培训工作，每次培训后应对参加培训人员进行测试，评估培训成果。培训应具有培训教材、培训环境和高水平的培训讲师。</w:t>
      </w:r>
    </w:p>
    <w:p>
      <w:pPr>
        <w:rPr>
          <w:rFonts w:hint="eastAsia"/>
          <w:highlight w:val="none"/>
        </w:rPr>
      </w:pPr>
      <w:r>
        <w:rPr>
          <w:rFonts w:hint="eastAsia"/>
          <w:highlight w:val="none"/>
        </w:rPr>
        <w:t>(3)供应商应提供一般用户的基础操作培训和部门信息管理员的日常应用维护的培训，确保用户对象能够掌握对应的操作技能。</w:t>
      </w:r>
    </w:p>
    <w:p>
      <w:pPr>
        <w:pStyle w:val="3"/>
        <w:rPr>
          <w:rFonts w:hint="eastAsia"/>
          <w:highlight w:val="none"/>
        </w:rPr>
      </w:pPr>
      <w:bookmarkStart w:id="30" w:name="_Toc63785508"/>
      <w:r>
        <w:rPr>
          <w:rFonts w:hint="eastAsia"/>
          <w:highlight w:val="none"/>
        </w:rPr>
        <w:t>验收要求</w:t>
      </w:r>
      <w:bookmarkEnd w:id="30"/>
    </w:p>
    <w:p>
      <w:pPr>
        <w:rPr>
          <w:rFonts w:hint="eastAsia"/>
          <w:szCs w:val="21"/>
          <w:highlight w:val="none"/>
        </w:rPr>
      </w:pPr>
      <w:r>
        <w:rPr>
          <w:rFonts w:hint="eastAsia"/>
          <w:szCs w:val="21"/>
          <w:highlight w:val="none"/>
        </w:rPr>
        <w:t>本项目按下述方式开展验收。</w:t>
      </w:r>
    </w:p>
    <w:p>
      <w:pPr>
        <w:rPr>
          <w:rFonts w:hint="eastAsia"/>
          <w:szCs w:val="21"/>
          <w:highlight w:val="none"/>
        </w:rPr>
      </w:pPr>
      <w:r>
        <w:rPr>
          <w:rFonts w:hint="eastAsia"/>
          <w:szCs w:val="21"/>
          <w:highlight w:val="none"/>
        </w:rPr>
        <w:t>（1</w:t>
      </w:r>
      <w:r>
        <w:rPr>
          <w:szCs w:val="21"/>
          <w:highlight w:val="none"/>
        </w:rPr>
        <w:t>）</w:t>
      </w:r>
      <w:r>
        <w:rPr>
          <w:rFonts w:hint="eastAsia"/>
          <w:szCs w:val="21"/>
          <w:highlight w:val="none"/>
        </w:rPr>
        <w:t>终</w:t>
      </w:r>
      <w:r>
        <w:rPr>
          <w:szCs w:val="21"/>
          <w:highlight w:val="none"/>
        </w:rPr>
        <w:t>验前，供应商须完成软件开发、软硬件安装和信息系统的调试等，并对本项目进行功能和运行检测，确保所有信息系统功能模块能够正常运行且已达到本项目约定的各类标准要求。招标方有权委托第三方检测机构进行验收，对此供应商应当配合。</w:t>
      </w:r>
    </w:p>
    <w:p>
      <w:pPr>
        <w:rPr>
          <w:rFonts w:hint="eastAsia"/>
          <w:szCs w:val="21"/>
          <w:highlight w:val="none"/>
        </w:rPr>
      </w:pPr>
      <w:r>
        <w:rPr>
          <w:rFonts w:hint="eastAsia"/>
          <w:szCs w:val="21"/>
          <w:highlight w:val="none"/>
        </w:rPr>
        <w:t>（</w:t>
      </w:r>
      <w:r>
        <w:rPr>
          <w:szCs w:val="21"/>
          <w:highlight w:val="none"/>
        </w:rPr>
        <w:t>3）</w:t>
      </w:r>
      <w:r>
        <w:rPr>
          <w:rFonts w:hint="eastAsia"/>
          <w:szCs w:val="21"/>
          <w:highlight w:val="none"/>
        </w:rPr>
        <w:t>终</w:t>
      </w:r>
      <w:r>
        <w:rPr>
          <w:szCs w:val="21"/>
          <w:highlight w:val="none"/>
        </w:rPr>
        <w:t>验时，供应商须提供软件文档包括《用户需求说明书》、《系统概要设计说明书》、《系统详细设计说明书》、</w:t>
      </w:r>
      <w:r>
        <w:rPr>
          <w:rFonts w:hint="eastAsia"/>
          <w:szCs w:val="21"/>
          <w:highlight w:val="none"/>
        </w:rPr>
        <w:t>《三方功能需求确认单》、</w:t>
      </w:r>
      <w:r>
        <w:rPr>
          <w:szCs w:val="21"/>
          <w:highlight w:val="none"/>
        </w:rPr>
        <w:t>《测试报告》、《用户使用手册》、《系统部署文档》等）及可安装的程序运行文件。所交付的文档与文件应当是可供自然人阅读的书面和电子文档。软件文档及可安装的程序运行文件验收通过后，视为</w:t>
      </w:r>
      <w:r>
        <w:rPr>
          <w:rFonts w:hint="eastAsia"/>
          <w:szCs w:val="21"/>
          <w:highlight w:val="none"/>
        </w:rPr>
        <w:t>终</w:t>
      </w:r>
      <w:r>
        <w:rPr>
          <w:szCs w:val="21"/>
          <w:highlight w:val="none"/>
        </w:rPr>
        <w:t>验通过。如有缺陷，招标方应向供应商出具书面报告，陈述需要改进的缺陷。供应商应立即严格依照招标方的书面报告中的要求改进缺陷，并再次进行初验。</w:t>
      </w:r>
    </w:p>
    <w:p>
      <w:pPr>
        <w:rPr>
          <w:rFonts w:hint="eastAsia"/>
          <w:szCs w:val="21"/>
          <w:highlight w:val="none"/>
        </w:rPr>
      </w:pPr>
      <w:r>
        <w:rPr>
          <w:rFonts w:hint="eastAsia"/>
          <w:szCs w:val="21"/>
          <w:highlight w:val="none"/>
        </w:rPr>
        <w:t>（</w:t>
      </w:r>
      <w:r>
        <w:rPr>
          <w:szCs w:val="21"/>
          <w:highlight w:val="none"/>
        </w:rPr>
        <w:t>4）招标方享有供应商免费提供的</w:t>
      </w:r>
      <w:r>
        <w:rPr>
          <w:rFonts w:hint="eastAsia"/>
          <w:szCs w:val="21"/>
          <w:highlight w:val="none"/>
        </w:rPr>
        <w:t>30</w:t>
      </w:r>
      <w:r>
        <w:rPr>
          <w:szCs w:val="21"/>
          <w:highlight w:val="none"/>
        </w:rPr>
        <w:t>天的信息系统试运行现场驻场服务期。该期间内，供应商应当按照招标方的要求提供现场技术支持服务，解决信息系统试运行期间可能出现的各类问题，或进一步提高与完善信息系统运行水平。</w:t>
      </w:r>
    </w:p>
    <w:p>
      <w:pPr>
        <w:rPr>
          <w:rFonts w:hint="eastAsia"/>
          <w:szCs w:val="21"/>
          <w:highlight w:val="none"/>
        </w:rPr>
      </w:pPr>
      <w:r>
        <w:rPr>
          <w:rFonts w:hint="eastAsia"/>
          <w:szCs w:val="21"/>
          <w:highlight w:val="none"/>
        </w:rPr>
        <w:t>（</w:t>
      </w:r>
      <w:r>
        <w:rPr>
          <w:szCs w:val="21"/>
          <w:highlight w:val="none"/>
        </w:rPr>
        <w:t>5）信息系统试运行期已经达到本项目约定的时间，经供应商确认信息系统具备正常运行条件，且信息系统通过运行测试，供应商应以书面形式通知招标方信息系统已准备就绪等待终验。招标方在收到终验通知后的</w:t>
      </w:r>
      <w:r>
        <w:rPr>
          <w:rFonts w:hint="eastAsia"/>
          <w:szCs w:val="21"/>
          <w:highlight w:val="none"/>
        </w:rPr>
        <w:t>10</w:t>
      </w:r>
      <w:r>
        <w:rPr>
          <w:szCs w:val="21"/>
          <w:highlight w:val="none"/>
        </w:rPr>
        <w:t>个工作日内发起组织专家验收会。</w:t>
      </w:r>
    </w:p>
    <w:p>
      <w:pPr>
        <w:rPr>
          <w:rFonts w:hint="eastAsia"/>
          <w:szCs w:val="21"/>
          <w:highlight w:val="none"/>
        </w:rPr>
      </w:pPr>
      <w:r>
        <w:rPr>
          <w:rFonts w:hint="eastAsia"/>
          <w:szCs w:val="21"/>
          <w:highlight w:val="none"/>
        </w:rPr>
        <w:t>（6</w:t>
      </w:r>
      <w:r>
        <w:rPr>
          <w:szCs w:val="21"/>
          <w:highlight w:val="none"/>
        </w:rPr>
        <w:t>）如果属于供应商原因致使本项目未能通过终验，供应商应当排除缺陷，直至本项目完全符合验收标准，由上述情形而产生的相关费用应由供应商自行承担。</w:t>
      </w:r>
    </w:p>
    <w:p>
      <w:pPr>
        <w:rPr>
          <w:rFonts w:hint="eastAsia"/>
          <w:szCs w:val="21"/>
          <w:highlight w:val="none"/>
        </w:rPr>
      </w:pPr>
      <w:r>
        <w:rPr>
          <w:rFonts w:hint="eastAsia"/>
          <w:szCs w:val="21"/>
          <w:highlight w:val="none"/>
        </w:rPr>
        <w:t>（7</w:t>
      </w:r>
      <w:r>
        <w:rPr>
          <w:szCs w:val="21"/>
          <w:highlight w:val="none"/>
        </w:rPr>
        <w:t>）如果由于招标方原因导致本项目在终验通过前出现故障或问题，供应商应及时配合排除该方面的故障或问题。</w:t>
      </w:r>
    </w:p>
    <w:p>
      <w:pPr>
        <w:rPr>
          <w:rFonts w:hint="eastAsia"/>
          <w:szCs w:val="21"/>
          <w:highlight w:val="none"/>
        </w:rPr>
      </w:pPr>
      <w:r>
        <w:rPr>
          <w:rFonts w:hint="eastAsia"/>
          <w:szCs w:val="21"/>
          <w:highlight w:val="none"/>
        </w:rPr>
        <w:t>（8</w:t>
      </w:r>
      <w:r>
        <w:rPr>
          <w:szCs w:val="21"/>
          <w:highlight w:val="none"/>
        </w:rPr>
        <w:t>）如本项目连续3次验收未通过（含初验未通过或终验未通过），招标方有权解除项目，并有权依照本项目约定的违约条款追究供应商的违约责任。</w:t>
      </w:r>
    </w:p>
    <w:p>
      <w:pPr>
        <w:pStyle w:val="3"/>
        <w:rPr>
          <w:rFonts w:hint="eastAsia"/>
          <w:highlight w:val="none"/>
        </w:rPr>
      </w:pPr>
      <w:bookmarkStart w:id="31" w:name="_Toc63785509"/>
      <w:r>
        <w:rPr>
          <w:rFonts w:hint="eastAsia"/>
          <w:highlight w:val="none"/>
        </w:rPr>
        <w:t>进度要求</w:t>
      </w:r>
      <w:bookmarkEnd w:id="31"/>
    </w:p>
    <w:p>
      <w:pPr>
        <w:rPr>
          <w:rFonts w:hint="eastAsia"/>
          <w:highlight w:val="none"/>
        </w:rPr>
      </w:pPr>
      <w:r>
        <w:rPr>
          <w:rFonts w:hint="eastAsia"/>
          <w:highlight w:val="none"/>
        </w:rPr>
        <w:t>投标人应根据建设内容，分阶段制定合理的时间进度，并且应根据招标方要求进行调整和细化。</w:t>
      </w:r>
    </w:p>
    <w:p>
      <w:pPr>
        <w:rPr>
          <w:rFonts w:hint="eastAsia"/>
          <w:highlight w:val="none"/>
        </w:rPr>
      </w:pPr>
      <w:bookmarkStart w:id="32" w:name="_Toc63785510"/>
      <w:r>
        <w:rPr>
          <w:rFonts w:hint="eastAsia"/>
          <w:highlight w:val="none"/>
        </w:rPr>
        <w:t>项目总体建设周期计划分为以下阶段：</w:t>
      </w:r>
    </w:p>
    <w:p>
      <w:pPr>
        <w:rPr>
          <w:rFonts w:hint="eastAsia"/>
          <w:highlight w:val="none"/>
        </w:rPr>
      </w:pPr>
      <w:r>
        <w:rPr>
          <w:rFonts w:hint="eastAsia"/>
          <w:highlight w:val="none"/>
        </w:rPr>
        <w:t>（1）合同签订之日起至2026年9月30日前，完成项目需求调研、需求确认、设计文档编制、系统功能开发和自测试等工作。</w:t>
      </w:r>
    </w:p>
    <w:p>
      <w:pPr>
        <w:rPr>
          <w:rFonts w:hint="eastAsia"/>
          <w:highlight w:val="none"/>
        </w:rPr>
      </w:pPr>
      <w:r>
        <w:rPr>
          <w:rFonts w:hint="eastAsia"/>
          <w:highlight w:val="none"/>
        </w:rPr>
        <w:t>（2）2026年10月1日至2026年10月31日前，完成项目试运行、第三方软件测试、安全测评、密码应用测评和数据编目上链等工作。</w:t>
      </w:r>
    </w:p>
    <w:p>
      <w:pPr>
        <w:rPr>
          <w:rFonts w:hint="eastAsia"/>
          <w:highlight w:val="none"/>
        </w:rPr>
      </w:pPr>
      <w:r>
        <w:rPr>
          <w:rFonts w:hint="eastAsia"/>
          <w:highlight w:val="none"/>
        </w:rPr>
        <w:t>（4）2026年11月1日至2026年11月15日前，完成项目终验工作。</w:t>
      </w:r>
    </w:p>
    <w:p>
      <w:pPr>
        <w:pStyle w:val="3"/>
        <w:rPr>
          <w:rFonts w:hint="eastAsia"/>
          <w:highlight w:val="none"/>
        </w:rPr>
      </w:pPr>
      <w:r>
        <w:rPr>
          <w:rFonts w:hint="eastAsia"/>
          <w:highlight w:val="none"/>
        </w:rPr>
        <w:t>项目团队及驻场人员要求</w:t>
      </w:r>
      <w:bookmarkEnd w:id="32"/>
    </w:p>
    <w:p>
      <w:pPr>
        <w:rPr>
          <w:rFonts w:hint="eastAsia"/>
          <w:highlight w:val="none"/>
        </w:rPr>
      </w:pPr>
      <w:r>
        <w:rPr>
          <w:highlight w:val="none"/>
        </w:rPr>
        <w:t>1）投标人须具有稳定的在职技术保障力量，能够提供及时的技术支援或服务，应针对本项目提供不少于</w:t>
      </w:r>
      <w:r>
        <w:rPr>
          <w:rFonts w:hint="eastAsia"/>
          <w:highlight w:val="none"/>
        </w:rPr>
        <w:t>8</w:t>
      </w:r>
      <w:r>
        <w:rPr>
          <w:highlight w:val="none"/>
        </w:rPr>
        <w:t>人的项目服务团队（包括项目经理、产品经理、研发等），投标单位的相关服务人员需具备相应的服务能力，需提供相关证明。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6"/>
        <w:gridCol w:w="3065"/>
        <w:gridCol w:w="1177"/>
        <w:gridCol w:w="193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角色</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主要职责</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人员数量</w:t>
            </w:r>
          </w:p>
        </w:tc>
        <w:tc>
          <w:tcPr>
            <w:tcW w:w="1930" w:type="dxa"/>
            <w:vAlign w:val="center"/>
          </w:tcPr>
          <w:p>
            <w:pPr>
              <w:widowControl/>
              <w:spacing w:line="240" w:lineRule="auto"/>
              <w:ind w:firstLine="0" w:firstLineChars="0"/>
              <w:jc w:val="center"/>
              <w:rPr>
                <w:rFonts w:hint="eastAsia"/>
                <w:b/>
                <w:highlight w:val="none"/>
              </w:rPr>
            </w:pPr>
            <w:r>
              <w:rPr>
                <w:rFonts w:hint="eastAsia"/>
                <w:b/>
                <w:highlight w:val="none"/>
              </w:rPr>
              <w:t>人员要求</w:t>
            </w:r>
          </w:p>
        </w:tc>
        <w:tc>
          <w:tcPr>
            <w:tcW w:w="1180" w:type="dxa"/>
            <w:noWrap/>
            <w:vAlign w:val="center"/>
          </w:tcPr>
          <w:p>
            <w:pPr>
              <w:widowControl/>
              <w:spacing w:line="240" w:lineRule="auto"/>
              <w:ind w:firstLine="0" w:firstLineChars="0"/>
              <w:jc w:val="center"/>
              <w:rPr>
                <w:rFonts w:hint="eastAsia"/>
                <w:b/>
                <w:highlight w:val="none"/>
              </w:rPr>
            </w:pPr>
            <w:r>
              <w:rPr>
                <w:rFonts w:hint="eastAsia"/>
                <w:b/>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项目经理</w:t>
            </w:r>
          </w:p>
        </w:tc>
        <w:tc>
          <w:tcPr>
            <w:tcW w:w="0" w:type="auto"/>
            <w:vAlign w:val="center"/>
          </w:tcPr>
          <w:p>
            <w:pPr>
              <w:widowControl/>
              <w:spacing w:line="240" w:lineRule="auto"/>
              <w:ind w:firstLine="0" w:firstLineChars="0"/>
              <w:jc w:val="center"/>
              <w:rPr>
                <w:rFonts w:hint="eastAsia"/>
                <w:highlight w:val="none"/>
              </w:rPr>
            </w:pPr>
            <w:r>
              <w:rPr>
                <w:rFonts w:hint="eastAsia"/>
                <w:highlight w:val="none"/>
              </w:rPr>
              <w:t>负责项目质量和进度控制</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1人</w:t>
            </w:r>
          </w:p>
        </w:tc>
        <w:tc>
          <w:tcPr>
            <w:tcW w:w="1930" w:type="dxa"/>
            <w:vAlign w:val="center"/>
          </w:tcPr>
          <w:p>
            <w:pPr>
              <w:widowControl/>
              <w:spacing w:line="240" w:lineRule="auto"/>
              <w:ind w:firstLine="0" w:firstLineChars="0"/>
              <w:jc w:val="center"/>
              <w:rPr>
                <w:rFonts w:hint="eastAsia"/>
                <w:highlight w:val="none"/>
              </w:rPr>
            </w:pPr>
            <w:r>
              <w:rPr>
                <w:rFonts w:hint="eastAsia" w:cs="宋体"/>
                <w:kern w:val="0"/>
                <w:highlight w:val="none"/>
              </w:rPr>
              <w:t>本科及以上学历，</w:t>
            </w:r>
            <w:r>
              <w:rPr>
                <w:rFonts w:hint="eastAsia"/>
                <w:highlight w:val="none"/>
              </w:rPr>
              <w:t>具有信息系统项目管理师资格证书</w:t>
            </w:r>
          </w:p>
        </w:tc>
        <w:tc>
          <w:tcPr>
            <w:tcW w:w="1180" w:type="dxa"/>
            <w:noWrap/>
            <w:vAlign w:val="center"/>
          </w:tcPr>
          <w:p>
            <w:pPr>
              <w:widowControl/>
              <w:spacing w:line="240" w:lineRule="auto"/>
              <w:ind w:firstLine="0" w:firstLineChars="0"/>
              <w:jc w:val="center"/>
              <w:rPr>
                <w:rFonts w:hint="eastAsia"/>
                <w:highlight w:val="none"/>
              </w:rPr>
            </w:pPr>
            <w:r>
              <w:rPr>
                <w:rFonts w:hint="eastAsia"/>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产品经理</w:t>
            </w:r>
          </w:p>
        </w:tc>
        <w:tc>
          <w:tcPr>
            <w:tcW w:w="0" w:type="auto"/>
            <w:vAlign w:val="center"/>
          </w:tcPr>
          <w:p>
            <w:pPr>
              <w:widowControl/>
              <w:spacing w:line="240" w:lineRule="auto"/>
              <w:ind w:firstLine="0" w:firstLineChars="0"/>
              <w:jc w:val="center"/>
              <w:rPr>
                <w:rFonts w:hint="eastAsia"/>
                <w:highlight w:val="none"/>
              </w:rPr>
            </w:pPr>
            <w:r>
              <w:rPr>
                <w:rFonts w:hint="eastAsia"/>
                <w:highlight w:val="none"/>
              </w:rPr>
              <w:t>负责项目需求评估与产品设计</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1人</w:t>
            </w:r>
          </w:p>
        </w:tc>
        <w:tc>
          <w:tcPr>
            <w:tcW w:w="1930" w:type="dxa"/>
            <w:vAlign w:val="center"/>
          </w:tcPr>
          <w:p>
            <w:pPr>
              <w:widowControl/>
              <w:spacing w:line="240" w:lineRule="auto"/>
              <w:ind w:firstLine="0" w:firstLineChars="0"/>
              <w:jc w:val="center"/>
              <w:rPr>
                <w:rFonts w:hint="eastAsia"/>
                <w:highlight w:val="none"/>
              </w:rPr>
            </w:pPr>
            <w:r>
              <w:rPr>
                <w:rFonts w:hint="eastAsia" w:cs="宋体"/>
                <w:kern w:val="0"/>
                <w:highlight w:val="none"/>
              </w:rPr>
              <w:t>本科及以上学历，</w:t>
            </w:r>
            <w:r>
              <w:rPr>
                <w:rFonts w:hint="eastAsia"/>
                <w:highlight w:val="none"/>
              </w:rPr>
              <w:t>具有计算机专业相关中级及以上职称</w:t>
            </w:r>
          </w:p>
        </w:tc>
        <w:tc>
          <w:tcPr>
            <w:tcW w:w="1180" w:type="dxa"/>
            <w:noWrap/>
            <w:vAlign w:val="center"/>
          </w:tcPr>
          <w:p>
            <w:pPr>
              <w:widowControl/>
              <w:spacing w:line="240" w:lineRule="auto"/>
              <w:ind w:firstLine="0" w:firstLineChars="0"/>
              <w:jc w:val="center"/>
              <w:rPr>
                <w:rFonts w:hint="eastAsia"/>
                <w:highlight w:val="none"/>
              </w:rPr>
            </w:pPr>
            <w:r>
              <w:rPr>
                <w:rFonts w:hint="eastAsia"/>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研发</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负责项目具体开发与实施</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6人</w:t>
            </w:r>
          </w:p>
        </w:tc>
        <w:tc>
          <w:tcPr>
            <w:tcW w:w="1930" w:type="dxa"/>
            <w:vAlign w:val="center"/>
          </w:tcPr>
          <w:p>
            <w:pPr>
              <w:widowControl/>
              <w:spacing w:line="240" w:lineRule="auto"/>
              <w:ind w:firstLine="0" w:firstLineChars="0"/>
              <w:jc w:val="center"/>
              <w:rPr>
                <w:rFonts w:hint="eastAsia"/>
                <w:highlight w:val="none"/>
              </w:rPr>
            </w:pPr>
            <w:r>
              <w:rPr>
                <w:rFonts w:hint="eastAsia"/>
                <w:highlight w:val="none"/>
              </w:rPr>
              <w:t>具备大数据分析师、注册信息安全管理证书等计算机专业相关资格证书优先</w:t>
            </w:r>
          </w:p>
        </w:tc>
        <w:tc>
          <w:tcPr>
            <w:tcW w:w="1180" w:type="dxa"/>
            <w:noWrap/>
            <w:vAlign w:val="center"/>
          </w:tcPr>
          <w:p>
            <w:pPr>
              <w:widowControl/>
              <w:spacing w:line="240" w:lineRule="auto"/>
              <w:ind w:firstLine="0" w:firstLineChars="0"/>
              <w:jc w:val="center"/>
              <w:rPr>
                <w:rFonts w:hint="eastAsia"/>
                <w:highlight w:val="none"/>
              </w:rPr>
            </w:pPr>
            <w:r>
              <w:rPr>
                <w:rFonts w:hint="eastAsia"/>
                <w:highlight w:val="none"/>
              </w:rPr>
              <w:t>不驻场</w:t>
            </w:r>
          </w:p>
        </w:tc>
      </w:tr>
    </w:tbl>
    <w:p>
      <w:pPr>
        <w:rPr>
          <w:rFonts w:hint="eastAsia"/>
          <w:highlight w:val="none"/>
        </w:rPr>
      </w:pPr>
      <w:r>
        <w:rPr>
          <w:highlight w:val="none"/>
        </w:rPr>
        <w:t>2）投标人应针对本项目提供不少于</w:t>
      </w:r>
      <w:r>
        <w:rPr>
          <w:rFonts w:hint="eastAsia"/>
          <w:highlight w:val="none"/>
        </w:rPr>
        <w:t>4</w:t>
      </w:r>
      <w:r>
        <w:rPr>
          <w:highlight w:val="none"/>
        </w:rPr>
        <w:t>人的质保期间支撑团队（其中技术经理</w:t>
      </w:r>
      <w:r>
        <w:rPr>
          <w:rFonts w:hint="eastAsia"/>
          <w:highlight w:val="none"/>
        </w:rPr>
        <w:t>1</w:t>
      </w:r>
      <w:r>
        <w:rPr>
          <w:highlight w:val="none"/>
        </w:rPr>
        <w:t>人，产品经理</w:t>
      </w:r>
      <w:r>
        <w:rPr>
          <w:rFonts w:hint="eastAsia"/>
          <w:highlight w:val="none"/>
        </w:rPr>
        <w:t>1</w:t>
      </w:r>
      <w:r>
        <w:rPr>
          <w:highlight w:val="none"/>
        </w:rPr>
        <w:t>人，技术工程师不少于</w:t>
      </w:r>
      <w:r>
        <w:rPr>
          <w:rFonts w:hint="eastAsia"/>
          <w:highlight w:val="none"/>
        </w:rPr>
        <w:t>2</w:t>
      </w:r>
      <w:r>
        <w:rPr>
          <w:highlight w:val="none"/>
        </w:rPr>
        <w:t>人）；投标人的相关服务人员需具备相应的服务能力，需提供相关证明（最近一个季度</w:t>
      </w:r>
      <w:r>
        <w:rPr>
          <w:rFonts w:hint="eastAsia"/>
          <w:highlight w:val="none"/>
        </w:rPr>
        <w:t>任意一个月</w:t>
      </w:r>
      <w:r>
        <w:rPr>
          <w:highlight w:val="none"/>
        </w:rPr>
        <w:t>依法缴纳社保费的证明）。</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6"/>
        <w:gridCol w:w="2437"/>
        <w:gridCol w:w="1177"/>
        <w:gridCol w:w="2321"/>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角色</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主要职责</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人员数量</w:t>
            </w:r>
          </w:p>
        </w:tc>
        <w:tc>
          <w:tcPr>
            <w:tcW w:w="0" w:type="auto"/>
            <w:vAlign w:val="center"/>
          </w:tcPr>
          <w:p>
            <w:pPr>
              <w:widowControl/>
              <w:spacing w:line="240" w:lineRule="auto"/>
              <w:ind w:firstLine="0" w:firstLineChars="0"/>
              <w:jc w:val="center"/>
              <w:rPr>
                <w:rFonts w:hint="eastAsia"/>
                <w:b/>
                <w:highlight w:val="none"/>
              </w:rPr>
            </w:pPr>
            <w:r>
              <w:rPr>
                <w:rFonts w:hint="eastAsia"/>
                <w:b/>
                <w:highlight w:val="none"/>
              </w:rPr>
              <w:t>人员要求</w:t>
            </w:r>
          </w:p>
        </w:tc>
        <w:tc>
          <w:tcPr>
            <w:tcW w:w="0" w:type="auto"/>
            <w:noWrap/>
            <w:vAlign w:val="center"/>
          </w:tcPr>
          <w:p>
            <w:pPr>
              <w:widowControl/>
              <w:spacing w:line="240" w:lineRule="auto"/>
              <w:ind w:firstLine="0" w:firstLineChars="0"/>
              <w:jc w:val="center"/>
              <w:rPr>
                <w:rFonts w:hint="eastAsia"/>
                <w:b/>
                <w:highlight w:val="none"/>
              </w:rPr>
            </w:pPr>
            <w:r>
              <w:rPr>
                <w:rFonts w:hint="eastAsia"/>
                <w:b/>
                <w:highlight w:val="none"/>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项目经理</w:t>
            </w:r>
          </w:p>
        </w:tc>
        <w:tc>
          <w:tcPr>
            <w:tcW w:w="0" w:type="auto"/>
            <w:vAlign w:val="center"/>
          </w:tcPr>
          <w:p>
            <w:pPr>
              <w:widowControl/>
              <w:spacing w:line="240" w:lineRule="auto"/>
              <w:ind w:firstLine="0" w:firstLineChars="0"/>
              <w:jc w:val="center"/>
              <w:rPr>
                <w:rFonts w:hint="eastAsia"/>
                <w:highlight w:val="none"/>
              </w:rPr>
            </w:pPr>
            <w:r>
              <w:rPr>
                <w:rFonts w:hint="eastAsia"/>
                <w:highlight w:val="none"/>
              </w:rPr>
              <w:t>负责项目质量和进度控制</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1人</w:t>
            </w:r>
          </w:p>
        </w:tc>
        <w:tc>
          <w:tcPr>
            <w:tcW w:w="0" w:type="auto"/>
            <w:vAlign w:val="center"/>
          </w:tcPr>
          <w:p>
            <w:pPr>
              <w:widowControl/>
              <w:spacing w:line="240" w:lineRule="auto"/>
              <w:ind w:firstLine="0" w:firstLineChars="0"/>
              <w:jc w:val="center"/>
              <w:rPr>
                <w:rFonts w:hint="eastAsia"/>
                <w:highlight w:val="none"/>
              </w:rPr>
            </w:pPr>
            <w:r>
              <w:rPr>
                <w:rFonts w:hint="eastAsia" w:cs="宋体"/>
                <w:kern w:val="0"/>
                <w:highlight w:val="none"/>
              </w:rPr>
              <w:t>本科及以上学历，</w:t>
            </w:r>
            <w:r>
              <w:rPr>
                <w:rFonts w:hint="eastAsia"/>
                <w:highlight w:val="none"/>
              </w:rPr>
              <w:t>具有信息系统项目管理师资格证书</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产品经理</w:t>
            </w:r>
          </w:p>
        </w:tc>
        <w:tc>
          <w:tcPr>
            <w:tcW w:w="0" w:type="auto"/>
            <w:vAlign w:val="center"/>
          </w:tcPr>
          <w:p>
            <w:pPr>
              <w:widowControl/>
              <w:spacing w:line="240" w:lineRule="auto"/>
              <w:ind w:firstLine="0" w:firstLineChars="0"/>
              <w:jc w:val="center"/>
              <w:rPr>
                <w:rFonts w:hint="eastAsia"/>
                <w:highlight w:val="none"/>
              </w:rPr>
            </w:pPr>
            <w:r>
              <w:rPr>
                <w:rFonts w:hint="eastAsia"/>
                <w:highlight w:val="none"/>
              </w:rPr>
              <w:t>负责项目需求评估与产品设计</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1人</w:t>
            </w:r>
          </w:p>
        </w:tc>
        <w:tc>
          <w:tcPr>
            <w:tcW w:w="0" w:type="auto"/>
            <w:vAlign w:val="center"/>
          </w:tcPr>
          <w:p>
            <w:pPr>
              <w:widowControl/>
              <w:spacing w:line="240" w:lineRule="auto"/>
              <w:ind w:firstLine="0" w:firstLineChars="0"/>
              <w:jc w:val="center"/>
              <w:rPr>
                <w:rFonts w:hint="eastAsia"/>
                <w:highlight w:val="none"/>
              </w:rPr>
            </w:pPr>
            <w:r>
              <w:rPr>
                <w:rFonts w:hint="eastAsia" w:cs="宋体"/>
                <w:kern w:val="0"/>
                <w:highlight w:val="none"/>
              </w:rPr>
              <w:t>本科及以上学历，</w:t>
            </w:r>
            <w:r>
              <w:rPr>
                <w:rFonts w:hint="eastAsia"/>
                <w:highlight w:val="none"/>
              </w:rPr>
              <w:t>具有计算机专业相关中级及以上职称或职业资格</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不驻场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技术工程师</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负责项目运行维护</w:t>
            </w: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2人</w:t>
            </w:r>
          </w:p>
        </w:tc>
        <w:tc>
          <w:tcPr>
            <w:tcW w:w="0" w:type="auto"/>
            <w:vAlign w:val="center"/>
          </w:tcPr>
          <w:p>
            <w:pPr>
              <w:widowControl/>
              <w:spacing w:line="240" w:lineRule="auto"/>
              <w:ind w:firstLine="0" w:firstLineChars="0"/>
              <w:jc w:val="center"/>
              <w:rPr>
                <w:rFonts w:hint="eastAsia"/>
                <w:highlight w:val="none"/>
              </w:rPr>
            </w:pPr>
          </w:p>
        </w:tc>
        <w:tc>
          <w:tcPr>
            <w:tcW w:w="0" w:type="auto"/>
            <w:noWrap/>
            <w:vAlign w:val="center"/>
          </w:tcPr>
          <w:p>
            <w:pPr>
              <w:widowControl/>
              <w:spacing w:line="240" w:lineRule="auto"/>
              <w:ind w:firstLine="0" w:firstLineChars="0"/>
              <w:jc w:val="center"/>
              <w:rPr>
                <w:rFonts w:hint="eastAsia"/>
                <w:highlight w:val="none"/>
              </w:rPr>
            </w:pPr>
            <w:r>
              <w:rPr>
                <w:rFonts w:hint="eastAsia"/>
                <w:highlight w:val="none"/>
              </w:rPr>
              <w:t>不驻场</w:t>
            </w:r>
          </w:p>
        </w:tc>
      </w:tr>
    </w:tbl>
    <w:p>
      <w:pPr>
        <w:rPr>
          <w:rFonts w:hint="eastAsia" w:eastAsia="宋体"/>
          <w:highlight w:val="none"/>
          <w:lang w:eastAsia="zh-CN"/>
        </w:rPr>
      </w:pPr>
      <w:bookmarkStart w:id="33" w:name="_Toc63785511"/>
      <w:r>
        <w:rPr>
          <w:rFonts w:hint="eastAsia"/>
          <w:highlight w:val="none"/>
          <w:lang w:eastAsia="zh-CN"/>
        </w:rPr>
        <w:t>投标人具备质量管理体系认证、信息安全管理体系认证、信息技术服务管理体系认证的优先</w:t>
      </w:r>
      <w:bookmarkStart w:id="36" w:name="_GoBack"/>
      <w:bookmarkEnd w:id="36"/>
    </w:p>
    <w:p>
      <w:pPr>
        <w:pStyle w:val="3"/>
        <w:rPr>
          <w:rFonts w:hint="eastAsia"/>
          <w:highlight w:val="none"/>
        </w:rPr>
      </w:pPr>
      <w:r>
        <w:rPr>
          <w:highlight w:val="none"/>
        </w:rPr>
        <w:t>等级保护要求</w:t>
      </w:r>
      <w:bookmarkEnd w:id="33"/>
    </w:p>
    <w:p>
      <w:pPr>
        <w:rPr>
          <w:rFonts w:hint="eastAsia" w:cs="宋体"/>
          <w:highlight w:val="none"/>
        </w:rPr>
      </w:pPr>
      <w:r>
        <w:rPr>
          <w:rFonts w:hint="eastAsia" w:cs="宋体"/>
          <w:highlight w:val="none"/>
        </w:rPr>
        <w:t>本项目按照信息系统网络安全等级保护三级建设。</w:t>
      </w:r>
    </w:p>
    <w:p>
      <w:pPr>
        <w:pStyle w:val="3"/>
        <w:rPr>
          <w:rFonts w:hint="eastAsia"/>
          <w:highlight w:val="none"/>
        </w:rPr>
      </w:pPr>
      <w:r>
        <w:rPr>
          <w:rFonts w:hint="eastAsia"/>
          <w:highlight w:val="none"/>
        </w:rPr>
        <w:t>商用密码应用需求</w:t>
      </w:r>
    </w:p>
    <w:p>
      <w:pPr>
        <w:rPr>
          <w:rFonts w:hint="eastAsia"/>
          <w:highlight w:val="none"/>
        </w:rPr>
      </w:pPr>
      <w:r>
        <w:rPr>
          <w:rFonts w:hint="eastAsia"/>
          <w:highlight w:val="none"/>
        </w:rPr>
        <w:t>投标人需根据GB/T 39786-2021《信息安全技术 信息系统密码应用基本要求》和上海市重要网络和信息系统密码应用与安全性评估工作最新指南要求，结合系统实际情况，进行密码测评配套建设和部署。</w:t>
      </w:r>
    </w:p>
    <w:p>
      <w:pPr>
        <w:pStyle w:val="3"/>
        <w:rPr>
          <w:rFonts w:hint="eastAsia"/>
          <w:highlight w:val="none"/>
        </w:rPr>
      </w:pPr>
      <w:bookmarkStart w:id="34" w:name="_Toc63785512"/>
      <w:r>
        <w:rPr>
          <w:rFonts w:hint="eastAsia"/>
          <w:highlight w:val="none"/>
        </w:rPr>
        <w:t>技术文件要求</w:t>
      </w:r>
    </w:p>
    <w:p>
      <w:pPr>
        <w:rPr>
          <w:rFonts w:hint="eastAsia"/>
          <w:highlight w:val="none"/>
        </w:rPr>
      </w:pPr>
      <w:r>
        <w:rPr>
          <w:rFonts w:hint="eastAsia"/>
          <w:highlight w:val="none"/>
        </w:rPr>
        <w:t>投标人提供的书面技术资料应能确保系统正常运行所需的管理、运营及维护有关的全套文件。技术文件应该全面、完整、详细。投标人提供的技术文件至少应包括：</w:t>
      </w:r>
    </w:p>
    <w:p>
      <w:pPr>
        <w:rPr>
          <w:rFonts w:hint="eastAsia"/>
          <w:highlight w:val="none"/>
        </w:rPr>
      </w:pPr>
      <w:r>
        <w:rPr>
          <w:rFonts w:hint="eastAsia"/>
          <w:highlight w:val="none"/>
        </w:rPr>
        <w:t>－</w:t>
      </w:r>
      <w:r>
        <w:rPr>
          <w:highlight w:val="none"/>
        </w:rPr>
        <w:t xml:space="preserve"> 系统说明文件； </w:t>
      </w:r>
    </w:p>
    <w:p>
      <w:pPr>
        <w:rPr>
          <w:rFonts w:hint="eastAsia"/>
          <w:highlight w:val="none"/>
        </w:rPr>
      </w:pPr>
      <w:r>
        <w:rPr>
          <w:rFonts w:hint="eastAsia"/>
          <w:highlight w:val="none"/>
        </w:rPr>
        <w:t>－</w:t>
      </w:r>
      <w:r>
        <w:rPr>
          <w:highlight w:val="none"/>
        </w:rPr>
        <w:t xml:space="preserve"> 技术手册(安装、测试、操作、维护、故障排除等)； </w:t>
      </w:r>
    </w:p>
    <w:p>
      <w:pPr>
        <w:rPr>
          <w:rFonts w:hint="eastAsia"/>
          <w:highlight w:val="none"/>
        </w:rPr>
      </w:pPr>
      <w:r>
        <w:rPr>
          <w:rFonts w:hint="eastAsia"/>
          <w:highlight w:val="none"/>
        </w:rPr>
        <w:t>－</w:t>
      </w:r>
      <w:r>
        <w:rPr>
          <w:highlight w:val="none"/>
        </w:rPr>
        <w:t xml:space="preserve"> 项目文档，应该包括：</w:t>
      </w:r>
    </w:p>
    <w:p>
      <w:pPr>
        <w:ind w:left="360"/>
        <w:rPr>
          <w:rFonts w:hint="eastAsia"/>
          <w:highlight w:val="none"/>
        </w:rPr>
      </w:pPr>
      <w:r>
        <w:rPr>
          <w:highlight w:val="none"/>
        </w:rPr>
        <w:t>(1)软件需求说明书</w:t>
      </w:r>
    </w:p>
    <w:p>
      <w:pPr>
        <w:ind w:left="360"/>
        <w:rPr>
          <w:rFonts w:hint="eastAsia"/>
          <w:highlight w:val="none"/>
        </w:rPr>
      </w:pPr>
      <w:r>
        <w:rPr>
          <w:highlight w:val="none"/>
        </w:rPr>
        <w:t>(2)</w:t>
      </w:r>
      <w:r>
        <w:rPr>
          <w:highlight w:val="none"/>
        </w:rPr>
        <w:tab/>
      </w:r>
      <w:r>
        <w:rPr>
          <w:highlight w:val="none"/>
        </w:rPr>
        <w:t>系统总体设计说明书</w:t>
      </w:r>
    </w:p>
    <w:p>
      <w:pPr>
        <w:ind w:left="360"/>
        <w:rPr>
          <w:rFonts w:hint="eastAsia"/>
          <w:highlight w:val="none"/>
        </w:rPr>
      </w:pPr>
      <w:r>
        <w:rPr>
          <w:highlight w:val="none"/>
        </w:rPr>
        <w:t>(3)</w:t>
      </w:r>
      <w:r>
        <w:rPr>
          <w:highlight w:val="none"/>
        </w:rPr>
        <w:tab/>
      </w:r>
      <w:r>
        <w:rPr>
          <w:highlight w:val="none"/>
        </w:rPr>
        <w:t>应用软件功能清单</w:t>
      </w:r>
    </w:p>
    <w:p>
      <w:pPr>
        <w:rPr>
          <w:rFonts w:hint="eastAsia"/>
          <w:highlight w:val="none"/>
        </w:rPr>
      </w:pPr>
      <w:r>
        <w:rPr>
          <w:rFonts w:hint="eastAsia"/>
          <w:highlight w:val="none"/>
        </w:rPr>
        <w:t>提供全套技术文件纸介质</w:t>
      </w:r>
      <w:r>
        <w:rPr>
          <w:highlight w:val="none"/>
        </w:rPr>
        <w:t>3套以及电子文件1套。</w:t>
      </w:r>
    </w:p>
    <w:bookmarkEnd w:id="34"/>
    <w:p>
      <w:pPr>
        <w:pStyle w:val="2"/>
        <w:rPr>
          <w:rFonts w:hint="eastAsia"/>
          <w:highlight w:val="none"/>
        </w:rPr>
      </w:pPr>
      <w:bookmarkStart w:id="35" w:name="_Toc68798863"/>
      <w:r>
        <w:rPr>
          <w:rFonts w:hint="eastAsia"/>
          <w:highlight w:val="none"/>
        </w:rPr>
        <w:t>附录</w:t>
      </w:r>
      <w:bookmarkEnd w:id="35"/>
    </w:p>
    <w:p>
      <w:pPr>
        <w:ind w:firstLine="482"/>
        <w:rPr>
          <w:rFonts w:hint="eastAsia"/>
          <w:b/>
          <w:highlight w:val="none"/>
        </w:rPr>
      </w:pPr>
      <w:r>
        <w:rPr>
          <w:rFonts w:hint="eastAsia"/>
          <w:b/>
          <w:highlight w:val="none"/>
        </w:rPr>
        <w:t>若项目建设过程中需符合相关技术标准或规范文件的要求，请将相关文件作为附件列出。</w:t>
      </w:r>
    </w:p>
    <w:p>
      <w:pPr>
        <w:ind w:firstLine="482"/>
        <w:rPr>
          <w:rFonts w:hint="eastAsia"/>
          <w:highlight w:val="none"/>
        </w:rPr>
      </w:pPr>
      <w:r>
        <w:rPr>
          <w:rFonts w:hint="eastAsia"/>
          <w:b/>
          <w:highlight w:val="none"/>
        </w:rPr>
        <w:t>参考如下：</w:t>
      </w:r>
    </w:p>
    <w:p>
      <w:pPr>
        <w:ind w:firstLine="0" w:firstLineChars="0"/>
        <w:rPr>
          <w:rFonts w:hint="eastAsia"/>
          <w:highlight w:val="none"/>
        </w:rPr>
      </w:pPr>
      <w:r>
        <w:rPr>
          <w:rFonts w:hint="eastAsia"/>
          <w:highlight w:val="none"/>
        </w:rPr>
        <w:t>1、</w:t>
      </w:r>
      <w:r>
        <w:rPr>
          <w:highlight w:val="none"/>
        </w:rPr>
        <w:t>《政务网络安全监测平台总体技术要求》</w:t>
      </w:r>
    </w:p>
    <w:p>
      <w:pPr>
        <w:ind w:firstLine="0" w:firstLineChars="0"/>
        <w:rPr>
          <w:rFonts w:hint="eastAsia"/>
          <w:highlight w:val="none"/>
        </w:rPr>
      </w:pPr>
      <w:r>
        <w:rPr>
          <w:highlight w:val="none"/>
        </w:rPr>
        <w:object>
          <v:shape id="_x0000_i1025" o:spt="75" type="#_x0000_t75" style="height:54.8pt;width:76.3pt;" o:ole="t" filled="f" o:preferrelative="t" stroked="f" coordsize="21600,21600">
            <v:path/>
            <v:fill on="f" focussize="0,0"/>
            <v:stroke on="f" joinstyle="miter"/>
            <v:imagedata r:id="rId15" o:title=""/>
            <o:lock v:ext="edit" aspectratio="t"/>
            <w10:wrap type="none"/>
            <w10:anchorlock/>
          </v:shape>
          <o:OLEObject Type="Embed" ProgID="Package" ShapeID="_x0000_i1025" DrawAspect="Icon" ObjectID="_1468075725" r:id="rId14">
            <o:LockedField>false</o:LockedField>
          </o:OLEObject>
        </w:object>
      </w:r>
    </w:p>
    <w:p>
      <w:pPr>
        <w:ind w:firstLine="0" w:firstLineChars="0"/>
        <w:rPr>
          <w:rFonts w:hint="eastAsia"/>
          <w:highlight w:val="none"/>
        </w:rPr>
      </w:pPr>
    </w:p>
    <w:p>
      <w:pPr>
        <w:ind w:firstLine="0" w:firstLineChars="0"/>
        <w:jc w:val="left"/>
        <w:rPr>
          <w:rFonts w:hint="eastAsia"/>
          <w:highlight w:val="none"/>
        </w:rPr>
      </w:pPr>
      <w:r>
        <w:rPr>
          <w:rFonts w:hint="eastAsia"/>
          <w:highlight w:val="none"/>
        </w:rPr>
        <w:t>2、《上海市电子政务外网建设和运行管理指南（试行）》</w:t>
      </w:r>
    </w:p>
    <w:p>
      <w:pPr>
        <w:ind w:firstLine="0" w:firstLineChars="0"/>
        <w:jc w:val="left"/>
        <w:rPr>
          <w:rFonts w:hint="eastAsia"/>
          <w:highlight w:val="none"/>
        </w:rPr>
      </w:pPr>
      <w:r>
        <w:rPr>
          <w:highlight w:val="none"/>
        </w:rPr>
        <w:object>
          <v:shape id="_x0000_i1026" o:spt="75" type="#_x0000_t75" style="height:54.8pt;width:76.3pt;" o:ole="t" filled="f" o:preferrelative="t" stroked="f" coordsize="21600,21600">
            <v:path/>
            <v:fill on="f" focussize="0,0"/>
            <v:stroke on="f" joinstyle="miter"/>
            <v:imagedata r:id="rId17" o:title=""/>
            <o:lock v:ext="edit" aspectratio="t"/>
            <w10:wrap type="none"/>
            <w10:anchorlock/>
          </v:shape>
          <o:OLEObject Type="Embed" ProgID="Package" ShapeID="_x0000_i1026" DrawAspect="Icon" ObjectID="_1468075726" r:id="rId16">
            <o:LockedField>false</o:LockedField>
          </o:OLEObject>
        </w:object>
      </w:r>
    </w:p>
    <w:p>
      <w:pPr>
        <w:ind w:firstLine="0" w:firstLineChars="0"/>
        <w:jc w:val="left"/>
        <w:rPr>
          <w:rFonts w:hint="eastAsia"/>
          <w:b/>
          <w:bCs/>
          <w:highlight w:val="none"/>
        </w:rPr>
      </w:pPr>
      <w:r>
        <w:rPr>
          <w:rFonts w:hint="eastAsia"/>
          <w:highlight w:val="none"/>
        </w:rPr>
        <w:t>3、其他标准</w:t>
      </w:r>
    </w:p>
    <w:sectPr>
      <w:footerReference r:id="rId11" w:type="first"/>
      <w:pgSz w:w="11906" w:h="16838"/>
      <w:pgMar w:top="1134" w:right="1797" w:bottom="1135" w:left="1797" w:header="340" w:footer="7" w:gutter="0"/>
      <w:pgNumType w:start="1"/>
      <w:cols w:space="720" w:num="1"/>
      <w:titlePg/>
      <w:docGrid w:type="linesAndChar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503050405090304"/>
    <w:charset w:val="01"/>
    <w:family w:val="auto"/>
    <w:pitch w:val="default"/>
    <w:sig w:usb0="00000000" w:usb1="00000000" w:usb2="00000001" w:usb3="00000000" w:csb0="400001BF" w:csb1="DFF70000"/>
  </w:font>
  <w:font w:name="宋体">
    <w:altName w:val="文泉驿微米黑"/>
    <w:panose1 w:val="02010600030101010101"/>
    <w:charset w:val="7A"/>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方正黑体_GBK">
    <w:panose1 w:val="02000000000000000000"/>
    <w:charset w:val="86"/>
    <w:family w:val="auto"/>
    <w:pitch w:val="default"/>
    <w:sig w:usb0="00000001" w:usb1="08000000" w:usb2="00000000" w:usb3="00000000" w:csb0="00040000" w:csb1="00000000"/>
  </w:font>
  <w:font w:name="Cambria">
    <w:altName w:val="Noto Sans Syriac Eastern"/>
    <w:panose1 w:val="02040503050406030204"/>
    <w:charset w:val="00"/>
    <w:family w:val="roman"/>
    <w:pitch w:val="default"/>
    <w:sig w:usb0="00000000" w:usb1="00000000" w:usb2="02000000" w:usb3="00000000" w:csb0="2000019F" w:csb1="00000000"/>
  </w:font>
  <w:font w:name="Noto Sans Syriac Eastern">
    <w:panose1 w:val="02040503050306020203"/>
    <w:charset w:val="86"/>
    <w:family w:val="auto"/>
    <w:pitch w:val="default"/>
    <w:sig w:usb0="00000000" w:usb1="00000000" w:usb2="00000080" w:usb3="00000000" w:csb0="203E0161" w:csb1="D7FF0000"/>
  </w:font>
  <w:font w:name="等线">
    <w:altName w:val="Noto Sans CJK SC"/>
    <w:panose1 w:val="02010600030101010101"/>
    <w:charset w:val="86"/>
    <w:family w:val="auto"/>
    <w:pitch w:val="default"/>
    <w:sig w:usb0="00000000" w:usb1="00000000" w:usb2="00000016" w:usb3="00000000" w:csb0="0004000F" w:csb1="00000000"/>
  </w:font>
  <w:font w:name="Noto Sans CJK SC">
    <w:panose1 w:val="020B0500000000000000"/>
    <w:charset w:val="86"/>
    <w:family w:val="auto"/>
    <w:pitch w:val="default"/>
    <w:sig w:usb0="30000003" w:usb1="2BDF3C10" w:usb2="00000016" w:usb3="00000000" w:csb0="602E0107"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200001FF" w:csb1="00000000"/>
  </w:font>
  <w:font w:name="Arial Unicode MS">
    <w:altName w:val="DejaVu Sans"/>
    <w:panose1 w:val="020B0604020202020204"/>
    <w:charset w:val="86"/>
    <w:family w:val="swiss"/>
    <w:pitch w:val="default"/>
    <w:sig w:usb0="00000000" w:usb1="00000000" w:usb2="0000003F" w:usb3="00000000" w:csb0="603F01FF" w:csb1="FFFF0000"/>
  </w:font>
  <w:font w:name="等线 Light">
    <w:altName w:val="方正小标宋简体"/>
    <w:panose1 w:val="02010600030101010101"/>
    <w:charset w:val="86"/>
    <w:family w:val="auto"/>
    <w:pitch w:val="default"/>
    <w:sig w:usb0="00000000" w:usb1="00000000" w:usb2="00000016" w:usb3="00000000" w:csb0="0004000F" w:csb1="00000000"/>
  </w:font>
  <w:font w:name="方正小标宋简体">
    <w:panose1 w:val="02000000000000000000"/>
    <w:charset w:val="86"/>
    <w:family w:val="auto"/>
    <w:pitch w:val="default"/>
    <w:sig w:usb0="A00002BF" w:usb1="184F6CFA" w:usb2="00000012" w:usb3="00000000" w:csb0="00040001" w:csb1="00000000"/>
  </w:font>
  <w:font w:name="time">
    <w:altName w:val="思源宋体"/>
    <w:panose1 w:val="00000000000000000000"/>
    <w:charset w:val="00"/>
    <w:family w:val="roman"/>
    <w:pitch w:val="default"/>
    <w:sig w:usb0="00000000" w:usb1="00000000" w:usb2="00000000" w:usb3="00000000" w:csb0="00040001" w:csb1="00000000"/>
  </w:font>
  <w:font w:name="思源宋体">
    <w:panose1 w:val="02020400000000000000"/>
    <w:charset w:val="86"/>
    <w:family w:val="auto"/>
    <w:pitch w:val="default"/>
    <w:sig w:usb0="30000083" w:usb1="2BDF3C10" w:usb2="00000016" w:usb3="00000000" w:csb0="602E0107" w:csb1="00000000"/>
  </w:font>
  <w:font w:name="Microsoft YaHei UI">
    <w:altName w:val="文泉驿微米黑"/>
    <w:panose1 w:val="020B0503020204020204"/>
    <w:charset w:val="86"/>
    <w:family w:val="swiss"/>
    <w:pitch w:val="default"/>
    <w:sig w:usb0="00000000" w:usb1="00000000" w:usb2="00000016" w:usb3="00000000" w:csb0="0004001F" w:csb1="00000000"/>
  </w:font>
  <w:font w:name="Microsoft Sans Serif">
    <w:altName w:val="DejaVu Sans"/>
    <w:panose1 w:val="020B0604020202020204"/>
    <w:charset w:val="00"/>
    <w:family w:val="swiss"/>
    <w:pitch w:val="default"/>
    <w:sig w:usb0="00000000" w:usb1="00000000" w:usb2="00000008" w:usb3="00000000" w:csb0="200101FF" w:csb1="2028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DejaVu Sans"/>
    <w:panose1 w:val="00000000000000000000"/>
    <w:charset w:val="00"/>
    <w:family w:val="auto"/>
    <w:pitch w:val="default"/>
    <w:sig w:usb0="00000000" w:usb1="00000000" w:usb2="00000000" w:usb3="00000000" w:csb0="00000000" w:csb1="0000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rPr>
    </w:pPr>
    <w:r>
      <w:fldChar w:fldCharType="begin"/>
    </w:r>
    <w:r>
      <w:instrText xml:space="preserve">PAGE   \* MERGEFORMAT</w:instrText>
    </w:r>
    <w:r>
      <w:fldChar w:fldCharType="separate"/>
    </w:r>
    <w:r>
      <w:rPr>
        <w:lang w:val="zh-CN"/>
      </w:rPr>
      <w:t>11</w:t>
    </w:r>
    <w:r>
      <w:rPr>
        <w:lang w:val="zh-CN"/>
      </w:rPr>
      <w:fldChar w:fldCharType="end"/>
    </w:r>
  </w:p>
  <w:p>
    <w:pP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0" w:firstLineChars="0"/>
      <w:jc w:val="center"/>
      <w:rPr>
        <w:rFonts w:hint="eastAsia"/>
        <w:lang w:val="zh-CN"/>
      </w:rPr>
    </w:pPr>
    <w:r>
      <w:rPr>
        <w:lang w:val="zh-CN"/>
      </w:rPr>
      <w:fldChar w:fldCharType="begin"/>
    </w:r>
    <w:r>
      <w:rPr>
        <w:lang w:val="zh-CN"/>
      </w:rPr>
      <w:instrText xml:space="preserve">PAGE   \* MERGEFORMAT</w:instrText>
    </w:r>
    <w:r>
      <w:rPr>
        <w:lang w:val="zh-CN"/>
      </w:rPr>
      <w:fldChar w:fldCharType="separate"/>
    </w:r>
    <w:r>
      <w:rPr>
        <w:lang w:val="zh-CN"/>
      </w:rPr>
      <w:t>1</w:t>
    </w:r>
    <w:r>
      <w:rPr>
        <w:lang w:val="zh-CN"/>
      </w:rPr>
      <w:fldChar w:fldCharType="end"/>
    </w:r>
  </w:p>
  <w:p>
    <w:pP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p>
  <w:p>
    <w:pPr>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6350366A"/>
    <w:multiLevelType w:val="multilevel"/>
    <w:tmpl w:val="6350366A"/>
    <w:lvl w:ilvl="0" w:tentative="0">
      <w:start w:val="1"/>
      <w:numFmt w:val="none"/>
      <w:pStyle w:val="112"/>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A2F4AB3"/>
    <w:multiLevelType w:val="multilevel"/>
    <w:tmpl w:val="6A2F4AB3"/>
    <w:lvl w:ilvl="0" w:tentative="0">
      <w:start w:val="1"/>
      <w:numFmt w:val="chineseCountingThousand"/>
      <w:pStyle w:val="2"/>
      <w:suff w:val="nothing"/>
      <w:lvlText w:val="%1、"/>
      <w:lvlJc w:val="left"/>
      <w:pPr>
        <w:ind w:left="425" w:hanging="425"/>
      </w:pPr>
      <w:rPr>
        <w:rFonts w:hint="eastAsia"/>
        <w:sz w:val="32"/>
        <w:szCs w:val="32"/>
      </w:rPr>
    </w:lvl>
    <w:lvl w:ilvl="1" w:tentative="0">
      <w:start w:val="1"/>
      <w:numFmt w:val="decimal"/>
      <w:pStyle w:val="3"/>
      <w:isLgl/>
      <w:suff w:val="nothing"/>
      <w:lvlText w:val="%1.%2、"/>
      <w:lvlJc w:val="left"/>
      <w:pPr>
        <w:ind w:left="1135" w:hanging="567"/>
      </w:pPr>
    </w:lvl>
    <w:lvl w:ilvl="2" w:tentative="0">
      <w:start w:val="1"/>
      <w:numFmt w:val="decimal"/>
      <w:pStyle w:val="4"/>
      <w:isLgl/>
      <w:suff w:val="nothing"/>
      <w:lvlText w:val="%1.%2.%3、"/>
      <w:lvlJc w:val="left"/>
      <w:pPr>
        <w:ind w:left="1069" w:hanging="1069"/>
      </w:pPr>
      <w:rPr>
        <w:rFonts w:hint="default" w:ascii="宋体" w:hAnsi="宋体" w:eastAsia="宋体" w:cs="Arial"/>
      </w:rPr>
    </w:lvl>
    <w:lvl w:ilvl="3" w:tentative="0">
      <w:start w:val="1"/>
      <w:numFmt w:val="decimal"/>
      <w:pStyle w:val="5"/>
      <w:isLgl/>
      <w:suff w:val="nothing"/>
      <w:lvlText w:val="%1.%2.%3.%4、"/>
      <w:lvlJc w:val="left"/>
      <w:pPr>
        <w:ind w:left="3403" w:hanging="851"/>
      </w:pPr>
    </w:lvl>
    <w:lvl w:ilvl="4" w:tentative="0">
      <w:start w:val="1"/>
      <w:numFmt w:val="decimal"/>
      <w:pStyle w:val="6"/>
      <w:isLgl/>
      <w:suff w:val="nothing"/>
      <w:lvlText w:val="%1.%2.%3.%4.%5、"/>
      <w:lvlJc w:val="left"/>
      <w:pPr>
        <w:ind w:left="3544" w:hanging="992"/>
      </w:pPr>
      <w:rPr>
        <w:rFonts w:hint="eastAsia"/>
      </w:rPr>
    </w:lvl>
    <w:lvl w:ilvl="5" w:tentative="0">
      <w:start w:val="1"/>
      <w:numFmt w:val="decimal"/>
      <w:pStyle w:val="7"/>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0C0"/>
    <w:rsid w:val="0000005A"/>
    <w:rsid w:val="00000AED"/>
    <w:rsid w:val="00003516"/>
    <w:rsid w:val="0000380E"/>
    <w:rsid w:val="00005AFD"/>
    <w:rsid w:val="00006563"/>
    <w:rsid w:val="000074F1"/>
    <w:rsid w:val="00007A41"/>
    <w:rsid w:val="00007DA7"/>
    <w:rsid w:val="00012EF0"/>
    <w:rsid w:val="000156DE"/>
    <w:rsid w:val="000165AD"/>
    <w:rsid w:val="000179E9"/>
    <w:rsid w:val="00020C18"/>
    <w:rsid w:val="00021EE6"/>
    <w:rsid w:val="0002280E"/>
    <w:rsid w:val="00022C74"/>
    <w:rsid w:val="00025122"/>
    <w:rsid w:val="000252D5"/>
    <w:rsid w:val="00026997"/>
    <w:rsid w:val="00027A64"/>
    <w:rsid w:val="00032D27"/>
    <w:rsid w:val="00035325"/>
    <w:rsid w:val="00035D5B"/>
    <w:rsid w:val="000378D0"/>
    <w:rsid w:val="00037F2C"/>
    <w:rsid w:val="00042C2A"/>
    <w:rsid w:val="000430EC"/>
    <w:rsid w:val="000447CB"/>
    <w:rsid w:val="00047915"/>
    <w:rsid w:val="00047D06"/>
    <w:rsid w:val="00050FBD"/>
    <w:rsid w:val="0005107A"/>
    <w:rsid w:val="0005192C"/>
    <w:rsid w:val="00052929"/>
    <w:rsid w:val="0005299F"/>
    <w:rsid w:val="000541D7"/>
    <w:rsid w:val="000545C0"/>
    <w:rsid w:val="0005586D"/>
    <w:rsid w:val="00056C0E"/>
    <w:rsid w:val="000574A8"/>
    <w:rsid w:val="000574F8"/>
    <w:rsid w:val="00057A49"/>
    <w:rsid w:val="0006231F"/>
    <w:rsid w:val="00062A05"/>
    <w:rsid w:val="00062EE6"/>
    <w:rsid w:val="0006344E"/>
    <w:rsid w:val="000649E6"/>
    <w:rsid w:val="0006794B"/>
    <w:rsid w:val="00067DCA"/>
    <w:rsid w:val="00070063"/>
    <w:rsid w:val="0007087A"/>
    <w:rsid w:val="000710EC"/>
    <w:rsid w:val="00072237"/>
    <w:rsid w:val="00072ABE"/>
    <w:rsid w:val="00080B39"/>
    <w:rsid w:val="00083950"/>
    <w:rsid w:val="0008452F"/>
    <w:rsid w:val="00084E8E"/>
    <w:rsid w:val="00085A68"/>
    <w:rsid w:val="00090625"/>
    <w:rsid w:val="00090948"/>
    <w:rsid w:val="00091CD1"/>
    <w:rsid w:val="0009460E"/>
    <w:rsid w:val="000951D4"/>
    <w:rsid w:val="000A2146"/>
    <w:rsid w:val="000A2930"/>
    <w:rsid w:val="000A3276"/>
    <w:rsid w:val="000A3C35"/>
    <w:rsid w:val="000A3E30"/>
    <w:rsid w:val="000A5876"/>
    <w:rsid w:val="000A61D0"/>
    <w:rsid w:val="000A6C67"/>
    <w:rsid w:val="000A6DB8"/>
    <w:rsid w:val="000A7596"/>
    <w:rsid w:val="000B11A8"/>
    <w:rsid w:val="000B1959"/>
    <w:rsid w:val="000B2E1C"/>
    <w:rsid w:val="000B4459"/>
    <w:rsid w:val="000B4B46"/>
    <w:rsid w:val="000B5363"/>
    <w:rsid w:val="000B53BA"/>
    <w:rsid w:val="000B642F"/>
    <w:rsid w:val="000B6C99"/>
    <w:rsid w:val="000C3F3C"/>
    <w:rsid w:val="000C5A75"/>
    <w:rsid w:val="000C75F7"/>
    <w:rsid w:val="000D0AB2"/>
    <w:rsid w:val="000D225C"/>
    <w:rsid w:val="000D36F2"/>
    <w:rsid w:val="000D4B26"/>
    <w:rsid w:val="000D74DB"/>
    <w:rsid w:val="000E24D6"/>
    <w:rsid w:val="000E6072"/>
    <w:rsid w:val="000E6D61"/>
    <w:rsid w:val="000E7A23"/>
    <w:rsid w:val="000F1C29"/>
    <w:rsid w:val="000F1E9E"/>
    <w:rsid w:val="000F2B10"/>
    <w:rsid w:val="000F3F72"/>
    <w:rsid w:val="00105293"/>
    <w:rsid w:val="001055B2"/>
    <w:rsid w:val="001068F0"/>
    <w:rsid w:val="00106AB8"/>
    <w:rsid w:val="00106C9E"/>
    <w:rsid w:val="00106E16"/>
    <w:rsid w:val="0010768B"/>
    <w:rsid w:val="00111701"/>
    <w:rsid w:val="00112A29"/>
    <w:rsid w:val="001167F6"/>
    <w:rsid w:val="00116C86"/>
    <w:rsid w:val="00121ACF"/>
    <w:rsid w:val="00121D8F"/>
    <w:rsid w:val="00122037"/>
    <w:rsid w:val="0012210C"/>
    <w:rsid w:val="00122A7F"/>
    <w:rsid w:val="00123F98"/>
    <w:rsid w:val="001242A5"/>
    <w:rsid w:val="00124531"/>
    <w:rsid w:val="00126EDF"/>
    <w:rsid w:val="00127BBE"/>
    <w:rsid w:val="00131D52"/>
    <w:rsid w:val="001329C1"/>
    <w:rsid w:val="00132C16"/>
    <w:rsid w:val="00136320"/>
    <w:rsid w:val="00136FFA"/>
    <w:rsid w:val="00137AC6"/>
    <w:rsid w:val="00145512"/>
    <w:rsid w:val="001465BD"/>
    <w:rsid w:val="00147B45"/>
    <w:rsid w:val="00150803"/>
    <w:rsid w:val="001517DA"/>
    <w:rsid w:val="00151D83"/>
    <w:rsid w:val="001546C9"/>
    <w:rsid w:val="00154FAE"/>
    <w:rsid w:val="00155E77"/>
    <w:rsid w:val="00156A70"/>
    <w:rsid w:val="00160A61"/>
    <w:rsid w:val="00160FC0"/>
    <w:rsid w:val="0016429B"/>
    <w:rsid w:val="00164525"/>
    <w:rsid w:val="00164C50"/>
    <w:rsid w:val="00165CB2"/>
    <w:rsid w:val="00166203"/>
    <w:rsid w:val="00166767"/>
    <w:rsid w:val="001707CB"/>
    <w:rsid w:val="00171477"/>
    <w:rsid w:val="00172A1A"/>
    <w:rsid w:val="00173251"/>
    <w:rsid w:val="00176BED"/>
    <w:rsid w:val="0017759D"/>
    <w:rsid w:val="001804A5"/>
    <w:rsid w:val="00181C94"/>
    <w:rsid w:val="00182C84"/>
    <w:rsid w:val="00187031"/>
    <w:rsid w:val="00191EA4"/>
    <w:rsid w:val="00192B6C"/>
    <w:rsid w:val="00192C30"/>
    <w:rsid w:val="0019381E"/>
    <w:rsid w:val="00194CF5"/>
    <w:rsid w:val="0019503C"/>
    <w:rsid w:val="00195D94"/>
    <w:rsid w:val="00196F7B"/>
    <w:rsid w:val="001971CB"/>
    <w:rsid w:val="0019795C"/>
    <w:rsid w:val="001A053A"/>
    <w:rsid w:val="001A22A2"/>
    <w:rsid w:val="001A2971"/>
    <w:rsid w:val="001A3D52"/>
    <w:rsid w:val="001A460A"/>
    <w:rsid w:val="001A4A4C"/>
    <w:rsid w:val="001B0230"/>
    <w:rsid w:val="001B13AB"/>
    <w:rsid w:val="001B3907"/>
    <w:rsid w:val="001B3B49"/>
    <w:rsid w:val="001B4907"/>
    <w:rsid w:val="001B4DC5"/>
    <w:rsid w:val="001B5505"/>
    <w:rsid w:val="001C2180"/>
    <w:rsid w:val="001C29CC"/>
    <w:rsid w:val="001C3217"/>
    <w:rsid w:val="001C3B98"/>
    <w:rsid w:val="001C6028"/>
    <w:rsid w:val="001C6365"/>
    <w:rsid w:val="001C7F57"/>
    <w:rsid w:val="001D0E79"/>
    <w:rsid w:val="001D6049"/>
    <w:rsid w:val="001D7339"/>
    <w:rsid w:val="001E2750"/>
    <w:rsid w:val="001E4343"/>
    <w:rsid w:val="001E52BB"/>
    <w:rsid w:val="001E660A"/>
    <w:rsid w:val="001F05D6"/>
    <w:rsid w:val="001F5B0A"/>
    <w:rsid w:val="001F640F"/>
    <w:rsid w:val="001F6794"/>
    <w:rsid w:val="001F6F65"/>
    <w:rsid w:val="002002DF"/>
    <w:rsid w:val="00203A6F"/>
    <w:rsid w:val="00205646"/>
    <w:rsid w:val="002063F7"/>
    <w:rsid w:val="002129E5"/>
    <w:rsid w:val="00212AA4"/>
    <w:rsid w:val="00212E13"/>
    <w:rsid w:val="002163C8"/>
    <w:rsid w:val="002179FE"/>
    <w:rsid w:val="00220CC0"/>
    <w:rsid w:val="00221A36"/>
    <w:rsid w:val="00223296"/>
    <w:rsid w:val="0022329B"/>
    <w:rsid w:val="002240F7"/>
    <w:rsid w:val="0022486F"/>
    <w:rsid w:val="00225314"/>
    <w:rsid w:val="00225DF4"/>
    <w:rsid w:val="00226C70"/>
    <w:rsid w:val="00230C8A"/>
    <w:rsid w:val="00231F98"/>
    <w:rsid w:val="002324F8"/>
    <w:rsid w:val="002348B0"/>
    <w:rsid w:val="00235CDC"/>
    <w:rsid w:val="00237E76"/>
    <w:rsid w:val="00240BBE"/>
    <w:rsid w:val="00241525"/>
    <w:rsid w:val="00241D87"/>
    <w:rsid w:val="00243C55"/>
    <w:rsid w:val="00243D5E"/>
    <w:rsid w:val="002451EC"/>
    <w:rsid w:val="00245ED4"/>
    <w:rsid w:val="00246B41"/>
    <w:rsid w:val="0025002B"/>
    <w:rsid w:val="002500DE"/>
    <w:rsid w:val="00252457"/>
    <w:rsid w:val="00252581"/>
    <w:rsid w:val="002535B5"/>
    <w:rsid w:val="002538CB"/>
    <w:rsid w:val="002542BD"/>
    <w:rsid w:val="0025774E"/>
    <w:rsid w:val="00257D64"/>
    <w:rsid w:val="0026340A"/>
    <w:rsid w:val="002654EA"/>
    <w:rsid w:val="002704EA"/>
    <w:rsid w:val="0027061A"/>
    <w:rsid w:val="002719CC"/>
    <w:rsid w:val="002730C5"/>
    <w:rsid w:val="0027337C"/>
    <w:rsid w:val="0027602B"/>
    <w:rsid w:val="00277F5E"/>
    <w:rsid w:val="00280084"/>
    <w:rsid w:val="00280490"/>
    <w:rsid w:val="002860B8"/>
    <w:rsid w:val="0029206E"/>
    <w:rsid w:val="00293382"/>
    <w:rsid w:val="00294F51"/>
    <w:rsid w:val="002A2342"/>
    <w:rsid w:val="002A279E"/>
    <w:rsid w:val="002A4FA3"/>
    <w:rsid w:val="002B3606"/>
    <w:rsid w:val="002B3D80"/>
    <w:rsid w:val="002B4402"/>
    <w:rsid w:val="002B4946"/>
    <w:rsid w:val="002B4C41"/>
    <w:rsid w:val="002B588D"/>
    <w:rsid w:val="002C1839"/>
    <w:rsid w:val="002C214A"/>
    <w:rsid w:val="002C28E8"/>
    <w:rsid w:val="002C3027"/>
    <w:rsid w:val="002C674D"/>
    <w:rsid w:val="002C67BF"/>
    <w:rsid w:val="002C7648"/>
    <w:rsid w:val="002C7DC4"/>
    <w:rsid w:val="002D0821"/>
    <w:rsid w:val="002D1929"/>
    <w:rsid w:val="002D1B73"/>
    <w:rsid w:val="002D3CB0"/>
    <w:rsid w:val="002D4800"/>
    <w:rsid w:val="002D5B21"/>
    <w:rsid w:val="002D6F6D"/>
    <w:rsid w:val="002E1FE6"/>
    <w:rsid w:val="002E2EA7"/>
    <w:rsid w:val="002E36D2"/>
    <w:rsid w:val="002E748B"/>
    <w:rsid w:val="002F2002"/>
    <w:rsid w:val="002F335D"/>
    <w:rsid w:val="002F4E32"/>
    <w:rsid w:val="002F503F"/>
    <w:rsid w:val="002F51DD"/>
    <w:rsid w:val="002F5D08"/>
    <w:rsid w:val="002F6895"/>
    <w:rsid w:val="002F6D13"/>
    <w:rsid w:val="003038D3"/>
    <w:rsid w:val="003049C7"/>
    <w:rsid w:val="00305F0E"/>
    <w:rsid w:val="0030667A"/>
    <w:rsid w:val="003106DE"/>
    <w:rsid w:val="00311530"/>
    <w:rsid w:val="00312D31"/>
    <w:rsid w:val="00315216"/>
    <w:rsid w:val="0031691C"/>
    <w:rsid w:val="00317AEF"/>
    <w:rsid w:val="00317F49"/>
    <w:rsid w:val="0032089B"/>
    <w:rsid w:val="00323450"/>
    <w:rsid w:val="00323D93"/>
    <w:rsid w:val="0032489B"/>
    <w:rsid w:val="0032525B"/>
    <w:rsid w:val="00326A7A"/>
    <w:rsid w:val="00326FEE"/>
    <w:rsid w:val="003315D7"/>
    <w:rsid w:val="00334DE6"/>
    <w:rsid w:val="0033536D"/>
    <w:rsid w:val="003353FF"/>
    <w:rsid w:val="003366D2"/>
    <w:rsid w:val="00337C79"/>
    <w:rsid w:val="00337FEF"/>
    <w:rsid w:val="0034084C"/>
    <w:rsid w:val="00340D5E"/>
    <w:rsid w:val="003420B5"/>
    <w:rsid w:val="00343646"/>
    <w:rsid w:val="00344CCB"/>
    <w:rsid w:val="00345897"/>
    <w:rsid w:val="00351BFC"/>
    <w:rsid w:val="0035575E"/>
    <w:rsid w:val="003565B4"/>
    <w:rsid w:val="00362E75"/>
    <w:rsid w:val="003631AA"/>
    <w:rsid w:val="003632D5"/>
    <w:rsid w:val="00363575"/>
    <w:rsid w:val="00364EF9"/>
    <w:rsid w:val="00367579"/>
    <w:rsid w:val="0036795B"/>
    <w:rsid w:val="00370A29"/>
    <w:rsid w:val="003722F9"/>
    <w:rsid w:val="00372349"/>
    <w:rsid w:val="00372CBC"/>
    <w:rsid w:val="00373A61"/>
    <w:rsid w:val="00374BDE"/>
    <w:rsid w:val="00376B39"/>
    <w:rsid w:val="003772C0"/>
    <w:rsid w:val="00377BAC"/>
    <w:rsid w:val="00380142"/>
    <w:rsid w:val="00380558"/>
    <w:rsid w:val="00381D3C"/>
    <w:rsid w:val="0038223E"/>
    <w:rsid w:val="00382D92"/>
    <w:rsid w:val="00385AEF"/>
    <w:rsid w:val="003860EA"/>
    <w:rsid w:val="0038781A"/>
    <w:rsid w:val="0039080B"/>
    <w:rsid w:val="0039326E"/>
    <w:rsid w:val="00394E22"/>
    <w:rsid w:val="003967A4"/>
    <w:rsid w:val="00397FA3"/>
    <w:rsid w:val="003A1596"/>
    <w:rsid w:val="003A317E"/>
    <w:rsid w:val="003A345B"/>
    <w:rsid w:val="003A49EE"/>
    <w:rsid w:val="003A674D"/>
    <w:rsid w:val="003A7123"/>
    <w:rsid w:val="003B102E"/>
    <w:rsid w:val="003B2167"/>
    <w:rsid w:val="003B5F5D"/>
    <w:rsid w:val="003B62C8"/>
    <w:rsid w:val="003C0C62"/>
    <w:rsid w:val="003C12DC"/>
    <w:rsid w:val="003C2CDA"/>
    <w:rsid w:val="003D000A"/>
    <w:rsid w:val="003D31E9"/>
    <w:rsid w:val="003D48CA"/>
    <w:rsid w:val="003D544E"/>
    <w:rsid w:val="003D5980"/>
    <w:rsid w:val="003E0842"/>
    <w:rsid w:val="003E13B0"/>
    <w:rsid w:val="003E2580"/>
    <w:rsid w:val="003E3DEE"/>
    <w:rsid w:val="003E3EBB"/>
    <w:rsid w:val="003E4A4C"/>
    <w:rsid w:val="003E4CBA"/>
    <w:rsid w:val="003E4D2F"/>
    <w:rsid w:val="003E4EDC"/>
    <w:rsid w:val="003E599D"/>
    <w:rsid w:val="003E5C81"/>
    <w:rsid w:val="003E6965"/>
    <w:rsid w:val="003E6D54"/>
    <w:rsid w:val="003F00E8"/>
    <w:rsid w:val="003F1936"/>
    <w:rsid w:val="003F1BDD"/>
    <w:rsid w:val="003F3BA3"/>
    <w:rsid w:val="003F3BD5"/>
    <w:rsid w:val="003F400E"/>
    <w:rsid w:val="003F6F35"/>
    <w:rsid w:val="003F7768"/>
    <w:rsid w:val="00400E8C"/>
    <w:rsid w:val="004017DC"/>
    <w:rsid w:val="00401B53"/>
    <w:rsid w:val="00402668"/>
    <w:rsid w:val="00404FEC"/>
    <w:rsid w:val="0040534D"/>
    <w:rsid w:val="0040567D"/>
    <w:rsid w:val="00405FAD"/>
    <w:rsid w:val="004117AB"/>
    <w:rsid w:val="00412B2F"/>
    <w:rsid w:val="00415281"/>
    <w:rsid w:val="00415716"/>
    <w:rsid w:val="0041604D"/>
    <w:rsid w:val="00417842"/>
    <w:rsid w:val="00417A6E"/>
    <w:rsid w:val="0042285D"/>
    <w:rsid w:val="00427D2B"/>
    <w:rsid w:val="00430B13"/>
    <w:rsid w:val="00430CE5"/>
    <w:rsid w:val="0043153C"/>
    <w:rsid w:val="00431D0F"/>
    <w:rsid w:val="0043481C"/>
    <w:rsid w:val="00444307"/>
    <w:rsid w:val="0044436F"/>
    <w:rsid w:val="004443EB"/>
    <w:rsid w:val="00444432"/>
    <w:rsid w:val="00444673"/>
    <w:rsid w:val="0044621E"/>
    <w:rsid w:val="00447BF1"/>
    <w:rsid w:val="00450BA4"/>
    <w:rsid w:val="004511FC"/>
    <w:rsid w:val="00456784"/>
    <w:rsid w:val="00456DCA"/>
    <w:rsid w:val="00461140"/>
    <w:rsid w:val="004611DB"/>
    <w:rsid w:val="004658B0"/>
    <w:rsid w:val="0046614B"/>
    <w:rsid w:val="00467FD7"/>
    <w:rsid w:val="00470073"/>
    <w:rsid w:val="004730F8"/>
    <w:rsid w:val="00474353"/>
    <w:rsid w:val="00474555"/>
    <w:rsid w:val="004750F4"/>
    <w:rsid w:val="00476CB1"/>
    <w:rsid w:val="00480A48"/>
    <w:rsid w:val="00482501"/>
    <w:rsid w:val="00482E7D"/>
    <w:rsid w:val="00484395"/>
    <w:rsid w:val="004865FB"/>
    <w:rsid w:val="00486C03"/>
    <w:rsid w:val="00491AB3"/>
    <w:rsid w:val="00497A33"/>
    <w:rsid w:val="004A1112"/>
    <w:rsid w:val="004A1DA0"/>
    <w:rsid w:val="004A1F20"/>
    <w:rsid w:val="004A2393"/>
    <w:rsid w:val="004A3569"/>
    <w:rsid w:val="004A452A"/>
    <w:rsid w:val="004A5F2C"/>
    <w:rsid w:val="004A6E4F"/>
    <w:rsid w:val="004A720D"/>
    <w:rsid w:val="004B00D0"/>
    <w:rsid w:val="004B6084"/>
    <w:rsid w:val="004B7AE0"/>
    <w:rsid w:val="004C0BC4"/>
    <w:rsid w:val="004C260D"/>
    <w:rsid w:val="004C2D47"/>
    <w:rsid w:val="004C4357"/>
    <w:rsid w:val="004C4477"/>
    <w:rsid w:val="004C5730"/>
    <w:rsid w:val="004C6397"/>
    <w:rsid w:val="004C668F"/>
    <w:rsid w:val="004C682B"/>
    <w:rsid w:val="004D142C"/>
    <w:rsid w:val="004D29F7"/>
    <w:rsid w:val="004D36D8"/>
    <w:rsid w:val="004D4C5C"/>
    <w:rsid w:val="004D5AB0"/>
    <w:rsid w:val="004D5EAE"/>
    <w:rsid w:val="004D7A0E"/>
    <w:rsid w:val="004E06E7"/>
    <w:rsid w:val="004E0AE3"/>
    <w:rsid w:val="004E20D3"/>
    <w:rsid w:val="004E2C82"/>
    <w:rsid w:val="004E4FAE"/>
    <w:rsid w:val="004E62C7"/>
    <w:rsid w:val="004E68FF"/>
    <w:rsid w:val="004E7A1B"/>
    <w:rsid w:val="004F0B7F"/>
    <w:rsid w:val="004F1193"/>
    <w:rsid w:val="004F11DC"/>
    <w:rsid w:val="004F2124"/>
    <w:rsid w:val="004F271B"/>
    <w:rsid w:val="004F3A52"/>
    <w:rsid w:val="004F449F"/>
    <w:rsid w:val="004F4E7E"/>
    <w:rsid w:val="004F63AB"/>
    <w:rsid w:val="004F6B76"/>
    <w:rsid w:val="004F6C7C"/>
    <w:rsid w:val="004F7F1A"/>
    <w:rsid w:val="004F7FBB"/>
    <w:rsid w:val="005042B3"/>
    <w:rsid w:val="005045AB"/>
    <w:rsid w:val="00507D43"/>
    <w:rsid w:val="005103F2"/>
    <w:rsid w:val="00510E2C"/>
    <w:rsid w:val="00511FDC"/>
    <w:rsid w:val="005124C6"/>
    <w:rsid w:val="00513EBC"/>
    <w:rsid w:val="00513F52"/>
    <w:rsid w:val="00514CE1"/>
    <w:rsid w:val="00517155"/>
    <w:rsid w:val="00517DB3"/>
    <w:rsid w:val="005200DC"/>
    <w:rsid w:val="005200F2"/>
    <w:rsid w:val="0052369D"/>
    <w:rsid w:val="005271DB"/>
    <w:rsid w:val="00530D2F"/>
    <w:rsid w:val="00530EF1"/>
    <w:rsid w:val="0053487C"/>
    <w:rsid w:val="005356E1"/>
    <w:rsid w:val="00536A8B"/>
    <w:rsid w:val="00540418"/>
    <w:rsid w:val="00541A96"/>
    <w:rsid w:val="00541C6A"/>
    <w:rsid w:val="00542C54"/>
    <w:rsid w:val="00546A43"/>
    <w:rsid w:val="00546C70"/>
    <w:rsid w:val="00547258"/>
    <w:rsid w:val="00550CF0"/>
    <w:rsid w:val="005559FE"/>
    <w:rsid w:val="005560D6"/>
    <w:rsid w:val="00556D07"/>
    <w:rsid w:val="005611F2"/>
    <w:rsid w:val="00561734"/>
    <w:rsid w:val="00561952"/>
    <w:rsid w:val="00564B9A"/>
    <w:rsid w:val="00565694"/>
    <w:rsid w:val="00566DD6"/>
    <w:rsid w:val="005714EF"/>
    <w:rsid w:val="00571CEC"/>
    <w:rsid w:val="00572FCE"/>
    <w:rsid w:val="005750DB"/>
    <w:rsid w:val="005759FC"/>
    <w:rsid w:val="00575B85"/>
    <w:rsid w:val="00576DB9"/>
    <w:rsid w:val="0057738F"/>
    <w:rsid w:val="005805E4"/>
    <w:rsid w:val="0058202F"/>
    <w:rsid w:val="00584221"/>
    <w:rsid w:val="00584EB6"/>
    <w:rsid w:val="00586B68"/>
    <w:rsid w:val="0058774E"/>
    <w:rsid w:val="005878CF"/>
    <w:rsid w:val="00590CA0"/>
    <w:rsid w:val="00595B01"/>
    <w:rsid w:val="00596D98"/>
    <w:rsid w:val="005979A5"/>
    <w:rsid w:val="005A0021"/>
    <w:rsid w:val="005A017B"/>
    <w:rsid w:val="005A2AEC"/>
    <w:rsid w:val="005A412D"/>
    <w:rsid w:val="005A5212"/>
    <w:rsid w:val="005B002D"/>
    <w:rsid w:val="005B0FFF"/>
    <w:rsid w:val="005B19AF"/>
    <w:rsid w:val="005B258C"/>
    <w:rsid w:val="005B61DD"/>
    <w:rsid w:val="005B6735"/>
    <w:rsid w:val="005B7831"/>
    <w:rsid w:val="005C0CD6"/>
    <w:rsid w:val="005C12D9"/>
    <w:rsid w:val="005C2146"/>
    <w:rsid w:val="005C309D"/>
    <w:rsid w:val="005C544B"/>
    <w:rsid w:val="005C5916"/>
    <w:rsid w:val="005C5AEE"/>
    <w:rsid w:val="005C774A"/>
    <w:rsid w:val="005D3734"/>
    <w:rsid w:val="005D4F16"/>
    <w:rsid w:val="005D5A53"/>
    <w:rsid w:val="005D5DA0"/>
    <w:rsid w:val="005D7FBD"/>
    <w:rsid w:val="005E19B4"/>
    <w:rsid w:val="005E1D6B"/>
    <w:rsid w:val="005E227A"/>
    <w:rsid w:val="005E2CF8"/>
    <w:rsid w:val="005E3126"/>
    <w:rsid w:val="005E7075"/>
    <w:rsid w:val="005E75A7"/>
    <w:rsid w:val="005F38E2"/>
    <w:rsid w:val="005F3EE6"/>
    <w:rsid w:val="005F6736"/>
    <w:rsid w:val="00602C10"/>
    <w:rsid w:val="00602EBD"/>
    <w:rsid w:val="00604CF2"/>
    <w:rsid w:val="00606DFF"/>
    <w:rsid w:val="00606FB7"/>
    <w:rsid w:val="00610533"/>
    <w:rsid w:val="006110F6"/>
    <w:rsid w:val="00611FA1"/>
    <w:rsid w:val="00612522"/>
    <w:rsid w:val="00612DA6"/>
    <w:rsid w:val="0061365B"/>
    <w:rsid w:val="006138B6"/>
    <w:rsid w:val="00614BC6"/>
    <w:rsid w:val="00614E33"/>
    <w:rsid w:val="006158B8"/>
    <w:rsid w:val="0061706D"/>
    <w:rsid w:val="006173DA"/>
    <w:rsid w:val="00617EF9"/>
    <w:rsid w:val="00620295"/>
    <w:rsid w:val="00622F8E"/>
    <w:rsid w:val="00626AC8"/>
    <w:rsid w:val="00627912"/>
    <w:rsid w:val="0063195F"/>
    <w:rsid w:val="00636C0A"/>
    <w:rsid w:val="00637EC6"/>
    <w:rsid w:val="0064240C"/>
    <w:rsid w:val="00642BD6"/>
    <w:rsid w:val="00642FF5"/>
    <w:rsid w:val="006430FB"/>
    <w:rsid w:val="00643992"/>
    <w:rsid w:val="00644DBC"/>
    <w:rsid w:val="00646FE6"/>
    <w:rsid w:val="006474CD"/>
    <w:rsid w:val="00647744"/>
    <w:rsid w:val="006479A0"/>
    <w:rsid w:val="006500D9"/>
    <w:rsid w:val="00653B54"/>
    <w:rsid w:val="006541A3"/>
    <w:rsid w:val="00654FAD"/>
    <w:rsid w:val="00655C9F"/>
    <w:rsid w:val="006567FF"/>
    <w:rsid w:val="00656867"/>
    <w:rsid w:val="0066109F"/>
    <w:rsid w:val="00664B26"/>
    <w:rsid w:val="0066596B"/>
    <w:rsid w:val="00670295"/>
    <w:rsid w:val="006704F5"/>
    <w:rsid w:val="00672894"/>
    <w:rsid w:val="00674B47"/>
    <w:rsid w:val="0067609E"/>
    <w:rsid w:val="00677749"/>
    <w:rsid w:val="00680E07"/>
    <w:rsid w:val="00682B9D"/>
    <w:rsid w:val="00683806"/>
    <w:rsid w:val="00686AF9"/>
    <w:rsid w:val="006910C0"/>
    <w:rsid w:val="00691954"/>
    <w:rsid w:val="0069320E"/>
    <w:rsid w:val="00693D13"/>
    <w:rsid w:val="00694F58"/>
    <w:rsid w:val="006955BC"/>
    <w:rsid w:val="006959E2"/>
    <w:rsid w:val="00696920"/>
    <w:rsid w:val="00697EB9"/>
    <w:rsid w:val="006A20D4"/>
    <w:rsid w:val="006A268D"/>
    <w:rsid w:val="006A350F"/>
    <w:rsid w:val="006A3957"/>
    <w:rsid w:val="006A39A4"/>
    <w:rsid w:val="006A41D6"/>
    <w:rsid w:val="006A669D"/>
    <w:rsid w:val="006A6E41"/>
    <w:rsid w:val="006B012F"/>
    <w:rsid w:val="006B27CF"/>
    <w:rsid w:val="006B41BD"/>
    <w:rsid w:val="006B5678"/>
    <w:rsid w:val="006B62B2"/>
    <w:rsid w:val="006C1C57"/>
    <w:rsid w:val="006C5760"/>
    <w:rsid w:val="006C6D6F"/>
    <w:rsid w:val="006D0D78"/>
    <w:rsid w:val="006D1128"/>
    <w:rsid w:val="006D2848"/>
    <w:rsid w:val="006D30E0"/>
    <w:rsid w:val="006D5521"/>
    <w:rsid w:val="006D5FE9"/>
    <w:rsid w:val="006D6CBB"/>
    <w:rsid w:val="006D76A9"/>
    <w:rsid w:val="006D77F4"/>
    <w:rsid w:val="006E0898"/>
    <w:rsid w:val="006E41CD"/>
    <w:rsid w:val="006F3BEC"/>
    <w:rsid w:val="00703C00"/>
    <w:rsid w:val="007057CC"/>
    <w:rsid w:val="007066F2"/>
    <w:rsid w:val="00706892"/>
    <w:rsid w:val="00706AE5"/>
    <w:rsid w:val="0070740A"/>
    <w:rsid w:val="00711F93"/>
    <w:rsid w:val="00712940"/>
    <w:rsid w:val="0071428C"/>
    <w:rsid w:val="00715A16"/>
    <w:rsid w:val="007164B0"/>
    <w:rsid w:val="007166FF"/>
    <w:rsid w:val="007260CC"/>
    <w:rsid w:val="00726543"/>
    <w:rsid w:val="0073353E"/>
    <w:rsid w:val="00736633"/>
    <w:rsid w:val="00741EE7"/>
    <w:rsid w:val="00743A79"/>
    <w:rsid w:val="007444D4"/>
    <w:rsid w:val="0074594D"/>
    <w:rsid w:val="007459F3"/>
    <w:rsid w:val="00746E35"/>
    <w:rsid w:val="007470E2"/>
    <w:rsid w:val="0075232F"/>
    <w:rsid w:val="00753132"/>
    <w:rsid w:val="007550B3"/>
    <w:rsid w:val="00760451"/>
    <w:rsid w:val="0077182A"/>
    <w:rsid w:val="00771913"/>
    <w:rsid w:val="00772718"/>
    <w:rsid w:val="00775BCF"/>
    <w:rsid w:val="007818AA"/>
    <w:rsid w:val="00783140"/>
    <w:rsid w:val="007838B6"/>
    <w:rsid w:val="00783E77"/>
    <w:rsid w:val="007906F1"/>
    <w:rsid w:val="0079243D"/>
    <w:rsid w:val="00794A9B"/>
    <w:rsid w:val="0079583B"/>
    <w:rsid w:val="00796602"/>
    <w:rsid w:val="00797185"/>
    <w:rsid w:val="007976B7"/>
    <w:rsid w:val="00797A7E"/>
    <w:rsid w:val="00797D6F"/>
    <w:rsid w:val="007B014B"/>
    <w:rsid w:val="007B0D88"/>
    <w:rsid w:val="007B306F"/>
    <w:rsid w:val="007B4714"/>
    <w:rsid w:val="007B4E82"/>
    <w:rsid w:val="007C1996"/>
    <w:rsid w:val="007C3773"/>
    <w:rsid w:val="007C3CDF"/>
    <w:rsid w:val="007C3F1F"/>
    <w:rsid w:val="007D2D0D"/>
    <w:rsid w:val="007D3325"/>
    <w:rsid w:val="007D3818"/>
    <w:rsid w:val="007D6DC5"/>
    <w:rsid w:val="007D7425"/>
    <w:rsid w:val="007E320E"/>
    <w:rsid w:val="007E3280"/>
    <w:rsid w:val="007E4A02"/>
    <w:rsid w:val="007E595C"/>
    <w:rsid w:val="007E59A5"/>
    <w:rsid w:val="007F3B8C"/>
    <w:rsid w:val="007F41D0"/>
    <w:rsid w:val="007F4B8B"/>
    <w:rsid w:val="007F5957"/>
    <w:rsid w:val="007F70B6"/>
    <w:rsid w:val="007F74CA"/>
    <w:rsid w:val="00800F1E"/>
    <w:rsid w:val="0080195A"/>
    <w:rsid w:val="0080239C"/>
    <w:rsid w:val="00802841"/>
    <w:rsid w:val="008037D5"/>
    <w:rsid w:val="00805447"/>
    <w:rsid w:val="008054FA"/>
    <w:rsid w:val="0080717A"/>
    <w:rsid w:val="00807DFA"/>
    <w:rsid w:val="0081009F"/>
    <w:rsid w:val="00810152"/>
    <w:rsid w:val="008115AB"/>
    <w:rsid w:val="00812D2C"/>
    <w:rsid w:val="008159F4"/>
    <w:rsid w:val="008167C1"/>
    <w:rsid w:val="008167C6"/>
    <w:rsid w:val="00816B8F"/>
    <w:rsid w:val="00820331"/>
    <w:rsid w:val="00820BF5"/>
    <w:rsid w:val="008212B1"/>
    <w:rsid w:val="0082155A"/>
    <w:rsid w:val="0082209F"/>
    <w:rsid w:val="008223C2"/>
    <w:rsid w:val="008250A2"/>
    <w:rsid w:val="00825D64"/>
    <w:rsid w:val="0082650B"/>
    <w:rsid w:val="008301CE"/>
    <w:rsid w:val="008312E3"/>
    <w:rsid w:val="00831D5B"/>
    <w:rsid w:val="00832DD6"/>
    <w:rsid w:val="00832F0C"/>
    <w:rsid w:val="008336F2"/>
    <w:rsid w:val="008345D9"/>
    <w:rsid w:val="008347CB"/>
    <w:rsid w:val="00835647"/>
    <w:rsid w:val="00837A2E"/>
    <w:rsid w:val="00841558"/>
    <w:rsid w:val="00842A68"/>
    <w:rsid w:val="008435BA"/>
    <w:rsid w:val="0084558B"/>
    <w:rsid w:val="0084654A"/>
    <w:rsid w:val="00847654"/>
    <w:rsid w:val="00851064"/>
    <w:rsid w:val="00855543"/>
    <w:rsid w:val="008566B3"/>
    <w:rsid w:val="008576B7"/>
    <w:rsid w:val="00857F7B"/>
    <w:rsid w:val="00863DA1"/>
    <w:rsid w:val="008654A6"/>
    <w:rsid w:val="00865D86"/>
    <w:rsid w:val="00870495"/>
    <w:rsid w:val="00870EA1"/>
    <w:rsid w:val="008710C5"/>
    <w:rsid w:val="00874438"/>
    <w:rsid w:val="00874E75"/>
    <w:rsid w:val="008767F3"/>
    <w:rsid w:val="00876CEF"/>
    <w:rsid w:val="00877342"/>
    <w:rsid w:val="008803C3"/>
    <w:rsid w:val="00881450"/>
    <w:rsid w:val="008817C7"/>
    <w:rsid w:val="00881875"/>
    <w:rsid w:val="008848A3"/>
    <w:rsid w:val="00884AF1"/>
    <w:rsid w:val="00885F7A"/>
    <w:rsid w:val="00890712"/>
    <w:rsid w:val="00890D81"/>
    <w:rsid w:val="00892955"/>
    <w:rsid w:val="00893628"/>
    <w:rsid w:val="008941EB"/>
    <w:rsid w:val="0089545A"/>
    <w:rsid w:val="00895A02"/>
    <w:rsid w:val="008A01EE"/>
    <w:rsid w:val="008A0DAC"/>
    <w:rsid w:val="008A3B78"/>
    <w:rsid w:val="008A4166"/>
    <w:rsid w:val="008A7DBF"/>
    <w:rsid w:val="008B136C"/>
    <w:rsid w:val="008B55EF"/>
    <w:rsid w:val="008B6910"/>
    <w:rsid w:val="008C0B5C"/>
    <w:rsid w:val="008C1343"/>
    <w:rsid w:val="008C3912"/>
    <w:rsid w:val="008C5598"/>
    <w:rsid w:val="008C69EA"/>
    <w:rsid w:val="008C6F8B"/>
    <w:rsid w:val="008C7AB7"/>
    <w:rsid w:val="008C7FB4"/>
    <w:rsid w:val="008D2C8C"/>
    <w:rsid w:val="008D3040"/>
    <w:rsid w:val="008D3ECD"/>
    <w:rsid w:val="008D5C03"/>
    <w:rsid w:val="008D7580"/>
    <w:rsid w:val="008D7C35"/>
    <w:rsid w:val="008E5698"/>
    <w:rsid w:val="008E5733"/>
    <w:rsid w:val="008E77D2"/>
    <w:rsid w:val="008E78FD"/>
    <w:rsid w:val="008F199D"/>
    <w:rsid w:val="008F38A0"/>
    <w:rsid w:val="008F39C9"/>
    <w:rsid w:val="008F5EB5"/>
    <w:rsid w:val="008F678C"/>
    <w:rsid w:val="008F75A7"/>
    <w:rsid w:val="008F7E5A"/>
    <w:rsid w:val="00900A7F"/>
    <w:rsid w:val="009036EE"/>
    <w:rsid w:val="00905815"/>
    <w:rsid w:val="00905D1D"/>
    <w:rsid w:val="0091016D"/>
    <w:rsid w:val="00910C98"/>
    <w:rsid w:val="00911910"/>
    <w:rsid w:val="00912A58"/>
    <w:rsid w:val="00913908"/>
    <w:rsid w:val="00913D26"/>
    <w:rsid w:val="0091438B"/>
    <w:rsid w:val="009147E3"/>
    <w:rsid w:val="00920FD2"/>
    <w:rsid w:val="00923710"/>
    <w:rsid w:val="00923A43"/>
    <w:rsid w:val="0092439C"/>
    <w:rsid w:val="0092498E"/>
    <w:rsid w:val="00925B91"/>
    <w:rsid w:val="00934461"/>
    <w:rsid w:val="00934F7E"/>
    <w:rsid w:val="00936A1C"/>
    <w:rsid w:val="00943E35"/>
    <w:rsid w:val="00945278"/>
    <w:rsid w:val="0094658D"/>
    <w:rsid w:val="00947678"/>
    <w:rsid w:val="00947878"/>
    <w:rsid w:val="009504C2"/>
    <w:rsid w:val="0095254A"/>
    <w:rsid w:val="0095273B"/>
    <w:rsid w:val="009559E1"/>
    <w:rsid w:val="009568D5"/>
    <w:rsid w:val="00957CD3"/>
    <w:rsid w:val="0096269B"/>
    <w:rsid w:val="00963FB0"/>
    <w:rsid w:val="00964C86"/>
    <w:rsid w:val="00965E82"/>
    <w:rsid w:val="009664BB"/>
    <w:rsid w:val="009669F8"/>
    <w:rsid w:val="00966F89"/>
    <w:rsid w:val="00973B5D"/>
    <w:rsid w:val="0097755E"/>
    <w:rsid w:val="00981467"/>
    <w:rsid w:val="00981C24"/>
    <w:rsid w:val="009852F6"/>
    <w:rsid w:val="00985DE5"/>
    <w:rsid w:val="00986254"/>
    <w:rsid w:val="0098729E"/>
    <w:rsid w:val="00990067"/>
    <w:rsid w:val="00992977"/>
    <w:rsid w:val="009937D4"/>
    <w:rsid w:val="00993C78"/>
    <w:rsid w:val="009948C7"/>
    <w:rsid w:val="00995850"/>
    <w:rsid w:val="0099796C"/>
    <w:rsid w:val="009A194E"/>
    <w:rsid w:val="009A1EA2"/>
    <w:rsid w:val="009A209E"/>
    <w:rsid w:val="009A3FD7"/>
    <w:rsid w:val="009A6652"/>
    <w:rsid w:val="009A74FD"/>
    <w:rsid w:val="009B25D8"/>
    <w:rsid w:val="009B42E3"/>
    <w:rsid w:val="009B5859"/>
    <w:rsid w:val="009C6D07"/>
    <w:rsid w:val="009C7CEC"/>
    <w:rsid w:val="009D154D"/>
    <w:rsid w:val="009D18EF"/>
    <w:rsid w:val="009D3BE8"/>
    <w:rsid w:val="009D44E0"/>
    <w:rsid w:val="009D573B"/>
    <w:rsid w:val="009D59A0"/>
    <w:rsid w:val="009D716A"/>
    <w:rsid w:val="009E1AC4"/>
    <w:rsid w:val="009E20B8"/>
    <w:rsid w:val="009E29A0"/>
    <w:rsid w:val="009E41B5"/>
    <w:rsid w:val="009E55D7"/>
    <w:rsid w:val="009E627C"/>
    <w:rsid w:val="009F110B"/>
    <w:rsid w:val="009F1498"/>
    <w:rsid w:val="009F1E9F"/>
    <w:rsid w:val="009F3793"/>
    <w:rsid w:val="009F54F2"/>
    <w:rsid w:val="00A0056B"/>
    <w:rsid w:val="00A01657"/>
    <w:rsid w:val="00A01C65"/>
    <w:rsid w:val="00A0213D"/>
    <w:rsid w:val="00A04C73"/>
    <w:rsid w:val="00A0679A"/>
    <w:rsid w:val="00A07A2B"/>
    <w:rsid w:val="00A12375"/>
    <w:rsid w:val="00A125B8"/>
    <w:rsid w:val="00A13124"/>
    <w:rsid w:val="00A15370"/>
    <w:rsid w:val="00A156AB"/>
    <w:rsid w:val="00A16B8D"/>
    <w:rsid w:val="00A21293"/>
    <w:rsid w:val="00A2134B"/>
    <w:rsid w:val="00A21623"/>
    <w:rsid w:val="00A220EB"/>
    <w:rsid w:val="00A22302"/>
    <w:rsid w:val="00A25F1B"/>
    <w:rsid w:val="00A325F3"/>
    <w:rsid w:val="00A33103"/>
    <w:rsid w:val="00A33294"/>
    <w:rsid w:val="00A35DCB"/>
    <w:rsid w:val="00A3690E"/>
    <w:rsid w:val="00A37751"/>
    <w:rsid w:val="00A406B1"/>
    <w:rsid w:val="00A4113E"/>
    <w:rsid w:val="00A42435"/>
    <w:rsid w:val="00A438BA"/>
    <w:rsid w:val="00A446FD"/>
    <w:rsid w:val="00A46F46"/>
    <w:rsid w:val="00A52CB6"/>
    <w:rsid w:val="00A52F99"/>
    <w:rsid w:val="00A538BB"/>
    <w:rsid w:val="00A54164"/>
    <w:rsid w:val="00A56737"/>
    <w:rsid w:val="00A60002"/>
    <w:rsid w:val="00A60205"/>
    <w:rsid w:val="00A603D8"/>
    <w:rsid w:val="00A60AE2"/>
    <w:rsid w:val="00A61834"/>
    <w:rsid w:val="00A618B0"/>
    <w:rsid w:val="00A62790"/>
    <w:rsid w:val="00A6291F"/>
    <w:rsid w:val="00A63F53"/>
    <w:rsid w:val="00A657D3"/>
    <w:rsid w:val="00A7111E"/>
    <w:rsid w:val="00A755B6"/>
    <w:rsid w:val="00A75B1A"/>
    <w:rsid w:val="00A80ED4"/>
    <w:rsid w:val="00A816C4"/>
    <w:rsid w:val="00A82981"/>
    <w:rsid w:val="00A86F10"/>
    <w:rsid w:val="00A87AF2"/>
    <w:rsid w:val="00A90B23"/>
    <w:rsid w:val="00A93193"/>
    <w:rsid w:val="00A93C2B"/>
    <w:rsid w:val="00A94556"/>
    <w:rsid w:val="00A974CB"/>
    <w:rsid w:val="00AA1EAC"/>
    <w:rsid w:val="00AA45E2"/>
    <w:rsid w:val="00AA48DA"/>
    <w:rsid w:val="00AA7AC1"/>
    <w:rsid w:val="00AB6327"/>
    <w:rsid w:val="00AB6B8F"/>
    <w:rsid w:val="00AC0C65"/>
    <w:rsid w:val="00AC0FB2"/>
    <w:rsid w:val="00AC3721"/>
    <w:rsid w:val="00AC41C6"/>
    <w:rsid w:val="00AC70C7"/>
    <w:rsid w:val="00AC76B7"/>
    <w:rsid w:val="00AD0223"/>
    <w:rsid w:val="00AD0AD2"/>
    <w:rsid w:val="00AD0CBB"/>
    <w:rsid w:val="00AD123A"/>
    <w:rsid w:val="00AD15FF"/>
    <w:rsid w:val="00AD1AA5"/>
    <w:rsid w:val="00AD2920"/>
    <w:rsid w:val="00AD2CD5"/>
    <w:rsid w:val="00AD2DFC"/>
    <w:rsid w:val="00AD38C4"/>
    <w:rsid w:val="00AD5A4A"/>
    <w:rsid w:val="00AD60EE"/>
    <w:rsid w:val="00AD6A2B"/>
    <w:rsid w:val="00AD73D4"/>
    <w:rsid w:val="00AE1EA2"/>
    <w:rsid w:val="00AE2874"/>
    <w:rsid w:val="00AE2BA2"/>
    <w:rsid w:val="00AE2F98"/>
    <w:rsid w:val="00AE3602"/>
    <w:rsid w:val="00AE5342"/>
    <w:rsid w:val="00AE5987"/>
    <w:rsid w:val="00AE6472"/>
    <w:rsid w:val="00AF1345"/>
    <w:rsid w:val="00AF38A8"/>
    <w:rsid w:val="00AF63EB"/>
    <w:rsid w:val="00B016D2"/>
    <w:rsid w:val="00B018EC"/>
    <w:rsid w:val="00B060C7"/>
    <w:rsid w:val="00B11AB7"/>
    <w:rsid w:val="00B12213"/>
    <w:rsid w:val="00B13710"/>
    <w:rsid w:val="00B22881"/>
    <w:rsid w:val="00B23EFC"/>
    <w:rsid w:val="00B24B72"/>
    <w:rsid w:val="00B25DB8"/>
    <w:rsid w:val="00B2656C"/>
    <w:rsid w:val="00B266E6"/>
    <w:rsid w:val="00B3094D"/>
    <w:rsid w:val="00B30B04"/>
    <w:rsid w:val="00B311BC"/>
    <w:rsid w:val="00B31810"/>
    <w:rsid w:val="00B31C10"/>
    <w:rsid w:val="00B3446D"/>
    <w:rsid w:val="00B34652"/>
    <w:rsid w:val="00B34F89"/>
    <w:rsid w:val="00B358C8"/>
    <w:rsid w:val="00B36185"/>
    <w:rsid w:val="00B3662F"/>
    <w:rsid w:val="00B373CD"/>
    <w:rsid w:val="00B377C8"/>
    <w:rsid w:val="00B400B8"/>
    <w:rsid w:val="00B404DE"/>
    <w:rsid w:val="00B40765"/>
    <w:rsid w:val="00B4232D"/>
    <w:rsid w:val="00B42682"/>
    <w:rsid w:val="00B43065"/>
    <w:rsid w:val="00B44784"/>
    <w:rsid w:val="00B449D0"/>
    <w:rsid w:val="00B456AB"/>
    <w:rsid w:val="00B46C2A"/>
    <w:rsid w:val="00B47E8B"/>
    <w:rsid w:val="00B51C67"/>
    <w:rsid w:val="00B53F86"/>
    <w:rsid w:val="00B53FDC"/>
    <w:rsid w:val="00B55431"/>
    <w:rsid w:val="00B55CAE"/>
    <w:rsid w:val="00B57014"/>
    <w:rsid w:val="00B576C6"/>
    <w:rsid w:val="00B615F2"/>
    <w:rsid w:val="00B61A28"/>
    <w:rsid w:val="00B645C6"/>
    <w:rsid w:val="00B65C6D"/>
    <w:rsid w:val="00B66B06"/>
    <w:rsid w:val="00B67862"/>
    <w:rsid w:val="00B70634"/>
    <w:rsid w:val="00B70BE4"/>
    <w:rsid w:val="00B73880"/>
    <w:rsid w:val="00B73CF1"/>
    <w:rsid w:val="00B745B3"/>
    <w:rsid w:val="00B7599D"/>
    <w:rsid w:val="00B7648F"/>
    <w:rsid w:val="00B76E13"/>
    <w:rsid w:val="00B771EE"/>
    <w:rsid w:val="00B7765B"/>
    <w:rsid w:val="00B77B4B"/>
    <w:rsid w:val="00B80ABC"/>
    <w:rsid w:val="00B814C2"/>
    <w:rsid w:val="00B900FE"/>
    <w:rsid w:val="00B9064C"/>
    <w:rsid w:val="00BA0A14"/>
    <w:rsid w:val="00BA228D"/>
    <w:rsid w:val="00BA398D"/>
    <w:rsid w:val="00BA39D3"/>
    <w:rsid w:val="00BA5C56"/>
    <w:rsid w:val="00BA776F"/>
    <w:rsid w:val="00BB0C0D"/>
    <w:rsid w:val="00BB0D69"/>
    <w:rsid w:val="00BB366E"/>
    <w:rsid w:val="00BB3AF0"/>
    <w:rsid w:val="00BB4F70"/>
    <w:rsid w:val="00BB67FF"/>
    <w:rsid w:val="00BC11B9"/>
    <w:rsid w:val="00BC138C"/>
    <w:rsid w:val="00BC14CF"/>
    <w:rsid w:val="00BC1659"/>
    <w:rsid w:val="00BC2C91"/>
    <w:rsid w:val="00BC3A9C"/>
    <w:rsid w:val="00BC5288"/>
    <w:rsid w:val="00BC6A71"/>
    <w:rsid w:val="00BC6B2F"/>
    <w:rsid w:val="00BD0637"/>
    <w:rsid w:val="00BD08A8"/>
    <w:rsid w:val="00BD1BAC"/>
    <w:rsid w:val="00BD1FA8"/>
    <w:rsid w:val="00BD25A6"/>
    <w:rsid w:val="00BD4C95"/>
    <w:rsid w:val="00BD65FC"/>
    <w:rsid w:val="00BD7660"/>
    <w:rsid w:val="00BE0666"/>
    <w:rsid w:val="00BE24B9"/>
    <w:rsid w:val="00BE2AE8"/>
    <w:rsid w:val="00BE2D55"/>
    <w:rsid w:val="00BE38DD"/>
    <w:rsid w:val="00BE4AB1"/>
    <w:rsid w:val="00BF16C3"/>
    <w:rsid w:val="00BF38E0"/>
    <w:rsid w:val="00BF44FA"/>
    <w:rsid w:val="00BF57E1"/>
    <w:rsid w:val="00C003B4"/>
    <w:rsid w:val="00C00A5F"/>
    <w:rsid w:val="00C042E0"/>
    <w:rsid w:val="00C051D9"/>
    <w:rsid w:val="00C06333"/>
    <w:rsid w:val="00C06F68"/>
    <w:rsid w:val="00C075BA"/>
    <w:rsid w:val="00C10A3A"/>
    <w:rsid w:val="00C11E20"/>
    <w:rsid w:val="00C15D16"/>
    <w:rsid w:val="00C20015"/>
    <w:rsid w:val="00C24170"/>
    <w:rsid w:val="00C247DD"/>
    <w:rsid w:val="00C25B43"/>
    <w:rsid w:val="00C26A54"/>
    <w:rsid w:val="00C3261C"/>
    <w:rsid w:val="00C3318B"/>
    <w:rsid w:val="00C33C20"/>
    <w:rsid w:val="00C35362"/>
    <w:rsid w:val="00C357EA"/>
    <w:rsid w:val="00C379F8"/>
    <w:rsid w:val="00C37A1C"/>
    <w:rsid w:val="00C42323"/>
    <w:rsid w:val="00C4316E"/>
    <w:rsid w:val="00C453A9"/>
    <w:rsid w:val="00C465D5"/>
    <w:rsid w:val="00C4756A"/>
    <w:rsid w:val="00C47C39"/>
    <w:rsid w:val="00C50649"/>
    <w:rsid w:val="00C50E1F"/>
    <w:rsid w:val="00C51C09"/>
    <w:rsid w:val="00C52BB6"/>
    <w:rsid w:val="00C53471"/>
    <w:rsid w:val="00C55143"/>
    <w:rsid w:val="00C5611B"/>
    <w:rsid w:val="00C5695E"/>
    <w:rsid w:val="00C61528"/>
    <w:rsid w:val="00C63457"/>
    <w:rsid w:val="00C64964"/>
    <w:rsid w:val="00C6631E"/>
    <w:rsid w:val="00C67473"/>
    <w:rsid w:val="00C67AA4"/>
    <w:rsid w:val="00C7148C"/>
    <w:rsid w:val="00C72192"/>
    <w:rsid w:val="00C732E5"/>
    <w:rsid w:val="00C73D0B"/>
    <w:rsid w:val="00C75017"/>
    <w:rsid w:val="00C765B4"/>
    <w:rsid w:val="00C813EA"/>
    <w:rsid w:val="00C81496"/>
    <w:rsid w:val="00C82CE6"/>
    <w:rsid w:val="00C82E22"/>
    <w:rsid w:val="00C85144"/>
    <w:rsid w:val="00C86738"/>
    <w:rsid w:val="00C86A27"/>
    <w:rsid w:val="00C91517"/>
    <w:rsid w:val="00C929BD"/>
    <w:rsid w:val="00C931A2"/>
    <w:rsid w:val="00CA02E1"/>
    <w:rsid w:val="00CA15DA"/>
    <w:rsid w:val="00CA224E"/>
    <w:rsid w:val="00CA41C5"/>
    <w:rsid w:val="00CA42B7"/>
    <w:rsid w:val="00CA4A53"/>
    <w:rsid w:val="00CA51F5"/>
    <w:rsid w:val="00CB218A"/>
    <w:rsid w:val="00CB225A"/>
    <w:rsid w:val="00CB69E6"/>
    <w:rsid w:val="00CB761B"/>
    <w:rsid w:val="00CB7E33"/>
    <w:rsid w:val="00CC13DF"/>
    <w:rsid w:val="00CC1EEE"/>
    <w:rsid w:val="00CC562B"/>
    <w:rsid w:val="00CC6C15"/>
    <w:rsid w:val="00CC7FCF"/>
    <w:rsid w:val="00CD2749"/>
    <w:rsid w:val="00CD2A60"/>
    <w:rsid w:val="00CD306F"/>
    <w:rsid w:val="00CD3971"/>
    <w:rsid w:val="00CD3DAB"/>
    <w:rsid w:val="00CE0DF1"/>
    <w:rsid w:val="00CE3786"/>
    <w:rsid w:val="00CE4027"/>
    <w:rsid w:val="00CE47CC"/>
    <w:rsid w:val="00CE68F6"/>
    <w:rsid w:val="00CE7E27"/>
    <w:rsid w:val="00CF22AC"/>
    <w:rsid w:val="00CF2F0A"/>
    <w:rsid w:val="00CF79E8"/>
    <w:rsid w:val="00D015AA"/>
    <w:rsid w:val="00D021B8"/>
    <w:rsid w:val="00D03D90"/>
    <w:rsid w:val="00D04024"/>
    <w:rsid w:val="00D043EB"/>
    <w:rsid w:val="00D06705"/>
    <w:rsid w:val="00D06A9B"/>
    <w:rsid w:val="00D0750D"/>
    <w:rsid w:val="00D07DD8"/>
    <w:rsid w:val="00D1038F"/>
    <w:rsid w:val="00D10BF7"/>
    <w:rsid w:val="00D10FEB"/>
    <w:rsid w:val="00D140A0"/>
    <w:rsid w:val="00D203D1"/>
    <w:rsid w:val="00D2057A"/>
    <w:rsid w:val="00D21D98"/>
    <w:rsid w:val="00D2317F"/>
    <w:rsid w:val="00D231A9"/>
    <w:rsid w:val="00D24391"/>
    <w:rsid w:val="00D2472B"/>
    <w:rsid w:val="00D253DD"/>
    <w:rsid w:val="00D26FFA"/>
    <w:rsid w:val="00D3215D"/>
    <w:rsid w:val="00D33352"/>
    <w:rsid w:val="00D347D9"/>
    <w:rsid w:val="00D35565"/>
    <w:rsid w:val="00D36A19"/>
    <w:rsid w:val="00D40DCF"/>
    <w:rsid w:val="00D41075"/>
    <w:rsid w:val="00D41C76"/>
    <w:rsid w:val="00D41DD8"/>
    <w:rsid w:val="00D4222C"/>
    <w:rsid w:val="00D425CE"/>
    <w:rsid w:val="00D42F40"/>
    <w:rsid w:val="00D4396C"/>
    <w:rsid w:val="00D4446F"/>
    <w:rsid w:val="00D44B55"/>
    <w:rsid w:val="00D45490"/>
    <w:rsid w:val="00D457B8"/>
    <w:rsid w:val="00D457E1"/>
    <w:rsid w:val="00D47BEB"/>
    <w:rsid w:val="00D50487"/>
    <w:rsid w:val="00D50563"/>
    <w:rsid w:val="00D50F50"/>
    <w:rsid w:val="00D5235F"/>
    <w:rsid w:val="00D52F50"/>
    <w:rsid w:val="00D55A98"/>
    <w:rsid w:val="00D56B49"/>
    <w:rsid w:val="00D6053F"/>
    <w:rsid w:val="00D6073D"/>
    <w:rsid w:val="00D618D6"/>
    <w:rsid w:val="00D62426"/>
    <w:rsid w:val="00D62804"/>
    <w:rsid w:val="00D70F55"/>
    <w:rsid w:val="00D70FA5"/>
    <w:rsid w:val="00D74171"/>
    <w:rsid w:val="00D7474C"/>
    <w:rsid w:val="00D8032C"/>
    <w:rsid w:val="00D80CE2"/>
    <w:rsid w:val="00D83080"/>
    <w:rsid w:val="00D84D5F"/>
    <w:rsid w:val="00D851E2"/>
    <w:rsid w:val="00D87FFA"/>
    <w:rsid w:val="00D91419"/>
    <w:rsid w:val="00D92A09"/>
    <w:rsid w:val="00D92D2A"/>
    <w:rsid w:val="00D92EEC"/>
    <w:rsid w:val="00D93470"/>
    <w:rsid w:val="00D9395F"/>
    <w:rsid w:val="00D93D55"/>
    <w:rsid w:val="00D941FA"/>
    <w:rsid w:val="00D94B59"/>
    <w:rsid w:val="00D95315"/>
    <w:rsid w:val="00D95EAB"/>
    <w:rsid w:val="00DA0B39"/>
    <w:rsid w:val="00DA1203"/>
    <w:rsid w:val="00DA2316"/>
    <w:rsid w:val="00DA25E0"/>
    <w:rsid w:val="00DA2700"/>
    <w:rsid w:val="00DA3001"/>
    <w:rsid w:val="00DA3C5D"/>
    <w:rsid w:val="00DA3EFF"/>
    <w:rsid w:val="00DA7769"/>
    <w:rsid w:val="00DB08C6"/>
    <w:rsid w:val="00DB1BC2"/>
    <w:rsid w:val="00DB1CBB"/>
    <w:rsid w:val="00DB31ED"/>
    <w:rsid w:val="00DB4124"/>
    <w:rsid w:val="00DB4511"/>
    <w:rsid w:val="00DB4F0C"/>
    <w:rsid w:val="00DC0176"/>
    <w:rsid w:val="00DC043F"/>
    <w:rsid w:val="00DC093E"/>
    <w:rsid w:val="00DC0E29"/>
    <w:rsid w:val="00DC0E7A"/>
    <w:rsid w:val="00DC2A65"/>
    <w:rsid w:val="00DC2A86"/>
    <w:rsid w:val="00DC3631"/>
    <w:rsid w:val="00DC37F7"/>
    <w:rsid w:val="00DC6F54"/>
    <w:rsid w:val="00DD0C00"/>
    <w:rsid w:val="00DD0F8C"/>
    <w:rsid w:val="00DD116C"/>
    <w:rsid w:val="00DD23D5"/>
    <w:rsid w:val="00DD2AF1"/>
    <w:rsid w:val="00DD46DA"/>
    <w:rsid w:val="00DD6072"/>
    <w:rsid w:val="00DD62BE"/>
    <w:rsid w:val="00DD77D9"/>
    <w:rsid w:val="00DD7CA4"/>
    <w:rsid w:val="00DE167C"/>
    <w:rsid w:val="00DE3B70"/>
    <w:rsid w:val="00DE5813"/>
    <w:rsid w:val="00DF10B1"/>
    <w:rsid w:val="00DF1FDA"/>
    <w:rsid w:val="00DF3DD0"/>
    <w:rsid w:val="00DF4D50"/>
    <w:rsid w:val="00DF538C"/>
    <w:rsid w:val="00E021C2"/>
    <w:rsid w:val="00E024A3"/>
    <w:rsid w:val="00E0423D"/>
    <w:rsid w:val="00E057B5"/>
    <w:rsid w:val="00E0581E"/>
    <w:rsid w:val="00E079C5"/>
    <w:rsid w:val="00E07CBD"/>
    <w:rsid w:val="00E07F56"/>
    <w:rsid w:val="00E10A16"/>
    <w:rsid w:val="00E1112F"/>
    <w:rsid w:val="00E1318F"/>
    <w:rsid w:val="00E13B3B"/>
    <w:rsid w:val="00E13E29"/>
    <w:rsid w:val="00E16857"/>
    <w:rsid w:val="00E16C3A"/>
    <w:rsid w:val="00E20651"/>
    <w:rsid w:val="00E2107C"/>
    <w:rsid w:val="00E21E70"/>
    <w:rsid w:val="00E224DE"/>
    <w:rsid w:val="00E23DCE"/>
    <w:rsid w:val="00E26363"/>
    <w:rsid w:val="00E272A4"/>
    <w:rsid w:val="00E305F9"/>
    <w:rsid w:val="00E306AC"/>
    <w:rsid w:val="00E34446"/>
    <w:rsid w:val="00E3633B"/>
    <w:rsid w:val="00E36870"/>
    <w:rsid w:val="00E374E1"/>
    <w:rsid w:val="00E417AB"/>
    <w:rsid w:val="00E43D48"/>
    <w:rsid w:val="00E4542D"/>
    <w:rsid w:val="00E45BE0"/>
    <w:rsid w:val="00E46CAD"/>
    <w:rsid w:val="00E47521"/>
    <w:rsid w:val="00E4760C"/>
    <w:rsid w:val="00E507A6"/>
    <w:rsid w:val="00E5375C"/>
    <w:rsid w:val="00E549FF"/>
    <w:rsid w:val="00E561AD"/>
    <w:rsid w:val="00E57FAF"/>
    <w:rsid w:val="00E60BA9"/>
    <w:rsid w:val="00E63510"/>
    <w:rsid w:val="00E635EA"/>
    <w:rsid w:val="00E655E5"/>
    <w:rsid w:val="00E65F4E"/>
    <w:rsid w:val="00E662E0"/>
    <w:rsid w:val="00E67D5D"/>
    <w:rsid w:val="00E71C7A"/>
    <w:rsid w:val="00E73119"/>
    <w:rsid w:val="00E73E1E"/>
    <w:rsid w:val="00E767FF"/>
    <w:rsid w:val="00E84C91"/>
    <w:rsid w:val="00E84E60"/>
    <w:rsid w:val="00E8556E"/>
    <w:rsid w:val="00E86B2D"/>
    <w:rsid w:val="00E86F4D"/>
    <w:rsid w:val="00E87D08"/>
    <w:rsid w:val="00E90D0E"/>
    <w:rsid w:val="00E91B2D"/>
    <w:rsid w:val="00E92FCA"/>
    <w:rsid w:val="00E95CAA"/>
    <w:rsid w:val="00EA0A39"/>
    <w:rsid w:val="00EA0EB2"/>
    <w:rsid w:val="00EA236F"/>
    <w:rsid w:val="00EA3023"/>
    <w:rsid w:val="00EA3E49"/>
    <w:rsid w:val="00EA3FC8"/>
    <w:rsid w:val="00EA5B8C"/>
    <w:rsid w:val="00EB0DC9"/>
    <w:rsid w:val="00EB1383"/>
    <w:rsid w:val="00EB252D"/>
    <w:rsid w:val="00EB29FA"/>
    <w:rsid w:val="00EB2CCE"/>
    <w:rsid w:val="00EB385F"/>
    <w:rsid w:val="00EB3E49"/>
    <w:rsid w:val="00EB5FC3"/>
    <w:rsid w:val="00EB6DA9"/>
    <w:rsid w:val="00EC1561"/>
    <w:rsid w:val="00EC462E"/>
    <w:rsid w:val="00EC6CD8"/>
    <w:rsid w:val="00EC786F"/>
    <w:rsid w:val="00ED1866"/>
    <w:rsid w:val="00ED3134"/>
    <w:rsid w:val="00ED38E2"/>
    <w:rsid w:val="00ED5C44"/>
    <w:rsid w:val="00ED635B"/>
    <w:rsid w:val="00EE742D"/>
    <w:rsid w:val="00EF0A22"/>
    <w:rsid w:val="00EF1267"/>
    <w:rsid w:val="00EF180C"/>
    <w:rsid w:val="00EF3B6B"/>
    <w:rsid w:val="00EF4B43"/>
    <w:rsid w:val="00EF6750"/>
    <w:rsid w:val="00EF770B"/>
    <w:rsid w:val="00F02836"/>
    <w:rsid w:val="00F02FB5"/>
    <w:rsid w:val="00F0534E"/>
    <w:rsid w:val="00F05C30"/>
    <w:rsid w:val="00F10F1B"/>
    <w:rsid w:val="00F14179"/>
    <w:rsid w:val="00F15786"/>
    <w:rsid w:val="00F167C5"/>
    <w:rsid w:val="00F20B5A"/>
    <w:rsid w:val="00F21F0B"/>
    <w:rsid w:val="00F236AB"/>
    <w:rsid w:val="00F24EA4"/>
    <w:rsid w:val="00F27087"/>
    <w:rsid w:val="00F2773C"/>
    <w:rsid w:val="00F300B3"/>
    <w:rsid w:val="00F30DB9"/>
    <w:rsid w:val="00F30FB8"/>
    <w:rsid w:val="00F31D68"/>
    <w:rsid w:val="00F33152"/>
    <w:rsid w:val="00F338F2"/>
    <w:rsid w:val="00F349D3"/>
    <w:rsid w:val="00F3533E"/>
    <w:rsid w:val="00F35B84"/>
    <w:rsid w:val="00F402B5"/>
    <w:rsid w:val="00F4072F"/>
    <w:rsid w:val="00F42839"/>
    <w:rsid w:val="00F44CC0"/>
    <w:rsid w:val="00F450BA"/>
    <w:rsid w:val="00F4684B"/>
    <w:rsid w:val="00F46BE9"/>
    <w:rsid w:val="00F47C3B"/>
    <w:rsid w:val="00F506CA"/>
    <w:rsid w:val="00F53A7A"/>
    <w:rsid w:val="00F54FCD"/>
    <w:rsid w:val="00F5785C"/>
    <w:rsid w:val="00F65E3C"/>
    <w:rsid w:val="00F67076"/>
    <w:rsid w:val="00F677FA"/>
    <w:rsid w:val="00F7115A"/>
    <w:rsid w:val="00F717AA"/>
    <w:rsid w:val="00F72714"/>
    <w:rsid w:val="00F744C3"/>
    <w:rsid w:val="00F75EE2"/>
    <w:rsid w:val="00F75F69"/>
    <w:rsid w:val="00F76014"/>
    <w:rsid w:val="00F802D3"/>
    <w:rsid w:val="00F80F94"/>
    <w:rsid w:val="00F81BA2"/>
    <w:rsid w:val="00F823A4"/>
    <w:rsid w:val="00F8412F"/>
    <w:rsid w:val="00F84791"/>
    <w:rsid w:val="00F85995"/>
    <w:rsid w:val="00F85FC5"/>
    <w:rsid w:val="00F860E3"/>
    <w:rsid w:val="00F86C22"/>
    <w:rsid w:val="00F90CB3"/>
    <w:rsid w:val="00F912A2"/>
    <w:rsid w:val="00F913A3"/>
    <w:rsid w:val="00F925C3"/>
    <w:rsid w:val="00FA0109"/>
    <w:rsid w:val="00FA458B"/>
    <w:rsid w:val="00FA5EC5"/>
    <w:rsid w:val="00FA7016"/>
    <w:rsid w:val="00FA7174"/>
    <w:rsid w:val="00FA793D"/>
    <w:rsid w:val="00FB020E"/>
    <w:rsid w:val="00FB0F17"/>
    <w:rsid w:val="00FB4B9D"/>
    <w:rsid w:val="00FB50ED"/>
    <w:rsid w:val="00FB6E18"/>
    <w:rsid w:val="00FC144B"/>
    <w:rsid w:val="00FC2169"/>
    <w:rsid w:val="00FC28E2"/>
    <w:rsid w:val="00FC3BF6"/>
    <w:rsid w:val="00FC3D22"/>
    <w:rsid w:val="00FC6FE1"/>
    <w:rsid w:val="00FD0C3D"/>
    <w:rsid w:val="00FD2F6B"/>
    <w:rsid w:val="00FE064A"/>
    <w:rsid w:val="00FE0B55"/>
    <w:rsid w:val="00FE1E98"/>
    <w:rsid w:val="00FE2452"/>
    <w:rsid w:val="00FE5469"/>
    <w:rsid w:val="00FE66C2"/>
    <w:rsid w:val="00FE684A"/>
    <w:rsid w:val="00FE6F23"/>
    <w:rsid w:val="00FF0F8C"/>
    <w:rsid w:val="00FF408B"/>
    <w:rsid w:val="00FF43E1"/>
    <w:rsid w:val="03430854"/>
    <w:rsid w:val="039F5FA6"/>
    <w:rsid w:val="09305ADA"/>
    <w:rsid w:val="0E8013B7"/>
    <w:rsid w:val="10D604C6"/>
    <w:rsid w:val="11B515E0"/>
    <w:rsid w:val="13A53267"/>
    <w:rsid w:val="13F970D2"/>
    <w:rsid w:val="14134354"/>
    <w:rsid w:val="14AA4136"/>
    <w:rsid w:val="163A420B"/>
    <w:rsid w:val="16E761E3"/>
    <w:rsid w:val="19413B26"/>
    <w:rsid w:val="1C6D3688"/>
    <w:rsid w:val="1CC63D0A"/>
    <w:rsid w:val="1D2F4964"/>
    <w:rsid w:val="1DC2081A"/>
    <w:rsid w:val="1DD94266"/>
    <w:rsid w:val="1F9D0947"/>
    <w:rsid w:val="1FFB29C6"/>
    <w:rsid w:val="22AF3620"/>
    <w:rsid w:val="22E70AD4"/>
    <w:rsid w:val="24F1508D"/>
    <w:rsid w:val="266F634F"/>
    <w:rsid w:val="291059EA"/>
    <w:rsid w:val="2BBF12EC"/>
    <w:rsid w:val="2BC649D9"/>
    <w:rsid w:val="2DC0289E"/>
    <w:rsid w:val="2F5D60A6"/>
    <w:rsid w:val="333526D8"/>
    <w:rsid w:val="3515160D"/>
    <w:rsid w:val="36226B49"/>
    <w:rsid w:val="391F3C45"/>
    <w:rsid w:val="393618B9"/>
    <w:rsid w:val="3A22223D"/>
    <w:rsid w:val="3AEE5432"/>
    <w:rsid w:val="3C7D00D8"/>
    <w:rsid w:val="3CA06C0C"/>
    <w:rsid w:val="3EA25851"/>
    <w:rsid w:val="3F6C3757"/>
    <w:rsid w:val="405D6A10"/>
    <w:rsid w:val="40F14739"/>
    <w:rsid w:val="41DA6594"/>
    <w:rsid w:val="444C1A75"/>
    <w:rsid w:val="44A3526F"/>
    <w:rsid w:val="44B032F4"/>
    <w:rsid w:val="457D25F7"/>
    <w:rsid w:val="458967A2"/>
    <w:rsid w:val="463C3065"/>
    <w:rsid w:val="468341CD"/>
    <w:rsid w:val="472C2589"/>
    <w:rsid w:val="4A760AEB"/>
    <w:rsid w:val="4F3162CA"/>
    <w:rsid w:val="50D95873"/>
    <w:rsid w:val="521B6507"/>
    <w:rsid w:val="526102AF"/>
    <w:rsid w:val="528444DA"/>
    <w:rsid w:val="537745D5"/>
    <w:rsid w:val="552306F6"/>
    <w:rsid w:val="56E352D5"/>
    <w:rsid w:val="57E435FE"/>
    <w:rsid w:val="582D0655"/>
    <w:rsid w:val="5951205C"/>
    <w:rsid w:val="59D079E8"/>
    <w:rsid w:val="59D40847"/>
    <w:rsid w:val="5AE37F25"/>
    <w:rsid w:val="5BBB0FF5"/>
    <w:rsid w:val="5CB23D47"/>
    <w:rsid w:val="5D7471BC"/>
    <w:rsid w:val="5ED565AA"/>
    <w:rsid w:val="5FAF09C4"/>
    <w:rsid w:val="603449B9"/>
    <w:rsid w:val="608C4642"/>
    <w:rsid w:val="60F15FEC"/>
    <w:rsid w:val="62795572"/>
    <w:rsid w:val="63DE7C1A"/>
    <w:rsid w:val="64DD6417"/>
    <w:rsid w:val="66004745"/>
    <w:rsid w:val="660A1481"/>
    <w:rsid w:val="676C00D0"/>
    <w:rsid w:val="6A567F20"/>
    <w:rsid w:val="6A701C86"/>
    <w:rsid w:val="6CD97953"/>
    <w:rsid w:val="6ED30FD7"/>
    <w:rsid w:val="727D78FD"/>
    <w:rsid w:val="73BB5AD0"/>
    <w:rsid w:val="73CC655F"/>
    <w:rsid w:val="75957445"/>
    <w:rsid w:val="75D01AE1"/>
    <w:rsid w:val="76817662"/>
    <w:rsid w:val="77524363"/>
    <w:rsid w:val="77B917B5"/>
    <w:rsid w:val="77D73E60"/>
    <w:rsid w:val="78703975"/>
    <w:rsid w:val="7BDA6AE6"/>
    <w:rsid w:val="7BE420FD"/>
    <w:rsid w:val="7C2B2E23"/>
    <w:rsid w:val="7D0D296B"/>
    <w:rsid w:val="7D4E0B54"/>
    <w:rsid w:val="7D503E78"/>
    <w:rsid w:val="7E0160D4"/>
    <w:rsid w:val="7E262378"/>
    <w:rsid w:val="7F7B08A4"/>
    <w:rsid w:val="7FFDA089"/>
    <w:rsid w:val="EFFEFB45"/>
    <w:rsid w:val="F6CFBD94"/>
    <w:rsid w:val="FDEBCAB4"/>
    <w:rsid w:val="FFAF03C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75"/>
    <w:qFormat/>
    <w:uiPriority w:val="0"/>
    <w:pPr>
      <w:keepNext/>
      <w:keepLines/>
      <w:numPr>
        <w:ilvl w:val="0"/>
        <w:numId w:val="1"/>
      </w:numPr>
      <w:spacing w:before="120" w:after="120"/>
      <w:ind w:firstLine="0" w:firstLineChars="0"/>
      <w:outlineLvl w:val="0"/>
    </w:pPr>
    <w:rPr>
      <w:rFonts w:eastAsia="黑体"/>
      <w:b/>
      <w:bCs/>
      <w:kern w:val="44"/>
      <w:sz w:val="32"/>
      <w:szCs w:val="28"/>
    </w:rPr>
  </w:style>
  <w:style w:type="paragraph" w:styleId="3">
    <w:name w:val="heading 2"/>
    <w:basedOn w:val="1"/>
    <w:next w:val="1"/>
    <w:link w:val="88"/>
    <w:qFormat/>
    <w:uiPriority w:val="9"/>
    <w:pPr>
      <w:keepNext/>
      <w:keepLines/>
      <w:numPr>
        <w:ilvl w:val="1"/>
        <w:numId w:val="1"/>
      </w:numPr>
      <w:spacing w:before="120" w:after="120"/>
      <w:ind w:firstLine="0" w:firstLineChars="0"/>
      <w:outlineLvl w:val="1"/>
    </w:pPr>
    <w:rPr>
      <w:b/>
      <w:bCs/>
      <w:sz w:val="30"/>
      <w:szCs w:val="32"/>
    </w:rPr>
  </w:style>
  <w:style w:type="paragraph" w:styleId="4">
    <w:name w:val="heading 3"/>
    <w:basedOn w:val="1"/>
    <w:next w:val="1"/>
    <w:link w:val="81"/>
    <w:qFormat/>
    <w:uiPriority w:val="0"/>
    <w:pPr>
      <w:keepNext/>
      <w:keepLines/>
      <w:numPr>
        <w:ilvl w:val="2"/>
        <w:numId w:val="1"/>
      </w:numPr>
      <w:spacing w:before="120" w:after="120"/>
      <w:ind w:firstLine="0" w:firstLineChars="0"/>
      <w:outlineLvl w:val="2"/>
    </w:pPr>
    <w:rPr>
      <w:b/>
      <w:bCs/>
      <w:sz w:val="28"/>
      <w:szCs w:val="28"/>
    </w:rPr>
  </w:style>
  <w:style w:type="paragraph" w:styleId="5">
    <w:name w:val="heading 4"/>
    <w:basedOn w:val="1"/>
    <w:next w:val="1"/>
    <w:link w:val="58"/>
    <w:qFormat/>
    <w:uiPriority w:val="0"/>
    <w:pPr>
      <w:keepNext/>
      <w:keepLines/>
      <w:numPr>
        <w:ilvl w:val="3"/>
        <w:numId w:val="1"/>
      </w:numPr>
      <w:spacing w:before="120" w:after="120"/>
      <w:ind w:left="851" w:firstLine="0" w:firstLineChars="0"/>
      <w:outlineLvl w:val="3"/>
    </w:pPr>
    <w:rPr>
      <w:b/>
      <w:bCs/>
      <w:sz w:val="30"/>
      <w:szCs w:val="30"/>
    </w:rPr>
  </w:style>
  <w:style w:type="paragraph" w:styleId="6">
    <w:name w:val="heading 5"/>
    <w:basedOn w:val="1"/>
    <w:next w:val="1"/>
    <w:link w:val="86"/>
    <w:qFormat/>
    <w:uiPriority w:val="0"/>
    <w:pPr>
      <w:keepNext/>
      <w:keepLines/>
      <w:numPr>
        <w:ilvl w:val="4"/>
        <w:numId w:val="1"/>
      </w:numPr>
      <w:spacing w:before="120" w:after="120"/>
      <w:ind w:left="0" w:firstLine="0" w:firstLineChars="0"/>
      <w:outlineLvl w:val="4"/>
    </w:pPr>
    <w:rPr>
      <w:b/>
      <w:bCs/>
      <w:szCs w:val="28"/>
    </w:rPr>
  </w:style>
  <w:style w:type="paragraph" w:styleId="7">
    <w:name w:val="heading 6"/>
    <w:basedOn w:val="1"/>
    <w:next w:val="1"/>
    <w:link w:val="99"/>
    <w:qFormat/>
    <w:uiPriority w:val="0"/>
    <w:pPr>
      <w:keepNext/>
      <w:keepLines/>
      <w:numPr>
        <w:ilvl w:val="5"/>
        <w:numId w:val="1"/>
      </w:numPr>
      <w:spacing w:before="120" w:after="120"/>
      <w:ind w:firstLine="0" w:firstLineChars="0"/>
      <w:outlineLvl w:val="5"/>
    </w:pPr>
    <w:rPr>
      <w:rFonts w:ascii="Cambria" w:hAnsi="Cambria"/>
      <w:b/>
      <w:bCs/>
    </w:rPr>
  </w:style>
  <w:style w:type="paragraph" w:styleId="8">
    <w:name w:val="heading 7"/>
    <w:basedOn w:val="1"/>
    <w:next w:val="1"/>
    <w:link w:val="72"/>
    <w:qFormat/>
    <w:uiPriority w:val="9"/>
    <w:pPr>
      <w:keepNext/>
      <w:keepLines/>
      <w:spacing w:before="240" w:after="64" w:line="319" w:lineRule="auto"/>
      <w:ind w:firstLine="0" w:firstLineChars="0"/>
      <w:outlineLvl w:val="6"/>
    </w:pPr>
    <w:rPr>
      <w:rFonts w:ascii="Times New Roman" w:hAnsi="Times New Roman"/>
      <w:b/>
      <w:bCs/>
      <w:sz w:val="21"/>
    </w:rPr>
  </w:style>
  <w:style w:type="paragraph" w:styleId="9">
    <w:name w:val="heading 8"/>
    <w:basedOn w:val="1"/>
    <w:next w:val="1"/>
    <w:link w:val="98"/>
    <w:qFormat/>
    <w:uiPriority w:val="9"/>
    <w:pPr>
      <w:keepNext/>
      <w:keepLines/>
      <w:spacing w:before="240" w:after="64" w:line="319" w:lineRule="auto"/>
      <w:ind w:firstLine="0" w:firstLineChars="0"/>
      <w:outlineLvl w:val="7"/>
    </w:pPr>
    <w:rPr>
      <w:rFonts w:ascii="Cambria" w:hAnsi="Cambria"/>
      <w:sz w:val="21"/>
    </w:rPr>
  </w:style>
  <w:style w:type="paragraph" w:styleId="10">
    <w:name w:val="heading 9"/>
    <w:basedOn w:val="1"/>
    <w:next w:val="1"/>
    <w:link w:val="48"/>
    <w:qFormat/>
    <w:uiPriority w:val="9"/>
    <w:pPr>
      <w:keepNext/>
      <w:keepLines/>
      <w:spacing w:before="240" w:after="64" w:line="319" w:lineRule="auto"/>
      <w:ind w:firstLine="0" w:firstLineChars="0"/>
      <w:outlineLvl w:val="8"/>
    </w:pPr>
    <w:rPr>
      <w:rFonts w:ascii="Cambria" w:hAnsi="Cambria"/>
      <w:sz w:val="21"/>
      <w:szCs w:val="21"/>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等线" w:hAnsi="等线" w:eastAsia="等线"/>
      <w:szCs w:val="22"/>
    </w:rPr>
  </w:style>
  <w:style w:type="paragraph" w:styleId="12">
    <w:name w:val="Normal Indent"/>
    <w:basedOn w:val="1"/>
    <w:unhideWhenUsed/>
    <w:qFormat/>
    <w:uiPriority w:val="99"/>
    <w:pPr>
      <w:spacing w:line="240" w:lineRule="auto"/>
      <w:ind w:firstLine="420"/>
    </w:pPr>
    <w:rPr>
      <w:rFonts w:ascii="Calibri" w:hAnsi="Calibri"/>
      <w:sz w:val="21"/>
    </w:rPr>
  </w:style>
  <w:style w:type="paragraph" w:styleId="13">
    <w:name w:val="caption"/>
    <w:basedOn w:val="1"/>
    <w:next w:val="1"/>
    <w:link w:val="54"/>
    <w:qFormat/>
    <w:uiPriority w:val="0"/>
    <w:pPr>
      <w:spacing w:afterLines="50"/>
      <w:ind w:firstLine="200"/>
    </w:pPr>
    <w:rPr>
      <w:rFonts w:ascii="Arial" w:hAnsi="Arial" w:eastAsia="黑体"/>
      <w:sz w:val="20"/>
      <w:szCs w:val="20"/>
    </w:rPr>
  </w:style>
  <w:style w:type="paragraph" w:styleId="14">
    <w:name w:val="Document Map"/>
    <w:basedOn w:val="1"/>
    <w:link w:val="91"/>
    <w:qFormat/>
    <w:uiPriority w:val="0"/>
    <w:rPr>
      <w:rFonts w:hAnsi="Times New Roman"/>
      <w:sz w:val="18"/>
      <w:szCs w:val="18"/>
    </w:rPr>
  </w:style>
  <w:style w:type="paragraph" w:styleId="15">
    <w:name w:val="annotation text"/>
    <w:basedOn w:val="1"/>
    <w:link w:val="45"/>
    <w:qFormat/>
    <w:uiPriority w:val="99"/>
    <w:pPr>
      <w:jc w:val="left"/>
    </w:pPr>
    <w:rPr>
      <w:rFonts w:ascii="Times New Roman" w:hAnsi="Times New Roman" w:eastAsia="仿宋"/>
      <w:sz w:val="28"/>
    </w:rPr>
  </w:style>
  <w:style w:type="paragraph" w:styleId="16">
    <w:name w:val="Body Text"/>
    <w:basedOn w:val="1"/>
    <w:link w:val="59"/>
    <w:unhideWhenUsed/>
    <w:qFormat/>
    <w:uiPriority w:val="0"/>
    <w:pPr>
      <w:spacing w:after="120" w:line="240" w:lineRule="auto"/>
      <w:ind w:firstLine="0" w:firstLineChars="0"/>
    </w:pPr>
    <w:rPr>
      <w:rFonts w:ascii="Times New Roman" w:hAnsi="Times New Roman"/>
      <w:sz w:val="21"/>
    </w:rPr>
  </w:style>
  <w:style w:type="paragraph" w:styleId="17">
    <w:name w:val="Body Text Indent"/>
    <w:basedOn w:val="1"/>
    <w:link w:val="85"/>
    <w:qFormat/>
    <w:uiPriority w:val="0"/>
    <w:pPr>
      <w:spacing w:after="120"/>
      <w:ind w:firstLine="200"/>
    </w:pPr>
    <w:rPr>
      <w:rFonts w:ascii="Times New Roman" w:hAnsi="Times New Roman"/>
      <w:sz w:val="21"/>
      <w:szCs w:val="20"/>
    </w:rPr>
  </w:style>
  <w:style w:type="paragraph" w:styleId="18">
    <w:name w:val="toc 5"/>
    <w:basedOn w:val="1"/>
    <w:next w:val="1"/>
    <w:unhideWhenUsed/>
    <w:qFormat/>
    <w:uiPriority w:val="39"/>
    <w:pPr>
      <w:ind w:left="1680" w:leftChars="800"/>
    </w:pPr>
    <w:rPr>
      <w:rFonts w:ascii="等线" w:hAnsi="等线" w:eastAsia="等线"/>
      <w:szCs w:val="22"/>
    </w:rPr>
  </w:style>
  <w:style w:type="paragraph" w:styleId="19">
    <w:name w:val="toc 3"/>
    <w:basedOn w:val="1"/>
    <w:next w:val="1"/>
    <w:qFormat/>
    <w:uiPriority w:val="39"/>
    <w:pPr>
      <w:tabs>
        <w:tab w:val="right" w:leader="dot" w:pos="8302"/>
      </w:tabs>
      <w:ind w:left="840" w:leftChars="400"/>
    </w:pPr>
  </w:style>
  <w:style w:type="paragraph" w:styleId="20">
    <w:name w:val="Plain Text"/>
    <w:basedOn w:val="1"/>
    <w:link w:val="66"/>
    <w:qFormat/>
    <w:uiPriority w:val="0"/>
    <w:pPr>
      <w:spacing w:line="240" w:lineRule="auto"/>
      <w:ind w:firstLine="0" w:firstLineChars="0"/>
    </w:pPr>
    <w:rPr>
      <w:rFonts w:hAnsi="Courier New"/>
      <w:sz w:val="21"/>
      <w:szCs w:val="20"/>
    </w:rPr>
  </w:style>
  <w:style w:type="paragraph" w:styleId="21">
    <w:name w:val="toc 8"/>
    <w:basedOn w:val="1"/>
    <w:next w:val="1"/>
    <w:unhideWhenUsed/>
    <w:qFormat/>
    <w:uiPriority w:val="39"/>
    <w:pPr>
      <w:ind w:left="2940" w:leftChars="1400"/>
    </w:pPr>
    <w:rPr>
      <w:rFonts w:ascii="等线" w:hAnsi="等线" w:eastAsia="等线"/>
      <w:szCs w:val="22"/>
    </w:rPr>
  </w:style>
  <w:style w:type="paragraph" w:styleId="22">
    <w:name w:val="Date"/>
    <w:basedOn w:val="1"/>
    <w:next w:val="1"/>
    <w:link w:val="47"/>
    <w:qFormat/>
    <w:uiPriority w:val="0"/>
    <w:pPr>
      <w:ind w:left="100" w:leftChars="2500"/>
    </w:pPr>
    <w:rPr>
      <w:rFonts w:ascii="Times New Roman" w:hAnsi="Times New Roman"/>
      <w:sz w:val="21"/>
    </w:rPr>
  </w:style>
  <w:style w:type="paragraph" w:styleId="23">
    <w:name w:val="Balloon Text"/>
    <w:basedOn w:val="1"/>
    <w:link w:val="96"/>
    <w:qFormat/>
    <w:uiPriority w:val="0"/>
    <w:rPr>
      <w:rFonts w:ascii="Times New Roman" w:hAnsi="Times New Roman"/>
      <w:sz w:val="18"/>
      <w:szCs w:val="18"/>
    </w:rPr>
  </w:style>
  <w:style w:type="paragraph" w:styleId="24">
    <w:name w:val="footer"/>
    <w:basedOn w:val="1"/>
    <w:link w:val="89"/>
    <w:qFormat/>
    <w:uiPriority w:val="99"/>
    <w:pPr>
      <w:tabs>
        <w:tab w:val="center" w:pos="4153"/>
        <w:tab w:val="right" w:pos="8306"/>
      </w:tabs>
      <w:snapToGrid w:val="0"/>
      <w:jc w:val="center"/>
    </w:pPr>
    <w:rPr>
      <w:rFonts w:ascii="Times New Roman" w:hAnsi="Times New Roman"/>
      <w:sz w:val="18"/>
      <w:szCs w:val="18"/>
    </w:rPr>
  </w:style>
  <w:style w:type="paragraph" w:styleId="25">
    <w:name w:val="header"/>
    <w:basedOn w:val="1"/>
    <w:link w:val="97"/>
    <w:qFormat/>
    <w:uiPriority w:val="99"/>
    <w:pPr>
      <w:pBdr>
        <w:bottom w:val="single" w:color="auto" w:sz="4" w:space="0"/>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style>
  <w:style w:type="paragraph" w:styleId="27">
    <w:name w:val="toc 4"/>
    <w:basedOn w:val="1"/>
    <w:next w:val="1"/>
    <w:unhideWhenUsed/>
    <w:qFormat/>
    <w:uiPriority w:val="39"/>
    <w:pPr>
      <w:ind w:left="1260" w:leftChars="600"/>
    </w:pPr>
    <w:rPr>
      <w:rFonts w:ascii="等线" w:hAnsi="等线" w:eastAsia="等线"/>
      <w:szCs w:val="22"/>
    </w:rPr>
  </w:style>
  <w:style w:type="paragraph" w:styleId="28">
    <w:name w:val="Subtitle"/>
    <w:basedOn w:val="1"/>
    <w:next w:val="1"/>
    <w:link w:val="87"/>
    <w:qFormat/>
    <w:uiPriority w:val="0"/>
    <w:pPr>
      <w:spacing w:before="240" w:after="60" w:line="312" w:lineRule="auto"/>
      <w:jc w:val="center"/>
      <w:outlineLvl w:val="1"/>
    </w:pPr>
    <w:rPr>
      <w:rFonts w:ascii="Calibri Light" w:hAnsi="Calibri Light"/>
      <w:b/>
      <w:bCs/>
      <w:kern w:val="28"/>
      <w:sz w:val="32"/>
      <w:szCs w:val="32"/>
    </w:rPr>
  </w:style>
  <w:style w:type="paragraph" w:styleId="29">
    <w:name w:val="toc 6"/>
    <w:basedOn w:val="1"/>
    <w:next w:val="1"/>
    <w:unhideWhenUsed/>
    <w:qFormat/>
    <w:uiPriority w:val="39"/>
    <w:pPr>
      <w:ind w:left="2100" w:leftChars="1000"/>
    </w:pPr>
    <w:rPr>
      <w:rFonts w:ascii="等线" w:hAnsi="等线" w:eastAsia="等线"/>
      <w:szCs w:val="22"/>
    </w:rPr>
  </w:style>
  <w:style w:type="paragraph" w:styleId="30">
    <w:name w:val="toc 2"/>
    <w:basedOn w:val="1"/>
    <w:next w:val="1"/>
    <w:qFormat/>
    <w:uiPriority w:val="39"/>
    <w:pPr>
      <w:tabs>
        <w:tab w:val="right" w:leader="dot" w:pos="8302"/>
      </w:tabs>
      <w:ind w:left="420" w:leftChars="200"/>
    </w:pPr>
  </w:style>
  <w:style w:type="paragraph" w:styleId="31">
    <w:name w:val="toc 9"/>
    <w:basedOn w:val="1"/>
    <w:next w:val="1"/>
    <w:unhideWhenUsed/>
    <w:qFormat/>
    <w:uiPriority w:val="39"/>
    <w:pPr>
      <w:ind w:left="3360" w:leftChars="1600"/>
    </w:pPr>
    <w:rPr>
      <w:rFonts w:ascii="等线" w:hAnsi="等线" w:eastAsia="等线"/>
      <w:szCs w:val="22"/>
    </w:rPr>
  </w:style>
  <w:style w:type="paragraph" w:styleId="32">
    <w:name w:val="Normal (Web)"/>
    <w:basedOn w:val="1"/>
    <w:qFormat/>
    <w:uiPriority w:val="99"/>
    <w:pPr>
      <w:widowControl/>
      <w:spacing w:before="100" w:after="100"/>
      <w:jc w:val="left"/>
    </w:pPr>
    <w:rPr>
      <w:rFonts w:hint="eastAsia" w:ascii="Arial Unicode MS" w:hAnsi="Arial Unicode MS" w:eastAsia="Arial Unicode MS"/>
      <w:kern w:val="0"/>
    </w:rPr>
  </w:style>
  <w:style w:type="paragraph" w:styleId="33">
    <w:name w:val="Title"/>
    <w:basedOn w:val="1"/>
    <w:next w:val="1"/>
    <w:link w:val="95"/>
    <w:qFormat/>
    <w:uiPriority w:val="0"/>
    <w:pPr>
      <w:spacing w:before="240" w:after="60" w:line="960" w:lineRule="auto"/>
      <w:jc w:val="center"/>
    </w:pPr>
    <w:rPr>
      <w:rFonts w:ascii="Cambria" w:hAnsi="Cambria" w:eastAsia="黑体"/>
      <w:b/>
      <w:bCs/>
      <w:sz w:val="52"/>
      <w:szCs w:val="32"/>
    </w:rPr>
  </w:style>
  <w:style w:type="paragraph" w:styleId="34">
    <w:name w:val="annotation subject"/>
    <w:basedOn w:val="15"/>
    <w:next w:val="15"/>
    <w:link w:val="83"/>
    <w:qFormat/>
    <w:uiPriority w:val="0"/>
    <w:rPr>
      <w:b/>
      <w:bCs/>
      <w:sz w:val="21"/>
    </w:rPr>
  </w:style>
  <w:style w:type="table" w:styleId="36">
    <w:name w:val="Table Grid"/>
    <w:basedOn w:val="35"/>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basedOn w:val="37"/>
    <w:qFormat/>
    <w:uiPriority w:val="0"/>
  </w:style>
  <w:style w:type="character" w:styleId="39">
    <w:name w:val="FollowedHyperlink"/>
    <w:unhideWhenUsed/>
    <w:qFormat/>
    <w:uiPriority w:val="99"/>
    <w:rPr>
      <w:color w:val="954F72"/>
      <w:u w:val="single"/>
    </w:rPr>
  </w:style>
  <w:style w:type="character" w:styleId="40">
    <w:name w:val="Hyperlink"/>
    <w:qFormat/>
    <w:uiPriority w:val="99"/>
    <w:rPr>
      <w:color w:val="0000FF"/>
      <w:u w:val="single"/>
    </w:rPr>
  </w:style>
  <w:style w:type="character" w:styleId="41">
    <w:name w:val="annotation reference"/>
    <w:qFormat/>
    <w:uiPriority w:val="99"/>
    <w:rPr>
      <w:sz w:val="21"/>
      <w:szCs w:val="21"/>
    </w:rPr>
  </w:style>
  <w:style w:type="character" w:customStyle="1" w:styleId="42">
    <w:name w:val="标题 3 字符1"/>
    <w:qFormat/>
    <w:uiPriority w:val="0"/>
    <w:rPr>
      <w:rFonts w:ascii="宋体" w:hAnsi="宋体"/>
      <w:b/>
      <w:bCs/>
      <w:kern w:val="2"/>
      <w:sz w:val="28"/>
      <w:szCs w:val="28"/>
    </w:rPr>
  </w:style>
  <w:style w:type="character" w:customStyle="1" w:styleId="43">
    <w:name w:val="首行缩进正文 Char"/>
    <w:link w:val="44"/>
    <w:qFormat/>
    <w:uiPriority w:val="0"/>
    <w:rPr>
      <w:kern w:val="2"/>
      <w:sz w:val="24"/>
    </w:rPr>
  </w:style>
  <w:style w:type="paragraph" w:customStyle="1" w:styleId="44">
    <w:name w:val="首行缩进正文"/>
    <w:basedOn w:val="1"/>
    <w:link w:val="43"/>
    <w:qFormat/>
    <w:uiPriority w:val="0"/>
    <w:pPr>
      <w:widowControl/>
      <w:adjustRightInd w:val="0"/>
      <w:snapToGrid w:val="0"/>
      <w:spacing w:afterLines="50" w:line="276" w:lineRule="auto"/>
      <w:ind w:firstLine="420" w:firstLineChars="0"/>
      <w:jc w:val="left"/>
    </w:pPr>
    <w:rPr>
      <w:rFonts w:ascii="Times New Roman" w:hAnsi="Times New Roman"/>
      <w:szCs w:val="20"/>
    </w:rPr>
  </w:style>
  <w:style w:type="character" w:customStyle="1" w:styleId="45">
    <w:name w:val="批注文字 字符1"/>
    <w:link w:val="15"/>
    <w:qFormat/>
    <w:uiPriority w:val="99"/>
    <w:rPr>
      <w:rFonts w:eastAsia="仿宋"/>
      <w:kern w:val="2"/>
      <w:sz w:val="28"/>
      <w:szCs w:val="24"/>
    </w:rPr>
  </w:style>
  <w:style w:type="character" w:customStyle="1" w:styleId="46">
    <w:name w:val="日期 字符"/>
    <w:semiHidden/>
    <w:qFormat/>
    <w:uiPriority w:val="99"/>
    <w:rPr>
      <w:rFonts w:ascii="宋体" w:hAnsi="宋体"/>
      <w:kern w:val="2"/>
      <w:sz w:val="24"/>
      <w:szCs w:val="24"/>
    </w:rPr>
  </w:style>
  <w:style w:type="character" w:customStyle="1" w:styleId="47">
    <w:name w:val="日期 字符1"/>
    <w:link w:val="22"/>
    <w:qFormat/>
    <w:uiPriority w:val="0"/>
    <w:rPr>
      <w:kern w:val="2"/>
      <w:sz w:val="21"/>
      <w:szCs w:val="24"/>
    </w:rPr>
  </w:style>
  <w:style w:type="character" w:customStyle="1" w:styleId="48">
    <w:name w:val="标题 9 字符"/>
    <w:link w:val="10"/>
    <w:qFormat/>
    <w:uiPriority w:val="9"/>
    <w:rPr>
      <w:rFonts w:ascii="Cambria" w:hAnsi="Cambria"/>
      <w:kern w:val="2"/>
      <w:sz w:val="21"/>
      <w:szCs w:val="21"/>
    </w:rPr>
  </w:style>
  <w:style w:type="character" w:customStyle="1" w:styleId="49">
    <w:name w:val="未处理的提及1"/>
    <w:unhideWhenUsed/>
    <w:qFormat/>
    <w:uiPriority w:val="99"/>
    <w:rPr>
      <w:color w:val="605E5C"/>
      <w:shd w:val="clear" w:color="auto" w:fill="E1DFDD"/>
    </w:rPr>
  </w:style>
  <w:style w:type="character" w:customStyle="1" w:styleId="50">
    <w:name w:val="标题 1 字符"/>
    <w:qFormat/>
    <w:uiPriority w:val="9"/>
    <w:rPr>
      <w:rFonts w:ascii="宋体" w:hAnsi="宋体"/>
      <w:b/>
      <w:bCs/>
      <w:kern w:val="44"/>
      <w:sz w:val="44"/>
      <w:szCs w:val="44"/>
    </w:rPr>
  </w:style>
  <w:style w:type="character" w:customStyle="1" w:styleId="51">
    <w:name w:val="标题 3 字符"/>
    <w:semiHidden/>
    <w:qFormat/>
    <w:uiPriority w:val="9"/>
    <w:rPr>
      <w:rFonts w:ascii="宋体" w:hAnsi="宋体"/>
      <w:b/>
      <w:bCs/>
      <w:kern w:val="2"/>
      <w:sz w:val="32"/>
      <w:szCs w:val="32"/>
    </w:rPr>
  </w:style>
  <w:style w:type="character" w:customStyle="1" w:styleId="52">
    <w:name w:val="页脚 字符"/>
    <w:qFormat/>
    <w:uiPriority w:val="99"/>
  </w:style>
  <w:style w:type="character" w:customStyle="1" w:styleId="53">
    <w:name w:val="标题 5 字符"/>
    <w:semiHidden/>
    <w:qFormat/>
    <w:uiPriority w:val="9"/>
    <w:rPr>
      <w:rFonts w:ascii="宋体" w:hAnsi="宋体"/>
      <w:b/>
      <w:bCs/>
      <w:kern w:val="2"/>
      <w:sz w:val="28"/>
      <w:szCs w:val="28"/>
    </w:rPr>
  </w:style>
  <w:style w:type="character" w:customStyle="1" w:styleId="54">
    <w:name w:val="题注 字符"/>
    <w:link w:val="13"/>
    <w:qFormat/>
    <w:locked/>
    <w:uiPriority w:val="0"/>
    <w:rPr>
      <w:rFonts w:ascii="Arial" w:hAnsi="Arial" w:eastAsia="黑体"/>
      <w:kern w:val="2"/>
    </w:rPr>
  </w:style>
  <w:style w:type="character" w:customStyle="1" w:styleId="55">
    <w:name w:val="标题 2 字符"/>
    <w:semiHidden/>
    <w:qFormat/>
    <w:uiPriority w:val="9"/>
    <w:rPr>
      <w:rFonts w:ascii="等线 Light" w:hAnsi="等线 Light" w:eastAsia="等线 Light" w:cs="Times New Roman"/>
      <w:b/>
      <w:bCs/>
      <w:kern w:val="2"/>
      <w:sz w:val="32"/>
      <w:szCs w:val="32"/>
    </w:rPr>
  </w:style>
  <w:style w:type="character" w:customStyle="1" w:styleId="56">
    <w:name w:val="纯文本 字符"/>
    <w:qFormat/>
    <w:uiPriority w:val="0"/>
    <w:rPr>
      <w:rFonts w:ascii="宋体" w:hAnsi="Courier New" w:cs="Courier New"/>
      <w:kern w:val="2"/>
      <w:sz w:val="21"/>
      <w:szCs w:val="21"/>
    </w:rPr>
  </w:style>
  <w:style w:type="character" w:customStyle="1" w:styleId="57">
    <w:name w:val="列表段落 字符"/>
    <w:qFormat/>
    <w:uiPriority w:val="34"/>
    <w:rPr>
      <w:kern w:val="2"/>
      <w:sz w:val="21"/>
      <w:szCs w:val="22"/>
    </w:rPr>
  </w:style>
  <w:style w:type="character" w:customStyle="1" w:styleId="58">
    <w:name w:val="标题 4 字符1"/>
    <w:link w:val="5"/>
    <w:qFormat/>
    <w:uiPriority w:val="0"/>
    <w:rPr>
      <w:rFonts w:ascii="宋体" w:hAnsi="宋体"/>
      <w:b/>
      <w:bCs/>
      <w:kern w:val="2"/>
      <w:sz w:val="30"/>
      <w:szCs w:val="30"/>
    </w:rPr>
  </w:style>
  <w:style w:type="character" w:customStyle="1" w:styleId="59">
    <w:name w:val="正文文本 字符"/>
    <w:link w:val="16"/>
    <w:qFormat/>
    <w:uiPriority w:val="0"/>
    <w:rPr>
      <w:kern w:val="2"/>
      <w:sz w:val="21"/>
      <w:szCs w:val="24"/>
    </w:rPr>
  </w:style>
  <w:style w:type="character" w:customStyle="1" w:styleId="60">
    <w:name w:val="列表段落 字符1"/>
    <w:link w:val="61"/>
    <w:qFormat/>
    <w:uiPriority w:val="34"/>
    <w:rPr>
      <w:kern w:val="2"/>
      <w:sz w:val="21"/>
      <w:szCs w:val="24"/>
    </w:rPr>
  </w:style>
  <w:style w:type="paragraph" w:styleId="61">
    <w:name w:val="List Paragraph"/>
    <w:basedOn w:val="1"/>
    <w:link w:val="60"/>
    <w:qFormat/>
    <w:uiPriority w:val="34"/>
    <w:pPr>
      <w:ind w:firstLine="420"/>
    </w:pPr>
    <w:rPr>
      <w:rFonts w:ascii="Times New Roman" w:hAnsi="Times New Roman"/>
      <w:sz w:val="21"/>
    </w:rPr>
  </w:style>
  <w:style w:type="character" w:customStyle="1" w:styleId="62">
    <w:name w:val="font21"/>
    <w:qFormat/>
    <w:uiPriority w:val="0"/>
    <w:rPr>
      <w:rFonts w:ascii="Calibri" w:hAnsi="Calibri" w:cs="Calibri"/>
      <w:color w:val="000000"/>
      <w:sz w:val="21"/>
      <w:szCs w:val="21"/>
      <w:u w:val="none"/>
    </w:rPr>
  </w:style>
  <w:style w:type="character" w:customStyle="1" w:styleId="63">
    <w:name w:val="*正文 Char"/>
    <w:link w:val="64"/>
    <w:qFormat/>
    <w:uiPriority w:val="0"/>
    <w:rPr>
      <w:rFonts w:ascii="time" w:hAnsi="time"/>
      <w:sz w:val="24"/>
      <w:szCs w:val="24"/>
      <w:lang w:bidi="en-US"/>
    </w:rPr>
  </w:style>
  <w:style w:type="paragraph" w:customStyle="1" w:styleId="64">
    <w:name w:val="*正文"/>
    <w:basedOn w:val="1"/>
    <w:link w:val="63"/>
    <w:qFormat/>
    <w:uiPriority w:val="0"/>
    <w:pPr>
      <w:widowControl/>
      <w:ind w:firstLine="200"/>
      <w:contextualSpacing/>
    </w:pPr>
    <w:rPr>
      <w:rFonts w:ascii="time" w:hAnsi="time"/>
      <w:kern w:val="0"/>
      <w:lang w:bidi="en-US"/>
    </w:rPr>
  </w:style>
  <w:style w:type="character" w:customStyle="1" w:styleId="65">
    <w:name w:val="正文文本缩进 字符"/>
    <w:semiHidden/>
    <w:qFormat/>
    <w:uiPriority w:val="99"/>
    <w:rPr>
      <w:rFonts w:ascii="宋体" w:hAnsi="宋体"/>
      <w:kern w:val="2"/>
      <w:sz w:val="24"/>
      <w:szCs w:val="24"/>
    </w:rPr>
  </w:style>
  <w:style w:type="character" w:customStyle="1" w:styleId="66">
    <w:name w:val="纯文本 字符1"/>
    <w:link w:val="20"/>
    <w:qFormat/>
    <w:locked/>
    <w:uiPriority w:val="0"/>
    <w:rPr>
      <w:rFonts w:ascii="宋体" w:hAnsi="Courier New"/>
      <w:kern w:val="2"/>
      <w:sz w:val="21"/>
    </w:rPr>
  </w:style>
  <w:style w:type="character" w:customStyle="1" w:styleId="67">
    <w:name w:val="my正文 Char"/>
    <w:link w:val="68"/>
    <w:qFormat/>
    <w:uiPriority w:val="0"/>
    <w:rPr>
      <w:kern w:val="2"/>
      <w:sz w:val="21"/>
      <w:szCs w:val="24"/>
    </w:rPr>
  </w:style>
  <w:style w:type="paragraph" w:customStyle="1" w:styleId="68">
    <w:name w:val="my正文"/>
    <w:basedOn w:val="1"/>
    <w:link w:val="67"/>
    <w:qFormat/>
    <w:uiPriority w:val="0"/>
    <w:pPr>
      <w:spacing w:line="240" w:lineRule="auto"/>
      <w:ind w:firstLine="0" w:firstLineChars="0"/>
    </w:pPr>
    <w:rPr>
      <w:rFonts w:ascii="Times New Roman" w:hAnsi="Times New Roman"/>
      <w:sz w:val="21"/>
    </w:rPr>
  </w:style>
  <w:style w:type="character" w:customStyle="1" w:styleId="69">
    <w:name w:val="正文2 字符"/>
    <w:link w:val="70"/>
    <w:qFormat/>
    <w:uiPriority w:val="0"/>
    <w:rPr>
      <w:kern w:val="2"/>
      <w:sz w:val="21"/>
      <w:szCs w:val="24"/>
    </w:rPr>
  </w:style>
  <w:style w:type="paragraph" w:customStyle="1" w:styleId="70">
    <w:name w:val="正文2"/>
    <w:basedOn w:val="1"/>
    <w:link w:val="69"/>
    <w:qFormat/>
    <w:uiPriority w:val="0"/>
    <w:pPr>
      <w:ind w:firstLine="420"/>
    </w:pPr>
    <w:rPr>
      <w:rFonts w:ascii="Times New Roman" w:hAnsi="Times New Roman"/>
      <w:sz w:val="21"/>
    </w:rPr>
  </w:style>
  <w:style w:type="character" w:customStyle="1" w:styleId="71">
    <w:name w:val="font41"/>
    <w:qFormat/>
    <w:uiPriority w:val="0"/>
    <w:rPr>
      <w:rFonts w:hint="eastAsia" w:ascii="宋体" w:hAnsi="宋体" w:eastAsia="宋体" w:cs="宋体"/>
      <w:color w:val="000000"/>
      <w:sz w:val="21"/>
      <w:szCs w:val="21"/>
      <w:u w:val="none"/>
    </w:rPr>
  </w:style>
  <w:style w:type="character" w:customStyle="1" w:styleId="72">
    <w:name w:val="标题 7 字符"/>
    <w:link w:val="8"/>
    <w:qFormat/>
    <w:uiPriority w:val="9"/>
    <w:rPr>
      <w:b/>
      <w:bCs/>
      <w:kern w:val="2"/>
      <w:sz w:val="21"/>
      <w:szCs w:val="24"/>
    </w:rPr>
  </w:style>
  <w:style w:type="character" w:customStyle="1" w:styleId="73">
    <w:name w:val="批注框文本 字符"/>
    <w:semiHidden/>
    <w:qFormat/>
    <w:uiPriority w:val="99"/>
    <w:rPr>
      <w:rFonts w:ascii="宋体" w:hAnsi="宋体"/>
      <w:kern w:val="2"/>
      <w:sz w:val="18"/>
      <w:szCs w:val="18"/>
    </w:rPr>
  </w:style>
  <w:style w:type="character" w:customStyle="1" w:styleId="74">
    <w:name w:val="副标题 Char1"/>
    <w:qFormat/>
    <w:uiPriority w:val="0"/>
    <w:rPr>
      <w:rFonts w:ascii="Calibri Light" w:hAnsi="Calibri Light" w:cs="Times New Roman"/>
      <w:b/>
      <w:bCs/>
      <w:kern w:val="28"/>
      <w:sz w:val="32"/>
      <w:szCs w:val="32"/>
    </w:rPr>
  </w:style>
  <w:style w:type="character" w:customStyle="1" w:styleId="75">
    <w:name w:val="标题 1 字符1"/>
    <w:link w:val="2"/>
    <w:qFormat/>
    <w:uiPriority w:val="0"/>
    <w:rPr>
      <w:rFonts w:ascii="宋体" w:hAnsi="宋体" w:eastAsia="黑体"/>
      <w:b/>
      <w:bCs/>
      <w:kern w:val="44"/>
      <w:sz w:val="32"/>
      <w:szCs w:val="28"/>
    </w:rPr>
  </w:style>
  <w:style w:type="character" w:customStyle="1" w:styleId="76">
    <w:name w:val="批注文字 字符"/>
    <w:qFormat/>
    <w:uiPriority w:val="99"/>
    <w:rPr>
      <w:rFonts w:ascii="宋体" w:hAnsi="宋体"/>
      <w:kern w:val="2"/>
      <w:sz w:val="24"/>
      <w:szCs w:val="24"/>
    </w:rPr>
  </w:style>
  <w:style w:type="character" w:customStyle="1" w:styleId="77">
    <w:name w:val="文档结构图 字符"/>
    <w:semiHidden/>
    <w:qFormat/>
    <w:uiPriority w:val="99"/>
    <w:rPr>
      <w:rFonts w:ascii="Microsoft YaHei UI" w:hAnsi="宋体" w:eastAsia="Microsoft YaHei UI"/>
      <w:kern w:val="2"/>
      <w:sz w:val="18"/>
      <w:szCs w:val="18"/>
    </w:rPr>
  </w:style>
  <w:style w:type="character" w:customStyle="1" w:styleId="78">
    <w:name w:val="标题 6 字符"/>
    <w:semiHidden/>
    <w:qFormat/>
    <w:uiPriority w:val="9"/>
    <w:rPr>
      <w:rFonts w:ascii="等线 Light" w:hAnsi="等线 Light" w:eastAsia="等线 Light" w:cs="Times New Roman"/>
      <w:b/>
      <w:bCs/>
      <w:kern w:val="2"/>
      <w:sz w:val="24"/>
      <w:szCs w:val="24"/>
    </w:rPr>
  </w:style>
  <w:style w:type="character" w:customStyle="1" w:styleId="79">
    <w:name w:val="正文正文2 Char"/>
    <w:link w:val="80"/>
    <w:qFormat/>
    <w:uiPriority w:val="0"/>
    <w:rPr>
      <w:rFonts w:ascii="宋体" w:hAnsi="宋体"/>
      <w:kern w:val="2"/>
      <w:sz w:val="21"/>
      <w:szCs w:val="21"/>
    </w:rPr>
  </w:style>
  <w:style w:type="paragraph" w:customStyle="1" w:styleId="80">
    <w:name w:val="正文正文2"/>
    <w:basedOn w:val="1"/>
    <w:link w:val="79"/>
    <w:qFormat/>
    <w:uiPriority w:val="0"/>
    <w:pPr>
      <w:ind w:firstLine="460"/>
    </w:pPr>
    <w:rPr>
      <w:sz w:val="21"/>
      <w:szCs w:val="21"/>
    </w:rPr>
  </w:style>
  <w:style w:type="character" w:customStyle="1" w:styleId="81">
    <w:name w:val="标题 3 字符2"/>
    <w:link w:val="4"/>
    <w:qFormat/>
    <w:uiPriority w:val="0"/>
    <w:rPr>
      <w:rFonts w:ascii="宋体" w:hAnsi="宋体"/>
      <w:b/>
      <w:bCs/>
      <w:kern w:val="2"/>
      <w:sz w:val="28"/>
      <w:szCs w:val="28"/>
    </w:rPr>
  </w:style>
  <w:style w:type="character" w:customStyle="1" w:styleId="82">
    <w:name w:val="标题 4 字符"/>
    <w:semiHidden/>
    <w:qFormat/>
    <w:uiPriority w:val="9"/>
    <w:rPr>
      <w:rFonts w:ascii="等线 Light" w:hAnsi="等线 Light" w:eastAsia="等线 Light" w:cs="Times New Roman"/>
      <w:b/>
      <w:bCs/>
      <w:kern w:val="2"/>
      <w:sz w:val="28"/>
      <w:szCs w:val="28"/>
    </w:rPr>
  </w:style>
  <w:style w:type="character" w:customStyle="1" w:styleId="83">
    <w:name w:val="批注主题 字符1"/>
    <w:link w:val="34"/>
    <w:qFormat/>
    <w:uiPriority w:val="0"/>
    <w:rPr>
      <w:rFonts w:eastAsia="仿宋"/>
      <w:b/>
      <w:bCs/>
      <w:kern w:val="2"/>
      <w:sz w:val="21"/>
      <w:szCs w:val="24"/>
    </w:rPr>
  </w:style>
  <w:style w:type="character" w:customStyle="1" w:styleId="84">
    <w:name w:val="页眉 字符"/>
    <w:semiHidden/>
    <w:qFormat/>
    <w:uiPriority w:val="99"/>
    <w:rPr>
      <w:rFonts w:ascii="宋体" w:hAnsi="宋体"/>
      <w:kern w:val="2"/>
      <w:sz w:val="18"/>
      <w:szCs w:val="18"/>
    </w:rPr>
  </w:style>
  <w:style w:type="character" w:customStyle="1" w:styleId="85">
    <w:name w:val="正文文本缩进 字符1"/>
    <w:link w:val="17"/>
    <w:qFormat/>
    <w:uiPriority w:val="0"/>
    <w:rPr>
      <w:kern w:val="2"/>
      <w:sz w:val="21"/>
    </w:rPr>
  </w:style>
  <w:style w:type="character" w:customStyle="1" w:styleId="86">
    <w:name w:val="标题 5 字符1"/>
    <w:link w:val="6"/>
    <w:qFormat/>
    <w:uiPriority w:val="0"/>
    <w:rPr>
      <w:rFonts w:ascii="宋体" w:hAnsi="宋体"/>
      <w:b/>
      <w:bCs/>
      <w:kern w:val="2"/>
      <w:sz w:val="24"/>
      <w:szCs w:val="28"/>
    </w:rPr>
  </w:style>
  <w:style w:type="character" w:customStyle="1" w:styleId="87">
    <w:name w:val="副标题 字符1"/>
    <w:link w:val="28"/>
    <w:qFormat/>
    <w:uiPriority w:val="0"/>
    <w:rPr>
      <w:rFonts w:ascii="Calibri Light" w:hAnsi="Calibri Light"/>
      <w:b/>
      <w:bCs/>
      <w:kern w:val="28"/>
      <w:sz w:val="32"/>
      <w:szCs w:val="32"/>
    </w:rPr>
  </w:style>
  <w:style w:type="character" w:customStyle="1" w:styleId="88">
    <w:name w:val="标题 2 字符1"/>
    <w:link w:val="3"/>
    <w:qFormat/>
    <w:uiPriority w:val="9"/>
    <w:rPr>
      <w:rFonts w:ascii="宋体" w:hAnsi="宋体"/>
      <w:b/>
      <w:bCs/>
      <w:kern w:val="2"/>
      <w:sz w:val="30"/>
      <w:szCs w:val="32"/>
    </w:rPr>
  </w:style>
  <w:style w:type="character" w:customStyle="1" w:styleId="89">
    <w:name w:val="页脚 字符1"/>
    <w:link w:val="24"/>
    <w:qFormat/>
    <w:uiPriority w:val="99"/>
    <w:rPr>
      <w:kern w:val="2"/>
      <w:sz w:val="18"/>
      <w:szCs w:val="18"/>
    </w:rPr>
  </w:style>
  <w:style w:type="character" w:customStyle="1" w:styleId="90">
    <w:name w:val="批注主题 字符"/>
    <w:semiHidden/>
    <w:qFormat/>
    <w:uiPriority w:val="99"/>
    <w:rPr>
      <w:rFonts w:ascii="宋体" w:hAnsi="宋体"/>
      <w:b/>
      <w:bCs/>
      <w:kern w:val="2"/>
      <w:sz w:val="24"/>
      <w:szCs w:val="24"/>
    </w:rPr>
  </w:style>
  <w:style w:type="character" w:customStyle="1" w:styleId="91">
    <w:name w:val="文档结构图 字符1"/>
    <w:link w:val="14"/>
    <w:qFormat/>
    <w:uiPriority w:val="0"/>
    <w:rPr>
      <w:rFonts w:ascii="宋体"/>
      <w:kern w:val="2"/>
      <w:sz w:val="18"/>
      <w:szCs w:val="18"/>
    </w:rPr>
  </w:style>
  <w:style w:type="character" w:customStyle="1" w:styleId="92">
    <w:name w:val="font31"/>
    <w:qFormat/>
    <w:uiPriority w:val="0"/>
    <w:rPr>
      <w:rFonts w:hint="eastAsia" w:ascii="宋体" w:hAnsi="宋体" w:eastAsia="宋体" w:cs="宋体"/>
      <w:color w:val="000000"/>
      <w:sz w:val="21"/>
      <w:szCs w:val="21"/>
      <w:u w:val="none"/>
    </w:rPr>
  </w:style>
  <w:style w:type="character" w:customStyle="1" w:styleId="93">
    <w:name w:val="标准正文 Char"/>
    <w:link w:val="94"/>
    <w:qFormat/>
    <w:uiPriority w:val="0"/>
    <w:rPr>
      <w:rFonts w:ascii="Arial" w:hAnsi="Arial"/>
      <w:kern w:val="2"/>
      <w:sz w:val="24"/>
    </w:rPr>
  </w:style>
  <w:style w:type="paragraph" w:customStyle="1" w:styleId="94">
    <w:name w:val="标准正文"/>
    <w:basedOn w:val="17"/>
    <w:link w:val="93"/>
    <w:qFormat/>
    <w:uiPriority w:val="0"/>
    <w:pPr>
      <w:spacing w:before="60" w:after="60"/>
      <w:ind w:firstLine="482" w:firstLineChars="0"/>
    </w:pPr>
    <w:rPr>
      <w:rFonts w:ascii="Arial" w:hAnsi="Arial"/>
      <w:sz w:val="24"/>
    </w:rPr>
  </w:style>
  <w:style w:type="character" w:customStyle="1" w:styleId="95">
    <w:name w:val="标题 字符1"/>
    <w:link w:val="33"/>
    <w:qFormat/>
    <w:uiPriority w:val="0"/>
    <w:rPr>
      <w:rFonts w:ascii="Cambria" w:hAnsi="Cambria" w:eastAsia="黑体"/>
      <w:b/>
      <w:bCs/>
      <w:kern w:val="2"/>
      <w:sz w:val="52"/>
      <w:szCs w:val="32"/>
    </w:rPr>
  </w:style>
  <w:style w:type="character" w:customStyle="1" w:styleId="96">
    <w:name w:val="批注框文本 字符1"/>
    <w:link w:val="23"/>
    <w:qFormat/>
    <w:uiPriority w:val="0"/>
    <w:rPr>
      <w:kern w:val="2"/>
      <w:sz w:val="18"/>
      <w:szCs w:val="18"/>
    </w:rPr>
  </w:style>
  <w:style w:type="character" w:customStyle="1" w:styleId="97">
    <w:name w:val="页眉 字符1"/>
    <w:link w:val="25"/>
    <w:qFormat/>
    <w:uiPriority w:val="99"/>
    <w:rPr>
      <w:kern w:val="2"/>
      <w:sz w:val="18"/>
      <w:szCs w:val="18"/>
    </w:rPr>
  </w:style>
  <w:style w:type="character" w:customStyle="1" w:styleId="98">
    <w:name w:val="标题 8 字符"/>
    <w:link w:val="9"/>
    <w:qFormat/>
    <w:uiPriority w:val="9"/>
    <w:rPr>
      <w:rFonts w:ascii="Cambria" w:hAnsi="Cambria"/>
      <w:kern w:val="2"/>
      <w:sz w:val="21"/>
      <w:szCs w:val="24"/>
    </w:rPr>
  </w:style>
  <w:style w:type="character" w:customStyle="1" w:styleId="99">
    <w:name w:val="标题 6 字符1"/>
    <w:link w:val="7"/>
    <w:qFormat/>
    <w:uiPriority w:val="0"/>
    <w:rPr>
      <w:rFonts w:ascii="Cambria" w:hAnsi="Cambria"/>
      <w:b/>
      <w:bCs/>
      <w:kern w:val="2"/>
      <w:sz w:val="24"/>
      <w:szCs w:val="24"/>
    </w:rPr>
  </w:style>
  <w:style w:type="character" w:customStyle="1" w:styleId="100">
    <w:name w:val="标题 字符"/>
    <w:qFormat/>
    <w:uiPriority w:val="10"/>
    <w:rPr>
      <w:rFonts w:ascii="等线 Light" w:hAnsi="等线 Light" w:eastAsia="等线 Light" w:cs="Times New Roman"/>
      <w:b/>
      <w:bCs/>
      <w:kern w:val="2"/>
      <w:sz w:val="32"/>
      <w:szCs w:val="32"/>
    </w:rPr>
  </w:style>
  <w:style w:type="character" w:customStyle="1" w:styleId="101">
    <w:name w:val="副标题 字符"/>
    <w:qFormat/>
    <w:uiPriority w:val="11"/>
    <w:rPr>
      <w:rFonts w:ascii="等线" w:hAnsi="等线" w:eastAsia="等线" w:cs="Times New Roman"/>
      <w:b/>
      <w:bCs/>
      <w:kern w:val="28"/>
      <w:sz w:val="32"/>
      <w:szCs w:val="32"/>
    </w:rPr>
  </w:style>
  <w:style w:type="paragraph" w:customStyle="1" w:styleId="102">
    <w:name w:val="xl72"/>
    <w:basedOn w:val="1"/>
    <w:qFormat/>
    <w:uiPriority w:val="0"/>
    <w:pPr>
      <w:widowControl/>
      <w:spacing w:before="100" w:beforeAutospacing="1" w:after="100" w:afterAutospacing="1" w:line="240" w:lineRule="auto"/>
      <w:ind w:firstLine="0" w:firstLineChars="0"/>
      <w:jc w:val="center"/>
    </w:pPr>
    <w:rPr>
      <w:rFonts w:cs="宋体"/>
      <w:kern w:val="0"/>
    </w:rPr>
  </w:style>
  <w:style w:type="paragraph" w:customStyle="1" w:styleId="103">
    <w:name w:val="正文（深信服）"/>
    <w:qFormat/>
    <w:uiPriority w:val="0"/>
    <w:pPr>
      <w:spacing w:line="360" w:lineRule="auto"/>
      <w:ind w:firstLine="420"/>
    </w:pPr>
    <w:rPr>
      <w:rFonts w:ascii="Arial" w:hAnsi="Arial" w:eastAsia="宋体" w:cs="Times New Roman"/>
      <w:sz w:val="24"/>
      <w:szCs w:val="21"/>
      <w:shd w:val="clear" w:color="auto" w:fill="FFFFFF"/>
      <w:lang w:val="en-US" w:eastAsia="zh-CN" w:bidi="ar-SA"/>
    </w:rPr>
  </w:style>
  <w:style w:type="paragraph" w:customStyle="1" w:styleId="104">
    <w:name w:val="xl70"/>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05">
    <w:name w:val="_Style 2"/>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paragraph" w:customStyle="1" w:styleId="106">
    <w:name w:val="正文缩进1"/>
    <w:basedOn w:val="1"/>
    <w:qFormat/>
    <w:uiPriority w:val="0"/>
    <w:pPr>
      <w:spacing w:line="240" w:lineRule="auto"/>
      <w:ind w:firstLine="420"/>
    </w:pPr>
    <w:rPr>
      <w:rFonts w:ascii="Times New Roman" w:hAnsi="Times New Roman"/>
      <w:sz w:val="21"/>
      <w:szCs w:val="20"/>
    </w:rPr>
  </w:style>
  <w:style w:type="paragraph" w:customStyle="1" w:styleId="107">
    <w:name w:val="xl68"/>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08">
    <w:name w:val="前言、引言标题"/>
    <w:next w:val="1"/>
    <w:qFormat/>
    <w:uiPriority w:val="99"/>
    <w:pPr>
      <w:shd w:val="clear" w:color="FFFFFF" w:fill="FFFFFF"/>
      <w:tabs>
        <w:tab w:val="left" w:pos="425"/>
      </w:tabs>
      <w:spacing w:before="640" w:after="560"/>
      <w:jc w:val="center"/>
      <w:outlineLvl w:val="0"/>
    </w:pPr>
    <w:rPr>
      <w:rFonts w:ascii="黑体" w:hAnsi="Times New Roman" w:eastAsia="黑体" w:cs="Times New Roman"/>
      <w:sz w:val="32"/>
      <w:lang w:val="en-US" w:eastAsia="zh-CN" w:bidi="ar-SA"/>
    </w:rPr>
  </w:style>
  <w:style w:type="paragraph" w:customStyle="1" w:styleId="109">
    <w:name w:val="Indent Normal"/>
    <w:basedOn w:val="1"/>
    <w:qFormat/>
    <w:uiPriority w:val="0"/>
    <w:pPr>
      <w:ind w:firstLine="150" w:firstLineChars="150"/>
    </w:pPr>
  </w:style>
  <w:style w:type="paragraph" w:customStyle="1" w:styleId="110">
    <w:name w:val="msonormal"/>
    <w:basedOn w:val="1"/>
    <w:qFormat/>
    <w:uiPriority w:val="0"/>
    <w:pPr>
      <w:widowControl/>
      <w:spacing w:before="100" w:beforeAutospacing="1" w:after="100" w:afterAutospacing="1" w:line="240" w:lineRule="auto"/>
      <w:ind w:firstLine="0" w:firstLineChars="0"/>
      <w:jc w:val="left"/>
    </w:pPr>
    <w:rPr>
      <w:rFonts w:cs="宋体"/>
      <w:kern w:val="0"/>
    </w:rPr>
  </w:style>
  <w:style w:type="paragraph" w:customStyle="1" w:styleId="111">
    <w:name w:val="正文 缩进2字符"/>
    <w:basedOn w:val="1"/>
    <w:qFormat/>
    <w:uiPriority w:val="0"/>
    <w:pPr>
      <w:spacing w:afterLines="50" w:line="240" w:lineRule="auto"/>
      <w:ind w:firstLine="0" w:firstLineChars="0"/>
    </w:pPr>
    <w:rPr>
      <w:rFonts w:ascii="Times New Roman" w:hAnsi="Times New Roman" w:cs="宋体"/>
      <w:sz w:val="21"/>
      <w:szCs w:val="20"/>
    </w:rPr>
  </w:style>
  <w:style w:type="paragraph" w:customStyle="1" w:styleId="112">
    <w:name w:val="列项●（二级）"/>
    <w:qFormat/>
    <w:uiPriority w:val="0"/>
    <w:pPr>
      <w:numPr>
        <w:ilvl w:val="0"/>
        <w:numId w:val="2"/>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113">
    <w:name w:val="助手文本"/>
    <w:basedOn w:val="1"/>
    <w:qFormat/>
    <w:uiPriority w:val="0"/>
    <w:pPr>
      <w:autoSpaceDE w:val="0"/>
      <w:autoSpaceDN w:val="0"/>
      <w:adjustRightInd w:val="0"/>
      <w:spacing w:beforeLines="50" w:afterLines="50"/>
      <w:ind w:left="14" w:firstLine="434"/>
      <w:textAlignment w:val="baseline"/>
    </w:pPr>
    <w:rPr>
      <w:rFonts w:ascii="楷体_GB2312" w:eastAsia="楷体_GB2312"/>
      <w:kern w:val="0"/>
      <w:szCs w:val="20"/>
      <w:u w:val="single"/>
    </w:rPr>
  </w:style>
  <w:style w:type="paragraph" w:customStyle="1" w:styleId="114">
    <w:name w:val="xl67"/>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15">
    <w:name w:val="段"/>
    <w:qFormat/>
    <w:uiPriority w:val="0"/>
    <w:pPr>
      <w:autoSpaceDE w:val="0"/>
      <w:autoSpaceDN w:val="0"/>
      <w:ind w:firstLine="200" w:firstLineChars="200"/>
      <w:jc w:val="both"/>
    </w:pPr>
    <w:rPr>
      <w:rFonts w:ascii="宋体" w:hAnsi="Times New Roman" w:eastAsia="宋体" w:cs="Calibri"/>
      <w:sz w:val="21"/>
      <w:lang w:val="en-US" w:eastAsia="zh-CN" w:bidi="ar-SA"/>
    </w:rPr>
  </w:style>
  <w:style w:type="paragraph" w:customStyle="1" w:styleId="11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cs="宋体"/>
      <w:kern w:val="0"/>
    </w:rPr>
  </w:style>
  <w:style w:type="paragraph" w:customStyle="1" w:styleId="117">
    <w:name w:val="Char Char Char Char Char Char1 Char"/>
    <w:basedOn w:val="1"/>
    <w:qFormat/>
    <w:uiPriority w:val="0"/>
    <w:pPr>
      <w:widowControl/>
      <w:spacing w:after="160" w:line="240" w:lineRule="exact"/>
      <w:jc w:val="left"/>
    </w:pPr>
  </w:style>
  <w:style w:type="paragraph" w:customStyle="1" w:styleId="118">
    <w:name w:val="PM_Body"/>
    <w:basedOn w:val="1"/>
    <w:qFormat/>
    <w:locked/>
    <w:uiPriority w:val="0"/>
    <w:rPr>
      <w:szCs w:val="21"/>
    </w:rPr>
  </w:style>
  <w:style w:type="paragraph" w:customStyle="1" w:styleId="119">
    <w:name w:val="Char Char1"/>
    <w:basedOn w:val="1"/>
    <w:qFormat/>
    <w:uiPriority w:val="0"/>
    <w:pPr>
      <w:widowControl/>
      <w:spacing w:before="120" w:after="120"/>
    </w:pPr>
    <w:rPr>
      <w:rFonts w:ascii="Times New Roman" w:hAnsi="Times New Roman" w:cs="宋体"/>
    </w:rPr>
  </w:style>
  <w:style w:type="paragraph" w:customStyle="1" w:styleId="120">
    <w:name w:val="xl71"/>
    <w:basedOn w:val="1"/>
    <w:qFormat/>
    <w:uiPriority w:val="0"/>
    <w:pPr>
      <w:widowControl/>
      <w:spacing w:before="100" w:beforeAutospacing="1" w:after="100" w:afterAutospacing="1" w:line="240" w:lineRule="auto"/>
      <w:ind w:firstLine="0" w:firstLineChars="0"/>
      <w:jc w:val="right"/>
      <w:textAlignment w:val="center"/>
    </w:pPr>
    <w:rPr>
      <w:rFonts w:ascii="Microsoft Sans Serif" w:hAnsi="Microsoft Sans Serif" w:cs="Microsoft Sans Serif"/>
      <w:kern w:val="0"/>
      <w:sz w:val="18"/>
      <w:szCs w:val="18"/>
    </w:rPr>
  </w:style>
  <w:style w:type="paragraph" w:customStyle="1" w:styleId="121">
    <w:name w:val="修订1"/>
    <w:unhideWhenUsed/>
    <w:qFormat/>
    <w:uiPriority w:val="99"/>
    <w:rPr>
      <w:rFonts w:ascii="宋体" w:hAnsi="宋体" w:eastAsia="宋体" w:cs="Times New Roman"/>
      <w:kern w:val="2"/>
      <w:sz w:val="24"/>
      <w:szCs w:val="24"/>
      <w:lang w:val="en-US" w:eastAsia="zh-CN" w:bidi="ar-SA"/>
    </w:rPr>
  </w:style>
  <w:style w:type="paragraph" w:customStyle="1" w:styleId="122">
    <w:name w:val="列出段落2"/>
    <w:basedOn w:val="1"/>
    <w:qFormat/>
    <w:uiPriority w:val="0"/>
    <w:pPr>
      <w:spacing w:line="240" w:lineRule="auto"/>
      <w:ind w:firstLine="420"/>
    </w:pPr>
    <w:rPr>
      <w:rFonts w:ascii="等线" w:hAnsi="等线" w:eastAsia="等线" w:cs="等线"/>
      <w:sz w:val="21"/>
      <w:szCs w:val="21"/>
    </w:rPr>
  </w:style>
  <w:style w:type="paragraph" w:customStyle="1" w:styleId="123">
    <w:name w:val="xl69"/>
    <w:basedOn w:val="1"/>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kern w:val="0"/>
      <w:sz w:val="18"/>
      <w:szCs w:val="18"/>
    </w:rPr>
  </w:style>
  <w:style w:type="paragraph" w:customStyle="1" w:styleId="12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Microsoft Sans Serif" w:hAnsi="Microsoft Sans Serif" w:cs="Microsoft Sans Serif"/>
      <w:b/>
      <w:bCs/>
      <w:kern w:val="0"/>
      <w:sz w:val="18"/>
      <w:szCs w:val="18"/>
    </w:rPr>
  </w:style>
  <w:style w:type="paragraph" w:customStyle="1" w:styleId="125">
    <w:name w:val="文档正文文本（中安网脉）"/>
    <w:basedOn w:val="1"/>
    <w:qFormat/>
    <w:uiPriority w:val="0"/>
    <w:pPr>
      <w:ind w:firstLine="200"/>
    </w:pPr>
    <w:rPr>
      <w:rFonts w:ascii="Times New Roman" w:hAnsi="Times New Roman" w:eastAsia="仿宋_GB2312"/>
      <w:color w:val="000000"/>
      <w:szCs w:val="28"/>
    </w:rPr>
  </w:style>
  <w:style w:type="paragraph" w:customStyle="1" w:styleId="126">
    <w:name w:val="xl65"/>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left"/>
      <w:textAlignment w:val="center"/>
    </w:pPr>
    <w:rPr>
      <w:rFonts w:ascii="Microsoft Sans Serif" w:hAnsi="Microsoft Sans Serif" w:cs="Microsoft Sans Serif"/>
      <w:kern w:val="0"/>
      <w:sz w:val="18"/>
      <w:szCs w:val="18"/>
    </w:rPr>
  </w:style>
  <w:style w:type="paragraph" w:customStyle="1" w:styleId="127">
    <w:name w:val="正文样式"/>
    <w:unhideWhenUsed/>
    <w:qFormat/>
    <w:uiPriority w:val="0"/>
    <w:pPr>
      <w:widowControl w:val="0"/>
      <w:adjustRightInd w:val="0"/>
      <w:snapToGrid w:val="0"/>
      <w:spacing w:line="360" w:lineRule="auto"/>
      <w:ind w:firstLine="200" w:firstLineChars="200"/>
      <w:jc w:val="both"/>
    </w:pPr>
    <w:rPr>
      <w:rFonts w:ascii="Times New Roman" w:hAnsi="Times New Roman" w:eastAsia="宋体" w:cs="Times New Roman"/>
      <w:bCs/>
      <w:snapToGrid w:val="0"/>
      <w:sz w:val="24"/>
      <w:szCs w:val="44"/>
      <w:lang w:val="en-US" w:eastAsia="zh-CN" w:bidi="ar-SA"/>
    </w:rPr>
  </w:style>
  <w:style w:type="paragraph" w:customStyle="1" w:styleId="128">
    <w:name w:val="样式 行距: 1.5 倍行距 首行缩进:  2 字符"/>
    <w:basedOn w:val="1"/>
    <w:qFormat/>
    <w:uiPriority w:val="0"/>
    <w:pPr>
      <w:ind w:firstLine="560"/>
      <w:jc w:val="left"/>
    </w:pPr>
    <w:rPr>
      <w:rFonts w:ascii="仿宋" w:hAnsi="仿宋" w:eastAsia="仿宋" w:cs="宋体"/>
      <w:sz w:val="28"/>
      <w:szCs w:val="20"/>
    </w:rPr>
  </w:style>
  <w:style w:type="paragraph" w:customStyle="1" w:styleId="129">
    <w:name w:val="TOC 标题1"/>
    <w:basedOn w:val="2"/>
    <w:next w:val="1"/>
    <w:qFormat/>
    <w:uiPriority w:val="39"/>
    <w:pPr>
      <w:widowControl/>
      <w:numPr>
        <w:numId w:val="0"/>
      </w:numPr>
      <w:spacing w:before="480" w:after="0" w:line="276" w:lineRule="auto"/>
      <w:jc w:val="left"/>
      <w:outlineLvl w:val="9"/>
    </w:pPr>
    <w:rPr>
      <w:rFonts w:ascii="Cambria" w:hAnsi="Cambria" w:eastAsia="宋体"/>
      <w:color w:val="365F91"/>
      <w:kern w:val="0"/>
      <w:sz w:val="28"/>
    </w:rPr>
  </w:style>
  <w:style w:type="table" w:customStyle="1" w:styleId="130">
    <w:name w:val="!我的表格1"/>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
    <w:name w:val="网格型1"/>
    <w:basedOn w:val="35"/>
    <w:unhideWhenUsed/>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2">
    <w:name w:val="标题 1 Char"/>
    <w:qFormat/>
    <w:uiPriority w:val="0"/>
    <w:rPr>
      <w:rFonts w:ascii="宋体" w:hAnsi="宋体" w:eastAsia="黑体"/>
      <w:b/>
      <w:bCs/>
      <w:kern w:val="44"/>
      <w:sz w:val="32"/>
      <w:szCs w:val="28"/>
    </w:rPr>
  </w:style>
  <w:style w:type="character" w:customStyle="1" w:styleId="133">
    <w:name w:val="纯文本 Char2"/>
    <w:qFormat/>
    <w:uiPriority w:val="0"/>
    <w:rPr>
      <w:rFonts w:ascii="宋体" w:hAnsi="宋体" w:eastAsia="宋体" w:cs="Times New Roman"/>
      <w:color w:val="000000"/>
      <w:kern w:val="0"/>
      <w:sz w:val="24"/>
      <w:szCs w:val="24"/>
    </w:rPr>
  </w:style>
  <w:style w:type="character" w:customStyle="1" w:styleId="134">
    <w:name w:val="font01"/>
    <w:basedOn w:val="37"/>
    <w:qFormat/>
    <w:uiPriority w:val="0"/>
    <w:rPr>
      <w:rFonts w:hint="eastAsia" w:ascii="宋体" w:hAnsi="宋体" w:eastAsia="宋体" w:cs="宋体"/>
      <w:color w:val="000000"/>
      <w:sz w:val="22"/>
      <w:szCs w:val="22"/>
      <w:u w:val="none"/>
    </w:rPr>
  </w:style>
  <w:style w:type="paragraph" w:customStyle="1" w:styleId="135">
    <w:name w:val="列出段落1"/>
    <w:basedOn w:val="1"/>
    <w:autoRedefine/>
    <w:qFormat/>
    <w:uiPriority w:val="34"/>
    <w:pPr>
      <w:spacing w:line="240" w:lineRule="auto"/>
      <w:ind w:firstLine="420"/>
    </w:pPr>
    <w:rPr>
      <w:rFonts w:ascii="Calibri" w:hAnsi="Calibri"/>
      <w:sz w:val="21"/>
      <w:szCs w:val="22"/>
    </w:rPr>
  </w:style>
  <w:style w:type="paragraph" w:customStyle="1" w:styleId="136">
    <w:name w:val="!BECC正文"/>
    <w:basedOn w:val="1"/>
    <w:qFormat/>
    <w:uiPriority w:val="0"/>
    <w:pPr>
      <w:tabs>
        <w:tab w:val="left" w:pos="0"/>
      </w:tabs>
    </w:pPr>
    <w:rPr>
      <w:rFonts w:ascii="Times New Roman" w:hAnsi="Times New Roman"/>
    </w:rPr>
  </w:style>
  <w:style w:type="paragraph" w:customStyle="1" w:styleId="137">
    <w:name w:val="修订2"/>
    <w:hidden/>
    <w:unhideWhenUsed/>
    <w:qFormat/>
    <w:uiPriority w:val="99"/>
    <w:rPr>
      <w:rFonts w:ascii="宋体" w:hAnsi="宋体" w:eastAsia="宋体" w:cs="Times New Roman"/>
      <w:kern w:val="2"/>
      <w:sz w:val="24"/>
      <w:szCs w:val="24"/>
      <w:lang w:val="en-US" w:eastAsia="zh-CN" w:bidi="ar-SA"/>
    </w:rPr>
  </w:style>
  <w:style w:type="paragraph" w:customStyle="1" w:styleId="138">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3.emf"/><Relationship Id="rId16" Type="http://schemas.openxmlformats.org/officeDocument/2006/relationships/oleObject" Target="embeddings/oleObject2.bin"/><Relationship Id="rId15" Type="http://schemas.openxmlformats.org/officeDocument/2006/relationships/image" Target="media/image2.emf"/><Relationship Id="rId14" Type="http://schemas.openxmlformats.org/officeDocument/2006/relationships/oleObject" Target="embeddings/oleObject1.bin"/><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Version="6" StyleName="APA"/>
</file>

<file path=customXml/itemProps1.xml><?xml version="1.0" encoding="utf-8"?>
<ds:datastoreItem xmlns:ds="http://schemas.openxmlformats.org/officeDocument/2006/customXml" ds:itemID="{1D9AD641-0B16-48B9-B81A-C11DF304B1BF}">
  <ds:schemaRefs/>
</ds:datastoreItem>
</file>

<file path=docProps/app.xml><?xml version="1.0" encoding="utf-8"?>
<Properties xmlns="http://schemas.openxmlformats.org/officeDocument/2006/extended-properties" xmlns:vt="http://schemas.openxmlformats.org/officeDocument/2006/docPropsVTypes">
  <Template>Normal.dotm</Template>
  <Pages>25</Pages>
  <Words>4089</Words>
  <Characters>4243</Characters>
  <Lines>147</Lines>
  <Paragraphs>41</Paragraphs>
  <TotalTime>79</TotalTime>
  <ScaleCrop>false</ScaleCrop>
  <LinksUpToDate>false</LinksUpToDate>
  <CharactersWithSpaces>4246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2025-12-19T10:27:00Z</dcterms:created>
  <dc:creator>gtig_tzb</dc:creator>
  <cp:lastModifiedBy>user</cp:lastModifiedBy>
  <cp:lastPrinted>2020-08-08T20:08:00Z</cp:lastPrinted>
  <dcterms:modified xsi:type="dcterms:W3CDTF">2026-01-13T13:52:34Z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KSOTemplateDocerSaveRecord">
    <vt:lpwstr>eyJoZGlkIjoiOGQyN2IwMjdjOGZmMjU1MTdkZGE0NTBhZWEzZTdiYjAiLCJ1c2VySWQiOiI5NzA5NzI1NzEifQ==</vt:lpwstr>
  </property>
  <property fmtid="{D5CDD505-2E9C-101B-9397-08002B2CF9AE}" pid="4" name="ICV">
    <vt:lpwstr>A8F721038D86AA33A2DD65693B75E21F_43</vt:lpwstr>
  </property>
</Properties>
</file>