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79B42"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上海戏剧学院</w:t>
      </w:r>
    </w:p>
    <w:p w14:paraId="7E9827E7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多模态教学资源支撑平台</w:t>
      </w:r>
      <w:r>
        <w:rPr>
          <w:rFonts w:hint="eastAsia"/>
          <w:b/>
          <w:sz w:val="36"/>
          <w:szCs w:val="36"/>
        </w:rPr>
        <w:t>采购需求</w:t>
      </w:r>
    </w:p>
    <w:p w14:paraId="5E6C8FDD">
      <w:pPr>
        <w:spacing w:line="360" w:lineRule="auto"/>
      </w:pPr>
    </w:p>
    <w:p w14:paraId="655DB151">
      <w:pPr>
        <w:spacing w:line="360" w:lineRule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一、 项目概述 </w:t>
      </w:r>
    </w:p>
    <w:p w14:paraId="5E8884C7"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1、 项目名称：</w:t>
      </w:r>
      <w:r>
        <w:rPr>
          <w:rFonts w:hint="eastAsia" w:ascii="宋体" w:hAnsi="宋体"/>
          <w:sz w:val="24"/>
        </w:rPr>
        <w:t>上海戏剧学院多模态教学资源支撑平台</w:t>
      </w:r>
    </w:p>
    <w:p w14:paraId="34DEA740"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2、 项目基本概况：</w:t>
      </w:r>
    </w:p>
    <w:p w14:paraId="470E6522">
      <w:pPr>
        <w:spacing w:line="360" w:lineRule="auto"/>
        <w:ind w:firstLine="470" w:firstLineChars="196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随着信息技术、人工智能与教育的深度融合，戏剧艺术教育正经历数字化、智能化转型。本项目旨在构建一个集成剧本、教材及教辅材料、教学学术视频、演出视频、音效及乐曲、舞台美术、图片、场刊和海报等数据的多模态教学资源平台，致力于推动戏剧教育从传统“师徒相传”模式向“数据驱动”的现代化、大众化培养模式转型，全面提升教学效率、艺术创作质量和人才培养水平。</w:t>
      </w:r>
    </w:p>
    <w:p w14:paraId="4EFB1D3E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/>
          <w:sz w:val="24"/>
        </w:rPr>
        <w:t>3、 交付地点：</w:t>
      </w:r>
      <w:r>
        <w:rPr>
          <w:rFonts w:hint="eastAsia" w:ascii="宋体" w:hAnsi="宋体"/>
          <w:bCs/>
          <w:sz w:val="24"/>
        </w:rPr>
        <w:t>上海市静安区华山路630号</w:t>
      </w:r>
    </w:p>
    <w:p w14:paraId="03E1E56E"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4、 交付日期：</w:t>
      </w:r>
      <w:r>
        <w:rPr>
          <w:rFonts w:hint="eastAsia" w:ascii="宋体" w:hAnsi="宋体"/>
          <w:b/>
          <w:sz w:val="24"/>
          <w:lang w:eastAsia="zh-CN"/>
        </w:rPr>
        <w:t>自</w:t>
      </w:r>
      <w:r>
        <w:rPr>
          <w:rFonts w:hint="eastAsia" w:ascii="宋体" w:hAnsi="宋体"/>
          <w:bCs/>
          <w:sz w:val="24"/>
        </w:rPr>
        <w:t>合同签订</w:t>
      </w:r>
      <w:r>
        <w:rPr>
          <w:rFonts w:hint="eastAsia" w:ascii="宋体" w:hAnsi="宋体"/>
          <w:bCs/>
          <w:sz w:val="24"/>
          <w:lang w:eastAsia="zh-CN"/>
        </w:rPr>
        <w:t>之日起</w:t>
      </w:r>
      <w:r>
        <w:rPr>
          <w:rFonts w:hint="eastAsia" w:ascii="宋体" w:hAnsi="宋体"/>
          <w:bCs/>
          <w:sz w:val="24"/>
          <w:lang w:val="en-US" w:eastAsia="zh-CN"/>
        </w:rPr>
        <w:t>6个月内完成</w:t>
      </w:r>
      <w:r>
        <w:rPr>
          <w:rFonts w:hint="eastAsia" w:ascii="宋体" w:hAnsi="宋体"/>
          <w:bCs/>
          <w:sz w:val="24"/>
        </w:rPr>
        <w:t>交付</w:t>
      </w:r>
      <w:r>
        <w:rPr>
          <w:rFonts w:hint="eastAsia" w:ascii="宋体" w:hAnsi="宋体"/>
          <w:bCs/>
          <w:sz w:val="24"/>
          <w:lang w:eastAsia="zh-CN"/>
        </w:rPr>
        <w:t>并通过验收（含不少于</w:t>
      </w:r>
      <w:r>
        <w:rPr>
          <w:rFonts w:hint="eastAsia" w:ascii="宋体" w:hAnsi="宋体"/>
          <w:bCs/>
          <w:sz w:val="24"/>
          <w:lang w:val="en-US" w:eastAsia="zh-CN"/>
        </w:rPr>
        <w:t>1个月试运行</w:t>
      </w:r>
      <w:r>
        <w:rPr>
          <w:rFonts w:hint="eastAsia" w:ascii="宋体" w:hAnsi="宋体"/>
          <w:bCs/>
          <w:sz w:val="24"/>
          <w:lang w:eastAsia="zh-CN"/>
        </w:rPr>
        <w:t>）</w:t>
      </w:r>
      <w:r>
        <w:rPr>
          <w:rFonts w:hint="eastAsia" w:ascii="宋体" w:hAnsi="宋体"/>
          <w:bCs/>
          <w:sz w:val="24"/>
        </w:rPr>
        <w:t xml:space="preserve"> </w:t>
      </w:r>
    </w:p>
    <w:p w14:paraId="0E88231B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sz w:val="24"/>
        </w:rPr>
        <w:t>5、 预算金额</w:t>
      </w:r>
      <w:r>
        <w:rPr>
          <w:rFonts w:hint="eastAsia" w:ascii="宋体" w:hAnsi="宋体"/>
          <w:sz w:val="24"/>
        </w:rPr>
        <w:t xml:space="preserve">：1450000元（人民币） </w:t>
      </w:r>
    </w:p>
    <w:p w14:paraId="427D2907">
      <w:pPr>
        <w:spacing w:line="360" w:lineRule="auto"/>
        <w:rPr>
          <w:rFonts w:hint="eastAsia" w:ascii="宋体" w:hAnsi="宋体"/>
          <w:sz w:val="24"/>
        </w:rPr>
      </w:pPr>
    </w:p>
    <w:p w14:paraId="7C74BFD4">
      <w:pPr>
        <w:spacing w:line="360" w:lineRule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二、 项目建设目标 </w:t>
      </w:r>
    </w:p>
    <w:p w14:paraId="72E6C55D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数字化赋能艺术教育发展是艺术人才教育培养的重要手段和措施，项目聚焦艺术教育数据的行业挑战，依托上海戏剧学院现有丰富的</w:t>
      </w:r>
      <w:r>
        <w:rPr>
          <w:rFonts w:hint="eastAsia" w:ascii="宋体" w:hAnsi="宋体"/>
          <w:b/>
          <w:sz w:val="24"/>
        </w:rPr>
        <w:t>剧本、教材及教辅材料、教学学术视频、演出视频、音效及乐曲、舞台美术、图片、场刊和海报</w:t>
      </w:r>
      <w:r>
        <w:rPr>
          <w:rFonts w:hint="eastAsia" w:ascii="宋体" w:hAnsi="宋体"/>
          <w:sz w:val="24"/>
        </w:rPr>
        <w:t>等多个教学</w:t>
      </w:r>
      <w:r>
        <w:rPr>
          <w:rFonts w:ascii="宋体" w:hAnsi="宋体"/>
          <w:sz w:val="24"/>
        </w:rPr>
        <w:t>资源</w:t>
      </w:r>
      <w:r>
        <w:rPr>
          <w:rFonts w:hint="eastAsia" w:ascii="宋体" w:hAnsi="宋体"/>
          <w:sz w:val="24"/>
        </w:rPr>
        <w:t xml:space="preserve">数据，构建艺术教育知识库，并通过AI赋能，打造一套全面且智能的多模态教学资源平台，深度覆盖“台词训练”与“舞台表现”等关键领域；借助多模态智能分析技术，对学生的表演能力进行全方位、精准化剖析，从而显著提升戏剧学院的教学效率，为培养高质量的戏剧人才奠定坚实基础。 </w:t>
      </w:r>
    </w:p>
    <w:p w14:paraId="16112881">
      <w:pPr>
        <w:spacing w:line="360" w:lineRule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三、 项目建设内容 </w:t>
      </w:r>
    </w:p>
    <w:p w14:paraId="002EA62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本项目包括以下建设内容：</w:t>
      </w:r>
    </w:p>
    <w:p w14:paraId="23D4703A">
      <w:pPr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3.1、教学资源数据采集</w:t>
      </w:r>
    </w:p>
    <w:p w14:paraId="27E213C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根据多模态教学资源平台建设需要，按标准规范要求采集各部门各院系与教学有关各种数据，进行分类，按人员设置各种权限，汇总到教学资源管理平台，形成多模态教学知识库。</w:t>
      </w:r>
    </w:p>
    <w:p w14:paraId="76BE8D74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p w14:paraId="69345006">
      <w:pPr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3.2、</w:t>
      </w:r>
      <w:r>
        <w:rPr>
          <w:rFonts w:ascii="宋体" w:hAnsi="宋体"/>
          <w:b/>
          <w:sz w:val="24"/>
        </w:rPr>
        <w:t>分类构建</w:t>
      </w:r>
      <w:r>
        <w:rPr>
          <w:rFonts w:ascii="宋体" w:hAnsi="宋体"/>
          <w:b/>
          <w:bCs/>
          <w:sz w:val="24"/>
        </w:rPr>
        <w:t>艺术教育多模态知识库</w:t>
      </w:r>
    </w:p>
    <w:p w14:paraId="5B5B4BD5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聚焦</w:t>
      </w:r>
      <w:r>
        <w:rPr>
          <w:rFonts w:ascii="宋体" w:hAnsi="宋体"/>
          <w:b/>
          <w:bCs/>
          <w:sz w:val="24"/>
        </w:rPr>
        <w:t>艺术教育多模态知识库</w:t>
      </w:r>
      <w:r>
        <w:rPr>
          <w:rFonts w:ascii="宋体" w:hAnsi="宋体"/>
          <w:sz w:val="24"/>
        </w:rPr>
        <w:t>的核心构建，利用知识图谱、深度学习与语义分析技术，对底层语料实施深度的结构化重组与知识萃取。打破资源间的物理壁垒，建立跨模态、跨类型的语义关联网络，构建集“图库（知识图谱）、向量库（语义特征库）、关系库（逻辑规则库）”于一体的教学资源知识中枢。该知识库将实现从“资料检索”向“知识洞察”的跨越，通过RAG（检索增强生成）等技术赋能，为教学创新、艺术创作与学术研究提供智能化的知识引擎与决策支持，全面推动艺术教育从“数字化存储”向“知识化赋能”转型。</w:t>
      </w:r>
    </w:p>
    <w:p w14:paraId="31F8748B">
      <w:pPr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3.3、多模态教学资源管理</w:t>
      </w:r>
    </w:p>
    <w:p w14:paraId="0C6C349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1）</w:t>
      </w:r>
      <w:r>
        <w:rPr>
          <w:rFonts w:ascii="宋体" w:hAnsi="宋体"/>
          <w:sz w:val="24"/>
        </w:rPr>
        <w:t>多模态多媒体教学中枢建设</w:t>
      </w:r>
    </w:p>
    <w:p w14:paraId="2CA22A8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面向戏剧、影视、戏曲、舞蹈、舞美、音乐等专业，建设以</w:t>
      </w:r>
      <w:r>
        <w:rPr>
          <w:rFonts w:ascii="宋体" w:hAnsi="宋体"/>
          <w:b/>
          <w:bCs/>
          <w:sz w:val="24"/>
        </w:rPr>
        <w:t>视频、音频、动作、舞台、表演可视化</w:t>
      </w:r>
      <w:r>
        <w:rPr>
          <w:rFonts w:ascii="宋体" w:hAnsi="宋体"/>
          <w:sz w:val="24"/>
        </w:rPr>
        <w:t>为核心的智能教学中枢，聚焦多媒体资源在线播放、实时交互、片段定位、</w:t>
      </w:r>
      <w:r>
        <w:rPr>
          <w:rFonts w:hint="eastAsia" w:ascii="宋体" w:hAnsi="宋体"/>
          <w:sz w:val="24"/>
        </w:rPr>
        <w:t>视频</w:t>
      </w:r>
      <w:r>
        <w:rPr>
          <w:rFonts w:ascii="宋体" w:hAnsi="宋体"/>
          <w:sz w:val="24"/>
        </w:rPr>
        <w:t>同步等教学场景</w:t>
      </w:r>
      <w:r>
        <w:rPr>
          <w:rFonts w:hint="eastAsia" w:ascii="宋体" w:hAnsi="宋体"/>
          <w:sz w:val="24"/>
        </w:rPr>
        <w:t>。</w:t>
      </w:r>
    </w:p>
    <w:p w14:paraId="20FB4824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2）</w:t>
      </w:r>
      <w:r>
        <w:rPr>
          <w:rFonts w:ascii="宋体" w:hAnsi="宋体"/>
          <w:sz w:val="24"/>
        </w:rPr>
        <w:t>多媒体资源智能检索与可视化调用</w:t>
      </w:r>
    </w:p>
    <w:p w14:paraId="7C4E9B4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基于视频、音频、动作、舞台、灯光、服装、音效等多模态资源，提供按专业、分类、标签、时间戳、场景、人物、动作等维度的精准检索，支持资源一键调用、分段预览、快速定位播放，满足课堂教学、剧目排练、创作演示等需求</w:t>
      </w:r>
      <w:r>
        <w:rPr>
          <w:rFonts w:hint="eastAsia" w:ascii="宋体" w:hAnsi="宋体"/>
          <w:sz w:val="24"/>
        </w:rPr>
        <w:t>。</w:t>
      </w:r>
    </w:p>
    <w:p w14:paraId="7BC26711">
      <w:pPr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3.4、AI 模型部署及调用</w:t>
      </w:r>
    </w:p>
    <w:p w14:paraId="04E230E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部署操作系统、数据库、中间件等基础软件，部署教学资源支撑平台。根据需要部署模型或垂域模型，赋能教学资源平台应用。</w:t>
      </w:r>
    </w:p>
    <w:p w14:paraId="097FA089">
      <w:pPr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3.5、资源与数据对接管理</w:t>
      </w:r>
    </w:p>
    <w:p w14:paraId="2A08BA89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为多模态教学资源提供基础支撑服务和保障。</w:t>
      </w:r>
      <w:r>
        <w:rPr>
          <w:rFonts w:hint="eastAsia" w:ascii="宋体" w:hAnsi="宋体" w:cs="宋体"/>
          <w:color w:val="000000"/>
          <w:kern w:val="0"/>
          <w:sz w:val="22"/>
          <w:szCs w:val="22"/>
          <w:lang w:bidi="ar"/>
        </w:rPr>
        <w:t>包含教学资源管理、用户管理、权限管理、部门及人员管理等，实现对教学资源及使用权限的严格管理控制；并实现和校园统一身份认证、数据中心库、一网通办平台等系统对接，实现数据自动交互和对接。</w:t>
      </w:r>
    </w:p>
    <w:p w14:paraId="29054B3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p w14:paraId="538CD233">
      <w:pPr>
        <w:numPr>
          <w:ilvl w:val="0"/>
          <w:numId w:val="1"/>
        </w:numPr>
        <w:spacing w:line="360" w:lineRule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项目技术规格及要求 </w:t>
      </w:r>
    </w:p>
    <w:p w14:paraId="4D667E76">
      <w:pPr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4.1 功能需求</w:t>
      </w:r>
    </w:p>
    <w:p w14:paraId="7F9EFAE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建设多模态教学资源管理平台，平台覆盖</w:t>
      </w:r>
      <w:r>
        <w:rPr>
          <w:rFonts w:hint="eastAsia" w:ascii="宋体" w:hAnsi="宋体"/>
          <w:sz w:val="24"/>
          <w:lang w:bidi="ar"/>
        </w:rPr>
        <w:t>艺术教育多模态知识库、多模态教学资源管理和资源</w:t>
      </w:r>
      <w:r>
        <w:rPr>
          <w:rFonts w:hint="eastAsia" w:ascii="宋体" w:hAnsi="宋体"/>
          <w:sz w:val="24"/>
        </w:rPr>
        <w:t>与数据对接</w:t>
      </w:r>
      <w:r>
        <w:rPr>
          <w:rFonts w:hint="eastAsia" w:ascii="宋体" w:hAnsi="宋体"/>
          <w:sz w:val="24"/>
          <w:lang w:bidi="ar"/>
        </w:rPr>
        <w:t>管理三大功能，具体包含教学科研深度知识化、RAG架构智能应用与服务、多模态智能教学中枢、资源检索和调用等多个功能模块。具体功能需求清单如下：</w:t>
      </w:r>
    </w:p>
    <w:tbl>
      <w:tblPr>
        <w:tblStyle w:val="12"/>
        <w:tblW w:w="9606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428"/>
        <w:gridCol w:w="1556"/>
        <w:gridCol w:w="1458"/>
        <w:gridCol w:w="4492"/>
      </w:tblGrid>
      <w:tr w14:paraId="59C6F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AF8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C1B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一级功能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485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二级功能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117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三级功能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F4B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功能描述</w:t>
            </w:r>
          </w:p>
        </w:tc>
      </w:tr>
      <w:tr w14:paraId="69124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644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D6A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数据采集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DEE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教学资源数据采集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AFD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教学资源数据采集汇总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14F0C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采集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教学有关各种数据，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上传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汇总到教学资源管理平台，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并进行分类汇总，按人员权限配置，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形成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原始数据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库。</w:t>
            </w:r>
          </w:p>
        </w:tc>
      </w:tr>
      <w:tr w14:paraId="6E5D6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043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44D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艺术教育多模态知识库</w:t>
            </w:r>
          </w:p>
        </w:tc>
        <w:tc>
          <w:tcPr>
            <w:tcW w:w="1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9B1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教学科研的深度知识化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7F0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全域知识抽取与关联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46D7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自动化抽取剧本、舞美、音乐、演出等资源中的核心要素（如人物、场景、色彩空间、材质参数、情绪标签）及隐性逻辑，构建“剧目-课程-创作-演职人员”的全链条知识网络，实现跨模态教学资源的深度互联。</w:t>
            </w:r>
          </w:p>
        </w:tc>
      </w:tr>
      <w:tr w14:paraId="400D4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4EC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310B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D646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FC4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多维知识中枢构建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DF3B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基于抽取结果，建立由图库（知识图谱）、向量库（语义特征库）及关系库（结构化逻辑库）构成的三维知识中枢。特别是针对舞台美术领域，基于数万份历史方案的结构化数据，构建涵盖色彩、构图、材质等要素的设计参数体系，沉淀行业视觉规律，变“经验驱动”为“数据与知识双轮驱动”。</w:t>
            </w:r>
          </w:p>
        </w:tc>
      </w:tr>
      <w:tr w14:paraId="10CC4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445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1BE2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726B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460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数据资源本体知识化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7376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将多个大类数据资源从单一的“文件”升维为可理解的“知识单元”。例如，将剧本转化为包含时代背景、地域特色、戏剧冲突的知识谱系等。</w:t>
            </w:r>
          </w:p>
        </w:tc>
      </w:tr>
      <w:tr w14:paraId="41229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C39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4B1F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A58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RAG架构智能应用与服务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EB6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混合智能检索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3CE9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融合图谱推理、向量语义匹配与全文检索，实现对复杂教学场景与创作需求的精准响应，解决传统关键词检索“找不全、找不准”的痛点。</w:t>
            </w:r>
          </w:p>
        </w:tc>
      </w:tr>
      <w:tr w14:paraId="68FB2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3D4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E177E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3C27C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9E5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生成式知识服务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603D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结合大模型能力，支撑自然语言问答、跨学科知识发现、个性化教学路径规划及创作灵感辅助，推动教学资源从“被动查阅”向“主动赋能”转变，显著提升剧目创作效率、舞美设计质量及整体教学科研水平。</w:t>
            </w:r>
          </w:p>
        </w:tc>
      </w:tr>
      <w:tr w14:paraId="051FF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638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160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多模态教学资源管理</w:t>
            </w:r>
          </w:p>
        </w:tc>
        <w:tc>
          <w:tcPr>
            <w:tcW w:w="1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B55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多模态智能教学中枢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C5F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面向艺术教学的多模态交互平台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E2E2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以视频、音频、动作、舞台、表演为核心，构建 AI 辅助的多媒体教学平台，聚焦可视化教学、音视频交互、片段精确定位、音轨智能分离等教学能力</w:t>
            </w:r>
          </w:p>
        </w:tc>
      </w:tr>
      <w:tr w14:paraId="0D9A2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641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B319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B90AB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397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视频台词同步与精准定位教学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0FC4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支持教学视频在线播放，右侧同步展示台词、剧本、唱词、字幕；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支持点击台词直接跳转到对应视频片段，实现台词 — 画面 — 声音精准同步教学；支持片段循环、慢放、标注、批注，满足台词训练、表演赏析需求。</w:t>
            </w:r>
          </w:p>
        </w:tc>
      </w:tr>
      <w:tr w14:paraId="4611E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922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D93B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AC8F1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5F2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音乐教学应用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9CBE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通过实时分析演奏/演唱水平定制学习计划，提供语音交互的视唱练耳训练、智能比对反馈，并根据兴趣推荐曲目与乐理知识，结合可视化技术辅助理解，帮助用户高效提升音乐技能。</w:t>
            </w:r>
          </w:p>
        </w:tc>
      </w:tr>
      <w:tr w14:paraId="67F2F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6DD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2549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680DE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053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表演教学应用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F984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根据学习者的实际情况，定制个性化教学方案，提供基本素材推荐、方案生成、效果评估等功能。可根据学习者的需求和偏好，利用多模态大模型生成多个方案供学习教学选择，并对方案进行记录、优化和跟踪。</w:t>
            </w:r>
          </w:p>
        </w:tc>
      </w:tr>
      <w:tr w14:paraId="18836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FA3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044A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428D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F77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舞美设计应用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63F5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以 AI 技术为核心，融合自动化设计生成、多模态交互控制、动态场景适配及数据驱动优化功能，支持戏剧、舞蹈、演唱会等多场景应用，根据观众反馈与历史数据持续优化完善，为舞台艺术创作提供高效、沉浸且个性化的智能解决方案。</w:t>
            </w:r>
          </w:p>
        </w:tc>
      </w:tr>
      <w:tr w14:paraId="00158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2D1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15A9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36A4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7F7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舞蹈戏曲等动作类教学应用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D62A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根据专业的舞蹈、戏曲动作，为培训者提供基本动作推荐、教学和培训方案生成、效果呈现等功能。可根据用户的个性化需求和偏好，利用多模态大模型生成多个方案，对方案进行记录、跟踪和优化。</w:t>
            </w:r>
          </w:p>
        </w:tc>
      </w:tr>
      <w:tr w14:paraId="06BB1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617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1140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F71D2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608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艺术设计和辅助创作应用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C91E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提供设计素材推荐、设计方案生成、设计效果呈现等功能。可根据用户的设计需求和偏好，利用多模态大模型生成多个设计方案供用户选择，并对方案进行记录和优化。</w:t>
            </w:r>
          </w:p>
        </w:tc>
      </w:tr>
      <w:tr w14:paraId="03487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3A2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6866B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C73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资源检索和调用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5E4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资源检索和调用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D32C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开发资源检索工具，实现根据关键词、分类、标签等条件进行数据资源检索，具有多模态资源检索能力和调用能力。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面向“教、学、创、演”全流程，集成工具与服务，赋能教学实践与艺术创作。</w:t>
            </w:r>
          </w:p>
        </w:tc>
      </w:tr>
      <w:tr w14:paraId="3CFAB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048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40585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资源</w:t>
            </w:r>
            <w:r>
              <w:rPr>
                <w:rFonts w:hint="eastAsia" w:ascii="宋体" w:hAnsi="宋体"/>
                <w:sz w:val="24"/>
              </w:rPr>
              <w:t>与数据对接</w:t>
            </w:r>
            <w:r>
              <w:rPr>
                <w:rFonts w:hint="eastAsia" w:ascii="宋体" w:hAnsi="宋体"/>
                <w:sz w:val="24"/>
                <w:lang w:bidi="ar"/>
              </w:rPr>
              <w:t>管理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61E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资源管理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87E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资源管理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2BA0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根据需要部署模型及对接调用、教学资源管理、用户管理、权限管理、部门及人员管理等，实现对教学资源上传、下载及使用权限的严格管理控制。</w:t>
            </w:r>
          </w:p>
        </w:tc>
      </w:tr>
      <w:tr w14:paraId="4EBD0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4FE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4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134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F9E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数据对接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6C7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数据对接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A290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实现和校园统一身份认证、数据中心库、一网通办平台等系统对接，实现数据自动交互和对接。</w:t>
            </w:r>
          </w:p>
        </w:tc>
      </w:tr>
    </w:tbl>
    <w:p w14:paraId="1C3B043E">
      <w:pPr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</w:p>
    <w:p w14:paraId="0A99E36D">
      <w:pPr>
        <w:spacing w:line="360" w:lineRule="auto"/>
        <w:ind w:firstLine="482" w:firstLineChars="200"/>
        <w:rPr>
          <w:b/>
          <w:bCs/>
          <w:color w:val="auto"/>
          <w:sz w:val="24"/>
        </w:rPr>
      </w:pPr>
      <w:r>
        <w:rPr>
          <w:rFonts w:hint="eastAsia" w:ascii="宋体" w:hAnsi="宋体"/>
          <w:b/>
          <w:bCs/>
          <w:color w:val="auto"/>
          <w:sz w:val="24"/>
        </w:rPr>
        <w:t xml:space="preserve">4.2 </w:t>
      </w:r>
      <w:r>
        <w:rPr>
          <w:b/>
          <w:bCs/>
          <w:color w:val="auto"/>
          <w:sz w:val="24"/>
        </w:rPr>
        <w:t>主要技术指标</w:t>
      </w:r>
    </w:p>
    <w:p w14:paraId="188032BD">
      <w:pPr>
        <w:pStyle w:val="20"/>
        <w:numPr>
          <w:ilvl w:val="0"/>
          <w:numId w:val="2"/>
        </w:numPr>
        <w:rPr>
          <w:sz w:val="24"/>
        </w:rPr>
      </w:pPr>
      <w:r>
        <w:rPr>
          <w:b/>
          <w:sz w:val="24"/>
        </w:rPr>
        <w:t>高并</w:t>
      </w:r>
      <w:r>
        <w:rPr>
          <w:rFonts w:hint="eastAsia"/>
          <w:b/>
          <w:sz w:val="24"/>
        </w:rPr>
        <w:t>发性要求</w:t>
      </w:r>
    </w:p>
    <w:p w14:paraId="09272AD2">
      <w:pPr>
        <w:ind w:firstLine="480" w:firstLineChars="200"/>
        <w:rPr>
          <w:sz w:val="24"/>
        </w:rPr>
      </w:pPr>
      <w:r>
        <w:rPr>
          <w:sz w:val="24"/>
        </w:rPr>
        <w:t>平台在开发测试完毕后，进行回归测试和压力测试，平台支持至少</w:t>
      </w:r>
      <w:r>
        <w:rPr>
          <w:rFonts w:hint="eastAsia"/>
          <w:sz w:val="24"/>
        </w:rPr>
        <w:t>5</w:t>
      </w:r>
      <w:r>
        <w:rPr>
          <w:sz w:val="24"/>
        </w:rPr>
        <w:t>0</w:t>
      </w:r>
      <w:r>
        <w:rPr>
          <w:rFonts w:hint="eastAsia"/>
          <w:sz w:val="24"/>
        </w:rPr>
        <w:t>0</w:t>
      </w:r>
      <w:r>
        <w:rPr>
          <w:sz w:val="24"/>
        </w:rPr>
        <w:t>个并发用户使用。</w:t>
      </w:r>
    </w:p>
    <w:p w14:paraId="3EA26992">
      <w:pPr>
        <w:pStyle w:val="20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查询性能要求</w:t>
      </w:r>
    </w:p>
    <w:p w14:paraId="77B8D11D">
      <w:pPr>
        <w:ind w:firstLine="480" w:firstLineChars="200"/>
        <w:rPr>
          <w:sz w:val="24"/>
        </w:rPr>
      </w:pPr>
      <w:r>
        <w:rPr>
          <w:sz w:val="24"/>
        </w:rPr>
        <w:t>简单查询：明确条件的，检索记录较少，单表的，响应时间≤1秒。</w:t>
      </w:r>
    </w:p>
    <w:p w14:paraId="083B45E4">
      <w:pPr>
        <w:ind w:firstLine="480" w:firstLineChars="200"/>
        <w:rPr>
          <w:sz w:val="24"/>
        </w:rPr>
      </w:pPr>
      <w:r>
        <w:rPr>
          <w:sz w:val="24"/>
        </w:rPr>
        <w:t>复杂查询：模糊条件的，检索记录较多，多表联合的，响应时间≤3秒。</w:t>
      </w:r>
    </w:p>
    <w:p w14:paraId="64F4F525">
      <w:pPr>
        <w:pStyle w:val="20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统计性能要求</w:t>
      </w:r>
    </w:p>
    <w:p w14:paraId="246D8AEC">
      <w:pPr>
        <w:ind w:firstLine="480" w:firstLineChars="200"/>
        <w:rPr>
          <w:sz w:val="24"/>
        </w:rPr>
      </w:pPr>
      <w:r>
        <w:rPr>
          <w:sz w:val="24"/>
        </w:rPr>
        <w:t>标签+向量检索数据量在1万以下的统计的响应时间≤10秒，其余复杂的统计响应时间≤20秒。</w:t>
      </w:r>
    </w:p>
    <w:p w14:paraId="19774A97">
      <w:pPr>
        <w:pStyle w:val="20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稳定性要求</w:t>
      </w:r>
    </w:p>
    <w:p w14:paraId="107547F1">
      <w:pPr>
        <w:ind w:firstLine="480" w:firstLineChars="200"/>
        <w:rPr>
          <w:sz w:val="24"/>
        </w:rPr>
      </w:pPr>
      <w:r>
        <w:rPr>
          <w:sz w:val="24"/>
        </w:rPr>
        <w:t>能够连续7×24小时不间断运行。故障可以及时报警，具备自动手动恢复措施，自动恢复时间≤3分钟，手工恢复小于≤1小时。</w:t>
      </w:r>
    </w:p>
    <w:p w14:paraId="7E55AE28">
      <w:pPr>
        <w:pStyle w:val="20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可靠性要求</w:t>
      </w:r>
    </w:p>
    <w:p w14:paraId="38072AEB">
      <w:pPr>
        <w:ind w:firstLine="480" w:firstLineChars="200"/>
        <w:rPr>
          <w:sz w:val="24"/>
        </w:rPr>
      </w:pPr>
      <w:r>
        <w:rPr>
          <w:sz w:val="24"/>
        </w:rPr>
        <w:t>在日常维护工作中，通过7×24小时不间断的系统性维护服务，确保系统具有良好的安全性和可靠性，通过日常维护使系统具备一定的容错性，避免由于误操作或其他原因导致的系统错误。</w:t>
      </w:r>
    </w:p>
    <w:p w14:paraId="060652EA">
      <w:pPr>
        <w:pStyle w:val="20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易用性要求</w:t>
      </w:r>
    </w:p>
    <w:p w14:paraId="3BA790CF">
      <w:pPr>
        <w:ind w:firstLine="480" w:firstLineChars="200"/>
        <w:rPr>
          <w:sz w:val="24"/>
        </w:rPr>
      </w:pPr>
      <w:r>
        <w:rPr>
          <w:sz w:val="24"/>
        </w:rPr>
        <w:t>根据本项目开发、实施及运维工作的需要，在技术的使用和产品的选择方面要考虑其技术的成熟性，同时，在产品方面考虑适用和实用，保证技术、性能满足艺术教育应用需要。系统界面应简洁美观，操作流程清晰。</w:t>
      </w:r>
    </w:p>
    <w:p w14:paraId="266B18B6">
      <w:pPr>
        <w:pStyle w:val="20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可维护性要求</w:t>
      </w:r>
    </w:p>
    <w:p w14:paraId="759FCAD7">
      <w:pPr>
        <w:ind w:firstLine="480" w:firstLineChars="200"/>
        <w:rPr>
          <w:sz w:val="24"/>
        </w:rPr>
      </w:pPr>
      <w:r>
        <w:rPr>
          <w:sz w:val="24"/>
        </w:rPr>
        <w:t>本项目建设完成后，需要具备良好的可维护性，便于项目运维团队维持其稳定运行和故障快速处置。系统应采用模块化设计，各功能模块松耦合。提供完善的系统监控和运维管理功能。提供系统配置管理功能，支持参数的动态调整。提供详细的系统日志，便于问题排查。</w:t>
      </w:r>
    </w:p>
    <w:p w14:paraId="26E8A9CA">
      <w:pPr>
        <w:spacing w:line="360" w:lineRule="auto"/>
        <w:ind w:firstLine="480" w:firstLineChars="200"/>
        <w:rPr>
          <w:sz w:val="24"/>
        </w:rPr>
      </w:pPr>
    </w:p>
    <w:p w14:paraId="36BC851B">
      <w:pPr>
        <w:numPr>
          <w:ilvl w:val="0"/>
          <w:numId w:val="3"/>
        </w:numPr>
        <w:spacing w:line="360" w:lineRule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技术交付成果</w:t>
      </w:r>
    </w:p>
    <w:p w14:paraId="54BA3085">
      <w:pPr>
        <w:ind w:firstLine="480" w:firstLineChars="200"/>
        <w:rPr>
          <w:sz w:val="24"/>
        </w:rPr>
      </w:pPr>
      <w:r>
        <w:rPr>
          <w:rFonts w:hint="eastAsia"/>
          <w:sz w:val="24"/>
        </w:rPr>
        <w:t>中标人提供与本项目相关的主要技术交付成果物如下：</w:t>
      </w:r>
    </w:p>
    <w:p w14:paraId="7484B226">
      <w:pPr>
        <w:pStyle w:val="20"/>
        <w:numPr>
          <w:ilvl w:val="0"/>
          <w:numId w:val="4"/>
        </w:numPr>
        <w:ind w:firstLine="480" w:firstLineChars="200"/>
        <w:rPr>
          <w:sz w:val="24"/>
        </w:rPr>
      </w:pPr>
      <w:r>
        <w:rPr>
          <w:rFonts w:hint="eastAsia" w:ascii="宋体" w:hAnsi="宋体"/>
          <w:sz w:val="24"/>
        </w:rPr>
        <w:t>多模态教学资源平台</w:t>
      </w:r>
      <w:r>
        <w:rPr>
          <w:rFonts w:hint="eastAsia"/>
          <w:sz w:val="24"/>
        </w:rPr>
        <w:t xml:space="preserve"> 1套（含安装、调试、部署、集成）</w:t>
      </w:r>
    </w:p>
    <w:p w14:paraId="5A69CDFB">
      <w:pPr>
        <w:ind w:firstLine="480" w:firstLineChars="200"/>
        <w:rPr>
          <w:sz w:val="24"/>
        </w:rPr>
      </w:pPr>
      <w:r>
        <w:rPr>
          <w:rFonts w:hint="eastAsia"/>
          <w:sz w:val="24"/>
        </w:rPr>
        <w:t>中</w:t>
      </w:r>
      <w:r>
        <w:rPr>
          <w:sz w:val="24"/>
        </w:rPr>
        <w:t>标人提供</w:t>
      </w:r>
      <w:r>
        <w:rPr>
          <w:rFonts w:hint="eastAsia"/>
          <w:sz w:val="24"/>
        </w:rPr>
        <w:t>配套的</w:t>
      </w:r>
      <w:r>
        <w:rPr>
          <w:sz w:val="24"/>
        </w:rPr>
        <w:t>书面技术资料应能确保系统正常运行所需的管理、运营及维护有关的全套文件。技术文件应该全面、完整、详细。投标人提供的技术文件至少应包括：</w:t>
      </w:r>
    </w:p>
    <w:p w14:paraId="5612AB4E">
      <w:pPr>
        <w:pStyle w:val="20"/>
        <w:numPr>
          <w:ilvl w:val="0"/>
          <w:numId w:val="5"/>
        </w:numPr>
        <w:ind w:firstLine="480" w:firstLineChars="200"/>
        <w:rPr>
          <w:sz w:val="24"/>
        </w:rPr>
      </w:pPr>
      <w:r>
        <w:rPr>
          <w:sz w:val="24"/>
        </w:rPr>
        <w:t xml:space="preserve">系统说明文件； </w:t>
      </w:r>
    </w:p>
    <w:p w14:paraId="2542B4A4">
      <w:pPr>
        <w:pStyle w:val="20"/>
        <w:numPr>
          <w:ilvl w:val="0"/>
          <w:numId w:val="5"/>
        </w:numPr>
        <w:ind w:firstLine="480" w:firstLineChars="200"/>
        <w:rPr>
          <w:sz w:val="24"/>
        </w:rPr>
      </w:pPr>
      <w:r>
        <w:rPr>
          <w:sz w:val="24"/>
        </w:rPr>
        <w:t xml:space="preserve">技术手册(安装、测试、操作、维护、故障排除等)； </w:t>
      </w:r>
    </w:p>
    <w:p w14:paraId="0B18C13C">
      <w:pPr>
        <w:pStyle w:val="20"/>
        <w:numPr>
          <w:ilvl w:val="0"/>
          <w:numId w:val="5"/>
        </w:numPr>
        <w:ind w:firstLine="480" w:firstLineChars="200"/>
        <w:rPr>
          <w:sz w:val="24"/>
        </w:rPr>
      </w:pPr>
      <w:r>
        <w:rPr>
          <w:sz w:val="24"/>
        </w:rPr>
        <w:t>项目文档，应该包括：</w:t>
      </w:r>
    </w:p>
    <w:p w14:paraId="4FB9E37A">
      <w:pPr>
        <w:pStyle w:val="20"/>
        <w:numPr>
          <w:ilvl w:val="0"/>
          <w:numId w:val="6"/>
        </w:numPr>
        <w:rPr>
          <w:sz w:val="24"/>
        </w:rPr>
      </w:pPr>
      <w:r>
        <w:rPr>
          <w:sz w:val="24"/>
        </w:rPr>
        <w:t>软件需求说明书</w:t>
      </w:r>
    </w:p>
    <w:p w14:paraId="2958A081">
      <w:pPr>
        <w:pStyle w:val="20"/>
        <w:numPr>
          <w:ilvl w:val="0"/>
          <w:numId w:val="6"/>
        </w:numPr>
        <w:rPr>
          <w:sz w:val="24"/>
        </w:rPr>
      </w:pPr>
      <w:r>
        <w:rPr>
          <w:sz w:val="24"/>
        </w:rPr>
        <w:t>系统总体设计说明书</w:t>
      </w:r>
    </w:p>
    <w:p w14:paraId="1466C047">
      <w:pPr>
        <w:pStyle w:val="20"/>
        <w:numPr>
          <w:ilvl w:val="0"/>
          <w:numId w:val="6"/>
        </w:numPr>
        <w:rPr>
          <w:sz w:val="24"/>
        </w:rPr>
      </w:pPr>
      <w:r>
        <w:rPr>
          <w:sz w:val="24"/>
        </w:rPr>
        <w:t>应用软件功能清单</w:t>
      </w:r>
    </w:p>
    <w:p w14:paraId="3E702739">
      <w:pPr>
        <w:spacing w:line="360" w:lineRule="auto"/>
        <w:outlineLvl w:val="0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sz w:val="24"/>
        </w:rPr>
        <w:t>六、项目实施计划</w:t>
      </w:r>
    </w:p>
    <w:p w14:paraId="07D78511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本项目的建设实施计划如下表：</w:t>
      </w:r>
    </w:p>
    <w:tbl>
      <w:tblPr>
        <w:tblStyle w:val="12"/>
        <w:tblW w:w="87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4167"/>
        <w:gridCol w:w="2374"/>
      </w:tblGrid>
      <w:tr w14:paraId="522AE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10176">
            <w:pPr>
              <w:spacing w:line="360" w:lineRule="auto"/>
              <w:jc w:val="left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建设阶段</w:t>
            </w:r>
          </w:p>
        </w:tc>
        <w:tc>
          <w:tcPr>
            <w:tcW w:w="4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EC5BE">
            <w:pPr>
              <w:spacing w:line="360" w:lineRule="auto"/>
              <w:jc w:val="left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建设明细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AE2873">
            <w:pPr>
              <w:spacing w:line="360" w:lineRule="auto"/>
              <w:jc w:val="left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完成日期</w:t>
            </w:r>
          </w:p>
        </w:tc>
      </w:tr>
      <w:tr w14:paraId="5F139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BF4CC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需求分析及确认</w:t>
            </w:r>
          </w:p>
        </w:tc>
        <w:tc>
          <w:tcPr>
            <w:tcW w:w="4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BD3CA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业务需求及确认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B8AE5">
            <w:pPr>
              <w:spacing w:line="360" w:lineRule="auto"/>
              <w:jc w:val="left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T+1</w:t>
            </w:r>
            <w:r>
              <w:rPr>
                <w:rFonts w:hint="eastAsia" w:ascii="宋体" w:hAnsi="宋体"/>
                <w:color w:val="000000"/>
                <w:sz w:val="24"/>
              </w:rPr>
              <w:t>个月</w:t>
            </w:r>
          </w:p>
        </w:tc>
      </w:tr>
      <w:tr w14:paraId="235ED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E4758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详细方案设计</w:t>
            </w:r>
          </w:p>
        </w:tc>
        <w:tc>
          <w:tcPr>
            <w:tcW w:w="4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8397FF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详细方案设计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90568">
            <w:pPr>
              <w:spacing w:line="360" w:lineRule="auto"/>
              <w:jc w:val="left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T+1</w:t>
            </w:r>
            <w:r>
              <w:rPr>
                <w:rFonts w:hint="eastAsia" w:ascii="宋体" w:hAnsi="宋体"/>
                <w:color w:val="000000"/>
                <w:sz w:val="24"/>
              </w:rPr>
              <w:t>个月</w:t>
            </w:r>
          </w:p>
        </w:tc>
      </w:tr>
      <w:tr w14:paraId="0B52FE52">
        <w:trPr>
          <w:cantSplit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4FF2E">
            <w:pPr>
              <w:spacing w:line="360" w:lineRule="auto"/>
              <w:jc w:val="left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系统建设开发</w:t>
            </w:r>
          </w:p>
        </w:tc>
        <w:tc>
          <w:tcPr>
            <w:tcW w:w="4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AFB7D">
            <w:pPr>
              <w:spacing w:line="360" w:lineRule="auto"/>
              <w:jc w:val="left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系统功能设计及开发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41A836">
            <w:pPr>
              <w:spacing w:line="360" w:lineRule="auto"/>
              <w:jc w:val="left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T+3</w:t>
            </w:r>
            <w:r>
              <w:rPr>
                <w:rFonts w:hint="eastAsia" w:ascii="宋体" w:hAnsi="宋体"/>
                <w:color w:val="000000"/>
                <w:sz w:val="24"/>
              </w:rPr>
              <w:t>个月</w:t>
            </w:r>
          </w:p>
        </w:tc>
      </w:tr>
      <w:tr w14:paraId="75E8F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B8EBD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系统测试</w:t>
            </w:r>
          </w:p>
        </w:tc>
        <w:tc>
          <w:tcPr>
            <w:tcW w:w="4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51D82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系统测试，功能测试等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EBF04">
            <w:pPr>
              <w:widowControl/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T+4</w:t>
            </w:r>
            <w:r>
              <w:rPr>
                <w:rFonts w:hint="eastAsia" w:ascii="宋体" w:hAnsi="宋体"/>
                <w:color w:val="000000"/>
                <w:sz w:val="24"/>
              </w:rPr>
              <w:t>个月</w:t>
            </w:r>
          </w:p>
        </w:tc>
      </w:tr>
      <w:tr w14:paraId="6B55B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04661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上线试运行</w:t>
            </w:r>
          </w:p>
        </w:tc>
        <w:tc>
          <w:tcPr>
            <w:tcW w:w="4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D524F">
            <w:pPr>
              <w:spacing w:line="360" w:lineRule="auto"/>
              <w:jc w:val="lef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1.系统完整功能、性能测试，并出具测试报告</w:t>
            </w:r>
          </w:p>
          <w:p w14:paraId="46C751AB">
            <w:pPr>
              <w:spacing w:line="360" w:lineRule="auto"/>
              <w:jc w:val="lef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2.业务整合功能确认</w:t>
            </w:r>
          </w:p>
          <w:p w14:paraId="7648403D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3.系统生产环境安装、调试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426B4">
            <w:pPr>
              <w:widowControl/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T+5</w:t>
            </w:r>
            <w:r>
              <w:rPr>
                <w:rFonts w:hint="eastAsia" w:ascii="宋体" w:hAnsi="宋体"/>
                <w:color w:val="000000"/>
                <w:sz w:val="24"/>
              </w:rPr>
              <w:t>个月</w:t>
            </w:r>
          </w:p>
        </w:tc>
      </w:tr>
      <w:tr w14:paraId="0DE36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91037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系统验收</w:t>
            </w:r>
          </w:p>
        </w:tc>
        <w:tc>
          <w:tcPr>
            <w:tcW w:w="4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773CC">
            <w:pPr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系统试运行稳定运行后对系统进行验收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12B55">
            <w:pPr>
              <w:widowControl/>
              <w:spacing w:line="360" w:lineRule="auto"/>
              <w:jc w:val="left"/>
              <w:rPr>
                <w:rFonts w:hint="eastAsia" w:ascii="宋体" w:hAnsi="宋体"/>
                <w:i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T+6个月</w:t>
            </w:r>
          </w:p>
        </w:tc>
      </w:tr>
    </w:tbl>
    <w:p w14:paraId="2DD729F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T指合同签署时间。</w:t>
      </w:r>
    </w:p>
    <w:p w14:paraId="18CD7A7E">
      <w:pPr>
        <w:spacing w:line="360" w:lineRule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七、 项目团队人员配置</w:t>
      </w:r>
    </w:p>
    <w:tbl>
      <w:tblPr>
        <w:tblStyle w:val="13"/>
        <w:tblW w:w="8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069"/>
        <w:gridCol w:w="2821"/>
        <w:gridCol w:w="652"/>
        <w:gridCol w:w="2300"/>
        <w:gridCol w:w="1364"/>
      </w:tblGrid>
      <w:tr w14:paraId="4FC4B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 w14:paraId="79130140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1069" w:type="dxa"/>
            <w:vAlign w:val="center"/>
          </w:tcPr>
          <w:p w14:paraId="6923E64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角色</w:t>
            </w:r>
          </w:p>
        </w:tc>
        <w:tc>
          <w:tcPr>
            <w:tcW w:w="2821" w:type="dxa"/>
            <w:vAlign w:val="center"/>
          </w:tcPr>
          <w:p w14:paraId="2146906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主要职责</w:t>
            </w:r>
          </w:p>
        </w:tc>
        <w:tc>
          <w:tcPr>
            <w:tcW w:w="652" w:type="dxa"/>
            <w:vAlign w:val="center"/>
          </w:tcPr>
          <w:p w14:paraId="2B1EB25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人员数量</w:t>
            </w:r>
          </w:p>
        </w:tc>
        <w:tc>
          <w:tcPr>
            <w:tcW w:w="2300" w:type="dxa"/>
            <w:vAlign w:val="center"/>
          </w:tcPr>
          <w:p w14:paraId="53AD3F5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人员要求</w:t>
            </w:r>
          </w:p>
        </w:tc>
        <w:tc>
          <w:tcPr>
            <w:tcW w:w="1364" w:type="dxa"/>
            <w:vAlign w:val="center"/>
          </w:tcPr>
          <w:p w14:paraId="38632D1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驻场要求</w:t>
            </w:r>
          </w:p>
        </w:tc>
      </w:tr>
      <w:tr w14:paraId="110B4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 w14:paraId="49B2D032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069" w:type="dxa"/>
            <w:vAlign w:val="center"/>
          </w:tcPr>
          <w:p w14:paraId="6BE9DCC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项目经理</w:t>
            </w:r>
          </w:p>
        </w:tc>
        <w:tc>
          <w:tcPr>
            <w:tcW w:w="2821" w:type="dxa"/>
            <w:vAlign w:val="center"/>
          </w:tcPr>
          <w:p w14:paraId="05C71370">
            <w:pPr>
              <w:rPr>
                <w:sz w:val="24"/>
              </w:rPr>
            </w:pPr>
            <w:r>
              <w:rPr>
                <w:sz w:val="24"/>
              </w:rPr>
              <w:t>负责项目整体统筹规划、进度控制、质量管理、风险管控及各方协调沟通</w:t>
            </w:r>
          </w:p>
        </w:tc>
        <w:tc>
          <w:tcPr>
            <w:tcW w:w="652" w:type="dxa"/>
            <w:vAlign w:val="center"/>
          </w:tcPr>
          <w:p w14:paraId="4141670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300" w:type="dxa"/>
            <w:vAlign w:val="center"/>
          </w:tcPr>
          <w:p w14:paraId="09B7979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提供</w:t>
            </w:r>
            <w:r>
              <w:rPr>
                <w:rFonts w:hint="eastAsia"/>
                <w:sz w:val="24"/>
                <w:lang w:eastAsia="zh-CN"/>
              </w:rPr>
              <w:t>正</w:t>
            </w:r>
            <w:r>
              <w:rPr>
                <w:sz w:val="24"/>
              </w:rPr>
              <w:t>高级工程师</w:t>
            </w:r>
            <w:r>
              <w:rPr>
                <w:rFonts w:hint="eastAsia"/>
                <w:sz w:val="24"/>
                <w:lang w:eastAsia="zh-CN"/>
              </w:rPr>
              <w:t>职称</w:t>
            </w:r>
            <w:r>
              <w:rPr>
                <w:sz w:val="24"/>
              </w:rPr>
              <w:t>证书</w:t>
            </w:r>
            <w:r>
              <w:rPr>
                <w:rFonts w:hint="eastAsia"/>
                <w:sz w:val="24"/>
              </w:rPr>
              <w:t>（人社部门颁发）和信息系统项目管理师（高级）证书</w:t>
            </w:r>
          </w:p>
        </w:tc>
        <w:tc>
          <w:tcPr>
            <w:tcW w:w="1364" w:type="dxa"/>
            <w:vAlign w:val="center"/>
          </w:tcPr>
          <w:p w14:paraId="0D04ED2B">
            <w:pPr>
              <w:rPr>
                <w:sz w:val="24"/>
              </w:rPr>
            </w:pPr>
            <w:bookmarkStart w:id="0" w:name="OLE_LINK48"/>
            <w:r>
              <w:rPr>
                <w:rFonts w:hint="eastAsia"/>
                <w:sz w:val="24"/>
              </w:rPr>
              <w:t>项目建设周期内驻场</w:t>
            </w:r>
            <w:bookmarkEnd w:id="0"/>
          </w:p>
        </w:tc>
      </w:tr>
      <w:tr w14:paraId="1C38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457" w:type="dxa"/>
            <w:vAlign w:val="center"/>
          </w:tcPr>
          <w:p w14:paraId="7887E92C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69" w:type="dxa"/>
            <w:vAlign w:val="center"/>
          </w:tcPr>
          <w:p w14:paraId="1109320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产品经理</w:t>
            </w:r>
          </w:p>
        </w:tc>
        <w:tc>
          <w:tcPr>
            <w:tcW w:w="2821" w:type="dxa"/>
            <w:vAlign w:val="center"/>
          </w:tcPr>
          <w:p w14:paraId="28D0DF88">
            <w:pPr>
              <w:rPr>
                <w:sz w:val="24"/>
              </w:rPr>
            </w:pPr>
            <w:r>
              <w:rPr>
                <w:sz w:val="24"/>
              </w:rPr>
              <w:t>负责需求调研分析、产品功能设计、原型制作、用户体验优化及需求变更管理；协调语料标准规范制定</w:t>
            </w:r>
          </w:p>
        </w:tc>
        <w:tc>
          <w:tcPr>
            <w:tcW w:w="652" w:type="dxa"/>
            <w:vAlign w:val="center"/>
          </w:tcPr>
          <w:p w14:paraId="701C259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300" w:type="dxa"/>
            <w:vAlign w:val="center"/>
          </w:tcPr>
          <w:p w14:paraId="02DB131C">
            <w:pPr>
              <w:rPr>
                <w:sz w:val="24"/>
              </w:rPr>
            </w:pPr>
            <w:r>
              <w:rPr>
                <w:sz w:val="24"/>
              </w:rPr>
              <w:t>具备3年以上数据平台或AI应用产品经验，熟悉艺术教育行业者优先</w:t>
            </w:r>
          </w:p>
        </w:tc>
        <w:tc>
          <w:tcPr>
            <w:tcW w:w="1364" w:type="dxa"/>
            <w:vAlign w:val="center"/>
          </w:tcPr>
          <w:p w14:paraId="2978D96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项目建设周期内驻场</w:t>
            </w:r>
          </w:p>
        </w:tc>
      </w:tr>
      <w:tr w14:paraId="76F89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 w14:paraId="3D6031A0">
            <w:pPr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3</w:t>
            </w:r>
          </w:p>
        </w:tc>
        <w:tc>
          <w:tcPr>
            <w:tcW w:w="1069" w:type="dxa"/>
            <w:vAlign w:val="center"/>
          </w:tcPr>
          <w:p w14:paraId="2E5CA5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研发</w:t>
            </w:r>
          </w:p>
        </w:tc>
        <w:tc>
          <w:tcPr>
            <w:tcW w:w="2821" w:type="dxa"/>
            <w:vAlign w:val="center"/>
          </w:tcPr>
          <w:p w14:paraId="334A2D63">
            <w:pPr>
              <w:rPr>
                <w:sz w:val="24"/>
              </w:rPr>
            </w:pPr>
            <w:r>
              <w:rPr>
                <w:sz w:val="24"/>
              </w:rPr>
              <w:t>负责平台整体技术架构设计与前后端开发（前端界面、后端服务、API接口）、算子开发与工具链实现、系统测试与质量保障；涵盖前端开发工程师、后端开发工程师、算法工程师、测试工程师等具体分工</w:t>
            </w:r>
          </w:p>
        </w:tc>
        <w:tc>
          <w:tcPr>
            <w:tcW w:w="652" w:type="dxa"/>
            <w:vAlign w:val="center"/>
          </w:tcPr>
          <w:p w14:paraId="3FBBEF0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2300" w:type="dxa"/>
            <w:vAlign w:val="center"/>
          </w:tcPr>
          <w:p w14:paraId="27CDC4F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提供人工智能数据标注证书；技术团队需覆盖</w:t>
            </w:r>
            <w:r>
              <w:rPr>
                <w:sz w:val="24"/>
              </w:rPr>
              <w:t>Java/Go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Vue/React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Python</w:t>
            </w:r>
            <w:r>
              <w:rPr>
                <w:rFonts w:hint="eastAsia"/>
                <w:sz w:val="24"/>
              </w:rPr>
              <w:t>深度学习、</w:t>
            </w:r>
            <w:r>
              <w:rPr>
                <w:sz w:val="24"/>
              </w:rPr>
              <w:t>NLP</w:t>
            </w:r>
            <w:r>
              <w:rPr>
                <w:rFonts w:hint="eastAsia"/>
                <w:sz w:val="24"/>
              </w:rPr>
              <w:t>算法、自动化测试等技能方向</w:t>
            </w:r>
          </w:p>
        </w:tc>
        <w:tc>
          <w:tcPr>
            <w:tcW w:w="1364" w:type="dxa"/>
            <w:vAlign w:val="center"/>
          </w:tcPr>
          <w:p w14:paraId="1C0B423B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项目建设周期内至少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人驻场</w:t>
            </w:r>
            <w:r>
              <w:rPr>
                <w:rFonts w:hint="eastAsia"/>
                <w:sz w:val="24"/>
                <w:lang w:eastAsia="zh-CN"/>
              </w:rPr>
              <w:t>优先考虑</w:t>
            </w:r>
            <w:bookmarkStart w:id="1" w:name="_GoBack"/>
            <w:bookmarkEnd w:id="1"/>
          </w:p>
        </w:tc>
      </w:tr>
      <w:tr w14:paraId="1B6DB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 w14:paraId="3900F9F2">
            <w:pPr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4</w:t>
            </w:r>
          </w:p>
        </w:tc>
        <w:tc>
          <w:tcPr>
            <w:tcW w:w="1069" w:type="dxa"/>
            <w:vAlign w:val="center"/>
          </w:tcPr>
          <w:p w14:paraId="75817BF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运维</w:t>
            </w:r>
          </w:p>
        </w:tc>
        <w:tc>
          <w:tcPr>
            <w:tcW w:w="2821" w:type="dxa"/>
            <w:vAlign w:val="center"/>
          </w:tcPr>
          <w:p w14:paraId="037DEF1B">
            <w:pPr>
              <w:rPr>
                <w:sz w:val="24"/>
              </w:rPr>
            </w:pPr>
            <w:r>
              <w:rPr>
                <w:sz w:val="24"/>
              </w:rPr>
              <w:t>负责系统部署实施、环境搭建、监控告警、故障处理、数据备份及安全运维保障</w:t>
            </w:r>
          </w:p>
        </w:tc>
        <w:tc>
          <w:tcPr>
            <w:tcW w:w="652" w:type="dxa"/>
            <w:vAlign w:val="center"/>
          </w:tcPr>
          <w:p w14:paraId="114A84C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300" w:type="dxa"/>
            <w:vAlign w:val="center"/>
          </w:tcPr>
          <w:p w14:paraId="72D56378">
            <w:pPr>
              <w:rPr>
                <w:sz w:val="24"/>
              </w:rPr>
            </w:pPr>
            <w:r>
              <w:rPr>
                <w:sz w:val="24"/>
              </w:rPr>
              <w:t>熟悉Linux/K8s/Docker及大数据组件运维；具备系统监控、日志分析及应急响应能力</w:t>
            </w:r>
          </w:p>
        </w:tc>
        <w:tc>
          <w:tcPr>
            <w:tcW w:w="1364" w:type="dxa"/>
            <w:vAlign w:val="center"/>
          </w:tcPr>
          <w:p w14:paraId="7F55D8D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项目建设期和质保期内驻场</w:t>
            </w:r>
          </w:p>
        </w:tc>
      </w:tr>
    </w:tbl>
    <w:p w14:paraId="1137C094">
      <w:pPr>
        <w:spacing w:line="360" w:lineRule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八、培训要求</w:t>
      </w:r>
    </w:p>
    <w:p w14:paraId="691A2D9D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中标人对甲方的相关人员进行培训，培训目标为受训者能够独立、熟练地完成操作，实现依据本项目所规定的软件的目标和功能。</w:t>
      </w:r>
    </w:p>
    <w:p w14:paraId="2A192B87">
      <w:pPr>
        <w:spacing w:line="360" w:lineRule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九、 售后服务要求 </w:t>
      </w:r>
    </w:p>
    <w:p w14:paraId="3FFF1AB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本项目开发的软件归采购人所有，后续不受部署地点、时间期限、数量、用户数、用户类型、二次开发、容量、用途、各类许可授权、外围系统对接等因素的影响使用相关软件产品。</w:t>
      </w:r>
    </w:p>
    <w:p w14:paraId="501FFB0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中标人应</w:t>
      </w:r>
      <w:r>
        <w:rPr>
          <w:rFonts w:hint="eastAsia" w:ascii="宋体" w:hAnsi="宋体"/>
          <w:sz w:val="24"/>
          <w:lang w:eastAsia="zh-CN"/>
        </w:rPr>
        <w:t>自</w:t>
      </w:r>
      <w:r>
        <w:rPr>
          <w:rFonts w:hint="eastAsia" w:ascii="宋体" w:hAnsi="宋体"/>
          <w:sz w:val="24"/>
        </w:rPr>
        <w:t>项目验收通过</w:t>
      </w:r>
      <w:r>
        <w:rPr>
          <w:rFonts w:hint="eastAsia" w:ascii="宋体" w:hAnsi="宋体"/>
          <w:sz w:val="24"/>
          <w:lang w:eastAsia="zh-CN"/>
        </w:rPr>
        <w:t>之日起</w:t>
      </w:r>
      <w:r>
        <w:rPr>
          <w:rFonts w:hint="eastAsia" w:ascii="宋体" w:hAnsi="宋体"/>
          <w:sz w:val="24"/>
        </w:rPr>
        <w:t>提供一年</w:t>
      </w:r>
      <w:r>
        <w:rPr>
          <w:rFonts w:hint="eastAsia" w:ascii="宋体" w:hAnsi="宋体"/>
          <w:sz w:val="24"/>
          <w:lang w:eastAsia="zh-CN"/>
        </w:rPr>
        <w:t>的免费质保期，提供</w:t>
      </w:r>
      <w:r>
        <w:rPr>
          <w:rFonts w:hint="eastAsia" w:ascii="宋体" w:hAnsi="宋体"/>
          <w:sz w:val="24"/>
        </w:rPr>
        <w:t>免费软件维护和支持服务</w:t>
      </w:r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/>
          <w:sz w:val="24"/>
        </w:rPr>
        <w:t>在</w:t>
      </w:r>
      <w:r>
        <w:rPr>
          <w:rFonts w:hint="eastAsia" w:ascii="宋体" w:hAnsi="宋体"/>
          <w:sz w:val="24"/>
          <w:lang w:eastAsia="zh-CN"/>
        </w:rPr>
        <w:t>免费质保期</w:t>
      </w:r>
      <w:r>
        <w:rPr>
          <w:rFonts w:hint="eastAsia" w:ascii="宋体" w:hAnsi="宋体"/>
          <w:sz w:val="24"/>
        </w:rPr>
        <w:t>内提供一名驻场工程师5*8小时现场服务；</w:t>
      </w:r>
      <w:r>
        <w:rPr>
          <w:rFonts w:hint="eastAsia" w:ascii="宋体" w:hAnsi="宋体"/>
          <w:sz w:val="24"/>
          <w:lang w:eastAsia="zh-CN"/>
        </w:rPr>
        <w:t>免费质保期</w:t>
      </w:r>
      <w:r>
        <w:rPr>
          <w:rFonts w:hint="eastAsia" w:ascii="宋体" w:hAnsi="宋体"/>
          <w:sz w:val="24"/>
        </w:rPr>
        <w:t>期间，提供7*24 小时报障受理专用热线电话，在接故障申告后，中标人应安排技术人员在30分钟内进行响应，对于远程无法解决的故障在2小时内到达现场，4小时内解决故障。所有故障、维护、抢修过程均须有详细记录，并按季度提交。</w:t>
      </w:r>
    </w:p>
    <w:p w14:paraId="2C4E28E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免费质保期</w:t>
      </w:r>
      <w:r>
        <w:rPr>
          <w:rFonts w:hint="eastAsia" w:ascii="宋体" w:hAnsi="宋体"/>
          <w:sz w:val="24"/>
        </w:rPr>
        <w:t>满后，如采购人继续聘请中标人提供维护、驻点或定制开发服务，双方将另行签订维护和支持协议，维护、驻点或定制开发服务价格不得高于招标中的相关报价。</w:t>
      </w:r>
    </w:p>
    <w:p w14:paraId="0499AEF5">
      <w:pPr>
        <w:spacing w:line="360" w:lineRule="auto"/>
        <w:ind w:firstLine="0" w:firstLineChars="0"/>
        <w:jc w:val="left"/>
        <w:outlineLvl w:val="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b/>
          <w:sz w:val="24"/>
        </w:rPr>
        <w:t>十、</w:t>
      </w:r>
      <w:r>
        <w:rPr>
          <w:rFonts w:hint="eastAsia" w:ascii="宋体" w:hAnsi="宋体"/>
          <w:b/>
          <w:sz w:val="24"/>
          <w:lang w:eastAsia="zh-CN"/>
        </w:rPr>
        <w:t>企业综合能力</w:t>
      </w:r>
    </w:p>
    <w:p w14:paraId="0930F3A0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投标人具有</w:t>
      </w:r>
      <w:r>
        <w:rPr>
          <w:rFonts w:hint="eastAsia"/>
          <w:sz w:val="24"/>
        </w:rPr>
        <w:t>“语料生产”类、“语料运营”类、“语料合规检测”类、“语料质量检测”类软件著作权证书或相关发明专利</w:t>
      </w:r>
      <w:r>
        <w:rPr>
          <w:rFonts w:hint="eastAsia"/>
          <w:sz w:val="24"/>
          <w:lang w:eastAsia="zh-CN"/>
        </w:rPr>
        <w:t>优先考虑。</w:t>
      </w:r>
    </w:p>
    <w:p w14:paraId="3A7BA152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sectPr>
      <w:footerReference r:id="rId3" w:type="default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9FB33">
    <w:pPr>
      <w:pStyle w:val="9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BF3885"/>
    <w:multiLevelType w:val="singleLevel"/>
    <w:tmpl w:val="88BF3885"/>
    <w:lvl w:ilvl="0" w:tentative="0">
      <w:start w:val="4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0E54CAFB"/>
    <w:multiLevelType w:val="singleLevel"/>
    <w:tmpl w:val="0E54CAFB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E37863"/>
    <w:multiLevelType w:val="multilevel"/>
    <w:tmpl w:val="14E37863"/>
    <w:lvl w:ilvl="0" w:tentative="0">
      <w:start w:val="1"/>
      <w:numFmt w:val="bullet"/>
      <w:lvlText w:val=""/>
      <w:lvlJc w:val="left"/>
      <w:pPr>
        <w:ind w:left="116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0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04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8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2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80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4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80" w:hanging="440"/>
      </w:pPr>
      <w:rPr>
        <w:rFonts w:hint="default" w:ascii="Wingdings" w:hAnsi="Wingdings"/>
      </w:rPr>
    </w:lvl>
  </w:abstractNum>
  <w:abstractNum w:abstractNumId="3">
    <w:nsid w:val="1C121DD1"/>
    <w:multiLevelType w:val="multilevel"/>
    <w:tmpl w:val="1C121DD1"/>
    <w:lvl w:ilvl="0" w:tentative="0">
      <w:start w:val="1"/>
      <w:numFmt w:val="decimal"/>
      <w:suff w:val="space"/>
      <w:lvlText w:val="%1）"/>
      <w:lvlJc w:val="left"/>
      <w:pPr>
        <w:ind w:left="0" w:firstLine="0"/>
      </w:pPr>
      <w:rPr>
        <w:rFonts w:hint="eastAsia"/>
        <w:sz w:val="24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4">
    <w:nsid w:val="4EE317F0"/>
    <w:multiLevelType w:val="multilevel"/>
    <w:tmpl w:val="4EE317F0"/>
    <w:lvl w:ilvl="0" w:tentative="0">
      <w:start w:val="1"/>
      <w:numFmt w:val="decimal"/>
      <w:lvlText w:val="%1）"/>
      <w:lvlJc w:val="left"/>
      <w:pPr>
        <w:ind w:left="440" w:hanging="440"/>
      </w:pPr>
      <w:rPr>
        <w:rFonts w:hint="eastAsia"/>
        <w:sz w:val="24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6C195CC5"/>
    <w:multiLevelType w:val="multilevel"/>
    <w:tmpl w:val="6C195CC5"/>
    <w:lvl w:ilvl="0" w:tentative="0">
      <w:start w:val="1"/>
      <w:numFmt w:val="decimal"/>
      <w:suff w:val="space"/>
      <w:lvlText w:val="%1）"/>
      <w:lvlJc w:val="left"/>
      <w:pPr>
        <w:ind w:left="0" w:firstLine="0"/>
      </w:pPr>
      <w:rPr>
        <w:rFonts w:hint="eastAsia"/>
        <w:sz w:val="24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0C"/>
    <w:rsid w:val="00001171"/>
    <w:rsid w:val="000147A3"/>
    <w:rsid w:val="000252ED"/>
    <w:rsid w:val="00053DBB"/>
    <w:rsid w:val="00072C1F"/>
    <w:rsid w:val="00074B18"/>
    <w:rsid w:val="00082863"/>
    <w:rsid w:val="00092BA0"/>
    <w:rsid w:val="00097C78"/>
    <w:rsid w:val="000D1279"/>
    <w:rsid w:val="000D21E9"/>
    <w:rsid w:val="000D38C7"/>
    <w:rsid w:val="000D5A0E"/>
    <w:rsid w:val="000E426E"/>
    <w:rsid w:val="000E561D"/>
    <w:rsid w:val="000E6397"/>
    <w:rsid w:val="000F01AC"/>
    <w:rsid w:val="000F035E"/>
    <w:rsid w:val="000F404D"/>
    <w:rsid w:val="0010296E"/>
    <w:rsid w:val="00113941"/>
    <w:rsid w:val="00120647"/>
    <w:rsid w:val="00123950"/>
    <w:rsid w:val="00134C09"/>
    <w:rsid w:val="00142AC5"/>
    <w:rsid w:val="001774A2"/>
    <w:rsid w:val="00177CAB"/>
    <w:rsid w:val="00191825"/>
    <w:rsid w:val="001A2155"/>
    <w:rsid w:val="001A4661"/>
    <w:rsid w:val="001D5B65"/>
    <w:rsid w:val="001E1F89"/>
    <w:rsid w:val="001E2554"/>
    <w:rsid w:val="001E3B9B"/>
    <w:rsid w:val="001F6905"/>
    <w:rsid w:val="001F697D"/>
    <w:rsid w:val="00210510"/>
    <w:rsid w:val="00220E6E"/>
    <w:rsid w:val="0022395D"/>
    <w:rsid w:val="002316D6"/>
    <w:rsid w:val="00237B90"/>
    <w:rsid w:val="00243BFE"/>
    <w:rsid w:val="0025443B"/>
    <w:rsid w:val="00256199"/>
    <w:rsid w:val="00256DB0"/>
    <w:rsid w:val="00294F5C"/>
    <w:rsid w:val="002B2C2A"/>
    <w:rsid w:val="002B3211"/>
    <w:rsid w:val="002D7651"/>
    <w:rsid w:val="002F31A0"/>
    <w:rsid w:val="002F7825"/>
    <w:rsid w:val="002F7866"/>
    <w:rsid w:val="00313284"/>
    <w:rsid w:val="003143C4"/>
    <w:rsid w:val="00317806"/>
    <w:rsid w:val="00323513"/>
    <w:rsid w:val="00336383"/>
    <w:rsid w:val="00341043"/>
    <w:rsid w:val="003531F4"/>
    <w:rsid w:val="0035417F"/>
    <w:rsid w:val="00363D70"/>
    <w:rsid w:val="0037731F"/>
    <w:rsid w:val="0038632A"/>
    <w:rsid w:val="003B0372"/>
    <w:rsid w:val="003C197F"/>
    <w:rsid w:val="003C2C99"/>
    <w:rsid w:val="003D57C1"/>
    <w:rsid w:val="003F3FE8"/>
    <w:rsid w:val="0040399E"/>
    <w:rsid w:val="00410961"/>
    <w:rsid w:val="004172BE"/>
    <w:rsid w:val="004544C4"/>
    <w:rsid w:val="0047271C"/>
    <w:rsid w:val="0048621F"/>
    <w:rsid w:val="00487DA2"/>
    <w:rsid w:val="004A3D71"/>
    <w:rsid w:val="004C28DD"/>
    <w:rsid w:val="004D05C1"/>
    <w:rsid w:val="004D3C3A"/>
    <w:rsid w:val="004F5007"/>
    <w:rsid w:val="00516228"/>
    <w:rsid w:val="0053438E"/>
    <w:rsid w:val="0053463D"/>
    <w:rsid w:val="0054151F"/>
    <w:rsid w:val="005559F0"/>
    <w:rsid w:val="0057417C"/>
    <w:rsid w:val="00574192"/>
    <w:rsid w:val="00575BD5"/>
    <w:rsid w:val="005760B8"/>
    <w:rsid w:val="00593551"/>
    <w:rsid w:val="00597E75"/>
    <w:rsid w:val="005A62AB"/>
    <w:rsid w:val="005D261B"/>
    <w:rsid w:val="005D55C3"/>
    <w:rsid w:val="005F153E"/>
    <w:rsid w:val="005F776D"/>
    <w:rsid w:val="006017E5"/>
    <w:rsid w:val="006300EE"/>
    <w:rsid w:val="00640C1B"/>
    <w:rsid w:val="006505E6"/>
    <w:rsid w:val="00650BF7"/>
    <w:rsid w:val="00667C8F"/>
    <w:rsid w:val="00691B50"/>
    <w:rsid w:val="006A690C"/>
    <w:rsid w:val="006A7F79"/>
    <w:rsid w:val="006B08DC"/>
    <w:rsid w:val="006B1B11"/>
    <w:rsid w:val="006B2838"/>
    <w:rsid w:val="006B2D4C"/>
    <w:rsid w:val="006D6B7C"/>
    <w:rsid w:val="006F7417"/>
    <w:rsid w:val="007103C9"/>
    <w:rsid w:val="00710733"/>
    <w:rsid w:val="00723FBF"/>
    <w:rsid w:val="00741F39"/>
    <w:rsid w:val="00743002"/>
    <w:rsid w:val="00744B75"/>
    <w:rsid w:val="00752FE6"/>
    <w:rsid w:val="007568C3"/>
    <w:rsid w:val="007661BA"/>
    <w:rsid w:val="0076680E"/>
    <w:rsid w:val="00766F87"/>
    <w:rsid w:val="00776C6E"/>
    <w:rsid w:val="007A0362"/>
    <w:rsid w:val="007B153A"/>
    <w:rsid w:val="007B25E3"/>
    <w:rsid w:val="007B7606"/>
    <w:rsid w:val="007C443C"/>
    <w:rsid w:val="007D63A0"/>
    <w:rsid w:val="007F2B5A"/>
    <w:rsid w:val="008028F5"/>
    <w:rsid w:val="00834ADF"/>
    <w:rsid w:val="00840A6C"/>
    <w:rsid w:val="00862E93"/>
    <w:rsid w:val="00883E68"/>
    <w:rsid w:val="008865DA"/>
    <w:rsid w:val="008B328A"/>
    <w:rsid w:val="008B5FAE"/>
    <w:rsid w:val="008D1BE4"/>
    <w:rsid w:val="008D2936"/>
    <w:rsid w:val="008E0413"/>
    <w:rsid w:val="0091264F"/>
    <w:rsid w:val="00945BC2"/>
    <w:rsid w:val="0094629B"/>
    <w:rsid w:val="00950109"/>
    <w:rsid w:val="00974DB3"/>
    <w:rsid w:val="00977409"/>
    <w:rsid w:val="00984515"/>
    <w:rsid w:val="00986DAA"/>
    <w:rsid w:val="009873C7"/>
    <w:rsid w:val="009968E7"/>
    <w:rsid w:val="009A1109"/>
    <w:rsid w:val="009A628F"/>
    <w:rsid w:val="009A652A"/>
    <w:rsid w:val="009C057E"/>
    <w:rsid w:val="009C6496"/>
    <w:rsid w:val="009D0572"/>
    <w:rsid w:val="009D451A"/>
    <w:rsid w:val="009E6060"/>
    <w:rsid w:val="009F6325"/>
    <w:rsid w:val="00A33566"/>
    <w:rsid w:val="00A434B9"/>
    <w:rsid w:val="00A61092"/>
    <w:rsid w:val="00A638C6"/>
    <w:rsid w:val="00A704EC"/>
    <w:rsid w:val="00A73FBB"/>
    <w:rsid w:val="00A836DC"/>
    <w:rsid w:val="00A90FC8"/>
    <w:rsid w:val="00AA63D0"/>
    <w:rsid w:val="00AB034C"/>
    <w:rsid w:val="00AC3950"/>
    <w:rsid w:val="00B031D4"/>
    <w:rsid w:val="00B22935"/>
    <w:rsid w:val="00B24747"/>
    <w:rsid w:val="00B355F3"/>
    <w:rsid w:val="00B37352"/>
    <w:rsid w:val="00B507AB"/>
    <w:rsid w:val="00B550D4"/>
    <w:rsid w:val="00B96A19"/>
    <w:rsid w:val="00BB2AD6"/>
    <w:rsid w:val="00BE55BC"/>
    <w:rsid w:val="00C01421"/>
    <w:rsid w:val="00C02CDC"/>
    <w:rsid w:val="00C03B93"/>
    <w:rsid w:val="00C16536"/>
    <w:rsid w:val="00C54C7B"/>
    <w:rsid w:val="00C65ED3"/>
    <w:rsid w:val="00C7553B"/>
    <w:rsid w:val="00C7754F"/>
    <w:rsid w:val="00C81D30"/>
    <w:rsid w:val="00C84CE9"/>
    <w:rsid w:val="00C852B7"/>
    <w:rsid w:val="00CF7838"/>
    <w:rsid w:val="00D01520"/>
    <w:rsid w:val="00D64231"/>
    <w:rsid w:val="00D76558"/>
    <w:rsid w:val="00D95F6A"/>
    <w:rsid w:val="00DA086B"/>
    <w:rsid w:val="00DA0E4B"/>
    <w:rsid w:val="00DC1A09"/>
    <w:rsid w:val="00DC4DB9"/>
    <w:rsid w:val="00DD1AB7"/>
    <w:rsid w:val="00DE36AC"/>
    <w:rsid w:val="00DF2301"/>
    <w:rsid w:val="00DF386D"/>
    <w:rsid w:val="00E02992"/>
    <w:rsid w:val="00E06631"/>
    <w:rsid w:val="00E30631"/>
    <w:rsid w:val="00E45870"/>
    <w:rsid w:val="00E5013D"/>
    <w:rsid w:val="00E62067"/>
    <w:rsid w:val="00E64411"/>
    <w:rsid w:val="00E84F59"/>
    <w:rsid w:val="00EA3270"/>
    <w:rsid w:val="00EA6CF6"/>
    <w:rsid w:val="00ED2753"/>
    <w:rsid w:val="00EE3B65"/>
    <w:rsid w:val="00EF4034"/>
    <w:rsid w:val="00F425E1"/>
    <w:rsid w:val="00F439FF"/>
    <w:rsid w:val="00F53981"/>
    <w:rsid w:val="00F7157A"/>
    <w:rsid w:val="00F77626"/>
    <w:rsid w:val="00F93E54"/>
    <w:rsid w:val="00F94AA5"/>
    <w:rsid w:val="00FD2680"/>
    <w:rsid w:val="00FD7361"/>
    <w:rsid w:val="02557C87"/>
    <w:rsid w:val="0328714A"/>
    <w:rsid w:val="061A5470"/>
    <w:rsid w:val="0EC95C85"/>
    <w:rsid w:val="0F4C2412"/>
    <w:rsid w:val="0FEF75AB"/>
    <w:rsid w:val="11BD7515"/>
    <w:rsid w:val="120D40DA"/>
    <w:rsid w:val="12D00FC3"/>
    <w:rsid w:val="13840C20"/>
    <w:rsid w:val="14C50C9C"/>
    <w:rsid w:val="1557566D"/>
    <w:rsid w:val="17B2302E"/>
    <w:rsid w:val="189A41EE"/>
    <w:rsid w:val="22B5286D"/>
    <w:rsid w:val="302A1EA4"/>
    <w:rsid w:val="30EF0E8C"/>
    <w:rsid w:val="31DB3562"/>
    <w:rsid w:val="35CE773E"/>
    <w:rsid w:val="36015455"/>
    <w:rsid w:val="37313B18"/>
    <w:rsid w:val="376FC611"/>
    <w:rsid w:val="383E029A"/>
    <w:rsid w:val="3BCB62E9"/>
    <w:rsid w:val="3DD35929"/>
    <w:rsid w:val="3FD24498"/>
    <w:rsid w:val="3FE007F0"/>
    <w:rsid w:val="465515D1"/>
    <w:rsid w:val="4EFB083B"/>
    <w:rsid w:val="4F980780"/>
    <w:rsid w:val="605F1BDA"/>
    <w:rsid w:val="63A21E1D"/>
    <w:rsid w:val="64301CE5"/>
    <w:rsid w:val="65BB267F"/>
    <w:rsid w:val="66E16111"/>
    <w:rsid w:val="68AD09A1"/>
    <w:rsid w:val="6E910D1A"/>
    <w:rsid w:val="710D46D2"/>
    <w:rsid w:val="73832A2A"/>
    <w:rsid w:val="74A168FB"/>
    <w:rsid w:val="7671125F"/>
    <w:rsid w:val="788E24B4"/>
    <w:rsid w:val="7B6FA764"/>
    <w:rsid w:val="7BED7C31"/>
    <w:rsid w:val="7E5841F2"/>
    <w:rsid w:val="7F62208D"/>
    <w:rsid w:val="7F8D69DE"/>
    <w:rsid w:val="7FF7BE9C"/>
    <w:rsid w:val="9BFFA78F"/>
    <w:rsid w:val="EA7EA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/>
      <w:ind w:left="2113"/>
      <w:jc w:val="left"/>
      <w:outlineLvl w:val="0"/>
    </w:pPr>
    <w:rPr>
      <w:rFonts w:ascii="宋体" w:hAnsi="宋体"/>
      <w:b/>
      <w:bCs/>
      <w:kern w:val="0"/>
      <w:sz w:val="36"/>
      <w:szCs w:val="36"/>
    </w:rPr>
  </w:style>
  <w:style w:type="paragraph" w:styleId="3">
    <w:name w:val="heading 6"/>
    <w:basedOn w:val="1"/>
    <w:next w:val="1"/>
    <w:qFormat/>
    <w:uiPriority w:val="0"/>
    <w:pPr>
      <w:spacing w:before="100" w:beforeAutospacing="1"/>
      <w:ind w:left="140"/>
      <w:jc w:val="left"/>
      <w:outlineLvl w:val="5"/>
    </w:pPr>
    <w:rPr>
      <w:rFonts w:ascii="宋体" w:hAnsi="宋体"/>
      <w:b/>
      <w:bCs/>
      <w:kern w:val="0"/>
      <w:sz w:val="22"/>
      <w:szCs w:val="2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semiHidden/>
    <w:qFormat/>
    <w:uiPriority w:val="0"/>
    <w:pPr>
      <w:shd w:val="clear" w:color="auto" w:fill="00008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before="100" w:beforeAutospacing="1"/>
      <w:ind w:left="140"/>
      <w:jc w:val="left"/>
    </w:pPr>
    <w:rPr>
      <w:rFonts w:ascii="宋体" w:hAnsi="宋体"/>
      <w:kern w:val="0"/>
      <w:sz w:val="22"/>
      <w:szCs w:val="22"/>
    </w:r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"/>
    <w:basedOn w:val="6"/>
    <w:link w:val="16"/>
    <w:qFormat/>
    <w:uiPriority w:val="0"/>
    <w:pPr>
      <w:autoSpaceDE w:val="0"/>
      <w:autoSpaceDN w:val="0"/>
      <w:adjustRightInd w:val="0"/>
      <w:spacing w:before="0" w:beforeAutospacing="0" w:after="120"/>
      <w:ind w:left="0" w:firstLine="420" w:firstLineChars="100"/>
    </w:pPr>
    <w:rPr>
      <w:rFonts w:ascii="Times New Roman" w:hAnsi="Times New Roman"/>
      <w:sz w:val="24"/>
      <w:szCs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正文文本首行缩进 字符"/>
    <w:link w:val="11"/>
    <w:qFormat/>
    <w:uiPriority w:val="0"/>
    <w:rPr>
      <w:rFonts w:eastAsia="宋体"/>
      <w:sz w:val="24"/>
      <w:szCs w:val="24"/>
      <w:lang w:val="en-US" w:eastAsia="zh-CN" w:bidi="ar-SA"/>
    </w:rPr>
  </w:style>
  <w:style w:type="paragraph" w:customStyle="1" w:styleId="17">
    <w:name w:val="Table Paragraph"/>
    <w:basedOn w:val="1"/>
    <w:qFormat/>
    <w:uiPriority w:val="0"/>
    <w:pPr>
      <w:spacing w:before="100" w:beforeAutospacing="1"/>
      <w:jc w:val="left"/>
    </w:pPr>
    <w:rPr>
      <w:rFonts w:ascii="Calibri" w:hAnsi="Calibri"/>
      <w:kern w:val="0"/>
      <w:sz w:val="22"/>
      <w:szCs w:val="22"/>
    </w:rPr>
  </w:style>
  <w:style w:type="paragraph" w:customStyle="1" w:styleId="18">
    <w:name w:val="正文1"/>
    <w:qFormat/>
    <w:uiPriority w:val="0"/>
    <w:pPr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paragraph" w:customStyle="1" w:styleId="19">
    <w:name w:val="_Style 17"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877</Words>
  <Characters>892</Characters>
  <Lines>318</Lines>
  <Paragraphs>276</Paragraphs>
  <TotalTime>22</TotalTime>
  <ScaleCrop>false</ScaleCrop>
  <LinksUpToDate>false</LinksUpToDate>
  <CharactersWithSpaces>908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2026-05-13T22:14:00Z</dcterms:created>
  <dc:creator>飞亚</dc:creator>
  <cp:lastModifiedBy>user</cp:lastModifiedBy>
  <cp:lastPrinted>2024-09-19T17:37:00Z</cp:lastPrinted>
  <dcterms:modified xsi:type="dcterms:W3CDTF">2026-09-16T15:28:20Z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8D6C915E8B9C4CECA921505E71AAF1AB_13</vt:lpwstr>
  </property>
  <property fmtid="{D5CDD505-2E9C-101B-9397-08002B2CF9AE}" pid="4" name="KSOTemplateDocerSaveRecord">
    <vt:lpwstr>eyJoZGlkIjoiZDU2YTEzZDcxOWM5MTE2ZjkzMmQ2NzU2OTFiNGZlYzUiLCJ1c2VySWQiOiI1MDQ1MDA0MDEifQ==</vt:lpwstr>
  </property>
</Properties>
</file>