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8E411">
      <w:pPr>
        <w:pStyle w:val="148"/>
        <w:ind w:firstLine="0" w:firstLineChars="0"/>
        <w:jc w:val="center"/>
        <w:rPr>
          <w:rFonts w:ascii="黑体" w:hAnsi="黑体" w:eastAsia="黑体"/>
          <w:sz w:val="52"/>
          <w:szCs w:val="52"/>
        </w:rPr>
      </w:pPr>
    </w:p>
    <w:p w14:paraId="0D02027F">
      <w:pPr>
        <w:pStyle w:val="148"/>
        <w:ind w:firstLine="0" w:firstLineChars="0"/>
        <w:jc w:val="center"/>
        <w:rPr>
          <w:rFonts w:ascii="黑体" w:hAnsi="黑体" w:eastAsia="黑体"/>
          <w:sz w:val="52"/>
          <w:szCs w:val="52"/>
        </w:rPr>
      </w:pPr>
    </w:p>
    <w:p w14:paraId="21267CF6">
      <w:pPr>
        <w:pStyle w:val="148"/>
        <w:spacing w:line="480" w:lineRule="auto"/>
        <w:ind w:firstLine="0" w:firstLineChars="0"/>
        <w:jc w:val="center"/>
        <w:rPr>
          <w:rFonts w:ascii="黑体" w:hAnsi="黑体" w:eastAsia="黑体"/>
          <w:sz w:val="48"/>
          <w:szCs w:val="48"/>
        </w:rPr>
      </w:pPr>
      <w:r>
        <w:rPr>
          <w:rFonts w:hint="eastAsia" w:ascii="黑体" w:hAnsi="黑体" w:eastAsia="黑体"/>
          <w:sz w:val="48"/>
          <w:szCs w:val="48"/>
        </w:rPr>
        <w:t>上海市园林科学规划研究院</w:t>
      </w:r>
    </w:p>
    <w:p w14:paraId="5C94A406">
      <w:pPr>
        <w:pStyle w:val="148"/>
        <w:spacing w:line="480" w:lineRule="auto"/>
        <w:ind w:firstLine="0" w:firstLineChars="0"/>
        <w:jc w:val="center"/>
        <w:rPr>
          <w:rFonts w:ascii="黑体" w:hAnsi="黑体" w:eastAsia="黑体"/>
          <w:sz w:val="48"/>
          <w:szCs w:val="48"/>
        </w:rPr>
      </w:pPr>
    </w:p>
    <w:p w14:paraId="4D6573C0">
      <w:pPr>
        <w:pStyle w:val="148"/>
        <w:ind w:firstLine="0" w:firstLineChars="0"/>
        <w:jc w:val="center"/>
        <w:rPr>
          <w:rFonts w:ascii="黑体" w:hAnsi="黑体" w:eastAsia="黑体"/>
          <w:sz w:val="52"/>
          <w:szCs w:val="52"/>
        </w:rPr>
      </w:pPr>
    </w:p>
    <w:p w14:paraId="48166EC2">
      <w:pPr>
        <w:pStyle w:val="148"/>
        <w:ind w:firstLine="0" w:firstLineChars="0"/>
        <w:jc w:val="center"/>
        <w:rPr>
          <w:rFonts w:ascii="黑体" w:hAnsi="黑体" w:eastAsia="黑体"/>
          <w:sz w:val="52"/>
          <w:szCs w:val="52"/>
        </w:rPr>
      </w:pPr>
    </w:p>
    <w:p w14:paraId="1FA3D26F">
      <w:pPr>
        <w:ind w:firstLine="0" w:firstLineChars="0"/>
        <w:jc w:val="center"/>
        <w:rPr>
          <w:rFonts w:ascii="微软雅黑" w:hAnsi="微软雅黑" w:eastAsia="微软雅黑" w:cstheme="majorBidi"/>
          <w:bCs/>
          <w:sz w:val="48"/>
          <w:szCs w:val="48"/>
        </w:rPr>
      </w:pPr>
      <w:r>
        <w:rPr>
          <w:rFonts w:hint="eastAsia" w:ascii="微软雅黑" w:hAnsi="微软雅黑" w:eastAsia="微软雅黑" w:cstheme="majorBidi"/>
          <w:bCs/>
          <w:sz w:val="48"/>
          <w:szCs w:val="48"/>
        </w:rPr>
        <w:t>科研智能辅助子系统建设项目</w:t>
      </w:r>
    </w:p>
    <w:p w14:paraId="6ACCAA83">
      <w:pPr>
        <w:pStyle w:val="148"/>
        <w:spacing w:line="480" w:lineRule="auto"/>
        <w:ind w:firstLine="0" w:firstLineChars="0"/>
        <w:jc w:val="center"/>
        <w:rPr>
          <w:rFonts w:ascii="黑体" w:hAnsi="黑体" w:eastAsia="黑体"/>
          <w:sz w:val="48"/>
          <w:szCs w:val="48"/>
        </w:rPr>
      </w:pPr>
    </w:p>
    <w:p w14:paraId="48B65AA7">
      <w:pPr>
        <w:pStyle w:val="148"/>
        <w:spacing w:line="480" w:lineRule="auto"/>
        <w:ind w:firstLine="0" w:firstLineChars="0"/>
        <w:jc w:val="center"/>
        <w:rPr>
          <w:rFonts w:ascii="黑体" w:hAnsi="黑体" w:eastAsia="黑体"/>
          <w:sz w:val="48"/>
          <w:szCs w:val="48"/>
        </w:rPr>
      </w:pPr>
    </w:p>
    <w:p w14:paraId="16C08446">
      <w:pPr>
        <w:pStyle w:val="148"/>
        <w:spacing w:line="480" w:lineRule="auto"/>
        <w:ind w:firstLine="0" w:firstLineChars="0"/>
        <w:jc w:val="center"/>
        <w:rPr>
          <w:rFonts w:ascii="黑体" w:hAnsi="黑体" w:eastAsia="黑体"/>
          <w:sz w:val="48"/>
          <w:szCs w:val="48"/>
        </w:rPr>
      </w:pPr>
    </w:p>
    <w:p w14:paraId="729F2F78">
      <w:pPr>
        <w:pStyle w:val="148"/>
        <w:spacing w:line="480" w:lineRule="auto"/>
        <w:ind w:firstLine="0" w:firstLineChars="0"/>
        <w:jc w:val="center"/>
        <w:rPr>
          <w:rFonts w:ascii="黑体" w:hAnsi="黑体" w:eastAsia="黑体"/>
          <w:sz w:val="52"/>
          <w:szCs w:val="52"/>
        </w:rPr>
      </w:pPr>
      <w:r>
        <w:rPr>
          <w:rFonts w:hint="eastAsia" w:ascii="黑体" w:hAnsi="黑体" w:eastAsia="黑体"/>
          <w:sz w:val="48"/>
          <w:szCs w:val="48"/>
        </w:rPr>
        <w:t>采购需求</w:t>
      </w:r>
    </w:p>
    <w:p w14:paraId="5FECF7B7">
      <w:pPr>
        <w:pStyle w:val="148"/>
        <w:ind w:firstLine="0" w:firstLineChars="0"/>
        <w:jc w:val="center"/>
        <w:rPr>
          <w:rFonts w:ascii="黑体" w:hAnsi="黑体" w:eastAsia="黑体"/>
          <w:sz w:val="52"/>
          <w:szCs w:val="52"/>
        </w:rPr>
      </w:pPr>
    </w:p>
    <w:p w14:paraId="20E821B1">
      <w:pPr>
        <w:pStyle w:val="148"/>
        <w:ind w:firstLine="0" w:firstLineChars="0"/>
        <w:jc w:val="center"/>
        <w:rPr>
          <w:rFonts w:ascii="黑体" w:hAnsi="黑体" w:eastAsia="黑体"/>
          <w:sz w:val="52"/>
          <w:szCs w:val="52"/>
        </w:rPr>
      </w:pPr>
    </w:p>
    <w:p w14:paraId="04614099">
      <w:pPr>
        <w:ind w:firstLine="0" w:firstLineChars="0"/>
        <w:jc w:val="center"/>
        <w:rPr>
          <w:rFonts w:ascii="黑体" w:hAnsi="黑体" w:eastAsia="黑体"/>
          <w:sz w:val="48"/>
          <w:szCs w:val="48"/>
        </w:rPr>
      </w:pPr>
    </w:p>
    <w:p w14:paraId="21F7D106">
      <w:pPr>
        <w:ind w:firstLine="1040"/>
        <w:rPr>
          <w:rFonts w:ascii="黑体" w:hAnsi="黑体" w:eastAsia="黑体"/>
          <w:sz w:val="52"/>
          <w:szCs w:val="52"/>
        </w:rPr>
      </w:pPr>
    </w:p>
    <w:p w14:paraId="450274AF">
      <w:pPr>
        <w:jc w:val="cente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08F0D00E">
      <w:pPr>
        <w:pStyle w:val="2"/>
      </w:pPr>
      <w:bookmarkStart w:id="0" w:name="_Toc63785461"/>
      <w:r>
        <w:rPr>
          <w:rFonts w:hint="eastAsia"/>
        </w:rPr>
        <w:t>项目概况</w:t>
      </w:r>
      <w:bookmarkEnd w:id="0"/>
    </w:p>
    <w:p w14:paraId="196A4D81">
      <w:pPr>
        <w:spacing w:line="560" w:lineRule="exact"/>
        <w:ind w:firstLine="482"/>
        <w:rPr>
          <w:b/>
          <w:bCs/>
        </w:rPr>
      </w:pPr>
      <w:r>
        <w:rPr>
          <w:rFonts w:hint="eastAsia"/>
          <w:b/>
          <w:bCs/>
        </w:rPr>
        <w:t>项目背景及现状：</w:t>
      </w:r>
    </w:p>
    <w:p w14:paraId="1E2C0BFB">
      <w:pPr>
        <w:spacing w:line="560" w:lineRule="exact"/>
      </w:pPr>
      <w:r>
        <w:rPr>
          <w:rFonts w:hint="eastAsia"/>
        </w:rPr>
        <w:t>园科院作为城市生态科研的核心机构，在长期绿林地生态环境研究中积累了海量科研数据，但现有管理模式已严重制约科研效能与数据价值释放，亟需通过AI智能体实现系统性革新：</w:t>
      </w:r>
    </w:p>
    <w:p w14:paraId="1AD465EA">
      <w:pPr>
        <w:spacing w:line="560" w:lineRule="exact"/>
      </w:pPr>
      <w:r>
        <w:rPr>
          <w:rFonts w:hint="eastAsia"/>
        </w:rPr>
        <w:t>1、业务场景需求迫切</w:t>
      </w:r>
    </w:p>
    <w:p w14:paraId="615691A8">
      <w:pPr>
        <w:spacing w:line="560" w:lineRule="exact"/>
      </w:pPr>
      <w:r>
        <w:rPr>
          <w:rFonts w:hint="eastAsia"/>
        </w:rPr>
        <w:t>资源查询问题：需AI实时分析气象与土壤数据，动态优化科研与管理决策；</w:t>
      </w:r>
    </w:p>
    <w:p w14:paraId="511EB717">
      <w:pPr>
        <w:spacing w:line="560" w:lineRule="exact"/>
      </w:pPr>
      <w:r>
        <w:rPr>
          <w:rFonts w:hint="eastAsia"/>
        </w:rPr>
        <w:t>管理效能瓶颈：传统人工处理难以应对多源异构数据（如遥感、IoT传感），亟需智能体实现自动化分析与预警。</w:t>
      </w:r>
    </w:p>
    <w:p w14:paraId="2262DE20">
      <w:pPr>
        <w:spacing w:line="560" w:lineRule="exact"/>
      </w:pPr>
      <w:r>
        <w:rPr>
          <w:rFonts w:hint="eastAsia"/>
        </w:rPr>
        <w:t>2、数字化转型刚需</w:t>
      </w:r>
    </w:p>
    <w:p w14:paraId="45F03343">
      <w:pPr>
        <w:spacing w:line="560" w:lineRule="exact"/>
      </w:pPr>
      <w:r>
        <w:rPr>
          <w:rFonts w:hint="eastAsia"/>
        </w:rPr>
        <w:t>数据资产作为新质生产力的核心要素，需通过AI智能体打通“采集-治理-应用”闭环，驱动科研创新与城市生态治理能力升级。</w:t>
      </w:r>
    </w:p>
    <w:p w14:paraId="2AEB6FAD">
      <w:pPr>
        <w:spacing w:line="560" w:lineRule="exact"/>
      </w:pPr>
      <w:r>
        <w:rPr>
          <w:rFonts w:hint="eastAsia"/>
        </w:rPr>
        <w:t>基于此，拟建设“科研智能辅助子系统”，以AI智能体技术为核心，实现对多源生态数据的智能采集、融合分析与决策支持，提升科研效率与成果转化能力，为城市绿林地质量提升与生态治理提供科学支撑。</w:t>
      </w:r>
    </w:p>
    <w:p w14:paraId="26941747">
      <w:pPr>
        <w:pStyle w:val="2"/>
      </w:pPr>
      <w:bookmarkStart w:id="1" w:name="_Toc47532891"/>
      <w:bookmarkEnd w:id="1"/>
      <w:bookmarkStart w:id="2" w:name="_Toc47536644"/>
      <w:bookmarkEnd w:id="2"/>
      <w:bookmarkStart w:id="3" w:name="_Toc47532255"/>
      <w:bookmarkEnd w:id="3"/>
      <w:bookmarkStart w:id="4" w:name="_Toc47537134"/>
      <w:bookmarkEnd w:id="4"/>
      <w:bookmarkStart w:id="5" w:name="_Toc47536272"/>
      <w:bookmarkEnd w:id="5"/>
      <w:bookmarkStart w:id="6" w:name="_Toc47531634"/>
      <w:bookmarkEnd w:id="6"/>
      <w:bookmarkStart w:id="7" w:name="_Toc47533256"/>
      <w:bookmarkEnd w:id="7"/>
      <w:bookmarkStart w:id="8" w:name="_Toc47539070"/>
      <w:bookmarkEnd w:id="8"/>
      <w:bookmarkStart w:id="9" w:name="_Toc63785463"/>
      <w:bookmarkStart w:id="10" w:name="_Toc48223882"/>
      <w:r>
        <w:rPr>
          <w:rFonts w:hint="eastAsia"/>
        </w:rPr>
        <w:t>建设目标</w:t>
      </w:r>
      <w:bookmarkEnd w:id="9"/>
      <w:bookmarkEnd w:id="10"/>
    </w:p>
    <w:p w14:paraId="1A4DC18F">
      <w:r>
        <w:rPr>
          <w:rFonts w:hint="eastAsia"/>
        </w:rPr>
        <w:t>建设一套科研智能辅助子系统，打造高效能科研智能助手，面向科研人员提供智能交互界面，支持文献检索与综述生成、实验方案建议、数据分析报告及图表优化，实现AI辅助实验设计与优化，提升科研效率。</w:t>
      </w:r>
    </w:p>
    <w:p w14:paraId="3407385B">
      <w:r>
        <w:rPr>
          <w:rFonts w:hint="eastAsia"/>
        </w:rPr>
        <w:t>提升城市园林绿化精细化管理决策水平，开发覆盖规划、建设、养护全流程的智能决策工具。规划阶段支持绿地布局优化与树种智能推荐；建设阶段辅助景观方案生成；养护阶段实现病虫害图像识别、古树健康评估、智能灌溉与设施巡检。赋能重大生态工程方案评估、过程监测与效果预测。</w:t>
      </w:r>
    </w:p>
    <w:p w14:paraId="1409D7BF">
      <w:pPr>
        <w:rPr>
          <w:rFonts w:hint="eastAsia"/>
        </w:rPr>
      </w:pPr>
      <w:r>
        <w:rPr>
          <w:rFonts w:hint="eastAsia"/>
        </w:rPr>
        <w:t>建成开放、可扩展、安全的AI科研平台，构建高性能、易用的智能体基础平台，支持多用户协同、模型训练与管理。建立完善的数据治理与安全机制，采用模块化架构，便于未来扩展新数据源、算法与应用场景。</w:t>
      </w:r>
    </w:p>
    <w:p w14:paraId="36B8045E">
      <w:pPr>
        <w:ind w:firstLine="482"/>
      </w:pPr>
      <w:r>
        <w:rPr>
          <w:rFonts w:hint="eastAsia"/>
          <w:b/>
          <w:bCs/>
        </w:rPr>
        <w:t>是否按</w:t>
      </w:r>
      <w:r>
        <w:rPr>
          <w:rFonts w:hint="eastAsia"/>
          <w:b/>
          <w:bCs/>
          <w:lang w:val="en-US" w:eastAsia="zh-CN"/>
        </w:rPr>
        <w:t>XC</w:t>
      </w:r>
      <w:r>
        <w:rPr>
          <w:rFonts w:hint="eastAsia"/>
          <w:b/>
          <w:bCs/>
        </w:rPr>
        <w:t>要求建设：</w:t>
      </w:r>
      <w:r>
        <w:rPr>
          <w:rFonts w:hint="eastAsia"/>
        </w:rPr>
        <w:t>是</w:t>
      </w:r>
    </w:p>
    <w:p w14:paraId="66FF4D9B">
      <w:pPr>
        <w:pStyle w:val="2"/>
        <w:rPr>
          <w:rFonts w:hint="eastAsia"/>
        </w:rPr>
      </w:pPr>
      <w:bookmarkStart w:id="11" w:name="_Toc47537166"/>
      <w:bookmarkEnd w:id="11"/>
      <w:bookmarkStart w:id="12" w:name="_Toc47533288"/>
      <w:bookmarkEnd w:id="12"/>
      <w:bookmarkStart w:id="13" w:name="_Toc47536676"/>
      <w:bookmarkEnd w:id="13"/>
      <w:bookmarkStart w:id="14" w:name="_Toc47539102"/>
      <w:bookmarkEnd w:id="14"/>
      <w:bookmarkStart w:id="15" w:name="_Toc47536304"/>
      <w:bookmarkEnd w:id="15"/>
      <w:bookmarkStart w:id="16" w:name="_Toc47532923"/>
      <w:bookmarkEnd w:id="16"/>
      <w:r>
        <w:rPr>
          <w:rFonts w:hint="eastAsia"/>
        </w:rPr>
        <w:t>项目建设内容</w:t>
      </w:r>
    </w:p>
    <w:p w14:paraId="57511BC5">
      <w:pPr>
        <w:rPr>
          <w:rFonts w:hint="eastAsia"/>
          <w:lang w:val="en-US" w:eastAsia="zh-CN"/>
        </w:rPr>
      </w:pPr>
      <w:r>
        <w:rPr>
          <w:rFonts w:hint="eastAsia"/>
        </w:rPr>
        <w:t>科研智能辅助子系统建设，围绕科研可行性研究辅助智能体为核心</w:t>
      </w:r>
      <w:r>
        <w:rPr>
          <w:rFonts w:hint="eastAsia"/>
          <w:lang w:val="en-US" w:eastAsia="zh-CN"/>
        </w:rPr>
        <w:t>建设</w:t>
      </w:r>
      <w:r>
        <w:rPr>
          <w:rFonts w:hint="eastAsia"/>
        </w:rPr>
        <w:t>，</w:t>
      </w:r>
      <w:r>
        <w:rPr>
          <w:rFonts w:hint="eastAsia"/>
          <w:lang w:val="en-US" w:eastAsia="zh-CN"/>
        </w:rPr>
        <w:t>系统总体架构如下：</w:t>
      </w:r>
    </w:p>
    <w:p w14:paraId="7F2CFCD6">
      <w:pPr>
        <w:ind w:firstLine="0" w:firstLineChars="0"/>
        <w:rPr>
          <w:rFonts w:hint="eastAsia"/>
          <w:lang w:val="en-US" w:eastAsia="zh-CN"/>
        </w:rPr>
      </w:pPr>
      <w:r>
        <w:drawing>
          <wp:inline distT="0" distB="0" distL="0" distR="0">
            <wp:extent cx="5766435" cy="3066415"/>
            <wp:effectExtent l="0" t="0" r="12065" b="6985"/>
            <wp:docPr id="1176891089" name="图片 1" descr="图形用户界面, 应用程序&#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891089" name="图片 1" descr="图形用户界面, 应用程序&#10;&#10;AI 生成的内容可能不正确。"/>
                    <pic:cNvPicPr>
                      <a:picLocks noChangeAspect="1"/>
                    </pic:cNvPicPr>
                  </pic:nvPicPr>
                  <pic:blipFill>
                    <a:blip r:embed="rId13"/>
                    <a:stretch>
                      <a:fillRect/>
                    </a:stretch>
                  </pic:blipFill>
                  <pic:spPr>
                    <a:xfrm>
                      <a:off x="0" y="0"/>
                      <a:ext cx="5770276" cy="3068542"/>
                    </a:xfrm>
                    <a:prstGeom prst="rect">
                      <a:avLst/>
                    </a:prstGeom>
                  </pic:spPr>
                </pic:pic>
              </a:graphicData>
            </a:graphic>
          </wp:inline>
        </w:drawing>
      </w:r>
    </w:p>
    <w:p w14:paraId="07C83B4F">
      <w:r>
        <w:rPr>
          <w:rFonts w:hint="eastAsia"/>
        </w:rPr>
        <w:t>重点建设以下内容：</w:t>
      </w:r>
    </w:p>
    <w:tbl>
      <w:tblPr>
        <w:tblStyle w:val="36"/>
        <w:tblpPr w:leftFromText="180" w:rightFromText="180" w:vertAnchor="text" w:horzAnchor="margin" w:tblpX="-58" w:tblpY="489"/>
        <w:tblOverlap w:val="never"/>
        <w:tblW w:w="8500" w:type="dxa"/>
        <w:tblInd w:w="0" w:type="dxa"/>
        <w:tblLayout w:type="fixed"/>
        <w:tblCellMar>
          <w:top w:w="0" w:type="dxa"/>
          <w:left w:w="108" w:type="dxa"/>
          <w:bottom w:w="0" w:type="dxa"/>
          <w:right w:w="108" w:type="dxa"/>
        </w:tblCellMar>
      </w:tblPr>
      <w:tblGrid>
        <w:gridCol w:w="762"/>
        <w:gridCol w:w="2068"/>
        <w:gridCol w:w="5670"/>
      </w:tblGrid>
      <w:tr w14:paraId="46563893">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tcPr>
          <w:p w14:paraId="2797FBCD">
            <w:pPr>
              <w:ind w:firstLine="0" w:firstLineChars="0"/>
              <w:jc w:val="center"/>
              <w:rPr>
                <w:b/>
                <w:bCs/>
              </w:rPr>
            </w:pPr>
            <w:r>
              <w:rPr>
                <w:rFonts w:hint="eastAsia"/>
                <w:b/>
                <w:bCs/>
              </w:rPr>
              <w:t>序号</w:t>
            </w:r>
          </w:p>
        </w:tc>
        <w:tc>
          <w:tcPr>
            <w:tcW w:w="2068" w:type="dxa"/>
            <w:tcBorders>
              <w:top w:val="single" w:color="000000" w:sz="4" w:space="0"/>
              <w:left w:val="single" w:color="000000" w:sz="4" w:space="0"/>
              <w:bottom w:val="single" w:color="000000" w:sz="4" w:space="0"/>
              <w:right w:val="single" w:color="000000" w:sz="4" w:space="0"/>
            </w:tcBorders>
          </w:tcPr>
          <w:p w14:paraId="0CA3A07F">
            <w:pPr>
              <w:ind w:firstLine="0" w:firstLineChars="0"/>
              <w:jc w:val="center"/>
              <w:rPr>
                <w:b/>
                <w:bCs/>
              </w:rPr>
            </w:pPr>
            <w:r>
              <w:rPr>
                <w:rFonts w:hint="eastAsia"/>
                <w:b/>
                <w:bCs/>
              </w:rPr>
              <w:t>模块名称</w:t>
            </w:r>
          </w:p>
        </w:tc>
        <w:tc>
          <w:tcPr>
            <w:tcW w:w="5670" w:type="dxa"/>
            <w:tcBorders>
              <w:top w:val="single" w:color="000000" w:sz="4" w:space="0"/>
              <w:left w:val="single" w:color="000000" w:sz="4" w:space="0"/>
              <w:bottom w:val="single" w:color="000000" w:sz="4" w:space="0"/>
              <w:right w:val="single" w:color="000000" w:sz="4" w:space="0"/>
            </w:tcBorders>
          </w:tcPr>
          <w:p w14:paraId="7C50E460">
            <w:pPr>
              <w:ind w:firstLine="0" w:firstLineChars="0"/>
              <w:jc w:val="center"/>
              <w:rPr>
                <w:b/>
                <w:bCs/>
              </w:rPr>
            </w:pPr>
            <w:r>
              <w:rPr>
                <w:rFonts w:hint="eastAsia"/>
                <w:b/>
                <w:bCs/>
              </w:rPr>
              <w:t>模块描述</w:t>
            </w:r>
          </w:p>
        </w:tc>
      </w:tr>
      <w:tr w14:paraId="1143355A">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74C5496C">
            <w:pPr>
              <w:ind w:firstLine="0" w:firstLineChars="0"/>
              <w:jc w:val="center"/>
            </w:pPr>
            <w:r>
              <w:rPr>
                <w:rFonts w:hint="eastAsia"/>
              </w:rPr>
              <w:t>1</w:t>
            </w:r>
          </w:p>
        </w:tc>
        <w:tc>
          <w:tcPr>
            <w:tcW w:w="2068" w:type="dxa"/>
            <w:tcBorders>
              <w:top w:val="single" w:color="000000" w:sz="4" w:space="0"/>
              <w:left w:val="single" w:color="000000" w:sz="4" w:space="0"/>
              <w:bottom w:val="single" w:color="000000" w:sz="4" w:space="0"/>
              <w:right w:val="single" w:color="000000" w:sz="4" w:space="0"/>
            </w:tcBorders>
            <w:vAlign w:val="center"/>
          </w:tcPr>
          <w:p w14:paraId="4F9EB543">
            <w:pPr>
              <w:ind w:firstLine="0" w:firstLineChars="0"/>
            </w:pPr>
            <w:r>
              <w:rPr>
                <w:rFonts w:hint="eastAsia"/>
              </w:rPr>
              <w:t>科研可行性研究辅助智能体-绿化市容行业科技成果需求智能体</w:t>
            </w:r>
          </w:p>
        </w:tc>
        <w:tc>
          <w:tcPr>
            <w:tcW w:w="5670" w:type="dxa"/>
            <w:tcBorders>
              <w:top w:val="single" w:color="000000" w:sz="4" w:space="0"/>
              <w:left w:val="single" w:color="000000" w:sz="4" w:space="0"/>
              <w:bottom w:val="single" w:color="000000" w:sz="4" w:space="0"/>
              <w:right w:val="single" w:color="000000" w:sz="4" w:space="0"/>
            </w:tcBorders>
            <w:vAlign w:val="center"/>
          </w:tcPr>
          <w:p w14:paraId="169C9D17">
            <w:pPr>
              <w:ind w:firstLine="0" w:firstLineChars="0"/>
            </w:pPr>
            <w:r>
              <w:rPr>
                <w:rFonts w:hint="eastAsia"/>
              </w:rPr>
              <w:t>通过AI图像识别、视频监控分析和智能监测仪器等技术手段，结合市民游园行为数据、花展参与反馈、公园运维指标、民生热点、政务服务信息等多源数据，识别行业痛点问题，提炼关键科研攻关方向，为公园城市建设和智慧发展提供技术支持。</w:t>
            </w:r>
          </w:p>
        </w:tc>
      </w:tr>
      <w:tr w14:paraId="3DCE6EB2">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5A6287CC">
            <w:pPr>
              <w:ind w:firstLine="0" w:firstLineChars="0"/>
              <w:jc w:val="center"/>
            </w:pPr>
            <w:r>
              <w:rPr>
                <w:rFonts w:hint="eastAsia"/>
              </w:rPr>
              <w:t>2</w:t>
            </w:r>
          </w:p>
        </w:tc>
        <w:tc>
          <w:tcPr>
            <w:tcW w:w="2068" w:type="dxa"/>
            <w:tcBorders>
              <w:top w:val="single" w:color="000000" w:sz="4" w:space="0"/>
              <w:left w:val="single" w:color="000000" w:sz="4" w:space="0"/>
              <w:bottom w:val="single" w:color="000000" w:sz="4" w:space="0"/>
              <w:right w:val="single" w:color="000000" w:sz="4" w:space="0"/>
            </w:tcBorders>
            <w:vAlign w:val="center"/>
          </w:tcPr>
          <w:p w14:paraId="11008F9A">
            <w:pPr>
              <w:ind w:firstLine="0" w:firstLineChars="0"/>
            </w:pPr>
            <w:r>
              <w:rPr>
                <w:rFonts w:hint="eastAsia"/>
              </w:rPr>
              <w:t>科研可行性研究辅助智能体-科研信息分析处理辅助智能体</w:t>
            </w:r>
          </w:p>
        </w:tc>
        <w:tc>
          <w:tcPr>
            <w:tcW w:w="5670" w:type="dxa"/>
            <w:tcBorders>
              <w:top w:val="single" w:color="000000" w:sz="4" w:space="0"/>
              <w:left w:val="single" w:color="000000" w:sz="4" w:space="0"/>
              <w:bottom w:val="single" w:color="000000" w:sz="4" w:space="0"/>
              <w:right w:val="single" w:color="000000" w:sz="4" w:space="0"/>
            </w:tcBorders>
            <w:vAlign w:val="center"/>
          </w:tcPr>
          <w:p w14:paraId="5D91CF66">
            <w:pPr>
              <w:ind w:firstLine="0" w:firstLineChars="0"/>
            </w:pPr>
            <w:r>
              <w:rPr>
                <w:rFonts w:hint="eastAsia"/>
              </w:rPr>
              <w:t>能够按任务目标自动运行Excel、word、PDF、SPSS等软件开展批量数据清洗、统计分析、图形处理、图表制作、数据统计分析报告和数据存档入库。</w:t>
            </w:r>
          </w:p>
        </w:tc>
      </w:tr>
      <w:tr w14:paraId="536E08CB">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3379790F">
            <w:pPr>
              <w:ind w:firstLine="0" w:firstLineChars="0"/>
              <w:jc w:val="center"/>
            </w:pPr>
            <w:r>
              <w:rPr>
                <w:rFonts w:hint="eastAsia"/>
              </w:rPr>
              <w:t>3</w:t>
            </w:r>
          </w:p>
        </w:tc>
        <w:tc>
          <w:tcPr>
            <w:tcW w:w="2068" w:type="dxa"/>
            <w:tcBorders>
              <w:top w:val="single" w:color="000000" w:sz="4" w:space="0"/>
              <w:left w:val="single" w:color="000000" w:sz="4" w:space="0"/>
              <w:bottom w:val="single" w:color="000000" w:sz="4" w:space="0"/>
              <w:right w:val="single" w:color="000000" w:sz="4" w:space="0"/>
            </w:tcBorders>
            <w:vAlign w:val="center"/>
          </w:tcPr>
          <w:p w14:paraId="5625F87C">
            <w:pPr>
              <w:ind w:firstLine="0" w:firstLineChars="0"/>
            </w:pPr>
            <w:r>
              <w:rPr>
                <w:rFonts w:hint="eastAsia"/>
              </w:rPr>
              <w:t>科研可行性研究辅助智能体-园林专业标准制定及研判辅助智能体</w:t>
            </w:r>
          </w:p>
        </w:tc>
        <w:tc>
          <w:tcPr>
            <w:tcW w:w="5670" w:type="dxa"/>
            <w:tcBorders>
              <w:top w:val="single" w:color="000000" w:sz="4" w:space="0"/>
              <w:left w:val="single" w:color="000000" w:sz="4" w:space="0"/>
              <w:bottom w:val="single" w:color="000000" w:sz="4" w:space="0"/>
              <w:right w:val="single" w:color="000000" w:sz="4" w:space="0"/>
            </w:tcBorders>
            <w:vAlign w:val="center"/>
          </w:tcPr>
          <w:p w14:paraId="09BA8431">
            <w:pPr>
              <w:ind w:firstLine="0" w:firstLineChars="0"/>
            </w:pPr>
            <w:r>
              <w:rPr>
                <w:rFonts w:hint="eastAsia"/>
              </w:rPr>
              <w:t>能够按任务目标和指令要求，基于现行行业法规、导则、规范和标准等数据，自动分析并审查相关规划设计项目文本是否符合要求，并形成报表与分析报告。</w:t>
            </w:r>
          </w:p>
        </w:tc>
      </w:tr>
      <w:tr w14:paraId="7D022086">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3F54280A">
            <w:pPr>
              <w:ind w:firstLine="0" w:firstLineChars="0"/>
              <w:jc w:val="center"/>
            </w:pPr>
            <w:r>
              <w:rPr>
                <w:rFonts w:hint="eastAsia"/>
              </w:rPr>
              <w:t>4</w:t>
            </w:r>
          </w:p>
        </w:tc>
        <w:tc>
          <w:tcPr>
            <w:tcW w:w="2068" w:type="dxa"/>
            <w:tcBorders>
              <w:top w:val="single" w:color="000000" w:sz="4" w:space="0"/>
              <w:left w:val="single" w:color="000000" w:sz="4" w:space="0"/>
              <w:bottom w:val="single" w:color="000000" w:sz="4" w:space="0"/>
              <w:right w:val="single" w:color="000000" w:sz="4" w:space="0"/>
            </w:tcBorders>
            <w:vAlign w:val="center"/>
          </w:tcPr>
          <w:p w14:paraId="1A90EEBD">
            <w:pPr>
              <w:ind w:firstLine="0" w:firstLineChars="0"/>
            </w:pPr>
            <w:r>
              <w:rPr>
                <w:rFonts w:hint="eastAsia"/>
              </w:rPr>
              <w:t>科研可行性研究辅助智能体-城市土壤质量精准预测智能体</w:t>
            </w:r>
          </w:p>
        </w:tc>
        <w:tc>
          <w:tcPr>
            <w:tcW w:w="5670" w:type="dxa"/>
            <w:tcBorders>
              <w:top w:val="single" w:color="000000" w:sz="4" w:space="0"/>
              <w:left w:val="single" w:color="000000" w:sz="4" w:space="0"/>
              <w:bottom w:val="single" w:color="000000" w:sz="4" w:space="0"/>
              <w:right w:val="single" w:color="000000" w:sz="4" w:space="0"/>
            </w:tcBorders>
            <w:vAlign w:val="center"/>
          </w:tcPr>
          <w:p w14:paraId="452379BD">
            <w:pPr>
              <w:ind w:firstLine="0" w:firstLineChars="0"/>
            </w:pPr>
            <w:r>
              <w:rPr>
                <w:rFonts w:hint="eastAsia"/>
              </w:rPr>
              <w:t>具有自主学习能力的绿城市土壤质量精准预测智能体，融合地面实测数据和多源多模态大数据，基于地理加权随机森林（GWRF）、图神经网络（GNN）等机器学习或深度学习算法，构建关键指标含量预测模型，输出精度的城市绿林地土壤关键属性图谱的自动生成、动态优化和情景模拟。</w:t>
            </w:r>
          </w:p>
        </w:tc>
      </w:tr>
      <w:tr w14:paraId="12A7A24B">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55A69EDA">
            <w:pPr>
              <w:ind w:firstLine="0" w:firstLineChars="0"/>
              <w:jc w:val="center"/>
            </w:pPr>
            <w:r>
              <w:rPr>
                <w:rFonts w:hint="eastAsia"/>
              </w:rPr>
              <w:t>5</w:t>
            </w:r>
          </w:p>
        </w:tc>
        <w:tc>
          <w:tcPr>
            <w:tcW w:w="2068" w:type="dxa"/>
            <w:tcBorders>
              <w:top w:val="single" w:color="000000" w:sz="4" w:space="0"/>
              <w:left w:val="single" w:color="000000" w:sz="4" w:space="0"/>
              <w:bottom w:val="single" w:color="000000" w:sz="4" w:space="0"/>
              <w:right w:val="single" w:color="000000" w:sz="4" w:space="0"/>
            </w:tcBorders>
            <w:vAlign w:val="center"/>
          </w:tcPr>
          <w:p w14:paraId="7428F9DE">
            <w:pPr>
              <w:ind w:firstLine="0" w:firstLineChars="0"/>
            </w:pPr>
            <w:r>
              <w:rPr>
                <w:rFonts w:hint="eastAsia"/>
              </w:rPr>
              <w:t>科研可行性研究辅助智能体-城市绿化树种适生资源管理智能体</w:t>
            </w:r>
          </w:p>
        </w:tc>
        <w:tc>
          <w:tcPr>
            <w:tcW w:w="5670" w:type="dxa"/>
            <w:tcBorders>
              <w:top w:val="single" w:color="000000" w:sz="4" w:space="0"/>
              <w:left w:val="single" w:color="000000" w:sz="4" w:space="0"/>
              <w:bottom w:val="single" w:color="000000" w:sz="4" w:space="0"/>
              <w:right w:val="single" w:color="000000" w:sz="4" w:space="0"/>
            </w:tcBorders>
            <w:vAlign w:val="center"/>
          </w:tcPr>
          <w:p w14:paraId="6306B055">
            <w:pPr>
              <w:ind w:firstLine="0" w:firstLineChars="0"/>
            </w:pPr>
            <w:r>
              <w:rPr>
                <w:rFonts w:hint="eastAsia"/>
              </w:rPr>
              <w:t>将本院多年引进的城市绿化树种进行整理，构建包含树种生长特性、生态习性、应用范围等基本信息库，同时关联科研成果对树种的适生性进行综合评估。通过数据整合、智能分析、动态监测，实现城市绿化树种的科学选择、优化配置、高效管理，推动城市绿化向智慧化、生态化、可持续化方向发展。</w:t>
            </w:r>
          </w:p>
        </w:tc>
      </w:tr>
      <w:tr w14:paraId="3C82EAB5">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4409E2EC">
            <w:pPr>
              <w:ind w:firstLine="0" w:firstLineChars="0"/>
              <w:jc w:val="center"/>
            </w:pPr>
            <w:r>
              <w:rPr>
                <w:rFonts w:hint="eastAsia"/>
              </w:rPr>
              <w:t>6</w:t>
            </w:r>
          </w:p>
        </w:tc>
        <w:tc>
          <w:tcPr>
            <w:tcW w:w="2068" w:type="dxa"/>
            <w:tcBorders>
              <w:top w:val="single" w:color="000000" w:sz="4" w:space="0"/>
              <w:left w:val="single" w:color="000000" w:sz="4" w:space="0"/>
              <w:bottom w:val="single" w:color="000000" w:sz="4" w:space="0"/>
              <w:right w:val="single" w:color="000000" w:sz="4" w:space="0"/>
            </w:tcBorders>
            <w:vAlign w:val="center"/>
          </w:tcPr>
          <w:p w14:paraId="4A53631B">
            <w:pPr>
              <w:ind w:firstLine="0" w:firstLineChars="0"/>
            </w:pPr>
            <w:r>
              <w:rPr>
                <w:rFonts w:hint="eastAsia"/>
              </w:rPr>
              <w:t>科研可行性研究辅助智能体-树木健康监测智能体</w:t>
            </w:r>
          </w:p>
        </w:tc>
        <w:tc>
          <w:tcPr>
            <w:tcW w:w="5670" w:type="dxa"/>
            <w:tcBorders>
              <w:top w:val="single" w:color="000000" w:sz="4" w:space="0"/>
              <w:left w:val="single" w:color="000000" w:sz="4" w:space="0"/>
              <w:bottom w:val="single" w:color="000000" w:sz="4" w:space="0"/>
              <w:right w:val="single" w:color="000000" w:sz="4" w:space="0"/>
            </w:tcBorders>
            <w:vAlign w:val="center"/>
          </w:tcPr>
          <w:p w14:paraId="7C0DE7CF">
            <w:pPr>
              <w:ind w:firstLine="0" w:firstLineChars="0"/>
            </w:pPr>
            <w:r>
              <w:rPr>
                <w:rFonts w:hint="eastAsia"/>
              </w:rPr>
              <w:t>对智能树木健康监测仪采集数据动态查询，实现监测点位、调查树种等信息“一张图”交互显示，极端异常环境因子预警预报，利用机器学习、多元统计等模型，获得树木液流变动动态规律，实现树木健康智能评估。</w:t>
            </w:r>
          </w:p>
        </w:tc>
      </w:tr>
      <w:tr w14:paraId="29E063F3">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0572FAFF">
            <w:pPr>
              <w:ind w:firstLine="0" w:firstLineChars="0"/>
              <w:jc w:val="center"/>
            </w:pPr>
            <w:r>
              <w:rPr>
                <w:rFonts w:hint="eastAsia"/>
              </w:rPr>
              <w:t>7</w:t>
            </w:r>
          </w:p>
        </w:tc>
        <w:tc>
          <w:tcPr>
            <w:tcW w:w="2068" w:type="dxa"/>
            <w:tcBorders>
              <w:top w:val="single" w:color="000000" w:sz="4" w:space="0"/>
              <w:left w:val="single" w:color="000000" w:sz="4" w:space="0"/>
              <w:bottom w:val="single" w:color="000000" w:sz="4" w:space="0"/>
              <w:right w:val="single" w:color="000000" w:sz="4" w:space="0"/>
            </w:tcBorders>
            <w:vAlign w:val="center"/>
          </w:tcPr>
          <w:p w14:paraId="2713C8ED">
            <w:pPr>
              <w:ind w:firstLine="0" w:firstLineChars="0"/>
            </w:pPr>
            <w:r>
              <w:rPr>
                <w:rFonts w:hint="eastAsia"/>
              </w:rPr>
              <w:t>已建系统对接-科研管理系统对接</w:t>
            </w:r>
          </w:p>
        </w:tc>
        <w:tc>
          <w:tcPr>
            <w:tcW w:w="5670" w:type="dxa"/>
            <w:tcBorders>
              <w:top w:val="single" w:color="000000" w:sz="4" w:space="0"/>
              <w:left w:val="single" w:color="000000" w:sz="4" w:space="0"/>
              <w:bottom w:val="single" w:color="000000" w:sz="4" w:space="0"/>
              <w:right w:val="single" w:color="000000" w:sz="4" w:space="0"/>
            </w:tcBorders>
            <w:vAlign w:val="center"/>
          </w:tcPr>
          <w:p w14:paraId="3D100018">
            <w:pPr>
              <w:ind w:firstLine="0" w:firstLineChars="0"/>
            </w:pPr>
            <w:r>
              <w:rPr>
                <w:rFonts w:hint="eastAsia"/>
              </w:rPr>
              <w:t>1.自动化课题申报与跟踪</w:t>
            </w:r>
            <w:r>
              <w:rPr>
                <w:rFonts w:hint="eastAsia"/>
              </w:rPr>
              <w:br w:type="textWrapping"/>
            </w:r>
            <w:r>
              <w:rPr>
                <w:rFonts w:hint="eastAsia"/>
              </w:rPr>
              <w:t>通过AI解析项目指南，匹配院内研究方向，并进行可行性分析，生成申报建议书框架，并跟踪项目执行节点。</w:t>
            </w:r>
            <w:r>
              <w:rPr>
                <w:rFonts w:hint="eastAsia"/>
              </w:rPr>
              <w:br w:type="textWrapping"/>
            </w:r>
            <w:r>
              <w:rPr>
                <w:rFonts w:hint="eastAsia"/>
              </w:rPr>
              <w:t>2.跨学科知识库构建</w:t>
            </w:r>
            <w:r>
              <w:rPr>
                <w:rFonts w:hint="eastAsia"/>
              </w:rPr>
              <w:br w:type="textWrapping"/>
            </w:r>
            <w:r>
              <w:rPr>
                <w:rFonts w:hint="eastAsia"/>
              </w:rPr>
              <w:t>整合园林科学、材料学、生态学等多领域数据，利用大模型生成文献综述、技术路线图，辅助科研人员快速定位创新点。</w:t>
            </w:r>
          </w:p>
        </w:tc>
      </w:tr>
      <w:tr w14:paraId="1385517E">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206722D8">
            <w:pPr>
              <w:ind w:firstLine="0" w:firstLineChars="0"/>
              <w:jc w:val="center"/>
            </w:pPr>
            <w:r>
              <w:rPr>
                <w:rFonts w:hint="eastAsia"/>
              </w:rPr>
              <w:t>8</w:t>
            </w:r>
          </w:p>
        </w:tc>
        <w:tc>
          <w:tcPr>
            <w:tcW w:w="2068" w:type="dxa"/>
            <w:tcBorders>
              <w:top w:val="single" w:color="000000" w:sz="4" w:space="0"/>
              <w:left w:val="single" w:color="000000" w:sz="4" w:space="0"/>
              <w:bottom w:val="single" w:color="000000" w:sz="4" w:space="0"/>
              <w:right w:val="single" w:color="000000" w:sz="4" w:space="0"/>
            </w:tcBorders>
            <w:vAlign w:val="center"/>
          </w:tcPr>
          <w:p w14:paraId="2FB06979">
            <w:pPr>
              <w:ind w:firstLine="0" w:firstLineChars="0"/>
            </w:pPr>
            <w:r>
              <w:rPr>
                <w:rFonts w:hint="eastAsia"/>
              </w:rPr>
              <w:t>已建系统对接-城市绿林地碳汇智能监测与评估子系统对接</w:t>
            </w:r>
          </w:p>
        </w:tc>
        <w:tc>
          <w:tcPr>
            <w:tcW w:w="5670" w:type="dxa"/>
            <w:tcBorders>
              <w:top w:val="single" w:color="000000" w:sz="4" w:space="0"/>
              <w:left w:val="single" w:color="000000" w:sz="4" w:space="0"/>
              <w:bottom w:val="single" w:color="000000" w:sz="4" w:space="0"/>
              <w:right w:val="single" w:color="000000" w:sz="4" w:space="0"/>
            </w:tcBorders>
            <w:vAlign w:val="center"/>
          </w:tcPr>
          <w:p w14:paraId="1DCB18DB">
            <w:pPr>
              <w:ind w:firstLine="0" w:firstLineChars="0"/>
            </w:pPr>
            <w:r>
              <w:rPr>
                <w:rFonts w:hint="eastAsia"/>
              </w:rPr>
              <w:t>1.智能分析与模型优化；利用科研AI智能体深入分析现有系统收集的海量实时监测数据（小气候、植物生长、土壤等）和碳汇评估结果。</w:t>
            </w:r>
            <w:r>
              <w:rPr>
                <w:rFonts w:hint="eastAsia"/>
              </w:rPr>
              <w:br w:type="textWrapping"/>
            </w:r>
            <w:r>
              <w:rPr>
                <w:rFonts w:hint="eastAsia"/>
              </w:rPr>
              <w:t>模式识别与关联挖掘：AI智能体自动发现不同树种、群落结构、小气候因子、养护措施与碳汇效率/生态绩效之间隐藏的、复杂的非线性关系和关键驱动因子。例如，识别出在特定土壤湿度阈值下，某种混交林的固碳效率激增。</w:t>
            </w:r>
            <w:r>
              <w:rPr>
                <w:rFonts w:hint="eastAsia"/>
              </w:rPr>
              <w:br w:type="textWrapping"/>
            </w:r>
            <w:r>
              <w:rPr>
                <w:rFonts w:hint="eastAsia"/>
              </w:rPr>
              <w:t>2.辅助科研信息分析和成果转化；利用AI从大数据中主动发现新知识、新规律，甚至提出可验证的科学假设，驱动科研创新。</w:t>
            </w:r>
          </w:p>
        </w:tc>
      </w:tr>
      <w:tr w14:paraId="3AD52D86">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7C9410A2">
            <w:pPr>
              <w:ind w:firstLine="0" w:firstLineChars="0"/>
              <w:jc w:val="center"/>
            </w:pPr>
            <w:r>
              <w:rPr>
                <w:rFonts w:hint="eastAsia"/>
              </w:rPr>
              <w:t>9</w:t>
            </w:r>
          </w:p>
        </w:tc>
        <w:tc>
          <w:tcPr>
            <w:tcW w:w="2068" w:type="dxa"/>
            <w:tcBorders>
              <w:top w:val="single" w:color="000000" w:sz="4" w:space="0"/>
              <w:left w:val="single" w:color="000000" w:sz="4" w:space="0"/>
              <w:bottom w:val="single" w:color="000000" w:sz="4" w:space="0"/>
              <w:right w:val="single" w:color="000000" w:sz="4" w:space="0"/>
            </w:tcBorders>
            <w:vAlign w:val="center"/>
          </w:tcPr>
          <w:p w14:paraId="574F0A17">
            <w:pPr>
              <w:ind w:firstLine="0" w:firstLineChars="0"/>
            </w:pPr>
            <w:r>
              <w:rPr>
                <w:rFonts w:hint="eastAsia"/>
              </w:rPr>
              <w:t>已建系统对接-城市绿林地生态环境要素信息采集与分析子系统</w:t>
            </w:r>
          </w:p>
        </w:tc>
        <w:tc>
          <w:tcPr>
            <w:tcW w:w="5670" w:type="dxa"/>
            <w:tcBorders>
              <w:top w:val="single" w:color="000000" w:sz="4" w:space="0"/>
              <w:left w:val="single" w:color="000000" w:sz="4" w:space="0"/>
              <w:bottom w:val="single" w:color="000000" w:sz="4" w:space="0"/>
              <w:right w:val="single" w:color="000000" w:sz="4" w:space="0"/>
            </w:tcBorders>
            <w:vAlign w:val="center"/>
          </w:tcPr>
          <w:p w14:paraId="0E42FC49">
            <w:pPr>
              <w:ind w:firstLine="0" w:firstLineChars="0"/>
            </w:pPr>
            <w:r>
              <w:rPr>
                <w:rFonts w:hint="eastAsia"/>
              </w:rPr>
              <w:t>1.增强“检测检验数据质量监管”的智能化水平；AI智能体对接检测数据流和历史数据库。</w:t>
            </w:r>
            <w:r>
              <w:rPr>
                <w:rFonts w:hint="eastAsia"/>
              </w:rPr>
              <w:br w:type="textWrapping"/>
            </w:r>
            <w:r>
              <w:rPr>
                <w:rFonts w:hint="eastAsia"/>
              </w:rPr>
              <w:t>2.赋能“绿林地生态服务能力分析模型”与“土壤质量分析评价模型”</w:t>
            </w:r>
            <w:r>
              <w:rPr>
                <w:rFonts w:hint="eastAsia"/>
              </w:rPr>
              <w:br w:type="textWrapping"/>
            </w:r>
            <w:r>
              <w:rPr>
                <w:rFonts w:hint="eastAsia"/>
              </w:rPr>
              <w:t>3.驱动“绿林地土壤质量改良模型”的智能决策</w:t>
            </w:r>
          </w:p>
        </w:tc>
      </w:tr>
      <w:tr w14:paraId="7B5453C7">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1F403F94">
            <w:pPr>
              <w:ind w:firstLine="0" w:firstLineChars="0"/>
              <w:jc w:val="center"/>
            </w:pPr>
            <w:r>
              <w:rPr>
                <w:rFonts w:hint="eastAsia"/>
              </w:rPr>
              <w:t>10</w:t>
            </w:r>
          </w:p>
        </w:tc>
        <w:tc>
          <w:tcPr>
            <w:tcW w:w="2068" w:type="dxa"/>
            <w:tcBorders>
              <w:top w:val="single" w:color="000000" w:sz="4" w:space="0"/>
              <w:left w:val="single" w:color="000000" w:sz="4" w:space="0"/>
              <w:bottom w:val="single" w:color="000000" w:sz="4" w:space="0"/>
              <w:right w:val="single" w:color="000000" w:sz="4" w:space="0"/>
            </w:tcBorders>
            <w:vAlign w:val="center"/>
          </w:tcPr>
          <w:p w14:paraId="7ED3D8B1">
            <w:pPr>
              <w:ind w:firstLine="0" w:firstLineChars="0"/>
            </w:pPr>
            <w:r>
              <w:rPr>
                <w:rFonts w:hint="eastAsia"/>
              </w:rPr>
              <w:t>科研智能辅助子系统门户建设-智能问答</w:t>
            </w:r>
          </w:p>
        </w:tc>
        <w:tc>
          <w:tcPr>
            <w:tcW w:w="5670" w:type="dxa"/>
            <w:tcBorders>
              <w:top w:val="single" w:color="000000" w:sz="4" w:space="0"/>
              <w:left w:val="single" w:color="000000" w:sz="4" w:space="0"/>
              <w:bottom w:val="single" w:color="000000" w:sz="4" w:space="0"/>
              <w:right w:val="single" w:color="000000" w:sz="4" w:space="0"/>
            </w:tcBorders>
            <w:vAlign w:val="center"/>
          </w:tcPr>
          <w:p w14:paraId="202D0CE4">
            <w:pPr>
              <w:ind w:firstLine="0" w:firstLineChars="0"/>
            </w:pPr>
            <w:r>
              <w:rPr>
                <w:rFonts w:hint="eastAsia"/>
              </w:rPr>
              <w:t>后台调用MAP大模型结合院内科研数据和语料，实现智能问答场景。</w:t>
            </w:r>
          </w:p>
        </w:tc>
      </w:tr>
      <w:tr w14:paraId="1E7B077E">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6D1EE809">
            <w:pPr>
              <w:ind w:firstLine="0" w:firstLineChars="0"/>
              <w:jc w:val="center"/>
            </w:pPr>
            <w:r>
              <w:rPr>
                <w:rFonts w:hint="eastAsia"/>
              </w:rPr>
              <w:t>11</w:t>
            </w:r>
          </w:p>
        </w:tc>
        <w:tc>
          <w:tcPr>
            <w:tcW w:w="2068" w:type="dxa"/>
            <w:tcBorders>
              <w:top w:val="single" w:color="000000" w:sz="4" w:space="0"/>
              <w:left w:val="single" w:color="000000" w:sz="4" w:space="0"/>
              <w:bottom w:val="single" w:color="000000" w:sz="4" w:space="0"/>
              <w:right w:val="single" w:color="000000" w:sz="4" w:space="0"/>
            </w:tcBorders>
            <w:vAlign w:val="center"/>
          </w:tcPr>
          <w:p w14:paraId="55B88D17">
            <w:pPr>
              <w:ind w:firstLine="0" w:firstLineChars="0"/>
            </w:pPr>
            <w:r>
              <w:rPr>
                <w:rFonts w:hint="eastAsia"/>
              </w:rPr>
              <w:t>科研智能辅助子系统门户建设-智能文档处理</w:t>
            </w:r>
          </w:p>
        </w:tc>
        <w:tc>
          <w:tcPr>
            <w:tcW w:w="5670" w:type="dxa"/>
            <w:tcBorders>
              <w:top w:val="single" w:color="000000" w:sz="4" w:space="0"/>
              <w:left w:val="single" w:color="000000" w:sz="4" w:space="0"/>
              <w:bottom w:val="single" w:color="000000" w:sz="4" w:space="0"/>
              <w:right w:val="single" w:color="000000" w:sz="4" w:space="0"/>
            </w:tcBorders>
            <w:vAlign w:val="center"/>
          </w:tcPr>
          <w:p w14:paraId="240993E2">
            <w:pPr>
              <w:ind w:firstLine="0" w:firstLineChars="0"/>
            </w:pPr>
            <w:r>
              <w:rPr>
                <w:rFonts w:hint="eastAsia"/>
              </w:rPr>
              <w:t>后台调用MAP大模型结合OCR等工具，完成非结构化数据到结构化数据的梳理。</w:t>
            </w:r>
          </w:p>
        </w:tc>
      </w:tr>
      <w:tr w14:paraId="604435F4">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70DB1DB3">
            <w:pPr>
              <w:ind w:firstLine="0" w:firstLineChars="0"/>
              <w:jc w:val="center"/>
            </w:pPr>
            <w:r>
              <w:rPr>
                <w:rFonts w:hint="eastAsia"/>
              </w:rPr>
              <w:t>12</w:t>
            </w:r>
          </w:p>
        </w:tc>
        <w:tc>
          <w:tcPr>
            <w:tcW w:w="2068" w:type="dxa"/>
            <w:tcBorders>
              <w:top w:val="single" w:color="000000" w:sz="4" w:space="0"/>
              <w:left w:val="single" w:color="000000" w:sz="4" w:space="0"/>
              <w:bottom w:val="single" w:color="000000" w:sz="4" w:space="0"/>
              <w:right w:val="single" w:color="000000" w:sz="4" w:space="0"/>
            </w:tcBorders>
            <w:vAlign w:val="center"/>
          </w:tcPr>
          <w:p w14:paraId="210F4D52">
            <w:pPr>
              <w:ind w:firstLine="0" w:firstLineChars="0"/>
            </w:pPr>
            <w:r>
              <w:rPr>
                <w:rFonts w:hint="eastAsia"/>
              </w:rPr>
              <w:t>科研智能辅助子系统门户建设-统一搜索能力</w:t>
            </w:r>
          </w:p>
        </w:tc>
        <w:tc>
          <w:tcPr>
            <w:tcW w:w="5670" w:type="dxa"/>
            <w:tcBorders>
              <w:top w:val="single" w:color="000000" w:sz="4" w:space="0"/>
              <w:left w:val="single" w:color="000000" w:sz="4" w:space="0"/>
              <w:bottom w:val="single" w:color="000000" w:sz="4" w:space="0"/>
              <w:right w:val="single" w:color="000000" w:sz="4" w:space="0"/>
            </w:tcBorders>
            <w:vAlign w:val="center"/>
          </w:tcPr>
          <w:p w14:paraId="63160ED7">
            <w:pPr>
              <w:ind w:firstLine="0" w:firstLineChars="0"/>
            </w:pPr>
            <w:r>
              <w:rPr>
                <w:rFonts w:hint="eastAsia"/>
              </w:rPr>
              <w:t>学术数据库、专利库、内部知识库、开放获取资源等，提供一站式文献发现。</w:t>
            </w:r>
          </w:p>
        </w:tc>
      </w:tr>
      <w:tr w14:paraId="22C89B46">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33D6C867">
            <w:pPr>
              <w:ind w:firstLine="0" w:firstLineChars="0"/>
              <w:jc w:val="center"/>
            </w:pPr>
            <w:r>
              <w:rPr>
                <w:rFonts w:hint="eastAsia"/>
              </w:rPr>
              <w:t>13</w:t>
            </w:r>
          </w:p>
        </w:tc>
        <w:tc>
          <w:tcPr>
            <w:tcW w:w="2068" w:type="dxa"/>
            <w:tcBorders>
              <w:top w:val="single" w:color="000000" w:sz="4" w:space="0"/>
              <w:left w:val="single" w:color="000000" w:sz="4" w:space="0"/>
              <w:bottom w:val="single" w:color="000000" w:sz="4" w:space="0"/>
              <w:right w:val="single" w:color="000000" w:sz="4" w:space="0"/>
            </w:tcBorders>
            <w:vAlign w:val="center"/>
          </w:tcPr>
          <w:p w14:paraId="51D2ED6F">
            <w:pPr>
              <w:ind w:firstLine="0" w:firstLineChars="0"/>
            </w:pPr>
            <w:r>
              <w:rPr>
                <w:rFonts w:hint="eastAsia"/>
              </w:rPr>
              <w:t>科研智能辅助子系统门户建设-文献关联与知识图谱</w:t>
            </w:r>
          </w:p>
        </w:tc>
        <w:tc>
          <w:tcPr>
            <w:tcW w:w="5670" w:type="dxa"/>
            <w:tcBorders>
              <w:top w:val="single" w:color="000000" w:sz="4" w:space="0"/>
              <w:left w:val="single" w:color="000000" w:sz="4" w:space="0"/>
              <w:bottom w:val="single" w:color="000000" w:sz="4" w:space="0"/>
              <w:right w:val="single" w:color="000000" w:sz="4" w:space="0"/>
            </w:tcBorders>
            <w:vAlign w:val="center"/>
          </w:tcPr>
          <w:p w14:paraId="23EBA93F">
            <w:pPr>
              <w:ind w:firstLine="0" w:firstLineChars="0"/>
            </w:pPr>
            <w:r>
              <w:rPr>
                <w:rFonts w:hint="eastAsia"/>
              </w:rPr>
              <w:t>自动发现文献间的引用关系、主题关联、作者合作网络，构建领域知识图谱，辅助洞察研究趋势和热点。</w:t>
            </w:r>
          </w:p>
        </w:tc>
      </w:tr>
      <w:tr w14:paraId="7799EFE3">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04F9878D">
            <w:pPr>
              <w:ind w:firstLine="0" w:firstLineChars="0"/>
              <w:jc w:val="center"/>
            </w:pPr>
            <w:r>
              <w:rPr>
                <w:rFonts w:hint="eastAsia"/>
              </w:rPr>
              <w:t>14</w:t>
            </w:r>
          </w:p>
        </w:tc>
        <w:tc>
          <w:tcPr>
            <w:tcW w:w="2068" w:type="dxa"/>
            <w:tcBorders>
              <w:top w:val="single" w:color="000000" w:sz="4" w:space="0"/>
              <w:left w:val="single" w:color="000000" w:sz="4" w:space="0"/>
              <w:bottom w:val="single" w:color="000000" w:sz="4" w:space="0"/>
              <w:right w:val="single" w:color="000000" w:sz="4" w:space="0"/>
            </w:tcBorders>
            <w:vAlign w:val="center"/>
          </w:tcPr>
          <w:p w14:paraId="73D1EBC2">
            <w:pPr>
              <w:ind w:firstLine="0" w:firstLineChars="0"/>
            </w:pPr>
            <w:r>
              <w:rPr>
                <w:rFonts w:hint="eastAsia"/>
              </w:rPr>
              <w:t>科研智能辅助子系统门户建设-统一消息功能</w:t>
            </w:r>
          </w:p>
        </w:tc>
        <w:tc>
          <w:tcPr>
            <w:tcW w:w="5670" w:type="dxa"/>
            <w:tcBorders>
              <w:top w:val="single" w:color="000000" w:sz="4" w:space="0"/>
              <w:left w:val="single" w:color="000000" w:sz="4" w:space="0"/>
              <w:bottom w:val="single" w:color="000000" w:sz="4" w:space="0"/>
              <w:right w:val="single" w:color="000000" w:sz="4" w:space="0"/>
            </w:tcBorders>
            <w:vAlign w:val="center"/>
          </w:tcPr>
          <w:p w14:paraId="574E72E0">
            <w:pPr>
              <w:ind w:firstLine="0" w:firstLineChars="0"/>
            </w:pPr>
            <w:r>
              <w:rPr>
                <w:rFonts w:hint="eastAsia"/>
              </w:rPr>
              <w:t>构建AI门户的消息接入能力。（1）健全消息统一管理机制</w:t>
            </w:r>
            <w:r>
              <w:rPr>
                <w:rFonts w:hint="eastAsia"/>
                <w:lang w:eastAsia="zh-CN"/>
              </w:rPr>
              <w:t>、</w:t>
            </w:r>
            <w:r>
              <w:rPr>
                <w:rFonts w:hint="eastAsia"/>
              </w:rPr>
              <w:t>（2）完善消息监控、统计分析、调度能力</w:t>
            </w:r>
            <w:r>
              <w:rPr>
                <w:rFonts w:hint="eastAsia"/>
                <w:lang w:eastAsia="zh-CN"/>
              </w:rPr>
              <w:t>、</w:t>
            </w:r>
            <w:r>
              <w:rPr>
                <w:rFonts w:hint="eastAsia"/>
              </w:rPr>
              <w:t>（3）提升门户消息管理的性能保障能力。</w:t>
            </w:r>
          </w:p>
        </w:tc>
      </w:tr>
      <w:tr w14:paraId="284CD4BF">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6794C29C">
            <w:pPr>
              <w:ind w:firstLine="0" w:firstLineChars="0"/>
              <w:jc w:val="center"/>
            </w:pPr>
            <w:r>
              <w:rPr>
                <w:rFonts w:hint="eastAsia"/>
              </w:rPr>
              <w:t>15</w:t>
            </w:r>
          </w:p>
        </w:tc>
        <w:tc>
          <w:tcPr>
            <w:tcW w:w="2068" w:type="dxa"/>
            <w:tcBorders>
              <w:top w:val="single" w:color="000000" w:sz="4" w:space="0"/>
              <w:left w:val="single" w:color="000000" w:sz="4" w:space="0"/>
              <w:bottom w:val="single" w:color="000000" w:sz="4" w:space="0"/>
              <w:right w:val="single" w:color="000000" w:sz="4" w:space="0"/>
            </w:tcBorders>
            <w:vAlign w:val="center"/>
          </w:tcPr>
          <w:p w14:paraId="50FAD148">
            <w:pPr>
              <w:ind w:firstLine="0" w:firstLineChars="0"/>
            </w:pPr>
            <w:r>
              <w:rPr>
                <w:rFonts w:hint="eastAsia"/>
              </w:rPr>
              <w:t>科研智能辅助子系统门户建设-统一权限功能</w:t>
            </w:r>
          </w:p>
        </w:tc>
        <w:tc>
          <w:tcPr>
            <w:tcW w:w="5670" w:type="dxa"/>
            <w:tcBorders>
              <w:top w:val="single" w:color="000000" w:sz="4" w:space="0"/>
              <w:left w:val="single" w:color="000000" w:sz="4" w:space="0"/>
              <w:bottom w:val="single" w:color="000000" w:sz="4" w:space="0"/>
              <w:right w:val="single" w:color="000000" w:sz="4" w:space="0"/>
            </w:tcBorders>
            <w:vAlign w:val="center"/>
          </w:tcPr>
          <w:p w14:paraId="413BA59A">
            <w:pPr>
              <w:ind w:firstLine="0" w:firstLineChars="0"/>
            </w:pPr>
            <w:r>
              <w:rPr>
                <w:rFonts w:hint="eastAsia"/>
              </w:rPr>
              <w:t>细粒度的权限控制，确保数据安全和项目保密性。</w:t>
            </w:r>
          </w:p>
        </w:tc>
      </w:tr>
      <w:tr w14:paraId="1228545A">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268A6806">
            <w:pPr>
              <w:ind w:firstLine="0" w:firstLineChars="0"/>
              <w:jc w:val="center"/>
            </w:pPr>
            <w:r>
              <w:rPr>
                <w:rFonts w:hint="eastAsia"/>
              </w:rPr>
              <w:t>16</w:t>
            </w:r>
          </w:p>
        </w:tc>
        <w:tc>
          <w:tcPr>
            <w:tcW w:w="2068" w:type="dxa"/>
            <w:tcBorders>
              <w:top w:val="single" w:color="000000" w:sz="4" w:space="0"/>
              <w:left w:val="single" w:color="000000" w:sz="4" w:space="0"/>
              <w:bottom w:val="single" w:color="000000" w:sz="4" w:space="0"/>
              <w:right w:val="single" w:color="000000" w:sz="4" w:space="0"/>
            </w:tcBorders>
            <w:vAlign w:val="center"/>
          </w:tcPr>
          <w:p w14:paraId="26C57058">
            <w:pPr>
              <w:ind w:firstLine="0" w:firstLineChars="0"/>
            </w:pPr>
            <w:r>
              <w:rPr>
                <w:rFonts w:hint="eastAsia"/>
              </w:rPr>
              <w:t>多源数据统计分析报表生成</w:t>
            </w:r>
          </w:p>
        </w:tc>
        <w:tc>
          <w:tcPr>
            <w:tcW w:w="5670" w:type="dxa"/>
            <w:tcBorders>
              <w:top w:val="single" w:color="000000" w:sz="4" w:space="0"/>
              <w:left w:val="single" w:color="000000" w:sz="4" w:space="0"/>
              <w:bottom w:val="single" w:color="000000" w:sz="4" w:space="0"/>
              <w:right w:val="single" w:color="000000" w:sz="4" w:space="0"/>
            </w:tcBorders>
            <w:vAlign w:val="center"/>
          </w:tcPr>
          <w:p w14:paraId="7F73A25A">
            <w:pPr>
              <w:ind w:firstLine="0" w:firstLineChars="0"/>
            </w:pPr>
            <w:r>
              <w:rPr>
                <w:rFonts w:hint="eastAsia"/>
              </w:rPr>
              <w:t>统计分析多个数据源数据情况，并生成详细的统计报表</w:t>
            </w:r>
          </w:p>
        </w:tc>
      </w:tr>
      <w:tr w14:paraId="2FE98021">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3038CBB3">
            <w:pPr>
              <w:ind w:firstLine="0" w:firstLineChars="0"/>
              <w:jc w:val="center"/>
            </w:pPr>
            <w:r>
              <w:rPr>
                <w:rFonts w:hint="eastAsia"/>
              </w:rPr>
              <w:t>17</w:t>
            </w:r>
          </w:p>
        </w:tc>
        <w:tc>
          <w:tcPr>
            <w:tcW w:w="2068" w:type="dxa"/>
            <w:tcBorders>
              <w:top w:val="single" w:color="000000" w:sz="4" w:space="0"/>
              <w:left w:val="single" w:color="000000" w:sz="4" w:space="0"/>
              <w:bottom w:val="single" w:color="000000" w:sz="4" w:space="0"/>
              <w:right w:val="single" w:color="000000" w:sz="4" w:space="0"/>
            </w:tcBorders>
            <w:vAlign w:val="center"/>
          </w:tcPr>
          <w:p w14:paraId="0DEB650D">
            <w:pPr>
              <w:ind w:firstLine="0" w:firstLineChars="0"/>
            </w:pPr>
            <w:r>
              <w:rPr>
                <w:rFonts w:hint="eastAsia"/>
              </w:rPr>
              <w:t>高级数据分析与可视化</w:t>
            </w:r>
          </w:p>
        </w:tc>
        <w:tc>
          <w:tcPr>
            <w:tcW w:w="5670" w:type="dxa"/>
            <w:tcBorders>
              <w:top w:val="single" w:color="000000" w:sz="4" w:space="0"/>
              <w:left w:val="single" w:color="000000" w:sz="4" w:space="0"/>
              <w:bottom w:val="single" w:color="000000" w:sz="4" w:space="0"/>
              <w:right w:val="single" w:color="000000" w:sz="4" w:space="0"/>
            </w:tcBorders>
            <w:vAlign w:val="center"/>
          </w:tcPr>
          <w:p w14:paraId="1A906117">
            <w:pPr>
              <w:ind w:firstLine="0" w:firstLineChars="0"/>
            </w:pPr>
            <w:r>
              <w:rPr>
                <w:rFonts w:hint="eastAsia"/>
              </w:rPr>
              <w:t>对绿化项目的多源数据进行深度分析，生成直观的可视化图表。可视化工具包括折线图、柱状图、热力图、散点图等，支持交互式操作，用户可以通过点击、缩放等方式深入探索数据.</w:t>
            </w:r>
          </w:p>
        </w:tc>
      </w:tr>
      <w:tr w14:paraId="016AA2E0">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2BE5447C">
            <w:pPr>
              <w:ind w:firstLine="0" w:firstLineChars="0"/>
              <w:jc w:val="center"/>
            </w:pPr>
            <w:r>
              <w:rPr>
                <w:rFonts w:hint="eastAsia"/>
              </w:rPr>
              <w:t>18</w:t>
            </w:r>
          </w:p>
        </w:tc>
        <w:tc>
          <w:tcPr>
            <w:tcW w:w="2068" w:type="dxa"/>
            <w:tcBorders>
              <w:top w:val="single" w:color="000000" w:sz="4" w:space="0"/>
              <w:left w:val="single" w:color="000000" w:sz="4" w:space="0"/>
              <w:bottom w:val="single" w:color="000000" w:sz="4" w:space="0"/>
              <w:right w:val="single" w:color="000000" w:sz="4" w:space="0"/>
            </w:tcBorders>
            <w:vAlign w:val="center"/>
          </w:tcPr>
          <w:p w14:paraId="1581225D">
            <w:pPr>
              <w:ind w:firstLine="0" w:firstLineChars="0"/>
            </w:pPr>
            <w:r>
              <w:rPr>
                <w:rFonts w:hint="eastAsia"/>
              </w:rPr>
              <w:t>综合评估与预测</w:t>
            </w:r>
          </w:p>
        </w:tc>
        <w:tc>
          <w:tcPr>
            <w:tcW w:w="5670" w:type="dxa"/>
            <w:tcBorders>
              <w:top w:val="single" w:color="000000" w:sz="4" w:space="0"/>
              <w:left w:val="single" w:color="000000" w:sz="4" w:space="0"/>
              <w:bottom w:val="single" w:color="000000" w:sz="4" w:space="0"/>
              <w:right w:val="single" w:color="000000" w:sz="4" w:space="0"/>
            </w:tcBorders>
            <w:vAlign w:val="center"/>
          </w:tcPr>
          <w:p w14:paraId="1610110B">
            <w:pPr>
              <w:ind w:firstLine="0" w:firstLineChars="0"/>
            </w:pPr>
            <w:r>
              <w:rPr>
                <w:rFonts w:hint="eastAsia"/>
              </w:rPr>
              <w:t>通过对多维度数据进行综合评估，生成详细的评估报告。评估维度包括生态效益、经济效益、社会效益等。系统还会基于历史数据和当前数据，进行预测分析，帮助决策者预见未来的挑战和机遇。</w:t>
            </w:r>
          </w:p>
        </w:tc>
      </w:tr>
      <w:tr w14:paraId="58FA33D3">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72F7109D">
            <w:pPr>
              <w:ind w:firstLine="0" w:firstLineChars="0"/>
              <w:jc w:val="center"/>
            </w:pPr>
            <w:r>
              <w:rPr>
                <w:rFonts w:hint="eastAsia"/>
              </w:rPr>
              <w:t>19</w:t>
            </w:r>
          </w:p>
        </w:tc>
        <w:tc>
          <w:tcPr>
            <w:tcW w:w="2068" w:type="dxa"/>
            <w:tcBorders>
              <w:top w:val="single" w:color="000000" w:sz="4" w:space="0"/>
              <w:left w:val="single" w:color="000000" w:sz="4" w:space="0"/>
              <w:bottom w:val="single" w:color="000000" w:sz="4" w:space="0"/>
              <w:right w:val="single" w:color="000000" w:sz="4" w:space="0"/>
            </w:tcBorders>
          </w:tcPr>
          <w:p w14:paraId="0B453B72">
            <w:pPr>
              <w:ind w:firstLine="0" w:firstLineChars="0"/>
            </w:pPr>
            <w:r>
              <w:rPr>
                <w:rFonts w:hint="eastAsia"/>
              </w:rPr>
              <w:t>密码安全应用模块</w:t>
            </w:r>
          </w:p>
        </w:tc>
        <w:tc>
          <w:tcPr>
            <w:tcW w:w="5670" w:type="dxa"/>
            <w:tcBorders>
              <w:top w:val="single" w:color="000000" w:sz="4" w:space="0"/>
              <w:left w:val="single" w:color="000000" w:sz="4" w:space="0"/>
              <w:bottom w:val="single" w:color="000000" w:sz="4" w:space="0"/>
              <w:right w:val="single" w:color="000000" w:sz="4" w:space="0"/>
            </w:tcBorders>
          </w:tcPr>
          <w:p w14:paraId="7A062C59">
            <w:pPr>
              <w:ind w:firstLine="0" w:firstLineChars="0"/>
            </w:pPr>
            <w:r>
              <w:rPr>
                <w:rFonts w:hint="eastAsia"/>
              </w:rPr>
              <w:t>用户身份认证机制模块、用户访问控制信息签名验签模块、应用系统重要数据签名验签模块</w:t>
            </w:r>
            <w:r>
              <w:rPr>
                <w:rFonts w:hint="eastAsia"/>
              </w:rPr>
              <w:tab/>
            </w:r>
          </w:p>
          <w:p w14:paraId="59E04B6A">
            <w:pPr>
              <w:ind w:firstLine="0" w:firstLineChars="0"/>
            </w:pPr>
            <w:r>
              <w:rPr>
                <w:rFonts w:hint="eastAsia"/>
              </w:rPr>
              <w:t>应用系统重要数据加解密模块、服务器虚拟机设备日志/访问控制信息完整性模块</w:t>
            </w:r>
            <w:r>
              <w:rPr>
                <w:rFonts w:hint="eastAsia"/>
              </w:rPr>
              <w:tab/>
            </w:r>
          </w:p>
          <w:p w14:paraId="0CBA0FBB">
            <w:pPr>
              <w:ind w:firstLine="0" w:firstLineChars="0"/>
            </w:pPr>
            <w:r>
              <w:rPr>
                <w:rFonts w:hint="eastAsia"/>
              </w:rPr>
              <w:t>业务重要数据安全传输模块、重要可执行程序签名验签模块</w:t>
            </w:r>
          </w:p>
        </w:tc>
      </w:tr>
      <w:tr w14:paraId="164418F4">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11A31D04">
            <w:pPr>
              <w:ind w:firstLine="0" w:firstLineChars="0"/>
              <w:jc w:val="center"/>
            </w:pPr>
            <w:r>
              <w:rPr>
                <w:rFonts w:hint="eastAsia"/>
              </w:rPr>
              <w:t>20</w:t>
            </w:r>
          </w:p>
        </w:tc>
        <w:tc>
          <w:tcPr>
            <w:tcW w:w="2068" w:type="dxa"/>
            <w:tcBorders>
              <w:top w:val="single" w:color="000000" w:sz="4" w:space="0"/>
              <w:left w:val="single" w:color="000000" w:sz="4" w:space="0"/>
              <w:bottom w:val="single" w:color="000000" w:sz="4" w:space="0"/>
              <w:right w:val="single" w:color="000000" w:sz="4" w:space="0"/>
            </w:tcBorders>
            <w:vAlign w:val="center"/>
          </w:tcPr>
          <w:p w14:paraId="399CE37E">
            <w:pPr>
              <w:ind w:firstLine="0" w:firstLineChars="0"/>
            </w:pPr>
            <w:r>
              <w:rPr>
                <w:rFonts w:hint="eastAsia"/>
              </w:rPr>
              <w:t>数据预处理-数据处理（过滤、去重）</w:t>
            </w:r>
          </w:p>
        </w:tc>
        <w:tc>
          <w:tcPr>
            <w:tcW w:w="5670" w:type="dxa"/>
            <w:tcBorders>
              <w:top w:val="single" w:color="000000" w:sz="4" w:space="0"/>
              <w:left w:val="single" w:color="000000" w:sz="4" w:space="0"/>
              <w:bottom w:val="single" w:color="000000" w:sz="4" w:space="0"/>
              <w:right w:val="single" w:color="000000" w:sz="4" w:space="0"/>
            </w:tcBorders>
            <w:vAlign w:val="center"/>
          </w:tcPr>
          <w:p w14:paraId="52D025B9">
            <w:pPr>
              <w:ind w:firstLine="0" w:firstLineChars="0"/>
            </w:pPr>
            <w:r>
              <w:rPr>
                <w:rFonts w:hint="eastAsia"/>
              </w:rPr>
              <w:t>对园科院及兄弟科研单位提供的科研项目管理数据、生态环境要素数据、碳汇监测数据进行初步筛选和自动过滤，移除重复记录，确保数据唯一性；</w:t>
            </w:r>
          </w:p>
        </w:tc>
      </w:tr>
      <w:tr w14:paraId="0C472886">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4D7E0DF3">
            <w:pPr>
              <w:ind w:firstLine="0" w:firstLineChars="0"/>
              <w:jc w:val="center"/>
            </w:pPr>
            <w:r>
              <w:rPr>
                <w:rFonts w:hint="eastAsia"/>
              </w:rPr>
              <w:t>21</w:t>
            </w:r>
          </w:p>
        </w:tc>
        <w:tc>
          <w:tcPr>
            <w:tcW w:w="2068" w:type="dxa"/>
            <w:tcBorders>
              <w:top w:val="single" w:color="000000" w:sz="4" w:space="0"/>
              <w:left w:val="single" w:color="000000" w:sz="4" w:space="0"/>
              <w:bottom w:val="single" w:color="000000" w:sz="4" w:space="0"/>
              <w:right w:val="single" w:color="000000" w:sz="4" w:space="0"/>
            </w:tcBorders>
            <w:vAlign w:val="center"/>
          </w:tcPr>
          <w:p w14:paraId="77E9FDCA">
            <w:pPr>
              <w:ind w:firstLine="0" w:firstLineChars="0"/>
            </w:pPr>
            <w:r>
              <w:rPr>
                <w:rFonts w:hint="eastAsia"/>
              </w:rPr>
              <w:t>数据预处理-数据处理（去隐私）</w:t>
            </w:r>
          </w:p>
        </w:tc>
        <w:tc>
          <w:tcPr>
            <w:tcW w:w="5670" w:type="dxa"/>
            <w:tcBorders>
              <w:top w:val="single" w:color="000000" w:sz="4" w:space="0"/>
              <w:left w:val="single" w:color="000000" w:sz="4" w:space="0"/>
              <w:bottom w:val="single" w:color="000000" w:sz="4" w:space="0"/>
              <w:right w:val="single" w:color="000000" w:sz="4" w:space="0"/>
            </w:tcBorders>
            <w:vAlign w:val="center"/>
          </w:tcPr>
          <w:p w14:paraId="66BA1868">
            <w:pPr>
              <w:ind w:firstLine="0" w:firstLineChars="0"/>
            </w:pPr>
            <w:r>
              <w:rPr>
                <w:rFonts w:hint="eastAsia"/>
              </w:rPr>
              <w:t>针对隐私敏感信息（如个人姓名、联系方式、敏感地理坐标）进行匿名化脱敏处理；</w:t>
            </w:r>
          </w:p>
        </w:tc>
      </w:tr>
      <w:tr w14:paraId="4246B8EF">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20EA4EE2">
            <w:pPr>
              <w:ind w:firstLine="0" w:firstLineChars="0"/>
              <w:jc w:val="center"/>
            </w:pPr>
            <w:r>
              <w:rPr>
                <w:rFonts w:hint="eastAsia"/>
              </w:rPr>
              <w:t>22</w:t>
            </w:r>
          </w:p>
        </w:tc>
        <w:tc>
          <w:tcPr>
            <w:tcW w:w="2068" w:type="dxa"/>
            <w:tcBorders>
              <w:top w:val="single" w:color="000000" w:sz="4" w:space="0"/>
              <w:left w:val="single" w:color="000000" w:sz="4" w:space="0"/>
              <w:bottom w:val="single" w:color="000000" w:sz="4" w:space="0"/>
              <w:right w:val="single" w:color="000000" w:sz="4" w:space="0"/>
            </w:tcBorders>
            <w:vAlign w:val="center"/>
          </w:tcPr>
          <w:p w14:paraId="57E10267">
            <w:pPr>
              <w:ind w:firstLine="0" w:firstLineChars="0"/>
            </w:pPr>
            <w:r>
              <w:rPr>
                <w:rFonts w:hint="eastAsia"/>
              </w:rPr>
              <w:t>数据预处理-数据处理（文本规范化）</w:t>
            </w:r>
          </w:p>
        </w:tc>
        <w:tc>
          <w:tcPr>
            <w:tcW w:w="5670" w:type="dxa"/>
            <w:tcBorders>
              <w:top w:val="single" w:color="000000" w:sz="4" w:space="0"/>
              <w:left w:val="single" w:color="000000" w:sz="4" w:space="0"/>
              <w:bottom w:val="single" w:color="000000" w:sz="4" w:space="0"/>
              <w:right w:val="single" w:color="000000" w:sz="4" w:space="0"/>
            </w:tcBorders>
            <w:vAlign w:val="center"/>
          </w:tcPr>
          <w:p w14:paraId="6E25FC23">
            <w:pPr>
              <w:ind w:firstLine="0" w:firstLineChars="0"/>
            </w:pPr>
            <w:r>
              <w:rPr>
                <w:rFonts w:hint="eastAsia"/>
              </w:rPr>
              <w:t>科研论文、标准规范、实验室报告等文本类文档进行统一的规范化格式处理，包括但不限于去除特殊字符、统一术语标准、格式校正、排版统一；</w:t>
            </w:r>
          </w:p>
        </w:tc>
      </w:tr>
      <w:tr w14:paraId="5F26ED32">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2E318A28">
            <w:pPr>
              <w:ind w:firstLine="0" w:firstLineChars="0"/>
              <w:jc w:val="center"/>
            </w:pPr>
            <w:r>
              <w:rPr>
                <w:rFonts w:hint="eastAsia"/>
              </w:rPr>
              <w:t>23</w:t>
            </w:r>
          </w:p>
        </w:tc>
        <w:tc>
          <w:tcPr>
            <w:tcW w:w="2068" w:type="dxa"/>
            <w:tcBorders>
              <w:top w:val="single" w:color="000000" w:sz="4" w:space="0"/>
              <w:left w:val="single" w:color="000000" w:sz="4" w:space="0"/>
              <w:bottom w:val="single" w:color="000000" w:sz="4" w:space="0"/>
              <w:right w:val="single" w:color="000000" w:sz="4" w:space="0"/>
            </w:tcBorders>
            <w:vAlign w:val="center"/>
          </w:tcPr>
          <w:p w14:paraId="3D8DF87F">
            <w:pPr>
              <w:ind w:firstLine="0" w:firstLineChars="0"/>
            </w:pPr>
            <w:r>
              <w:rPr>
                <w:rFonts w:hint="eastAsia"/>
              </w:rPr>
              <w:t>数据预处理-数据处理（OCR扫描）</w:t>
            </w:r>
          </w:p>
        </w:tc>
        <w:tc>
          <w:tcPr>
            <w:tcW w:w="5670" w:type="dxa"/>
            <w:tcBorders>
              <w:top w:val="single" w:color="000000" w:sz="4" w:space="0"/>
              <w:left w:val="single" w:color="000000" w:sz="4" w:space="0"/>
              <w:bottom w:val="single" w:color="000000" w:sz="4" w:space="0"/>
              <w:right w:val="single" w:color="000000" w:sz="4" w:space="0"/>
            </w:tcBorders>
            <w:vAlign w:val="center"/>
          </w:tcPr>
          <w:p w14:paraId="0A83036C">
            <w:pPr>
              <w:ind w:firstLine="0" w:firstLineChars="0"/>
            </w:pPr>
            <w:r>
              <w:rPr>
                <w:rFonts w:hint="eastAsia"/>
              </w:rPr>
              <w:t>纸质文件扫描后，通过OCR识别形成可编辑文本，人工审核校验OCR识别结果，确保文字识别准确率达到95%以上，并进行格式统一规范。</w:t>
            </w:r>
          </w:p>
        </w:tc>
      </w:tr>
      <w:tr w14:paraId="4C77A767">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73668262">
            <w:pPr>
              <w:ind w:firstLine="0" w:firstLineChars="0"/>
              <w:jc w:val="center"/>
            </w:pPr>
            <w:r>
              <w:rPr>
                <w:rFonts w:hint="eastAsia"/>
              </w:rPr>
              <w:t>24</w:t>
            </w:r>
          </w:p>
        </w:tc>
        <w:tc>
          <w:tcPr>
            <w:tcW w:w="2068" w:type="dxa"/>
            <w:tcBorders>
              <w:top w:val="single" w:color="000000" w:sz="4" w:space="0"/>
              <w:left w:val="single" w:color="000000" w:sz="4" w:space="0"/>
              <w:bottom w:val="single" w:color="000000" w:sz="4" w:space="0"/>
              <w:right w:val="single" w:color="000000" w:sz="4" w:space="0"/>
            </w:tcBorders>
            <w:vAlign w:val="center"/>
          </w:tcPr>
          <w:p w14:paraId="3EA4E708">
            <w:pPr>
              <w:ind w:firstLine="0" w:firstLineChars="0"/>
            </w:pPr>
            <w:r>
              <w:rPr>
                <w:rFonts w:hint="eastAsia"/>
              </w:rPr>
              <w:t>数据预处理-数据增强（文本数据增强）</w:t>
            </w:r>
          </w:p>
        </w:tc>
        <w:tc>
          <w:tcPr>
            <w:tcW w:w="5670" w:type="dxa"/>
            <w:tcBorders>
              <w:top w:val="single" w:color="000000" w:sz="4" w:space="0"/>
              <w:left w:val="single" w:color="000000" w:sz="4" w:space="0"/>
              <w:bottom w:val="single" w:color="000000" w:sz="4" w:space="0"/>
              <w:right w:val="single" w:color="000000" w:sz="4" w:space="0"/>
            </w:tcBorders>
            <w:vAlign w:val="center"/>
          </w:tcPr>
          <w:p w14:paraId="573FFA71">
            <w:pPr>
              <w:ind w:firstLine="0" w:firstLineChars="0"/>
            </w:pPr>
            <w:r>
              <w:rPr>
                <w:rFonts w:hint="eastAsia"/>
              </w:rPr>
              <w:t>文本数据增强服务：通过自然语言处理技术，如同义词替换、语义扩展、上下文重组等策略，提高科研文档的文本丰富度；</w:t>
            </w:r>
          </w:p>
        </w:tc>
      </w:tr>
      <w:tr w14:paraId="2EB7FD76">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255DF8E8">
            <w:pPr>
              <w:ind w:firstLine="0" w:firstLineChars="0"/>
              <w:jc w:val="center"/>
            </w:pPr>
            <w:r>
              <w:rPr>
                <w:rFonts w:hint="eastAsia"/>
              </w:rPr>
              <w:t>25</w:t>
            </w:r>
          </w:p>
        </w:tc>
        <w:tc>
          <w:tcPr>
            <w:tcW w:w="2068" w:type="dxa"/>
            <w:tcBorders>
              <w:top w:val="single" w:color="000000" w:sz="4" w:space="0"/>
              <w:left w:val="single" w:color="000000" w:sz="4" w:space="0"/>
              <w:bottom w:val="single" w:color="000000" w:sz="4" w:space="0"/>
              <w:right w:val="single" w:color="000000" w:sz="4" w:space="0"/>
            </w:tcBorders>
            <w:vAlign w:val="center"/>
          </w:tcPr>
          <w:p w14:paraId="212291A2">
            <w:pPr>
              <w:ind w:firstLine="0" w:firstLineChars="0"/>
            </w:pPr>
            <w:r>
              <w:rPr>
                <w:rFonts w:hint="eastAsia"/>
              </w:rPr>
              <w:t>数据预处理-数据增强（图像数据增强）</w:t>
            </w:r>
          </w:p>
        </w:tc>
        <w:tc>
          <w:tcPr>
            <w:tcW w:w="5670" w:type="dxa"/>
            <w:tcBorders>
              <w:top w:val="single" w:color="000000" w:sz="4" w:space="0"/>
              <w:left w:val="single" w:color="000000" w:sz="4" w:space="0"/>
              <w:bottom w:val="single" w:color="000000" w:sz="4" w:space="0"/>
              <w:right w:val="single" w:color="000000" w:sz="4" w:space="0"/>
            </w:tcBorders>
            <w:vAlign w:val="center"/>
          </w:tcPr>
          <w:p w14:paraId="4639B3EA">
            <w:pPr>
              <w:ind w:firstLine="0" w:firstLineChars="0"/>
            </w:pPr>
            <w:r>
              <w:rPr>
                <w:rFonts w:hint="eastAsia"/>
              </w:rPr>
              <w:t>图像数据增强服务：对生态环境要素图像、实验室检测图像进行分辨率提升、噪声去除、色彩校正和增强，提升图像数据的可读性与后续分析准确性；</w:t>
            </w:r>
          </w:p>
        </w:tc>
      </w:tr>
      <w:tr w14:paraId="49D1760D">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63836F75">
            <w:pPr>
              <w:ind w:firstLine="0" w:firstLineChars="0"/>
              <w:jc w:val="center"/>
            </w:pPr>
            <w:r>
              <w:rPr>
                <w:rFonts w:hint="eastAsia"/>
              </w:rPr>
              <w:t>26</w:t>
            </w:r>
          </w:p>
        </w:tc>
        <w:tc>
          <w:tcPr>
            <w:tcW w:w="2068" w:type="dxa"/>
            <w:tcBorders>
              <w:top w:val="single" w:color="000000" w:sz="4" w:space="0"/>
              <w:left w:val="single" w:color="000000" w:sz="4" w:space="0"/>
              <w:bottom w:val="single" w:color="000000" w:sz="4" w:space="0"/>
              <w:right w:val="single" w:color="000000" w:sz="4" w:space="0"/>
            </w:tcBorders>
            <w:vAlign w:val="center"/>
          </w:tcPr>
          <w:p w14:paraId="4457C24E">
            <w:pPr>
              <w:ind w:firstLine="0" w:firstLineChars="0"/>
            </w:pPr>
            <w:r>
              <w:rPr>
                <w:rFonts w:hint="eastAsia"/>
              </w:rPr>
              <w:t>数据预处理-数据增强（增强数据验证）</w:t>
            </w:r>
          </w:p>
        </w:tc>
        <w:tc>
          <w:tcPr>
            <w:tcW w:w="5670" w:type="dxa"/>
            <w:tcBorders>
              <w:top w:val="single" w:color="000000" w:sz="4" w:space="0"/>
              <w:left w:val="single" w:color="000000" w:sz="4" w:space="0"/>
              <w:bottom w:val="single" w:color="000000" w:sz="4" w:space="0"/>
              <w:right w:val="single" w:color="000000" w:sz="4" w:space="0"/>
            </w:tcBorders>
            <w:vAlign w:val="center"/>
          </w:tcPr>
          <w:p w14:paraId="75C60C44">
            <w:pPr>
              <w:ind w:firstLine="0" w:firstLineChars="0"/>
            </w:pPr>
            <w:r>
              <w:rPr>
                <w:rFonts w:hint="eastAsia"/>
              </w:rPr>
              <w:t>数据验证增强：对增强后的文本及图像进行严格验证，采用人工抽样复核与自动校验相结合的方式，确保增强数据的一致性和有效性，抽样复核覆盖率不低于10%。</w:t>
            </w:r>
          </w:p>
        </w:tc>
      </w:tr>
      <w:tr w14:paraId="2611B8F8">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03AAB98D">
            <w:pPr>
              <w:ind w:firstLine="0" w:firstLineChars="0"/>
              <w:jc w:val="center"/>
            </w:pPr>
            <w:r>
              <w:rPr>
                <w:rFonts w:hint="eastAsia"/>
              </w:rPr>
              <w:t>27</w:t>
            </w:r>
          </w:p>
        </w:tc>
        <w:tc>
          <w:tcPr>
            <w:tcW w:w="2068" w:type="dxa"/>
            <w:tcBorders>
              <w:top w:val="single" w:color="000000" w:sz="4" w:space="0"/>
              <w:left w:val="single" w:color="000000" w:sz="4" w:space="0"/>
              <w:bottom w:val="single" w:color="000000" w:sz="4" w:space="0"/>
              <w:right w:val="single" w:color="000000" w:sz="4" w:space="0"/>
            </w:tcBorders>
            <w:vAlign w:val="center"/>
          </w:tcPr>
          <w:p w14:paraId="479D0E1E">
            <w:pPr>
              <w:ind w:firstLine="0" w:firstLineChars="0"/>
            </w:pPr>
            <w:r>
              <w:rPr>
                <w:rFonts w:hint="eastAsia"/>
              </w:rPr>
              <w:t>数据预处理-数据标注</w:t>
            </w:r>
          </w:p>
        </w:tc>
        <w:tc>
          <w:tcPr>
            <w:tcW w:w="5670" w:type="dxa"/>
            <w:tcBorders>
              <w:top w:val="single" w:color="000000" w:sz="4" w:space="0"/>
              <w:left w:val="single" w:color="000000" w:sz="4" w:space="0"/>
              <w:bottom w:val="single" w:color="000000" w:sz="4" w:space="0"/>
              <w:right w:val="single" w:color="000000" w:sz="4" w:space="0"/>
            </w:tcBorders>
            <w:vAlign w:val="center"/>
          </w:tcPr>
          <w:p w14:paraId="6F338211">
            <w:pPr>
              <w:ind w:firstLine="0" w:firstLineChars="0"/>
            </w:pPr>
            <w:r>
              <w:rPr>
                <w:rFonts w:hint="eastAsia"/>
              </w:rPr>
              <w:t>对科研论文、项目文档和标准规范中涉及生态环境、碳汇监测等科研领域的文本进行语义标注，包括关键词抽取、主题分类标注和实体识别标注；</w:t>
            </w:r>
          </w:p>
        </w:tc>
      </w:tr>
      <w:tr w14:paraId="4DD1B3D7">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10F1C010">
            <w:pPr>
              <w:ind w:firstLine="0" w:firstLineChars="0"/>
              <w:jc w:val="center"/>
            </w:pPr>
            <w:r>
              <w:rPr>
                <w:rFonts w:hint="eastAsia"/>
              </w:rPr>
              <w:t>28</w:t>
            </w:r>
          </w:p>
        </w:tc>
        <w:tc>
          <w:tcPr>
            <w:tcW w:w="2068" w:type="dxa"/>
            <w:tcBorders>
              <w:top w:val="single" w:color="000000" w:sz="4" w:space="0"/>
              <w:left w:val="single" w:color="000000" w:sz="4" w:space="0"/>
              <w:bottom w:val="single" w:color="000000" w:sz="4" w:space="0"/>
              <w:right w:val="single" w:color="000000" w:sz="4" w:space="0"/>
            </w:tcBorders>
            <w:vAlign w:val="center"/>
          </w:tcPr>
          <w:p w14:paraId="2561E19B">
            <w:pPr>
              <w:ind w:firstLine="0" w:firstLineChars="0"/>
            </w:pPr>
            <w:r>
              <w:rPr>
                <w:rFonts w:hint="eastAsia"/>
              </w:rPr>
              <w:t>数据预处理-数据标注（人工）</w:t>
            </w:r>
          </w:p>
        </w:tc>
        <w:tc>
          <w:tcPr>
            <w:tcW w:w="5670" w:type="dxa"/>
            <w:tcBorders>
              <w:top w:val="single" w:color="000000" w:sz="4" w:space="0"/>
              <w:left w:val="single" w:color="000000" w:sz="4" w:space="0"/>
              <w:bottom w:val="single" w:color="000000" w:sz="4" w:space="0"/>
              <w:right w:val="single" w:color="000000" w:sz="4" w:space="0"/>
            </w:tcBorders>
            <w:vAlign w:val="center"/>
          </w:tcPr>
          <w:p w14:paraId="3718CF33">
            <w:pPr>
              <w:ind w:firstLine="0" w:firstLineChars="0"/>
            </w:pPr>
            <w:r>
              <w:rPr>
                <w:rFonts w:hint="eastAsia"/>
              </w:rPr>
              <w:t>人工审核标注结果，确保标注准确性达到90%以上，提供完整的人工复核记录与标注说明文件。</w:t>
            </w:r>
          </w:p>
        </w:tc>
      </w:tr>
      <w:tr w14:paraId="0C5EBD1F">
        <w:tblPrEx>
          <w:tblCellMar>
            <w:top w:w="0" w:type="dxa"/>
            <w:left w:w="108" w:type="dxa"/>
            <w:bottom w:w="0" w:type="dxa"/>
            <w:right w:w="108" w:type="dxa"/>
          </w:tblCellMar>
        </w:tblPrEx>
        <w:trPr>
          <w:trHeight w:val="280"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00ED108F">
            <w:pPr>
              <w:ind w:firstLine="0" w:firstLineChars="0"/>
              <w:jc w:val="center"/>
            </w:pPr>
            <w:r>
              <w:rPr>
                <w:rFonts w:hint="eastAsia"/>
              </w:rPr>
              <w:t>29</w:t>
            </w:r>
          </w:p>
        </w:tc>
        <w:tc>
          <w:tcPr>
            <w:tcW w:w="2068" w:type="dxa"/>
            <w:tcBorders>
              <w:top w:val="single" w:color="000000" w:sz="4" w:space="0"/>
              <w:left w:val="single" w:color="000000" w:sz="4" w:space="0"/>
              <w:bottom w:val="single" w:color="000000" w:sz="4" w:space="0"/>
              <w:right w:val="single" w:color="000000" w:sz="4" w:space="0"/>
            </w:tcBorders>
            <w:vAlign w:val="center"/>
          </w:tcPr>
          <w:p w14:paraId="21A0DC13">
            <w:pPr>
              <w:ind w:firstLine="0" w:firstLineChars="0"/>
            </w:pPr>
            <w:r>
              <w:rPr>
                <w:rFonts w:hint="eastAsia"/>
              </w:rPr>
              <w:t>数据预处理-数据回流</w:t>
            </w:r>
          </w:p>
        </w:tc>
        <w:tc>
          <w:tcPr>
            <w:tcW w:w="5670" w:type="dxa"/>
            <w:tcBorders>
              <w:top w:val="single" w:color="000000" w:sz="4" w:space="0"/>
              <w:left w:val="single" w:color="000000" w:sz="4" w:space="0"/>
              <w:bottom w:val="single" w:color="000000" w:sz="4" w:space="0"/>
              <w:right w:val="single" w:color="000000" w:sz="4" w:space="0"/>
            </w:tcBorders>
            <w:vAlign w:val="center"/>
          </w:tcPr>
          <w:p w14:paraId="33277921">
            <w:pPr>
              <w:ind w:firstLine="0" w:firstLineChars="0"/>
            </w:pPr>
            <w:r>
              <w:rPr>
                <w:rFonts w:hint="eastAsia"/>
              </w:rPr>
              <w:t>对知识库建设过程中的数据处理、数据增强和标注后数据进行回流，回馈给科研项目全周期管理子系统、科研智能辅助子系统、创新服务子系统；</w:t>
            </w:r>
            <w:r>
              <w:rPr>
                <w:rFonts w:hint="eastAsia"/>
              </w:rPr>
              <w:br w:type="textWrapping"/>
            </w:r>
            <w:r>
              <w:rPr>
                <w:rFonts w:hint="eastAsia"/>
              </w:rPr>
              <w:t>将数据处理结果按知识库统一标准进行知识向量化，确保知识库与MAP平台及科研子系统高效联动；</w:t>
            </w:r>
            <w:r>
              <w:rPr>
                <w:rFonts w:hint="eastAsia"/>
              </w:rPr>
              <w:br w:type="textWrapping"/>
            </w:r>
            <w:r>
              <w:rPr>
                <w:rFonts w:hint="eastAsia"/>
              </w:rPr>
              <w:t>定期更新和推送数据回流成果，知识库做定期更新，以满足知识内容的及时性与实用性。</w:t>
            </w:r>
          </w:p>
        </w:tc>
      </w:tr>
    </w:tbl>
    <w:p w14:paraId="298A0D17">
      <w:pPr>
        <w:ind w:firstLine="0" w:firstLineChars="0"/>
      </w:pPr>
      <w:r>
        <w:rPr>
          <w:rFonts w:hint="eastAsia"/>
        </w:rPr>
        <w:t xml:space="preserve"> </w:t>
      </w:r>
    </w:p>
    <w:p w14:paraId="3024FDBE">
      <w:pPr>
        <w:ind w:firstLine="0" w:firstLineChars="0"/>
      </w:pPr>
    </w:p>
    <w:p w14:paraId="16271DB5">
      <w:pPr>
        <w:widowControl/>
        <w:spacing w:line="240" w:lineRule="auto"/>
        <w:ind w:firstLine="0" w:firstLineChars="0"/>
        <w:jc w:val="left"/>
        <w:rPr>
          <w:rFonts w:eastAsia="黑体"/>
          <w:b/>
          <w:bCs/>
          <w:kern w:val="44"/>
          <w:sz w:val="32"/>
          <w:szCs w:val="28"/>
        </w:rPr>
      </w:pPr>
      <w:bookmarkStart w:id="17" w:name="_Toc17438"/>
      <w:bookmarkStart w:id="18" w:name="_Toc31750"/>
      <w:r>
        <w:br w:type="page"/>
      </w:r>
    </w:p>
    <w:p w14:paraId="75AB6302">
      <w:pPr>
        <w:pStyle w:val="2"/>
      </w:pPr>
      <w:r>
        <w:rPr>
          <w:rFonts w:hint="eastAsia"/>
        </w:rPr>
        <w:t>其他工作要求</w:t>
      </w:r>
      <w:bookmarkEnd w:id="17"/>
      <w:bookmarkEnd w:id="18"/>
    </w:p>
    <w:p w14:paraId="4B023967">
      <w:pPr>
        <w:keepNext/>
        <w:keepLines/>
        <w:numPr>
          <w:ilvl w:val="1"/>
          <w:numId w:val="1"/>
        </w:numPr>
        <w:spacing w:before="120" w:after="120"/>
        <w:ind w:hanging="851" w:firstLineChars="0"/>
        <w:outlineLvl w:val="2"/>
        <w:rPr>
          <w:b/>
          <w:bCs/>
          <w:sz w:val="30"/>
          <w:szCs w:val="32"/>
        </w:rPr>
      </w:pPr>
      <w:bookmarkStart w:id="19" w:name="_Toc3267"/>
      <w:r>
        <w:rPr>
          <w:rFonts w:hint="eastAsia"/>
          <w:b/>
          <w:bCs/>
          <w:sz w:val="30"/>
          <w:szCs w:val="32"/>
        </w:rPr>
        <w:t>售后服务要求</w:t>
      </w:r>
      <w:bookmarkEnd w:id="19"/>
    </w:p>
    <w:p w14:paraId="2F60F56B">
      <w:pPr>
        <w:snapToGrid w:val="0"/>
      </w:pPr>
      <w:r>
        <w:rPr>
          <w:rFonts w:hint="eastAsia"/>
        </w:rPr>
        <w:t>本项目从系统验收通过之日起1年内提供</w:t>
      </w:r>
      <w:r>
        <w:t>7*24小时免费技术支持</w:t>
      </w:r>
      <w:r>
        <w:rPr>
          <w:rFonts w:hint="eastAsia"/>
        </w:rPr>
        <w:t>和售后服务。</w:t>
      </w:r>
    </w:p>
    <w:p w14:paraId="35B3CAE9">
      <w:pPr>
        <w:snapToGrid w:val="0"/>
      </w:pPr>
      <w:r>
        <w:rPr>
          <w:rFonts w:hint="eastAsia"/>
        </w:rPr>
        <w:t>在质量保证期内，供应商将按照售后服务的承诺提供保修和运行维护服务。</w:t>
      </w:r>
    </w:p>
    <w:p w14:paraId="4D7C1998">
      <w:pPr>
        <w:snapToGrid w:val="0"/>
      </w:pPr>
      <w:r>
        <w:rPr>
          <w:rFonts w:hint="eastAsia"/>
        </w:rPr>
        <w:t>在质量保证期内，供应商负责信息系统的运行维护工作，确保信息系统安全、稳定、可靠地运行，本项目涉及的运行维护范围为：软件功能模块（本次项目建设内容）的运行保障，按照采购人的要求进行的系统升级（操作系统、中间件、数据库等的安全漏洞、应用漏洞的修复，支持性系统和软件的重要安全补丁升级等），按照</w:t>
      </w:r>
      <w:r>
        <w:rPr>
          <w:rFonts w:hint="eastAsia"/>
          <w:lang w:eastAsia="zh-CN"/>
        </w:rPr>
        <w:t>采购人</w:t>
      </w:r>
      <w:r>
        <w:t>要求进行应急</w:t>
      </w:r>
      <w:r>
        <w:rPr>
          <w:rFonts w:hint="eastAsia"/>
        </w:rPr>
        <w:t>预案</w:t>
      </w:r>
      <w:r>
        <w:t>演练</w:t>
      </w:r>
      <w:r>
        <w:rPr>
          <w:rFonts w:hint="eastAsia"/>
        </w:rPr>
        <w:t>，根据</w:t>
      </w:r>
      <w:r>
        <w:rPr>
          <w:rFonts w:hint="eastAsia"/>
          <w:lang w:eastAsia="zh-CN"/>
        </w:rPr>
        <w:t>采购人</w:t>
      </w:r>
      <w:r>
        <w:rPr>
          <w:rFonts w:hint="eastAsia"/>
        </w:rPr>
        <w:t>的具体</w:t>
      </w:r>
      <w:r>
        <w:t>要求，</w:t>
      </w:r>
      <w:r>
        <w:rPr>
          <w:rFonts w:hint="eastAsia"/>
        </w:rPr>
        <w:t>在重大节假日提供远程或者现场的保障服务。</w:t>
      </w:r>
    </w:p>
    <w:p w14:paraId="2CEECAF7">
      <w:pPr>
        <w:keepNext/>
        <w:keepLines/>
        <w:numPr>
          <w:ilvl w:val="1"/>
          <w:numId w:val="1"/>
        </w:numPr>
        <w:spacing w:before="120" w:after="120"/>
        <w:ind w:hanging="851" w:firstLineChars="0"/>
        <w:outlineLvl w:val="2"/>
        <w:rPr>
          <w:b/>
          <w:bCs/>
          <w:sz w:val="30"/>
          <w:szCs w:val="32"/>
        </w:rPr>
      </w:pPr>
      <w:bookmarkStart w:id="20" w:name="_Toc13243"/>
      <w:r>
        <w:rPr>
          <w:rFonts w:hint="eastAsia"/>
          <w:b/>
          <w:bCs/>
          <w:sz w:val="30"/>
          <w:szCs w:val="32"/>
        </w:rPr>
        <w:t>应急响应要求</w:t>
      </w:r>
      <w:bookmarkEnd w:id="20"/>
    </w:p>
    <w:p w14:paraId="5FED2B0A">
      <w:pPr>
        <w:snapToGrid w:val="0"/>
      </w:pPr>
      <w:r>
        <w:rPr>
          <w:rFonts w:hint="eastAsia"/>
        </w:rPr>
        <w:t>供应商对系统故障应能够实时响应，若系统发生故障，接到通知后</w:t>
      </w:r>
      <w:r>
        <w:t>30分钟之内响应，专业工程师2小时内到达现场</w:t>
      </w:r>
      <w:r>
        <w:rPr>
          <w:rFonts w:hint="eastAsia"/>
        </w:rPr>
        <w:t>。特殊故障与客户沟通协商后，按照协商的方式制定解决方案并进行处理。</w:t>
      </w:r>
    </w:p>
    <w:p w14:paraId="2898F926">
      <w:pPr>
        <w:snapToGrid w:val="0"/>
      </w:pPr>
      <w:r>
        <w:rPr>
          <w:rFonts w:hint="eastAsia"/>
        </w:rPr>
        <w:t>具体故障级别及对应的应急响应要求如下：</w:t>
      </w:r>
    </w:p>
    <w:p w14:paraId="0F9AEA78">
      <w:pPr>
        <w:snapToGrid w:val="0"/>
      </w:pPr>
      <w:r>
        <w:rPr>
          <w:rFonts w:hint="eastAsia"/>
        </w:rPr>
        <w:t>一级故障：在</w:t>
      </w:r>
      <w:r>
        <w:t>1小时内确诊，总故障解决时间不超过4小时。</w:t>
      </w:r>
    </w:p>
    <w:p w14:paraId="4521B1E5">
      <w:pPr>
        <w:snapToGrid w:val="0"/>
      </w:pPr>
      <w:r>
        <w:rPr>
          <w:rFonts w:hint="eastAsia"/>
        </w:rPr>
        <w:t>二级故障：在</w:t>
      </w:r>
      <w:r>
        <w:t>2小时内确诊，并在4小时内由专家到达现场确诊并解决，总故障解决时间不超过8小时；</w:t>
      </w:r>
    </w:p>
    <w:p w14:paraId="38B26FCA">
      <w:pPr>
        <w:snapToGrid w:val="0"/>
      </w:pPr>
      <w:r>
        <w:rPr>
          <w:rFonts w:hint="eastAsia"/>
        </w:rPr>
        <w:t>三、四级故障：在</w:t>
      </w:r>
      <w:r>
        <w:t>4小时内确诊故障，总故障解决时间不超过16小时。</w:t>
      </w:r>
    </w:p>
    <w:p w14:paraId="30776ACE">
      <w:pPr>
        <w:keepNext/>
        <w:keepLines/>
        <w:numPr>
          <w:ilvl w:val="1"/>
          <w:numId w:val="1"/>
        </w:numPr>
        <w:spacing w:before="120" w:after="120"/>
        <w:ind w:hanging="851" w:firstLineChars="0"/>
        <w:outlineLvl w:val="2"/>
        <w:rPr>
          <w:b/>
          <w:bCs/>
          <w:sz w:val="30"/>
          <w:szCs w:val="32"/>
        </w:rPr>
      </w:pPr>
      <w:bookmarkStart w:id="21" w:name="_Toc10101"/>
      <w:r>
        <w:rPr>
          <w:rFonts w:hint="eastAsia"/>
          <w:b/>
          <w:bCs/>
          <w:sz w:val="30"/>
          <w:szCs w:val="32"/>
        </w:rPr>
        <w:t>培训要求</w:t>
      </w:r>
      <w:bookmarkEnd w:id="21"/>
    </w:p>
    <w:p w14:paraId="7049332E">
      <w:r>
        <w:rPr>
          <w:rFonts w:hint="eastAsia"/>
        </w:rPr>
        <w:t>对系统使用单位提供业务操作培训，应提供详细培训方案。</w:t>
      </w:r>
    </w:p>
    <w:p w14:paraId="433D5D74">
      <w:r>
        <w:rPr>
          <w:rFonts w:hint="eastAsia"/>
        </w:rPr>
        <w:t>(1)在12个月的质量保证期内，提供2次与项目相关的必要培训。</w:t>
      </w:r>
    </w:p>
    <w:p w14:paraId="2436FACB">
      <w:r>
        <w:rPr>
          <w:rFonts w:hint="eastAsia"/>
        </w:rPr>
        <w:t>(2)供应商需要开展分层次的人员培训工作，每次培训后应对参加培训人员进行测试，评估培训成果。培训应具有培训教材、培训环境和高水平的培训讲师。</w:t>
      </w:r>
    </w:p>
    <w:p w14:paraId="6C3FF471">
      <w:r>
        <w:rPr>
          <w:rFonts w:hint="eastAsia"/>
        </w:rPr>
        <w:t>(3)供应商应提供一般用户的基础操作培训和部门信息管理员的日常应用维护的培训，确保用户对象能够掌握对应的操作技能。</w:t>
      </w:r>
    </w:p>
    <w:p w14:paraId="6C9183D1">
      <w:pPr>
        <w:keepNext/>
        <w:keepLines/>
        <w:numPr>
          <w:ilvl w:val="1"/>
          <w:numId w:val="1"/>
        </w:numPr>
        <w:spacing w:before="120" w:after="120"/>
        <w:ind w:hanging="993" w:firstLineChars="0"/>
        <w:outlineLvl w:val="2"/>
        <w:rPr>
          <w:b/>
          <w:bCs/>
          <w:sz w:val="30"/>
          <w:szCs w:val="32"/>
        </w:rPr>
      </w:pPr>
      <w:bookmarkStart w:id="22" w:name="_Toc30162"/>
      <w:r>
        <w:rPr>
          <w:rFonts w:hint="eastAsia"/>
          <w:b/>
          <w:bCs/>
          <w:sz w:val="30"/>
          <w:szCs w:val="32"/>
        </w:rPr>
        <w:t>验收要求</w:t>
      </w:r>
      <w:bookmarkEnd w:id="22"/>
    </w:p>
    <w:p w14:paraId="257AD101">
      <w:pPr>
        <w:rPr>
          <w:szCs w:val="21"/>
        </w:rPr>
      </w:pPr>
      <w:r>
        <w:rPr>
          <w:rFonts w:hint="eastAsia"/>
          <w:szCs w:val="21"/>
        </w:rPr>
        <w:t>本项目按下述方式开展验收。</w:t>
      </w:r>
    </w:p>
    <w:p w14:paraId="73B0D260">
      <w:pPr>
        <w:rPr>
          <w:szCs w:val="21"/>
        </w:rPr>
      </w:pPr>
      <w:r>
        <w:rPr>
          <w:rFonts w:hint="eastAsia"/>
          <w:szCs w:val="21"/>
        </w:rPr>
        <w:t>（</w:t>
      </w:r>
      <w:r>
        <w:rPr>
          <w:szCs w:val="21"/>
        </w:rPr>
        <w:t>1）验收分初验和终验。</w:t>
      </w:r>
    </w:p>
    <w:p w14:paraId="6183A3DC">
      <w:pPr>
        <w:rPr>
          <w:szCs w:val="21"/>
        </w:rPr>
      </w:pPr>
      <w:r>
        <w:rPr>
          <w:rFonts w:hint="eastAsia"/>
          <w:szCs w:val="21"/>
        </w:rPr>
        <w:t>（</w:t>
      </w:r>
      <w:r>
        <w:rPr>
          <w:szCs w:val="21"/>
        </w:rPr>
        <w:t>2）初验前，供应商完成软件开发、软硬件安装和信息系统的调试等，并对本项目进行功能和运行检测，确保所有信息系统功能模块能够正常运行且已达到本项目约定的各类标准要求。供应商应以书面形式向</w:t>
      </w:r>
      <w:r>
        <w:rPr>
          <w:rFonts w:hint="eastAsia"/>
          <w:szCs w:val="21"/>
          <w:lang w:eastAsia="zh-CN"/>
        </w:rPr>
        <w:t>采购人</w:t>
      </w:r>
      <w:r>
        <w:rPr>
          <w:szCs w:val="21"/>
        </w:rPr>
        <w:t>递交初验通知书。</w:t>
      </w:r>
      <w:r>
        <w:rPr>
          <w:rFonts w:hint="eastAsia"/>
          <w:szCs w:val="21"/>
          <w:lang w:eastAsia="zh-CN"/>
        </w:rPr>
        <w:t>采购人</w:t>
      </w:r>
      <w:r>
        <w:rPr>
          <w:szCs w:val="21"/>
        </w:rPr>
        <w:t>应当在接到通知后的5个工作日内确定初验的具体日期，由双方按照本项目的约定完成本项目的初验。</w:t>
      </w:r>
      <w:r>
        <w:rPr>
          <w:rFonts w:hint="eastAsia"/>
          <w:szCs w:val="21"/>
          <w:lang w:eastAsia="zh-CN"/>
        </w:rPr>
        <w:t>采购人</w:t>
      </w:r>
      <w:r>
        <w:rPr>
          <w:szCs w:val="21"/>
        </w:rPr>
        <w:t>有权委托第三方检测机构进行验收，对此供应商应当配合。</w:t>
      </w:r>
    </w:p>
    <w:p w14:paraId="123219D9">
      <w:pPr>
        <w:rPr>
          <w:szCs w:val="21"/>
        </w:rPr>
      </w:pPr>
      <w:r>
        <w:rPr>
          <w:rFonts w:hint="eastAsia"/>
          <w:szCs w:val="21"/>
        </w:rPr>
        <w:t>（</w:t>
      </w:r>
      <w:r>
        <w:rPr>
          <w:szCs w:val="21"/>
        </w:rPr>
        <w:t>3）初验时，供应商提供软件文档包括《用户需求说明书》、《系统概要设计说明书》、《系统详细设计说明书》、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w:t>
      </w:r>
      <w:r>
        <w:rPr>
          <w:rFonts w:hint="eastAsia"/>
          <w:szCs w:val="21"/>
          <w:lang w:eastAsia="zh-CN"/>
        </w:rPr>
        <w:t>采购人</w:t>
      </w:r>
      <w:r>
        <w:rPr>
          <w:szCs w:val="21"/>
        </w:rPr>
        <w:t>应向供应商出具书面报告，陈述需要改进的缺陷。供应商应立即严格依照</w:t>
      </w:r>
      <w:r>
        <w:rPr>
          <w:rFonts w:hint="eastAsia"/>
          <w:szCs w:val="21"/>
          <w:lang w:eastAsia="zh-CN"/>
        </w:rPr>
        <w:t>采购人</w:t>
      </w:r>
      <w:r>
        <w:rPr>
          <w:szCs w:val="21"/>
        </w:rPr>
        <w:t>的书面报告中的要求改进缺陷，并再次进行初验。</w:t>
      </w:r>
    </w:p>
    <w:p w14:paraId="27165507">
      <w:pPr>
        <w:rPr>
          <w:szCs w:val="21"/>
        </w:rPr>
      </w:pPr>
      <w:r>
        <w:rPr>
          <w:rFonts w:hint="eastAsia"/>
          <w:szCs w:val="21"/>
        </w:rPr>
        <w:t>（</w:t>
      </w:r>
      <w:r>
        <w:rPr>
          <w:szCs w:val="21"/>
        </w:rPr>
        <w:t>4）自初验通过之日起，</w:t>
      </w:r>
      <w:r>
        <w:rPr>
          <w:rFonts w:hint="eastAsia"/>
          <w:szCs w:val="21"/>
          <w:lang w:eastAsia="zh-CN"/>
        </w:rPr>
        <w:t>采购人</w:t>
      </w:r>
      <w:r>
        <w:rPr>
          <w:szCs w:val="21"/>
        </w:rPr>
        <w:t>享有供应商免费提供的30天的信息系统试运行现场驻场服务期。该期间内，供应商应当按照</w:t>
      </w:r>
      <w:r>
        <w:rPr>
          <w:rFonts w:hint="eastAsia"/>
          <w:szCs w:val="21"/>
          <w:lang w:eastAsia="zh-CN"/>
        </w:rPr>
        <w:t>采购人</w:t>
      </w:r>
      <w:r>
        <w:rPr>
          <w:szCs w:val="21"/>
        </w:rPr>
        <w:t>的要求提供现场技术支持服务，解决信息系统试运行期间可能出现的各类问题，或进一步提高与完善信息系统运行水平。</w:t>
      </w:r>
    </w:p>
    <w:p w14:paraId="1EC8B40E">
      <w:pPr>
        <w:rPr>
          <w:szCs w:val="21"/>
        </w:rPr>
      </w:pPr>
      <w:r>
        <w:rPr>
          <w:rFonts w:hint="eastAsia"/>
          <w:szCs w:val="21"/>
        </w:rPr>
        <w:t>（</w:t>
      </w:r>
      <w:r>
        <w:rPr>
          <w:szCs w:val="21"/>
        </w:rPr>
        <w:t>5）初验通过且信息系统试运行期已经达到本项目约定的时间，经供应商确认信息系统具备正常运行条件，且信息系统通过运行测试，供应商应以书面形式通知</w:t>
      </w:r>
      <w:r>
        <w:rPr>
          <w:rFonts w:hint="eastAsia"/>
          <w:szCs w:val="21"/>
          <w:lang w:eastAsia="zh-CN"/>
        </w:rPr>
        <w:t>采购人</w:t>
      </w:r>
      <w:r>
        <w:rPr>
          <w:szCs w:val="21"/>
        </w:rPr>
        <w:t>信息系统已准备就绪等待终验。</w:t>
      </w:r>
      <w:r>
        <w:rPr>
          <w:rFonts w:hint="eastAsia"/>
          <w:szCs w:val="21"/>
          <w:lang w:eastAsia="zh-CN"/>
        </w:rPr>
        <w:t>采购人</w:t>
      </w:r>
      <w:r>
        <w:rPr>
          <w:szCs w:val="21"/>
        </w:rPr>
        <w:t>在收到终验通知后的</w:t>
      </w:r>
      <w:r>
        <w:rPr>
          <w:rFonts w:hint="eastAsia"/>
          <w:szCs w:val="21"/>
        </w:rPr>
        <w:t>20</w:t>
      </w:r>
      <w:r>
        <w:rPr>
          <w:szCs w:val="21"/>
        </w:rPr>
        <w:t xml:space="preserve">     个工作日内发起组织专家验收会。</w:t>
      </w:r>
    </w:p>
    <w:p w14:paraId="14B02DA4">
      <w:pPr>
        <w:rPr>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14:paraId="45D3BB07">
      <w:pPr>
        <w:rPr>
          <w:szCs w:val="21"/>
        </w:rPr>
      </w:pPr>
      <w:r>
        <w:rPr>
          <w:rFonts w:hint="eastAsia"/>
          <w:szCs w:val="21"/>
        </w:rPr>
        <w:t>（7</w:t>
      </w:r>
      <w:r>
        <w:rPr>
          <w:szCs w:val="21"/>
        </w:rPr>
        <w:t>）如果由于</w:t>
      </w:r>
      <w:r>
        <w:rPr>
          <w:rFonts w:hint="eastAsia"/>
          <w:szCs w:val="21"/>
          <w:lang w:eastAsia="zh-CN"/>
        </w:rPr>
        <w:t>采购人</w:t>
      </w:r>
      <w:r>
        <w:rPr>
          <w:szCs w:val="21"/>
        </w:rPr>
        <w:t>原因导致本项目在终验通过前出现故障或问题，供应商应及时配合排除该方面的故障或问题。</w:t>
      </w:r>
    </w:p>
    <w:p w14:paraId="66BADC33">
      <w:pPr>
        <w:rPr>
          <w:szCs w:val="21"/>
        </w:rPr>
      </w:pPr>
      <w:r>
        <w:rPr>
          <w:rFonts w:hint="eastAsia"/>
          <w:szCs w:val="21"/>
        </w:rPr>
        <w:t>（8</w:t>
      </w:r>
      <w:r>
        <w:rPr>
          <w:szCs w:val="21"/>
        </w:rPr>
        <w:t>）如本项目连续3次验收未通过（含初验未通过或终验未通过），</w:t>
      </w:r>
      <w:r>
        <w:rPr>
          <w:rFonts w:hint="eastAsia"/>
          <w:szCs w:val="21"/>
          <w:lang w:eastAsia="zh-CN"/>
        </w:rPr>
        <w:t>采购人</w:t>
      </w:r>
      <w:r>
        <w:rPr>
          <w:szCs w:val="21"/>
        </w:rPr>
        <w:t>有权解除项目，并有权依照本项目约定的违约条款追究供应商的违约责任。</w:t>
      </w:r>
    </w:p>
    <w:p w14:paraId="299E7682">
      <w:pPr>
        <w:keepNext/>
        <w:keepLines/>
        <w:numPr>
          <w:ilvl w:val="1"/>
          <w:numId w:val="1"/>
        </w:numPr>
        <w:spacing w:before="120" w:after="120"/>
        <w:ind w:hanging="993" w:firstLineChars="0"/>
        <w:outlineLvl w:val="2"/>
        <w:rPr>
          <w:b/>
          <w:bCs/>
          <w:sz w:val="30"/>
          <w:szCs w:val="32"/>
        </w:rPr>
      </w:pPr>
      <w:bookmarkStart w:id="23" w:name="_Toc9166"/>
      <w:r>
        <w:rPr>
          <w:rFonts w:hint="eastAsia"/>
          <w:b/>
          <w:bCs/>
          <w:sz w:val="30"/>
          <w:szCs w:val="32"/>
        </w:rPr>
        <w:t>进度要求</w:t>
      </w:r>
      <w:bookmarkEnd w:id="23"/>
    </w:p>
    <w:p w14:paraId="3F3514DF">
      <w:r>
        <w:rPr>
          <w:rFonts w:hint="eastAsia"/>
        </w:rPr>
        <w:t>供应商应根据建设内容，分阶段制定合理的时间进度，并且应根据</w:t>
      </w:r>
      <w:r>
        <w:rPr>
          <w:rFonts w:hint="eastAsia"/>
          <w:lang w:eastAsia="zh-CN"/>
        </w:rPr>
        <w:t>采购人</w:t>
      </w:r>
      <w:r>
        <w:rPr>
          <w:rFonts w:hint="eastAsia"/>
        </w:rPr>
        <w:t>要求进行调整和细化。</w:t>
      </w:r>
    </w:p>
    <w:p w14:paraId="726E78F7">
      <w:r>
        <w:rPr>
          <w:rFonts w:hint="eastAsia"/>
        </w:rPr>
        <w:t>总建设周期为自合同签订之日起至2026年11月</w:t>
      </w:r>
      <w:r>
        <w:t>3</w:t>
      </w:r>
      <w:r>
        <w:rPr>
          <w:rFonts w:hint="eastAsia"/>
        </w:rPr>
        <w:t>0日，分为4个阶段。</w:t>
      </w:r>
    </w:p>
    <w:p w14:paraId="1323804A">
      <w:r>
        <w:rPr>
          <w:rFonts w:hint="eastAsia"/>
        </w:rPr>
        <w:t>第一阶段：自合同签订之日起</w:t>
      </w:r>
      <w:r>
        <w:t>1</w:t>
      </w:r>
      <w:r>
        <w:rPr>
          <w:rFonts w:hint="eastAsia"/>
        </w:rPr>
        <w:t>个月，完成系统设计选型。</w:t>
      </w:r>
    </w:p>
    <w:p w14:paraId="53FD415E">
      <w:r>
        <w:rPr>
          <w:rFonts w:hint="eastAsia"/>
        </w:rPr>
        <w:t>第二阶段：</w:t>
      </w:r>
      <w:bookmarkStart w:id="24" w:name="_Hlk156207750"/>
      <w:r>
        <w:rPr>
          <w:rFonts w:hint="eastAsia"/>
        </w:rPr>
        <w:t>第一阶段完成之日起</w:t>
      </w:r>
      <w:bookmarkEnd w:id="24"/>
      <w:r>
        <w:t>3</w:t>
      </w:r>
      <w:r>
        <w:rPr>
          <w:rFonts w:hint="eastAsia"/>
        </w:rPr>
        <w:t>个月，完成系统建设。</w:t>
      </w:r>
    </w:p>
    <w:p w14:paraId="35C18C9D">
      <w:r>
        <w:rPr>
          <w:rFonts w:hint="eastAsia"/>
        </w:rPr>
        <w:t>第三阶段：第二阶段完成之日起</w:t>
      </w:r>
      <w:r>
        <w:t>3</w:t>
      </w:r>
      <w:r>
        <w:rPr>
          <w:rFonts w:hint="eastAsia"/>
        </w:rPr>
        <w:t>个月，完成系统测试。</w:t>
      </w:r>
    </w:p>
    <w:p w14:paraId="5D3C383A">
      <w:r>
        <w:rPr>
          <w:rFonts w:hint="eastAsia"/>
        </w:rPr>
        <w:t>第四阶段：第三阶段完成之日起至2026年11月30日，完成试运行验收。</w:t>
      </w:r>
    </w:p>
    <w:p w14:paraId="6A45F710">
      <w:pPr>
        <w:keepNext/>
        <w:keepLines/>
        <w:numPr>
          <w:ilvl w:val="1"/>
          <w:numId w:val="1"/>
        </w:numPr>
        <w:spacing w:before="120" w:after="120"/>
        <w:ind w:hanging="993" w:firstLineChars="0"/>
        <w:outlineLvl w:val="2"/>
        <w:rPr>
          <w:b/>
          <w:bCs/>
          <w:sz w:val="30"/>
          <w:szCs w:val="32"/>
        </w:rPr>
      </w:pPr>
      <w:bookmarkStart w:id="25" w:name="_Toc19856"/>
      <w:r>
        <w:rPr>
          <w:rFonts w:hint="eastAsia"/>
          <w:b/>
          <w:bCs/>
          <w:sz w:val="30"/>
          <w:szCs w:val="32"/>
        </w:rPr>
        <w:t>项目团队及驻场人员要求</w:t>
      </w:r>
      <w:bookmarkEnd w:id="25"/>
    </w:p>
    <w:p w14:paraId="19241388">
      <w:r>
        <w:t>1）供应商具有稳定的在职技术保障力量，能够提供及时的技术支援或服务，应针对本项目提供不少于2</w:t>
      </w:r>
      <w:r>
        <w:rPr>
          <w:rFonts w:hint="eastAsia"/>
        </w:rPr>
        <w:t>0</w:t>
      </w:r>
      <w:r>
        <w:t>人的项目服务团队（包括项目经理、技术负责人、研发等），</w:t>
      </w:r>
      <w:r>
        <w:rPr>
          <w:rFonts w:hint="eastAsia"/>
        </w:rPr>
        <w:t>供应商</w:t>
      </w:r>
      <w:r>
        <w:t>的相关服务人员需具备相应的服务能力，需提供相关证明（最近一个季度</w:t>
      </w:r>
      <w:r>
        <w:rPr>
          <w:rFonts w:hint="eastAsia"/>
        </w:rPr>
        <w:t>任意一个月</w:t>
      </w:r>
      <w:r>
        <w:t>依法缴纳社保费的证明）。</w:t>
      </w:r>
    </w:p>
    <w:tbl>
      <w:tblPr>
        <w:tblStyle w:val="3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984"/>
        <w:gridCol w:w="1418"/>
        <w:gridCol w:w="2088"/>
        <w:gridCol w:w="1483"/>
      </w:tblGrid>
      <w:tr w14:paraId="47AA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5" w:type="dxa"/>
            <w:noWrap/>
            <w:vAlign w:val="center"/>
          </w:tcPr>
          <w:p w14:paraId="180DFF68">
            <w:pPr>
              <w:widowControl/>
              <w:ind w:firstLine="0" w:firstLineChars="0"/>
              <w:jc w:val="center"/>
              <w:rPr>
                <w:b/>
              </w:rPr>
            </w:pPr>
            <w:r>
              <w:rPr>
                <w:rFonts w:hint="eastAsia"/>
                <w:b/>
              </w:rPr>
              <w:t>角色</w:t>
            </w:r>
          </w:p>
        </w:tc>
        <w:tc>
          <w:tcPr>
            <w:tcW w:w="1984" w:type="dxa"/>
            <w:noWrap/>
            <w:vAlign w:val="center"/>
          </w:tcPr>
          <w:p w14:paraId="6C0BF8B1">
            <w:pPr>
              <w:widowControl/>
              <w:ind w:firstLine="0" w:firstLineChars="0"/>
              <w:jc w:val="center"/>
              <w:rPr>
                <w:b/>
              </w:rPr>
            </w:pPr>
            <w:r>
              <w:rPr>
                <w:rFonts w:hint="eastAsia"/>
                <w:b/>
              </w:rPr>
              <w:t>主要职责</w:t>
            </w:r>
          </w:p>
        </w:tc>
        <w:tc>
          <w:tcPr>
            <w:tcW w:w="1418" w:type="dxa"/>
            <w:noWrap/>
            <w:vAlign w:val="center"/>
          </w:tcPr>
          <w:p w14:paraId="22509C2F">
            <w:pPr>
              <w:widowControl/>
              <w:ind w:firstLine="0" w:firstLineChars="0"/>
              <w:jc w:val="center"/>
              <w:rPr>
                <w:b/>
              </w:rPr>
            </w:pPr>
            <w:r>
              <w:rPr>
                <w:rFonts w:hint="eastAsia"/>
                <w:b/>
              </w:rPr>
              <w:t>人员数量</w:t>
            </w:r>
          </w:p>
        </w:tc>
        <w:tc>
          <w:tcPr>
            <w:tcW w:w="2088" w:type="dxa"/>
            <w:vAlign w:val="center"/>
          </w:tcPr>
          <w:p w14:paraId="0984708C">
            <w:pPr>
              <w:widowControl/>
              <w:ind w:firstLine="0" w:firstLineChars="0"/>
              <w:jc w:val="center"/>
              <w:rPr>
                <w:b/>
              </w:rPr>
            </w:pPr>
            <w:r>
              <w:rPr>
                <w:rFonts w:hint="eastAsia"/>
                <w:b/>
              </w:rPr>
              <w:t>人员要求</w:t>
            </w:r>
          </w:p>
        </w:tc>
        <w:tc>
          <w:tcPr>
            <w:tcW w:w="1483" w:type="dxa"/>
            <w:noWrap/>
            <w:vAlign w:val="center"/>
          </w:tcPr>
          <w:p w14:paraId="38DE6A8D">
            <w:pPr>
              <w:widowControl/>
              <w:ind w:firstLine="0" w:firstLineChars="0"/>
              <w:jc w:val="center"/>
              <w:rPr>
                <w:b/>
              </w:rPr>
            </w:pPr>
            <w:r>
              <w:rPr>
                <w:rFonts w:hint="eastAsia"/>
                <w:b/>
              </w:rPr>
              <w:t>驻场要求</w:t>
            </w:r>
          </w:p>
        </w:tc>
      </w:tr>
      <w:tr w14:paraId="6291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5" w:type="dxa"/>
            <w:noWrap/>
            <w:vAlign w:val="center"/>
          </w:tcPr>
          <w:p w14:paraId="6F118893">
            <w:pPr>
              <w:widowControl/>
              <w:ind w:firstLine="0" w:firstLineChars="0"/>
            </w:pPr>
            <w:r>
              <w:rPr>
                <w:rFonts w:hint="eastAsia"/>
              </w:rPr>
              <w:t>项目经理</w:t>
            </w:r>
          </w:p>
        </w:tc>
        <w:tc>
          <w:tcPr>
            <w:tcW w:w="1984" w:type="dxa"/>
            <w:vAlign w:val="center"/>
          </w:tcPr>
          <w:p w14:paraId="0EB15456">
            <w:pPr>
              <w:widowControl/>
              <w:ind w:firstLine="0" w:firstLineChars="0"/>
            </w:pPr>
            <w:r>
              <w:rPr>
                <w:rFonts w:hint="eastAsia"/>
              </w:rPr>
              <w:t>负责项目沟通管理；组织并推进项目进度；把控项目质量；项目安全管理等</w:t>
            </w:r>
          </w:p>
        </w:tc>
        <w:tc>
          <w:tcPr>
            <w:tcW w:w="1418" w:type="dxa"/>
            <w:noWrap/>
            <w:vAlign w:val="center"/>
          </w:tcPr>
          <w:p w14:paraId="43FD0E21">
            <w:pPr>
              <w:widowControl/>
              <w:ind w:firstLine="0" w:firstLineChars="0"/>
              <w:jc w:val="center"/>
            </w:pPr>
            <w:r>
              <w:t>1</w:t>
            </w:r>
            <w:r>
              <w:rPr>
                <w:rFonts w:hint="eastAsia"/>
              </w:rPr>
              <w:t>人</w:t>
            </w:r>
          </w:p>
        </w:tc>
        <w:tc>
          <w:tcPr>
            <w:tcW w:w="2088" w:type="dxa"/>
            <w:vAlign w:val="center"/>
          </w:tcPr>
          <w:p w14:paraId="5E13EC3E">
            <w:pPr>
              <w:widowControl/>
              <w:ind w:firstLine="0" w:firstLineChars="0"/>
            </w:pPr>
            <w:r>
              <w:rPr>
                <w:rFonts w:hint="eastAsia" w:cs="宋体"/>
                <w:kern w:val="0"/>
              </w:rPr>
              <w:t>计算机相关专业本科及以上学历，具备信息系统项目管理师，</w:t>
            </w:r>
            <w:r>
              <w:rPr>
                <w:rFonts w:hint="eastAsia" w:cs="宋体"/>
                <w:kern w:val="0"/>
                <w:lang w:val="en-US" w:eastAsia="zh-CN"/>
              </w:rPr>
              <w:t>具有</w:t>
            </w:r>
            <w:r>
              <w:rPr>
                <w:rFonts w:hint="eastAsia" w:ascii="宋体" w:hAnsi="宋体" w:eastAsia="宋体" w:cs="宋体"/>
                <w:i w:val="0"/>
                <w:iCs w:val="0"/>
                <w:color w:val="000000"/>
                <w:kern w:val="0"/>
                <w:sz w:val="24"/>
                <w:szCs w:val="24"/>
                <w:u w:val="none"/>
                <w:lang w:val="en-US" w:eastAsia="zh-CN" w:bidi="ar"/>
              </w:rPr>
              <w:t>与本项目类似的工作业绩。</w:t>
            </w:r>
          </w:p>
        </w:tc>
        <w:tc>
          <w:tcPr>
            <w:tcW w:w="1483" w:type="dxa"/>
            <w:noWrap/>
            <w:vAlign w:val="center"/>
          </w:tcPr>
          <w:p w14:paraId="3D5AE1B6">
            <w:pPr>
              <w:widowControl/>
              <w:ind w:firstLine="0" w:firstLineChars="0"/>
            </w:pPr>
            <w:r>
              <w:rPr>
                <w:rFonts w:hint="eastAsia"/>
              </w:rPr>
              <w:t>不驻场</w:t>
            </w:r>
          </w:p>
        </w:tc>
      </w:tr>
      <w:tr w14:paraId="483B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5" w:type="dxa"/>
            <w:noWrap/>
            <w:vAlign w:val="center"/>
          </w:tcPr>
          <w:p w14:paraId="1129D0EE">
            <w:pPr>
              <w:widowControl/>
              <w:ind w:firstLine="0" w:firstLineChars="0"/>
            </w:pPr>
            <w:r>
              <w:rPr>
                <w:rFonts w:hint="eastAsia"/>
              </w:rPr>
              <w:t>技术负责人</w:t>
            </w:r>
          </w:p>
        </w:tc>
        <w:tc>
          <w:tcPr>
            <w:tcW w:w="1984" w:type="dxa"/>
            <w:vAlign w:val="center"/>
          </w:tcPr>
          <w:p w14:paraId="0C40E912">
            <w:pPr>
              <w:widowControl/>
              <w:ind w:firstLine="0" w:firstLineChars="0"/>
            </w:pPr>
            <w:r>
              <w:rPr>
                <w:rFonts w:hint="eastAsia"/>
              </w:rPr>
              <w:t>负责项目技术的总体把控</w:t>
            </w:r>
          </w:p>
        </w:tc>
        <w:tc>
          <w:tcPr>
            <w:tcW w:w="1418" w:type="dxa"/>
            <w:noWrap/>
            <w:vAlign w:val="center"/>
          </w:tcPr>
          <w:p w14:paraId="313A0A44">
            <w:pPr>
              <w:widowControl/>
              <w:ind w:firstLine="0" w:firstLineChars="0"/>
              <w:jc w:val="center"/>
            </w:pPr>
            <w:r>
              <w:t>1</w:t>
            </w:r>
            <w:r>
              <w:rPr>
                <w:rFonts w:hint="eastAsia"/>
              </w:rPr>
              <w:t>人</w:t>
            </w:r>
          </w:p>
        </w:tc>
        <w:tc>
          <w:tcPr>
            <w:tcW w:w="2088" w:type="dxa"/>
            <w:vAlign w:val="center"/>
          </w:tcPr>
          <w:p w14:paraId="1AA8AB6C">
            <w:pPr>
              <w:widowControl/>
              <w:ind w:firstLine="0" w:firstLineChars="0"/>
            </w:pPr>
            <w:r>
              <w:rPr>
                <w:rFonts w:hint="eastAsia" w:cs="宋体"/>
                <w:kern w:val="0"/>
              </w:rPr>
              <w:t>本科及以上学历，具备信息系统项目管理师</w:t>
            </w:r>
            <w:r>
              <w:rPr>
                <w:rFonts w:hint="eastAsia" w:cs="宋体"/>
                <w:kern w:val="0"/>
                <w:lang w:val="en-US" w:eastAsia="zh-CN"/>
              </w:rPr>
              <w:t>,具有</w:t>
            </w:r>
            <w:r>
              <w:rPr>
                <w:rFonts w:hint="eastAsia" w:ascii="宋体" w:hAnsi="宋体" w:eastAsia="宋体" w:cs="宋体"/>
                <w:i w:val="0"/>
                <w:iCs w:val="0"/>
                <w:color w:val="000000"/>
                <w:kern w:val="0"/>
                <w:sz w:val="24"/>
                <w:szCs w:val="24"/>
                <w:u w:val="none"/>
                <w:lang w:val="en-US" w:eastAsia="zh-CN" w:bidi="ar"/>
              </w:rPr>
              <w:t>与本项目类似的工作业绩。</w:t>
            </w:r>
          </w:p>
        </w:tc>
        <w:tc>
          <w:tcPr>
            <w:tcW w:w="1483" w:type="dxa"/>
            <w:noWrap/>
            <w:vAlign w:val="center"/>
          </w:tcPr>
          <w:p w14:paraId="53C5041B">
            <w:pPr>
              <w:widowControl/>
              <w:ind w:firstLine="0" w:firstLineChars="0"/>
            </w:pPr>
            <w:r>
              <w:rPr>
                <w:rFonts w:hint="eastAsia"/>
              </w:rPr>
              <w:t>不驻场</w:t>
            </w:r>
          </w:p>
        </w:tc>
      </w:tr>
      <w:tr w14:paraId="6796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5" w:type="dxa"/>
            <w:noWrap/>
            <w:vAlign w:val="center"/>
          </w:tcPr>
          <w:p w14:paraId="2B5D7F46">
            <w:pPr>
              <w:widowControl/>
              <w:ind w:firstLine="0" w:firstLineChars="0"/>
            </w:pPr>
            <w:r>
              <w:rPr>
                <w:rFonts w:hint="eastAsia"/>
              </w:rPr>
              <w:t>系统架构师</w:t>
            </w:r>
          </w:p>
        </w:tc>
        <w:tc>
          <w:tcPr>
            <w:tcW w:w="1984" w:type="dxa"/>
            <w:noWrap/>
            <w:vAlign w:val="center"/>
          </w:tcPr>
          <w:p w14:paraId="3CE87AA5">
            <w:pPr>
              <w:widowControl/>
              <w:ind w:firstLine="0" w:firstLineChars="0"/>
            </w:pPr>
            <w:r>
              <w:rPr>
                <w:rFonts w:hint="eastAsia"/>
              </w:rPr>
              <w:t>负责项目软件平台系统架构设计</w:t>
            </w:r>
          </w:p>
        </w:tc>
        <w:tc>
          <w:tcPr>
            <w:tcW w:w="1418" w:type="dxa"/>
            <w:noWrap/>
            <w:vAlign w:val="center"/>
          </w:tcPr>
          <w:p w14:paraId="3DB5DA18">
            <w:pPr>
              <w:widowControl/>
              <w:ind w:firstLine="0" w:firstLineChars="0"/>
              <w:jc w:val="center"/>
            </w:pPr>
            <w:r>
              <w:rPr>
                <w:rFonts w:hint="eastAsia"/>
              </w:rPr>
              <w:t>2人</w:t>
            </w:r>
          </w:p>
        </w:tc>
        <w:tc>
          <w:tcPr>
            <w:tcW w:w="2088" w:type="dxa"/>
            <w:vAlign w:val="center"/>
          </w:tcPr>
          <w:p w14:paraId="047C8F82">
            <w:pPr>
              <w:widowControl/>
              <w:ind w:firstLine="0" w:firstLineChars="0"/>
            </w:pPr>
            <w:r>
              <w:rPr>
                <w:rFonts w:hint="eastAsia" w:cs="宋体"/>
                <w:kern w:val="0"/>
              </w:rPr>
              <w:t>本科及以上学历，具备</w:t>
            </w:r>
            <w:r>
              <w:rPr>
                <w:rFonts w:hint="eastAsia" w:cs="宋体"/>
                <w:kern w:val="0"/>
                <w:lang w:eastAsia="zh-CN"/>
              </w:rPr>
              <w:t>软件开发项目</w:t>
            </w:r>
            <w:r>
              <w:rPr>
                <w:rFonts w:hint="eastAsia" w:cs="宋体"/>
                <w:kern w:val="0"/>
              </w:rPr>
              <w:t>工作经验</w:t>
            </w:r>
          </w:p>
        </w:tc>
        <w:tc>
          <w:tcPr>
            <w:tcW w:w="1483" w:type="dxa"/>
            <w:noWrap/>
            <w:vAlign w:val="center"/>
          </w:tcPr>
          <w:p w14:paraId="399A17F6">
            <w:pPr>
              <w:widowControl/>
              <w:ind w:firstLine="0" w:firstLineChars="0"/>
            </w:pPr>
            <w:r>
              <w:rPr>
                <w:rFonts w:hint="eastAsia"/>
              </w:rPr>
              <w:t>不驻场</w:t>
            </w:r>
          </w:p>
        </w:tc>
      </w:tr>
      <w:tr w14:paraId="224C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5" w:type="dxa"/>
            <w:noWrap/>
            <w:vAlign w:val="center"/>
          </w:tcPr>
          <w:p w14:paraId="0445216B">
            <w:pPr>
              <w:widowControl/>
              <w:ind w:firstLine="0" w:firstLineChars="0"/>
            </w:pPr>
            <w:r>
              <w:rPr>
                <w:rFonts w:hint="eastAsia"/>
              </w:rPr>
              <w:t>需求分析师</w:t>
            </w:r>
          </w:p>
        </w:tc>
        <w:tc>
          <w:tcPr>
            <w:tcW w:w="1984" w:type="dxa"/>
            <w:noWrap/>
            <w:vAlign w:val="center"/>
          </w:tcPr>
          <w:p w14:paraId="6B1FC9C1">
            <w:pPr>
              <w:widowControl/>
              <w:ind w:firstLine="0" w:firstLineChars="0"/>
            </w:pPr>
            <w:r>
              <w:rPr>
                <w:rFonts w:hint="eastAsia"/>
              </w:rPr>
              <w:t>负责项目软件平台系统需求分析</w:t>
            </w:r>
          </w:p>
        </w:tc>
        <w:tc>
          <w:tcPr>
            <w:tcW w:w="1418" w:type="dxa"/>
            <w:noWrap/>
            <w:vAlign w:val="center"/>
          </w:tcPr>
          <w:p w14:paraId="3D8BE0AF">
            <w:pPr>
              <w:widowControl/>
              <w:ind w:firstLine="0" w:firstLineChars="0"/>
              <w:jc w:val="center"/>
            </w:pPr>
            <w:r>
              <w:rPr>
                <w:rFonts w:hint="eastAsia"/>
              </w:rPr>
              <w:t>2人</w:t>
            </w:r>
          </w:p>
        </w:tc>
        <w:tc>
          <w:tcPr>
            <w:tcW w:w="2088" w:type="dxa"/>
            <w:vAlign w:val="center"/>
          </w:tcPr>
          <w:p w14:paraId="3A375EE2">
            <w:pPr>
              <w:widowControl/>
              <w:ind w:firstLine="0" w:firstLineChars="0"/>
              <w:rPr>
                <w:rFonts w:cs="宋体"/>
                <w:kern w:val="0"/>
              </w:rPr>
            </w:pPr>
            <w:r>
              <w:rPr>
                <w:rFonts w:hint="eastAsia" w:cs="宋体"/>
                <w:kern w:val="0"/>
              </w:rPr>
              <w:t>本科及以上学历，具备</w:t>
            </w:r>
            <w:r>
              <w:rPr>
                <w:rFonts w:hint="eastAsia" w:cs="宋体"/>
                <w:kern w:val="0"/>
                <w:lang w:eastAsia="zh-CN"/>
              </w:rPr>
              <w:t>软件开发项目</w:t>
            </w:r>
            <w:r>
              <w:rPr>
                <w:rFonts w:hint="eastAsia" w:cs="宋体"/>
                <w:kern w:val="0"/>
              </w:rPr>
              <w:t>工作经验</w:t>
            </w:r>
          </w:p>
        </w:tc>
        <w:tc>
          <w:tcPr>
            <w:tcW w:w="1483" w:type="dxa"/>
            <w:noWrap/>
            <w:vAlign w:val="center"/>
          </w:tcPr>
          <w:p w14:paraId="793FDE9D">
            <w:pPr>
              <w:widowControl/>
              <w:ind w:firstLine="0" w:firstLineChars="0"/>
            </w:pPr>
            <w:r>
              <w:rPr>
                <w:rFonts w:hint="eastAsia"/>
              </w:rPr>
              <w:t>不驻场</w:t>
            </w:r>
          </w:p>
        </w:tc>
      </w:tr>
      <w:tr w14:paraId="6D64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5" w:type="dxa"/>
            <w:noWrap/>
            <w:vAlign w:val="center"/>
          </w:tcPr>
          <w:p w14:paraId="5C1D7530">
            <w:pPr>
              <w:widowControl/>
              <w:ind w:firstLine="0" w:firstLineChars="0"/>
            </w:pPr>
            <w:r>
              <w:rPr>
                <w:rFonts w:hint="eastAsia"/>
              </w:rPr>
              <w:t>研发工程师</w:t>
            </w:r>
          </w:p>
        </w:tc>
        <w:tc>
          <w:tcPr>
            <w:tcW w:w="1984" w:type="dxa"/>
            <w:noWrap/>
            <w:vAlign w:val="center"/>
          </w:tcPr>
          <w:p w14:paraId="71258B00">
            <w:pPr>
              <w:widowControl/>
              <w:ind w:firstLine="0" w:firstLineChars="0"/>
            </w:pPr>
            <w:r>
              <w:rPr>
                <w:rFonts w:hint="eastAsia"/>
              </w:rPr>
              <w:t>负责项目具体开发</w:t>
            </w:r>
          </w:p>
        </w:tc>
        <w:tc>
          <w:tcPr>
            <w:tcW w:w="1418" w:type="dxa"/>
            <w:noWrap/>
            <w:vAlign w:val="center"/>
          </w:tcPr>
          <w:p w14:paraId="485273AA">
            <w:pPr>
              <w:widowControl/>
              <w:ind w:firstLine="0" w:firstLineChars="0"/>
              <w:jc w:val="center"/>
            </w:pPr>
            <w:r>
              <w:t>至少</w:t>
            </w:r>
            <w:r>
              <w:rPr>
                <w:rFonts w:hint="eastAsia"/>
              </w:rPr>
              <w:t>12</w:t>
            </w:r>
            <w:r>
              <w:t>人</w:t>
            </w:r>
          </w:p>
        </w:tc>
        <w:tc>
          <w:tcPr>
            <w:tcW w:w="2088" w:type="dxa"/>
            <w:vAlign w:val="center"/>
          </w:tcPr>
          <w:p w14:paraId="1E2C138E">
            <w:pPr>
              <w:widowControl/>
              <w:ind w:firstLine="0" w:firstLineChars="0"/>
              <w:rPr>
                <w:rFonts w:cs="宋体"/>
                <w:kern w:val="0"/>
              </w:rPr>
            </w:pPr>
            <w:r>
              <w:rPr>
                <w:rFonts w:hint="eastAsia" w:cs="宋体"/>
                <w:kern w:val="0"/>
              </w:rPr>
              <w:t>大专及以上学历，具备</w:t>
            </w:r>
            <w:r>
              <w:rPr>
                <w:rFonts w:hint="eastAsia" w:cs="宋体"/>
                <w:kern w:val="0"/>
                <w:lang w:eastAsia="zh-CN"/>
              </w:rPr>
              <w:t>软件开发项目工作</w:t>
            </w:r>
            <w:r>
              <w:rPr>
                <w:rFonts w:hint="eastAsia" w:cs="宋体"/>
                <w:kern w:val="0"/>
              </w:rPr>
              <w:t>经验</w:t>
            </w:r>
          </w:p>
        </w:tc>
        <w:tc>
          <w:tcPr>
            <w:tcW w:w="1483" w:type="dxa"/>
            <w:noWrap/>
            <w:vAlign w:val="center"/>
          </w:tcPr>
          <w:p w14:paraId="1BF6FD6A">
            <w:pPr>
              <w:widowControl/>
              <w:ind w:firstLine="0" w:firstLineChars="0"/>
            </w:pPr>
            <w:r>
              <w:rPr>
                <w:rFonts w:hint="eastAsia"/>
              </w:rPr>
              <w:t>不驻场</w:t>
            </w:r>
          </w:p>
        </w:tc>
      </w:tr>
      <w:tr w14:paraId="7F8E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5" w:type="dxa"/>
            <w:noWrap/>
            <w:vAlign w:val="center"/>
          </w:tcPr>
          <w:p w14:paraId="43E6D587">
            <w:pPr>
              <w:widowControl/>
              <w:ind w:firstLine="0" w:firstLineChars="0"/>
            </w:pPr>
            <w:r>
              <w:rPr>
                <w:rFonts w:hint="eastAsia"/>
              </w:rPr>
              <w:t>实施工程师</w:t>
            </w:r>
          </w:p>
        </w:tc>
        <w:tc>
          <w:tcPr>
            <w:tcW w:w="1984" w:type="dxa"/>
            <w:noWrap/>
            <w:vAlign w:val="center"/>
          </w:tcPr>
          <w:p w14:paraId="099A8013">
            <w:pPr>
              <w:widowControl/>
              <w:ind w:firstLine="0" w:firstLineChars="0"/>
            </w:pPr>
            <w:r>
              <w:rPr>
                <w:rFonts w:hint="eastAsia"/>
              </w:rPr>
              <w:t>负责项目实施与测试</w:t>
            </w:r>
          </w:p>
        </w:tc>
        <w:tc>
          <w:tcPr>
            <w:tcW w:w="1418" w:type="dxa"/>
            <w:noWrap/>
            <w:vAlign w:val="center"/>
          </w:tcPr>
          <w:p w14:paraId="07301F30">
            <w:pPr>
              <w:widowControl/>
              <w:ind w:firstLine="0" w:firstLineChars="0"/>
              <w:jc w:val="center"/>
            </w:pPr>
            <w:r>
              <w:t>至少</w:t>
            </w:r>
            <w:r>
              <w:rPr>
                <w:rFonts w:hint="eastAsia"/>
              </w:rPr>
              <w:t>2人</w:t>
            </w:r>
          </w:p>
        </w:tc>
        <w:tc>
          <w:tcPr>
            <w:tcW w:w="2088" w:type="dxa"/>
            <w:vAlign w:val="center"/>
          </w:tcPr>
          <w:p w14:paraId="5C293673">
            <w:pPr>
              <w:widowControl/>
              <w:ind w:firstLine="0" w:firstLineChars="0"/>
              <w:rPr>
                <w:rFonts w:cs="宋体"/>
                <w:kern w:val="0"/>
              </w:rPr>
            </w:pPr>
            <w:r>
              <w:rPr>
                <w:rFonts w:hint="eastAsia" w:cs="宋体"/>
                <w:kern w:val="0"/>
              </w:rPr>
              <w:t>大专及以上学历，具备</w:t>
            </w:r>
            <w:r>
              <w:rPr>
                <w:rFonts w:hint="eastAsia" w:cs="宋体"/>
                <w:kern w:val="0"/>
                <w:lang w:eastAsia="zh-CN"/>
              </w:rPr>
              <w:t>软件开发项目工作</w:t>
            </w:r>
            <w:r>
              <w:rPr>
                <w:rFonts w:hint="eastAsia" w:cs="宋体"/>
                <w:kern w:val="0"/>
              </w:rPr>
              <w:t>经验</w:t>
            </w:r>
          </w:p>
        </w:tc>
        <w:tc>
          <w:tcPr>
            <w:tcW w:w="1483" w:type="dxa"/>
            <w:noWrap/>
            <w:vAlign w:val="center"/>
          </w:tcPr>
          <w:p w14:paraId="341AB497">
            <w:pPr>
              <w:widowControl/>
              <w:ind w:firstLine="0" w:firstLineChars="0"/>
            </w:pPr>
            <w:r>
              <w:rPr>
                <w:rFonts w:hint="eastAsia"/>
              </w:rPr>
              <w:t>驻场</w:t>
            </w:r>
          </w:p>
        </w:tc>
      </w:tr>
    </w:tbl>
    <w:p w14:paraId="27DC9A82">
      <w:r>
        <w:t>2）供应商应针对本项目提供不少于</w:t>
      </w:r>
      <w:r>
        <w:rPr>
          <w:rFonts w:hint="eastAsia"/>
        </w:rPr>
        <w:t>5</w:t>
      </w:r>
      <w:r>
        <w:t>人的质保期间支撑团队（其中</w:t>
      </w:r>
      <w:r>
        <w:rPr>
          <w:rFonts w:hint="eastAsia"/>
        </w:rPr>
        <w:t>项目</w:t>
      </w:r>
      <w:r>
        <w:t>经理</w:t>
      </w:r>
      <w:r>
        <w:rPr>
          <w:rFonts w:hint="eastAsia"/>
        </w:rPr>
        <w:t>1</w:t>
      </w:r>
      <w:r>
        <w:t>人，</w:t>
      </w:r>
      <w:r>
        <w:rPr>
          <w:rFonts w:hint="eastAsia"/>
        </w:rPr>
        <w:t>系统架构师1</w:t>
      </w:r>
      <w:r>
        <w:t>人，技术工程师不少于</w:t>
      </w:r>
      <w:r>
        <w:rPr>
          <w:rFonts w:hint="eastAsia"/>
        </w:rPr>
        <w:t>3</w:t>
      </w:r>
      <w:r>
        <w:t>人）；供应商的相关服务人员需具备相应的服务能力，需提供相关证明（最近一个季度</w:t>
      </w:r>
      <w:r>
        <w:rPr>
          <w:rFonts w:hint="eastAsia"/>
        </w:rPr>
        <w:t>任意一个月</w:t>
      </w:r>
      <w:r>
        <w:t>依法缴纳社保费的证明）。</w:t>
      </w:r>
    </w:p>
    <w:tbl>
      <w:tblPr>
        <w:tblStyle w:val="3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123"/>
        <w:gridCol w:w="1559"/>
        <w:gridCol w:w="1894"/>
        <w:gridCol w:w="1536"/>
      </w:tblGrid>
      <w:tr w14:paraId="1BD5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noWrap/>
            <w:vAlign w:val="center"/>
          </w:tcPr>
          <w:p w14:paraId="55204079">
            <w:pPr>
              <w:widowControl/>
              <w:ind w:firstLine="0" w:firstLineChars="0"/>
              <w:jc w:val="center"/>
              <w:rPr>
                <w:b/>
              </w:rPr>
            </w:pPr>
            <w:r>
              <w:rPr>
                <w:rFonts w:hint="eastAsia"/>
                <w:b/>
              </w:rPr>
              <w:t>角色</w:t>
            </w:r>
          </w:p>
        </w:tc>
        <w:tc>
          <w:tcPr>
            <w:tcW w:w="2123" w:type="dxa"/>
            <w:noWrap/>
            <w:vAlign w:val="center"/>
          </w:tcPr>
          <w:p w14:paraId="5156343A">
            <w:pPr>
              <w:widowControl/>
              <w:ind w:firstLine="0" w:firstLineChars="0"/>
              <w:jc w:val="center"/>
              <w:rPr>
                <w:b/>
              </w:rPr>
            </w:pPr>
            <w:r>
              <w:rPr>
                <w:rFonts w:hint="eastAsia"/>
                <w:b/>
              </w:rPr>
              <w:t>主要职责</w:t>
            </w:r>
          </w:p>
        </w:tc>
        <w:tc>
          <w:tcPr>
            <w:tcW w:w="1559" w:type="dxa"/>
            <w:noWrap/>
            <w:vAlign w:val="center"/>
          </w:tcPr>
          <w:p w14:paraId="731E7FD7">
            <w:pPr>
              <w:widowControl/>
              <w:ind w:firstLine="0" w:firstLineChars="0"/>
              <w:jc w:val="center"/>
              <w:rPr>
                <w:b/>
              </w:rPr>
            </w:pPr>
            <w:r>
              <w:rPr>
                <w:rFonts w:hint="eastAsia"/>
                <w:b/>
              </w:rPr>
              <w:t>人员数量</w:t>
            </w:r>
          </w:p>
        </w:tc>
        <w:tc>
          <w:tcPr>
            <w:tcW w:w="1894" w:type="dxa"/>
            <w:vAlign w:val="center"/>
          </w:tcPr>
          <w:p w14:paraId="741B5516">
            <w:pPr>
              <w:widowControl/>
              <w:ind w:firstLine="0" w:firstLineChars="0"/>
              <w:jc w:val="center"/>
              <w:rPr>
                <w:b/>
              </w:rPr>
            </w:pPr>
            <w:r>
              <w:rPr>
                <w:rFonts w:hint="eastAsia"/>
                <w:b/>
              </w:rPr>
              <w:t>人员要求</w:t>
            </w:r>
          </w:p>
        </w:tc>
        <w:tc>
          <w:tcPr>
            <w:tcW w:w="1536" w:type="dxa"/>
            <w:noWrap/>
            <w:vAlign w:val="center"/>
          </w:tcPr>
          <w:p w14:paraId="579C221B">
            <w:pPr>
              <w:widowControl/>
              <w:ind w:firstLine="0" w:firstLineChars="0"/>
              <w:jc w:val="center"/>
              <w:rPr>
                <w:b/>
              </w:rPr>
            </w:pPr>
            <w:r>
              <w:rPr>
                <w:rFonts w:hint="eastAsia"/>
                <w:b/>
              </w:rPr>
              <w:t>驻场要求</w:t>
            </w:r>
          </w:p>
        </w:tc>
      </w:tr>
      <w:tr w14:paraId="6CB7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416" w:type="dxa"/>
            <w:noWrap/>
            <w:vAlign w:val="center"/>
          </w:tcPr>
          <w:p w14:paraId="5E6D9B2F">
            <w:pPr>
              <w:widowControl/>
              <w:ind w:firstLine="0" w:firstLineChars="0"/>
            </w:pPr>
            <w:r>
              <w:rPr>
                <w:rFonts w:hint="eastAsia"/>
              </w:rPr>
              <w:t>项目经理</w:t>
            </w:r>
          </w:p>
        </w:tc>
        <w:tc>
          <w:tcPr>
            <w:tcW w:w="2123" w:type="dxa"/>
            <w:vAlign w:val="center"/>
          </w:tcPr>
          <w:p w14:paraId="2DE73976">
            <w:pPr>
              <w:widowControl/>
              <w:ind w:firstLine="0" w:firstLineChars="0"/>
            </w:pPr>
            <w:r>
              <w:rPr>
                <w:rFonts w:hint="eastAsia"/>
              </w:rPr>
              <w:t>负责项目质量和进度控制</w:t>
            </w:r>
          </w:p>
        </w:tc>
        <w:tc>
          <w:tcPr>
            <w:tcW w:w="1559" w:type="dxa"/>
            <w:noWrap/>
            <w:vAlign w:val="center"/>
          </w:tcPr>
          <w:p w14:paraId="1A94201D">
            <w:pPr>
              <w:widowControl/>
              <w:ind w:firstLine="0" w:firstLineChars="0"/>
              <w:jc w:val="center"/>
            </w:pPr>
            <w:r>
              <w:rPr>
                <w:rFonts w:hint="eastAsia"/>
              </w:rPr>
              <w:t>1人</w:t>
            </w:r>
          </w:p>
        </w:tc>
        <w:tc>
          <w:tcPr>
            <w:tcW w:w="1894" w:type="dxa"/>
            <w:vAlign w:val="center"/>
          </w:tcPr>
          <w:p w14:paraId="3FA0AD83">
            <w:pPr>
              <w:widowControl/>
              <w:ind w:firstLine="0" w:firstLineChars="0"/>
              <w:jc w:val="left"/>
            </w:pPr>
            <w:r>
              <w:rPr>
                <w:rFonts w:hint="eastAsia"/>
              </w:rPr>
              <w:t>计算机相关专业本科及以上学历，具备信息系统项目管理师</w:t>
            </w:r>
            <w:r>
              <w:rPr>
                <w:rFonts w:hint="eastAsia" w:cs="宋体"/>
                <w:kern w:val="0"/>
              </w:rPr>
              <w:t>，</w:t>
            </w:r>
            <w:r>
              <w:rPr>
                <w:rFonts w:hint="eastAsia" w:cs="宋体"/>
                <w:kern w:val="0"/>
                <w:lang w:val="en-US" w:eastAsia="zh-CN"/>
              </w:rPr>
              <w:t>具有</w:t>
            </w:r>
            <w:r>
              <w:rPr>
                <w:rFonts w:hint="eastAsia" w:ascii="宋体" w:hAnsi="宋体" w:eastAsia="宋体" w:cs="宋体"/>
                <w:i w:val="0"/>
                <w:iCs w:val="0"/>
                <w:color w:val="000000"/>
                <w:kern w:val="0"/>
                <w:sz w:val="24"/>
                <w:szCs w:val="24"/>
                <w:u w:val="none"/>
                <w:lang w:val="en-US" w:eastAsia="zh-CN" w:bidi="ar"/>
              </w:rPr>
              <w:t>与本项目类似的工作业绩。</w:t>
            </w:r>
          </w:p>
        </w:tc>
        <w:tc>
          <w:tcPr>
            <w:tcW w:w="1536" w:type="dxa"/>
            <w:noWrap/>
            <w:vAlign w:val="center"/>
          </w:tcPr>
          <w:p w14:paraId="122D3E2E">
            <w:pPr>
              <w:widowControl/>
              <w:ind w:firstLine="0" w:firstLineChars="0"/>
              <w:jc w:val="center"/>
            </w:pPr>
            <w:r>
              <w:rPr>
                <w:rFonts w:hint="eastAsia"/>
              </w:rPr>
              <w:t>不驻场</w:t>
            </w:r>
          </w:p>
        </w:tc>
      </w:tr>
      <w:tr w14:paraId="1486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416" w:type="dxa"/>
            <w:noWrap/>
            <w:vAlign w:val="center"/>
          </w:tcPr>
          <w:p w14:paraId="472233B7">
            <w:pPr>
              <w:widowControl/>
              <w:ind w:firstLine="0" w:firstLineChars="0"/>
            </w:pPr>
            <w:r>
              <w:rPr>
                <w:rFonts w:hint="eastAsia"/>
              </w:rPr>
              <w:t>系统架构师</w:t>
            </w:r>
          </w:p>
        </w:tc>
        <w:tc>
          <w:tcPr>
            <w:tcW w:w="2123" w:type="dxa"/>
            <w:vAlign w:val="center"/>
          </w:tcPr>
          <w:p w14:paraId="0626C588">
            <w:pPr>
              <w:widowControl/>
              <w:ind w:firstLine="0" w:firstLineChars="0"/>
            </w:pPr>
            <w:r>
              <w:rPr>
                <w:rFonts w:hint="eastAsia"/>
              </w:rPr>
              <w:t>负责项目需求评估与产品设计</w:t>
            </w:r>
          </w:p>
        </w:tc>
        <w:tc>
          <w:tcPr>
            <w:tcW w:w="1559" w:type="dxa"/>
            <w:noWrap/>
            <w:vAlign w:val="center"/>
          </w:tcPr>
          <w:p w14:paraId="1874A1EA">
            <w:pPr>
              <w:widowControl/>
              <w:ind w:firstLine="0" w:firstLineChars="0"/>
              <w:jc w:val="center"/>
            </w:pPr>
            <w:r>
              <w:rPr>
                <w:rFonts w:hint="eastAsia"/>
              </w:rPr>
              <w:t>1人</w:t>
            </w:r>
          </w:p>
        </w:tc>
        <w:tc>
          <w:tcPr>
            <w:tcW w:w="1894" w:type="dxa"/>
            <w:vAlign w:val="center"/>
          </w:tcPr>
          <w:p w14:paraId="4D7447A1">
            <w:pPr>
              <w:widowControl/>
              <w:ind w:firstLine="0" w:firstLineChars="0"/>
              <w:jc w:val="left"/>
            </w:pPr>
            <w:r>
              <w:rPr>
                <w:rFonts w:hint="eastAsia"/>
              </w:rPr>
              <w:t>本科以上学历</w:t>
            </w:r>
          </w:p>
        </w:tc>
        <w:tc>
          <w:tcPr>
            <w:tcW w:w="1536" w:type="dxa"/>
            <w:noWrap/>
            <w:vAlign w:val="center"/>
          </w:tcPr>
          <w:p w14:paraId="00ECB91E">
            <w:pPr>
              <w:widowControl/>
              <w:ind w:firstLine="0" w:firstLineChars="0"/>
              <w:jc w:val="center"/>
            </w:pPr>
            <w:r>
              <w:rPr>
                <w:rFonts w:hint="eastAsia"/>
              </w:rPr>
              <w:t>不驻场</w:t>
            </w:r>
          </w:p>
        </w:tc>
      </w:tr>
      <w:tr w14:paraId="1394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416" w:type="dxa"/>
            <w:noWrap/>
            <w:vAlign w:val="center"/>
          </w:tcPr>
          <w:p w14:paraId="044113A7">
            <w:pPr>
              <w:widowControl/>
              <w:ind w:firstLine="0" w:firstLineChars="0"/>
            </w:pPr>
            <w:r>
              <w:rPr>
                <w:rFonts w:hint="eastAsia"/>
              </w:rPr>
              <w:t>技术工程师</w:t>
            </w:r>
          </w:p>
        </w:tc>
        <w:tc>
          <w:tcPr>
            <w:tcW w:w="2123" w:type="dxa"/>
            <w:noWrap/>
            <w:vAlign w:val="center"/>
          </w:tcPr>
          <w:p w14:paraId="4F9BB0B1">
            <w:pPr>
              <w:widowControl/>
              <w:ind w:firstLine="0" w:firstLineChars="0"/>
            </w:pPr>
            <w:r>
              <w:rPr>
                <w:rFonts w:hint="eastAsia"/>
              </w:rPr>
              <w:t>负责项目运行维护</w:t>
            </w:r>
          </w:p>
        </w:tc>
        <w:tc>
          <w:tcPr>
            <w:tcW w:w="1559" w:type="dxa"/>
            <w:noWrap/>
            <w:vAlign w:val="center"/>
          </w:tcPr>
          <w:p w14:paraId="22D64F48">
            <w:pPr>
              <w:widowControl/>
              <w:ind w:firstLine="0" w:firstLineChars="0"/>
              <w:jc w:val="center"/>
            </w:pPr>
            <w:r>
              <w:rPr>
                <w:rFonts w:hint="eastAsia"/>
                <w:lang w:eastAsia="zh-CN"/>
              </w:rPr>
              <w:t>不少于</w:t>
            </w:r>
            <w:r>
              <w:rPr>
                <w:rFonts w:hint="eastAsia"/>
              </w:rPr>
              <w:t>3人</w:t>
            </w:r>
          </w:p>
        </w:tc>
        <w:tc>
          <w:tcPr>
            <w:tcW w:w="1894" w:type="dxa"/>
            <w:vAlign w:val="center"/>
          </w:tcPr>
          <w:p w14:paraId="12AC3834">
            <w:pPr>
              <w:widowControl/>
              <w:ind w:firstLine="0" w:firstLineChars="0"/>
              <w:jc w:val="left"/>
            </w:pPr>
            <w:r>
              <w:rPr>
                <w:rFonts w:hint="eastAsia"/>
              </w:rPr>
              <w:t>大专以上学历</w:t>
            </w:r>
          </w:p>
        </w:tc>
        <w:tc>
          <w:tcPr>
            <w:tcW w:w="1536" w:type="dxa"/>
            <w:noWrap/>
            <w:vAlign w:val="center"/>
          </w:tcPr>
          <w:p w14:paraId="73F4DB75">
            <w:pPr>
              <w:widowControl/>
              <w:ind w:firstLine="0" w:firstLineChars="0"/>
              <w:jc w:val="center"/>
            </w:pPr>
            <w:r>
              <w:rPr>
                <w:rFonts w:hint="eastAsia"/>
              </w:rPr>
              <w:t>驻场</w:t>
            </w:r>
          </w:p>
        </w:tc>
      </w:tr>
    </w:tbl>
    <w:p w14:paraId="342A6365">
      <w:pPr>
        <w:keepNext/>
        <w:keepLines/>
        <w:numPr>
          <w:ilvl w:val="1"/>
          <w:numId w:val="1"/>
        </w:numPr>
        <w:spacing w:before="120" w:after="120"/>
        <w:ind w:hanging="993" w:firstLineChars="0"/>
        <w:outlineLvl w:val="2"/>
        <w:rPr>
          <w:b/>
          <w:bCs/>
          <w:sz w:val="30"/>
          <w:szCs w:val="32"/>
        </w:rPr>
      </w:pPr>
      <w:r>
        <w:rPr>
          <w:rFonts w:hint="eastAsia"/>
          <w:b/>
          <w:bCs/>
          <w:sz w:val="30"/>
          <w:szCs w:val="32"/>
        </w:rPr>
        <w:t>等级保护要求</w:t>
      </w:r>
    </w:p>
    <w:p w14:paraId="5933E8F7">
      <w:r>
        <w:t>本项目等级保护要求：按照等保</w:t>
      </w:r>
      <w:r>
        <w:rPr>
          <w:rFonts w:hint="eastAsia"/>
        </w:rPr>
        <w:t>二</w:t>
      </w:r>
      <w:r>
        <w:t>级要求建设。</w:t>
      </w:r>
    </w:p>
    <w:p w14:paraId="377D2C50">
      <w:pPr>
        <w:keepNext/>
        <w:keepLines/>
        <w:numPr>
          <w:ilvl w:val="1"/>
          <w:numId w:val="1"/>
        </w:numPr>
        <w:spacing w:before="120" w:after="120"/>
        <w:ind w:hanging="993" w:firstLineChars="0"/>
        <w:outlineLvl w:val="2"/>
        <w:rPr>
          <w:b/>
          <w:bCs/>
          <w:sz w:val="30"/>
          <w:szCs w:val="32"/>
        </w:rPr>
      </w:pPr>
      <w:r>
        <w:rPr>
          <w:rFonts w:hint="eastAsia"/>
          <w:b/>
          <w:bCs/>
          <w:sz w:val="30"/>
          <w:szCs w:val="32"/>
        </w:rPr>
        <w:t>软件测试要求</w:t>
      </w:r>
    </w:p>
    <w:p w14:paraId="5819D812">
      <w:r>
        <w:t>本项目需符合软件测</w:t>
      </w:r>
      <w:r>
        <w:rPr>
          <w:rFonts w:hint="eastAsia"/>
        </w:rPr>
        <w:t>试</w:t>
      </w:r>
      <w:r>
        <w:t>的要求，并配合项目建设单位及具有资质的第三方测评机构完成软件</w:t>
      </w:r>
      <w:r>
        <w:rPr>
          <w:rFonts w:hint="eastAsia"/>
        </w:rPr>
        <w:t>测试</w:t>
      </w:r>
      <w:r>
        <w:t>工作，以第三方测评机构出具的软件</w:t>
      </w:r>
      <w:r>
        <w:rPr>
          <w:rFonts w:hint="eastAsia"/>
        </w:rPr>
        <w:t>测试</w:t>
      </w:r>
      <w:r>
        <w:t>报告为准。</w:t>
      </w:r>
    </w:p>
    <w:p w14:paraId="728310AA">
      <w:pPr>
        <w:keepNext/>
        <w:keepLines/>
        <w:numPr>
          <w:ilvl w:val="1"/>
          <w:numId w:val="1"/>
        </w:numPr>
        <w:spacing w:before="120" w:after="120"/>
        <w:ind w:hanging="993" w:firstLineChars="0"/>
        <w:outlineLvl w:val="2"/>
        <w:rPr>
          <w:b/>
          <w:bCs/>
          <w:sz w:val="30"/>
          <w:szCs w:val="32"/>
        </w:rPr>
      </w:pPr>
      <w:r>
        <w:rPr>
          <w:rFonts w:hint="eastAsia"/>
          <w:b/>
          <w:bCs/>
          <w:sz w:val="30"/>
          <w:szCs w:val="32"/>
        </w:rPr>
        <w:t>安全测评要求</w:t>
      </w:r>
    </w:p>
    <w:p w14:paraId="292339B4">
      <w:r>
        <w:t>本项目需符合</w:t>
      </w:r>
      <w:r>
        <w:rPr>
          <w:rFonts w:hint="eastAsia"/>
        </w:rPr>
        <w:t>安全测评</w:t>
      </w:r>
      <w:r>
        <w:t>的要求，并配合项目建设单位及具有资质的第三方测评机构完成</w:t>
      </w:r>
      <w:r>
        <w:rPr>
          <w:rFonts w:hint="eastAsia"/>
        </w:rPr>
        <w:t>安全测评</w:t>
      </w:r>
      <w:r>
        <w:t>工作，以第三方测评机构出具的</w:t>
      </w:r>
      <w:r>
        <w:rPr>
          <w:rFonts w:hint="eastAsia"/>
        </w:rPr>
        <w:t>安全测评</w:t>
      </w:r>
      <w:r>
        <w:t>报告为准。</w:t>
      </w:r>
    </w:p>
    <w:p w14:paraId="47697041">
      <w:pPr>
        <w:keepNext/>
        <w:keepLines/>
        <w:numPr>
          <w:ilvl w:val="1"/>
          <w:numId w:val="1"/>
        </w:numPr>
        <w:spacing w:before="120" w:after="120"/>
        <w:ind w:hanging="993" w:firstLineChars="0"/>
        <w:outlineLvl w:val="2"/>
        <w:rPr>
          <w:b/>
          <w:bCs/>
          <w:sz w:val="30"/>
          <w:szCs w:val="32"/>
        </w:rPr>
      </w:pPr>
      <w:r>
        <w:rPr>
          <w:rFonts w:hint="eastAsia"/>
          <w:b/>
          <w:bCs/>
          <w:sz w:val="30"/>
          <w:szCs w:val="32"/>
        </w:rPr>
        <w:t>密码应用测评要求</w:t>
      </w:r>
    </w:p>
    <w:p w14:paraId="33043A7E">
      <w:r>
        <w:t>本项目需符合密码应用</w:t>
      </w:r>
      <w:r>
        <w:rPr>
          <w:rFonts w:hint="eastAsia"/>
        </w:rPr>
        <w:t>测评</w:t>
      </w:r>
      <w:r>
        <w:t>的要求，并配合项目建设单位及具有资质的第三方测评机构完成密码应用</w:t>
      </w:r>
      <w:r>
        <w:rPr>
          <w:rFonts w:hint="eastAsia"/>
        </w:rPr>
        <w:t>测评</w:t>
      </w:r>
      <w:r>
        <w:t>工作，以第三方测评机构出具的密码应用</w:t>
      </w:r>
      <w:r>
        <w:rPr>
          <w:rFonts w:hint="eastAsia"/>
        </w:rPr>
        <w:t>测评</w:t>
      </w:r>
      <w:r>
        <w:t>报告为准。</w:t>
      </w:r>
    </w:p>
    <w:p w14:paraId="4444B530">
      <w:pPr>
        <w:keepNext/>
        <w:keepLines/>
        <w:numPr>
          <w:ilvl w:val="1"/>
          <w:numId w:val="1"/>
        </w:numPr>
        <w:spacing w:before="120" w:after="120"/>
        <w:ind w:hanging="993" w:firstLineChars="0"/>
        <w:outlineLvl w:val="2"/>
        <w:rPr>
          <w:b/>
          <w:bCs/>
          <w:sz w:val="30"/>
          <w:szCs w:val="32"/>
        </w:rPr>
      </w:pPr>
      <w:bookmarkStart w:id="26" w:name="_Toc24097"/>
      <w:r>
        <w:rPr>
          <w:rFonts w:hint="eastAsia"/>
          <w:b/>
          <w:bCs/>
          <w:sz w:val="30"/>
          <w:szCs w:val="32"/>
        </w:rPr>
        <w:t>技术文件要求</w:t>
      </w:r>
      <w:bookmarkEnd w:id="26"/>
    </w:p>
    <w:p w14:paraId="1AE7BBDF">
      <w:r>
        <w:rPr>
          <w:rFonts w:hint="eastAsia"/>
          <w:lang w:eastAsia="zh-CN"/>
        </w:rPr>
        <w:t>中标人</w:t>
      </w:r>
      <w:r>
        <w:rPr>
          <w:rFonts w:hint="eastAsia"/>
        </w:rPr>
        <w:t>在验收阶段提供的书面技术资料应能确保系统正常运行所需的管理、运营及维护有关的全套文件。技术文件应该全面、完整、详细。供应商提供的技术文件至少应包括：</w:t>
      </w:r>
    </w:p>
    <w:p w14:paraId="471F0DC9">
      <w:r>
        <w:rPr>
          <w:rFonts w:hint="eastAsia"/>
        </w:rPr>
        <w:t>－</w:t>
      </w:r>
      <w:r>
        <w:t xml:space="preserve"> 系统说明文件； </w:t>
      </w:r>
    </w:p>
    <w:p w14:paraId="0D60C591">
      <w:r>
        <w:rPr>
          <w:rFonts w:hint="eastAsia"/>
        </w:rPr>
        <w:t>－</w:t>
      </w:r>
      <w:r>
        <w:t xml:space="preserve"> 技术手册(安装、测试、操作、维护、故障排除等)； </w:t>
      </w:r>
    </w:p>
    <w:p w14:paraId="54881495">
      <w:r>
        <w:rPr>
          <w:rFonts w:hint="eastAsia"/>
        </w:rPr>
        <w:t>－</w:t>
      </w:r>
      <w:r>
        <w:t xml:space="preserve"> 项目文档，应该包括：</w:t>
      </w:r>
    </w:p>
    <w:p w14:paraId="038A67DB">
      <w:pPr>
        <w:ind w:left="360"/>
      </w:pPr>
      <w:r>
        <w:t>(1)软件需求说明书</w:t>
      </w:r>
    </w:p>
    <w:p w14:paraId="6FBEFA39">
      <w:pPr>
        <w:ind w:left="360"/>
      </w:pPr>
      <w:r>
        <w:t>(2)</w:t>
      </w:r>
      <w:r>
        <w:tab/>
      </w:r>
      <w:r>
        <w:t>系统总体设计说明书</w:t>
      </w:r>
    </w:p>
    <w:p w14:paraId="0C92495B">
      <w:pPr>
        <w:ind w:left="360"/>
      </w:pPr>
      <w:r>
        <w:t>(3)</w:t>
      </w:r>
      <w:r>
        <w:tab/>
      </w:r>
      <w:r>
        <w:t>应用软件功能清单</w:t>
      </w:r>
    </w:p>
    <w:p w14:paraId="6314EA38">
      <w:r>
        <w:rPr>
          <w:rFonts w:hint="eastAsia"/>
        </w:rPr>
        <w:t>提供全套技术文件纸介质</w:t>
      </w:r>
      <w:r>
        <w:t>3套以及电子文件1套。</w:t>
      </w:r>
    </w:p>
    <w:p w14:paraId="414EC6C5">
      <w:pPr>
        <w:pStyle w:val="2"/>
      </w:pPr>
      <w:bookmarkStart w:id="27" w:name="_Toc11103"/>
      <w:bookmarkStart w:id="28" w:name="_Toc28749"/>
      <w:r>
        <w:rPr>
          <w:rFonts w:hint="eastAsia"/>
        </w:rPr>
        <w:t>供应商管理要求</w:t>
      </w:r>
      <w:bookmarkEnd w:id="27"/>
      <w:bookmarkEnd w:id="28"/>
    </w:p>
    <w:p w14:paraId="062C4578">
      <w:r>
        <w:rPr>
          <w:rFonts w:hint="eastAsia"/>
        </w:rPr>
        <w:t>1、在项目实施期间，</w:t>
      </w:r>
      <w:r>
        <w:rPr>
          <w:rFonts w:hint="eastAsia"/>
          <w:lang w:eastAsia="zh-CN"/>
        </w:rPr>
        <w:t>中标人</w:t>
      </w:r>
      <w:r>
        <w:rPr>
          <w:rFonts w:hint="eastAsia"/>
        </w:rPr>
        <w:t>应严格执行国家、地方、行业有关本项目业务管理和安全作业的法律、法规和制度并按规定承担相应的费用。</w:t>
      </w:r>
      <w:r>
        <w:rPr>
          <w:rFonts w:hint="eastAsia"/>
          <w:lang w:eastAsia="zh-CN"/>
        </w:rPr>
        <w:t>中标人</w:t>
      </w:r>
      <w:r>
        <w:rPr>
          <w:rFonts w:hint="eastAsia"/>
        </w:rPr>
        <w:t>因违反规定等原因造成的一切损失和责任由</w:t>
      </w:r>
      <w:r>
        <w:rPr>
          <w:rFonts w:hint="eastAsia"/>
          <w:lang w:eastAsia="zh-CN"/>
        </w:rPr>
        <w:t>中标人</w:t>
      </w:r>
      <w:r>
        <w:rPr>
          <w:rFonts w:hint="eastAsia"/>
        </w:rPr>
        <w:t>自行承担。</w:t>
      </w:r>
    </w:p>
    <w:p w14:paraId="6B71AE29">
      <w:r>
        <w:rPr>
          <w:rFonts w:hint="eastAsia"/>
        </w:rPr>
        <w:t>2、</w:t>
      </w:r>
      <w:r>
        <w:rPr>
          <w:rFonts w:hint="eastAsia"/>
          <w:lang w:eastAsia="zh-CN"/>
        </w:rPr>
        <w:t>中标人</w:t>
      </w:r>
      <w:r>
        <w:rPr>
          <w:rFonts w:hint="eastAsia"/>
        </w:rPr>
        <w:t>在</w:t>
      </w:r>
      <w:r>
        <w:rPr>
          <w:rFonts w:hint="eastAsia"/>
          <w:lang w:eastAsia="zh-CN"/>
        </w:rPr>
        <w:t>投标文件</w:t>
      </w:r>
      <w:r>
        <w:rPr>
          <w:rFonts w:hint="eastAsia"/>
        </w:rPr>
        <w:t>中承诺并经采购人认定的项目负责人及专业技术人员是本单位职工（在本单位缴纳社会保障金）和该项目实施现场的实际操作者，应具有类似本项目的实施经验，并应在软件应用调研、安装、试运行等期间常驻项目现场。未经采购人同意，</w:t>
      </w:r>
      <w:r>
        <w:rPr>
          <w:rFonts w:hint="eastAsia"/>
          <w:lang w:eastAsia="zh-CN"/>
        </w:rPr>
        <w:t>中标人</w:t>
      </w:r>
      <w:r>
        <w:rPr>
          <w:rFonts w:hint="eastAsia"/>
        </w:rPr>
        <w:t>不得调换或撤离上述人员。如采购人认为有必要，可要求</w:t>
      </w:r>
      <w:r>
        <w:rPr>
          <w:rFonts w:hint="eastAsia"/>
          <w:lang w:eastAsia="zh-CN"/>
        </w:rPr>
        <w:t>中标人</w:t>
      </w:r>
      <w:r>
        <w:rPr>
          <w:rFonts w:hint="eastAsia"/>
        </w:rPr>
        <w:t>对上述人员中的部分人员作出更好的调整。</w:t>
      </w:r>
    </w:p>
    <w:p w14:paraId="03334320">
      <w:r>
        <w:rPr>
          <w:rFonts w:hint="eastAsia"/>
        </w:rPr>
        <w:t>3、</w:t>
      </w:r>
      <w:r>
        <w:rPr>
          <w:rFonts w:hint="eastAsia"/>
          <w:lang w:eastAsia="zh-CN"/>
        </w:rPr>
        <w:t>中标人</w:t>
      </w:r>
      <w:r>
        <w:rPr>
          <w:rFonts w:hint="eastAsia"/>
        </w:rPr>
        <w:t>在项目实施期间，应按项目实际进度与环节落实所对应项目整体及各环节管理工作，按照规范做好项目实施期间相关管理与实施记录。</w:t>
      </w:r>
    </w:p>
    <w:p w14:paraId="60A2C936">
      <w:r>
        <w:rPr>
          <w:rFonts w:hint="eastAsia"/>
        </w:rPr>
        <w:t>4、参与本项目的工作人员应严格遵循采购人的安全制度，保障采购人资料和设备的安全。</w:t>
      </w:r>
      <w:r>
        <w:rPr>
          <w:rFonts w:hint="eastAsia"/>
          <w:lang w:eastAsia="zh-CN"/>
        </w:rPr>
        <w:t>中标人</w:t>
      </w:r>
      <w:r>
        <w:rPr>
          <w:rFonts w:hint="eastAsia"/>
        </w:rPr>
        <w:t>如需进入采购人机房工作，只能在采购人规定的工作区域内对项目涉及的设备进行操作，严禁触动与项目无关的任何设备（包括任何操作行为），如需跨区操作需得到采购人项目联系人确认。</w:t>
      </w:r>
    </w:p>
    <w:p w14:paraId="600E0B5D">
      <w:r>
        <w:rPr>
          <w:rFonts w:hint="eastAsia"/>
        </w:rPr>
        <w:t>5、</w:t>
      </w:r>
      <w:r>
        <w:rPr>
          <w:rFonts w:hint="eastAsia"/>
          <w:lang w:eastAsia="zh-CN"/>
        </w:rPr>
        <w:t>中标人</w:t>
      </w:r>
      <w:r>
        <w:rPr>
          <w:rFonts w:hint="eastAsia"/>
        </w:rPr>
        <w:t>在项目实施期间需遵守采购人的规章制度并提供实施人员名单。</w:t>
      </w:r>
    </w:p>
    <w:p w14:paraId="15D6CB1A">
      <w:r>
        <w:rPr>
          <w:rFonts w:hint="eastAsia"/>
        </w:rPr>
        <w:t>6、各供应商在</w:t>
      </w:r>
      <w:r>
        <w:rPr>
          <w:rFonts w:hint="eastAsia"/>
          <w:lang w:eastAsia="zh-CN"/>
        </w:rPr>
        <w:t>投标文件</w:t>
      </w:r>
      <w:r>
        <w:rPr>
          <w:rFonts w:hint="eastAsia"/>
        </w:rPr>
        <w:t>中要结合本项目的特点和采购人上述的具体要求制定相应的管理措施，并在报价中列支相应的费用清单，供应商报价中未列支上述费用清单的，上述费用视为已包含在供应商的响应总报价中。</w:t>
      </w:r>
      <w:bookmarkStart w:id="29" w:name="_GoBack"/>
      <w:bookmarkEnd w:id="29"/>
    </w:p>
    <w:p w14:paraId="6C3A4F87">
      <w:pPr>
        <w:rPr>
          <w:szCs w:val="21"/>
        </w:rPr>
      </w:pPr>
      <w:r>
        <w:rPr>
          <w:rFonts w:hint="eastAsia"/>
        </w:rPr>
        <w:t>7、本项目软件开发及调试将纳入采购人的管理范围，</w:t>
      </w:r>
      <w:r>
        <w:rPr>
          <w:rFonts w:hint="eastAsia"/>
          <w:lang w:eastAsia="zh-CN"/>
        </w:rPr>
        <w:t>中标人</w:t>
      </w:r>
      <w:r>
        <w:rPr>
          <w:rFonts w:hint="eastAsia"/>
        </w:rPr>
        <w:t>在此过程中服从上述单位的管理协调。</w:t>
      </w:r>
    </w:p>
    <w:p w14:paraId="448A2997">
      <w:pPr>
        <w:pStyle w:val="2"/>
      </w:pPr>
      <w:r>
        <w:rPr>
          <w:rFonts w:hint="eastAsia"/>
        </w:rPr>
        <w:t>其他要求</w:t>
      </w:r>
    </w:p>
    <w:p w14:paraId="036A5895">
      <w:pPr>
        <w:rPr>
          <w:color w:val="auto"/>
          <w:highlight w:val="none"/>
        </w:rPr>
      </w:pPr>
      <w:r>
        <w:rPr>
          <w:rFonts w:hint="eastAsia"/>
          <w:color w:val="auto"/>
          <w:highlight w:val="none"/>
        </w:rPr>
        <w:t>1</w:t>
      </w:r>
      <w:r>
        <w:rPr>
          <w:color w:val="auto"/>
          <w:highlight w:val="none"/>
        </w:rPr>
        <w:t>.</w:t>
      </w:r>
      <w:r>
        <w:rPr>
          <w:rFonts w:hint="eastAsia"/>
          <w:color w:val="auto"/>
          <w:highlight w:val="none"/>
        </w:rPr>
        <w:t>投标人具有近三年类似业绩的优先考虑；</w:t>
      </w:r>
    </w:p>
    <w:p w14:paraId="21D4EDA0">
      <w:pPr>
        <w:rPr>
          <w:color w:val="auto"/>
          <w:highlight w:val="none"/>
        </w:rPr>
      </w:pPr>
      <w:r>
        <w:rPr>
          <w:rFonts w:hint="eastAsia"/>
          <w:color w:val="auto"/>
          <w:highlight w:val="none"/>
        </w:rPr>
        <w:t>2</w:t>
      </w:r>
      <w:r>
        <w:rPr>
          <w:color w:val="auto"/>
          <w:highlight w:val="none"/>
        </w:rPr>
        <w:t>.</w:t>
      </w:r>
      <w:r>
        <w:rPr>
          <w:rFonts w:hint="eastAsia"/>
          <w:color w:val="auto"/>
          <w:highlight w:val="none"/>
        </w:rPr>
        <w:t>投标人具有质量管理体系认证、信息安全管理体系认证、</w:t>
      </w:r>
      <w:r>
        <w:rPr>
          <w:rFonts w:hint="eastAsia"/>
          <w:color w:val="auto"/>
          <w:highlight w:val="none"/>
          <w:vertAlign w:val="baseline"/>
          <w:lang w:eastAsia="zh-CN"/>
        </w:rPr>
        <w:t>信息技术服务管理体系认证证书、</w:t>
      </w:r>
      <w:r>
        <w:rPr>
          <w:rFonts w:hint="eastAsia"/>
          <w:color w:val="auto"/>
          <w:highlight w:val="none"/>
        </w:rPr>
        <w:t>ITSS信息技术服务运行维护证书</w:t>
      </w:r>
      <w:r>
        <w:rPr>
          <w:color w:val="auto"/>
          <w:highlight w:val="none"/>
        </w:rPr>
        <w:t>的</w:t>
      </w:r>
      <w:r>
        <w:rPr>
          <w:rFonts w:hint="eastAsia"/>
          <w:color w:val="auto"/>
          <w:highlight w:val="none"/>
        </w:rPr>
        <w:t>优先考虑。</w:t>
      </w:r>
    </w:p>
    <w:p w14:paraId="00ACCE06"/>
    <w:p w14:paraId="006866D1">
      <w:pPr>
        <w:ind w:firstLine="0" w:firstLineChars="0"/>
        <w:rPr>
          <w:b/>
          <w:bCs/>
        </w:rPr>
      </w:pPr>
    </w:p>
    <w:sectPr>
      <w:footerReference r:id="rId11" w:type="first"/>
      <w:pgSz w:w="11906" w:h="16838"/>
      <w:pgMar w:top="1134" w:right="1797" w:bottom="1135" w:left="1797" w:header="340" w:footer="7" w:gutter="0"/>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7F" w:usb3="00000000" w:csb0="003F01FF" w:csb1="0000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Times New Roman (正文 CS 字体)">
    <w:altName w:val="DejaVu Sans"/>
    <w:panose1 w:val="00000000000000000000"/>
    <w:charset w:val="00"/>
    <w:family w:val="swiss"/>
    <w:pitch w:val="default"/>
    <w:sig w:usb0="00000000" w:usb1="00000000" w:usb2="00000009" w:usb3="00000000" w:csb0="000001FF"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等线">
    <w:altName w:val="Noto Sans CJK SC"/>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64F6D">
    <w:pPr>
      <w:ind w:firstLine="0" w:firstLineChars="0"/>
      <w:jc w:val="center"/>
    </w:pPr>
    <w:r>
      <w:fldChar w:fldCharType="begin"/>
    </w:r>
    <w:r>
      <w:instrText xml:space="preserve">PAGE   \* MERGEFORMAT</w:instrText>
    </w:r>
    <w:r>
      <w:fldChar w:fldCharType="separate"/>
    </w:r>
    <w:r>
      <w:rPr>
        <w:lang w:val="zh-CN"/>
      </w:rPr>
      <w:t>6</w:t>
    </w:r>
    <w:r>
      <w:rPr>
        <w:lang w:val="zh-CN"/>
      </w:rPr>
      <w:fldChar w:fldCharType="end"/>
    </w:r>
  </w:p>
  <w:p w14:paraId="49F1EEB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2A344"/>
  <w:p w14:paraId="04CE36F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334A7">
    <w:pP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83E84">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4DB317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681BC">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3DE07"/>
  <w:p w14:paraId="42B959B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7DCE1">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50366A"/>
    <w:multiLevelType w:val="multilevel"/>
    <w:tmpl w:val="6350366A"/>
    <w:lvl w:ilvl="0" w:tentative="0">
      <w:start w:val="1"/>
      <w:numFmt w:val="none"/>
      <w:pStyle w:val="120"/>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VerticalSpacing w:val="16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4YmIxNzI4ZGQ3ZWQ1ZDA0YzA0YjM3YjI4NzdkMWUifQ=="/>
  </w:docVars>
  <w:rsids>
    <w:rsidRoot w:val="009D2397"/>
    <w:rsid w:val="00001268"/>
    <w:rsid w:val="00001DD4"/>
    <w:rsid w:val="0000249A"/>
    <w:rsid w:val="00002EE9"/>
    <w:rsid w:val="000111D4"/>
    <w:rsid w:val="0001231A"/>
    <w:rsid w:val="00016CFE"/>
    <w:rsid w:val="00017DA5"/>
    <w:rsid w:val="000302E8"/>
    <w:rsid w:val="000401C8"/>
    <w:rsid w:val="00084E82"/>
    <w:rsid w:val="000B7F50"/>
    <w:rsid w:val="000D35EE"/>
    <w:rsid w:val="000D6653"/>
    <w:rsid w:val="00141C68"/>
    <w:rsid w:val="001457C3"/>
    <w:rsid w:val="00150BE3"/>
    <w:rsid w:val="0015600B"/>
    <w:rsid w:val="001739D4"/>
    <w:rsid w:val="001A0E30"/>
    <w:rsid w:val="001C0219"/>
    <w:rsid w:val="001C2AAE"/>
    <w:rsid w:val="001F0840"/>
    <w:rsid w:val="001F6CDA"/>
    <w:rsid w:val="00224CB3"/>
    <w:rsid w:val="002260A3"/>
    <w:rsid w:val="002264D0"/>
    <w:rsid w:val="0023588A"/>
    <w:rsid w:val="002371CE"/>
    <w:rsid w:val="00250F26"/>
    <w:rsid w:val="0026093B"/>
    <w:rsid w:val="002619D2"/>
    <w:rsid w:val="002662B0"/>
    <w:rsid w:val="0026742E"/>
    <w:rsid w:val="00273498"/>
    <w:rsid w:val="00286820"/>
    <w:rsid w:val="002A38E1"/>
    <w:rsid w:val="002A6247"/>
    <w:rsid w:val="002C4CF6"/>
    <w:rsid w:val="002C5A01"/>
    <w:rsid w:val="002D4897"/>
    <w:rsid w:val="002D7F73"/>
    <w:rsid w:val="003241E4"/>
    <w:rsid w:val="00336E85"/>
    <w:rsid w:val="0035109C"/>
    <w:rsid w:val="00380420"/>
    <w:rsid w:val="0038587C"/>
    <w:rsid w:val="003A66B5"/>
    <w:rsid w:val="003C79D5"/>
    <w:rsid w:val="003F0061"/>
    <w:rsid w:val="00404A7D"/>
    <w:rsid w:val="00421E31"/>
    <w:rsid w:val="00447A63"/>
    <w:rsid w:val="00450838"/>
    <w:rsid w:val="00465FC1"/>
    <w:rsid w:val="00477325"/>
    <w:rsid w:val="004A0088"/>
    <w:rsid w:val="004C74DE"/>
    <w:rsid w:val="004D6936"/>
    <w:rsid w:val="004E0DDA"/>
    <w:rsid w:val="005035DE"/>
    <w:rsid w:val="00523895"/>
    <w:rsid w:val="005260A9"/>
    <w:rsid w:val="00530632"/>
    <w:rsid w:val="00541AF0"/>
    <w:rsid w:val="005724A1"/>
    <w:rsid w:val="00577361"/>
    <w:rsid w:val="00584613"/>
    <w:rsid w:val="00586519"/>
    <w:rsid w:val="00596BF8"/>
    <w:rsid w:val="005A20BF"/>
    <w:rsid w:val="005B12F5"/>
    <w:rsid w:val="005B2AA4"/>
    <w:rsid w:val="005C5628"/>
    <w:rsid w:val="005C5E21"/>
    <w:rsid w:val="005D68BE"/>
    <w:rsid w:val="005F65EE"/>
    <w:rsid w:val="0060544E"/>
    <w:rsid w:val="00613A6B"/>
    <w:rsid w:val="00631950"/>
    <w:rsid w:val="006407E7"/>
    <w:rsid w:val="0065118E"/>
    <w:rsid w:val="006A3443"/>
    <w:rsid w:val="006B61D7"/>
    <w:rsid w:val="006C5A31"/>
    <w:rsid w:val="00734DFE"/>
    <w:rsid w:val="007452B7"/>
    <w:rsid w:val="00761249"/>
    <w:rsid w:val="007753A1"/>
    <w:rsid w:val="0077621A"/>
    <w:rsid w:val="007913A6"/>
    <w:rsid w:val="007B6EB2"/>
    <w:rsid w:val="007B79BA"/>
    <w:rsid w:val="007C11C5"/>
    <w:rsid w:val="007C7B57"/>
    <w:rsid w:val="007D67F3"/>
    <w:rsid w:val="007E1FCB"/>
    <w:rsid w:val="007F02FE"/>
    <w:rsid w:val="007F4B59"/>
    <w:rsid w:val="007F6008"/>
    <w:rsid w:val="00800956"/>
    <w:rsid w:val="00805DFF"/>
    <w:rsid w:val="00811678"/>
    <w:rsid w:val="00813FEE"/>
    <w:rsid w:val="008211E5"/>
    <w:rsid w:val="00833892"/>
    <w:rsid w:val="008367A8"/>
    <w:rsid w:val="008408EF"/>
    <w:rsid w:val="008547F8"/>
    <w:rsid w:val="00882E23"/>
    <w:rsid w:val="008C54C3"/>
    <w:rsid w:val="008D5E15"/>
    <w:rsid w:val="008E57F4"/>
    <w:rsid w:val="008E6398"/>
    <w:rsid w:val="0091419B"/>
    <w:rsid w:val="00946F09"/>
    <w:rsid w:val="009554E3"/>
    <w:rsid w:val="00955B58"/>
    <w:rsid w:val="009657AA"/>
    <w:rsid w:val="00974B31"/>
    <w:rsid w:val="009A511A"/>
    <w:rsid w:val="009D2397"/>
    <w:rsid w:val="009D7393"/>
    <w:rsid w:val="009E7E16"/>
    <w:rsid w:val="009F17B1"/>
    <w:rsid w:val="00A41B07"/>
    <w:rsid w:val="00A5617C"/>
    <w:rsid w:val="00A83B70"/>
    <w:rsid w:val="00AD4873"/>
    <w:rsid w:val="00B0321D"/>
    <w:rsid w:val="00B26289"/>
    <w:rsid w:val="00B30C68"/>
    <w:rsid w:val="00B46D74"/>
    <w:rsid w:val="00B5448B"/>
    <w:rsid w:val="00B673E5"/>
    <w:rsid w:val="00B87DF9"/>
    <w:rsid w:val="00B93F9E"/>
    <w:rsid w:val="00BC2E55"/>
    <w:rsid w:val="00BE331C"/>
    <w:rsid w:val="00BF0CA3"/>
    <w:rsid w:val="00C00366"/>
    <w:rsid w:val="00C0212C"/>
    <w:rsid w:val="00C03A32"/>
    <w:rsid w:val="00C43B9F"/>
    <w:rsid w:val="00C46B54"/>
    <w:rsid w:val="00C52F8E"/>
    <w:rsid w:val="00C65FDA"/>
    <w:rsid w:val="00C95167"/>
    <w:rsid w:val="00CA557F"/>
    <w:rsid w:val="00CB17C0"/>
    <w:rsid w:val="00CE6BD1"/>
    <w:rsid w:val="00CF69C2"/>
    <w:rsid w:val="00D02D93"/>
    <w:rsid w:val="00D36308"/>
    <w:rsid w:val="00D71BDE"/>
    <w:rsid w:val="00D9282A"/>
    <w:rsid w:val="00D93DA0"/>
    <w:rsid w:val="00DA1A9D"/>
    <w:rsid w:val="00DA7DBD"/>
    <w:rsid w:val="00DC2F47"/>
    <w:rsid w:val="00DD19EB"/>
    <w:rsid w:val="00DD2DEB"/>
    <w:rsid w:val="00DF1237"/>
    <w:rsid w:val="00E04497"/>
    <w:rsid w:val="00E11C58"/>
    <w:rsid w:val="00E24404"/>
    <w:rsid w:val="00E334F6"/>
    <w:rsid w:val="00E46B79"/>
    <w:rsid w:val="00E54182"/>
    <w:rsid w:val="00E62E04"/>
    <w:rsid w:val="00E80D27"/>
    <w:rsid w:val="00EA23F2"/>
    <w:rsid w:val="00EB1C2E"/>
    <w:rsid w:val="00EB2B30"/>
    <w:rsid w:val="00EC7941"/>
    <w:rsid w:val="00ED2C16"/>
    <w:rsid w:val="00EF582E"/>
    <w:rsid w:val="00F1285C"/>
    <w:rsid w:val="00F20AF7"/>
    <w:rsid w:val="00F316DB"/>
    <w:rsid w:val="00F36848"/>
    <w:rsid w:val="00F5113F"/>
    <w:rsid w:val="00F52B77"/>
    <w:rsid w:val="00F61678"/>
    <w:rsid w:val="00F730CD"/>
    <w:rsid w:val="00F77821"/>
    <w:rsid w:val="00F86464"/>
    <w:rsid w:val="00F92BF1"/>
    <w:rsid w:val="00FA2A96"/>
    <w:rsid w:val="00FA4617"/>
    <w:rsid w:val="00FB334D"/>
    <w:rsid w:val="00FC6AAA"/>
    <w:rsid w:val="00FD4107"/>
    <w:rsid w:val="022D25F8"/>
    <w:rsid w:val="024C5E48"/>
    <w:rsid w:val="05DF0E99"/>
    <w:rsid w:val="06126227"/>
    <w:rsid w:val="069A7FF8"/>
    <w:rsid w:val="06D40A51"/>
    <w:rsid w:val="07772DAE"/>
    <w:rsid w:val="08F6039D"/>
    <w:rsid w:val="0A5B078E"/>
    <w:rsid w:val="0A951165"/>
    <w:rsid w:val="0B7B4FAF"/>
    <w:rsid w:val="0B884C29"/>
    <w:rsid w:val="0B9F0D16"/>
    <w:rsid w:val="0BBB077A"/>
    <w:rsid w:val="0D46126D"/>
    <w:rsid w:val="0E5C283D"/>
    <w:rsid w:val="0E77198B"/>
    <w:rsid w:val="122D3578"/>
    <w:rsid w:val="123C7875"/>
    <w:rsid w:val="134A0A16"/>
    <w:rsid w:val="15FC0026"/>
    <w:rsid w:val="16ED28DB"/>
    <w:rsid w:val="1DDF520E"/>
    <w:rsid w:val="1DE92029"/>
    <w:rsid w:val="1E336318"/>
    <w:rsid w:val="1EBA325B"/>
    <w:rsid w:val="1F3B254F"/>
    <w:rsid w:val="1F7B2C73"/>
    <w:rsid w:val="251C461B"/>
    <w:rsid w:val="25D5565D"/>
    <w:rsid w:val="26C2328E"/>
    <w:rsid w:val="26C75EA7"/>
    <w:rsid w:val="276D16B8"/>
    <w:rsid w:val="27F53BFF"/>
    <w:rsid w:val="28B86FDF"/>
    <w:rsid w:val="298D1FAA"/>
    <w:rsid w:val="29B449E4"/>
    <w:rsid w:val="2E88388E"/>
    <w:rsid w:val="2EA86D20"/>
    <w:rsid w:val="2F263A1A"/>
    <w:rsid w:val="31E85B72"/>
    <w:rsid w:val="36603F29"/>
    <w:rsid w:val="39DC5BB6"/>
    <w:rsid w:val="39F2758E"/>
    <w:rsid w:val="3ACE2381"/>
    <w:rsid w:val="3B000ABB"/>
    <w:rsid w:val="3B135A0E"/>
    <w:rsid w:val="3B1403AE"/>
    <w:rsid w:val="3C727823"/>
    <w:rsid w:val="3E09759C"/>
    <w:rsid w:val="3EC0145C"/>
    <w:rsid w:val="3F5C4E22"/>
    <w:rsid w:val="3F5FD42F"/>
    <w:rsid w:val="42076D18"/>
    <w:rsid w:val="42561330"/>
    <w:rsid w:val="43581D28"/>
    <w:rsid w:val="46D03D93"/>
    <w:rsid w:val="474205F7"/>
    <w:rsid w:val="4AC04479"/>
    <w:rsid w:val="4C222794"/>
    <w:rsid w:val="4C3605C6"/>
    <w:rsid w:val="4CFC586D"/>
    <w:rsid w:val="4D467EC5"/>
    <w:rsid w:val="4DCE1CA3"/>
    <w:rsid w:val="4E11675A"/>
    <w:rsid w:val="4EB76B82"/>
    <w:rsid w:val="4F602D94"/>
    <w:rsid w:val="4FA2150D"/>
    <w:rsid w:val="4FE15C83"/>
    <w:rsid w:val="51042CAA"/>
    <w:rsid w:val="53D5495F"/>
    <w:rsid w:val="53F20FDD"/>
    <w:rsid w:val="54A2765E"/>
    <w:rsid w:val="555211F0"/>
    <w:rsid w:val="57E01845"/>
    <w:rsid w:val="5B123195"/>
    <w:rsid w:val="5B644A23"/>
    <w:rsid w:val="5B9261ED"/>
    <w:rsid w:val="5BA71C00"/>
    <w:rsid w:val="5D174E5B"/>
    <w:rsid w:val="5D8F31C2"/>
    <w:rsid w:val="5F0F66F3"/>
    <w:rsid w:val="603D3F8B"/>
    <w:rsid w:val="609B6F89"/>
    <w:rsid w:val="61C50CDA"/>
    <w:rsid w:val="6254619A"/>
    <w:rsid w:val="62C44768"/>
    <w:rsid w:val="630737FB"/>
    <w:rsid w:val="63391F7B"/>
    <w:rsid w:val="63CB327E"/>
    <w:rsid w:val="6561620F"/>
    <w:rsid w:val="67AD3D48"/>
    <w:rsid w:val="68476448"/>
    <w:rsid w:val="686D1B74"/>
    <w:rsid w:val="68B30AF3"/>
    <w:rsid w:val="6933686A"/>
    <w:rsid w:val="69852B2B"/>
    <w:rsid w:val="69DF1CFE"/>
    <w:rsid w:val="6A866542"/>
    <w:rsid w:val="6AA10091"/>
    <w:rsid w:val="6B080110"/>
    <w:rsid w:val="70091513"/>
    <w:rsid w:val="74F048A1"/>
    <w:rsid w:val="75296DEE"/>
    <w:rsid w:val="77A8625B"/>
    <w:rsid w:val="781F6CA4"/>
    <w:rsid w:val="79312D7A"/>
    <w:rsid w:val="7A0128FA"/>
    <w:rsid w:val="7A7B64C7"/>
    <w:rsid w:val="7C3F770A"/>
    <w:rsid w:val="7CDF1219"/>
    <w:rsid w:val="7CE83020"/>
    <w:rsid w:val="7DDF6C60"/>
    <w:rsid w:val="7EAB4E7D"/>
    <w:rsid w:val="7EC77BDC"/>
    <w:rsid w:val="7ECF2F77"/>
    <w:rsid w:val="7F7EE308"/>
    <w:rsid w:val="BFB3C262"/>
    <w:rsid w:val="F5D33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45"/>
    <w:qFormat/>
    <w:uiPriority w:val="9"/>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46"/>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47"/>
    <w:qFormat/>
    <w:uiPriority w:val="9"/>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48"/>
    <w:qFormat/>
    <w:uiPriority w:val="9"/>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49"/>
    <w:qFormat/>
    <w:uiPriority w:val="9"/>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50"/>
    <w:qFormat/>
    <w:uiPriority w:val="9"/>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51"/>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52"/>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53"/>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8">
    <w:name w:val="Default Paragraph Font"/>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68"/>
    <w:qFormat/>
    <w:uiPriority w:val="0"/>
    <w:pPr>
      <w:spacing w:afterLines="50"/>
      <w:ind w:firstLine="200"/>
    </w:pPr>
    <w:rPr>
      <w:rFonts w:ascii="Arial" w:hAnsi="Arial" w:eastAsia="黑体" w:cstheme="minorBidi"/>
      <w:sz w:val="21"/>
      <w:szCs w:val="22"/>
    </w:rPr>
  </w:style>
  <w:style w:type="paragraph" w:styleId="14">
    <w:name w:val="Document Map"/>
    <w:basedOn w:val="1"/>
    <w:link w:val="91"/>
    <w:qFormat/>
    <w:uiPriority w:val="0"/>
    <w:rPr>
      <w:rFonts w:hAnsiTheme="minorHAnsi" w:eastAsiaTheme="minorEastAsia" w:cstheme="minorBidi"/>
      <w:sz w:val="18"/>
      <w:szCs w:val="18"/>
    </w:rPr>
  </w:style>
  <w:style w:type="paragraph" w:styleId="15">
    <w:name w:val="annotation text"/>
    <w:basedOn w:val="1"/>
    <w:link w:val="65"/>
    <w:qFormat/>
    <w:uiPriority w:val="99"/>
    <w:pPr>
      <w:jc w:val="left"/>
    </w:pPr>
    <w:rPr>
      <w:rFonts w:eastAsia="仿宋" w:asciiTheme="minorHAnsi" w:hAnsiTheme="minorHAnsi" w:cstheme="minorBidi"/>
      <w:sz w:val="28"/>
    </w:rPr>
  </w:style>
  <w:style w:type="paragraph" w:styleId="16">
    <w:name w:val="Body Text"/>
    <w:basedOn w:val="1"/>
    <w:link w:val="71"/>
    <w:unhideWhenUsed/>
    <w:qFormat/>
    <w:uiPriority w:val="0"/>
    <w:pPr>
      <w:spacing w:after="120" w:line="240" w:lineRule="auto"/>
      <w:ind w:firstLine="0" w:firstLineChars="0"/>
    </w:pPr>
    <w:rPr>
      <w:rFonts w:asciiTheme="minorHAnsi" w:hAnsiTheme="minorHAnsi" w:eastAsiaTheme="minorEastAsia" w:cstheme="minorBidi"/>
      <w:sz w:val="21"/>
    </w:rPr>
  </w:style>
  <w:style w:type="paragraph" w:styleId="17">
    <w:name w:val="Body Text Indent"/>
    <w:basedOn w:val="1"/>
    <w:link w:val="88"/>
    <w:qFormat/>
    <w:uiPriority w:val="0"/>
    <w:pPr>
      <w:spacing w:after="120"/>
      <w:ind w:firstLine="200"/>
    </w:pPr>
    <w:rPr>
      <w:rFonts w:asciiTheme="minorHAnsi" w:hAnsiTheme="minorHAnsi" w:eastAsiaTheme="minorEastAsia" w:cstheme="minorBidi"/>
      <w:sz w:val="21"/>
      <w:szCs w:val="22"/>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77"/>
    <w:qFormat/>
    <w:uiPriority w:val="0"/>
    <w:pPr>
      <w:spacing w:line="240" w:lineRule="auto"/>
      <w:ind w:firstLine="0" w:firstLineChars="0"/>
    </w:pPr>
    <w:rPr>
      <w:rFonts w:hAnsi="Courier New" w:eastAsiaTheme="minorEastAsia" w:cstheme="minorBidi"/>
      <w:sz w:val="21"/>
      <w:szCs w:val="22"/>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66"/>
    <w:qFormat/>
    <w:uiPriority w:val="0"/>
    <w:pPr>
      <w:ind w:left="100" w:leftChars="2500"/>
    </w:pPr>
    <w:rPr>
      <w:rFonts w:asciiTheme="minorHAnsi" w:hAnsiTheme="minorHAnsi" w:eastAsiaTheme="minorEastAsia" w:cstheme="minorBidi"/>
      <w:sz w:val="21"/>
    </w:rPr>
  </w:style>
  <w:style w:type="paragraph" w:styleId="23">
    <w:name w:val="Balloon Text"/>
    <w:basedOn w:val="1"/>
    <w:link w:val="96"/>
    <w:qFormat/>
    <w:uiPriority w:val="0"/>
    <w:rPr>
      <w:rFonts w:asciiTheme="minorHAnsi" w:hAnsiTheme="minorHAnsi" w:eastAsiaTheme="minorEastAsia" w:cstheme="minorBidi"/>
      <w:sz w:val="18"/>
      <w:szCs w:val="18"/>
    </w:rPr>
  </w:style>
  <w:style w:type="paragraph" w:styleId="24">
    <w:name w:val="footer"/>
    <w:basedOn w:val="1"/>
    <w:link w:val="55"/>
    <w:unhideWhenUsed/>
    <w:qFormat/>
    <w:uiPriority w:val="99"/>
    <w:pPr>
      <w:tabs>
        <w:tab w:val="center" w:pos="4153"/>
        <w:tab w:val="right" w:pos="8306"/>
      </w:tabs>
      <w:snapToGrid w:val="0"/>
      <w:jc w:val="left"/>
    </w:pPr>
    <w:rPr>
      <w:sz w:val="18"/>
      <w:szCs w:val="18"/>
    </w:rPr>
  </w:style>
  <w:style w:type="paragraph" w:styleId="25">
    <w:name w:val="header"/>
    <w:basedOn w:val="1"/>
    <w:link w:val="54"/>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9"/>
    <w:qFormat/>
    <w:uiPriority w:val="0"/>
    <w:pPr>
      <w:spacing w:before="240" w:after="60" w:line="312" w:lineRule="auto"/>
      <w:jc w:val="center"/>
      <w:outlineLvl w:val="1"/>
    </w:pPr>
    <w:rPr>
      <w:rFonts w:ascii="Calibri Light" w:hAnsi="Calibri Light" w:eastAsiaTheme="minorEastAsia" w:cstheme="minorBidi"/>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cstheme="minorBidi"/>
      <w:b/>
      <w:bCs/>
      <w:sz w:val="52"/>
      <w:szCs w:val="32"/>
    </w:rPr>
  </w:style>
  <w:style w:type="paragraph" w:styleId="34">
    <w:name w:val="annotation subject"/>
    <w:basedOn w:val="15"/>
    <w:next w:val="15"/>
    <w:link w:val="87"/>
    <w:qFormat/>
    <w:uiPriority w:val="0"/>
    <w:rPr>
      <w:b/>
      <w:bCs/>
      <w:sz w:val="21"/>
    </w:rPr>
  </w:style>
  <w:style w:type="paragraph" w:styleId="35">
    <w:name w:val="Body Text First Indent"/>
    <w:basedOn w:val="16"/>
    <w:link w:val="146"/>
    <w:semiHidden/>
    <w:unhideWhenUsed/>
    <w:qFormat/>
    <w:uiPriority w:val="99"/>
    <w:pPr>
      <w:ind w:firstLine="420" w:firstLineChars="100"/>
    </w:pPr>
    <w:rPr>
      <w:szCs w:val="22"/>
    </w:rPr>
  </w:style>
  <w:style w:type="table" w:styleId="37">
    <w:name w:val="Table Grid"/>
    <w:basedOn w:val="36"/>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22"/>
    <w:rPr>
      <w:b/>
    </w:rPr>
  </w:style>
  <w:style w:type="character" w:styleId="40">
    <w:name w:val="page number"/>
    <w:basedOn w:val="38"/>
    <w:qFormat/>
    <w:uiPriority w:val="0"/>
  </w:style>
  <w:style w:type="character" w:styleId="41">
    <w:name w:val="FollowedHyperlink"/>
    <w:unhideWhenUsed/>
    <w:qFormat/>
    <w:uiPriority w:val="99"/>
    <w:rPr>
      <w:color w:val="954F72"/>
      <w:u w:val="single"/>
    </w:rPr>
  </w:style>
  <w:style w:type="character" w:styleId="42">
    <w:name w:val="Emphasis"/>
    <w:basedOn w:val="38"/>
    <w:qFormat/>
    <w:uiPriority w:val="20"/>
    <w:rPr>
      <w:i/>
    </w:rPr>
  </w:style>
  <w:style w:type="character" w:styleId="43">
    <w:name w:val="Hyperlink"/>
    <w:qFormat/>
    <w:uiPriority w:val="99"/>
    <w:rPr>
      <w:color w:val="0000FF"/>
      <w:u w:val="single"/>
    </w:rPr>
  </w:style>
  <w:style w:type="character" w:styleId="44">
    <w:name w:val="annotation reference"/>
    <w:qFormat/>
    <w:uiPriority w:val="99"/>
    <w:rPr>
      <w:sz w:val="21"/>
      <w:szCs w:val="21"/>
    </w:rPr>
  </w:style>
  <w:style w:type="character" w:customStyle="1" w:styleId="45">
    <w:name w:val="标题 1 字符1"/>
    <w:link w:val="2"/>
    <w:qFormat/>
    <w:uiPriority w:val="9"/>
    <w:rPr>
      <w:rFonts w:ascii="宋体" w:hAnsi="宋体" w:eastAsia="黑体" w:cs="Times New Roman"/>
      <w:b/>
      <w:bCs/>
      <w:kern w:val="44"/>
      <w:sz w:val="32"/>
      <w:szCs w:val="28"/>
    </w:rPr>
  </w:style>
  <w:style w:type="character" w:customStyle="1" w:styleId="46">
    <w:name w:val="标题 2 字符1"/>
    <w:link w:val="3"/>
    <w:qFormat/>
    <w:uiPriority w:val="9"/>
    <w:rPr>
      <w:rFonts w:ascii="宋体" w:hAnsi="宋体" w:eastAsia="宋体" w:cs="Times New Roman"/>
      <w:b/>
      <w:bCs/>
      <w:sz w:val="30"/>
      <w:szCs w:val="32"/>
    </w:rPr>
  </w:style>
  <w:style w:type="character" w:customStyle="1" w:styleId="47">
    <w:name w:val="标题 3 字符2"/>
    <w:link w:val="4"/>
    <w:qFormat/>
    <w:uiPriority w:val="9"/>
    <w:rPr>
      <w:rFonts w:ascii="宋体" w:hAnsi="宋体" w:eastAsia="宋体" w:cs="Times New Roman"/>
      <w:b/>
      <w:bCs/>
      <w:sz w:val="28"/>
      <w:szCs w:val="28"/>
    </w:rPr>
  </w:style>
  <w:style w:type="character" w:customStyle="1" w:styleId="48">
    <w:name w:val="标题 4 字符1"/>
    <w:link w:val="5"/>
    <w:qFormat/>
    <w:uiPriority w:val="9"/>
    <w:rPr>
      <w:rFonts w:ascii="宋体" w:hAnsi="宋体" w:eastAsia="宋体" w:cs="Times New Roman"/>
      <w:b/>
      <w:bCs/>
      <w:sz w:val="30"/>
      <w:szCs w:val="30"/>
    </w:rPr>
  </w:style>
  <w:style w:type="character" w:customStyle="1" w:styleId="49">
    <w:name w:val="标题 5 字符1"/>
    <w:link w:val="6"/>
    <w:qFormat/>
    <w:uiPriority w:val="9"/>
    <w:rPr>
      <w:rFonts w:ascii="宋体" w:hAnsi="宋体" w:eastAsia="宋体" w:cs="Times New Roman"/>
      <w:b/>
      <w:bCs/>
      <w:sz w:val="24"/>
      <w:szCs w:val="28"/>
    </w:rPr>
  </w:style>
  <w:style w:type="character" w:customStyle="1" w:styleId="50">
    <w:name w:val="标题 6 字符1"/>
    <w:link w:val="7"/>
    <w:qFormat/>
    <w:uiPriority w:val="9"/>
    <w:rPr>
      <w:rFonts w:ascii="Cambria" w:hAnsi="Cambria" w:eastAsia="宋体" w:cs="Times New Roman"/>
      <w:b/>
      <w:bCs/>
      <w:sz w:val="24"/>
      <w:szCs w:val="24"/>
    </w:rPr>
  </w:style>
  <w:style w:type="character" w:customStyle="1" w:styleId="51">
    <w:name w:val="标题 7 字符"/>
    <w:basedOn w:val="38"/>
    <w:link w:val="8"/>
    <w:qFormat/>
    <w:uiPriority w:val="9"/>
    <w:rPr>
      <w:rFonts w:ascii="Times New Roman" w:hAnsi="Times New Roman" w:eastAsia="宋体" w:cs="Times New Roman"/>
      <w:b/>
      <w:bCs/>
      <w:szCs w:val="24"/>
    </w:rPr>
  </w:style>
  <w:style w:type="character" w:customStyle="1" w:styleId="52">
    <w:name w:val="标题 8 字符"/>
    <w:basedOn w:val="38"/>
    <w:link w:val="9"/>
    <w:qFormat/>
    <w:uiPriority w:val="9"/>
    <w:rPr>
      <w:rFonts w:ascii="Cambria" w:hAnsi="Cambria" w:eastAsia="宋体" w:cs="Times New Roman"/>
      <w:szCs w:val="24"/>
    </w:rPr>
  </w:style>
  <w:style w:type="character" w:customStyle="1" w:styleId="53">
    <w:name w:val="标题 9 字符"/>
    <w:basedOn w:val="38"/>
    <w:link w:val="10"/>
    <w:qFormat/>
    <w:uiPriority w:val="9"/>
    <w:rPr>
      <w:rFonts w:ascii="Cambria" w:hAnsi="Cambria" w:eastAsia="宋体" w:cs="Times New Roman"/>
      <w:szCs w:val="21"/>
    </w:rPr>
  </w:style>
  <w:style w:type="character" w:customStyle="1" w:styleId="54">
    <w:name w:val="页眉 字符"/>
    <w:basedOn w:val="38"/>
    <w:link w:val="25"/>
    <w:qFormat/>
    <w:uiPriority w:val="99"/>
    <w:rPr>
      <w:sz w:val="18"/>
      <w:szCs w:val="18"/>
    </w:rPr>
  </w:style>
  <w:style w:type="character" w:customStyle="1" w:styleId="55">
    <w:name w:val="页脚 字符"/>
    <w:basedOn w:val="38"/>
    <w:link w:val="24"/>
    <w:qFormat/>
    <w:uiPriority w:val="99"/>
    <w:rPr>
      <w:sz w:val="18"/>
      <w:szCs w:val="18"/>
    </w:rPr>
  </w:style>
  <w:style w:type="character" w:customStyle="1" w:styleId="56">
    <w:name w:val="标题 1 字符"/>
    <w:basedOn w:val="38"/>
    <w:qFormat/>
    <w:uiPriority w:val="9"/>
    <w:rPr>
      <w:rFonts w:ascii="宋体" w:hAnsi="宋体" w:eastAsia="宋体" w:cs="Times New Roman"/>
      <w:b/>
      <w:bCs/>
      <w:kern w:val="44"/>
      <w:sz w:val="44"/>
      <w:szCs w:val="44"/>
    </w:rPr>
  </w:style>
  <w:style w:type="character" w:customStyle="1" w:styleId="57">
    <w:name w:val="标题 2 字符"/>
    <w:basedOn w:val="38"/>
    <w:semiHidden/>
    <w:qFormat/>
    <w:uiPriority w:val="9"/>
    <w:rPr>
      <w:rFonts w:asciiTheme="majorHAnsi" w:hAnsiTheme="majorHAnsi" w:eastAsiaTheme="majorEastAsia" w:cstheme="majorBidi"/>
      <w:b/>
      <w:bCs/>
      <w:sz w:val="32"/>
      <w:szCs w:val="32"/>
    </w:rPr>
  </w:style>
  <w:style w:type="character" w:customStyle="1" w:styleId="58">
    <w:name w:val="标题 3 字符"/>
    <w:basedOn w:val="38"/>
    <w:semiHidden/>
    <w:qFormat/>
    <w:uiPriority w:val="9"/>
    <w:rPr>
      <w:rFonts w:ascii="宋体" w:hAnsi="宋体" w:eastAsia="宋体" w:cs="Times New Roman"/>
      <w:b/>
      <w:bCs/>
      <w:sz w:val="32"/>
      <w:szCs w:val="32"/>
    </w:rPr>
  </w:style>
  <w:style w:type="character" w:customStyle="1" w:styleId="59">
    <w:name w:val="标题 4 字符"/>
    <w:basedOn w:val="38"/>
    <w:semiHidden/>
    <w:qFormat/>
    <w:uiPriority w:val="9"/>
    <w:rPr>
      <w:rFonts w:asciiTheme="majorHAnsi" w:hAnsiTheme="majorHAnsi" w:eastAsiaTheme="majorEastAsia" w:cstheme="majorBidi"/>
      <w:b/>
      <w:bCs/>
      <w:sz w:val="28"/>
      <w:szCs w:val="28"/>
    </w:rPr>
  </w:style>
  <w:style w:type="character" w:customStyle="1" w:styleId="60">
    <w:name w:val="标题 5 字符"/>
    <w:basedOn w:val="38"/>
    <w:semiHidden/>
    <w:qFormat/>
    <w:uiPriority w:val="9"/>
    <w:rPr>
      <w:rFonts w:ascii="宋体" w:hAnsi="宋体" w:eastAsia="宋体" w:cs="Times New Roman"/>
      <w:b/>
      <w:bCs/>
      <w:sz w:val="28"/>
      <w:szCs w:val="28"/>
    </w:rPr>
  </w:style>
  <w:style w:type="character" w:customStyle="1" w:styleId="61">
    <w:name w:val="标题 6 字符"/>
    <w:basedOn w:val="38"/>
    <w:semiHidden/>
    <w:qFormat/>
    <w:uiPriority w:val="9"/>
    <w:rPr>
      <w:rFonts w:asciiTheme="majorHAnsi" w:hAnsiTheme="majorHAnsi" w:eastAsiaTheme="majorEastAsia" w:cstheme="majorBidi"/>
      <w:b/>
      <w:bCs/>
      <w:sz w:val="24"/>
      <w:szCs w:val="24"/>
    </w:rPr>
  </w:style>
  <w:style w:type="character" w:customStyle="1" w:styleId="62">
    <w:name w:val="标题 3 字符1"/>
    <w:qFormat/>
    <w:uiPriority w:val="0"/>
    <w:rPr>
      <w:rFonts w:ascii="宋体" w:hAnsi="宋体"/>
      <w:b/>
      <w:bCs/>
      <w:kern w:val="2"/>
      <w:sz w:val="28"/>
      <w:szCs w:val="28"/>
    </w:rPr>
  </w:style>
  <w:style w:type="character" w:customStyle="1" w:styleId="63">
    <w:name w:val="首行缩进正文 Char"/>
    <w:link w:val="64"/>
    <w:qFormat/>
    <w:uiPriority w:val="0"/>
    <w:rPr>
      <w:sz w:val="24"/>
    </w:rPr>
  </w:style>
  <w:style w:type="paragraph" w:customStyle="1" w:styleId="64">
    <w:name w:val="首行缩进正文"/>
    <w:basedOn w:val="1"/>
    <w:link w:val="63"/>
    <w:qFormat/>
    <w:uiPriority w:val="0"/>
    <w:pPr>
      <w:widowControl/>
      <w:adjustRightInd w:val="0"/>
      <w:snapToGrid w:val="0"/>
      <w:spacing w:afterLines="50" w:line="276" w:lineRule="auto"/>
      <w:ind w:firstLine="420" w:firstLineChars="0"/>
      <w:jc w:val="left"/>
    </w:pPr>
    <w:rPr>
      <w:rFonts w:asciiTheme="minorHAnsi" w:hAnsiTheme="minorHAnsi" w:eastAsiaTheme="minorEastAsia" w:cstheme="minorBidi"/>
      <w:szCs w:val="22"/>
    </w:rPr>
  </w:style>
  <w:style w:type="character" w:customStyle="1" w:styleId="65">
    <w:name w:val="批注文字 字符1"/>
    <w:link w:val="15"/>
    <w:qFormat/>
    <w:uiPriority w:val="99"/>
    <w:rPr>
      <w:rFonts w:eastAsia="仿宋"/>
      <w:sz w:val="28"/>
      <w:szCs w:val="24"/>
    </w:rPr>
  </w:style>
  <w:style w:type="character" w:customStyle="1" w:styleId="66">
    <w:name w:val="日期 字符"/>
    <w:link w:val="22"/>
    <w:qFormat/>
    <w:uiPriority w:val="0"/>
    <w:rPr>
      <w:szCs w:val="24"/>
    </w:rPr>
  </w:style>
  <w:style w:type="character" w:customStyle="1" w:styleId="67">
    <w:name w:val="未处理的提及1"/>
    <w:unhideWhenUsed/>
    <w:qFormat/>
    <w:uiPriority w:val="99"/>
    <w:rPr>
      <w:color w:val="605E5C"/>
      <w:shd w:val="clear" w:color="auto" w:fill="E1DFDD"/>
    </w:rPr>
  </w:style>
  <w:style w:type="character" w:customStyle="1" w:styleId="68">
    <w:name w:val="题注 字符"/>
    <w:link w:val="13"/>
    <w:qFormat/>
    <w:locked/>
    <w:uiPriority w:val="0"/>
    <w:rPr>
      <w:rFonts w:ascii="Arial" w:hAnsi="Arial" w:eastAsia="黑体"/>
    </w:rPr>
  </w:style>
  <w:style w:type="character" w:customStyle="1" w:styleId="69">
    <w:name w:val="纯文本 字符"/>
    <w:qFormat/>
    <w:uiPriority w:val="0"/>
    <w:rPr>
      <w:rFonts w:ascii="宋体" w:hAnsi="Courier New" w:cs="Courier New"/>
      <w:kern w:val="2"/>
      <w:sz w:val="21"/>
      <w:szCs w:val="21"/>
    </w:rPr>
  </w:style>
  <w:style w:type="character" w:customStyle="1" w:styleId="70">
    <w:name w:val="列表段落 字符"/>
    <w:qFormat/>
    <w:uiPriority w:val="34"/>
    <w:rPr>
      <w:kern w:val="2"/>
      <w:sz w:val="21"/>
      <w:szCs w:val="22"/>
    </w:rPr>
  </w:style>
  <w:style w:type="character" w:customStyle="1" w:styleId="71">
    <w:name w:val="正文文本 字符"/>
    <w:link w:val="16"/>
    <w:qFormat/>
    <w:uiPriority w:val="0"/>
    <w:rPr>
      <w:szCs w:val="24"/>
    </w:rPr>
  </w:style>
  <w:style w:type="character" w:customStyle="1" w:styleId="72">
    <w:name w:val="列表段落 字符1"/>
    <w:link w:val="73"/>
    <w:qFormat/>
    <w:uiPriority w:val="34"/>
    <w:rPr>
      <w:szCs w:val="24"/>
    </w:rPr>
  </w:style>
  <w:style w:type="paragraph" w:styleId="73">
    <w:name w:val="List Paragraph"/>
    <w:basedOn w:val="1"/>
    <w:link w:val="72"/>
    <w:qFormat/>
    <w:uiPriority w:val="34"/>
    <w:pPr>
      <w:ind w:firstLine="420"/>
    </w:pPr>
    <w:rPr>
      <w:rFonts w:asciiTheme="minorHAnsi" w:hAnsiTheme="minorHAnsi" w:eastAsiaTheme="minorEastAsia" w:cstheme="minorBidi"/>
      <w:sz w:val="21"/>
    </w:rPr>
  </w:style>
  <w:style w:type="character" w:customStyle="1" w:styleId="74">
    <w:name w:val="font21"/>
    <w:qFormat/>
    <w:uiPriority w:val="0"/>
    <w:rPr>
      <w:rFonts w:ascii="Calibri" w:hAnsi="Calibri" w:cs="Calibri"/>
      <w:color w:val="000000"/>
      <w:sz w:val="21"/>
      <w:szCs w:val="21"/>
      <w:u w:val="none"/>
    </w:rPr>
  </w:style>
  <w:style w:type="character" w:customStyle="1" w:styleId="75">
    <w:name w:val="*正文 Char"/>
    <w:link w:val="76"/>
    <w:qFormat/>
    <w:uiPriority w:val="0"/>
    <w:rPr>
      <w:rFonts w:ascii="time" w:hAnsi="time"/>
      <w:sz w:val="24"/>
      <w:szCs w:val="24"/>
      <w:lang w:bidi="en-US"/>
    </w:rPr>
  </w:style>
  <w:style w:type="paragraph" w:customStyle="1" w:styleId="76">
    <w:name w:val="*正文"/>
    <w:basedOn w:val="1"/>
    <w:link w:val="75"/>
    <w:qFormat/>
    <w:uiPriority w:val="0"/>
    <w:pPr>
      <w:widowControl/>
      <w:ind w:firstLine="200"/>
      <w:contextualSpacing/>
    </w:pPr>
    <w:rPr>
      <w:rFonts w:ascii="time" w:hAnsi="time" w:eastAsiaTheme="minorEastAsia" w:cstheme="minorBidi"/>
      <w:lang w:bidi="en-US"/>
    </w:rPr>
  </w:style>
  <w:style w:type="character" w:customStyle="1" w:styleId="77">
    <w:name w:val="纯文本 字符1"/>
    <w:link w:val="20"/>
    <w:qFormat/>
    <w:locked/>
    <w:uiPriority w:val="0"/>
    <w:rPr>
      <w:rFonts w:ascii="宋体" w:hAnsi="Courier New"/>
    </w:rPr>
  </w:style>
  <w:style w:type="character" w:customStyle="1" w:styleId="78">
    <w:name w:val="my正文 Char"/>
    <w:link w:val="79"/>
    <w:qFormat/>
    <w:uiPriority w:val="0"/>
    <w:rPr>
      <w:szCs w:val="24"/>
    </w:rPr>
  </w:style>
  <w:style w:type="paragraph" w:customStyle="1" w:styleId="79">
    <w:name w:val="my正文"/>
    <w:basedOn w:val="1"/>
    <w:link w:val="78"/>
    <w:qFormat/>
    <w:uiPriority w:val="0"/>
    <w:pPr>
      <w:spacing w:line="240" w:lineRule="auto"/>
      <w:ind w:firstLine="0" w:firstLineChars="0"/>
    </w:pPr>
    <w:rPr>
      <w:rFonts w:asciiTheme="minorHAnsi" w:hAnsiTheme="minorHAnsi" w:eastAsiaTheme="minorEastAsia" w:cstheme="minorBidi"/>
      <w:sz w:val="21"/>
    </w:rPr>
  </w:style>
  <w:style w:type="character" w:customStyle="1" w:styleId="80">
    <w:name w:val="正文2 字符"/>
    <w:link w:val="81"/>
    <w:qFormat/>
    <w:uiPriority w:val="0"/>
    <w:rPr>
      <w:szCs w:val="24"/>
    </w:rPr>
  </w:style>
  <w:style w:type="paragraph" w:customStyle="1" w:styleId="81">
    <w:name w:val="正文2"/>
    <w:basedOn w:val="1"/>
    <w:link w:val="80"/>
    <w:qFormat/>
    <w:uiPriority w:val="0"/>
    <w:pPr>
      <w:ind w:firstLine="420"/>
    </w:pPr>
    <w:rPr>
      <w:rFonts w:asciiTheme="minorHAnsi" w:hAnsiTheme="minorHAnsi" w:eastAsiaTheme="minorEastAsia" w:cstheme="minorBidi"/>
      <w:sz w:val="21"/>
    </w:rPr>
  </w:style>
  <w:style w:type="character" w:customStyle="1" w:styleId="82">
    <w:name w:val="font41"/>
    <w:qFormat/>
    <w:uiPriority w:val="0"/>
    <w:rPr>
      <w:rFonts w:hint="eastAsia" w:ascii="宋体" w:hAnsi="宋体" w:eastAsia="宋体" w:cs="宋体"/>
      <w:color w:val="000000"/>
      <w:sz w:val="21"/>
      <w:szCs w:val="21"/>
      <w:u w:val="none"/>
    </w:rPr>
  </w:style>
  <w:style w:type="character" w:customStyle="1" w:styleId="83">
    <w:name w:val="副标题 Char1"/>
    <w:qFormat/>
    <w:uiPriority w:val="0"/>
    <w:rPr>
      <w:rFonts w:ascii="Calibri Light" w:hAnsi="Calibri Light" w:cs="Times New Roman"/>
      <w:b/>
      <w:bCs/>
      <w:kern w:val="28"/>
      <w:sz w:val="32"/>
      <w:szCs w:val="32"/>
    </w:rPr>
  </w:style>
  <w:style w:type="character" w:customStyle="1" w:styleId="84">
    <w:name w:val="批注文字 字符"/>
    <w:qFormat/>
    <w:uiPriority w:val="99"/>
    <w:rPr>
      <w:rFonts w:ascii="宋体" w:hAnsi="宋体"/>
      <w:kern w:val="2"/>
      <w:sz w:val="24"/>
      <w:szCs w:val="24"/>
    </w:rPr>
  </w:style>
  <w:style w:type="character" w:customStyle="1" w:styleId="85">
    <w:name w:val="正文正文2 Char"/>
    <w:link w:val="86"/>
    <w:qFormat/>
    <w:uiPriority w:val="0"/>
    <w:rPr>
      <w:rFonts w:ascii="宋体" w:hAnsi="宋体"/>
      <w:szCs w:val="21"/>
    </w:rPr>
  </w:style>
  <w:style w:type="paragraph" w:customStyle="1" w:styleId="86">
    <w:name w:val="正文正文2"/>
    <w:basedOn w:val="1"/>
    <w:link w:val="85"/>
    <w:qFormat/>
    <w:uiPriority w:val="0"/>
    <w:pPr>
      <w:ind w:firstLine="460"/>
    </w:pPr>
    <w:rPr>
      <w:rFonts w:eastAsiaTheme="minorEastAsia" w:cstheme="minorBidi"/>
      <w:sz w:val="21"/>
      <w:szCs w:val="21"/>
    </w:rPr>
  </w:style>
  <w:style w:type="character" w:customStyle="1" w:styleId="87">
    <w:name w:val="批注主题 字符"/>
    <w:link w:val="34"/>
    <w:qFormat/>
    <w:uiPriority w:val="0"/>
    <w:rPr>
      <w:rFonts w:eastAsia="仿宋"/>
      <w:b/>
      <w:bCs/>
      <w:szCs w:val="24"/>
    </w:rPr>
  </w:style>
  <w:style w:type="character" w:customStyle="1" w:styleId="88">
    <w:name w:val="正文文本缩进 字符"/>
    <w:link w:val="17"/>
    <w:qFormat/>
    <w:uiPriority w:val="0"/>
  </w:style>
  <w:style w:type="character" w:customStyle="1" w:styleId="89">
    <w:name w:val="副标题 字符1"/>
    <w:link w:val="28"/>
    <w:qFormat/>
    <w:uiPriority w:val="0"/>
    <w:rPr>
      <w:rFonts w:ascii="Calibri Light" w:hAnsi="Calibri Light"/>
      <w:b/>
      <w:bCs/>
      <w:kern w:val="28"/>
      <w:sz w:val="32"/>
      <w:szCs w:val="32"/>
    </w:rPr>
  </w:style>
  <w:style w:type="character" w:customStyle="1" w:styleId="90">
    <w:name w:val="页脚 字符1"/>
    <w:qFormat/>
    <w:uiPriority w:val="99"/>
    <w:rPr>
      <w:kern w:val="2"/>
      <w:sz w:val="18"/>
      <w:szCs w:val="18"/>
    </w:rPr>
  </w:style>
  <w:style w:type="character" w:customStyle="1" w:styleId="91">
    <w:name w:val="文档结构图 字符"/>
    <w:link w:val="14"/>
    <w:qFormat/>
    <w:uiPriority w:val="0"/>
    <w:rPr>
      <w:rFonts w:ascii="宋体"/>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sz w:val="52"/>
      <w:szCs w:val="32"/>
    </w:rPr>
  </w:style>
  <w:style w:type="character" w:customStyle="1" w:styleId="96">
    <w:name w:val="批注框文本 字符"/>
    <w:link w:val="23"/>
    <w:qFormat/>
    <w:uiPriority w:val="0"/>
    <w:rPr>
      <w:sz w:val="18"/>
      <w:szCs w:val="18"/>
    </w:rPr>
  </w:style>
  <w:style w:type="character" w:customStyle="1" w:styleId="97">
    <w:name w:val="页眉 字符1"/>
    <w:qFormat/>
    <w:uiPriority w:val="99"/>
    <w:rPr>
      <w:kern w:val="2"/>
      <w:sz w:val="18"/>
      <w:szCs w:val="18"/>
    </w:rPr>
  </w:style>
  <w:style w:type="character" w:customStyle="1" w:styleId="98">
    <w:name w:val="标题 字符"/>
    <w:qFormat/>
    <w:uiPriority w:val="10"/>
    <w:rPr>
      <w:rFonts w:ascii="等线 Light" w:hAnsi="等线 Light" w:eastAsia="等线 Light" w:cs="Times New Roman"/>
      <w:b/>
      <w:bCs/>
      <w:kern w:val="2"/>
      <w:sz w:val="32"/>
      <w:szCs w:val="32"/>
    </w:rPr>
  </w:style>
  <w:style w:type="character" w:customStyle="1" w:styleId="99">
    <w:name w:val="副标题 字符"/>
    <w:qFormat/>
    <w:uiPriority w:val="11"/>
    <w:rPr>
      <w:rFonts w:ascii="等线" w:hAnsi="等线" w:eastAsia="等线" w:cs="Times New Roman"/>
      <w:b/>
      <w:bCs/>
      <w:kern w:val="28"/>
      <w:sz w:val="32"/>
      <w:szCs w:val="32"/>
    </w:rPr>
  </w:style>
  <w:style w:type="character" w:customStyle="1" w:styleId="100">
    <w:name w:val="批注文字 字符2"/>
    <w:basedOn w:val="38"/>
    <w:semiHidden/>
    <w:qFormat/>
    <w:uiPriority w:val="99"/>
    <w:rPr>
      <w:rFonts w:ascii="宋体" w:hAnsi="宋体" w:eastAsia="宋体" w:cs="Times New Roman"/>
      <w:sz w:val="24"/>
      <w:szCs w:val="24"/>
    </w:rPr>
  </w:style>
  <w:style w:type="character" w:customStyle="1" w:styleId="101">
    <w:name w:val="批注主题 字符2"/>
    <w:basedOn w:val="100"/>
    <w:semiHidden/>
    <w:qFormat/>
    <w:uiPriority w:val="99"/>
    <w:rPr>
      <w:rFonts w:ascii="宋体" w:hAnsi="宋体" w:eastAsia="宋体" w:cs="Times New Roman"/>
      <w:b/>
      <w:bCs/>
      <w:sz w:val="24"/>
      <w:szCs w:val="24"/>
    </w:rPr>
  </w:style>
  <w:style w:type="character" w:customStyle="1" w:styleId="102">
    <w:name w:val="日期 字符2"/>
    <w:basedOn w:val="38"/>
    <w:semiHidden/>
    <w:qFormat/>
    <w:uiPriority w:val="99"/>
    <w:rPr>
      <w:rFonts w:ascii="宋体" w:hAnsi="宋体" w:eastAsia="宋体" w:cs="Times New Roman"/>
      <w:sz w:val="24"/>
      <w:szCs w:val="24"/>
    </w:rPr>
  </w:style>
  <w:style w:type="character" w:customStyle="1" w:styleId="103">
    <w:name w:val="正文文本缩进 字符2"/>
    <w:basedOn w:val="38"/>
    <w:semiHidden/>
    <w:qFormat/>
    <w:uiPriority w:val="99"/>
    <w:rPr>
      <w:rFonts w:ascii="宋体" w:hAnsi="宋体" w:eastAsia="宋体" w:cs="Times New Roman"/>
      <w:sz w:val="24"/>
      <w:szCs w:val="24"/>
    </w:rPr>
  </w:style>
  <w:style w:type="character" w:customStyle="1" w:styleId="104">
    <w:name w:val="批注框文本 字符2"/>
    <w:basedOn w:val="38"/>
    <w:semiHidden/>
    <w:qFormat/>
    <w:uiPriority w:val="99"/>
    <w:rPr>
      <w:rFonts w:ascii="宋体" w:hAnsi="宋体" w:eastAsia="宋体" w:cs="Times New Roman"/>
      <w:sz w:val="18"/>
      <w:szCs w:val="18"/>
    </w:rPr>
  </w:style>
  <w:style w:type="character" w:customStyle="1" w:styleId="105">
    <w:name w:val="副标题 字符2"/>
    <w:basedOn w:val="38"/>
    <w:qFormat/>
    <w:uiPriority w:val="11"/>
    <w:rPr>
      <w:b/>
      <w:bCs/>
      <w:kern w:val="28"/>
      <w:sz w:val="32"/>
      <w:szCs w:val="32"/>
    </w:rPr>
  </w:style>
  <w:style w:type="character" w:customStyle="1" w:styleId="106">
    <w:name w:val="纯文本 字符2"/>
    <w:basedOn w:val="38"/>
    <w:semiHidden/>
    <w:qFormat/>
    <w:uiPriority w:val="99"/>
    <w:rPr>
      <w:rFonts w:hAnsi="Courier New" w:cs="Courier New" w:asciiTheme="minorEastAsia"/>
      <w:sz w:val="24"/>
      <w:szCs w:val="24"/>
    </w:rPr>
  </w:style>
  <w:style w:type="character" w:customStyle="1" w:styleId="107">
    <w:name w:val="标题 字符2"/>
    <w:basedOn w:val="38"/>
    <w:qFormat/>
    <w:uiPriority w:val="10"/>
    <w:rPr>
      <w:rFonts w:asciiTheme="majorHAnsi" w:hAnsiTheme="majorHAnsi" w:eastAsiaTheme="majorEastAsia" w:cstheme="majorBidi"/>
      <w:b/>
      <w:bCs/>
      <w:sz w:val="32"/>
      <w:szCs w:val="32"/>
    </w:rPr>
  </w:style>
  <w:style w:type="character" w:customStyle="1" w:styleId="108">
    <w:name w:val="正文文本 字符1"/>
    <w:basedOn w:val="38"/>
    <w:semiHidden/>
    <w:qFormat/>
    <w:uiPriority w:val="99"/>
    <w:rPr>
      <w:rFonts w:ascii="宋体" w:hAnsi="宋体" w:eastAsia="宋体" w:cs="Times New Roman"/>
      <w:sz w:val="24"/>
      <w:szCs w:val="24"/>
    </w:rPr>
  </w:style>
  <w:style w:type="character" w:customStyle="1" w:styleId="109">
    <w:name w:val="文档结构图 字符2"/>
    <w:basedOn w:val="38"/>
    <w:semiHidden/>
    <w:qFormat/>
    <w:uiPriority w:val="99"/>
    <w:rPr>
      <w:rFonts w:ascii="Microsoft YaHei UI" w:hAnsi="宋体" w:eastAsia="Microsoft YaHei UI" w:cs="Times New Roman"/>
      <w:sz w:val="18"/>
      <w:szCs w:val="18"/>
    </w:rPr>
  </w:style>
  <w:style w:type="paragraph" w:customStyle="1" w:styleId="110">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11">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12">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13">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14">
    <w:name w:val="正文缩进1"/>
    <w:basedOn w:val="1"/>
    <w:qFormat/>
    <w:uiPriority w:val="0"/>
    <w:pPr>
      <w:spacing w:line="240" w:lineRule="auto"/>
      <w:ind w:firstLine="420"/>
    </w:pPr>
    <w:rPr>
      <w:rFonts w:ascii="Times New Roman" w:hAnsi="Times New Roman"/>
      <w:sz w:val="21"/>
      <w:szCs w:val="20"/>
    </w:rPr>
  </w:style>
  <w:style w:type="paragraph" w:customStyle="1" w:styleId="115">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16">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17">
    <w:name w:val="Indent Normal"/>
    <w:basedOn w:val="1"/>
    <w:qFormat/>
    <w:uiPriority w:val="0"/>
    <w:pPr>
      <w:ind w:firstLine="150" w:firstLineChars="150"/>
    </w:pPr>
  </w:style>
  <w:style w:type="paragraph" w:customStyle="1" w:styleId="118">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9">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20">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21">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22">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3">
    <w:name w:val="段"/>
    <w:link w:val="124"/>
    <w:qFormat/>
    <w:uiPriority w:val="0"/>
    <w:pPr>
      <w:autoSpaceDE w:val="0"/>
      <w:autoSpaceDN w:val="0"/>
      <w:ind w:firstLine="200" w:firstLineChars="200"/>
      <w:jc w:val="both"/>
    </w:pPr>
    <w:rPr>
      <w:rFonts w:ascii="宋体" w:hAnsi="Times New Roman" w:eastAsia="宋体" w:cs="Calibri"/>
      <w:sz w:val="21"/>
      <w:lang w:val="en-US" w:eastAsia="zh-CN" w:bidi="ar-SA"/>
    </w:rPr>
  </w:style>
  <w:style w:type="character" w:customStyle="1" w:styleId="124">
    <w:name w:val="段 Char"/>
    <w:basedOn w:val="38"/>
    <w:link w:val="123"/>
    <w:qFormat/>
    <w:uiPriority w:val="0"/>
    <w:rPr>
      <w:rFonts w:ascii="宋体" w:hAnsi="Times New Roman" w:eastAsia="宋体" w:cs="Calibri"/>
      <w:kern w:val="0"/>
      <w:szCs w:val="20"/>
    </w:rPr>
  </w:style>
  <w:style w:type="paragraph" w:customStyle="1" w:styleId="12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26">
    <w:name w:val="Char Char Char Char Char Char1 Char"/>
    <w:basedOn w:val="1"/>
    <w:qFormat/>
    <w:uiPriority w:val="0"/>
    <w:pPr>
      <w:widowControl/>
      <w:spacing w:after="160" w:line="240" w:lineRule="exact"/>
      <w:jc w:val="left"/>
    </w:pPr>
  </w:style>
  <w:style w:type="paragraph" w:customStyle="1" w:styleId="127">
    <w:name w:val="PM_Body"/>
    <w:basedOn w:val="1"/>
    <w:qFormat/>
    <w:locked/>
    <w:uiPriority w:val="0"/>
    <w:rPr>
      <w:szCs w:val="21"/>
    </w:rPr>
  </w:style>
  <w:style w:type="paragraph" w:customStyle="1" w:styleId="128">
    <w:name w:val="Char Char1"/>
    <w:basedOn w:val="1"/>
    <w:qFormat/>
    <w:uiPriority w:val="0"/>
    <w:pPr>
      <w:widowControl/>
      <w:spacing w:before="120" w:after="120"/>
    </w:pPr>
    <w:rPr>
      <w:rFonts w:ascii="Times New Roman" w:hAnsi="Times New Roman" w:cs="宋体"/>
    </w:rPr>
  </w:style>
  <w:style w:type="paragraph" w:customStyle="1" w:styleId="129">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30">
    <w:name w:val="修订1"/>
    <w:unhideWhenUsed/>
    <w:qFormat/>
    <w:uiPriority w:val="99"/>
    <w:rPr>
      <w:rFonts w:ascii="宋体" w:hAnsi="宋体" w:eastAsia="宋体" w:cs="Times New Roman"/>
      <w:kern w:val="2"/>
      <w:sz w:val="24"/>
      <w:szCs w:val="24"/>
      <w:lang w:val="en-US" w:eastAsia="zh-CN" w:bidi="ar-SA"/>
    </w:rPr>
  </w:style>
  <w:style w:type="paragraph" w:customStyle="1" w:styleId="131">
    <w:name w:val="列出段落2"/>
    <w:basedOn w:val="1"/>
    <w:qFormat/>
    <w:uiPriority w:val="0"/>
    <w:pPr>
      <w:spacing w:line="240" w:lineRule="auto"/>
      <w:ind w:firstLine="420"/>
    </w:pPr>
    <w:rPr>
      <w:rFonts w:ascii="等线" w:hAnsi="等线" w:eastAsia="等线" w:cs="等线"/>
      <w:sz w:val="21"/>
      <w:szCs w:val="21"/>
    </w:rPr>
  </w:style>
  <w:style w:type="paragraph" w:customStyle="1" w:styleId="132">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34">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35">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36">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37">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38">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character" w:customStyle="1" w:styleId="139">
    <w:name w:val="标题 1 Char"/>
    <w:qFormat/>
    <w:uiPriority w:val="0"/>
    <w:rPr>
      <w:rFonts w:ascii="宋体" w:hAnsi="宋体" w:eastAsia="黑体"/>
      <w:b/>
      <w:bCs/>
      <w:kern w:val="44"/>
      <w:sz w:val="32"/>
      <w:szCs w:val="28"/>
    </w:rPr>
  </w:style>
  <w:style w:type="character" w:customStyle="1" w:styleId="140">
    <w:name w:val="纯文本 Char2"/>
    <w:qFormat/>
    <w:uiPriority w:val="0"/>
    <w:rPr>
      <w:rFonts w:ascii="宋体" w:hAnsi="宋体" w:eastAsia="宋体" w:cs="Times New Roman"/>
      <w:color w:val="000000"/>
      <w:kern w:val="0"/>
      <w:sz w:val="24"/>
      <w:szCs w:val="24"/>
    </w:rPr>
  </w:style>
  <w:style w:type="paragraph" w:customStyle="1" w:styleId="141">
    <w:name w:val="可研标题"/>
    <w:basedOn w:val="33"/>
    <w:link w:val="142"/>
    <w:qFormat/>
    <w:uiPriority w:val="0"/>
    <w:pPr>
      <w:spacing w:line="360" w:lineRule="auto"/>
      <w:ind w:firstLine="0" w:firstLineChars="0"/>
      <w:outlineLvl w:val="0"/>
    </w:pPr>
    <w:rPr>
      <w:rFonts w:ascii="微软雅黑" w:hAnsi="微软雅黑" w:eastAsia="微软雅黑" w:cstheme="majorBidi"/>
      <w:b w:val="0"/>
      <w:szCs w:val="52"/>
    </w:rPr>
  </w:style>
  <w:style w:type="character" w:customStyle="1" w:styleId="142">
    <w:name w:val="可研标题 Char"/>
    <w:basedOn w:val="98"/>
    <w:link w:val="141"/>
    <w:qFormat/>
    <w:uiPriority w:val="0"/>
    <w:rPr>
      <w:rFonts w:ascii="微软雅黑" w:hAnsi="微软雅黑" w:eastAsia="微软雅黑" w:cstheme="majorBidi"/>
      <w:b w:val="0"/>
      <w:kern w:val="2"/>
      <w:sz w:val="52"/>
      <w:szCs w:val="52"/>
    </w:rPr>
  </w:style>
  <w:style w:type="paragraph" w:customStyle="1" w:styleId="143">
    <w:name w:val="可研正文"/>
    <w:basedOn w:val="1"/>
    <w:link w:val="144"/>
    <w:qFormat/>
    <w:uiPriority w:val="0"/>
    <w:pPr>
      <w:ind w:firstLine="200"/>
    </w:pPr>
    <w:rPr>
      <w:rFonts w:ascii="仿宋" w:hAnsi="仿宋" w:eastAsia="仿宋" w:cstheme="minorBidi"/>
      <w:sz w:val="28"/>
      <w:szCs w:val="28"/>
    </w:rPr>
  </w:style>
  <w:style w:type="character" w:customStyle="1" w:styleId="144">
    <w:name w:val="可研正文 Char"/>
    <w:link w:val="143"/>
    <w:qFormat/>
    <w:uiPriority w:val="0"/>
    <w:rPr>
      <w:rFonts w:ascii="仿宋" w:hAnsi="仿宋" w:eastAsia="仿宋"/>
      <w:sz w:val="28"/>
      <w:szCs w:val="28"/>
    </w:rPr>
  </w:style>
  <w:style w:type="paragraph" w:customStyle="1" w:styleId="145">
    <w:name w:val="正文文本首行缩进1"/>
    <w:basedOn w:val="1"/>
    <w:next w:val="35"/>
    <w:link w:val="147"/>
    <w:qFormat/>
    <w:uiPriority w:val="0"/>
    <w:pPr>
      <w:spacing w:after="50" w:afterLines="50"/>
      <w:ind w:firstLine="200"/>
    </w:pPr>
    <w:rPr>
      <w:rFonts w:asciiTheme="minorHAnsi" w:hAnsiTheme="minorHAnsi" w:eastAsiaTheme="minorEastAsia" w:cstheme="minorBidi"/>
      <w:szCs w:val="22"/>
    </w:rPr>
  </w:style>
  <w:style w:type="character" w:customStyle="1" w:styleId="146">
    <w:name w:val="正文文本首行缩进 字符"/>
    <w:basedOn w:val="108"/>
    <w:link w:val="35"/>
    <w:semiHidden/>
    <w:qFormat/>
    <w:uiPriority w:val="99"/>
    <w:rPr>
      <w:rFonts w:ascii="宋体" w:hAnsi="宋体" w:eastAsia="宋体" w:cs="Times New Roman"/>
      <w:sz w:val="24"/>
      <w:szCs w:val="24"/>
    </w:rPr>
  </w:style>
  <w:style w:type="character" w:customStyle="1" w:styleId="147">
    <w:name w:val="正文首行缩进 Char"/>
    <w:link w:val="145"/>
    <w:qFormat/>
    <w:uiPriority w:val="0"/>
    <w:rPr>
      <w:sz w:val="24"/>
    </w:rPr>
  </w:style>
  <w:style w:type="paragraph" w:customStyle="1" w:styleId="148">
    <w:name w:val="无间隔1"/>
    <w:qFormat/>
    <w:uiPriority w:val="1"/>
    <w:pPr>
      <w:widowControl w:val="0"/>
      <w:ind w:firstLine="480" w:firstLineChars="200"/>
      <w:jc w:val="both"/>
    </w:pPr>
    <w:rPr>
      <w:rFonts w:ascii="宋体" w:hAnsi="宋体" w:eastAsia="宋体" w:cs="Times New Roman (正文 CS 字体)"/>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9490</Words>
  <Characters>9696</Characters>
  <Lines>69</Lines>
  <Paragraphs>19</Paragraphs>
  <TotalTime>4</TotalTime>
  <ScaleCrop>false</ScaleCrop>
  <LinksUpToDate>false</LinksUpToDate>
  <CharactersWithSpaces>9712</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2026-01-28T17:56:00Z</dcterms:created>
  <dc:creator>桂阳</dc:creator>
  <cp:lastModifiedBy>李修辞</cp:lastModifiedBy>
  <cp:lastPrinted>2025-03-21T17:15:00Z</cp:lastPrinted>
  <dcterms:modified xsi:type="dcterms:W3CDTF">2026-03-05T16:28:31Z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7475473E3B5C467898451F4267F214A8_13</vt:lpwstr>
  </property>
  <property fmtid="{D5CDD505-2E9C-101B-9397-08002B2CF9AE}" pid="4" name="KSOTemplateDocerSaveRecord">
    <vt:lpwstr>eyJoZGlkIjoiMjlhNThkYTliNGE5NDFmMzJmNTljMzdkOGY5ODZiY2MiLCJ1c2VySWQiOiI0NDU0NTM1MzAifQ==</vt:lpwstr>
  </property>
</Properties>
</file>