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F60012">
      <w:pPr>
        <w:pStyle w:val="3"/>
        <w:numPr>
          <w:ilvl w:val="0"/>
          <w:numId w:val="0"/>
        </w:numPr>
        <w:ind w:left="420" w:leftChars="0"/>
        <w:jc w:val="center"/>
        <w:rPr>
          <w:b/>
          <w:bCs/>
          <w:color w:val="auto"/>
          <w:sz w:val="36"/>
          <w:szCs w:val="40"/>
          <w:highlight w:val="none"/>
        </w:rPr>
      </w:pPr>
      <w:r>
        <w:rPr>
          <w:rFonts w:ascii="宋体" w:hAnsi="宋体" w:eastAsia="宋体" w:cs="宋体"/>
          <w:b/>
          <w:bCs/>
          <w:color w:val="auto"/>
          <w:sz w:val="32"/>
          <w:szCs w:val="32"/>
          <w:highlight w:val="none"/>
        </w:rPr>
        <w:t>【公共实验楼及学生事务中心维修工程开办】办公家具采购项目</w:t>
      </w:r>
    </w:p>
    <w:p w14:paraId="58EAFF08">
      <w:pPr>
        <w:pStyle w:val="3"/>
        <w:rPr>
          <w:color w:val="auto"/>
          <w:highlight w:val="none"/>
        </w:rPr>
      </w:pPr>
      <w:r>
        <w:rPr>
          <w:color w:val="auto"/>
          <w:highlight w:val="none"/>
        </w:rPr>
        <w:t>项目背景</w:t>
      </w:r>
    </w:p>
    <w:p w14:paraId="7D2296DD">
      <w:pPr>
        <w:pStyle w:val="12"/>
        <w:widowControl/>
        <w:ind w:firstLine="484" w:firstLineChars="200"/>
        <w:rPr>
          <w:rFonts w:hint="eastAsia" w:eastAsia="宋体"/>
          <w:color w:val="auto"/>
          <w:highlight w:val="none"/>
          <w:lang w:eastAsia="zh-CN"/>
        </w:rPr>
      </w:pPr>
      <w:r>
        <w:rPr>
          <w:rFonts w:hint="eastAsia"/>
          <w:color w:val="auto"/>
          <w:highlight w:val="none"/>
        </w:rPr>
        <w:t>公共实验楼建筑面积 23975.55 平方米，地上四层，地下一层，半围合式框架结构，位于校园中部，楼内为实验室空间及配套用房。学生事务中心建筑面积2540.09 平方米，地上四层，框架结构；位于校园中部，公共实验楼北侧。主要为管理学生日常事务和服务重要场所，及马克思主义学院行政管理用房、教学科研（设置研究生教室/研习室，满足日常学习、科研研讨等需求；设置科研实验室用于学院各科研平台开展日常工作，进行教学演播录制等）</w:t>
      </w:r>
      <w:r>
        <w:rPr>
          <w:rFonts w:hint="eastAsia"/>
          <w:color w:val="auto"/>
          <w:highlight w:val="none"/>
          <w:lang w:eastAsia="zh-CN"/>
        </w:rPr>
        <w:t>。</w:t>
      </w:r>
    </w:p>
    <w:p w14:paraId="291ED867">
      <w:pPr>
        <w:pStyle w:val="12"/>
        <w:widowControl/>
        <w:ind w:firstLine="484" w:firstLineChars="200"/>
        <w:rPr>
          <w:rFonts w:hint="eastAsia" w:eastAsia="宋体"/>
          <w:color w:val="auto"/>
          <w:highlight w:val="none"/>
          <w:lang w:val="en-US" w:eastAsia="zh-CN"/>
        </w:rPr>
      </w:pPr>
      <w:r>
        <w:rPr>
          <w:rFonts w:hint="eastAsia"/>
          <w:color w:val="auto"/>
          <w:highlight w:val="none"/>
          <w:lang w:val="en-US" w:eastAsia="zh-CN"/>
        </w:rPr>
        <w:t>2026年我校公共实验楼、学生事务中心将进行大修。为落实立德树人根本任务、服务国家海洋强国战略提供强有力的空间支撑，助力学校在新时代实现高质量发展因公共实验楼、学生事务中心大修后开办需要，申请办公家具采购项目。</w:t>
      </w:r>
    </w:p>
    <w:p w14:paraId="1826BDA7">
      <w:pPr>
        <w:pStyle w:val="3"/>
        <w:rPr>
          <w:color w:val="auto"/>
          <w:highlight w:val="none"/>
        </w:rPr>
      </w:pPr>
      <w:r>
        <w:rPr>
          <w:color w:val="auto"/>
          <w:highlight w:val="none"/>
        </w:rPr>
        <w:t>需执行的国家相关标准、行业标准或其他标准、规范</w:t>
      </w:r>
    </w:p>
    <w:p w14:paraId="2146665E">
      <w:pPr>
        <w:pStyle w:val="4"/>
        <w:widowControl/>
        <w:numPr>
          <w:ilvl w:val="0"/>
          <w:numId w:val="6"/>
        </w:numPr>
        <w:rPr>
          <w:color w:val="auto"/>
          <w:highlight w:val="none"/>
        </w:rPr>
      </w:pPr>
      <w:r>
        <w:rPr>
          <w:color w:val="auto"/>
          <w:highlight w:val="none"/>
        </w:rPr>
        <w:t>强制性标准（若以下标准非最新标准，以公开的最新标准为准）</w:t>
      </w:r>
    </w:p>
    <w:p w14:paraId="24D1EE8E">
      <w:pPr>
        <w:pStyle w:val="12"/>
        <w:widowControl/>
        <w:rPr>
          <w:color w:val="auto"/>
          <w:highlight w:val="none"/>
        </w:rPr>
      </w:pPr>
      <w:r>
        <w:rPr>
          <w:color w:val="auto"/>
          <w:highlight w:val="none"/>
        </w:rPr>
        <w:t>GB18584-2024《家具中有害物质限量》；</w:t>
      </w:r>
    </w:p>
    <w:p w14:paraId="24B97F3A">
      <w:pPr>
        <w:pStyle w:val="12"/>
        <w:widowControl/>
        <w:rPr>
          <w:color w:val="auto"/>
          <w:highlight w:val="none"/>
        </w:rPr>
      </w:pPr>
      <w:r>
        <w:rPr>
          <w:color w:val="auto"/>
          <w:highlight w:val="none"/>
        </w:rPr>
        <w:t>GB28008-2024《家具结构安全技术规范》；</w:t>
      </w:r>
    </w:p>
    <w:p w14:paraId="7B528C0A">
      <w:pPr>
        <w:pStyle w:val="12"/>
        <w:widowControl/>
        <w:rPr>
          <w:color w:val="auto"/>
          <w:highlight w:val="none"/>
        </w:rPr>
      </w:pPr>
      <w:r>
        <w:rPr>
          <w:color w:val="auto"/>
          <w:highlight w:val="none"/>
        </w:rPr>
        <w:t>GB17927-2024《家具阻燃性能安全技术规范》；</w:t>
      </w:r>
    </w:p>
    <w:p w14:paraId="28D34FC6">
      <w:pPr>
        <w:pStyle w:val="12"/>
        <w:widowControl/>
        <w:rPr>
          <w:color w:val="auto"/>
          <w:highlight w:val="none"/>
        </w:rPr>
      </w:pPr>
      <w:r>
        <w:rPr>
          <w:color w:val="auto"/>
          <w:highlight w:val="none"/>
        </w:rPr>
        <w:t>GB18583-2008《室内装饰装修材料胶粘剂中有害物质限量》；</w:t>
      </w:r>
    </w:p>
    <w:p w14:paraId="4DA82763">
      <w:pPr>
        <w:pStyle w:val="12"/>
        <w:widowControl/>
        <w:rPr>
          <w:color w:val="auto"/>
          <w:highlight w:val="none"/>
        </w:rPr>
      </w:pPr>
      <w:r>
        <w:rPr>
          <w:color w:val="auto"/>
          <w:highlight w:val="none"/>
        </w:rPr>
        <w:t>GB6566-2010《建筑材料放射性核素限量》；</w:t>
      </w:r>
    </w:p>
    <w:p w14:paraId="44FD99EA">
      <w:pPr>
        <w:pStyle w:val="12"/>
        <w:widowControl/>
        <w:rPr>
          <w:color w:val="auto"/>
          <w:highlight w:val="none"/>
        </w:rPr>
      </w:pPr>
      <w:r>
        <w:rPr>
          <w:color w:val="auto"/>
          <w:highlight w:val="none"/>
        </w:rPr>
        <w:t>GB18580-20</w:t>
      </w:r>
      <w:r>
        <w:rPr>
          <w:rFonts w:hint="eastAsia"/>
          <w:color w:val="auto"/>
          <w:highlight w:val="none"/>
          <w:lang w:val="en-US" w:eastAsia="zh-CN"/>
        </w:rPr>
        <w:t>25</w:t>
      </w:r>
      <w:r>
        <w:rPr>
          <w:color w:val="auto"/>
          <w:highlight w:val="none"/>
        </w:rPr>
        <w:t>《室内装饰装修材料人造板及其制品中甲醛释放限量》；</w:t>
      </w:r>
    </w:p>
    <w:p w14:paraId="50069068">
      <w:pPr>
        <w:pStyle w:val="12"/>
        <w:widowControl/>
        <w:rPr>
          <w:color w:val="auto"/>
          <w:highlight w:val="none"/>
        </w:rPr>
      </w:pPr>
      <w:r>
        <w:rPr>
          <w:color w:val="auto"/>
          <w:highlight w:val="none"/>
        </w:rPr>
        <w:t>GB18581-2020《木器涂料中有害物质限量》；</w:t>
      </w:r>
    </w:p>
    <w:p w14:paraId="4A028D17">
      <w:pPr>
        <w:pStyle w:val="12"/>
        <w:widowControl/>
        <w:rPr>
          <w:rFonts w:hint="eastAsia" w:eastAsia="宋体"/>
          <w:color w:val="auto"/>
          <w:highlight w:val="none"/>
          <w:lang w:val="en-US" w:eastAsia="zh-CN"/>
        </w:rPr>
      </w:pPr>
      <w:r>
        <w:rPr>
          <w:color w:val="auto"/>
          <w:highlight w:val="none"/>
        </w:rPr>
        <w:t>GB18401-2010《国家纺织产品基本安全技术规范》</w:t>
      </w:r>
      <w:r>
        <w:rPr>
          <w:rFonts w:hint="eastAsia"/>
          <w:color w:val="auto"/>
          <w:highlight w:val="none"/>
          <w:lang w:eastAsia="zh-CN"/>
        </w:rPr>
        <w:t>。</w:t>
      </w:r>
    </w:p>
    <w:p w14:paraId="5EEB7FA6">
      <w:pPr>
        <w:pStyle w:val="4"/>
        <w:widowControl/>
        <w:numPr>
          <w:ilvl w:val="0"/>
          <w:numId w:val="6"/>
        </w:numPr>
        <w:rPr>
          <w:color w:val="auto"/>
          <w:highlight w:val="none"/>
        </w:rPr>
      </w:pPr>
      <w:r>
        <w:rPr>
          <w:color w:val="auto"/>
          <w:highlight w:val="none"/>
        </w:rPr>
        <w:t>质量及技术标准（若以下标准非最新标准，以公开的最新标准为准）</w:t>
      </w:r>
    </w:p>
    <w:p w14:paraId="0B8CEA69">
      <w:pPr>
        <w:pStyle w:val="12"/>
        <w:widowControl/>
        <w:rPr>
          <w:color w:val="auto"/>
          <w:highlight w:val="none"/>
        </w:rPr>
      </w:pPr>
      <w:r>
        <w:rPr>
          <w:color w:val="auto"/>
          <w:highlight w:val="none"/>
        </w:rPr>
        <w:t>重要标准：</w:t>
      </w:r>
    </w:p>
    <w:p w14:paraId="38096F39">
      <w:pPr>
        <w:pStyle w:val="12"/>
        <w:widowControl/>
        <w:rPr>
          <w:color w:val="auto"/>
          <w:highlight w:val="none"/>
        </w:rPr>
      </w:pPr>
      <w:r>
        <w:rPr>
          <w:color w:val="auto"/>
          <w:highlight w:val="none"/>
        </w:rPr>
        <w:t>GB/T35607-2024《绿色产品评价家具》；</w:t>
      </w:r>
    </w:p>
    <w:p w14:paraId="5CFCB692">
      <w:pPr>
        <w:pStyle w:val="12"/>
        <w:widowControl/>
        <w:rPr>
          <w:color w:val="auto"/>
          <w:highlight w:val="none"/>
        </w:rPr>
      </w:pPr>
      <w:r>
        <w:rPr>
          <w:color w:val="auto"/>
          <w:highlight w:val="none"/>
        </w:rPr>
        <w:t>GB/T3325-2024《金属家具通用技术条件》；</w:t>
      </w:r>
    </w:p>
    <w:p w14:paraId="65F4E936">
      <w:pPr>
        <w:pStyle w:val="12"/>
        <w:widowControl/>
        <w:rPr>
          <w:rFonts w:hint="eastAsia" w:eastAsia="宋体"/>
          <w:color w:val="auto"/>
          <w:highlight w:val="none"/>
          <w:lang w:eastAsia="zh-CN"/>
        </w:rPr>
      </w:pPr>
      <w:r>
        <w:rPr>
          <w:color w:val="auto"/>
          <w:highlight w:val="none"/>
        </w:rPr>
        <w:t>GB/T3324-2024《木家具通用技术条件》</w:t>
      </w:r>
      <w:r>
        <w:rPr>
          <w:rFonts w:hint="eastAsia"/>
          <w:color w:val="auto"/>
          <w:highlight w:val="none"/>
          <w:lang w:eastAsia="zh-CN"/>
        </w:rPr>
        <w:t>。</w:t>
      </w:r>
    </w:p>
    <w:p w14:paraId="7FA3A537">
      <w:pPr>
        <w:pStyle w:val="12"/>
        <w:widowControl/>
        <w:rPr>
          <w:color w:val="auto"/>
          <w:highlight w:val="none"/>
        </w:rPr>
      </w:pPr>
      <w:r>
        <w:rPr>
          <w:color w:val="auto"/>
          <w:highlight w:val="none"/>
        </w:rPr>
        <w:t>其他标准：</w:t>
      </w:r>
    </w:p>
    <w:p w14:paraId="44061EB3">
      <w:pPr>
        <w:pStyle w:val="12"/>
        <w:widowControl/>
        <w:rPr>
          <w:color w:val="auto"/>
          <w:highlight w:val="none"/>
        </w:rPr>
      </w:pPr>
      <w:r>
        <w:rPr>
          <w:color w:val="auto"/>
          <w:highlight w:val="none"/>
        </w:rPr>
        <w:t>GB/T15102-2017《浸渍胶膜纸饰面纤维板和刨花板》；</w:t>
      </w:r>
    </w:p>
    <w:p w14:paraId="39D48C46">
      <w:pPr>
        <w:pStyle w:val="12"/>
        <w:widowControl/>
        <w:rPr>
          <w:color w:val="auto"/>
          <w:highlight w:val="none"/>
        </w:rPr>
      </w:pPr>
      <w:r>
        <w:rPr>
          <w:color w:val="auto"/>
          <w:highlight w:val="none"/>
        </w:rPr>
        <w:t>GB/T29525-2013《座椅升降气弹簧技术条件》；</w:t>
      </w:r>
    </w:p>
    <w:p w14:paraId="2A162BB4">
      <w:pPr>
        <w:pStyle w:val="12"/>
        <w:widowControl/>
        <w:rPr>
          <w:color w:val="auto"/>
          <w:highlight w:val="none"/>
        </w:rPr>
      </w:pPr>
      <w:r>
        <w:rPr>
          <w:color w:val="auto"/>
          <w:highlight w:val="none"/>
        </w:rPr>
        <w:t>GB/T35601-2024《绿色产品评价人造板和木质地板》；</w:t>
      </w:r>
    </w:p>
    <w:p w14:paraId="2F975CCD">
      <w:pPr>
        <w:pStyle w:val="12"/>
        <w:widowControl/>
        <w:rPr>
          <w:color w:val="auto"/>
          <w:highlight w:val="none"/>
        </w:rPr>
      </w:pPr>
      <w:r>
        <w:rPr>
          <w:color w:val="auto"/>
          <w:highlight w:val="none"/>
        </w:rPr>
        <w:t>GB/T39600-2021《人造板及其制品甲醛释放量分级》；</w:t>
      </w:r>
    </w:p>
    <w:p w14:paraId="5CCFF817">
      <w:pPr>
        <w:pStyle w:val="12"/>
        <w:widowControl/>
        <w:rPr>
          <w:color w:val="auto"/>
          <w:highlight w:val="none"/>
        </w:rPr>
      </w:pPr>
      <w:r>
        <w:rPr>
          <w:color w:val="auto"/>
          <w:highlight w:val="none"/>
        </w:rPr>
        <w:t>GB/T10802-2023《通用软质聚氨酯泡沫塑料》；</w:t>
      </w:r>
    </w:p>
    <w:p w14:paraId="316D7F78">
      <w:pPr>
        <w:pStyle w:val="12"/>
        <w:widowControl/>
        <w:rPr>
          <w:color w:val="auto"/>
          <w:highlight w:val="none"/>
        </w:rPr>
      </w:pPr>
      <w:r>
        <w:rPr>
          <w:color w:val="auto"/>
          <w:highlight w:val="none"/>
        </w:rPr>
        <w:t>GB/T35601-2024《绿色产品评价人造板和木质地板》；</w:t>
      </w:r>
    </w:p>
    <w:p w14:paraId="50BFF4C3">
      <w:pPr>
        <w:pStyle w:val="12"/>
        <w:widowControl/>
        <w:rPr>
          <w:color w:val="auto"/>
          <w:highlight w:val="none"/>
        </w:rPr>
      </w:pPr>
      <w:r>
        <w:rPr>
          <w:color w:val="auto"/>
          <w:highlight w:val="none"/>
        </w:rPr>
        <w:t>QB/T2189-2013《家具五金杯状暗铰链》；</w:t>
      </w:r>
    </w:p>
    <w:p w14:paraId="6F1DB255">
      <w:pPr>
        <w:pStyle w:val="12"/>
        <w:widowControl/>
        <w:rPr>
          <w:color w:val="auto"/>
          <w:highlight w:val="none"/>
        </w:rPr>
      </w:pPr>
      <w:r>
        <w:rPr>
          <w:color w:val="auto"/>
          <w:highlight w:val="none"/>
        </w:rPr>
        <w:t>GB/T11718-2009《中密度纤维板》；</w:t>
      </w:r>
    </w:p>
    <w:p w14:paraId="614F4A62">
      <w:pPr>
        <w:pStyle w:val="12"/>
        <w:widowControl/>
        <w:rPr>
          <w:color w:val="auto"/>
          <w:highlight w:val="none"/>
        </w:rPr>
      </w:pPr>
      <w:r>
        <w:rPr>
          <w:color w:val="auto"/>
          <w:highlight w:val="none"/>
        </w:rPr>
        <w:t>GB/T4765-2014《家具用脚轮》；</w:t>
      </w:r>
    </w:p>
    <w:p w14:paraId="39E573D5">
      <w:pPr>
        <w:pStyle w:val="12"/>
        <w:widowControl/>
        <w:rPr>
          <w:color w:val="auto"/>
          <w:highlight w:val="none"/>
        </w:rPr>
      </w:pPr>
      <w:r>
        <w:rPr>
          <w:color w:val="auto"/>
          <w:highlight w:val="none"/>
        </w:rPr>
        <w:t>QB/T2280-2016《办公家具办公椅》；</w:t>
      </w:r>
    </w:p>
    <w:p w14:paraId="3299913D">
      <w:pPr>
        <w:pStyle w:val="12"/>
        <w:widowControl/>
        <w:rPr>
          <w:color w:val="auto"/>
          <w:highlight w:val="none"/>
        </w:rPr>
      </w:pPr>
      <w:r>
        <w:rPr>
          <w:color w:val="auto"/>
          <w:highlight w:val="none"/>
        </w:rPr>
        <w:t>GB/T2454-2013《家具五金抽屉导轨》；</w:t>
      </w:r>
    </w:p>
    <w:p w14:paraId="4865A95A">
      <w:pPr>
        <w:pStyle w:val="12"/>
        <w:widowControl/>
        <w:rPr>
          <w:color w:val="auto"/>
          <w:highlight w:val="none"/>
        </w:rPr>
      </w:pPr>
      <w:r>
        <w:rPr>
          <w:rFonts w:hint="eastAsia"/>
          <w:color w:val="auto"/>
          <w:highlight w:val="none"/>
        </w:rPr>
        <w:t>GB/</w:t>
      </w:r>
      <w:r>
        <w:rPr>
          <w:color w:val="auto"/>
          <w:highlight w:val="none"/>
        </w:rPr>
        <w:t>T34722-2017《浸渍胶膜纸饰面胶合板和细木工板》；</w:t>
      </w:r>
    </w:p>
    <w:p w14:paraId="7F1EB383">
      <w:pPr>
        <w:pStyle w:val="12"/>
        <w:widowControl/>
        <w:rPr>
          <w:color w:val="auto"/>
          <w:highlight w:val="none"/>
        </w:rPr>
      </w:pPr>
      <w:r>
        <w:rPr>
          <w:color w:val="auto"/>
          <w:highlight w:val="none"/>
        </w:rPr>
        <w:t>GB/T39600-2021《人造板及其制品甲醛释放量分级》；</w:t>
      </w:r>
    </w:p>
    <w:p w14:paraId="57D9B647">
      <w:pPr>
        <w:pStyle w:val="12"/>
        <w:widowControl/>
        <w:rPr>
          <w:color w:val="auto"/>
          <w:highlight w:val="none"/>
        </w:rPr>
      </w:pPr>
      <w:r>
        <w:rPr>
          <w:color w:val="auto"/>
          <w:highlight w:val="none"/>
        </w:rPr>
        <w:t>GB/T39223.3-2020《健康家居的人类工效学要求第3部分:办公桌椅》；</w:t>
      </w:r>
    </w:p>
    <w:p w14:paraId="5632AE37">
      <w:pPr>
        <w:pStyle w:val="12"/>
        <w:widowControl/>
        <w:rPr>
          <w:color w:val="auto"/>
          <w:highlight w:val="none"/>
        </w:rPr>
      </w:pPr>
      <w:r>
        <w:rPr>
          <w:color w:val="auto"/>
          <w:highlight w:val="none"/>
        </w:rPr>
        <w:t>QB-T4463-2013《家具用封边条技术要求》；</w:t>
      </w:r>
    </w:p>
    <w:p w14:paraId="71524773">
      <w:pPr>
        <w:pStyle w:val="12"/>
        <w:widowControl/>
        <w:rPr>
          <w:rFonts w:hint="eastAsia" w:eastAsia="宋体"/>
          <w:color w:val="auto"/>
          <w:highlight w:val="none"/>
          <w:lang w:eastAsia="zh-CN"/>
        </w:rPr>
      </w:pPr>
      <w:r>
        <w:rPr>
          <w:rFonts w:hint="eastAsia"/>
          <w:color w:val="auto"/>
          <w:highlight w:val="none"/>
        </w:rPr>
        <w:t>GB/</w:t>
      </w:r>
      <w:r>
        <w:rPr>
          <w:color w:val="auto"/>
          <w:highlight w:val="none"/>
        </w:rPr>
        <w:t>20286</w:t>
      </w:r>
      <w:r>
        <w:rPr>
          <w:rFonts w:hint="eastAsia"/>
          <w:color w:val="auto"/>
          <w:highlight w:val="none"/>
          <w:lang w:val="en-US" w:eastAsia="zh-CN"/>
        </w:rPr>
        <w:t>-2006</w:t>
      </w:r>
      <w:r>
        <w:rPr>
          <w:color w:val="auto"/>
          <w:highlight w:val="none"/>
        </w:rPr>
        <w:t>《公共场所阻燃制品及组件燃烧性能要求和标识》</w:t>
      </w:r>
      <w:r>
        <w:rPr>
          <w:rFonts w:hint="eastAsia"/>
          <w:color w:val="auto"/>
          <w:highlight w:val="none"/>
          <w:lang w:eastAsia="zh-CN"/>
        </w:rPr>
        <w:t>。</w:t>
      </w:r>
    </w:p>
    <w:p w14:paraId="7C8BEDF3">
      <w:pPr>
        <w:pStyle w:val="12"/>
        <w:widowControl/>
        <w:rPr>
          <w:rFonts w:hint="eastAsia" w:eastAsia="宋体"/>
          <w:color w:val="auto"/>
          <w:highlight w:val="none"/>
          <w:lang w:eastAsia="zh-CN"/>
        </w:rPr>
        <w:sectPr>
          <w:footerReference r:id="rId3" w:type="default"/>
          <w:pgSz w:w="11906" w:h="16838" w:orient="landscape"/>
          <w:pgMar w:top="1440" w:right="1077" w:bottom="1440" w:left="1077" w:header="0" w:footer="992" w:gutter="0"/>
          <w:cols w:space="720" w:num="1"/>
          <w:formProt w:val="0"/>
          <w:docGrid w:type="linesAndChars" w:linePitch="326" w:charSpace="614"/>
        </w:sectPr>
      </w:pPr>
      <w:r>
        <w:rPr>
          <w:color w:val="auto"/>
          <w:highlight w:val="none"/>
        </w:rPr>
        <w:t>采购需求内所涉及到的及其他与本次采购的家具相关的标准若与现行标准冲突，均以现行的最新版本为准</w:t>
      </w:r>
      <w:r>
        <w:rPr>
          <w:rFonts w:hint="eastAsia"/>
          <w:color w:val="auto"/>
          <w:highlight w:val="none"/>
          <w:lang w:eastAsia="zh-CN"/>
        </w:rPr>
        <w:t>。</w:t>
      </w:r>
    </w:p>
    <w:p w14:paraId="1F348821">
      <w:pPr>
        <w:pStyle w:val="3"/>
        <w:rPr>
          <w:color w:val="auto"/>
          <w:highlight w:val="none"/>
        </w:rPr>
      </w:pPr>
      <w:r>
        <w:rPr>
          <w:color w:val="auto"/>
          <w:highlight w:val="none"/>
        </w:rPr>
        <w:t>采购品目参考样式、规格、质量标准等要求</w:t>
      </w:r>
      <w:r>
        <w:rPr>
          <w:rFonts w:hint="eastAsia"/>
          <w:color w:val="auto"/>
          <w:highlight w:val="none"/>
          <w:lang w:eastAsia="zh-CN"/>
        </w:rPr>
        <w:t>（</w:t>
      </w:r>
      <w:r>
        <w:rPr>
          <w:rFonts w:hint="eastAsia"/>
          <w:color w:val="auto"/>
          <w:highlight w:val="none"/>
          <w:lang w:val="en-US" w:eastAsia="zh-CN"/>
        </w:rPr>
        <w:t>核心产品</w:t>
      </w:r>
      <w:r>
        <w:rPr>
          <w:rFonts w:hint="eastAsia"/>
          <w:color w:val="auto"/>
          <w:highlight w:val="none"/>
          <w:lang w:eastAsia="zh-CN"/>
        </w:rPr>
        <w:t>）</w:t>
      </w:r>
    </w:p>
    <w:tbl>
      <w:tblPr>
        <w:tblStyle w:val="20"/>
        <w:tblW w:w="499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0" w:type="dxa"/>
          <w:left w:w="100" w:type="dxa"/>
          <w:bottom w:w="50" w:type="dxa"/>
          <w:right w:w="100" w:type="dxa"/>
        </w:tblCellMar>
      </w:tblPr>
      <w:tblGrid>
        <w:gridCol w:w="670"/>
        <w:gridCol w:w="1418"/>
        <w:gridCol w:w="1122"/>
        <w:gridCol w:w="2290"/>
        <w:gridCol w:w="2710"/>
        <w:gridCol w:w="890"/>
        <w:gridCol w:w="2200"/>
        <w:gridCol w:w="1370"/>
        <w:gridCol w:w="9143"/>
      </w:tblGrid>
      <w:tr w14:paraId="5F602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0" w:type="dxa"/>
            <w:left w:w="100" w:type="dxa"/>
            <w:bottom w:w="50" w:type="dxa"/>
            <w:right w:w="100" w:type="dxa"/>
          </w:tblCellMar>
        </w:tblPrEx>
        <w:trPr>
          <w:tblHeader/>
        </w:trPr>
        <w:tc>
          <w:tcPr>
            <w:tcW w:w="153" w:type="pct"/>
            <w:tcBorders>
              <w:top w:val="single" w:color="000000" w:sz="0" w:space="0"/>
              <w:left w:val="single" w:color="000000" w:sz="0" w:space="0"/>
              <w:bottom w:val="single" w:color="000000" w:sz="0" w:space="0"/>
              <w:right w:val="single" w:color="000000" w:sz="0" w:space="0"/>
            </w:tcBorders>
            <w:shd w:val="clear" w:color="auto" w:fill="D9E2F3"/>
          </w:tcPr>
          <w:p w14:paraId="61D93813">
            <w:pPr>
              <w:jc w:val="center"/>
              <w:rPr>
                <w:color w:val="auto"/>
                <w:highlight w:val="none"/>
              </w:rPr>
            </w:pPr>
            <w:r>
              <w:rPr>
                <w:b/>
                <w:bCs/>
                <w:color w:val="auto"/>
                <w:sz w:val="20"/>
                <w:szCs w:val="20"/>
                <w:highlight w:val="none"/>
              </w:rPr>
              <w:t>编号</w:t>
            </w:r>
          </w:p>
        </w:tc>
        <w:tc>
          <w:tcPr>
            <w:tcW w:w="325" w:type="pct"/>
            <w:tcBorders>
              <w:top w:val="single" w:color="000000" w:sz="0" w:space="0"/>
              <w:left w:val="single" w:color="000000" w:sz="0" w:space="0"/>
              <w:bottom w:val="single" w:color="000000" w:sz="0" w:space="0"/>
              <w:right w:val="single" w:color="000000" w:sz="0" w:space="0"/>
            </w:tcBorders>
            <w:shd w:val="clear" w:color="auto" w:fill="D9E2F3"/>
          </w:tcPr>
          <w:p w14:paraId="65491874">
            <w:pPr>
              <w:jc w:val="center"/>
              <w:rPr>
                <w:color w:val="auto"/>
                <w:highlight w:val="none"/>
              </w:rPr>
            </w:pPr>
            <w:r>
              <w:rPr>
                <w:b/>
                <w:bCs/>
                <w:color w:val="auto"/>
                <w:sz w:val="20"/>
                <w:szCs w:val="20"/>
                <w:highlight w:val="none"/>
              </w:rPr>
              <w:t>品目</w:t>
            </w:r>
          </w:p>
        </w:tc>
        <w:tc>
          <w:tcPr>
            <w:tcW w:w="257" w:type="pct"/>
            <w:tcBorders>
              <w:top w:val="single" w:color="000000" w:sz="0" w:space="0"/>
              <w:left w:val="single" w:color="000000" w:sz="0" w:space="0"/>
              <w:bottom w:val="single" w:color="000000" w:sz="0" w:space="0"/>
              <w:right w:val="single" w:color="000000" w:sz="0" w:space="0"/>
            </w:tcBorders>
            <w:shd w:val="clear" w:color="auto" w:fill="D9E2F3"/>
          </w:tcPr>
          <w:p w14:paraId="403BF507">
            <w:pPr>
              <w:jc w:val="center"/>
              <w:rPr>
                <w:color w:val="auto"/>
                <w:highlight w:val="none"/>
              </w:rPr>
            </w:pPr>
            <w:r>
              <w:rPr>
                <w:b/>
                <w:bCs/>
                <w:color w:val="auto"/>
                <w:sz w:val="20"/>
                <w:szCs w:val="20"/>
                <w:highlight w:val="none"/>
              </w:rPr>
              <w:t>基本分类</w:t>
            </w:r>
          </w:p>
        </w:tc>
        <w:tc>
          <w:tcPr>
            <w:tcW w:w="524" w:type="pct"/>
            <w:tcBorders>
              <w:top w:val="single" w:color="000000" w:sz="0" w:space="0"/>
              <w:left w:val="single" w:color="000000" w:sz="0" w:space="0"/>
              <w:bottom w:val="single" w:color="000000" w:sz="0" w:space="0"/>
              <w:right w:val="single" w:color="000000" w:sz="0" w:space="0"/>
            </w:tcBorders>
            <w:shd w:val="clear" w:color="auto" w:fill="D9E2F3"/>
          </w:tcPr>
          <w:p w14:paraId="5733F40B">
            <w:pPr>
              <w:jc w:val="center"/>
              <w:rPr>
                <w:color w:val="auto"/>
                <w:highlight w:val="none"/>
              </w:rPr>
            </w:pPr>
            <w:r>
              <w:rPr>
                <w:b/>
                <w:bCs/>
                <w:color w:val="auto"/>
                <w:sz w:val="20"/>
                <w:szCs w:val="20"/>
                <w:highlight w:val="none"/>
              </w:rPr>
              <w:t>参考样式</w:t>
            </w:r>
          </w:p>
        </w:tc>
        <w:tc>
          <w:tcPr>
            <w:tcW w:w="621" w:type="pct"/>
            <w:tcBorders>
              <w:top w:val="single" w:color="000000" w:sz="0" w:space="0"/>
              <w:left w:val="single" w:color="000000" w:sz="0" w:space="0"/>
              <w:bottom w:val="single" w:color="000000" w:sz="0" w:space="0"/>
              <w:right w:val="single" w:color="000000" w:sz="0" w:space="0"/>
            </w:tcBorders>
            <w:shd w:val="clear" w:color="auto" w:fill="D9E2F3"/>
          </w:tcPr>
          <w:p w14:paraId="7F26366A">
            <w:pPr>
              <w:jc w:val="center"/>
              <w:rPr>
                <w:color w:val="auto"/>
                <w:highlight w:val="none"/>
              </w:rPr>
            </w:pPr>
            <w:r>
              <w:rPr>
                <w:b/>
                <w:bCs/>
                <w:color w:val="auto"/>
                <w:sz w:val="20"/>
                <w:szCs w:val="20"/>
                <w:highlight w:val="none"/>
              </w:rPr>
              <w:t>参考规格(长×宽×高)mm</w:t>
            </w:r>
          </w:p>
        </w:tc>
        <w:tc>
          <w:tcPr>
            <w:tcW w:w="204" w:type="pct"/>
            <w:tcBorders>
              <w:top w:val="single" w:color="000000" w:sz="0" w:space="0"/>
              <w:left w:val="single" w:color="000000" w:sz="0" w:space="0"/>
              <w:bottom w:val="single" w:color="000000" w:sz="0" w:space="0"/>
              <w:right w:val="single" w:color="000000" w:sz="0" w:space="0"/>
            </w:tcBorders>
            <w:shd w:val="clear" w:color="auto" w:fill="D9E2F3"/>
          </w:tcPr>
          <w:p w14:paraId="78027A57">
            <w:pPr>
              <w:jc w:val="center"/>
              <w:rPr>
                <w:color w:val="auto"/>
                <w:highlight w:val="none"/>
              </w:rPr>
            </w:pPr>
            <w:r>
              <w:rPr>
                <w:b/>
                <w:bCs/>
                <w:color w:val="auto"/>
                <w:sz w:val="20"/>
                <w:szCs w:val="20"/>
                <w:highlight w:val="none"/>
              </w:rPr>
              <w:t>数量</w:t>
            </w:r>
          </w:p>
        </w:tc>
        <w:tc>
          <w:tcPr>
            <w:tcW w:w="504" w:type="pct"/>
            <w:tcBorders>
              <w:top w:val="single" w:color="000000" w:sz="0" w:space="0"/>
              <w:left w:val="single" w:color="000000" w:sz="0" w:space="0"/>
              <w:bottom w:val="single" w:color="000000" w:sz="0" w:space="0"/>
              <w:right w:val="single" w:color="000000" w:sz="0" w:space="0"/>
            </w:tcBorders>
            <w:shd w:val="clear" w:color="auto" w:fill="D9E2F3"/>
          </w:tcPr>
          <w:p w14:paraId="121C42EF">
            <w:pPr>
              <w:jc w:val="center"/>
              <w:rPr>
                <w:color w:val="auto"/>
                <w:highlight w:val="none"/>
              </w:rPr>
            </w:pPr>
            <w:r>
              <w:rPr>
                <w:b/>
                <w:bCs/>
                <w:color w:val="auto"/>
                <w:sz w:val="20"/>
                <w:szCs w:val="20"/>
                <w:highlight w:val="none"/>
              </w:rPr>
              <w:t>基本组成</w:t>
            </w:r>
          </w:p>
        </w:tc>
        <w:tc>
          <w:tcPr>
            <w:tcW w:w="314" w:type="pct"/>
            <w:tcBorders>
              <w:top w:val="single" w:color="000000" w:sz="0" w:space="0"/>
              <w:left w:val="single" w:color="000000" w:sz="0" w:space="0"/>
              <w:bottom w:val="single" w:color="000000" w:sz="0" w:space="0"/>
              <w:right w:val="single" w:color="000000" w:sz="0" w:space="0"/>
            </w:tcBorders>
            <w:shd w:val="clear" w:color="auto" w:fill="D9E2F3"/>
          </w:tcPr>
          <w:p w14:paraId="614090E1">
            <w:pPr>
              <w:jc w:val="center"/>
              <w:rPr>
                <w:color w:val="auto"/>
                <w:highlight w:val="none"/>
              </w:rPr>
            </w:pPr>
            <w:r>
              <w:rPr>
                <w:b/>
                <w:bCs/>
                <w:color w:val="auto"/>
                <w:sz w:val="20"/>
                <w:szCs w:val="20"/>
                <w:highlight w:val="none"/>
              </w:rPr>
              <w:t>基本材质</w:t>
            </w:r>
          </w:p>
        </w:tc>
        <w:tc>
          <w:tcPr>
            <w:tcW w:w="2095" w:type="pct"/>
            <w:tcBorders>
              <w:top w:val="single" w:color="000000" w:sz="0" w:space="0"/>
              <w:left w:val="single" w:color="000000" w:sz="0" w:space="0"/>
              <w:bottom w:val="single" w:color="000000" w:sz="0" w:space="0"/>
              <w:right w:val="single" w:color="000000" w:sz="0" w:space="0"/>
            </w:tcBorders>
            <w:shd w:val="clear" w:color="auto" w:fill="D9E2F3"/>
          </w:tcPr>
          <w:p w14:paraId="05030193">
            <w:pPr>
              <w:jc w:val="center"/>
              <w:rPr>
                <w:color w:val="auto"/>
                <w:highlight w:val="none"/>
              </w:rPr>
            </w:pPr>
            <w:r>
              <w:rPr>
                <w:b/>
                <w:bCs/>
                <w:color w:val="auto"/>
                <w:sz w:val="20"/>
                <w:szCs w:val="20"/>
                <w:highlight w:val="none"/>
              </w:rPr>
              <w:t>工艺质量标准</w:t>
            </w:r>
          </w:p>
        </w:tc>
      </w:tr>
      <w:tr w14:paraId="7B559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0" w:type="dxa"/>
            <w:left w:w="100" w:type="dxa"/>
            <w:bottom w:w="50" w:type="dxa"/>
            <w:right w:w="100" w:type="dxa"/>
          </w:tblCellMar>
        </w:tblPrEx>
        <w:tc>
          <w:tcPr>
            <w:tcW w:w="153" w:type="pct"/>
            <w:tcBorders>
              <w:top w:val="single" w:color="000000" w:sz="0" w:space="0"/>
              <w:left w:val="single" w:color="000000" w:sz="0" w:space="0"/>
              <w:bottom w:val="single" w:color="000000" w:sz="0" w:space="0"/>
              <w:right w:val="single" w:color="000000" w:sz="0" w:space="0"/>
            </w:tcBorders>
          </w:tcPr>
          <w:p w14:paraId="06808D65">
            <w:pPr>
              <w:numPr>
                <w:ilvl w:val="0"/>
                <w:numId w:val="7"/>
              </w:numPr>
              <w:jc w:val="center"/>
              <w:rPr>
                <w:color w:val="auto"/>
                <w:highlight w:val="none"/>
              </w:rPr>
            </w:pPr>
          </w:p>
        </w:tc>
        <w:tc>
          <w:tcPr>
            <w:tcW w:w="325" w:type="pct"/>
            <w:tcBorders>
              <w:top w:val="single" w:color="000000" w:sz="0" w:space="0"/>
              <w:left w:val="single" w:color="000000" w:sz="0" w:space="0"/>
              <w:bottom w:val="single" w:color="000000" w:sz="0" w:space="0"/>
              <w:right w:val="single" w:color="000000" w:sz="0" w:space="0"/>
            </w:tcBorders>
          </w:tcPr>
          <w:p w14:paraId="0CBD0A13">
            <w:pPr>
              <w:jc w:val="left"/>
              <w:rPr>
                <w:color w:val="auto"/>
                <w:highlight w:val="none"/>
              </w:rPr>
            </w:pPr>
            <w:r>
              <w:rPr>
                <w:color w:val="auto"/>
                <w:sz w:val="20"/>
                <w:szCs w:val="20"/>
                <w:highlight w:val="none"/>
              </w:rPr>
              <w:t>三人沙发(米色）</w:t>
            </w:r>
          </w:p>
        </w:tc>
        <w:tc>
          <w:tcPr>
            <w:tcW w:w="257" w:type="pct"/>
            <w:tcBorders>
              <w:top w:val="single" w:color="000000" w:sz="0" w:space="0"/>
              <w:left w:val="single" w:color="000000" w:sz="0" w:space="0"/>
              <w:bottom w:val="single" w:color="000000" w:sz="0" w:space="0"/>
              <w:right w:val="single" w:color="000000" w:sz="0" w:space="0"/>
            </w:tcBorders>
          </w:tcPr>
          <w:p w14:paraId="4B383F16">
            <w:pPr>
              <w:jc w:val="center"/>
              <w:rPr>
                <w:color w:val="auto"/>
                <w:highlight w:val="none"/>
              </w:rPr>
            </w:pPr>
            <w:r>
              <w:rPr>
                <w:color w:val="auto"/>
                <w:sz w:val="20"/>
                <w:szCs w:val="20"/>
                <w:highlight w:val="none"/>
              </w:rPr>
              <w:t>沙发</w:t>
            </w:r>
          </w:p>
        </w:tc>
        <w:tc>
          <w:tcPr>
            <w:tcW w:w="524" w:type="pct"/>
          </w:tcPr>
          <w:p w14:paraId="47D91412">
            <w:pPr>
              <w:jc w:val="center"/>
              <w:rPr>
                <w:color w:val="auto"/>
                <w:highlight w:val="none"/>
              </w:rPr>
            </w:pPr>
            <w:r>
              <w:rPr>
                <w:color w:val="auto"/>
                <w:highlight w:val="none"/>
              </w:rPr>
              <w:drawing>
                <wp:inline distT="0" distB="0" distL="0" distR="0">
                  <wp:extent cx="1068070" cy="1091565"/>
                  <wp:effectExtent l="0" t="0" r="17780" b="13335"/>
                  <wp:docPr id="2" name="Image" descr="参考图片" titl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descr="参考图片" title="图片"/>
                          <pic:cNvPicPr>
                            <a:picLocks noChangeAspect="1" noChangeArrowheads="1"/>
                          </pic:cNvPicPr>
                        </pic:nvPicPr>
                        <pic:blipFill>
                          <a:blip r:embed="rId6"/>
                          <a:srcRect/>
                          <a:stretch>
                            <a:fillRect/>
                          </a:stretch>
                        </pic:blipFill>
                        <pic:spPr>
                          <a:xfrm>
                            <a:off x="0" y="0"/>
                            <a:ext cx="1068070" cy="1091565"/>
                          </a:xfrm>
                          <a:prstGeom prst="rect">
                            <a:avLst/>
                          </a:prstGeom>
                        </pic:spPr>
                      </pic:pic>
                    </a:graphicData>
                  </a:graphic>
                </wp:inline>
              </w:drawing>
            </w:r>
          </w:p>
        </w:tc>
        <w:tc>
          <w:tcPr>
            <w:tcW w:w="621" w:type="pct"/>
            <w:tcBorders>
              <w:top w:val="single" w:color="000000" w:sz="0" w:space="0"/>
              <w:left w:val="single" w:color="000000" w:sz="0" w:space="0"/>
              <w:bottom w:val="single" w:color="000000" w:sz="0" w:space="0"/>
              <w:right w:val="single" w:color="000000" w:sz="0" w:space="0"/>
            </w:tcBorders>
          </w:tcPr>
          <w:p w14:paraId="6DE3D1A6">
            <w:pPr>
              <w:jc w:val="left"/>
              <w:rPr>
                <w:color w:val="auto"/>
                <w:highlight w:val="none"/>
              </w:rPr>
            </w:pPr>
            <w:r>
              <w:rPr>
                <w:color w:val="auto"/>
                <w:sz w:val="20"/>
                <w:szCs w:val="20"/>
                <w:highlight w:val="none"/>
              </w:rPr>
              <w:t>2400W*830D</w:t>
            </w:r>
          </w:p>
        </w:tc>
        <w:tc>
          <w:tcPr>
            <w:tcW w:w="204" w:type="pct"/>
            <w:tcBorders>
              <w:top w:val="single" w:color="000000" w:sz="0" w:space="0"/>
              <w:left w:val="single" w:color="000000" w:sz="0" w:space="0"/>
              <w:bottom w:val="single" w:color="000000" w:sz="0" w:space="0"/>
              <w:right w:val="single" w:color="000000" w:sz="0" w:space="0"/>
            </w:tcBorders>
          </w:tcPr>
          <w:p w14:paraId="57EEC8B6">
            <w:pPr>
              <w:jc w:val="center"/>
              <w:rPr>
                <w:color w:val="auto"/>
                <w:highlight w:val="none"/>
              </w:rPr>
            </w:pPr>
            <w:r>
              <w:rPr>
                <w:color w:val="auto"/>
                <w:sz w:val="20"/>
                <w:szCs w:val="20"/>
                <w:highlight w:val="none"/>
              </w:rPr>
              <w:t>1套</w:t>
            </w:r>
          </w:p>
        </w:tc>
        <w:tc>
          <w:tcPr>
            <w:tcW w:w="504" w:type="pct"/>
            <w:tcBorders>
              <w:top w:val="single" w:color="000000" w:sz="0" w:space="0"/>
              <w:left w:val="single" w:color="000000" w:sz="0" w:space="0"/>
              <w:bottom w:val="single" w:color="000000" w:sz="0" w:space="0"/>
              <w:right w:val="single" w:color="000000" w:sz="0" w:space="0"/>
            </w:tcBorders>
          </w:tcPr>
          <w:p w14:paraId="7E96CE3F">
            <w:pPr>
              <w:jc w:val="left"/>
              <w:rPr>
                <w:color w:val="auto"/>
                <w:highlight w:val="none"/>
              </w:rPr>
            </w:pPr>
            <w:r>
              <w:rPr>
                <w:color w:val="auto"/>
                <w:sz w:val="20"/>
                <w:szCs w:val="20"/>
                <w:highlight w:val="none"/>
              </w:rPr>
              <w:t>框架、内部材质、面料</w:t>
            </w:r>
          </w:p>
        </w:tc>
        <w:tc>
          <w:tcPr>
            <w:tcW w:w="314" w:type="pct"/>
            <w:tcBorders>
              <w:top w:val="single" w:color="000000" w:sz="0" w:space="0"/>
              <w:left w:val="single" w:color="000000" w:sz="0" w:space="0"/>
              <w:bottom w:val="single" w:color="000000" w:sz="0" w:space="0"/>
              <w:right w:val="single" w:color="000000" w:sz="0" w:space="0"/>
            </w:tcBorders>
          </w:tcPr>
          <w:p w14:paraId="7A7348CF">
            <w:pPr>
              <w:jc w:val="left"/>
              <w:rPr>
                <w:color w:val="auto"/>
                <w:highlight w:val="none"/>
              </w:rPr>
            </w:pPr>
            <w:r>
              <w:rPr>
                <w:color w:val="auto"/>
                <w:sz w:val="20"/>
                <w:szCs w:val="20"/>
                <w:highlight w:val="none"/>
              </w:rPr>
              <w:t>真皮、高密度海绵、实木</w:t>
            </w:r>
          </w:p>
        </w:tc>
        <w:tc>
          <w:tcPr>
            <w:tcW w:w="2095" w:type="pct"/>
            <w:tcBorders>
              <w:top w:val="single" w:color="000000" w:sz="0" w:space="0"/>
              <w:left w:val="single" w:color="000000" w:sz="0" w:space="0"/>
              <w:bottom w:val="single" w:color="000000" w:sz="0" w:space="0"/>
              <w:right w:val="single" w:color="000000" w:sz="0" w:space="0"/>
            </w:tcBorders>
          </w:tcPr>
          <w:p w14:paraId="33BD2C34">
            <w:pPr>
              <w:jc w:val="left"/>
              <w:rPr>
                <w:color w:val="auto"/>
                <w:highlight w:val="none"/>
              </w:rPr>
            </w:pPr>
            <w:r>
              <w:rPr>
                <w:rFonts w:hint="eastAsia" w:ascii="宋体" w:hAnsi="宋体" w:cs="宋体"/>
                <w:color w:val="auto"/>
                <w:sz w:val="18"/>
                <w:szCs w:val="18"/>
                <w:highlight w:val="none"/>
                <w:lang w:bidi="ar"/>
              </w:rPr>
              <w:t>（1）基材：沙发内部框架实木，基本无节巴、无发霉、蛀孔、无烂疤、裂缝等影响质量的缺陷，制作牢固可靠，榫卯结构。木材需经杀虫、烘干、防腐、防霉处理，所有木料经过时效处理，防止变形。接触面牛皮面料，纳米涂层，防水防污防火，高密度海绵，海绵密度不小于35KG/m³（弹率≥50%，75压缩永久变形≤4%，拉伸强度≥160kPa，甲醛释放量 未检出，阻燃等级Ⅰ）。</w:t>
            </w:r>
            <w:r>
              <w:rPr>
                <w:rFonts w:hint="eastAsia" w:ascii="宋体" w:hAnsi="宋体" w:cs="宋体"/>
                <w:color w:val="auto"/>
                <w:sz w:val="18"/>
                <w:szCs w:val="18"/>
                <w:highlight w:val="none"/>
                <w:lang w:bidi="ar"/>
              </w:rPr>
              <w:br w:type="textWrapping"/>
            </w:r>
            <w:r>
              <w:rPr>
                <w:rFonts w:hint="eastAsia" w:ascii="宋体" w:hAnsi="宋体" w:cs="宋体"/>
                <w:color w:val="auto"/>
                <w:sz w:val="18"/>
                <w:szCs w:val="18"/>
                <w:highlight w:val="none"/>
                <w:lang w:bidi="ar"/>
              </w:rPr>
              <w:t>（2）配件：连接件采用优质品牌。                                                                                                                   （3）结构：金属脚，沙发框架和软包一体，颜色可以多选。                                                                                                                           （4）胶水：采用优质环保胶水（</w:t>
            </w:r>
            <w:r>
              <w:rPr>
                <w:rFonts w:hint="eastAsia" w:ascii="宋体" w:hAnsi="宋体" w:cs="宋体"/>
                <w:color w:val="auto"/>
                <w:sz w:val="18"/>
                <w:szCs w:val="18"/>
                <w:highlight w:val="none"/>
                <w:lang w:val="en-US" w:eastAsia="zh-CN" w:bidi="ar"/>
              </w:rPr>
              <w:t>其中应满足</w:t>
            </w:r>
            <w:r>
              <w:rPr>
                <w:rFonts w:hint="eastAsia" w:ascii="宋体" w:hAnsi="宋体" w:cs="宋体"/>
                <w:color w:val="auto"/>
                <w:sz w:val="18"/>
                <w:szCs w:val="18"/>
                <w:highlight w:val="none"/>
                <w:lang w:bidi="ar"/>
              </w:rPr>
              <w:t>游离甲醛 未检出、甲苯+二甲苯 未检出、苯 未检出、总挥发性有机物≤10g/L ，可溶性重金属：铅、镉、铬、汞、锑、钡、砷、硒均未检出）</w:t>
            </w:r>
            <w:r>
              <w:rPr>
                <w:rFonts w:hint="eastAsia" w:ascii="宋体" w:hAnsi="宋体" w:cs="宋体"/>
                <w:color w:val="auto"/>
                <w:sz w:val="18"/>
                <w:szCs w:val="18"/>
                <w:highlight w:val="none"/>
                <w:lang w:bidi="ar"/>
              </w:rPr>
              <w:br w:type="textWrapping"/>
            </w:r>
            <w:r>
              <w:rPr>
                <w:rFonts w:hint="eastAsia" w:ascii="宋体" w:hAnsi="宋体" w:cs="宋体"/>
                <w:color w:val="auto"/>
                <w:sz w:val="18"/>
                <w:szCs w:val="18"/>
                <w:highlight w:val="none"/>
                <w:lang w:bidi="ar"/>
              </w:rPr>
              <w:t>（5）环保：家具成品均</w:t>
            </w:r>
            <w:r>
              <w:rPr>
                <w:rFonts w:hint="eastAsia" w:ascii="宋体" w:hAnsi="宋体" w:cs="宋体"/>
                <w:color w:val="auto"/>
                <w:sz w:val="18"/>
                <w:szCs w:val="18"/>
                <w:highlight w:val="none"/>
                <w:lang w:eastAsia="zh-CN" w:bidi="ar"/>
              </w:rPr>
              <w:t>需</w:t>
            </w:r>
            <w:r>
              <w:rPr>
                <w:rFonts w:hint="eastAsia" w:ascii="宋体" w:hAnsi="宋体" w:cs="宋体"/>
                <w:color w:val="auto"/>
                <w:sz w:val="18"/>
                <w:szCs w:val="18"/>
                <w:highlight w:val="none"/>
                <w:lang w:bidi="ar"/>
              </w:rPr>
              <w:t>满足GB/T 35607-2024《绿色产品评价 家具》的要求（其中成品甲醛释放量≤0.05mg/m3，苯≤0.05mg/m3，甲苯、二甲苯≤0.1mg/m3，TVOC≤0.3mg/m3）。</w:t>
            </w:r>
          </w:p>
        </w:tc>
      </w:tr>
      <w:tr w14:paraId="5A7F2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0" w:type="dxa"/>
            <w:left w:w="100" w:type="dxa"/>
            <w:bottom w:w="50" w:type="dxa"/>
            <w:right w:w="100" w:type="dxa"/>
          </w:tblCellMar>
        </w:tblPrEx>
        <w:tc>
          <w:tcPr>
            <w:tcW w:w="153" w:type="pct"/>
            <w:tcBorders>
              <w:top w:val="single" w:color="000000" w:sz="0" w:space="0"/>
              <w:left w:val="single" w:color="000000" w:sz="0" w:space="0"/>
              <w:bottom w:val="single" w:color="000000" w:sz="0" w:space="0"/>
              <w:right w:val="single" w:color="000000" w:sz="0" w:space="0"/>
            </w:tcBorders>
          </w:tcPr>
          <w:p w14:paraId="1E577F5E">
            <w:pPr>
              <w:numPr>
                <w:ilvl w:val="0"/>
                <w:numId w:val="7"/>
              </w:numPr>
              <w:jc w:val="center"/>
              <w:rPr>
                <w:color w:val="auto"/>
                <w:highlight w:val="none"/>
              </w:rPr>
            </w:pPr>
          </w:p>
        </w:tc>
        <w:tc>
          <w:tcPr>
            <w:tcW w:w="325" w:type="pct"/>
            <w:tcBorders>
              <w:top w:val="single" w:color="000000" w:sz="0" w:space="0"/>
              <w:left w:val="single" w:color="000000" w:sz="0" w:space="0"/>
              <w:bottom w:val="single" w:color="000000" w:sz="0" w:space="0"/>
              <w:right w:val="single" w:color="000000" w:sz="0" w:space="0"/>
            </w:tcBorders>
          </w:tcPr>
          <w:p w14:paraId="1DBDFD69">
            <w:pPr>
              <w:jc w:val="left"/>
              <w:rPr>
                <w:color w:val="auto"/>
                <w:highlight w:val="none"/>
              </w:rPr>
            </w:pPr>
            <w:r>
              <w:rPr>
                <w:color w:val="auto"/>
                <w:sz w:val="20"/>
                <w:szCs w:val="20"/>
                <w:highlight w:val="none"/>
              </w:rPr>
              <w:t>三人沙发</w:t>
            </w:r>
            <w:r>
              <w:rPr>
                <w:rFonts w:hint="eastAsia"/>
                <w:color w:val="auto"/>
                <w:sz w:val="20"/>
                <w:szCs w:val="20"/>
                <w:highlight w:val="none"/>
                <w:lang w:val="en-US" w:eastAsia="zh-CN"/>
              </w:rPr>
              <w:t>1</w:t>
            </w:r>
            <w:r>
              <w:rPr>
                <w:color w:val="auto"/>
                <w:sz w:val="20"/>
                <w:szCs w:val="20"/>
                <w:highlight w:val="none"/>
              </w:rPr>
              <w:t>（黑色）</w:t>
            </w:r>
          </w:p>
        </w:tc>
        <w:tc>
          <w:tcPr>
            <w:tcW w:w="257" w:type="pct"/>
            <w:tcBorders>
              <w:top w:val="single" w:color="000000" w:sz="0" w:space="0"/>
              <w:left w:val="single" w:color="000000" w:sz="0" w:space="0"/>
              <w:bottom w:val="single" w:color="000000" w:sz="0" w:space="0"/>
              <w:right w:val="single" w:color="000000" w:sz="0" w:space="0"/>
            </w:tcBorders>
          </w:tcPr>
          <w:p w14:paraId="1CAF6AD5">
            <w:pPr>
              <w:jc w:val="center"/>
              <w:rPr>
                <w:color w:val="auto"/>
                <w:highlight w:val="none"/>
              </w:rPr>
            </w:pPr>
            <w:r>
              <w:rPr>
                <w:color w:val="auto"/>
                <w:sz w:val="20"/>
                <w:szCs w:val="20"/>
                <w:highlight w:val="none"/>
              </w:rPr>
              <w:t>沙发</w:t>
            </w:r>
          </w:p>
        </w:tc>
        <w:tc>
          <w:tcPr>
            <w:tcW w:w="524" w:type="pct"/>
          </w:tcPr>
          <w:p w14:paraId="10A21E03">
            <w:pPr>
              <w:jc w:val="center"/>
              <w:rPr>
                <w:color w:val="auto"/>
                <w:highlight w:val="none"/>
              </w:rPr>
            </w:pPr>
            <w:r>
              <w:rPr>
                <w:color w:val="auto"/>
                <w:highlight w:val="none"/>
              </w:rPr>
              <w:drawing>
                <wp:inline distT="0" distB="0" distL="0" distR="0">
                  <wp:extent cx="1068070" cy="1091565"/>
                  <wp:effectExtent l="0" t="0" r="17780" b="13335"/>
                  <wp:docPr id="6" name="Image" descr="参考图片" titl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descr="参考图片" title="图片"/>
                          <pic:cNvPicPr>
                            <a:picLocks noChangeAspect="1" noChangeArrowheads="1"/>
                          </pic:cNvPicPr>
                        </pic:nvPicPr>
                        <pic:blipFill>
                          <a:blip r:embed="rId6"/>
                          <a:srcRect/>
                          <a:stretch>
                            <a:fillRect/>
                          </a:stretch>
                        </pic:blipFill>
                        <pic:spPr>
                          <a:xfrm>
                            <a:off x="0" y="0"/>
                            <a:ext cx="1068070" cy="1091565"/>
                          </a:xfrm>
                          <a:prstGeom prst="rect">
                            <a:avLst/>
                          </a:prstGeom>
                        </pic:spPr>
                      </pic:pic>
                    </a:graphicData>
                  </a:graphic>
                </wp:inline>
              </w:drawing>
            </w:r>
          </w:p>
        </w:tc>
        <w:tc>
          <w:tcPr>
            <w:tcW w:w="621" w:type="pct"/>
            <w:tcBorders>
              <w:top w:val="single" w:color="000000" w:sz="0" w:space="0"/>
              <w:left w:val="single" w:color="000000" w:sz="0" w:space="0"/>
              <w:bottom w:val="single" w:color="000000" w:sz="0" w:space="0"/>
              <w:right w:val="single" w:color="000000" w:sz="0" w:space="0"/>
            </w:tcBorders>
          </w:tcPr>
          <w:p w14:paraId="36660825">
            <w:pPr>
              <w:jc w:val="left"/>
              <w:rPr>
                <w:color w:val="auto"/>
                <w:highlight w:val="none"/>
              </w:rPr>
            </w:pPr>
            <w:r>
              <w:rPr>
                <w:color w:val="auto"/>
                <w:sz w:val="20"/>
                <w:szCs w:val="20"/>
                <w:highlight w:val="none"/>
              </w:rPr>
              <w:t>2100W*830D*8套</w:t>
            </w:r>
          </w:p>
        </w:tc>
        <w:tc>
          <w:tcPr>
            <w:tcW w:w="204" w:type="pct"/>
            <w:tcBorders>
              <w:top w:val="single" w:color="000000" w:sz="0" w:space="0"/>
              <w:left w:val="single" w:color="000000" w:sz="0" w:space="0"/>
              <w:bottom w:val="single" w:color="000000" w:sz="0" w:space="0"/>
              <w:right w:val="single" w:color="000000" w:sz="0" w:space="0"/>
            </w:tcBorders>
          </w:tcPr>
          <w:p w14:paraId="03534FFB">
            <w:pPr>
              <w:jc w:val="center"/>
              <w:rPr>
                <w:color w:val="auto"/>
                <w:highlight w:val="none"/>
              </w:rPr>
            </w:pPr>
            <w:r>
              <w:rPr>
                <w:rFonts w:hint="eastAsia"/>
                <w:color w:val="auto"/>
                <w:sz w:val="20"/>
                <w:szCs w:val="20"/>
                <w:highlight w:val="none"/>
                <w:lang w:val="en-US" w:eastAsia="zh-CN"/>
              </w:rPr>
              <w:t>8</w:t>
            </w:r>
            <w:r>
              <w:rPr>
                <w:color w:val="auto"/>
                <w:sz w:val="20"/>
                <w:szCs w:val="20"/>
                <w:highlight w:val="none"/>
              </w:rPr>
              <w:t>套</w:t>
            </w:r>
          </w:p>
        </w:tc>
        <w:tc>
          <w:tcPr>
            <w:tcW w:w="504" w:type="pct"/>
            <w:tcBorders>
              <w:top w:val="single" w:color="000000" w:sz="0" w:space="0"/>
              <w:left w:val="single" w:color="000000" w:sz="0" w:space="0"/>
              <w:bottom w:val="single" w:color="000000" w:sz="0" w:space="0"/>
              <w:right w:val="single" w:color="000000" w:sz="0" w:space="0"/>
            </w:tcBorders>
          </w:tcPr>
          <w:p w14:paraId="2E30102C">
            <w:pPr>
              <w:jc w:val="left"/>
              <w:rPr>
                <w:color w:val="auto"/>
                <w:highlight w:val="none"/>
              </w:rPr>
            </w:pPr>
            <w:r>
              <w:rPr>
                <w:color w:val="auto"/>
                <w:sz w:val="20"/>
                <w:szCs w:val="20"/>
                <w:highlight w:val="none"/>
              </w:rPr>
              <w:t>框架、内部材质、面料</w:t>
            </w:r>
          </w:p>
        </w:tc>
        <w:tc>
          <w:tcPr>
            <w:tcW w:w="314" w:type="pct"/>
            <w:tcBorders>
              <w:top w:val="single" w:color="000000" w:sz="0" w:space="0"/>
              <w:left w:val="single" w:color="000000" w:sz="0" w:space="0"/>
              <w:bottom w:val="single" w:color="000000" w:sz="0" w:space="0"/>
              <w:right w:val="single" w:color="000000" w:sz="0" w:space="0"/>
            </w:tcBorders>
          </w:tcPr>
          <w:p w14:paraId="04E9467A">
            <w:pPr>
              <w:jc w:val="left"/>
              <w:rPr>
                <w:color w:val="auto"/>
                <w:highlight w:val="none"/>
              </w:rPr>
            </w:pPr>
            <w:r>
              <w:rPr>
                <w:color w:val="auto"/>
                <w:sz w:val="20"/>
                <w:szCs w:val="20"/>
                <w:highlight w:val="none"/>
              </w:rPr>
              <w:t>真皮、高密度海绵、实木</w:t>
            </w:r>
          </w:p>
        </w:tc>
        <w:tc>
          <w:tcPr>
            <w:tcW w:w="2095" w:type="pct"/>
            <w:tcBorders>
              <w:top w:val="single" w:color="000000" w:sz="0" w:space="0"/>
              <w:left w:val="single" w:color="000000" w:sz="0" w:space="0"/>
              <w:bottom w:val="single" w:color="000000" w:sz="0" w:space="0"/>
              <w:right w:val="single" w:color="000000" w:sz="0" w:space="0"/>
            </w:tcBorders>
          </w:tcPr>
          <w:p w14:paraId="04415C50">
            <w:pPr>
              <w:jc w:val="left"/>
              <w:rPr>
                <w:color w:val="auto"/>
                <w:highlight w:val="none"/>
              </w:rPr>
            </w:pPr>
            <w:r>
              <w:rPr>
                <w:rFonts w:hint="eastAsia" w:ascii="宋体" w:hAnsi="宋体" w:cs="宋体"/>
                <w:color w:val="auto"/>
                <w:sz w:val="18"/>
                <w:szCs w:val="18"/>
                <w:highlight w:val="none"/>
                <w:lang w:bidi="ar"/>
              </w:rPr>
              <w:t>（1）基材：沙发内部框架实木，基本无节巴、无发霉、蛀孔、无烂疤、裂缝等影响质量的缺陷，制作牢固可靠，榫卯结构。木材需经杀虫、烘干、防腐、防霉处理，所有木料经过时效处理，防止变形。接触面牛皮面料，纳米涂层，防水防污防火，高密度海绵，海绵密度不小于35KG/m³（弹率≥50%，75压缩永久变形≤4%，拉伸强度≥160kPa，甲醛释放量 未检出，阻燃等级Ⅰ）。</w:t>
            </w:r>
            <w:r>
              <w:rPr>
                <w:rFonts w:hint="eastAsia" w:ascii="宋体" w:hAnsi="宋体" w:cs="宋体"/>
                <w:color w:val="auto"/>
                <w:sz w:val="18"/>
                <w:szCs w:val="18"/>
                <w:highlight w:val="none"/>
                <w:lang w:bidi="ar"/>
              </w:rPr>
              <w:br w:type="textWrapping"/>
            </w:r>
            <w:r>
              <w:rPr>
                <w:rFonts w:hint="eastAsia" w:ascii="宋体" w:hAnsi="宋体" w:cs="宋体"/>
                <w:color w:val="auto"/>
                <w:sz w:val="18"/>
                <w:szCs w:val="18"/>
                <w:highlight w:val="none"/>
                <w:lang w:bidi="ar"/>
              </w:rPr>
              <w:t>（2）配件：连接件采用优质品牌。                                                                                                                   （3）结构：金属脚，沙发框架和软包一体，颜色可以多选。                                                                                                                           （4）胶水：采用优质环保胶水（</w:t>
            </w:r>
            <w:r>
              <w:rPr>
                <w:rFonts w:hint="eastAsia" w:ascii="宋体" w:hAnsi="宋体" w:cs="宋体"/>
                <w:color w:val="auto"/>
                <w:sz w:val="18"/>
                <w:szCs w:val="18"/>
                <w:highlight w:val="none"/>
                <w:lang w:val="en-US" w:eastAsia="zh-CN" w:bidi="ar"/>
              </w:rPr>
              <w:t>其中应满足</w:t>
            </w:r>
            <w:r>
              <w:rPr>
                <w:rFonts w:hint="eastAsia" w:ascii="宋体" w:hAnsi="宋体" w:cs="宋体"/>
                <w:color w:val="auto"/>
                <w:sz w:val="18"/>
                <w:szCs w:val="18"/>
                <w:highlight w:val="none"/>
                <w:lang w:bidi="ar"/>
              </w:rPr>
              <w:t>游离甲醛 未检出、甲苯+二甲苯 未检出、苯 未检出、总挥发性有机物≤10g/L ，可溶性重金属：铅、镉、铬、汞、锑、钡、砷、硒均未检出）</w:t>
            </w:r>
            <w:r>
              <w:rPr>
                <w:rFonts w:hint="eastAsia" w:ascii="宋体" w:hAnsi="宋体" w:cs="宋体"/>
                <w:color w:val="auto"/>
                <w:sz w:val="18"/>
                <w:szCs w:val="18"/>
                <w:highlight w:val="none"/>
                <w:lang w:bidi="ar"/>
              </w:rPr>
              <w:br w:type="textWrapping"/>
            </w:r>
            <w:r>
              <w:rPr>
                <w:rFonts w:hint="eastAsia" w:ascii="宋体" w:hAnsi="宋体" w:cs="宋体"/>
                <w:color w:val="auto"/>
                <w:sz w:val="18"/>
                <w:szCs w:val="18"/>
                <w:highlight w:val="none"/>
                <w:lang w:bidi="ar"/>
              </w:rPr>
              <w:t>（5）环保：家具成品均</w:t>
            </w:r>
            <w:r>
              <w:rPr>
                <w:rFonts w:hint="eastAsia" w:ascii="宋体" w:hAnsi="宋体" w:cs="宋体"/>
                <w:color w:val="auto"/>
                <w:sz w:val="18"/>
                <w:szCs w:val="18"/>
                <w:highlight w:val="none"/>
                <w:lang w:eastAsia="zh-CN" w:bidi="ar"/>
              </w:rPr>
              <w:t>需</w:t>
            </w:r>
            <w:r>
              <w:rPr>
                <w:rFonts w:hint="eastAsia" w:ascii="宋体" w:hAnsi="宋体" w:cs="宋体"/>
                <w:color w:val="auto"/>
                <w:sz w:val="18"/>
                <w:szCs w:val="18"/>
                <w:highlight w:val="none"/>
                <w:lang w:bidi="ar"/>
              </w:rPr>
              <w:t>满足GB/T 35607-2024《绿色产品评价 家具》的要求（其中成品甲醛释放量≤0.05mg/m3，苯≤0.05mg/m3，甲苯、二甲苯≤0.1mg/m3，TVOC≤0.3mg/m3）。</w:t>
            </w:r>
          </w:p>
        </w:tc>
      </w:tr>
      <w:tr w14:paraId="314F9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0" w:type="dxa"/>
            <w:left w:w="100" w:type="dxa"/>
            <w:bottom w:w="50" w:type="dxa"/>
            <w:right w:w="100" w:type="dxa"/>
          </w:tblCellMar>
        </w:tblPrEx>
        <w:tc>
          <w:tcPr>
            <w:tcW w:w="153" w:type="pct"/>
            <w:tcBorders>
              <w:top w:val="single" w:color="000000" w:sz="0" w:space="0"/>
              <w:left w:val="single" w:color="000000" w:sz="0" w:space="0"/>
              <w:bottom w:val="single" w:color="000000" w:sz="0" w:space="0"/>
              <w:right w:val="single" w:color="000000" w:sz="0" w:space="0"/>
            </w:tcBorders>
            <w:shd w:val="clear" w:color="auto" w:fill="auto"/>
            <w:vAlign w:val="top"/>
          </w:tcPr>
          <w:p w14:paraId="1B781317">
            <w:pPr>
              <w:numPr>
                <w:ilvl w:val="0"/>
                <w:numId w:val="7"/>
              </w:numPr>
              <w:ind w:left="425" w:leftChars="0" w:hanging="425" w:firstLineChars="0"/>
              <w:jc w:val="center"/>
              <w:rPr>
                <w:rFonts w:ascii="Times New Roman" w:hAnsi="Times New Roman" w:eastAsia="宋体" w:cs="Times New Roman"/>
                <w:color w:val="auto"/>
                <w:kern w:val="2"/>
                <w:sz w:val="21"/>
                <w:szCs w:val="22"/>
                <w:highlight w:val="none"/>
                <w:lang w:val="en-US" w:eastAsia="zh-CN" w:bidi="ar-SA"/>
              </w:rPr>
            </w:pPr>
          </w:p>
        </w:tc>
        <w:tc>
          <w:tcPr>
            <w:tcW w:w="325" w:type="pct"/>
            <w:tcBorders>
              <w:top w:val="single" w:color="000000" w:sz="0" w:space="0"/>
              <w:left w:val="single" w:color="000000" w:sz="0" w:space="0"/>
              <w:bottom w:val="single" w:color="000000" w:sz="0" w:space="0"/>
              <w:right w:val="single" w:color="000000" w:sz="0" w:space="0"/>
            </w:tcBorders>
            <w:shd w:val="clear" w:color="auto" w:fill="auto"/>
            <w:vAlign w:val="top"/>
          </w:tcPr>
          <w:p w14:paraId="203A061C">
            <w:pPr>
              <w:jc w:val="left"/>
              <w:rPr>
                <w:rFonts w:ascii="Times New Roman" w:hAnsi="Times New Roman" w:eastAsia="宋体" w:cs="Times New Roman"/>
                <w:color w:val="auto"/>
                <w:kern w:val="2"/>
                <w:sz w:val="21"/>
                <w:szCs w:val="22"/>
                <w:highlight w:val="none"/>
                <w:lang w:val="en-US" w:eastAsia="zh-CN" w:bidi="ar-SA"/>
              </w:rPr>
            </w:pPr>
            <w:r>
              <w:rPr>
                <w:color w:val="auto"/>
                <w:sz w:val="20"/>
                <w:szCs w:val="20"/>
                <w:highlight w:val="none"/>
              </w:rPr>
              <w:t>三人沙发</w:t>
            </w:r>
            <w:r>
              <w:rPr>
                <w:rFonts w:hint="eastAsia"/>
                <w:color w:val="auto"/>
                <w:sz w:val="20"/>
                <w:szCs w:val="20"/>
                <w:highlight w:val="none"/>
                <w:lang w:val="en-US" w:eastAsia="zh-CN"/>
              </w:rPr>
              <w:t>2</w:t>
            </w:r>
            <w:r>
              <w:rPr>
                <w:color w:val="auto"/>
                <w:sz w:val="20"/>
                <w:szCs w:val="20"/>
                <w:highlight w:val="none"/>
              </w:rPr>
              <w:t>（黑色）</w:t>
            </w:r>
          </w:p>
        </w:tc>
        <w:tc>
          <w:tcPr>
            <w:tcW w:w="257" w:type="pct"/>
            <w:tcBorders>
              <w:top w:val="single" w:color="000000" w:sz="0" w:space="0"/>
              <w:left w:val="single" w:color="000000" w:sz="0" w:space="0"/>
              <w:bottom w:val="single" w:color="000000" w:sz="0" w:space="0"/>
              <w:right w:val="single" w:color="000000" w:sz="0" w:space="0"/>
            </w:tcBorders>
            <w:shd w:val="clear" w:color="auto" w:fill="auto"/>
            <w:vAlign w:val="top"/>
          </w:tcPr>
          <w:p w14:paraId="56C888B8">
            <w:pPr>
              <w:jc w:val="center"/>
              <w:rPr>
                <w:rFonts w:ascii="Times New Roman" w:hAnsi="Times New Roman" w:eastAsia="宋体" w:cs="Times New Roman"/>
                <w:color w:val="auto"/>
                <w:kern w:val="2"/>
                <w:sz w:val="21"/>
                <w:szCs w:val="22"/>
                <w:highlight w:val="none"/>
                <w:lang w:val="en-US" w:eastAsia="zh-CN" w:bidi="ar-SA"/>
              </w:rPr>
            </w:pPr>
            <w:r>
              <w:rPr>
                <w:color w:val="auto"/>
                <w:sz w:val="20"/>
                <w:szCs w:val="20"/>
                <w:highlight w:val="none"/>
              </w:rPr>
              <w:t>沙发</w:t>
            </w:r>
          </w:p>
        </w:tc>
        <w:tc>
          <w:tcPr>
            <w:tcW w:w="524" w:type="pct"/>
            <w:shd w:val="clear" w:color="auto" w:fill="auto"/>
            <w:vAlign w:val="top"/>
          </w:tcPr>
          <w:p w14:paraId="10A252A5">
            <w:pPr>
              <w:jc w:val="center"/>
              <w:rPr>
                <w:rFonts w:ascii="Times New Roman" w:hAnsi="Times New Roman" w:eastAsia="宋体" w:cs="Times New Roman"/>
                <w:color w:val="auto"/>
                <w:kern w:val="2"/>
                <w:sz w:val="21"/>
                <w:szCs w:val="22"/>
                <w:highlight w:val="none"/>
                <w:lang w:val="en-US" w:eastAsia="zh-CN" w:bidi="ar-SA"/>
              </w:rPr>
            </w:pPr>
            <w:r>
              <w:rPr>
                <w:color w:val="auto"/>
                <w:highlight w:val="none"/>
              </w:rPr>
              <w:drawing>
                <wp:inline distT="0" distB="0" distL="0" distR="0">
                  <wp:extent cx="1068070" cy="1091565"/>
                  <wp:effectExtent l="0" t="0" r="11430" b="635"/>
                  <wp:docPr id="58" name="Image" descr="参考图片" titl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 descr="参考图片" title="图片"/>
                          <pic:cNvPicPr>
                            <a:picLocks noChangeAspect="1" noChangeArrowheads="1"/>
                          </pic:cNvPicPr>
                        </pic:nvPicPr>
                        <pic:blipFill>
                          <a:blip r:embed="rId6"/>
                          <a:srcRect/>
                          <a:stretch>
                            <a:fillRect/>
                          </a:stretch>
                        </pic:blipFill>
                        <pic:spPr>
                          <a:xfrm>
                            <a:off x="0" y="0"/>
                            <a:ext cx="1068070" cy="1091565"/>
                          </a:xfrm>
                          <a:prstGeom prst="rect">
                            <a:avLst/>
                          </a:prstGeom>
                        </pic:spPr>
                      </pic:pic>
                    </a:graphicData>
                  </a:graphic>
                </wp:inline>
              </w:drawing>
            </w:r>
          </w:p>
        </w:tc>
        <w:tc>
          <w:tcPr>
            <w:tcW w:w="621" w:type="pct"/>
            <w:tcBorders>
              <w:top w:val="single" w:color="000000" w:sz="0" w:space="0"/>
              <w:left w:val="single" w:color="000000" w:sz="0" w:space="0"/>
              <w:bottom w:val="single" w:color="000000" w:sz="0" w:space="0"/>
              <w:right w:val="single" w:color="000000" w:sz="0" w:space="0"/>
            </w:tcBorders>
            <w:shd w:val="clear" w:color="auto" w:fill="auto"/>
            <w:vAlign w:val="top"/>
          </w:tcPr>
          <w:p w14:paraId="3E21F330">
            <w:pPr>
              <w:jc w:val="left"/>
              <w:rPr>
                <w:rFonts w:ascii="Times New Roman" w:hAnsi="Times New Roman" w:eastAsia="宋体" w:cs="Times New Roman"/>
                <w:color w:val="auto"/>
                <w:kern w:val="2"/>
                <w:sz w:val="21"/>
                <w:szCs w:val="22"/>
                <w:highlight w:val="none"/>
                <w:lang w:val="en-US" w:eastAsia="zh-CN" w:bidi="ar-SA"/>
              </w:rPr>
            </w:pPr>
            <w:r>
              <w:rPr>
                <w:color w:val="auto"/>
                <w:sz w:val="20"/>
                <w:szCs w:val="20"/>
                <w:highlight w:val="none"/>
              </w:rPr>
              <w:t>2400W*830D*</w:t>
            </w:r>
            <w:r>
              <w:rPr>
                <w:rFonts w:hint="eastAsia"/>
                <w:color w:val="auto"/>
                <w:sz w:val="20"/>
                <w:szCs w:val="20"/>
                <w:highlight w:val="none"/>
              </w:rPr>
              <w:t>3</w:t>
            </w:r>
            <w:r>
              <w:rPr>
                <w:color w:val="auto"/>
                <w:sz w:val="20"/>
                <w:szCs w:val="20"/>
                <w:highlight w:val="none"/>
              </w:rPr>
              <w:t>套</w:t>
            </w:r>
          </w:p>
        </w:tc>
        <w:tc>
          <w:tcPr>
            <w:tcW w:w="204" w:type="pct"/>
            <w:tcBorders>
              <w:top w:val="single" w:color="000000" w:sz="0" w:space="0"/>
              <w:left w:val="single" w:color="000000" w:sz="0" w:space="0"/>
              <w:bottom w:val="single" w:color="000000" w:sz="0" w:space="0"/>
              <w:right w:val="single" w:color="000000" w:sz="0" w:space="0"/>
            </w:tcBorders>
            <w:shd w:val="clear" w:color="auto" w:fill="auto"/>
            <w:vAlign w:val="top"/>
          </w:tcPr>
          <w:p w14:paraId="77A0B174">
            <w:pPr>
              <w:jc w:val="center"/>
              <w:rPr>
                <w:rFonts w:ascii="Times New Roman" w:hAnsi="Times New Roman" w:eastAsia="宋体" w:cs="Times New Roman"/>
                <w:color w:val="auto"/>
                <w:kern w:val="2"/>
                <w:sz w:val="21"/>
                <w:szCs w:val="22"/>
                <w:highlight w:val="none"/>
                <w:lang w:val="en-US" w:eastAsia="zh-CN" w:bidi="ar-SA"/>
              </w:rPr>
            </w:pPr>
            <w:r>
              <w:rPr>
                <w:rFonts w:hint="eastAsia"/>
                <w:color w:val="auto"/>
                <w:sz w:val="20"/>
                <w:szCs w:val="20"/>
                <w:highlight w:val="none"/>
                <w:lang w:val="en-US" w:eastAsia="zh-CN"/>
              </w:rPr>
              <w:t>3</w:t>
            </w:r>
            <w:r>
              <w:rPr>
                <w:color w:val="auto"/>
                <w:sz w:val="20"/>
                <w:szCs w:val="20"/>
                <w:highlight w:val="none"/>
              </w:rPr>
              <w:t>套</w:t>
            </w:r>
          </w:p>
        </w:tc>
        <w:tc>
          <w:tcPr>
            <w:tcW w:w="504" w:type="pct"/>
            <w:tcBorders>
              <w:top w:val="single" w:color="000000" w:sz="0" w:space="0"/>
              <w:left w:val="single" w:color="000000" w:sz="0" w:space="0"/>
              <w:bottom w:val="single" w:color="000000" w:sz="0" w:space="0"/>
              <w:right w:val="single" w:color="000000" w:sz="0" w:space="0"/>
            </w:tcBorders>
            <w:shd w:val="clear" w:color="auto" w:fill="auto"/>
            <w:vAlign w:val="top"/>
          </w:tcPr>
          <w:p w14:paraId="1F740A8F">
            <w:pPr>
              <w:jc w:val="left"/>
              <w:rPr>
                <w:rFonts w:ascii="Times New Roman" w:hAnsi="Times New Roman" w:eastAsia="宋体" w:cs="Times New Roman"/>
                <w:color w:val="auto"/>
                <w:kern w:val="2"/>
                <w:sz w:val="21"/>
                <w:szCs w:val="22"/>
                <w:highlight w:val="none"/>
                <w:lang w:val="en-US" w:eastAsia="zh-CN" w:bidi="ar-SA"/>
              </w:rPr>
            </w:pPr>
            <w:r>
              <w:rPr>
                <w:color w:val="auto"/>
                <w:sz w:val="20"/>
                <w:szCs w:val="20"/>
                <w:highlight w:val="none"/>
              </w:rPr>
              <w:t>框架、内部材质、面料</w:t>
            </w:r>
          </w:p>
        </w:tc>
        <w:tc>
          <w:tcPr>
            <w:tcW w:w="314" w:type="pct"/>
            <w:tcBorders>
              <w:top w:val="single" w:color="000000" w:sz="0" w:space="0"/>
              <w:left w:val="single" w:color="000000" w:sz="0" w:space="0"/>
              <w:bottom w:val="single" w:color="000000" w:sz="0" w:space="0"/>
              <w:right w:val="single" w:color="000000" w:sz="0" w:space="0"/>
            </w:tcBorders>
            <w:shd w:val="clear" w:color="auto" w:fill="auto"/>
            <w:vAlign w:val="top"/>
          </w:tcPr>
          <w:p w14:paraId="0C2BE338">
            <w:pPr>
              <w:jc w:val="left"/>
              <w:rPr>
                <w:rFonts w:ascii="Times New Roman" w:hAnsi="Times New Roman" w:eastAsia="宋体" w:cs="Times New Roman"/>
                <w:color w:val="auto"/>
                <w:kern w:val="2"/>
                <w:sz w:val="21"/>
                <w:szCs w:val="22"/>
                <w:highlight w:val="none"/>
                <w:lang w:val="en-US" w:eastAsia="zh-CN" w:bidi="ar-SA"/>
              </w:rPr>
            </w:pPr>
            <w:r>
              <w:rPr>
                <w:color w:val="auto"/>
                <w:sz w:val="20"/>
                <w:szCs w:val="20"/>
                <w:highlight w:val="none"/>
              </w:rPr>
              <w:t>真皮、高密度海绵、实木</w:t>
            </w:r>
          </w:p>
        </w:tc>
        <w:tc>
          <w:tcPr>
            <w:tcW w:w="2095" w:type="pct"/>
            <w:tcBorders>
              <w:top w:val="single" w:color="000000" w:sz="0" w:space="0"/>
              <w:left w:val="single" w:color="000000" w:sz="0" w:space="0"/>
              <w:bottom w:val="single" w:color="000000" w:sz="0" w:space="0"/>
              <w:right w:val="single" w:color="000000" w:sz="0" w:space="0"/>
            </w:tcBorders>
            <w:shd w:val="clear" w:color="auto" w:fill="auto"/>
            <w:vAlign w:val="top"/>
          </w:tcPr>
          <w:p w14:paraId="472455F9">
            <w:pPr>
              <w:jc w:val="left"/>
              <w:rPr>
                <w:rFonts w:hint="eastAsia" w:ascii="Times New Roman" w:hAnsi="Times New Roman" w:eastAsia="宋体" w:cs="Times New Roman"/>
                <w:color w:val="auto"/>
                <w:kern w:val="2"/>
                <w:sz w:val="21"/>
                <w:szCs w:val="22"/>
                <w:highlight w:val="none"/>
                <w:lang w:val="en-US" w:eastAsia="zh-CN" w:bidi="ar-SA"/>
              </w:rPr>
            </w:pPr>
            <w:r>
              <w:rPr>
                <w:rFonts w:hint="eastAsia" w:ascii="宋体" w:hAnsi="宋体" w:cs="宋体"/>
                <w:color w:val="auto"/>
                <w:sz w:val="18"/>
                <w:szCs w:val="18"/>
                <w:highlight w:val="none"/>
                <w:lang w:bidi="ar"/>
              </w:rPr>
              <w:t>（1）基材：沙发内部框架实木，基本无节巴、无发霉、蛀孔、无烂疤、裂缝等影响质量的缺陷，制作牢固可靠，榫卯结构。木材需经杀虫、烘干、防腐、防霉处理，所有木料经过时效处理，防止变形。接触面牛皮面料，纳米涂层，防水防污防火，高密度海绵，海绵密度不小于35KG/m³（弹率≥50%，75压缩永久变形≤4%，拉伸强度≥160kPa，甲醛释放量 未检出，阻燃等级Ⅰ）。</w:t>
            </w:r>
            <w:r>
              <w:rPr>
                <w:rFonts w:hint="eastAsia" w:ascii="宋体" w:hAnsi="宋体" w:cs="宋体"/>
                <w:color w:val="auto"/>
                <w:sz w:val="18"/>
                <w:szCs w:val="18"/>
                <w:highlight w:val="none"/>
                <w:lang w:bidi="ar"/>
              </w:rPr>
              <w:br w:type="textWrapping"/>
            </w:r>
            <w:r>
              <w:rPr>
                <w:rFonts w:hint="eastAsia" w:ascii="宋体" w:hAnsi="宋体" w:cs="宋体"/>
                <w:color w:val="auto"/>
                <w:sz w:val="18"/>
                <w:szCs w:val="18"/>
                <w:highlight w:val="none"/>
                <w:lang w:bidi="ar"/>
              </w:rPr>
              <w:t>（2）配件：连接件采用优质品牌。                                                                                                                   （3）结构：金属脚，沙发框架和软包一体，颜色可以多选。                                                                                                                           （4）胶水：采用优质环保胶水（</w:t>
            </w:r>
            <w:r>
              <w:rPr>
                <w:rFonts w:hint="eastAsia" w:ascii="宋体" w:hAnsi="宋体" w:cs="宋体"/>
                <w:color w:val="auto"/>
                <w:sz w:val="18"/>
                <w:szCs w:val="18"/>
                <w:highlight w:val="none"/>
                <w:lang w:val="en-US" w:eastAsia="zh-CN" w:bidi="ar"/>
              </w:rPr>
              <w:t>其中应满足</w:t>
            </w:r>
            <w:r>
              <w:rPr>
                <w:rFonts w:hint="eastAsia" w:ascii="宋体" w:hAnsi="宋体" w:cs="宋体"/>
                <w:color w:val="auto"/>
                <w:sz w:val="18"/>
                <w:szCs w:val="18"/>
                <w:highlight w:val="none"/>
                <w:lang w:bidi="ar"/>
              </w:rPr>
              <w:t>游离甲醛 未检出、甲苯+二甲苯 未检出、苯 未检出、总挥发性有机物≤10g/L ，可溶性重金属：铅、镉、铬、汞、锑、钡、砷、硒均未检出）</w:t>
            </w:r>
            <w:r>
              <w:rPr>
                <w:rFonts w:hint="eastAsia" w:ascii="宋体" w:hAnsi="宋体" w:cs="宋体"/>
                <w:color w:val="auto"/>
                <w:sz w:val="18"/>
                <w:szCs w:val="18"/>
                <w:highlight w:val="none"/>
                <w:lang w:bidi="ar"/>
              </w:rPr>
              <w:br w:type="textWrapping"/>
            </w:r>
            <w:r>
              <w:rPr>
                <w:rFonts w:hint="eastAsia" w:ascii="宋体" w:hAnsi="宋体" w:cs="宋体"/>
                <w:color w:val="auto"/>
                <w:sz w:val="18"/>
                <w:szCs w:val="18"/>
                <w:highlight w:val="none"/>
                <w:lang w:bidi="ar"/>
              </w:rPr>
              <w:t>（5）环保：家具成品均</w:t>
            </w:r>
            <w:r>
              <w:rPr>
                <w:rFonts w:hint="eastAsia" w:ascii="宋体" w:hAnsi="宋体" w:cs="宋体"/>
                <w:color w:val="auto"/>
                <w:sz w:val="18"/>
                <w:szCs w:val="18"/>
                <w:highlight w:val="none"/>
                <w:lang w:eastAsia="zh-CN" w:bidi="ar"/>
              </w:rPr>
              <w:t>需</w:t>
            </w:r>
            <w:r>
              <w:rPr>
                <w:rFonts w:hint="eastAsia" w:ascii="宋体" w:hAnsi="宋体" w:cs="宋体"/>
                <w:color w:val="auto"/>
                <w:sz w:val="18"/>
                <w:szCs w:val="18"/>
                <w:highlight w:val="none"/>
                <w:lang w:bidi="ar"/>
              </w:rPr>
              <w:t>满足GB/T 35607-2024《绿色产品评价 家具》的要求（其中成品甲醛释放量≤0.05mg/m3，苯≤0.05mg/m3，甲苯、二甲苯≤0.1mg/m3，TVOC≤0.3mg/m3）。</w:t>
            </w:r>
          </w:p>
        </w:tc>
      </w:tr>
      <w:tr w14:paraId="5B315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0" w:type="dxa"/>
            <w:left w:w="100" w:type="dxa"/>
            <w:bottom w:w="50" w:type="dxa"/>
            <w:right w:w="100" w:type="dxa"/>
          </w:tblCellMar>
        </w:tblPrEx>
        <w:trPr>
          <w:trHeight w:val="1626" w:hRule="atLeast"/>
        </w:trPr>
        <w:tc>
          <w:tcPr>
            <w:tcW w:w="153" w:type="pct"/>
            <w:tcBorders>
              <w:top w:val="single" w:color="000000" w:sz="0" w:space="0"/>
              <w:left w:val="single" w:color="000000" w:sz="0" w:space="0"/>
              <w:bottom w:val="single" w:color="000000" w:sz="0" w:space="0"/>
              <w:right w:val="single" w:color="000000" w:sz="0" w:space="0"/>
            </w:tcBorders>
          </w:tcPr>
          <w:p w14:paraId="3CD6A4B6">
            <w:pPr>
              <w:numPr>
                <w:ilvl w:val="0"/>
                <w:numId w:val="7"/>
              </w:numPr>
              <w:jc w:val="center"/>
              <w:rPr>
                <w:color w:val="auto"/>
                <w:sz w:val="20"/>
                <w:szCs w:val="20"/>
                <w:highlight w:val="none"/>
              </w:rPr>
            </w:pPr>
          </w:p>
        </w:tc>
        <w:tc>
          <w:tcPr>
            <w:tcW w:w="325" w:type="pct"/>
            <w:tcBorders>
              <w:top w:val="single" w:color="000000" w:sz="0" w:space="0"/>
              <w:left w:val="single" w:color="000000" w:sz="0" w:space="0"/>
              <w:bottom w:val="single" w:color="000000" w:sz="0" w:space="0"/>
              <w:right w:val="single" w:color="000000" w:sz="0" w:space="0"/>
            </w:tcBorders>
          </w:tcPr>
          <w:p w14:paraId="77974815">
            <w:pPr>
              <w:jc w:val="left"/>
              <w:rPr>
                <w:rFonts w:hint="eastAsia" w:eastAsia="宋体"/>
                <w:color w:val="auto"/>
                <w:highlight w:val="none"/>
                <w:lang w:eastAsia="zh-CN"/>
              </w:rPr>
            </w:pPr>
            <w:r>
              <w:rPr>
                <w:color w:val="auto"/>
                <w:sz w:val="20"/>
                <w:szCs w:val="20"/>
                <w:highlight w:val="none"/>
              </w:rPr>
              <w:t>三人沙发</w:t>
            </w:r>
            <w:r>
              <w:rPr>
                <w:rFonts w:hint="eastAsia"/>
                <w:color w:val="auto"/>
                <w:sz w:val="20"/>
                <w:szCs w:val="20"/>
                <w:highlight w:val="none"/>
                <w:lang w:eastAsia="zh-CN"/>
              </w:rPr>
              <w:t>（</w:t>
            </w:r>
            <w:r>
              <w:rPr>
                <w:rFonts w:hint="eastAsia"/>
                <w:color w:val="auto"/>
                <w:sz w:val="20"/>
                <w:szCs w:val="20"/>
                <w:highlight w:val="none"/>
                <w:lang w:val="en-US" w:eastAsia="zh-CN"/>
              </w:rPr>
              <w:t>超纤皮</w:t>
            </w:r>
            <w:r>
              <w:rPr>
                <w:rFonts w:hint="eastAsia"/>
                <w:color w:val="auto"/>
                <w:sz w:val="20"/>
                <w:szCs w:val="20"/>
                <w:highlight w:val="none"/>
                <w:lang w:eastAsia="zh-CN"/>
              </w:rPr>
              <w:t>）</w:t>
            </w:r>
          </w:p>
        </w:tc>
        <w:tc>
          <w:tcPr>
            <w:tcW w:w="257" w:type="pct"/>
            <w:tcBorders>
              <w:top w:val="single" w:color="000000" w:sz="0" w:space="0"/>
              <w:left w:val="single" w:color="000000" w:sz="0" w:space="0"/>
              <w:bottom w:val="single" w:color="000000" w:sz="0" w:space="0"/>
              <w:right w:val="single" w:color="000000" w:sz="0" w:space="0"/>
            </w:tcBorders>
          </w:tcPr>
          <w:p w14:paraId="01B553D4">
            <w:pPr>
              <w:jc w:val="center"/>
              <w:rPr>
                <w:color w:val="auto"/>
                <w:highlight w:val="none"/>
              </w:rPr>
            </w:pPr>
            <w:r>
              <w:rPr>
                <w:color w:val="auto"/>
                <w:sz w:val="20"/>
                <w:szCs w:val="20"/>
                <w:highlight w:val="none"/>
              </w:rPr>
              <w:t>沙发</w:t>
            </w:r>
          </w:p>
        </w:tc>
        <w:tc>
          <w:tcPr>
            <w:tcW w:w="524" w:type="pct"/>
          </w:tcPr>
          <w:p w14:paraId="245DABC8">
            <w:pPr>
              <w:jc w:val="center"/>
              <w:rPr>
                <w:color w:val="auto"/>
                <w:highlight w:val="none"/>
              </w:rPr>
            </w:pPr>
            <w:r>
              <w:rPr>
                <w:rFonts w:hint="eastAsia"/>
                <w:color w:val="auto"/>
                <w:highlight w:val="none"/>
              </w:rPr>
              <w:t xml:space="preserve">示意图    </w:t>
            </w:r>
            <w:r>
              <w:rPr>
                <w:color w:val="auto"/>
                <w:highlight w:val="none"/>
              </w:rPr>
              <w:drawing>
                <wp:inline distT="0" distB="0" distL="114300" distR="114300">
                  <wp:extent cx="1099185" cy="723900"/>
                  <wp:effectExtent l="0" t="0" r="5715" b="0"/>
                  <wp:docPr id="8" name="图片 16" descr="阅览区沙发示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6" descr="阅览区沙发示意"/>
                          <pic:cNvPicPr>
                            <a:picLocks noChangeAspect="1"/>
                          </pic:cNvPicPr>
                        </pic:nvPicPr>
                        <pic:blipFill>
                          <a:blip r:embed="rId7"/>
                          <a:stretch>
                            <a:fillRect/>
                          </a:stretch>
                        </pic:blipFill>
                        <pic:spPr>
                          <a:xfrm>
                            <a:off x="0" y="0"/>
                            <a:ext cx="1099185" cy="723900"/>
                          </a:xfrm>
                          <a:prstGeom prst="rect">
                            <a:avLst/>
                          </a:prstGeom>
                        </pic:spPr>
                      </pic:pic>
                    </a:graphicData>
                  </a:graphic>
                </wp:inline>
              </w:drawing>
            </w:r>
          </w:p>
        </w:tc>
        <w:tc>
          <w:tcPr>
            <w:tcW w:w="621" w:type="pct"/>
            <w:tcBorders>
              <w:top w:val="single" w:color="000000" w:sz="0" w:space="0"/>
              <w:left w:val="single" w:color="000000" w:sz="0" w:space="0"/>
              <w:bottom w:val="single" w:color="000000" w:sz="0" w:space="0"/>
              <w:right w:val="single" w:color="000000" w:sz="0" w:space="0"/>
            </w:tcBorders>
          </w:tcPr>
          <w:p w14:paraId="3893E13D">
            <w:pPr>
              <w:jc w:val="left"/>
              <w:rPr>
                <w:color w:val="auto"/>
                <w:highlight w:val="none"/>
              </w:rPr>
            </w:pPr>
            <w:r>
              <w:rPr>
                <w:color w:val="auto"/>
                <w:sz w:val="20"/>
                <w:szCs w:val="20"/>
                <w:highlight w:val="none"/>
              </w:rPr>
              <w:t>2100W*830D*</w:t>
            </w:r>
            <w:r>
              <w:rPr>
                <w:rFonts w:hint="eastAsia"/>
                <w:color w:val="auto"/>
                <w:sz w:val="20"/>
                <w:szCs w:val="20"/>
                <w:highlight w:val="none"/>
              </w:rPr>
              <w:t>2</w:t>
            </w:r>
            <w:r>
              <w:rPr>
                <w:color w:val="auto"/>
                <w:sz w:val="20"/>
                <w:szCs w:val="20"/>
                <w:highlight w:val="none"/>
              </w:rPr>
              <w:t>套</w:t>
            </w:r>
          </w:p>
        </w:tc>
        <w:tc>
          <w:tcPr>
            <w:tcW w:w="204" w:type="pct"/>
            <w:tcBorders>
              <w:top w:val="single" w:color="000000" w:sz="0" w:space="0"/>
              <w:left w:val="single" w:color="000000" w:sz="0" w:space="0"/>
              <w:bottom w:val="single" w:color="000000" w:sz="0" w:space="0"/>
              <w:right w:val="single" w:color="000000" w:sz="0" w:space="0"/>
            </w:tcBorders>
          </w:tcPr>
          <w:p w14:paraId="1C34B9E1">
            <w:pPr>
              <w:jc w:val="center"/>
              <w:rPr>
                <w:color w:val="auto"/>
                <w:highlight w:val="none"/>
              </w:rPr>
            </w:pPr>
            <w:r>
              <w:rPr>
                <w:rFonts w:hint="eastAsia"/>
                <w:color w:val="auto"/>
                <w:sz w:val="20"/>
                <w:szCs w:val="20"/>
                <w:highlight w:val="none"/>
              </w:rPr>
              <w:t>2</w:t>
            </w:r>
            <w:r>
              <w:rPr>
                <w:color w:val="auto"/>
                <w:sz w:val="20"/>
                <w:szCs w:val="20"/>
                <w:highlight w:val="none"/>
              </w:rPr>
              <w:t>套</w:t>
            </w:r>
          </w:p>
        </w:tc>
        <w:tc>
          <w:tcPr>
            <w:tcW w:w="504" w:type="pct"/>
            <w:tcBorders>
              <w:top w:val="single" w:color="000000" w:sz="0" w:space="0"/>
              <w:left w:val="single" w:color="000000" w:sz="0" w:space="0"/>
              <w:bottom w:val="single" w:color="000000" w:sz="0" w:space="0"/>
              <w:right w:val="single" w:color="000000" w:sz="0" w:space="0"/>
            </w:tcBorders>
          </w:tcPr>
          <w:p w14:paraId="2DCBA29D">
            <w:pPr>
              <w:jc w:val="left"/>
              <w:rPr>
                <w:color w:val="auto"/>
                <w:highlight w:val="none"/>
              </w:rPr>
            </w:pPr>
            <w:r>
              <w:rPr>
                <w:color w:val="auto"/>
                <w:sz w:val="20"/>
                <w:szCs w:val="20"/>
                <w:highlight w:val="none"/>
              </w:rPr>
              <w:t>框架、内部材质、面料</w:t>
            </w:r>
          </w:p>
        </w:tc>
        <w:tc>
          <w:tcPr>
            <w:tcW w:w="314" w:type="pct"/>
            <w:tcBorders>
              <w:top w:val="single" w:color="000000" w:sz="0" w:space="0"/>
              <w:left w:val="single" w:color="000000" w:sz="0" w:space="0"/>
              <w:bottom w:val="single" w:color="000000" w:sz="0" w:space="0"/>
              <w:right w:val="single" w:color="000000" w:sz="0" w:space="0"/>
            </w:tcBorders>
          </w:tcPr>
          <w:p w14:paraId="782A2B83">
            <w:pPr>
              <w:jc w:val="left"/>
              <w:rPr>
                <w:color w:val="auto"/>
                <w:highlight w:val="none"/>
              </w:rPr>
            </w:pPr>
            <w:r>
              <w:rPr>
                <w:rFonts w:hint="eastAsia"/>
                <w:color w:val="auto"/>
                <w:sz w:val="20"/>
                <w:szCs w:val="20"/>
                <w:highlight w:val="none"/>
                <w:lang w:val="en-US" w:eastAsia="zh-CN"/>
              </w:rPr>
              <w:t>超纤皮</w:t>
            </w:r>
            <w:r>
              <w:rPr>
                <w:color w:val="auto"/>
                <w:sz w:val="20"/>
                <w:szCs w:val="20"/>
                <w:highlight w:val="none"/>
              </w:rPr>
              <w:t>、高密度海绵、实木</w:t>
            </w:r>
          </w:p>
        </w:tc>
        <w:tc>
          <w:tcPr>
            <w:tcW w:w="2095" w:type="pct"/>
            <w:tcBorders>
              <w:top w:val="single" w:color="000000" w:sz="0" w:space="0"/>
              <w:left w:val="single" w:color="000000" w:sz="0" w:space="0"/>
              <w:bottom w:val="single" w:color="000000" w:sz="0" w:space="0"/>
              <w:right w:val="single" w:color="000000" w:sz="0" w:space="0"/>
            </w:tcBorders>
          </w:tcPr>
          <w:p w14:paraId="1AE81852">
            <w:pPr>
              <w:jc w:val="left"/>
              <w:rPr>
                <w:rFonts w:hint="eastAsia" w:ascii="宋体" w:hAnsi="宋体" w:cs="宋体"/>
                <w:color w:val="auto"/>
                <w:sz w:val="18"/>
                <w:szCs w:val="18"/>
                <w:highlight w:val="none"/>
                <w:lang w:bidi="ar"/>
              </w:rPr>
            </w:pPr>
            <w:r>
              <w:rPr>
                <w:rFonts w:hint="eastAsia" w:ascii="宋体" w:hAnsi="宋体" w:cs="宋体"/>
                <w:color w:val="auto"/>
                <w:sz w:val="18"/>
                <w:szCs w:val="18"/>
                <w:highlight w:val="none"/>
                <w:lang w:bidi="ar"/>
              </w:rPr>
              <w:t>（1）基材：沙发内部框架实木，基本无节巴、无发霉、蛀孔、无烂疤、裂缝等影响质量的缺陷，制作牢固可靠，榫卯结构。木材需经杀虫、烘干、防腐、防霉处理，所有木料经过时效处理，防止变形。采用超纤皮面料，纳米涂层，防水防污防火，高密度海绵，海绵密度不小于35KG/m³（弹率≥50%，75压缩永久变形≤4%，拉伸强度≥160kPa，甲醛释放量 未检出，阻燃等级Ⅰ）。</w:t>
            </w:r>
          </w:p>
          <w:p w14:paraId="394352DB">
            <w:pPr>
              <w:jc w:val="left"/>
              <w:rPr>
                <w:rFonts w:hint="eastAsia" w:ascii="宋体" w:hAnsi="宋体" w:cs="宋体"/>
                <w:color w:val="auto"/>
                <w:sz w:val="18"/>
                <w:szCs w:val="18"/>
                <w:highlight w:val="none"/>
                <w:lang w:bidi="ar"/>
              </w:rPr>
            </w:pPr>
            <w:r>
              <w:rPr>
                <w:rFonts w:hint="eastAsia" w:ascii="宋体" w:hAnsi="宋体" w:cs="宋体"/>
                <w:color w:val="auto"/>
                <w:sz w:val="18"/>
                <w:szCs w:val="18"/>
                <w:highlight w:val="none"/>
                <w:lang w:bidi="ar"/>
              </w:rPr>
              <w:t>（2）配件：连接件采用优质品牌。                                                                                                                   （3）结构：金属脚，沙发框架和软包分体,靠背可移动，可拆洗更换，颜色可以多选。                                                                                                                           （4）胶水：采用优质环保胶水（</w:t>
            </w:r>
            <w:r>
              <w:rPr>
                <w:rFonts w:hint="eastAsia" w:ascii="宋体" w:hAnsi="宋体" w:cs="宋体"/>
                <w:color w:val="auto"/>
                <w:sz w:val="18"/>
                <w:szCs w:val="18"/>
                <w:highlight w:val="none"/>
                <w:lang w:val="en-US" w:eastAsia="zh-CN" w:bidi="ar"/>
              </w:rPr>
              <w:t>其中应满足</w:t>
            </w:r>
            <w:r>
              <w:rPr>
                <w:rFonts w:hint="eastAsia" w:ascii="宋体" w:hAnsi="宋体" w:cs="宋体"/>
                <w:color w:val="auto"/>
                <w:sz w:val="18"/>
                <w:szCs w:val="18"/>
                <w:highlight w:val="none"/>
                <w:lang w:bidi="ar"/>
              </w:rPr>
              <w:t>游离甲醛 未检出、甲苯+二甲苯 未检出、苯 未检出、总挥发性有机物≤10g/L ，可溶性重金属：铅、镉、铬、汞、锑、钡、砷、硒均未检出）</w:t>
            </w:r>
          </w:p>
          <w:p w14:paraId="04D42F90">
            <w:pPr>
              <w:jc w:val="left"/>
              <w:rPr>
                <w:color w:val="auto"/>
                <w:highlight w:val="none"/>
              </w:rPr>
            </w:pPr>
            <w:r>
              <w:rPr>
                <w:rFonts w:hint="eastAsia" w:ascii="宋体" w:hAnsi="宋体" w:cs="宋体"/>
                <w:color w:val="auto"/>
                <w:sz w:val="18"/>
                <w:szCs w:val="18"/>
                <w:highlight w:val="none"/>
                <w:lang w:bidi="ar"/>
              </w:rPr>
              <w:t>（5）环保：家具成品均</w:t>
            </w:r>
            <w:r>
              <w:rPr>
                <w:rFonts w:hint="eastAsia" w:ascii="宋体" w:hAnsi="宋体" w:cs="宋体"/>
                <w:color w:val="auto"/>
                <w:sz w:val="18"/>
                <w:szCs w:val="18"/>
                <w:highlight w:val="none"/>
                <w:lang w:eastAsia="zh-CN" w:bidi="ar"/>
              </w:rPr>
              <w:t>需</w:t>
            </w:r>
            <w:r>
              <w:rPr>
                <w:rFonts w:hint="eastAsia" w:ascii="宋体" w:hAnsi="宋体" w:cs="宋体"/>
                <w:color w:val="auto"/>
                <w:sz w:val="18"/>
                <w:szCs w:val="18"/>
                <w:highlight w:val="none"/>
                <w:lang w:bidi="ar"/>
              </w:rPr>
              <w:t>满足GB/T 35607-2024《绿色产品评价 家具》的要求（其中成品甲醛释放量≤0.05mg/m3，苯≤0.05mg/m3，甲苯、二甲苯≤0.1mg/m3，TVOC≤0.3mg/m3）。</w:t>
            </w:r>
          </w:p>
        </w:tc>
      </w:tr>
      <w:tr w14:paraId="0B52B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0" w:type="dxa"/>
            <w:left w:w="100" w:type="dxa"/>
            <w:bottom w:w="50" w:type="dxa"/>
            <w:right w:w="100" w:type="dxa"/>
          </w:tblCellMar>
        </w:tblPrEx>
        <w:tc>
          <w:tcPr>
            <w:tcW w:w="153" w:type="pct"/>
            <w:tcBorders>
              <w:top w:val="single" w:color="000000" w:sz="0" w:space="0"/>
              <w:left w:val="single" w:color="000000" w:sz="0" w:space="0"/>
              <w:bottom w:val="single" w:color="000000" w:sz="0" w:space="0"/>
              <w:right w:val="single" w:color="000000" w:sz="0" w:space="0"/>
            </w:tcBorders>
          </w:tcPr>
          <w:p w14:paraId="0F860848">
            <w:pPr>
              <w:numPr>
                <w:ilvl w:val="0"/>
                <w:numId w:val="7"/>
              </w:numPr>
              <w:jc w:val="center"/>
              <w:rPr>
                <w:color w:val="auto"/>
                <w:highlight w:val="none"/>
              </w:rPr>
            </w:pPr>
          </w:p>
        </w:tc>
        <w:tc>
          <w:tcPr>
            <w:tcW w:w="325" w:type="pct"/>
            <w:tcBorders>
              <w:top w:val="single" w:color="000000" w:sz="0" w:space="0"/>
              <w:left w:val="single" w:color="000000" w:sz="0" w:space="0"/>
              <w:bottom w:val="single" w:color="000000" w:sz="0" w:space="0"/>
              <w:right w:val="single" w:color="000000" w:sz="0" w:space="0"/>
            </w:tcBorders>
          </w:tcPr>
          <w:p w14:paraId="23F872D2">
            <w:pPr>
              <w:jc w:val="left"/>
              <w:rPr>
                <w:rFonts w:hint="eastAsia" w:eastAsia="宋体"/>
                <w:color w:val="auto"/>
                <w:highlight w:val="none"/>
                <w:lang w:val="en-US" w:eastAsia="zh-CN"/>
              </w:rPr>
            </w:pPr>
            <w:r>
              <w:rPr>
                <w:color w:val="auto"/>
                <w:sz w:val="20"/>
                <w:szCs w:val="20"/>
                <w:highlight w:val="none"/>
              </w:rPr>
              <w:t>活动椅</w:t>
            </w:r>
            <w:r>
              <w:rPr>
                <w:rFonts w:hint="eastAsia"/>
                <w:color w:val="auto"/>
                <w:sz w:val="20"/>
                <w:szCs w:val="20"/>
                <w:highlight w:val="none"/>
                <w:lang w:eastAsia="zh-CN"/>
              </w:rPr>
              <w:t>（</w:t>
            </w:r>
            <w:r>
              <w:rPr>
                <w:rFonts w:hint="eastAsia"/>
                <w:color w:val="auto"/>
                <w:sz w:val="20"/>
                <w:szCs w:val="20"/>
                <w:highlight w:val="none"/>
                <w:lang w:val="en-US" w:eastAsia="zh-CN"/>
              </w:rPr>
              <w:t>坐垫</w:t>
            </w:r>
            <w:r>
              <w:rPr>
                <w:rFonts w:hint="eastAsia" w:ascii="宋体" w:hAnsi="宋体" w:cs="宋体"/>
                <w:snapToGrid w:val="0"/>
                <w:color w:val="auto"/>
                <w:kern w:val="0"/>
                <w:sz w:val="20"/>
                <w:szCs w:val="20"/>
                <w:highlight w:val="none"/>
                <w:lang w:bidi="ar"/>
              </w:rPr>
              <w:t>海绵软包</w:t>
            </w:r>
            <w:r>
              <w:rPr>
                <w:rFonts w:hint="eastAsia"/>
                <w:color w:val="auto"/>
                <w:sz w:val="20"/>
                <w:szCs w:val="20"/>
                <w:highlight w:val="none"/>
                <w:lang w:eastAsia="zh-CN"/>
              </w:rPr>
              <w:t>）</w:t>
            </w:r>
          </w:p>
        </w:tc>
        <w:tc>
          <w:tcPr>
            <w:tcW w:w="257" w:type="pct"/>
            <w:tcBorders>
              <w:top w:val="single" w:color="000000" w:sz="0" w:space="0"/>
              <w:left w:val="single" w:color="000000" w:sz="0" w:space="0"/>
              <w:bottom w:val="single" w:color="000000" w:sz="0" w:space="0"/>
              <w:right w:val="single" w:color="000000" w:sz="0" w:space="0"/>
            </w:tcBorders>
          </w:tcPr>
          <w:p w14:paraId="0D59B2C4">
            <w:pPr>
              <w:jc w:val="center"/>
              <w:rPr>
                <w:color w:val="auto"/>
                <w:highlight w:val="none"/>
              </w:rPr>
            </w:pPr>
            <w:r>
              <w:rPr>
                <w:color w:val="auto"/>
                <w:sz w:val="20"/>
                <w:szCs w:val="20"/>
                <w:highlight w:val="none"/>
              </w:rPr>
              <w:t>椅子</w:t>
            </w:r>
          </w:p>
        </w:tc>
        <w:tc>
          <w:tcPr>
            <w:tcW w:w="524" w:type="pct"/>
          </w:tcPr>
          <w:p w14:paraId="452BBFD3">
            <w:pPr>
              <w:jc w:val="center"/>
              <w:rPr>
                <w:color w:val="auto"/>
                <w:highlight w:val="none"/>
              </w:rPr>
            </w:pPr>
            <w:r>
              <w:rPr>
                <w:color w:val="auto"/>
                <w:highlight w:val="none"/>
              </w:rPr>
              <w:drawing>
                <wp:inline distT="0" distB="0" distL="114300" distR="114300">
                  <wp:extent cx="1348740" cy="1642745"/>
                  <wp:effectExtent l="0" t="0" r="3810" b="14605"/>
                  <wp:docPr id="9" name="图片 1" descr="/Users/shanyafei/Library/Containers/com.kingsoft.wpsoffice.mac/Data/tmp/photoeditapp/20260701171806/temp.pngte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descr="/Users/shanyafei/Library/Containers/com.kingsoft.wpsoffice.mac/Data/tmp/photoeditapp/20260701171806/temp.pngtemp"/>
                          <pic:cNvPicPr>
                            <a:picLocks noChangeAspect="1"/>
                          </pic:cNvPicPr>
                        </pic:nvPicPr>
                        <pic:blipFill>
                          <a:blip r:embed="rId8"/>
                          <a:stretch>
                            <a:fillRect/>
                          </a:stretch>
                        </pic:blipFill>
                        <pic:spPr>
                          <a:xfrm>
                            <a:off x="0" y="0"/>
                            <a:ext cx="1348740" cy="1642745"/>
                          </a:xfrm>
                          <a:prstGeom prst="rect">
                            <a:avLst/>
                          </a:prstGeom>
                          <a:noFill/>
                          <a:ln>
                            <a:noFill/>
                          </a:ln>
                        </pic:spPr>
                      </pic:pic>
                    </a:graphicData>
                  </a:graphic>
                </wp:inline>
              </w:drawing>
            </w:r>
          </w:p>
        </w:tc>
        <w:tc>
          <w:tcPr>
            <w:tcW w:w="621" w:type="pct"/>
            <w:tcBorders>
              <w:top w:val="single" w:color="000000" w:sz="0" w:space="0"/>
              <w:left w:val="single" w:color="000000" w:sz="0" w:space="0"/>
              <w:bottom w:val="single" w:color="000000" w:sz="0" w:space="0"/>
              <w:right w:val="single" w:color="000000" w:sz="0" w:space="0"/>
            </w:tcBorders>
          </w:tcPr>
          <w:p w14:paraId="3A6AEB74">
            <w:pPr>
              <w:jc w:val="left"/>
              <w:rPr>
                <w:color w:val="auto"/>
                <w:highlight w:val="none"/>
              </w:rPr>
            </w:pPr>
            <w:r>
              <w:rPr>
                <w:rFonts w:hint="eastAsia"/>
                <w:color w:val="auto"/>
                <w:sz w:val="20"/>
                <w:szCs w:val="20"/>
                <w:highlight w:val="none"/>
              </w:rPr>
              <w:t>座高450</w:t>
            </w:r>
            <w:r>
              <w:rPr>
                <w:rFonts w:hint="eastAsia"/>
                <w:color w:val="auto"/>
                <w:sz w:val="20"/>
                <w:szCs w:val="20"/>
                <w:highlight w:val="none"/>
                <w:lang w:val="en-US" w:eastAsia="zh-CN"/>
              </w:rPr>
              <w:t>±10</w:t>
            </w:r>
            <w:r>
              <w:rPr>
                <w:rFonts w:hint="eastAsia"/>
                <w:color w:val="auto"/>
                <w:sz w:val="20"/>
                <w:szCs w:val="20"/>
                <w:highlight w:val="none"/>
              </w:rPr>
              <w:t>，总高815</w:t>
            </w:r>
            <w:r>
              <w:rPr>
                <w:rFonts w:hint="eastAsia"/>
                <w:color w:val="auto"/>
                <w:sz w:val="20"/>
                <w:szCs w:val="20"/>
                <w:highlight w:val="none"/>
                <w:lang w:val="en-US" w:eastAsia="zh-CN"/>
              </w:rPr>
              <w:t>±10</w:t>
            </w:r>
            <w:r>
              <w:rPr>
                <w:rFonts w:hint="eastAsia"/>
                <w:color w:val="auto"/>
                <w:sz w:val="20"/>
                <w:szCs w:val="20"/>
                <w:highlight w:val="none"/>
              </w:rPr>
              <w:t>，总宽595</w:t>
            </w:r>
            <w:r>
              <w:rPr>
                <w:rFonts w:hint="eastAsia"/>
                <w:color w:val="auto"/>
                <w:sz w:val="20"/>
                <w:szCs w:val="20"/>
                <w:highlight w:val="none"/>
                <w:lang w:val="en-US" w:eastAsia="zh-CN"/>
              </w:rPr>
              <w:t>±10</w:t>
            </w:r>
            <w:r>
              <w:rPr>
                <w:rFonts w:hint="eastAsia"/>
                <w:color w:val="auto"/>
                <w:sz w:val="20"/>
                <w:szCs w:val="20"/>
                <w:highlight w:val="none"/>
              </w:rPr>
              <w:t>，总深615</w:t>
            </w:r>
            <w:r>
              <w:rPr>
                <w:rFonts w:hint="eastAsia"/>
                <w:color w:val="auto"/>
                <w:sz w:val="20"/>
                <w:szCs w:val="20"/>
                <w:highlight w:val="none"/>
                <w:lang w:val="en-US" w:eastAsia="zh-CN"/>
              </w:rPr>
              <w:t>±10</w:t>
            </w:r>
          </w:p>
        </w:tc>
        <w:tc>
          <w:tcPr>
            <w:tcW w:w="204" w:type="pct"/>
            <w:tcBorders>
              <w:top w:val="single" w:color="000000" w:sz="0" w:space="0"/>
              <w:left w:val="single" w:color="000000" w:sz="0" w:space="0"/>
              <w:bottom w:val="single" w:color="000000" w:sz="0" w:space="0"/>
              <w:right w:val="single" w:color="000000" w:sz="0" w:space="0"/>
            </w:tcBorders>
          </w:tcPr>
          <w:p w14:paraId="32D786E6">
            <w:pPr>
              <w:jc w:val="center"/>
              <w:rPr>
                <w:color w:val="auto"/>
                <w:highlight w:val="none"/>
              </w:rPr>
            </w:pPr>
            <w:r>
              <w:rPr>
                <w:rFonts w:hint="eastAsia"/>
                <w:color w:val="auto"/>
                <w:sz w:val="20"/>
                <w:szCs w:val="20"/>
                <w:highlight w:val="none"/>
              </w:rPr>
              <w:t>6</w:t>
            </w:r>
            <w:r>
              <w:rPr>
                <w:color w:val="auto"/>
                <w:sz w:val="20"/>
                <w:szCs w:val="20"/>
                <w:highlight w:val="none"/>
              </w:rPr>
              <w:t>6套</w:t>
            </w:r>
          </w:p>
        </w:tc>
        <w:tc>
          <w:tcPr>
            <w:tcW w:w="504" w:type="pct"/>
            <w:tcBorders>
              <w:top w:val="single" w:color="000000" w:sz="0" w:space="0"/>
              <w:left w:val="single" w:color="000000" w:sz="0" w:space="0"/>
              <w:bottom w:val="single" w:color="000000" w:sz="0" w:space="0"/>
              <w:right w:val="single" w:color="000000" w:sz="0" w:space="0"/>
            </w:tcBorders>
          </w:tcPr>
          <w:p w14:paraId="115F0385">
            <w:pPr>
              <w:jc w:val="left"/>
              <w:rPr>
                <w:color w:val="auto"/>
                <w:highlight w:val="none"/>
              </w:rPr>
            </w:pPr>
            <w:r>
              <w:rPr>
                <w:color w:val="auto"/>
                <w:sz w:val="20"/>
                <w:szCs w:val="20"/>
                <w:highlight w:val="none"/>
              </w:rPr>
              <w:t>饰面、油漆、脚轮</w:t>
            </w:r>
          </w:p>
        </w:tc>
        <w:tc>
          <w:tcPr>
            <w:tcW w:w="314" w:type="pct"/>
            <w:tcBorders>
              <w:top w:val="single" w:color="000000" w:sz="0" w:space="0"/>
              <w:left w:val="single" w:color="000000" w:sz="0" w:space="0"/>
              <w:bottom w:val="single" w:color="000000" w:sz="0" w:space="0"/>
              <w:right w:val="single" w:color="000000" w:sz="0" w:space="0"/>
            </w:tcBorders>
          </w:tcPr>
          <w:p w14:paraId="0516B041">
            <w:pPr>
              <w:jc w:val="left"/>
              <w:rPr>
                <w:color w:val="auto"/>
                <w:highlight w:val="none"/>
              </w:rPr>
            </w:pPr>
            <w:r>
              <w:rPr>
                <w:color w:val="auto"/>
                <w:sz w:val="20"/>
                <w:szCs w:val="20"/>
                <w:highlight w:val="none"/>
              </w:rPr>
              <w:t>PP/塑胶</w:t>
            </w:r>
          </w:p>
        </w:tc>
        <w:tc>
          <w:tcPr>
            <w:tcW w:w="2095" w:type="pct"/>
            <w:tcBorders>
              <w:top w:val="single" w:color="000000" w:sz="0" w:space="0"/>
              <w:left w:val="single" w:color="000000" w:sz="0" w:space="0"/>
              <w:bottom w:val="single" w:color="000000" w:sz="0" w:space="0"/>
              <w:right w:val="single" w:color="000000" w:sz="0" w:space="0"/>
            </w:tcBorders>
          </w:tcPr>
          <w:p w14:paraId="34382C22">
            <w:pPr>
              <w:jc w:val="left"/>
              <w:rPr>
                <w:rFonts w:hint="eastAsia" w:ascii="宋体" w:hAnsi="宋体" w:cs="宋体"/>
                <w:snapToGrid w:val="0"/>
                <w:color w:val="auto"/>
                <w:kern w:val="0"/>
                <w:sz w:val="20"/>
                <w:szCs w:val="20"/>
                <w:highlight w:val="none"/>
                <w:lang w:bidi="ar"/>
              </w:rPr>
            </w:pPr>
            <w:r>
              <w:rPr>
                <w:rFonts w:hint="eastAsia" w:ascii="宋体" w:hAnsi="宋体" w:cs="宋体"/>
                <w:snapToGrid w:val="0"/>
                <w:color w:val="auto"/>
                <w:kern w:val="0"/>
                <w:sz w:val="20"/>
                <w:szCs w:val="20"/>
                <w:highlight w:val="none"/>
                <w:lang w:bidi="ar"/>
              </w:rPr>
              <w:t>（1）椅背采用全新聚丙稀（PP)加玻璃纤维，镂空的纹理设计提高背的弹性，上端为横纹镂空、下端为竖纹镂空。增加舒适度,具有透气功能。背宽≥480mm,背高≥320mm。椅背翻边设计增加靠背的牢固性，厚度≥6mm。椅背手提功能方便单手挪动椅子，手提位置长≥105mm，宽≥23mm。</w:t>
            </w:r>
          </w:p>
          <w:p w14:paraId="5AB24F88">
            <w:pPr>
              <w:jc w:val="left"/>
              <w:rPr>
                <w:rFonts w:hint="eastAsia" w:ascii="宋体" w:hAnsi="宋体" w:cs="宋体"/>
                <w:snapToGrid w:val="0"/>
                <w:color w:val="auto"/>
                <w:kern w:val="0"/>
                <w:sz w:val="20"/>
                <w:szCs w:val="20"/>
                <w:highlight w:val="none"/>
                <w:lang w:bidi="ar"/>
              </w:rPr>
            </w:pPr>
            <w:r>
              <w:rPr>
                <w:rFonts w:hint="eastAsia" w:ascii="宋体" w:hAnsi="宋体" w:cs="宋体"/>
                <w:snapToGrid w:val="0"/>
                <w:color w:val="auto"/>
                <w:kern w:val="0"/>
                <w:sz w:val="20"/>
                <w:szCs w:val="20"/>
                <w:highlight w:val="none"/>
                <w:lang w:bidi="ar"/>
              </w:rPr>
              <w:t>（2）椅面基材采用全新软性聚乙烯（PE）。由三部分组成（上座板、弹簧、底板）。座板整体最薄部分≥35mm，最厚部分≥62mm。表面增加海绵软包,棉布采用透气网布.</w:t>
            </w:r>
          </w:p>
          <w:p w14:paraId="1F893FD6">
            <w:pPr>
              <w:jc w:val="left"/>
              <w:rPr>
                <w:rFonts w:hint="eastAsia" w:ascii="宋体" w:hAnsi="宋体" w:cs="宋体"/>
                <w:snapToGrid w:val="0"/>
                <w:color w:val="auto"/>
                <w:kern w:val="0"/>
                <w:sz w:val="20"/>
                <w:szCs w:val="20"/>
                <w:highlight w:val="none"/>
                <w:lang w:bidi="ar"/>
              </w:rPr>
            </w:pPr>
            <w:r>
              <w:rPr>
                <w:rFonts w:hint="eastAsia" w:ascii="宋体" w:hAnsi="宋体" w:cs="宋体"/>
                <w:snapToGrid w:val="0"/>
                <w:color w:val="auto"/>
                <w:kern w:val="0"/>
                <w:sz w:val="20"/>
                <w:szCs w:val="20"/>
                <w:highlight w:val="none"/>
                <w:lang w:bidi="ar"/>
              </w:rPr>
              <w:t>（3）钢架；优质冷轧钢管压铸成型、前钢材架为圆管直径≥22mm、壁厚≥1.5mm，后钢材架为旦形管.内长≥35mm、内宽≥20mm、壁厚≥1.5mm。前后脚垫采用全新尼龙材质,前两脚脚垫直径≥23mm、厚度10～</w:t>
            </w:r>
            <w:r>
              <w:rPr>
                <w:rFonts w:hint="eastAsia" w:ascii="宋体" w:hAnsi="宋体" w:cs="宋体"/>
                <w:snapToGrid w:val="0"/>
                <w:color w:val="auto"/>
                <w:kern w:val="0"/>
                <w:sz w:val="20"/>
                <w:szCs w:val="20"/>
                <w:highlight w:val="none"/>
                <w:lang w:val="en-US" w:eastAsia="zh-CN" w:bidi="ar"/>
              </w:rPr>
              <w:t>11</w:t>
            </w:r>
            <w:r>
              <w:rPr>
                <w:rFonts w:hint="eastAsia" w:ascii="宋体" w:hAnsi="宋体" w:cs="宋体"/>
                <w:snapToGrid w:val="0"/>
                <w:color w:val="auto"/>
                <w:kern w:val="0"/>
                <w:sz w:val="20"/>
                <w:szCs w:val="20"/>
                <w:highlight w:val="none"/>
                <w:lang w:bidi="ar"/>
              </w:rPr>
              <w:t>.3mm，后两脚脚垫厚度≥1.0～2.1CM，静音脚胶塞PE材质，具有良好静音效果。搭配坐刹脚轮，坐下自动刹车，站起可移动。                                                                             （4）成品均满足GB/T 35607-2024《绿色产品评价 家具》的要求（其中成品甲醛释放量≤0.05mg/m3）</w:t>
            </w:r>
            <w:r>
              <w:rPr>
                <w:rFonts w:hint="eastAsia" w:ascii="宋体" w:hAnsi="宋体" w:cs="宋体"/>
                <w:snapToGrid w:val="0"/>
                <w:color w:val="auto"/>
                <w:kern w:val="0"/>
                <w:sz w:val="20"/>
                <w:szCs w:val="20"/>
                <w:highlight w:val="none"/>
                <w:lang w:eastAsia="zh-CN" w:bidi="ar"/>
              </w:rPr>
              <w:t>。</w:t>
            </w:r>
          </w:p>
        </w:tc>
      </w:tr>
      <w:tr w14:paraId="08BF6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0" w:type="dxa"/>
            <w:left w:w="100" w:type="dxa"/>
            <w:bottom w:w="50" w:type="dxa"/>
            <w:right w:w="100" w:type="dxa"/>
          </w:tblCellMar>
        </w:tblPrEx>
        <w:trPr>
          <w:trHeight w:val="1939" w:hRule="atLeast"/>
        </w:trPr>
        <w:tc>
          <w:tcPr>
            <w:tcW w:w="153" w:type="pct"/>
            <w:tcBorders>
              <w:top w:val="single" w:color="000000" w:sz="0" w:space="0"/>
              <w:left w:val="single" w:color="000000" w:sz="0" w:space="0"/>
              <w:bottom w:val="single" w:color="000000" w:sz="0" w:space="0"/>
              <w:right w:val="single" w:color="000000" w:sz="0" w:space="0"/>
            </w:tcBorders>
          </w:tcPr>
          <w:p w14:paraId="7F7AF15C">
            <w:pPr>
              <w:numPr>
                <w:ilvl w:val="0"/>
                <w:numId w:val="7"/>
              </w:numPr>
              <w:jc w:val="center"/>
              <w:rPr>
                <w:color w:val="auto"/>
                <w:highlight w:val="none"/>
              </w:rPr>
            </w:pPr>
          </w:p>
        </w:tc>
        <w:tc>
          <w:tcPr>
            <w:tcW w:w="325" w:type="pct"/>
            <w:tcBorders>
              <w:top w:val="single" w:color="000000" w:sz="0" w:space="0"/>
              <w:left w:val="single" w:color="000000" w:sz="0" w:space="0"/>
              <w:bottom w:val="single" w:color="000000" w:sz="0" w:space="0"/>
              <w:right w:val="single" w:color="000000" w:sz="0" w:space="0"/>
            </w:tcBorders>
          </w:tcPr>
          <w:p w14:paraId="2A8A519B">
            <w:pPr>
              <w:jc w:val="left"/>
              <w:rPr>
                <w:rFonts w:hint="eastAsia" w:eastAsia="宋体"/>
                <w:color w:val="auto"/>
                <w:highlight w:val="none"/>
                <w:lang w:val="en-US" w:eastAsia="zh-CN"/>
              </w:rPr>
            </w:pPr>
            <w:r>
              <w:rPr>
                <w:color w:val="auto"/>
                <w:sz w:val="20"/>
                <w:szCs w:val="20"/>
                <w:highlight w:val="none"/>
              </w:rPr>
              <w:t>活动椅</w:t>
            </w:r>
            <w:r>
              <w:rPr>
                <w:rFonts w:hint="eastAsia"/>
                <w:color w:val="auto"/>
                <w:sz w:val="20"/>
                <w:szCs w:val="20"/>
                <w:highlight w:val="none"/>
                <w:lang w:eastAsia="zh-CN"/>
              </w:rPr>
              <w:t>（</w:t>
            </w:r>
            <w:r>
              <w:rPr>
                <w:rFonts w:hint="eastAsia"/>
                <w:color w:val="auto"/>
                <w:sz w:val="20"/>
                <w:szCs w:val="20"/>
                <w:highlight w:val="none"/>
                <w:lang w:val="en-US" w:eastAsia="zh-CN"/>
              </w:rPr>
              <w:t>坐垫</w:t>
            </w:r>
            <w:r>
              <w:rPr>
                <w:rFonts w:hint="eastAsia" w:ascii="宋体" w:hAnsi="宋体" w:cs="宋体"/>
                <w:snapToGrid w:val="0"/>
                <w:color w:val="auto"/>
                <w:kern w:val="0"/>
                <w:sz w:val="20"/>
                <w:szCs w:val="20"/>
                <w:highlight w:val="none"/>
                <w:lang w:bidi="ar"/>
              </w:rPr>
              <w:t>软性聚乙烯</w:t>
            </w:r>
            <w:r>
              <w:rPr>
                <w:rFonts w:hint="eastAsia"/>
                <w:color w:val="auto"/>
                <w:sz w:val="20"/>
                <w:szCs w:val="20"/>
                <w:highlight w:val="none"/>
                <w:lang w:eastAsia="zh-CN"/>
              </w:rPr>
              <w:t>）</w:t>
            </w:r>
          </w:p>
        </w:tc>
        <w:tc>
          <w:tcPr>
            <w:tcW w:w="257" w:type="pct"/>
            <w:tcBorders>
              <w:top w:val="single" w:color="000000" w:sz="0" w:space="0"/>
              <w:left w:val="single" w:color="000000" w:sz="0" w:space="0"/>
              <w:bottom w:val="single" w:color="000000" w:sz="0" w:space="0"/>
              <w:right w:val="single" w:color="000000" w:sz="0" w:space="0"/>
            </w:tcBorders>
          </w:tcPr>
          <w:p w14:paraId="17697277">
            <w:pPr>
              <w:jc w:val="center"/>
              <w:rPr>
                <w:color w:val="auto"/>
                <w:highlight w:val="none"/>
              </w:rPr>
            </w:pPr>
            <w:r>
              <w:rPr>
                <w:color w:val="auto"/>
                <w:sz w:val="20"/>
                <w:szCs w:val="20"/>
                <w:highlight w:val="none"/>
              </w:rPr>
              <w:t>椅子</w:t>
            </w:r>
          </w:p>
        </w:tc>
        <w:tc>
          <w:tcPr>
            <w:tcW w:w="524" w:type="pct"/>
          </w:tcPr>
          <w:p w14:paraId="4358F9D3">
            <w:pPr>
              <w:jc w:val="center"/>
              <w:rPr>
                <w:color w:val="auto"/>
                <w:highlight w:val="none"/>
              </w:rPr>
            </w:pPr>
            <w:r>
              <w:rPr>
                <w:rFonts w:hint="eastAsia"/>
                <w:color w:val="auto"/>
                <w:highlight w:val="none"/>
              </w:rPr>
              <w:t>示意图</w:t>
            </w:r>
            <w:r>
              <w:rPr>
                <w:color w:val="auto"/>
                <w:highlight w:val="none"/>
              </w:rPr>
              <w:drawing>
                <wp:inline distT="0" distB="0" distL="114300" distR="114300">
                  <wp:extent cx="1348740" cy="1642745"/>
                  <wp:effectExtent l="0" t="0" r="3810" b="14605"/>
                  <wp:docPr id="12" name="图片 1" descr="/Users/shanyafei/Library/Containers/com.kingsoft.wpsoffice.mac/Data/tmp/photoeditapp/20260701171806/temp.pngte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 descr="/Users/shanyafei/Library/Containers/com.kingsoft.wpsoffice.mac/Data/tmp/photoeditapp/20260701171806/temp.pngtemp"/>
                          <pic:cNvPicPr>
                            <a:picLocks noChangeAspect="1"/>
                          </pic:cNvPicPr>
                        </pic:nvPicPr>
                        <pic:blipFill>
                          <a:blip r:embed="rId8"/>
                          <a:stretch>
                            <a:fillRect/>
                          </a:stretch>
                        </pic:blipFill>
                        <pic:spPr>
                          <a:xfrm>
                            <a:off x="0" y="0"/>
                            <a:ext cx="1348740" cy="1642745"/>
                          </a:xfrm>
                          <a:prstGeom prst="rect">
                            <a:avLst/>
                          </a:prstGeom>
                          <a:noFill/>
                          <a:ln>
                            <a:noFill/>
                          </a:ln>
                        </pic:spPr>
                      </pic:pic>
                    </a:graphicData>
                  </a:graphic>
                </wp:inline>
              </w:drawing>
            </w:r>
            <w:r>
              <w:rPr>
                <w:rFonts w:hint="eastAsia"/>
                <w:color w:val="auto"/>
                <w:highlight w:val="none"/>
              </w:rPr>
              <w:t xml:space="preserve">       </w:t>
            </w:r>
          </w:p>
        </w:tc>
        <w:tc>
          <w:tcPr>
            <w:tcW w:w="621" w:type="pct"/>
            <w:tcBorders>
              <w:top w:val="single" w:color="000000" w:sz="0" w:space="0"/>
              <w:left w:val="single" w:color="000000" w:sz="0" w:space="0"/>
              <w:bottom w:val="single" w:color="000000" w:sz="0" w:space="0"/>
              <w:right w:val="single" w:color="000000" w:sz="0" w:space="0"/>
            </w:tcBorders>
          </w:tcPr>
          <w:p w14:paraId="4774EF24">
            <w:pPr>
              <w:jc w:val="left"/>
              <w:rPr>
                <w:color w:val="auto"/>
                <w:highlight w:val="none"/>
              </w:rPr>
            </w:pPr>
            <w:r>
              <w:rPr>
                <w:rFonts w:hint="eastAsia"/>
                <w:color w:val="auto"/>
                <w:sz w:val="20"/>
                <w:szCs w:val="20"/>
                <w:highlight w:val="none"/>
              </w:rPr>
              <w:t>座高450</w:t>
            </w:r>
            <w:r>
              <w:rPr>
                <w:rFonts w:hint="eastAsia"/>
                <w:color w:val="auto"/>
                <w:sz w:val="20"/>
                <w:szCs w:val="20"/>
                <w:highlight w:val="none"/>
                <w:lang w:val="en-US" w:eastAsia="zh-CN"/>
              </w:rPr>
              <w:t>±10</w:t>
            </w:r>
            <w:r>
              <w:rPr>
                <w:rFonts w:hint="eastAsia"/>
                <w:color w:val="auto"/>
                <w:sz w:val="20"/>
                <w:szCs w:val="20"/>
                <w:highlight w:val="none"/>
              </w:rPr>
              <w:t>，总高815</w:t>
            </w:r>
            <w:r>
              <w:rPr>
                <w:rFonts w:hint="eastAsia"/>
                <w:color w:val="auto"/>
                <w:sz w:val="20"/>
                <w:szCs w:val="20"/>
                <w:highlight w:val="none"/>
                <w:lang w:val="en-US" w:eastAsia="zh-CN"/>
              </w:rPr>
              <w:t>±10</w:t>
            </w:r>
            <w:r>
              <w:rPr>
                <w:rFonts w:hint="eastAsia"/>
                <w:color w:val="auto"/>
                <w:sz w:val="20"/>
                <w:szCs w:val="20"/>
                <w:highlight w:val="none"/>
              </w:rPr>
              <w:t>，总宽595</w:t>
            </w:r>
            <w:r>
              <w:rPr>
                <w:rFonts w:hint="eastAsia"/>
                <w:color w:val="auto"/>
                <w:sz w:val="20"/>
                <w:szCs w:val="20"/>
                <w:highlight w:val="none"/>
                <w:lang w:val="en-US" w:eastAsia="zh-CN"/>
              </w:rPr>
              <w:t>±10</w:t>
            </w:r>
            <w:r>
              <w:rPr>
                <w:rFonts w:hint="eastAsia"/>
                <w:color w:val="auto"/>
                <w:sz w:val="20"/>
                <w:szCs w:val="20"/>
                <w:highlight w:val="none"/>
              </w:rPr>
              <w:t>，总深615</w:t>
            </w:r>
            <w:r>
              <w:rPr>
                <w:rFonts w:hint="eastAsia"/>
                <w:color w:val="auto"/>
                <w:sz w:val="20"/>
                <w:szCs w:val="20"/>
                <w:highlight w:val="none"/>
                <w:lang w:val="en-US" w:eastAsia="zh-CN"/>
              </w:rPr>
              <w:t>±10</w:t>
            </w:r>
          </w:p>
        </w:tc>
        <w:tc>
          <w:tcPr>
            <w:tcW w:w="204" w:type="pct"/>
            <w:tcBorders>
              <w:top w:val="single" w:color="000000" w:sz="0" w:space="0"/>
              <w:left w:val="single" w:color="000000" w:sz="0" w:space="0"/>
              <w:bottom w:val="single" w:color="000000" w:sz="0" w:space="0"/>
              <w:right w:val="single" w:color="000000" w:sz="0" w:space="0"/>
            </w:tcBorders>
          </w:tcPr>
          <w:p w14:paraId="6C070999">
            <w:pPr>
              <w:jc w:val="center"/>
              <w:rPr>
                <w:color w:val="auto"/>
                <w:highlight w:val="none"/>
              </w:rPr>
            </w:pPr>
            <w:r>
              <w:rPr>
                <w:rFonts w:hint="eastAsia"/>
                <w:color w:val="auto"/>
                <w:sz w:val="20"/>
                <w:szCs w:val="20"/>
                <w:highlight w:val="none"/>
              </w:rPr>
              <w:t>90</w:t>
            </w:r>
            <w:r>
              <w:rPr>
                <w:color w:val="auto"/>
                <w:sz w:val="20"/>
                <w:szCs w:val="20"/>
                <w:highlight w:val="none"/>
              </w:rPr>
              <w:t>套</w:t>
            </w:r>
          </w:p>
        </w:tc>
        <w:tc>
          <w:tcPr>
            <w:tcW w:w="504" w:type="pct"/>
            <w:tcBorders>
              <w:top w:val="single" w:color="000000" w:sz="0" w:space="0"/>
              <w:left w:val="single" w:color="000000" w:sz="0" w:space="0"/>
              <w:bottom w:val="single" w:color="000000" w:sz="0" w:space="0"/>
              <w:right w:val="single" w:color="000000" w:sz="0" w:space="0"/>
            </w:tcBorders>
          </w:tcPr>
          <w:p w14:paraId="65082465">
            <w:pPr>
              <w:jc w:val="left"/>
              <w:rPr>
                <w:color w:val="auto"/>
                <w:highlight w:val="none"/>
              </w:rPr>
            </w:pPr>
            <w:r>
              <w:rPr>
                <w:color w:val="auto"/>
                <w:sz w:val="20"/>
                <w:szCs w:val="20"/>
                <w:highlight w:val="none"/>
              </w:rPr>
              <w:t>饰面、油漆、脚轮</w:t>
            </w:r>
          </w:p>
        </w:tc>
        <w:tc>
          <w:tcPr>
            <w:tcW w:w="314" w:type="pct"/>
            <w:tcBorders>
              <w:top w:val="single" w:color="000000" w:sz="0" w:space="0"/>
              <w:left w:val="single" w:color="000000" w:sz="0" w:space="0"/>
              <w:bottom w:val="single" w:color="000000" w:sz="0" w:space="0"/>
              <w:right w:val="single" w:color="000000" w:sz="0" w:space="0"/>
            </w:tcBorders>
          </w:tcPr>
          <w:p w14:paraId="0469339A">
            <w:pPr>
              <w:jc w:val="left"/>
              <w:rPr>
                <w:color w:val="auto"/>
                <w:highlight w:val="none"/>
              </w:rPr>
            </w:pPr>
            <w:r>
              <w:rPr>
                <w:color w:val="auto"/>
                <w:sz w:val="20"/>
                <w:szCs w:val="20"/>
                <w:highlight w:val="none"/>
              </w:rPr>
              <w:t>PP/塑胶</w:t>
            </w:r>
          </w:p>
        </w:tc>
        <w:tc>
          <w:tcPr>
            <w:tcW w:w="2095" w:type="pct"/>
            <w:tcBorders>
              <w:top w:val="single" w:color="000000" w:sz="0" w:space="0"/>
              <w:left w:val="single" w:color="000000" w:sz="0" w:space="0"/>
              <w:bottom w:val="single" w:color="000000" w:sz="0" w:space="0"/>
              <w:right w:val="single" w:color="000000" w:sz="0" w:space="0"/>
            </w:tcBorders>
          </w:tcPr>
          <w:p w14:paraId="7196F094">
            <w:pPr>
              <w:numPr>
                <w:ilvl w:val="0"/>
                <w:numId w:val="8"/>
              </w:numPr>
              <w:jc w:val="left"/>
              <w:rPr>
                <w:rFonts w:hint="eastAsia" w:ascii="宋体" w:hAnsi="宋体" w:cs="宋体"/>
                <w:snapToGrid w:val="0"/>
                <w:color w:val="auto"/>
                <w:kern w:val="0"/>
                <w:sz w:val="20"/>
                <w:szCs w:val="20"/>
                <w:highlight w:val="none"/>
                <w:lang w:bidi="ar"/>
              </w:rPr>
            </w:pPr>
            <w:r>
              <w:rPr>
                <w:rFonts w:hint="eastAsia" w:ascii="宋体" w:hAnsi="宋体" w:cs="宋体"/>
                <w:snapToGrid w:val="0"/>
                <w:color w:val="auto"/>
                <w:kern w:val="0"/>
                <w:sz w:val="20"/>
                <w:szCs w:val="20"/>
                <w:highlight w:val="none"/>
                <w:lang w:bidi="ar"/>
              </w:rPr>
              <w:t>椅背采用全新聚丙稀（PP)加玻璃纤维，镂空的纹理设计提高背的弹性，上端为横纹镂空、下端为竖纹镂空。增加舒适度,具有透气功能。背宽≥480mm,背高≥320mm。椅背翻边设计增加靠背的牢固性，厚度≥6mm。椅背手提功能方便单手挪动椅子，手提位置长≥105mm，宽≥23mm。</w:t>
            </w:r>
            <w:r>
              <w:rPr>
                <w:rFonts w:hint="eastAsia" w:ascii="宋体" w:hAnsi="宋体" w:cs="宋体"/>
                <w:snapToGrid w:val="0"/>
                <w:color w:val="auto"/>
                <w:kern w:val="0"/>
                <w:sz w:val="20"/>
                <w:szCs w:val="20"/>
                <w:highlight w:val="none"/>
                <w:lang w:bidi="ar"/>
              </w:rPr>
              <w:br w:type="textWrapping"/>
            </w:r>
            <w:r>
              <w:rPr>
                <w:rFonts w:hint="eastAsia" w:ascii="宋体" w:hAnsi="宋体" w:cs="宋体"/>
                <w:snapToGrid w:val="0"/>
                <w:color w:val="auto"/>
                <w:kern w:val="0"/>
                <w:sz w:val="20"/>
                <w:szCs w:val="20"/>
                <w:highlight w:val="none"/>
                <w:lang w:bidi="ar"/>
              </w:rPr>
              <w:t>（2）椅面采用全新软性聚乙烯（PE）。由三部分组成（上座板、弹簧、底板）。座板整体最薄部分≥35mm，最厚部分≥62mm。</w:t>
            </w:r>
            <w:r>
              <w:rPr>
                <w:rFonts w:hint="eastAsia" w:ascii="宋体" w:hAnsi="宋体" w:cs="宋体"/>
                <w:snapToGrid w:val="0"/>
                <w:color w:val="auto"/>
                <w:kern w:val="0"/>
                <w:sz w:val="20"/>
                <w:szCs w:val="20"/>
                <w:highlight w:val="none"/>
                <w:lang w:bidi="ar"/>
              </w:rPr>
              <w:br w:type="textWrapping"/>
            </w:r>
            <w:r>
              <w:rPr>
                <w:rFonts w:hint="eastAsia" w:ascii="宋体" w:hAnsi="宋体" w:cs="宋体"/>
                <w:snapToGrid w:val="0"/>
                <w:color w:val="auto"/>
                <w:kern w:val="0"/>
                <w:sz w:val="20"/>
                <w:szCs w:val="20"/>
                <w:highlight w:val="none"/>
                <w:lang w:bidi="ar"/>
              </w:rPr>
              <w:t>2.1条纹的座面提高座感和按摩功能，座面两侧做向下弧的设计，使用者座感更加舒适。座宽≥440mm，座深≥430mm，平均厚度≥6mm。椅座是翻转卡扣式设计，可堆叠，便于收纳，节省空间。座板标配≥4个弹簧，弹簧直径≥32mm,线径≥3.5mm，高度≥35mm，内置螺丝同向锁定。弹簧功能</w:t>
            </w:r>
            <w:r>
              <w:rPr>
                <w:rFonts w:hint="eastAsia" w:ascii="宋体" w:hAnsi="宋体" w:cs="宋体"/>
                <w:snapToGrid w:val="0"/>
                <w:color w:val="auto"/>
                <w:kern w:val="0"/>
                <w:sz w:val="20"/>
                <w:szCs w:val="20"/>
                <w:highlight w:val="none"/>
                <w:lang w:val="en-US" w:eastAsia="zh-CN" w:bidi="ar"/>
              </w:rPr>
              <w:t>可</w:t>
            </w:r>
            <w:r>
              <w:rPr>
                <w:rFonts w:hint="eastAsia" w:ascii="宋体" w:hAnsi="宋体" w:cs="宋体"/>
                <w:snapToGrid w:val="0"/>
                <w:color w:val="auto"/>
                <w:kern w:val="0"/>
                <w:sz w:val="20"/>
                <w:szCs w:val="20"/>
                <w:highlight w:val="none"/>
                <w:lang w:bidi="ar"/>
              </w:rPr>
              <w:t>提供缓冲回弹，减少长时间坐着带来的不适。座壳为全新聚丙稀材质（PP)。整椅可双色搭配，增加视觉吸引力，满足个性化需求功能。</w:t>
            </w:r>
          </w:p>
          <w:p w14:paraId="6DA03CCB">
            <w:pPr>
              <w:numPr>
                <w:ilvl w:val="0"/>
                <w:numId w:val="8"/>
              </w:numPr>
              <w:jc w:val="left"/>
              <w:rPr>
                <w:color w:val="auto"/>
                <w:highlight w:val="none"/>
              </w:rPr>
            </w:pPr>
            <w:r>
              <w:rPr>
                <w:rFonts w:hint="eastAsia" w:ascii="宋体" w:hAnsi="宋体" w:cs="宋体"/>
                <w:snapToGrid w:val="0"/>
                <w:color w:val="auto"/>
                <w:kern w:val="0"/>
                <w:sz w:val="20"/>
                <w:szCs w:val="20"/>
                <w:highlight w:val="none"/>
                <w:lang w:bidi="ar"/>
              </w:rPr>
              <w:t>钢架；优质冷轧钢管压铸成型、前钢材架为圆管直径≥22mm、壁厚≥1.5mm，后钢材架为旦形管.内长≥35mm、内宽≥20mm、壁厚≥1.5mm。前后脚垫采用全新尼龙材质,前两脚脚垫直径23mm、厚度10～</w:t>
            </w:r>
            <w:r>
              <w:rPr>
                <w:rFonts w:hint="eastAsia" w:ascii="宋体" w:hAnsi="宋体" w:cs="宋体"/>
                <w:snapToGrid w:val="0"/>
                <w:color w:val="auto"/>
                <w:kern w:val="0"/>
                <w:sz w:val="20"/>
                <w:szCs w:val="20"/>
                <w:highlight w:val="none"/>
                <w:lang w:val="en-US" w:eastAsia="zh-CN" w:bidi="ar"/>
              </w:rPr>
              <w:t>11</w:t>
            </w:r>
            <w:r>
              <w:rPr>
                <w:rFonts w:hint="eastAsia" w:ascii="宋体" w:hAnsi="宋体" w:cs="宋体"/>
                <w:snapToGrid w:val="0"/>
                <w:color w:val="auto"/>
                <w:kern w:val="0"/>
                <w:sz w:val="20"/>
                <w:szCs w:val="20"/>
                <w:highlight w:val="none"/>
                <w:lang w:bidi="ar"/>
              </w:rPr>
              <w:t>.3mm、，后两脚脚垫厚度≥1.0～2.1CM，静音脚胶塞PE材质，具有良好静音效果。搭配坐刹脚轮，坐下自动刹车，站起可移动。                                                                             （4）成品均满足GB/T 35607-2024《绿色产品评价 家具》的要求（其中成品甲醛释放量≤0.05mg/m3）</w:t>
            </w:r>
            <w:r>
              <w:rPr>
                <w:rFonts w:hint="eastAsia" w:ascii="宋体" w:hAnsi="宋体" w:cs="宋体"/>
                <w:snapToGrid w:val="0"/>
                <w:color w:val="auto"/>
                <w:kern w:val="0"/>
                <w:sz w:val="20"/>
                <w:szCs w:val="20"/>
                <w:highlight w:val="none"/>
                <w:lang w:eastAsia="zh-CN" w:bidi="ar"/>
              </w:rPr>
              <w:t>。</w:t>
            </w:r>
            <w:r>
              <w:rPr>
                <w:rFonts w:hint="eastAsia"/>
                <w:color w:val="auto"/>
                <w:sz w:val="20"/>
                <w:szCs w:val="20"/>
                <w:highlight w:val="none"/>
              </w:rPr>
              <w:t xml:space="preserve">   </w:t>
            </w:r>
          </w:p>
        </w:tc>
      </w:tr>
      <w:tr w14:paraId="15738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0" w:type="dxa"/>
            <w:left w:w="100" w:type="dxa"/>
            <w:bottom w:w="50" w:type="dxa"/>
            <w:right w:w="100" w:type="dxa"/>
          </w:tblCellMar>
        </w:tblPrEx>
        <w:trPr>
          <w:trHeight w:val="1285" w:hRule="atLeast"/>
        </w:trPr>
        <w:tc>
          <w:tcPr>
            <w:tcW w:w="153" w:type="pct"/>
            <w:tcBorders>
              <w:top w:val="single" w:color="000000" w:sz="0" w:space="0"/>
              <w:left w:val="single" w:color="000000" w:sz="0" w:space="0"/>
              <w:bottom w:val="single" w:color="000000" w:sz="0" w:space="0"/>
              <w:right w:val="single" w:color="000000" w:sz="0" w:space="0"/>
            </w:tcBorders>
          </w:tcPr>
          <w:p w14:paraId="32CB3E6C">
            <w:pPr>
              <w:numPr>
                <w:ilvl w:val="0"/>
                <w:numId w:val="7"/>
              </w:numPr>
              <w:jc w:val="center"/>
              <w:rPr>
                <w:color w:val="auto"/>
                <w:highlight w:val="none"/>
              </w:rPr>
            </w:pPr>
          </w:p>
        </w:tc>
        <w:tc>
          <w:tcPr>
            <w:tcW w:w="325" w:type="pct"/>
            <w:tcBorders>
              <w:top w:val="single" w:color="000000" w:sz="0" w:space="0"/>
              <w:left w:val="single" w:color="000000" w:sz="0" w:space="0"/>
              <w:bottom w:val="single" w:color="000000" w:sz="0" w:space="0"/>
              <w:right w:val="single" w:color="000000" w:sz="0" w:space="0"/>
            </w:tcBorders>
          </w:tcPr>
          <w:p w14:paraId="3A267320">
            <w:pPr>
              <w:jc w:val="left"/>
              <w:rPr>
                <w:color w:val="auto"/>
                <w:sz w:val="20"/>
                <w:szCs w:val="20"/>
                <w:highlight w:val="none"/>
              </w:rPr>
            </w:pPr>
            <w:r>
              <w:rPr>
                <w:rFonts w:hint="eastAsia"/>
                <w:color w:val="auto"/>
                <w:sz w:val="20"/>
                <w:szCs w:val="20"/>
                <w:highlight w:val="none"/>
              </w:rPr>
              <w:t>教师办公椅</w:t>
            </w:r>
            <w:r>
              <w:rPr>
                <w:rFonts w:hint="eastAsia"/>
                <w:color w:val="auto"/>
                <w:highlight w:val="none"/>
                <w:lang w:eastAsia="zh-CN"/>
              </w:rPr>
              <w:t>（</w:t>
            </w:r>
            <w:r>
              <w:rPr>
                <w:rFonts w:hint="eastAsia"/>
                <w:color w:val="auto"/>
                <w:highlight w:val="none"/>
                <w:lang w:val="en-US" w:eastAsia="zh-CN"/>
              </w:rPr>
              <w:t>核心产品</w:t>
            </w:r>
            <w:r>
              <w:rPr>
                <w:rFonts w:hint="eastAsia"/>
                <w:color w:val="auto"/>
                <w:highlight w:val="none"/>
                <w:lang w:eastAsia="zh-CN"/>
              </w:rPr>
              <w:t>）</w:t>
            </w:r>
          </w:p>
        </w:tc>
        <w:tc>
          <w:tcPr>
            <w:tcW w:w="257" w:type="pct"/>
            <w:tcBorders>
              <w:top w:val="single" w:color="000000" w:sz="0" w:space="0"/>
              <w:left w:val="single" w:color="000000" w:sz="0" w:space="0"/>
              <w:bottom w:val="single" w:color="000000" w:sz="0" w:space="0"/>
              <w:right w:val="single" w:color="000000" w:sz="0" w:space="0"/>
            </w:tcBorders>
          </w:tcPr>
          <w:p w14:paraId="701B6DCF">
            <w:pPr>
              <w:jc w:val="center"/>
              <w:rPr>
                <w:color w:val="auto"/>
                <w:sz w:val="20"/>
                <w:szCs w:val="20"/>
                <w:highlight w:val="none"/>
              </w:rPr>
            </w:pPr>
            <w:r>
              <w:rPr>
                <w:rFonts w:hint="eastAsia"/>
                <w:color w:val="auto"/>
                <w:sz w:val="20"/>
                <w:szCs w:val="20"/>
                <w:highlight w:val="none"/>
              </w:rPr>
              <w:t>椅子</w:t>
            </w:r>
          </w:p>
        </w:tc>
        <w:tc>
          <w:tcPr>
            <w:tcW w:w="524" w:type="pct"/>
          </w:tcPr>
          <w:p w14:paraId="6750A093">
            <w:pPr>
              <w:jc w:val="center"/>
              <w:rPr>
                <w:color w:val="auto"/>
                <w:highlight w:val="none"/>
              </w:rPr>
            </w:pPr>
            <w:r>
              <w:rPr>
                <w:rFonts w:hint="eastAsia"/>
                <w:color w:val="auto"/>
                <w:highlight w:val="none"/>
              </w:rPr>
              <w:drawing>
                <wp:inline distT="0" distB="0" distL="114300" distR="114300">
                  <wp:extent cx="687070" cy="1073785"/>
                  <wp:effectExtent l="0" t="0" r="17780" b="12065"/>
                  <wp:docPr id="17" name="图片 17" descr="/Users/shanyafei/Library/Containers/com.kingsoft.wpsoffice.mac/Data/tmp/photoeditapp/20260607153732/temp.pngte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Users/shanyafei/Library/Containers/com.kingsoft.wpsoffice.mac/Data/tmp/photoeditapp/20260607153732/temp.pngtemp"/>
                          <pic:cNvPicPr>
                            <a:picLocks noChangeAspect="1"/>
                          </pic:cNvPicPr>
                        </pic:nvPicPr>
                        <pic:blipFill>
                          <a:blip r:embed="rId9"/>
                          <a:stretch>
                            <a:fillRect/>
                          </a:stretch>
                        </pic:blipFill>
                        <pic:spPr>
                          <a:xfrm>
                            <a:off x="0" y="0"/>
                            <a:ext cx="687070" cy="1073785"/>
                          </a:xfrm>
                          <a:prstGeom prst="rect">
                            <a:avLst/>
                          </a:prstGeom>
                        </pic:spPr>
                      </pic:pic>
                    </a:graphicData>
                  </a:graphic>
                </wp:inline>
              </w:drawing>
            </w:r>
            <w:r>
              <w:rPr>
                <w:color w:val="auto"/>
                <w:highlight w:val="none"/>
              </w:rPr>
              <w:drawing>
                <wp:inline distT="0" distB="0" distL="114300" distR="114300">
                  <wp:extent cx="614045" cy="1033145"/>
                  <wp:effectExtent l="0" t="0" r="14605" b="14605"/>
                  <wp:docPr id="21" name="图片 3" descr="/Users/shanyafei/Library/Containers/com.kingsoft.wpsoffice.mac/Data/tmp/photoeditapp/20260607153814/temp.pngte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3" descr="/Users/shanyafei/Library/Containers/com.kingsoft.wpsoffice.mac/Data/tmp/photoeditapp/20260607153814/temp.pngtemp"/>
                          <pic:cNvPicPr>
                            <a:picLocks noChangeAspect="1"/>
                          </pic:cNvPicPr>
                        </pic:nvPicPr>
                        <pic:blipFill>
                          <a:blip r:embed="rId10"/>
                          <a:stretch>
                            <a:fillRect/>
                          </a:stretch>
                        </pic:blipFill>
                        <pic:spPr>
                          <a:xfrm>
                            <a:off x="0" y="0"/>
                            <a:ext cx="614045" cy="1033145"/>
                          </a:xfrm>
                          <a:prstGeom prst="rect">
                            <a:avLst/>
                          </a:prstGeom>
                          <a:noFill/>
                          <a:ln>
                            <a:noFill/>
                          </a:ln>
                        </pic:spPr>
                      </pic:pic>
                    </a:graphicData>
                  </a:graphic>
                </wp:inline>
              </w:drawing>
            </w:r>
          </w:p>
        </w:tc>
        <w:tc>
          <w:tcPr>
            <w:tcW w:w="621" w:type="pct"/>
            <w:tcBorders>
              <w:top w:val="single" w:color="000000" w:sz="0" w:space="0"/>
              <w:left w:val="single" w:color="000000" w:sz="0" w:space="0"/>
              <w:bottom w:val="single" w:color="000000" w:sz="0" w:space="0"/>
              <w:right w:val="single" w:color="000000" w:sz="0" w:space="0"/>
            </w:tcBorders>
          </w:tcPr>
          <w:p w14:paraId="1B2D0358">
            <w:pPr>
              <w:jc w:val="left"/>
              <w:rPr>
                <w:color w:val="auto"/>
                <w:sz w:val="20"/>
                <w:szCs w:val="20"/>
                <w:highlight w:val="none"/>
              </w:rPr>
            </w:pPr>
            <w:r>
              <w:rPr>
                <w:rFonts w:hint="eastAsia"/>
                <w:color w:val="auto"/>
                <w:sz w:val="20"/>
                <w:szCs w:val="20"/>
                <w:highlight w:val="none"/>
              </w:rPr>
              <w:t>600*680*</w:t>
            </w:r>
            <w:r>
              <w:rPr>
                <w:rFonts w:hint="eastAsia"/>
                <w:color w:val="auto"/>
                <w:sz w:val="20"/>
                <w:szCs w:val="20"/>
                <w:highlight w:val="none"/>
                <w:lang w:eastAsia="zh-CN"/>
              </w:rPr>
              <w:t>（</w:t>
            </w:r>
            <w:r>
              <w:rPr>
                <w:rFonts w:hint="eastAsia"/>
                <w:color w:val="auto"/>
                <w:sz w:val="20"/>
                <w:szCs w:val="20"/>
                <w:highlight w:val="none"/>
              </w:rPr>
              <w:t>1200</w:t>
            </w:r>
            <w:r>
              <w:rPr>
                <w:rFonts w:hint="eastAsia"/>
                <w:color w:val="auto"/>
                <w:sz w:val="20"/>
                <w:szCs w:val="20"/>
                <w:highlight w:val="none"/>
                <w:lang w:val="en-US" w:eastAsia="zh-CN"/>
              </w:rPr>
              <w:t>-1300</w:t>
            </w:r>
            <w:r>
              <w:rPr>
                <w:rFonts w:hint="eastAsia"/>
                <w:color w:val="auto"/>
                <w:sz w:val="20"/>
                <w:szCs w:val="20"/>
                <w:highlight w:val="none"/>
                <w:lang w:eastAsia="zh-CN"/>
              </w:rPr>
              <w:t>）（</w:t>
            </w:r>
            <w:r>
              <w:rPr>
                <w:rFonts w:hint="eastAsia"/>
                <w:color w:val="auto"/>
                <w:sz w:val="20"/>
                <w:szCs w:val="20"/>
                <w:highlight w:val="none"/>
                <w:lang w:val="en-US" w:eastAsia="zh-CN"/>
              </w:rPr>
              <w:t>尺寸偏差±10</w:t>
            </w:r>
            <w:r>
              <w:rPr>
                <w:rFonts w:hint="eastAsia"/>
                <w:color w:val="auto"/>
                <w:sz w:val="20"/>
                <w:szCs w:val="20"/>
                <w:highlight w:val="none"/>
                <w:lang w:eastAsia="zh-CN"/>
              </w:rPr>
              <w:t>）</w:t>
            </w:r>
          </w:p>
          <w:p w14:paraId="28E5F593">
            <w:pPr>
              <w:jc w:val="left"/>
              <w:rPr>
                <w:color w:val="auto"/>
                <w:sz w:val="20"/>
                <w:szCs w:val="20"/>
                <w:highlight w:val="none"/>
              </w:rPr>
            </w:pPr>
          </w:p>
        </w:tc>
        <w:tc>
          <w:tcPr>
            <w:tcW w:w="204" w:type="pct"/>
            <w:tcBorders>
              <w:top w:val="single" w:color="000000" w:sz="0" w:space="0"/>
              <w:left w:val="single" w:color="000000" w:sz="0" w:space="0"/>
              <w:bottom w:val="single" w:color="000000" w:sz="0" w:space="0"/>
              <w:right w:val="single" w:color="000000" w:sz="0" w:space="0"/>
            </w:tcBorders>
          </w:tcPr>
          <w:p w14:paraId="190AE17F">
            <w:pPr>
              <w:jc w:val="center"/>
              <w:rPr>
                <w:color w:val="auto"/>
                <w:sz w:val="20"/>
                <w:szCs w:val="20"/>
                <w:highlight w:val="none"/>
              </w:rPr>
            </w:pPr>
            <w:r>
              <w:rPr>
                <w:rFonts w:hint="eastAsia"/>
                <w:color w:val="auto"/>
                <w:sz w:val="20"/>
                <w:szCs w:val="20"/>
                <w:highlight w:val="none"/>
              </w:rPr>
              <w:t>155</w:t>
            </w:r>
            <w:r>
              <w:rPr>
                <w:color w:val="auto"/>
                <w:sz w:val="20"/>
                <w:szCs w:val="20"/>
                <w:highlight w:val="none"/>
              </w:rPr>
              <w:t>把</w:t>
            </w:r>
          </w:p>
        </w:tc>
        <w:tc>
          <w:tcPr>
            <w:tcW w:w="504" w:type="pct"/>
            <w:tcBorders>
              <w:top w:val="single" w:color="000000" w:sz="0" w:space="0"/>
              <w:left w:val="single" w:color="000000" w:sz="0" w:space="0"/>
              <w:bottom w:val="single" w:color="000000" w:sz="0" w:space="0"/>
              <w:right w:val="single" w:color="000000" w:sz="0" w:space="0"/>
            </w:tcBorders>
          </w:tcPr>
          <w:p w14:paraId="5179777D">
            <w:pPr>
              <w:jc w:val="left"/>
              <w:rPr>
                <w:color w:val="auto"/>
                <w:sz w:val="20"/>
                <w:szCs w:val="20"/>
                <w:highlight w:val="none"/>
              </w:rPr>
            </w:pPr>
            <w:r>
              <w:rPr>
                <w:rFonts w:hint="eastAsia"/>
                <w:color w:val="auto"/>
                <w:sz w:val="20"/>
                <w:szCs w:val="20"/>
                <w:highlight w:val="none"/>
              </w:rPr>
              <w:t>面料：特网布</w:t>
            </w:r>
          </w:p>
          <w:p w14:paraId="3BE9D2A6">
            <w:pPr>
              <w:jc w:val="left"/>
              <w:rPr>
                <w:color w:val="auto"/>
                <w:sz w:val="20"/>
                <w:szCs w:val="20"/>
                <w:highlight w:val="none"/>
              </w:rPr>
            </w:pPr>
            <w:r>
              <w:rPr>
                <w:rFonts w:hint="eastAsia"/>
                <w:color w:val="auto"/>
                <w:sz w:val="20"/>
                <w:szCs w:val="20"/>
                <w:highlight w:val="none"/>
              </w:rPr>
              <w:t>框架：塑胶</w:t>
            </w:r>
          </w:p>
          <w:p w14:paraId="1442F4C9">
            <w:pPr>
              <w:jc w:val="left"/>
              <w:rPr>
                <w:color w:val="auto"/>
                <w:sz w:val="20"/>
                <w:szCs w:val="20"/>
                <w:highlight w:val="none"/>
              </w:rPr>
            </w:pPr>
            <w:r>
              <w:rPr>
                <w:rFonts w:hint="eastAsia"/>
                <w:color w:val="auto"/>
                <w:sz w:val="20"/>
                <w:szCs w:val="20"/>
                <w:highlight w:val="none"/>
              </w:rPr>
              <w:t>座垫：高密度定型海绵</w:t>
            </w:r>
          </w:p>
          <w:p w14:paraId="67B58B9F">
            <w:pPr>
              <w:jc w:val="left"/>
              <w:rPr>
                <w:color w:val="auto"/>
                <w:sz w:val="20"/>
                <w:szCs w:val="20"/>
                <w:highlight w:val="none"/>
              </w:rPr>
            </w:pPr>
            <w:r>
              <w:rPr>
                <w:rFonts w:hint="eastAsia"/>
                <w:color w:val="auto"/>
                <w:sz w:val="20"/>
                <w:szCs w:val="20"/>
                <w:highlight w:val="none"/>
              </w:rPr>
              <w:t>椅脚：铝合金</w:t>
            </w:r>
          </w:p>
          <w:p w14:paraId="3ABA5357">
            <w:pPr>
              <w:jc w:val="left"/>
              <w:rPr>
                <w:color w:val="auto"/>
                <w:sz w:val="20"/>
                <w:szCs w:val="20"/>
                <w:highlight w:val="none"/>
              </w:rPr>
            </w:pPr>
            <w:r>
              <w:rPr>
                <w:rFonts w:hint="eastAsia"/>
                <w:color w:val="auto"/>
                <w:sz w:val="20"/>
                <w:szCs w:val="20"/>
                <w:highlight w:val="none"/>
              </w:rPr>
              <w:t>气压棒：精钢</w:t>
            </w:r>
          </w:p>
          <w:p w14:paraId="191BFEC2">
            <w:pPr>
              <w:jc w:val="left"/>
              <w:rPr>
                <w:color w:val="auto"/>
                <w:sz w:val="20"/>
                <w:szCs w:val="20"/>
                <w:highlight w:val="none"/>
              </w:rPr>
            </w:pPr>
            <w:r>
              <w:rPr>
                <w:rFonts w:hint="eastAsia"/>
                <w:color w:val="auto"/>
                <w:sz w:val="20"/>
                <w:szCs w:val="20"/>
                <w:highlight w:val="none"/>
              </w:rPr>
              <w:t>椅轮：PU</w:t>
            </w:r>
          </w:p>
        </w:tc>
        <w:tc>
          <w:tcPr>
            <w:tcW w:w="314" w:type="pct"/>
            <w:tcBorders>
              <w:top w:val="single" w:color="000000" w:sz="0" w:space="0"/>
              <w:left w:val="single" w:color="000000" w:sz="0" w:space="0"/>
              <w:bottom w:val="single" w:color="000000" w:sz="0" w:space="0"/>
              <w:right w:val="single" w:color="000000" w:sz="0" w:space="0"/>
            </w:tcBorders>
          </w:tcPr>
          <w:p w14:paraId="62091D42">
            <w:pPr>
              <w:jc w:val="left"/>
              <w:rPr>
                <w:color w:val="auto"/>
                <w:sz w:val="20"/>
                <w:szCs w:val="20"/>
                <w:highlight w:val="none"/>
              </w:rPr>
            </w:pPr>
            <w:r>
              <w:rPr>
                <w:rFonts w:hint="eastAsia"/>
                <w:color w:val="auto"/>
                <w:sz w:val="20"/>
                <w:szCs w:val="20"/>
                <w:highlight w:val="none"/>
              </w:rPr>
              <w:t>面料：特网布</w:t>
            </w:r>
          </w:p>
          <w:p w14:paraId="12B46371">
            <w:pPr>
              <w:jc w:val="left"/>
              <w:rPr>
                <w:color w:val="auto"/>
                <w:sz w:val="20"/>
                <w:szCs w:val="20"/>
                <w:highlight w:val="none"/>
              </w:rPr>
            </w:pPr>
            <w:r>
              <w:rPr>
                <w:rFonts w:hint="eastAsia"/>
                <w:color w:val="auto"/>
                <w:sz w:val="20"/>
                <w:szCs w:val="20"/>
                <w:highlight w:val="none"/>
              </w:rPr>
              <w:t>框架：塑胶</w:t>
            </w:r>
          </w:p>
          <w:p w14:paraId="2D57A032">
            <w:pPr>
              <w:jc w:val="left"/>
              <w:rPr>
                <w:color w:val="auto"/>
                <w:sz w:val="20"/>
                <w:szCs w:val="20"/>
                <w:highlight w:val="none"/>
              </w:rPr>
            </w:pPr>
            <w:r>
              <w:rPr>
                <w:rFonts w:hint="eastAsia"/>
                <w:color w:val="auto"/>
                <w:sz w:val="20"/>
                <w:szCs w:val="20"/>
                <w:highlight w:val="none"/>
              </w:rPr>
              <w:t>座垫：高密度定型海绵</w:t>
            </w:r>
          </w:p>
          <w:p w14:paraId="15A97635">
            <w:pPr>
              <w:jc w:val="left"/>
              <w:rPr>
                <w:color w:val="auto"/>
                <w:sz w:val="20"/>
                <w:szCs w:val="20"/>
                <w:highlight w:val="none"/>
              </w:rPr>
            </w:pPr>
            <w:r>
              <w:rPr>
                <w:rFonts w:hint="eastAsia"/>
                <w:color w:val="auto"/>
                <w:sz w:val="20"/>
                <w:szCs w:val="20"/>
                <w:highlight w:val="none"/>
              </w:rPr>
              <w:t>椅脚：铝合金</w:t>
            </w:r>
          </w:p>
          <w:p w14:paraId="21289324">
            <w:pPr>
              <w:jc w:val="left"/>
              <w:rPr>
                <w:color w:val="auto"/>
                <w:sz w:val="20"/>
                <w:szCs w:val="20"/>
                <w:highlight w:val="none"/>
              </w:rPr>
            </w:pPr>
            <w:r>
              <w:rPr>
                <w:rFonts w:hint="eastAsia"/>
                <w:color w:val="auto"/>
                <w:sz w:val="20"/>
                <w:szCs w:val="20"/>
                <w:highlight w:val="none"/>
              </w:rPr>
              <w:t>气压棒：精钢</w:t>
            </w:r>
          </w:p>
          <w:p w14:paraId="2CA19549">
            <w:pPr>
              <w:jc w:val="left"/>
              <w:rPr>
                <w:color w:val="auto"/>
                <w:sz w:val="20"/>
                <w:szCs w:val="20"/>
                <w:highlight w:val="none"/>
              </w:rPr>
            </w:pPr>
            <w:r>
              <w:rPr>
                <w:rFonts w:hint="eastAsia"/>
                <w:color w:val="auto"/>
                <w:sz w:val="20"/>
                <w:szCs w:val="20"/>
                <w:highlight w:val="none"/>
              </w:rPr>
              <w:t>椅轮：PU</w:t>
            </w:r>
          </w:p>
        </w:tc>
        <w:tc>
          <w:tcPr>
            <w:tcW w:w="2095" w:type="pct"/>
            <w:tcBorders>
              <w:top w:val="single" w:color="000000" w:sz="0" w:space="0"/>
              <w:left w:val="single" w:color="000000" w:sz="0" w:space="0"/>
              <w:bottom w:val="single" w:color="000000" w:sz="0" w:space="0"/>
              <w:right w:val="single" w:color="000000" w:sz="0" w:space="0"/>
            </w:tcBorders>
          </w:tcPr>
          <w:p w14:paraId="6778842C">
            <w:pPr>
              <w:numPr>
                <w:ilvl w:val="-1"/>
                <w:numId w:val="0"/>
              </w:numPr>
              <w:jc w:val="left"/>
              <w:rPr>
                <w:color w:val="auto"/>
                <w:sz w:val="20"/>
                <w:szCs w:val="20"/>
                <w:highlight w:val="none"/>
              </w:rPr>
            </w:pPr>
            <w:r>
              <w:rPr>
                <w:rFonts w:hint="eastAsia"/>
                <w:color w:val="auto"/>
                <w:sz w:val="20"/>
                <w:szCs w:val="20"/>
                <w:highlight w:val="none"/>
                <w:lang w:eastAsia="zh-CN"/>
              </w:rPr>
              <w:t>（</w:t>
            </w:r>
            <w:r>
              <w:rPr>
                <w:rFonts w:hint="eastAsia"/>
                <w:color w:val="auto"/>
                <w:sz w:val="20"/>
                <w:szCs w:val="20"/>
                <w:highlight w:val="none"/>
                <w:lang w:val="en-US" w:eastAsia="zh-CN"/>
              </w:rPr>
              <w:t>1</w:t>
            </w:r>
            <w:r>
              <w:rPr>
                <w:rFonts w:hint="eastAsia"/>
                <w:color w:val="auto"/>
                <w:sz w:val="20"/>
                <w:szCs w:val="20"/>
                <w:highlight w:val="none"/>
                <w:lang w:eastAsia="zh-CN"/>
              </w:rPr>
              <w:t>）</w:t>
            </w:r>
            <w:r>
              <w:rPr>
                <w:rFonts w:hint="eastAsia"/>
                <w:color w:val="auto"/>
                <w:sz w:val="20"/>
                <w:szCs w:val="20"/>
                <w:highlight w:val="none"/>
              </w:rPr>
              <w:t>基材：全新PP加玻纤背框，优质加厚特网，高回弹</w:t>
            </w:r>
            <w:r>
              <w:rPr>
                <w:rFonts w:hint="eastAsia" w:ascii="宋体" w:hAnsi="宋体" w:cs="宋体"/>
                <w:snapToGrid w:val="0"/>
                <w:color w:val="auto"/>
                <w:kern w:val="0"/>
                <w:sz w:val="20"/>
                <w:szCs w:val="20"/>
                <w:highlight w:val="none"/>
                <w:lang w:bidi="ar"/>
              </w:rPr>
              <w:t>≥</w:t>
            </w:r>
            <w:r>
              <w:rPr>
                <w:rFonts w:hint="eastAsia"/>
                <w:color w:val="auto"/>
                <w:sz w:val="20"/>
                <w:szCs w:val="20"/>
                <w:highlight w:val="none"/>
              </w:rPr>
              <w:t>8CM加厚定型海绵坐垫，高弹力，久坐不变形，超大方形升降底盘，电镀五星脚盘。</w:t>
            </w:r>
          </w:p>
          <w:p w14:paraId="0F336EB8">
            <w:pPr>
              <w:numPr>
                <w:ilvl w:val="-1"/>
                <w:numId w:val="0"/>
              </w:numPr>
              <w:jc w:val="left"/>
              <w:rPr>
                <w:color w:val="auto"/>
                <w:sz w:val="20"/>
                <w:szCs w:val="20"/>
                <w:highlight w:val="none"/>
              </w:rPr>
            </w:pPr>
            <w:r>
              <w:rPr>
                <w:rFonts w:hint="eastAsia"/>
                <w:color w:val="auto"/>
                <w:sz w:val="20"/>
                <w:szCs w:val="20"/>
                <w:highlight w:val="none"/>
                <w:lang w:val="en-US" w:eastAsia="zh-CN"/>
              </w:rPr>
              <w:t>（2）</w:t>
            </w:r>
            <w:r>
              <w:rPr>
                <w:rFonts w:hint="eastAsia"/>
                <w:color w:val="auto"/>
                <w:sz w:val="20"/>
                <w:szCs w:val="20"/>
                <w:highlight w:val="none"/>
              </w:rPr>
              <w:t>结构：S型宽大固定头枕，柔软舒适透气，多功能超大腰托紧贴腰部，带有</w:t>
            </w:r>
            <w:r>
              <w:rPr>
                <w:rFonts w:hint="eastAsia" w:ascii="宋体" w:hAnsi="宋体" w:cs="宋体"/>
                <w:snapToGrid w:val="0"/>
                <w:color w:val="auto"/>
                <w:kern w:val="0"/>
                <w:sz w:val="20"/>
                <w:szCs w:val="20"/>
                <w:highlight w:val="none"/>
                <w:lang w:bidi="ar"/>
              </w:rPr>
              <w:t>≥</w:t>
            </w:r>
            <w:r>
              <w:rPr>
                <w:rFonts w:hint="eastAsia"/>
                <w:color w:val="auto"/>
                <w:sz w:val="20"/>
                <w:szCs w:val="20"/>
                <w:highlight w:val="none"/>
              </w:rPr>
              <w:t>6个按摩球，可根据人体舒适度上下，前后调节，PP弹力活动扶手，拉手式</w:t>
            </w:r>
            <w:r>
              <w:rPr>
                <w:rFonts w:hint="eastAsia" w:ascii="宋体" w:hAnsi="宋体" w:cs="宋体"/>
                <w:snapToGrid w:val="0"/>
                <w:color w:val="auto"/>
                <w:kern w:val="0"/>
                <w:sz w:val="20"/>
                <w:szCs w:val="20"/>
                <w:highlight w:val="none"/>
                <w:lang w:bidi="ar"/>
              </w:rPr>
              <w:t>≥</w:t>
            </w:r>
            <w:r>
              <w:rPr>
                <w:rFonts w:hint="eastAsia"/>
                <w:color w:val="auto"/>
                <w:sz w:val="20"/>
                <w:szCs w:val="20"/>
                <w:highlight w:val="none"/>
              </w:rPr>
              <w:t>300牛线控气动躺度功能，靠背任意角度调节</w:t>
            </w:r>
          </w:p>
          <w:p w14:paraId="52370010">
            <w:pPr>
              <w:jc w:val="left"/>
              <w:rPr>
                <w:rFonts w:hint="eastAsia" w:ascii="宋体" w:hAnsi="宋体" w:cs="宋体"/>
                <w:color w:val="auto"/>
                <w:sz w:val="18"/>
                <w:szCs w:val="18"/>
                <w:highlight w:val="none"/>
                <w:lang w:bidi="ar"/>
              </w:rPr>
            </w:pPr>
            <w:r>
              <w:rPr>
                <w:rFonts w:hint="eastAsia" w:ascii="宋体" w:hAnsi="宋体" w:cs="宋体"/>
                <w:color w:val="auto"/>
                <w:sz w:val="18"/>
                <w:szCs w:val="18"/>
                <w:highlight w:val="none"/>
                <w:lang w:val="en-US" w:eastAsia="zh-CN" w:bidi="ar"/>
              </w:rPr>
              <w:t>(3）</w:t>
            </w:r>
            <w:r>
              <w:rPr>
                <w:rFonts w:hint="eastAsia" w:ascii="宋体" w:hAnsi="宋体" w:cs="宋体"/>
                <w:color w:val="auto"/>
                <w:sz w:val="18"/>
                <w:szCs w:val="18"/>
                <w:highlight w:val="none"/>
                <w:lang w:bidi="ar"/>
              </w:rPr>
              <w:t>环保：家具成品均</w:t>
            </w:r>
            <w:r>
              <w:rPr>
                <w:rFonts w:hint="eastAsia" w:ascii="宋体" w:hAnsi="宋体" w:cs="宋体"/>
                <w:color w:val="auto"/>
                <w:sz w:val="18"/>
                <w:szCs w:val="18"/>
                <w:highlight w:val="none"/>
                <w:lang w:eastAsia="zh-CN" w:bidi="ar"/>
              </w:rPr>
              <w:t>需</w:t>
            </w:r>
            <w:r>
              <w:rPr>
                <w:rFonts w:hint="eastAsia" w:ascii="宋体" w:hAnsi="宋体" w:cs="宋体"/>
                <w:color w:val="auto"/>
                <w:sz w:val="18"/>
                <w:szCs w:val="18"/>
                <w:highlight w:val="none"/>
                <w:lang w:bidi="ar"/>
              </w:rPr>
              <w:t>满足GB/T 35607-2024《绿色产品评价 家具》的要求（其中成品甲醛释放量≤0.05mg/m3，苯≤0.05mg/m3，甲苯、二甲苯≤0.1mg/m3，TVOC≤0.3mg/m3）</w:t>
            </w:r>
            <w:r>
              <w:rPr>
                <w:rFonts w:hint="eastAsia" w:ascii="宋体" w:hAnsi="宋体" w:cs="宋体"/>
                <w:color w:val="auto"/>
                <w:sz w:val="18"/>
                <w:szCs w:val="18"/>
                <w:highlight w:val="none"/>
                <w:lang w:eastAsia="zh-CN" w:bidi="ar"/>
              </w:rPr>
              <w:t>。</w:t>
            </w:r>
          </w:p>
        </w:tc>
      </w:tr>
      <w:tr w14:paraId="31C56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0" w:type="dxa"/>
            <w:left w:w="100" w:type="dxa"/>
            <w:bottom w:w="50" w:type="dxa"/>
            <w:right w:w="100" w:type="dxa"/>
          </w:tblCellMar>
        </w:tblPrEx>
        <w:tc>
          <w:tcPr>
            <w:tcW w:w="153" w:type="pct"/>
            <w:tcBorders>
              <w:top w:val="single" w:color="000000" w:sz="0" w:space="0"/>
              <w:left w:val="single" w:color="000000" w:sz="0" w:space="0"/>
              <w:bottom w:val="single" w:color="000000" w:sz="0" w:space="0"/>
              <w:right w:val="single" w:color="000000" w:sz="0" w:space="0"/>
            </w:tcBorders>
          </w:tcPr>
          <w:p w14:paraId="0CECDE14">
            <w:pPr>
              <w:numPr>
                <w:ilvl w:val="0"/>
                <w:numId w:val="7"/>
              </w:numPr>
              <w:jc w:val="center"/>
              <w:rPr>
                <w:color w:val="auto"/>
                <w:highlight w:val="none"/>
              </w:rPr>
            </w:pPr>
          </w:p>
        </w:tc>
        <w:tc>
          <w:tcPr>
            <w:tcW w:w="325" w:type="pct"/>
            <w:tcBorders>
              <w:top w:val="single" w:color="000000" w:sz="0" w:space="0"/>
              <w:left w:val="single" w:color="000000" w:sz="0" w:space="0"/>
              <w:bottom w:val="single" w:color="000000" w:sz="0" w:space="0"/>
              <w:right w:val="single" w:color="000000" w:sz="0" w:space="0"/>
            </w:tcBorders>
          </w:tcPr>
          <w:p w14:paraId="76105DAF">
            <w:pPr>
              <w:jc w:val="left"/>
              <w:rPr>
                <w:color w:val="auto"/>
                <w:highlight w:val="none"/>
              </w:rPr>
            </w:pPr>
            <w:r>
              <w:rPr>
                <w:rFonts w:hint="eastAsia"/>
                <w:color w:val="auto"/>
                <w:sz w:val="20"/>
                <w:szCs w:val="20"/>
                <w:highlight w:val="none"/>
              </w:rPr>
              <w:t>办公椅</w:t>
            </w:r>
          </w:p>
        </w:tc>
        <w:tc>
          <w:tcPr>
            <w:tcW w:w="257" w:type="pct"/>
            <w:tcBorders>
              <w:top w:val="single" w:color="000000" w:sz="0" w:space="0"/>
              <w:left w:val="single" w:color="000000" w:sz="0" w:space="0"/>
              <w:bottom w:val="single" w:color="000000" w:sz="0" w:space="0"/>
              <w:right w:val="single" w:color="000000" w:sz="0" w:space="0"/>
            </w:tcBorders>
          </w:tcPr>
          <w:p w14:paraId="6CE6FA28">
            <w:pPr>
              <w:jc w:val="center"/>
              <w:rPr>
                <w:rFonts w:hint="eastAsia" w:eastAsia="宋体"/>
                <w:color w:val="auto"/>
                <w:highlight w:val="none"/>
                <w:lang w:val="en-US" w:eastAsia="zh-CN"/>
              </w:rPr>
            </w:pPr>
            <w:r>
              <w:rPr>
                <w:color w:val="auto"/>
                <w:sz w:val="20"/>
                <w:szCs w:val="20"/>
                <w:highlight w:val="none"/>
              </w:rPr>
              <w:t>椅子</w:t>
            </w:r>
            <w:r>
              <w:rPr>
                <w:rFonts w:hint="eastAsia"/>
                <w:color w:val="auto"/>
                <w:sz w:val="20"/>
                <w:szCs w:val="20"/>
                <w:highlight w:val="none"/>
                <w:lang w:val="en-US" w:eastAsia="zh-CN"/>
              </w:rPr>
              <w:t>1</w:t>
            </w:r>
          </w:p>
        </w:tc>
        <w:tc>
          <w:tcPr>
            <w:tcW w:w="524" w:type="pct"/>
          </w:tcPr>
          <w:p w14:paraId="7417CCD6">
            <w:pPr>
              <w:jc w:val="center"/>
              <w:rPr>
                <w:color w:val="auto"/>
                <w:highlight w:val="none"/>
              </w:rPr>
            </w:pPr>
            <w:r>
              <w:rPr>
                <w:color w:val="auto"/>
                <w:highlight w:val="none"/>
              </w:rPr>
              <w:drawing>
                <wp:inline distT="0" distB="0" distL="0" distR="0">
                  <wp:extent cx="1076325" cy="1076325"/>
                  <wp:effectExtent l="0" t="0" r="9525" b="9525"/>
                  <wp:docPr id="22" name="Image" descr="参考图片" titl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 descr="参考图片" title="图片"/>
                          <pic:cNvPicPr>
                            <a:picLocks noChangeAspect="1" noChangeArrowheads="1"/>
                          </pic:cNvPicPr>
                        </pic:nvPicPr>
                        <pic:blipFill>
                          <a:blip r:embed="rId11"/>
                          <a:srcRect/>
                          <a:stretch>
                            <a:fillRect/>
                          </a:stretch>
                        </pic:blipFill>
                        <pic:spPr>
                          <a:xfrm>
                            <a:off x="0" y="0"/>
                            <a:ext cx="1076325" cy="1076325"/>
                          </a:xfrm>
                          <a:prstGeom prst="rect">
                            <a:avLst/>
                          </a:prstGeom>
                        </pic:spPr>
                      </pic:pic>
                    </a:graphicData>
                  </a:graphic>
                </wp:inline>
              </w:drawing>
            </w:r>
          </w:p>
        </w:tc>
        <w:tc>
          <w:tcPr>
            <w:tcW w:w="621" w:type="pct"/>
            <w:tcBorders>
              <w:top w:val="single" w:color="000000" w:sz="0" w:space="0"/>
              <w:left w:val="single" w:color="000000" w:sz="0" w:space="0"/>
              <w:bottom w:val="single" w:color="000000" w:sz="0" w:space="0"/>
              <w:right w:val="single" w:color="000000" w:sz="0" w:space="0"/>
            </w:tcBorders>
          </w:tcPr>
          <w:p w14:paraId="501A14C5">
            <w:pPr>
              <w:jc w:val="left"/>
              <w:rPr>
                <w:color w:val="auto"/>
                <w:highlight w:val="none"/>
              </w:rPr>
            </w:pPr>
            <w:r>
              <w:rPr>
                <w:color w:val="auto"/>
                <w:sz w:val="20"/>
                <w:szCs w:val="20"/>
                <w:highlight w:val="none"/>
              </w:rPr>
              <w:t>常规</w:t>
            </w:r>
          </w:p>
        </w:tc>
        <w:tc>
          <w:tcPr>
            <w:tcW w:w="204" w:type="pct"/>
            <w:tcBorders>
              <w:top w:val="single" w:color="000000" w:sz="0" w:space="0"/>
              <w:left w:val="single" w:color="000000" w:sz="0" w:space="0"/>
              <w:bottom w:val="single" w:color="000000" w:sz="0" w:space="0"/>
              <w:right w:val="single" w:color="000000" w:sz="0" w:space="0"/>
            </w:tcBorders>
          </w:tcPr>
          <w:p w14:paraId="139B9A1E">
            <w:pPr>
              <w:jc w:val="center"/>
              <w:rPr>
                <w:color w:val="auto"/>
                <w:highlight w:val="none"/>
              </w:rPr>
            </w:pPr>
            <w:r>
              <w:rPr>
                <w:rFonts w:hint="eastAsia"/>
                <w:color w:val="auto"/>
                <w:sz w:val="20"/>
                <w:szCs w:val="20"/>
                <w:highlight w:val="none"/>
              </w:rPr>
              <w:t>10</w:t>
            </w:r>
            <w:r>
              <w:rPr>
                <w:color w:val="auto"/>
                <w:sz w:val="20"/>
                <w:szCs w:val="20"/>
                <w:highlight w:val="none"/>
              </w:rPr>
              <w:t>把</w:t>
            </w:r>
          </w:p>
        </w:tc>
        <w:tc>
          <w:tcPr>
            <w:tcW w:w="504" w:type="pct"/>
            <w:tcBorders>
              <w:top w:val="single" w:color="000000" w:sz="0" w:space="0"/>
              <w:left w:val="single" w:color="000000" w:sz="0" w:space="0"/>
              <w:bottom w:val="single" w:color="000000" w:sz="0" w:space="0"/>
              <w:right w:val="single" w:color="000000" w:sz="0" w:space="0"/>
            </w:tcBorders>
          </w:tcPr>
          <w:p w14:paraId="53742E7D">
            <w:pPr>
              <w:jc w:val="left"/>
              <w:rPr>
                <w:color w:val="auto"/>
                <w:highlight w:val="none"/>
              </w:rPr>
            </w:pPr>
            <w:r>
              <w:rPr>
                <w:color w:val="auto"/>
                <w:sz w:val="20"/>
                <w:szCs w:val="20"/>
                <w:highlight w:val="none"/>
              </w:rPr>
              <w:t>饰面、脚轮</w:t>
            </w:r>
          </w:p>
        </w:tc>
        <w:tc>
          <w:tcPr>
            <w:tcW w:w="314" w:type="pct"/>
            <w:tcBorders>
              <w:top w:val="single" w:color="000000" w:sz="0" w:space="0"/>
              <w:left w:val="single" w:color="000000" w:sz="0" w:space="0"/>
              <w:bottom w:val="single" w:color="000000" w:sz="0" w:space="0"/>
              <w:right w:val="single" w:color="000000" w:sz="0" w:space="0"/>
            </w:tcBorders>
          </w:tcPr>
          <w:p w14:paraId="2B285717">
            <w:pPr>
              <w:jc w:val="left"/>
              <w:rPr>
                <w:color w:val="auto"/>
                <w:highlight w:val="none"/>
              </w:rPr>
            </w:pPr>
            <w:r>
              <w:rPr>
                <w:color w:val="auto"/>
                <w:sz w:val="20"/>
                <w:szCs w:val="20"/>
                <w:highlight w:val="none"/>
              </w:rPr>
              <w:t>高密度海绵、实木、网布、PP/塑胶</w:t>
            </w:r>
          </w:p>
        </w:tc>
        <w:tc>
          <w:tcPr>
            <w:tcW w:w="2095" w:type="pct"/>
            <w:tcBorders>
              <w:top w:val="single" w:color="000000" w:sz="0" w:space="0"/>
              <w:left w:val="single" w:color="000000" w:sz="0" w:space="0"/>
              <w:bottom w:val="single" w:color="000000" w:sz="0" w:space="0"/>
              <w:right w:val="single" w:color="000000" w:sz="0" w:space="0"/>
            </w:tcBorders>
          </w:tcPr>
          <w:p w14:paraId="379A33E3">
            <w:pPr>
              <w:numPr>
                <w:ilvl w:val="0"/>
                <w:numId w:val="9"/>
              </w:numPr>
              <w:jc w:val="left"/>
              <w:rPr>
                <w:color w:val="auto"/>
                <w:sz w:val="20"/>
                <w:szCs w:val="20"/>
                <w:highlight w:val="none"/>
              </w:rPr>
            </w:pPr>
            <w:r>
              <w:rPr>
                <w:rFonts w:hint="eastAsia"/>
                <w:color w:val="auto"/>
                <w:sz w:val="20"/>
                <w:szCs w:val="20"/>
                <w:highlight w:val="none"/>
              </w:rPr>
              <w:t>基材：面料采用耐磨亲肤弹力面料，椅背采用加厚网布，PP+玻纤椅背，黑色PP+玻纤扶手。</w:t>
            </w:r>
            <w:r>
              <w:rPr>
                <w:rFonts w:hint="eastAsia" w:ascii="宋体" w:hAnsi="宋体" w:cs="宋体"/>
                <w:snapToGrid w:val="0"/>
                <w:color w:val="auto"/>
                <w:kern w:val="0"/>
                <w:sz w:val="20"/>
                <w:szCs w:val="20"/>
                <w:highlight w:val="none"/>
                <w:lang w:bidi="ar"/>
              </w:rPr>
              <w:t>≥</w:t>
            </w:r>
            <w:r>
              <w:rPr>
                <w:rFonts w:hint="eastAsia"/>
                <w:color w:val="auto"/>
                <w:sz w:val="20"/>
                <w:szCs w:val="20"/>
                <w:highlight w:val="none"/>
              </w:rPr>
              <w:t>50密度全新定型海棉。</w:t>
            </w:r>
          </w:p>
          <w:p w14:paraId="04F055AC">
            <w:pPr>
              <w:numPr>
                <w:ilvl w:val="0"/>
                <w:numId w:val="9"/>
              </w:numPr>
              <w:jc w:val="left"/>
              <w:rPr>
                <w:color w:val="auto"/>
                <w:sz w:val="20"/>
                <w:szCs w:val="20"/>
                <w:highlight w:val="none"/>
              </w:rPr>
            </w:pPr>
            <w:r>
              <w:rPr>
                <w:rFonts w:hint="eastAsia"/>
                <w:color w:val="auto"/>
                <w:sz w:val="20"/>
                <w:szCs w:val="20"/>
                <w:highlight w:val="none"/>
              </w:rPr>
              <w:t>优质黑色五星脚，尼龙轮子。</w:t>
            </w:r>
          </w:p>
          <w:p w14:paraId="00713ED7">
            <w:pPr>
              <w:numPr>
                <w:ilvl w:val="0"/>
                <w:numId w:val="9"/>
              </w:numPr>
              <w:jc w:val="left"/>
              <w:rPr>
                <w:rFonts w:hint="eastAsia" w:ascii="宋体" w:hAnsi="宋体" w:cs="宋体"/>
                <w:color w:val="auto"/>
                <w:sz w:val="18"/>
                <w:szCs w:val="18"/>
                <w:highlight w:val="none"/>
                <w:lang w:bidi="ar"/>
              </w:rPr>
            </w:pPr>
            <w:r>
              <w:rPr>
                <w:rFonts w:hint="eastAsia" w:ascii="宋体" w:hAnsi="宋体" w:cs="宋体"/>
                <w:color w:val="auto"/>
                <w:sz w:val="18"/>
                <w:szCs w:val="18"/>
                <w:highlight w:val="none"/>
                <w:lang w:bidi="ar"/>
              </w:rPr>
              <w:t>环保：家具成品均</w:t>
            </w:r>
            <w:r>
              <w:rPr>
                <w:rFonts w:hint="eastAsia" w:ascii="宋体" w:hAnsi="宋体" w:cs="宋体"/>
                <w:color w:val="auto"/>
                <w:sz w:val="18"/>
                <w:szCs w:val="18"/>
                <w:highlight w:val="none"/>
                <w:lang w:eastAsia="zh-CN" w:bidi="ar"/>
              </w:rPr>
              <w:t>需</w:t>
            </w:r>
            <w:r>
              <w:rPr>
                <w:rFonts w:hint="eastAsia" w:ascii="宋体" w:hAnsi="宋体" w:cs="宋体"/>
                <w:color w:val="auto"/>
                <w:sz w:val="18"/>
                <w:szCs w:val="18"/>
                <w:highlight w:val="none"/>
                <w:lang w:bidi="ar"/>
              </w:rPr>
              <w:t>满足GB/T 35607-2024《绿色产品评价 家具》的要求（其中成品甲醛释放量≤0.05mg/m3，苯≤0.05mg/m3，甲苯、二甲苯≤0.1mg/m3，TVOC≤0.3mg/m3）</w:t>
            </w:r>
          </w:p>
        </w:tc>
      </w:tr>
      <w:tr w14:paraId="42C63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0" w:type="dxa"/>
            <w:left w:w="100" w:type="dxa"/>
            <w:bottom w:w="50" w:type="dxa"/>
            <w:right w:w="100" w:type="dxa"/>
          </w:tblCellMar>
        </w:tblPrEx>
        <w:tc>
          <w:tcPr>
            <w:tcW w:w="153" w:type="pct"/>
            <w:tcBorders>
              <w:top w:val="single" w:color="000000" w:sz="0" w:space="0"/>
              <w:left w:val="single" w:color="000000" w:sz="0" w:space="0"/>
              <w:bottom w:val="single" w:color="000000" w:sz="0" w:space="0"/>
              <w:right w:val="single" w:color="000000" w:sz="0" w:space="0"/>
            </w:tcBorders>
          </w:tcPr>
          <w:p w14:paraId="7D8FAA36">
            <w:pPr>
              <w:numPr>
                <w:ilvl w:val="0"/>
                <w:numId w:val="7"/>
              </w:numPr>
              <w:jc w:val="center"/>
              <w:rPr>
                <w:color w:val="auto"/>
                <w:highlight w:val="none"/>
              </w:rPr>
            </w:pPr>
          </w:p>
        </w:tc>
        <w:tc>
          <w:tcPr>
            <w:tcW w:w="325" w:type="pct"/>
            <w:tcBorders>
              <w:top w:val="single" w:color="000000" w:sz="0" w:space="0"/>
              <w:left w:val="single" w:color="000000" w:sz="0" w:space="0"/>
              <w:bottom w:val="single" w:color="000000" w:sz="0" w:space="0"/>
              <w:right w:val="single" w:color="000000" w:sz="0" w:space="0"/>
            </w:tcBorders>
          </w:tcPr>
          <w:p w14:paraId="0B81CDAF">
            <w:pPr>
              <w:jc w:val="left"/>
              <w:rPr>
                <w:color w:val="auto"/>
                <w:highlight w:val="none"/>
              </w:rPr>
            </w:pPr>
            <w:r>
              <w:rPr>
                <w:color w:val="auto"/>
                <w:sz w:val="20"/>
                <w:szCs w:val="20"/>
                <w:highlight w:val="none"/>
              </w:rPr>
              <w:t>会议条桌椅</w:t>
            </w:r>
          </w:p>
        </w:tc>
        <w:tc>
          <w:tcPr>
            <w:tcW w:w="257" w:type="pct"/>
            <w:tcBorders>
              <w:top w:val="single" w:color="000000" w:sz="0" w:space="0"/>
              <w:left w:val="single" w:color="000000" w:sz="0" w:space="0"/>
              <w:bottom w:val="single" w:color="000000" w:sz="0" w:space="0"/>
              <w:right w:val="single" w:color="000000" w:sz="0" w:space="0"/>
            </w:tcBorders>
          </w:tcPr>
          <w:p w14:paraId="0DBC73FD">
            <w:pPr>
              <w:jc w:val="center"/>
              <w:rPr>
                <w:rFonts w:hint="eastAsia" w:eastAsia="宋体"/>
                <w:color w:val="auto"/>
                <w:highlight w:val="none"/>
                <w:lang w:val="en-US" w:eastAsia="zh-CN"/>
              </w:rPr>
            </w:pPr>
            <w:r>
              <w:rPr>
                <w:color w:val="auto"/>
                <w:sz w:val="20"/>
                <w:szCs w:val="20"/>
                <w:highlight w:val="none"/>
              </w:rPr>
              <w:t>椅子</w:t>
            </w:r>
            <w:r>
              <w:rPr>
                <w:rFonts w:hint="eastAsia"/>
                <w:color w:val="auto"/>
                <w:sz w:val="20"/>
                <w:szCs w:val="20"/>
                <w:highlight w:val="none"/>
                <w:lang w:val="en-US" w:eastAsia="zh-CN"/>
              </w:rPr>
              <w:t>2</w:t>
            </w:r>
          </w:p>
        </w:tc>
        <w:tc>
          <w:tcPr>
            <w:tcW w:w="524" w:type="pct"/>
          </w:tcPr>
          <w:p w14:paraId="11BA7A58">
            <w:pPr>
              <w:jc w:val="center"/>
              <w:rPr>
                <w:color w:val="auto"/>
                <w:highlight w:val="none"/>
              </w:rPr>
            </w:pPr>
            <w:r>
              <w:rPr>
                <w:rFonts w:hint="eastAsia"/>
                <w:color w:val="auto"/>
                <w:highlight w:val="none"/>
              </w:rPr>
              <w:t xml:space="preserve">示意图  </w:t>
            </w:r>
            <w:r>
              <w:rPr>
                <w:color w:val="auto"/>
                <w:highlight w:val="none"/>
              </w:rPr>
              <w:drawing>
                <wp:inline distT="0" distB="0" distL="0" distR="0">
                  <wp:extent cx="1000760" cy="1000760"/>
                  <wp:effectExtent l="0" t="0" r="8890" b="8890"/>
                  <wp:docPr id="23" name="Image" descr="参考图片" titl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descr="参考图片" title="图片"/>
                          <pic:cNvPicPr>
                            <a:picLocks noChangeAspect="1" noChangeArrowheads="1"/>
                          </pic:cNvPicPr>
                        </pic:nvPicPr>
                        <pic:blipFill>
                          <a:blip r:embed="rId12"/>
                          <a:srcRect/>
                          <a:stretch>
                            <a:fillRect/>
                          </a:stretch>
                        </pic:blipFill>
                        <pic:spPr>
                          <a:xfrm>
                            <a:off x="0" y="0"/>
                            <a:ext cx="1000760" cy="1000760"/>
                          </a:xfrm>
                          <a:prstGeom prst="rect">
                            <a:avLst/>
                          </a:prstGeom>
                        </pic:spPr>
                      </pic:pic>
                    </a:graphicData>
                  </a:graphic>
                </wp:inline>
              </w:drawing>
            </w:r>
            <w:r>
              <w:rPr>
                <w:rFonts w:hint="eastAsia"/>
                <w:color w:val="auto"/>
                <w:highlight w:val="none"/>
              </w:rPr>
              <w:t xml:space="preserve">     </w:t>
            </w:r>
          </w:p>
        </w:tc>
        <w:tc>
          <w:tcPr>
            <w:tcW w:w="621" w:type="pct"/>
            <w:tcBorders>
              <w:top w:val="single" w:color="000000" w:sz="0" w:space="0"/>
              <w:left w:val="single" w:color="000000" w:sz="0" w:space="0"/>
              <w:bottom w:val="single" w:color="000000" w:sz="0" w:space="0"/>
              <w:right w:val="single" w:color="000000" w:sz="0" w:space="0"/>
            </w:tcBorders>
          </w:tcPr>
          <w:p w14:paraId="39F435BF">
            <w:pPr>
              <w:jc w:val="left"/>
              <w:rPr>
                <w:color w:val="auto"/>
                <w:highlight w:val="none"/>
              </w:rPr>
            </w:pPr>
            <w:r>
              <w:rPr>
                <w:color w:val="auto"/>
                <w:sz w:val="20"/>
                <w:szCs w:val="20"/>
                <w:highlight w:val="none"/>
              </w:rPr>
              <w:t>常规</w:t>
            </w:r>
          </w:p>
        </w:tc>
        <w:tc>
          <w:tcPr>
            <w:tcW w:w="204" w:type="pct"/>
            <w:tcBorders>
              <w:top w:val="single" w:color="000000" w:sz="0" w:space="0"/>
              <w:left w:val="single" w:color="000000" w:sz="0" w:space="0"/>
              <w:bottom w:val="single" w:color="000000" w:sz="0" w:space="0"/>
              <w:right w:val="single" w:color="000000" w:sz="0" w:space="0"/>
            </w:tcBorders>
          </w:tcPr>
          <w:p w14:paraId="68BEA791">
            <w:pPr>
              <w:jc w:val="center"/>
              <w:rPr>
                <w:color w:val="auto"/>
                <w:highlight w:val="none"/>
              </w:rPr>
            </w:pPr>
            <w:r>
              <w:rPr>
                <w:color w:val="auto"/>
                <w:sz w:val="20"/>
                <w:szCs w:val="20"/>
                <w:highlight w:val="none"/>
              </w:rPr>
              <w:t>76把</w:t>
            </w:r>
          </w:p>
        </w:tc>
        <w:tc>
          <w:tcPr>
            <w:tcW w:w="504" w:type="pct"/>
            <w:tcBorders>
              <w:top w:val="single" w:color="000000" w:sz="0" w:space="0"/>
              <w:left w:val="single" w:color="000000" w:sz="0" w:space="0"/>
              <w:bottom w:val="single" w:color="000000" w:sz="0" w:space="0"/>
              <w:right w:val="single" w:color="000000" w:sz="0" w:space="0"/>
            </w:tcBorders>
          </w:tcPr>
          <w:p w14:paraId="752F54F1">
            <w:pPr>
              <w:jc w:val="left"/>
              <w:rPr>
                <w:color w:val="auto"/>
                <w:highlight w:val="none"/>
              </w:rPr>
            </w:pPr>
            <w:r>
              <w:rPr>
                <w:color w:val="auto"/>
                <w:sz w:val="20"/>
                <w:szCs w:val="20"/>
                <w:highlight w:val="none"/>
              </w:rPr>
              <w:t>饰面</w:t>
            </w:r>
          </w:p>
        </w:tc>
        <w:tc>
          <w:tcPr>
            <w:tcW w:w="314" w:type="pct"/>
            <w:tcBorders>
              <w:top w:val="single" w:color="000000" w:sz="0" w:space="0"/>
              <w:left w:val="single" w:color="000000" w:sz="0" w:space="0"/>
              <w:bottom w:val="single" w:color="000000" w:sz="0" w:space="0"/>
              <w:right w:val="single" w:color="000000" w:sz="0" w:space="0"/>
            </w:tcBorders>
          </w:tcPr>
          <w:p w14:paraId="33DA97A4">
            <w:pPr>
              <w:jc w:val="left"/>
              <w:rPr>
                <w:color w:val="auto"/>
                <w:highlight w:val="none"/>
              </w:rPr>
            </w:pPr>
            <w:r>
              <w:rPr>
                <w:color w:val="auto"/>
                <w:sz w:val="20"/>
                <w:szCs w:val="20"/>
                <w:highlight w:val="none"/>
              </w:rPr>
              <w:t>PP/塑胶</w:t>
            </w:r>
          </w:p>
        </w:tc>
        <w:tc>
          <w:tcPr>
            <w:tcW w:w="2095" w:type="pct"/>
            <w:tcBorders>
              <w:top w:val="single" w:color="000000" w:sz="0" w:space="0"/>
              <w:left w:val="single" w:color="000000" w:sz="0" w:space="0"/>
              <w:bottom w:val="single" w:color="000000" w:sz="0" w:space="0"/>
              <w:right w:val="single" w:color="000000" w:sz="0" w:space="0"/>
            </w:tcBorders>
          </w:tcPr>
          <w:p w14:paraId="6EE397F9">
            <w:pPr>
              <w:numPr>
                <w:ilvl w:val="0"/>
                <w:numId w:val="10"/>
              </w:numPr>
              <w:jc w:val="left"/>
              <w:rPr>
                <w:rFonts w:hint="eastAsia"/>
                <w:color w:val="auto"/>
                <w:sz w:val="20"/>
                <w:szCs w:val="20"/>
                <w:highlight w:val="none"/>
              </w:rPr>
            </w:pPr>
            <w:r>
              <w:rPr>
                <w:rFonts w:hint="eastAsia"/>
                <w:color w:val="auto"/>
                <w:sz w:val="20"/>
                <w:szCs w:val="20"/>
                <w:highlight w:val="none"/>
              </w:rPr>
              <w:t xml:space="preserve">胶壳是PP全新原材料，12厘实心钢筋喷涂架，高级耐磨弹力绒布座饰面，磨、喷漆成型、带PU万向轮。                                   </w:t>
            </w:r>
          </w:p>
          <w:p w14:paraId="63F82C3E">
            <w:pPr>
              <w:numPr>
                <w:ilvl w:val="0"/>
                <w:numId w:val="10"/>
              </w:numPr>
              <w:jc w:val="left"/>
              <w:rPr>
                <w:color w:val="auto"/>
                <w:highlight w:val="none"/>
              </w:rPr>
            </w:pPr>
            <w:r>
              <w:rPr>
                <w:rFonts w:hint="eastAsia"/>
                <w:color w:val="auto"/>
                <w:sz w:val="20"/>
                <w:szCs w:val="20"/>
                <w:highlight w:val="none"/>
              </w:rPr>
              <w:t>可承重</w:t>
            </w:r>
            <w:r>
              <w:rPr>
                <w:rFonts w:hint="eastAsia" w:ascii="宋体" w:hAnsi="宋体" w:cs="宋体"/>
                <w:snapToGrid w:val="0"/>
                <w:color w:val="auto"/>
                <w:kern w:val="0"/>
                <w:sz w:val="20"/>
                <w:szCs w:val="20"/>
                <w:highlight w:val="none"/>
                <w:lang w:bidi="ar"/>
              </w:rPr>
              <w:t>≥</w:t>
            </w:r>
            <w:r>
              <w:rPr>
                <w:rFonts w:hint="eastAsia"/>
                <w:color w:val="auto"/>
                <w:sz w:val="20"/>
                <w:szCs w:val="20"/>
                <w:highlight w:val="none"/>
              </w:rPr>
              <w:t>150公斤可叠放，坐垫颜色多选，常规颜色为黑色，</w:t>
            </w:r>
            <w:r>
              <w:rPr>
                <w:rFonts w:hint="eastAsia"/>
                <w:color w:val="auto"/>
                <w:sz w:val="20"/>
                <w:szCs w:val="20"/>
                <w:highlight w:val="none"/>
                <w:lang w:val="en-US" w:eastAsia="zh-CN"/>
              </w:rPr>
              <w:t>投标商可提供</w:t>
            </w:r>
            <w:r>
              <w:rPr>
                <w:rFonts w:hint="eastAsia"/>
                <w:color w:val="auto"/>
                <w:sz w:val="20"/>
                <w:szCs w:val="20"/>
                <w:highlight w:val="none"/>
              </w:rPr>
              <w:t>白色，黄色，蓝色，灰色，红色，绿色</w:t>
            </w:r>
            <w:r>
              <w:rPr>
                <w:rFonts w:hint="eastAsia"/>
                <w:color w:val="auto"/>
                <w:sz w:val="20"/>
                <w:szCs w:val="20"/>
                <w:highlight w:val="none"/>
                <w:lang w:val="en-US" w:eastAsia="zh-CN"/>
              </w:rPr>
              <w:t>可选</w:t>
            </w:r>
            <w:r>
              <w:rPr>
                <w:rFonts w:hint="eastAsia"/>
                <w:color w:val="auto"/>
                <w:sz w:val="20"/>
                <w:szCs w:val="20"/>
                <w:highlight w:val="none"/>
              </w:rPr>
              <w:t>。</w:t>
            </w:r>
          </w:p>
        </w:tc>
      </w:tr>
      <w:tr w14:paraId="722F1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0" w:type="dxa"/>
            <w:left w:w="100" w:type="dxa"/>
            <w:bottom w:w="50" w:type="dxa"/>
            <w:right w:w="100" w:type="dxa"/>
          </w:tblCellMar>
        </w:tblPrEx>
        <w:tc>
          <w:tcPr>
            <w:tcW w:w="153" w:type="pct"/>
            <w:tcBorders>
              <w:top w:val="single" w:color="000000" w:sz="0" w:space="0"/>
              <w:left w:val="single" w:color="000000" w:sz="0" w:space="0"/>
              <w:bottom w:val="single" w:color="000000" w:sz="0" w:space="0"/>
              <w:right w:val="single" w:color="000000" w:sz="0" w:space="0"/>
            </w:tcBorders>
          </w:tcPr>
          <w:p w14:paraId="48A5E0FF">
            <w:pPr>
              <w:numPr>
                <w:ilvl w:val="0"/>
                <w:numId w:val="7"/>
              </w:numPr>
              <w:jc w:val="center"/>
              <w:rPr>
                <w:color w:val="auto"/>
                <w:highlight w:val="none"/>
              </w:rPr>
            </w:pPr>
          </w:p>
        </w:tc>
        <w:tc>
          <w:tcPr>
            <w:tcW w:w="325" w:type="pct"/>
            <w:tcBorders>
              <w:top w:val="single" w:color="000000" w:sz="0" w:space="0"/>
              <w:left w:val="single" w:color="000000" w:sz="0" w:space="0"/>
              <w:bottom w:val="single" w:color="000000" w:sz="0" w:space="0"/>
              <w:right w:val="single" w:color="000000" w:sz="0" w:space="0"/>
            </w:tcBorders>
          </w:tcPr>
          <w:p w14:paraId="1EB57174">
            <w:pPr>
              <w:jc w:val="left"/>
              <w:rPr>
                <w:color w:val="auto"/>
                <w:highlight w:val="none"/>
              </w:rPr>
            </w:pPr>
            <w:r>
              <w:rPr>
                <w:color w:val="auto"/>
                <w:sz w:val="20"/>
                <w:szCs w:val="20"/>
                <w:highlight w:val="none"/>
              </w:rPr>
              <w:t>接待台</w:t>
            </w:r>
            <w:r>
              <w:rPr>
                <w:rFonts w:hint="eastAsia"/>
                <w:color w:val="auto"/>
                <w:sz w:val="20"/>
                <w:szCs w:val="20"/>
                <w:highlight w:val="none"/>
              </w:rPr>
              <w:t>（白色）</w:t>
            </w:r>
          </w:p>
        </w:tc>
        <w:tc>
          <w:tcPr>
            <w:tcW w:w="257" w:type="pct"/>
            <w:tcBorders>
              <w:top w:val="single" w:color="000000" w:sz="0" w:space="0"/>
              <w:left w:val="single" w:color="000000" w:sz="0" w:space="0"/>
              <w:bottom w:val="single" w:color="000000" w:sz="0" w:space="0"/>
              <w:right w:val="single" w:color="000000" w:sz="0" w:space="0"/>
            </w:tcBorders>
          </w:tcPr>
          <w:p w14:paraId="31CE2850">
            <w:pPr>
              <w:jc w:val="center"/>
              <w:rPr>
                <w:color w:val="auto"/>
                <w:highlight w:val="none"/>
              </w:rPr>
            </w:pPr>
            <w:r>
              <w:rPr>
                <w:color w:val="auto"/>
                <w:sz w:val="20"/>
                <w:szCs w:val="20"/>
                <w:highlight w:val="none"/>
              </w:rPr>
              <w:t>办公桌</w:t>
            </w:r>
          </w:p>
        </w:tc>
        <w:tc>
          <w:tcPr>
            <w:tcW w:w="524" w:type="pct"/>
          </w:tcPr>
          <w:p w14:paraId="4CED4F3E">
            <w:pPr>
              <w:jc w:val="center"/>
              <w:rPr>
                <w:color w:val="auto"/>
                <w:highlight w:val="none"/>
              </w:rPr>
            </w:pPr>
            <w:r>
              <w:rPr>
                <w:color w:val="auto"/>
                <w:highlight w:val="none"/>
              </w:rPr>
              <w:drawing>
                <wp:inline distT="0" distB="0" distL="0" distR="0">
                  <wp:extent cx="1000760" cy="1000760"/>
                  <wp:effectExtent l="0" t="0" r="8890" b="8890"/>
                  <wp:docPr id="26" name="Image" descr="参考图片" titl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 descr="参考图片" title="图片"/>
                          <pic:cNvPicPr>
                            <a:picLocks noChangeAspect="1" noChangeArrowheads="1"/>
                          </pic:cNvPicPr>
                        </pic:nvPicPr>
                        <pic:blipFill>
                          <a:blip r:embed="rId13"/>
                          <a:srcRect/>
                          <a:stretch>
                            <a:fillRect/>
                          </a:stretch>
                        </pic:blipFill>
                        <pic:spPr>
                          <a:xfrm>
                            <a:off x="0" y="0"/>
                            <a:ext cx="1000760" cy="1000760"/>
                          </a:xfrm>
                          <a:prstGeom prst="rect">
                            <a:avLst/>
                          </a:prstGeom>
                        </pic:spPr>
                      </pic:pic>
                    </a:graphicData>
                  </a:graphic>
                </wp:inline>
              </w:drawing>
            </w:r>
          </w:p>
        </w:tc>
        <w:tc>
          <w:tcPr>
            <w:tcW w:w="621" w:type="pct"/>
            <w:tcBorders>
              <w:top w:val="single" w:color="000000" w:sz="0" w:space="0"/>
              <w:left w:val="single" w:color="000000" w:sz="0" w:space="0"/>
              <w:bottom w:val="single" w:color="000000" w:sz="0" w:space="0"/>
              <w:right w:val="single" w:color="000000" w:sz="0" w:space="0"/>
            </w:tcBorders>
          </w:tcPr>
          <w:p w14:paraId="4705D09E">
            <w:pPr>
              <w:jc w:val="left"/>
              <w:rPr>
                <w:color w:val="auto"/>
                <w:highlight w:val="none"/>
              </w:rPr>
            </w:pPr>
            <w:r>
              <w:rPr>
                <w:color w:val="auto"/>
                <w:sz w:val="20"/>
                <w:szCs w:val="20"/>
                <w:highlight w:val="none"/>
              </w:rPr>
              <w:t>1</w:t>
            </w:r>
            <w:r>
              <w:rPr>
                <w:rFonts w:hint="eastAsia"/>
                <w:color w:val="auto"/>
                <w:sz w:val="20"/>
                <w:szCs w:val="20"/>
                <w:highlight w:val="none"/>
              </w:rPr>
              <w:t>5</w:t>
            </w:r>
            <w:r>
              <w:rPr>
                <w:color w:val="auto"/>
                <w:sz w:val="20"/>
                <w:szCs w:val="20"/>
                <w:highlight w:val="none"/>
              </w:rPr>
              <w:t>00W*600D*7</w:t>
            </w:r>
            <w:r>
              <w:rPr>
                <w:rFonts w:hint="eastAsia"/>
                <w:color w:val="auto"/>
                <w:sz w:val="20"/>
                <w:szCs w:val="20"/>
                <w:highlight w:val="none"/>
              </w:rPr>
              <w:t>5</w:t>
            </w:r>
            <w:r>
              <w:rPr>
                <w:color w:val="auto"/>
                <w:sz w:val="20"/>
                <w:szCs w:val="20"/>
                <w:highlight w:val="none"/>
              </w:rPr>
              <w:t>0H</w:t>
            </w:r>
          </w:p>
        </w:tc>
        <w:tc>
          <w:tcPr>
            <w:tcW w:w="204" w:type="pct"/>
            <w:tcBorders>
              <w:top w:val="single" w:color="000000" w:sz="0" w:space="0"/>
              <w:left w:val="single" w:color="000000" w:sz="0" w:space="0"/>
              <w:bottom w:val="single" w:color="000000" w:sz="0" w:space="0"/>
              <w:right w:val="single" w:color="000000" w:sz="0" w:space="0"/>
            </w:tcBorders>
          </w:tcPr>
          <w:p w14:paraId="45212819">
            <w:pPr>
              <w:jc w:val="center"/>
              <w:rPr>
                <w:color w:val="auto"/>
                <w:highlight w:val="none"/>
              </w:rPr>
            </w:pPr>
            <w:r>
              <w:rPr>
                <w:color w:val="auto"/>
                <w:sz w:val="20"/>
                <w:szCs w:val="20"/>
                <w:highlight w:val="none"/>
              </w:rPr>
              <w:t>1套</w:t>
            </w:r>
          </w:p>
        </w:tc>
        <w:tc>
          <w:tcPr>
            <w:tcW w:w="504" w:type="pct"/>
            <w:tcBorders>
              <w:top w:val="single" w:color="000000" w:sz="0" w:space="0"/>
              <w:left w:val="single" w:color="000000" w:sz="0" w:space="0"/>
              <w:bottom w:val="single" w:color="000000" w:sz="0" w:space="0"/>
              <w:right w:val="single" w:color="000000" w:sz="0" w:space="0"/>
            </w:tcBorders>
          </w:tcPr>
          <w:p w14:paraId="240C13BC">
            <w:pPr>
              <w:jc w:val="left"/>
              <w:rPr>
                <w:color w:val="auto"/>
                <w:highlight w:val="none"/>
              </w:rPr>
            </w:pPr>
            <w:r>
              <w:rPr>
                <w:color w:val="auto"/>
                <w:sz w:val="20"/>
                <w:szCs w:val="20"/>
                <w:highlight w:val="none"/>
              </w:rPr>
              <w:t>基材、饰面、油漆、封边</w:t>
            </w:r>
          </w:p>
        </w:tc>
        <w:tc>
          <w:tcPr>
            <w:tcW w:w="314" w:type="pct"/>
            <w:tcBorders>
              <w:top w:val="single" w:color="000000" w:sz="0" w:space="0"/>
              <w:left w:val="single" w:color="000000" w:sz="0" w:space="0"/>
              <w:bottom w:val="single" w:color="000000" w:sz="0" w:space="0"/>
              <w:right w:val="single" w:color="000000" w:sz="0" w:space="0"/>
            </w:tcBorders>
          </w:tcPr>
          <w:p w14:paraId="7E5DE62A">
            <w:pPr>
              <w:jc w:val="left"/>
              <w:rPr>
                <w:rFonts w:hint="eastAsia" w:eastAsia="宋体"/>
                <w:color w:val="auto"/>
                <w:highlight w:val="none"/>
                <w:lang w:eastAsia="zh-CN"/>
              </w:rPr>
            </w:pPr>
            <w:r>
              <w:rPr>
                <w:rFonts w:hint="eastAsia"/>
                <w:color w:val="auto"/>
                <w:sz w:val="20"/>
                <w:szCs w:val="20"/>
                <w:highlight w:val="none"/>
                <w:lang w:eastAsia="zh-CN"/>
              </w:rPr>
              <w:t>密度板</w:t>
            </w:r>
          </w:p>
        </w:tc>
        <w:tc>
          <w:tcPr>
            <w:tcW w:w="2095" w:type="pct"/>
            <w:tcBorders>
              <w:top w:val="single" w:color="000000" w:sz="0" w:space="0"/>
              <w:left w:val="single" w:color="000000" w:sz="0" w:space="0"/>
              <w:bottom w:val="single" w:color="000000" w:sz="0" w:space="0"/>
              <w:right w:val="single" w:color="000000" w:sz="0" w:space="0"/>
            </w:tcBorders>
          </w:tcPr>
          <w:p w14:paraId="7353D569">
            <w:pPr>
              <w:jc w:val="left"/>
              <w:rPr>
                <w:color w:val="auto"/>
                <w:highlight w:val="none"/>
              </w:rPr>
            </w:pPr>
            <w:r>
              <w:rPr>
                <w:rFonts w:hint="eastAsia" w:ascii="宋体" w:hAnsi="宋体" w:cs="宋体"/>
                <w:color w:val="auto"/>
                <w:sz w:val="18"/>
                <w:szCs w:val="18"/>
                <w:highlight w:val="none"/>
                <w:lang w:bidi="ar"/>
              </w:rPr>
              <w:t>（1）基材：基材采用E0级密度板，面贴胡桃木木皮，厚度</w:t>
            </w:r>
            <w:r>
              <w:rPr>
                <w:rFonts w:hint="eastAsia" w:ascii="宋体" w:hAnsi="宋体" w:cs="宋体"/>
                <w:snapToGrid w:val="0"/>
                <w:color w:val="auto"/>
                <w:kern w:val="0"/>
                <w:sz w:val="20"/>
                <w:szCs w:val="20"/>
                <w:highlight w:val="none"/>
                <w:lang w:bidi="ar"/>
              </w:rPr>
              <w:t>≥</w:t>
            </w:r>
            <w:r>
              <w:rPr>
                <w:rFonts w:hint="eastAsia" w:ascii="宋体" w:hAnsi="宋体" w:cs="宋体"/>
                <w:color w:val="auto"/>
                <w:sz w:val="18"/>
                <w:szCs w:val="18"/>
                <w:highlight w:val="none"/>
                <w:lang w:bidi="ar"/>
              </w:rPr>
              <w:t>60s，台面厚度</w:t>
            </w:r>
            <w:r>
              <w:rPr>
                <w:rFonts w:hint="eastAsia" w:ascii="宋体" w:hAnsi="宋体" w:cs="宋体"/>
                <w:snapToGrid w:val="0"/>
                <w:color w:val="auto"/>
                <w:kern w:val="0"/>
                <w:sz w:val="20"/>
                <w:szCs w:val="20"/>
                <w:highlight w:val="none"/>
                <w:lang w:bidi="ar"/>
              </w:rPr>
              <w:t>≥</w:t>
            </w:r>
            <w:r>
              <w:rPr>
                <w:rFonts w:hint="eastAsia" w:ascii="宋体" w:hAnsi="宋体" w:cs="宋体"/>
                <w:color w:val="auto"/>
                <w:sz w:val="18"/>
                <w:szCs w:val="18"/>
                <w:highlight w:val="none"/>
                <w:lang w:bidi="ar"/>
              </w:rPr>
              <w:t>25mm，其他厚度</w:t>
            </w:r>
            <w:r>
              <w:rPr>
                <w:rFonts w:hint="eastAsia" w:ascii="宋体" w:hAnsi="宋体" w:cs="宋体"/>
                <w:snapToGrid w:val="0"/>
                <w:color w:val="auto"/>
                <w:kern w:val="0"/>
                <w:sz w:val="20"/>
                <w:szCs w:val="20"/>
                <w:highlight w:val="none"/>
                <w:lang w:bidi="ar"/>
              </w:rPr>
              <w:t>≥</w:t>
            </w:r>
            <w:r>
              <w:rPr>
                <w:rFonts w:hint="eastAsia" w:ascii="宋体" w:hAnsi="宋体" w:cs="宋体"/>
                <w:color w:val="auto"/>
                <w:sz w:val="18"/>
                <w:szCs w:val="18"/>
                <w:highlight w:val="none"/>
                <w:lang w:bidi="ar"/>
              </w:rPr>
              <w:t>18mm，表面平整、光滑、无皱纹、折痕、压纹清晰。四周采用同色PVC封边</w:t>
            </w:r>
            <w:r>
              <w:rPr>
                <w:rFonts w:hint="eastAsia" w:ascii="宋体" w:hAnsi="宋体" w:cs="宋体"/>
                <w:color w:val="auto"/>
                <w:sz w:val="18"/>
                <w:szCs w:val="18"/>
                <w:highlight w:val="none"/>
                <w:lang w:eastAsia="zh-CN" w:bidi="ar"/>
              </w:rPr>
              <w:t>。</w:t>
            </w:r>
            <w:r>
              <w:rPr>
                <w:rFonts w:hint="eastAsia" w:ascii="宋体" w:hAnsi="宋体" w:cs="宋体"/>
                <w:color w:val="auto"/>
                <w:sz w:val="18"/>
                <w:szCs w:val="18"/>
                <w:highlight w:val="none"/>
                <w:lang w:bidi="ar"/>
              </w:rPr>
              <w:br w:type="textWrapping"/>
            </w:r>
            <w:r>
              <w:rPr>
                <w:rFonts w:hint="eastAsia" w:ascii="宋体" w:hAnsi="宋体" w:cs="宋体"/>
                <w:color w:val="auto"/>
                <w:sz w:val="18"/>
                <w:szCs w:val="18"/>
                <w:highlight w:val="none"/>
                <w:lang w:bidi="ar"/>
              </w:rPr>
              <w:t>（2）配件：连接件采用优质品牌。                                                                                                                                                                                              （3）油漆：采用优质环保水性油漆，三底两面。                                                                                                           （4）环保：家具成品均</w:t>
            </w:r>
            <w:r>
              <w:rPr>
                <w:rFonts w:hint="eastAsia" w:ascii="宋体" w:hAnsi="宋体" w:cs="宋体"/>
                <w:color w:val="auto"/>
                <w:sz w:val="18"/>
                <w:szCs w:val="18"/>
                <w:highlight w:val="none"/>
                <w:lang w:eastAsia="zh-CN" w:bidi="ar"/>
              </w:rPr>
              <w:t>需</w:t>
            </w:r>
            <w:r>
              <w:rPr>
                <w:rFonts w:hint="eastAsia" w:ascii="宋体" w:hAnsi="宋体" w:cs="宋体"/>
                <w:color w:val="auto"/>
                <w:sz w:val="18"/>
                <w:szCs w:val="18"/>
                <w:highlight w:val="none"/>
                <w:lang w:bidi="ar"/>
              </w:rPr>
              <w:t>满足GB/T 35607-2024《绿色产品评价 家具》的要求（其中成品甲醛释放量≤0.05mg/m3，苯≤0.05mg/m3，甲苯、二甲苯≤0.1mg/m3，TVOC≤0.3mg/m3）</w:t>
            </w:r>
          </w:p>
        </w:tc>
      </w:tr>
      <w:tr w14:paraId="2E2D5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0" w:type="dxa"/>
            <w:left w:w="100" w:type="dxa"/>
            <w:bottom w:w="50" w:type="dxa"/>
            <w:right w:w="100" w:type="dxa"/>
          </w:tblCellMar>
        </w:tblPrEx>
        <w:tc>
          <w:tcPr>
            <w:tcW w:w="153" w:type="pct"/>
            <w:tcBorders>
              <w:top w:val="single" w:color="000000" w:sz="0" w:space="0"/>
              <w:left w:val="single" w:color="000000" w:sz="0" w:space="0"/>
              <w:bottom w:val="single" w:color="000000" w:sz="0" w:space="0"/>
              <w:right w:val="single" w:color="000000" w:sz="0" w:space="0"/>
            </w:tcBorders>
          </w:tcPr>
          <w:p w14:paraId="1468F260">
            <w:pPr>
              <w:numPr>
                <w:ilvl w:val="0"/>
                <w:numId w:val="7"/>
              </w:numPr>
              <w:jc w:val="center"/>
              <w:rPr>
                <w:color w:val="auto"/>
                <w:highlight w:val="none"/>
              </w:rPr>
            </w:pPr>
          </w:p>
        </w:tc>
        <w:tc>
          <w:tcPr>
            <w:tcW w:w="325" w:type="pct"/>
            <w:tcBorders>
              <w:top w:val="single" w:color="000000" w:sz="0" w:space="0"/>
              <w:left w:val="single" w:color="000000" w:sz="0" w:space="0"/>
              <w:bottom w:val="single" w:color="000000" w:sz="0" w:space="0"/>
              <w:right w:val="single" w:color="000000" w:sz="0" w:space="0"/>
            </w:tcBorders>
          </w:tcPr>
          <w:p w14:paraId="192709CB">
            <w:pPr>
              <w:jc w:val="left"/>
              <w:rPr>
                <w:color w:val="auto"/>
                <w:highlight w:val="none"/>
              </w:rPr>
            </w:pPr>
            <w:r>
              <w:rPr>
                <w:color w:val="auto"/>
                <w:sz w:val="20"/>
                <w:szCs w:val="20"/>
                <w:highlight w:val="none"/>
              </w:rPr>
              <w:t>教师办公桌</w:t>
            </w:r>
            <w:r>
              <w:rPr>
                <w:rFonts w:hint="eastAsia"/>
                <w:color w:val="auto"/>
                <w:sz w:val="20"/>
                <w:szCs w:val="20"/>
                <w:highlight w:val="none"/>
                <w:lang w:val="en-US" w:eastAsia="zh-CN"/>
              </w:rPr>
              <w:t>1</w:t>
            </w:r>
            <w:r>
              <w:rPr>
                <w:color w:val="auto"/>
                <w:sz w:val="20"/>
                <w:szCs w:val="20"/>
                <w:highlight w:val="none"/>
              </w:rPr>
              <w:t>（带挡板）</w:t>
            </w:r>
          </w:p>
        </w:tc>
        <w:tc>
          <w:tcPr>
            <w:tcW w:w="257" w:type="pct"/>
            <w:tcBorders>
              <w:top w:val="single" w:color="000000" w:sz="0" w:space="0"/>
              <w:left w:val="single" w:color="000000" w:sz="0" w:space="0"/>
              <w:bottom w:val="single" w:color="000000" w:sz="0" w:space="0"/>
              <w:right w:val="single" w:color="000000" w:sz="0" w:space="0"/>
            </w:tcBorders>
          </w:tcPr>
          <w:p w14:paraId="09AF7E13">
            <w:pPr>
              <w:jc w:val="center"/>
              <w:rPr>
                <w:color w:val="auto"/>
                <w:highlight w:val="none"/>
              </w:rPr>
            </w:pPr>
            <w:r>
              <w:rPr>
                <w:color w:val="auto"/>
                <w:sz w:val="20"/>
                <w:szCs w:val="20"/>
                <w:highlight w:val="none"/>
              </w:rPr>
              <w:t>办公桌</w:t>
            </w:r>
          </w:p>
        </w:tc>
        <w:tc>
          <w:tcPr>
            <w:tcW w:w="524" w:type="pct"/>
          </w:tcPr>
          <w:p w14:paraId="2C8463C3">
            <w:pPr>
              <w:jc w:val="center"/>
              <w:rPr>
                <w:color w:val="auto"/>
                <w:highlight w:val="none"/>
              </w:rPr>
            </w:pPr>
            <w:r>
              <w:rPr>
                <w:color w:val="auto"/>
                <w:highlight w:val="none"/>
              </w:rPr>
              <w:drawing>
                <wp:inline distT="0" distB="0" distL="0" distR="0">
                  <wp:extent cx="1160780" cy="1160780"/>
                  <wp:effectExtent l="0" t="0" r="1270" b="1270"/>
                  <wp:docPr id="28" name="Image" descr="参考图片" titl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 descr="参考图片" title="图片"/>
                          <pic:cNvPicPr>
                            <a:picLocks noChangeAspect="1" noChangeArrowheads="1"/>
                          </pic:cNvPicPr>
                        </pic:nvPicPr>
                        <pic:blipFill>
                          <a:blip r:embed="rId14"/>
                          <a:srcRect/>
                          <a:stretch>
                            <a:fillRect/>
                          </a:stretch>
                        </pic:blipFill>
                        <pic:spPr>
                          <a:xfrm>
                            <a:off x="0" y="0"/>
                            <a:ext cx="1160780" cy="1160780"/>
                          </a:xfrm>
                          <a:prstGeom prst="rect">
                            <a:avLst/>
                          </a:prstGeom>
                        </pic:spPr>
                      </pic:pic>
                    </a:graphicData>
                  </a:graphic>
                </wp:inline>
              </w:drawing>
            </w:r>
          </w:p>
        </w:tc>
        <w:tc>
          <w:tcPr>
            <w:tcW w:w="621" w:type="pct"/>
            <w:tcBorders>
              <w:top w:val="single" w:color="000000" w:sz="0" w:space="0"/>
              <w:left w:val="single" w:color="000000" w:sz="0" w:space="0"/>
              <w:bottom w:val="single" w:color="000000" w:sz="0" w:space="0"/>
              <w:right w:val="single" w:color="000000" w:sz="0" w:space="0"/>
            </w:tcBorders>
          </w:tcPr>
          <w:p w14:paraId="6DF406E7">
            <w:pPr>
              <w:jc w:val="left"/>
              <w:rPr>
                <w:color w:val="auto"/>
                <w:highlight w:val="none"/>
              </w:rPr>
            </w:pPr>
            <w:r>
              <w:rPr>
                <w:color w:val="auto"/>
                <w:sz w:val="20"/>
                <w:szCs w:val="20"/>
                <w:highlight w:val="none"/>
              </w:rPr>
              <w:t>1800*700*760mm*</w:t>
            </w:r>
            <w:r>
              <w:rPr>
                <w:rFonts w:hint="eastAsia"/>
                <w:color w:val="auto"/>
                <w:sz w:val="20"/>
                <w:szCs w:val="20"/>
                <w:highlight w:val="none"/>
              </w:rPr>
              <w:t>23</w:t>
            </w:r>
            <w:r>
              <w:rPr>
                <w:color w:val="auto"/>
                <w:sz w:val="20"/>
                <w:szCs w:val="20"/>
                <w:highlight w:val="none"/>
              </w:rPr>
              <w:t>套</w:t>
            </w:r>
          </w:p>
        </w:tc>
        <w:tc>
          <w:tcPr>
            <w:tcW w:w="204" w:type="pct"/>
            <w:tcBorders>
              <w:top w:val="single" w:color="000000" w:sz="0" w:space="0"/>
              <w:left w:val="single" w:color="000000" w:sz="0" w:space="0"/>
              <w:bottom w:val="single" w:color="000000" w:sz="0" w:space="0"/>
              <w:right w:val="single" w:color="000000" w:sz="0" w:space="0"/>
            </w:tcBorders>
          </w:tcPr>
          <w:p w14:paraId="45B9CEAB">
            <w:pPr>
              <w:jc w:val="center"/>
              <w:rPr>
                <w:color w:val="auto"/>
                <w:highlight w:val="none"/>
              </w:rPr>
            </w:pPr>
            <w:r>
              <w:rPr>
                <w:rFonts w:hint="eastAsia"/>
                <w:color w:val="auto"/>
                <w:sz w:val="20"/>
                <w:szCs w:val="20"/>
                <w:highlight w:val="none"/>
              </w:rPr>
              <w:t>2</w:t>
            </w:r>
            <w:r>
              <w:rPr>
                <w:rFonts w:hint="eastAsia"/>
                <w:color w:val="auto"/>
                <w:sz w:val="20"/>
                <w:szCs w:val="20"/>
                <w:highlight w:val="none"/>
                <w:lang w:val="en-US" w:eastAsia="zh-CN"/>
              </w:rPr>
              <w:t>3</w:t>
            </w:r>
            <w:r>
              <w:rPr>
                <w:color w:val="auto"/>
                <w:sz w:val="20"/>
                <w:szCs w:val="20"/>
                <w:highlight w:val="none"/>
              </w:rPr>
              <w:t>套</w:t>
            </w:r>
          </w:p>
        </w:tc>
        <w:tc>
          <w:tcPr>
            <w:tcW w:w="504" w:type="pct"/>
            <w:tcBorders>
              <w:top w:val="single" w:color="000000" w:sz="0" w:space="0"/>
              <w:left w:val="single" w:color="000000" w:sz="0" w:space="0"/>
              <w:bottom w:val="single" w:color="000000" w:sz="0" w:space="0"/>
              <w:right w:val="single" w:color="000000" w:sz="0" w:space="0"/>
            </w:tcBorders>
          </w:tcPr>
          <w:p w14:paraId="043A4E9E">
            <w:pPr>
              <w:jc w:val="left"/>
              <w:rPr>
                <w:color w:val="auto"/>
                <w:highlight w:val="none"/>
              </w:rPr>
            </w:pPr>
            <w:r>
              <w:rPr>
                <w:color w:val="auto"/>
                <w:sz w:val="20"/>
                <w:szCs w:val="20"/>
                <w:highlight w:val="none"/>
              </w:rPr>
              <w:t>基材、封边</w:t>
            </w:r>
          </w:p>
        </w:tc>
        <w:tc>
          <w:tcPr>
            <w:tcW w:w="314" w:type="pct"/>
            <w:tcBorders>
              <w:top w:val="single" w:color="000000" w:sz="0" w:space="0"/>
              <w:left w:val="single" w:color="000000" w:sz="0" w:space="0"/>
              <w:bottom w:val="single" w:color="000000" w:sz="0" w:space="0"/>
              <w:right w:val="single" w:color="000000" w:sz="0" w:space="0"/>
            </w:tcBorders>
          </w:tcPr>
          <w:p w14:paraId="4BE6A45E">
            <w:pPr>
              <w:jc w:val="left"/>
              <w:rPr>
                <w:color w:val="auto"/>
                <w:highlight w:val="none"/>
              </w:rPr>
            </w:pPr>
            <w:r>
              <w:rPr>
                <w:color w:val="auto"/>
                <w:sz w:val="20"/>
                <w:szCs w:val="20"/>
                <w:highlight w:val="none"/>
              </w:rPr>
              <w:t>刨花板</w:t>
            </w:r>
          </w:p>
        </w:tc>
        <w:tc>
          <w:tcPr>
            <w:tcW w:w="2095" w:type="pct"/>
            <w:tcBorders>
              <w:top w:val="single" w:color="000000" w:sz="0" w:space="0"/>
              <w:left w:val="single" w:color="000000" w:sz="0" w:space="0"/>
              <w:bottom w:val="single" w:color="000000" w:sz="0" w:space="0"/>
              <w:right w:val="single" w:color="000000" w:sz="0" w:space="0"/>
            </w:tcBorders>
          </w:tcPr>
          <w:p w14:paraId="6A3C80FD">
            <w:pPr>
              <w:jc w:val="left"/>
              <w:rPr>
                <w:color w:val="auto"/>
                <w:highlight w:val="none"/>
              </w:rPr>
            </w:pPr>
            <w:r>
              <w:rPr>
                <w:rFonts w:hint="eastAsia" w:ascii="宋体" w:hAnsi="宋体" w:cs="宋体"/>
                <w:color w:val="auto"/>
                <w:sz w:val="18"/>
                <w:szCs w:val="18"/>
                <w:highlight w:val="none"/>
                <w:lang w:bidi="ar"/>
              </w:rPr>
              <w:t>（1）基材：基材采用ENF级实木颗粒板，台面厚度</w:t>
            </w:r>
            <w:r>
              <w:rPr>
                <w:rFonts w:hint="eastAsia" w:ascii="宋体" w:hAnsi="宋体" w:cs="宋体"/>
                <w:snapToGrid w:val="0"/>
                <w:color w:val="auto"/>
                <w:kern w:val="0"/>
                <w:sz w:val="20"/>
                <w:szCs w:val="20"/>
                <w:highlight w:val="none"/>
                <w:lang w:bidi="ar"/>
              </w:rPr>
              <w:t>≥</w:t>
            </w:r>
            <w:r>
              <w:rPr>
                <w:rFonts w:hint="eastAsia" w:ascii="宋体" w:hAnsi="宋体" w:cs="宋体"/>
                <w:color w:val="auto"/>
                <w:sz w:val="18"/>
                <w:szCs w:val="18"/>
                <w:highlight w:val="none"/>
                <w:lang w:bidi="ar"/>
              </w:rPr>
              <w:t>25mm，其他厚度</w:t>
            </w:r>
            <w:r>
              <w:rPr>
                <w:rFonts w:hint="eastAsia" w:ascii="宋体" w:hAnsi="宋体" w:cs="宋体"/>
                <w:snapToGrid w:val="0"/>
                <w:color w:val="auto"/>
                <w:kern w:val="0"/>
                <w:sz w:val="20"/>
                <w:szCs w:val="20"/>
                <w:highlight w:val="none"/>
                <w:lang w:bidi="ar"/>
              </w:rPr>
              <w:t>≥</w:t>
            </w:r>
            <w:r>
              <w:rPr>
                <w:rFonts w:hint="eastAsia" w:ascii="宋体" w:hAnsi="宋体" w:cs="宋体"/>
                <w:color w:val="auto"/>
                <w:sz w:val="18"/>
                <w:szCs w:val="18"/>
                <w:highlight w:val="none"/>
                <w:lang w:bidi="ar"/>
              </w:rPr>
              <w:t>18mm，表面平整、光滑、无皱纹、折痕、压纹清晰。四周采用同色PVC封边</w:t>
            </w:r>
            <w:r>
              <w:rPr>
                <w:rFonts w:hint="eastAsia" w:ascii="宋体" w:hAnsi="宋体" w:cs="宋体"/>
                <w:color w:val="auto"/>
                <w:sz w:val="18"/>
                <w:szCs w:val="18"/>
                <w:highlight w:val="none"/>
                <w:lang w:val="en-US" w:eastAsia="zh-CN" w:bidi="ar"/>
              </w:rPr>
              <w:t>.</w:t>
            </w:r>
            <w:r>
              <w:rPr>
                <w:rFonts w:hint="eastAsia" w:ascii="宋体" w:hAnsi="宋体" w:cs="宋体"/>
                <w:color w:val="auto"/>
                <w:sz w:val="18"/>
                <w:szCs w:val="18"/>
                <w:highlight w:val="none"/>
                <w:lang w:bidi="ar"/>
              </w:rPr>
              <w:br w:type="textWrapping"/>
            </w:r>
            <w:r>
              <w:rPr>
                <w:rFonts w:hint="eastAsia" w:ascii="宋体" w:hAnsi="宋体" w:cs="宋体"/>
                <w:color w:val="auto"/>
                <w:sz w:val="18"/>
                <w:szCs w:val="18"/>
                <w:highlight w:val="none"/>
                <w:lang w:bidi="ar"/>
              </w:rPr>
              <w:t xml:space="preserve">（2）配件：连接件、缓冲轨道、缓冲铰链，锁具、采用优质品牌。                                                                                                                                                                                              （3）胶水：采用优质环保胶水 </w:t>
            </w:r>
            <w:r>
              <w:rPr>
                <w:rFonts w:hint="eastAsia" w:ascii="宋体" w:hAnsi="宋体" w:cs="宋体"/>
                <w:color w:val="auto"/>
                <w:sz w:val="18"/>
                <w:szCs w:val="18"/>
                <w:highlight w:val="none"/>
                <w:lang w:eastAsia="zh-CN" w:bidi="ar"/>
              </w:rPr>
              <w:t>。</w:t>
            </w:r>
            <w:r>
              <w:rPr>
                <w:rFonts w:hint="eastAsia" w:ascii="宋体" w:hAnsi="宋体" w:cs="宋体"/>
                <w:color w:val="auto"/>
                <w:sz w:val="18"/>
                <w:szCs w:val="18"/>
                <w:highlight w:val="none"/>
                <w:lang w:bidi="ar"/>
              </w:rPr>
              <w:t xml:space="preserve">                                                                                                         （4）环保：家具成品均</w:t>
            </w:r>
            <w:r>
              <w:rPr>
                <w:rFonts w:hint="eastAsia" w:ascii="宋体" w:hAnsi="宋体" w:cs="宋体"/>
                <w:color w:val="auto"/>
                <w:sz w:val="18"/>
                <w:szCs w:val="18"/>
                <w:highlight w:val="none"/>
                <w:lang w:eastAsia="zh-CN" w:bidi="ar"/>
              </w:rPr>
              <w:t>需</w:t>
            </w:r>
            <w:r>
              <w:rPr>
                <w:rFonts w:hint="eastAsia" w:ascii="宋体" w:hAnsi="宋体" w:cs="宋体"/>
                <w:color w:val="auto"/>
                <w:sz w:val="18"/>
                <w:szCs w:val="18"/>
                <w:highlight w:val="none"/>
                <w:lang w:bidi="ar"/>
              </w:rPr>
              <w:t>满足GB/T 35607-2024《绿色产品评价 家具》的要求（其中成品甲醛释放量≤0.05mg/m3，苯≤0.05mg/m3，甲苯、二甲苯≤0.1mg/m3，TVOC≤0.3mg/m3）</w:t>
            </w:r>
          </w:p>
        </w:tc>
      </w:tr>
      <w:tr w14:paraId="3079A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0" w:type="dxa"/>
            <w:left w:w="100" w:type="dxa"/>
            <w:bottom w:w="50" w:type="dxa"/>
            <w:right w:w="100" w:type="dxa"/>
          </w:tblCellMar>
        </w:tblPrEx>
        <w:tc>
          <w:tcPr>
            <w:tcW w:w="153" w:type="pct"/>
            <w:tcBorders>
              <w:top w:val="single" w:color="000000" w:sz="0" w:space="0"/>
              <w:left w:val="single" w:color="000000" w:sz="0" w:space="0"/>
              <w:bottom w:val="single" w:color="000000" w:sz="0" w:space="0"/>
              <w:right w:val="single" w:color="000000" w:sz="0" w:space="0"/>
            </w:tcBorders>
            <w:shd w:val="clear" w:color="auto" w:fill="auto"/>
            <w:vAlign w:val="top"/>
          </w:tcPr>
          <w:p w14:paraId="133979F2">
            <w:pPr>
              <w:numPr>
                <w:ilvl w:val="0"/>
                <w:numId w:val="7"/>
              </w:numPr>
              <w:ind w:left="425" w:leftChars="0" w:hanging="425" w:firstLineChars="0"/>
              <w:jc w:val="center"/>
              <w:rPr>
                <w:rFonts w:ascii="Times New Roman" w:hAnsi="Times New Roman" w:eastAsia="宋体" w:cs="Times New Roman"/>
                <w:color w:val="auto"/>
                <w:kern w:val="2"/>
                <w:sz w:val="21"/>
                <w:szCs w:val="22"/>
                <w:highlight w:val="none"/>
                <w:lang w:val="en-US" w:eastAsia="zh-CN" w:bidi="ar-SA"/>
              </w:rPr>
            </w:pPr>
          </w:p>
        </w:tc>
        <w:tc>
          <w:tcPr>
            <w:tcW w:w="325" w:type="pct"/>
            <w:tcBorders>
              <w:top w:val="single" w:color="000000" w:sz="0" w:space="0"/>
              <w:left w:val="single" w:color="000000" w:sz="0" w:space="0"/>
              <w:bottom w:val="single" w:color="000000" w:sz="0" w:space="0"/>
              <w:right w:val="single" w:color="000000" w:sz="0" w:space="0"/>
            </w:tcBorders>
            <w:shd w:val="clear" w:color="auto" w:fill="auto"/>
            <w:vAlign w:val="top"/>
          </w:tcPr>
          <w:p w14:paraId="48F9203C">
            <w:pPr>
              <w:jc w:val="left"/>
              <w:rPr>
                <w:rFonts w:ascii="Times New Roman" w:hAnsi="Times New Roman" w:eastAsia="宋体" w:cs="Times New Roman"/>
                <w:color w:val="auto"/>
                <w:kern w:val="2"/>
                <w:sz w:val="21"/>
                <w:szCs w:val="22"/>
                <w:highlight w:val="none"/>
                <w:lang w:val="en-US" w:eastAsia="zh-CN" w:bidi="ar-SA"/>
              </w:rPr>
            </w:pPr>
            <w:r>
              <w:rPr>
                <w:color w:val="auto"/>
                <w:sz w:val="20"/>
                <w:szCs w:val="20"/>
                <w:highlight w:val="none"/>
              </w:rPr>
              <w:t>教师办公桌</w:t>
            </w:r>
            <w:r>
              <w:rPr>
                <w:rFonts w:hint="eastAsia"/>
                <w:color w:val="auto"/>
                <w:sz w:val="20"/>
                <w:szCs w:val="20"/>
                <w:highlight w:val="none"/>
                <w:lang w:val="en-US" w:eastAsia="zh-CN"/>
              </w:rPr>
              <w:t>2</w:t>
            </w:r>
            <w:r>
              <w:rPr>
                <w:color w:val="auto"/>
                <w:sz w:val="20"/>
                <w:szCs w:val="20"/>
                <w:highlight w:val="none"/>
              </w:rPr>
              <w:t>（带挡板）</w:t>
            </w:r>
          </w:p>
        </w:tc>
        <w:tc>
          <w:tcPr>
            <w:tcW w:w="257" w:type="pct"/>
            <w:tcBorders>
              <w:top w:val="single" w:color="000000" w:sz="0" w:space="0"/>
              <w:left w:val="single" w:color="000000" w:sz="0" w:space="0"/>
              <w:bottom w:val="single" w:color="000000" w:sz="0" w:space="0"/>
              <w:right w:val="single" w:color="000000" w:sz="0" w:space="0"/>
            </w:tcBorders>
            <w:shd w:val="clear" w:color="auto" w:fill="auto"/>
            <w:vAlign w:val="top"/>
          </w:tcPr>
          <w:p w14:paraId="1737974B">
            <w:pPr>
              <w:jc w:val="center"/>
              <w:rPr>
                <w:rFonts w:ascii="Times New Roman" w:hAnsi="Times New Roman" w:eastAsia="宋体" w:cs="Times New Roman"/>
                <w:color w:val="auto"/>
                <w:kern w:val="2"/>
                <w:sz w:val="21"/>
                <w:szCs w:val="22"/>
                <w:highlight w:val="none"/>
                <w:lang w:val="en-US" w:eastAsia="zh-CN" w:bidi="ar-SA"/>
              </w:rPr>
            </w:pPr>
            <w:r>
              <w:rPr>
                <w:color w:val="auto"/>
                <w:sz w:val="20"/>
                <w:szCs w:val="20"/>
                <w:highlight w:val="none"/>
              </w:rPr>
              <w:t>办公桌</w:t>
            </w:r>
          </w:p>
        </w:tc>
        <w:tc>
          <w:tcPr>
            <w:tcW w:w="524" w:type="pct"/>
            <w:shd w:val="clear" w:color="auto" w:fill="auto"/>
            <w:vAlign w:val="top"/>
          </w:tcPr>
          <w:p w14:paraId="1E4DA197">
            <w:pPr>
              <w:jc w:val="center"/>
              <w:rPr>
                <w:rFonts w:ascii="Times New Roman" w:hAnsi="Times New Roman" w:eastAsia="宋体" w:cs="Times New Roman"/>
                <w:color w:val="auto"/>
                <w:kern w:val="2"/>
                <w:sz w:val="21"/>
                <w:szCs w:val="22"/>
                <w:highlight w:val="none"/>
                <w:lang w:val="en-US" w:eastAsia="zh-CN" w:bidi="ar-SA"/>
              </w:rPr>
            </w:pPr>
            <w:r>
              <w:rPr>
                <w:color w:val="auto"/>
                <w:highlight w:val="none"/>
              </w:rPr>
              <w:drawing>
                <wp:inline distT="0" distB="0" distL="0" distR="0">
                  <wp:extent cx="1160780" cy="1160780"/>
                  <wp:effectExtent l="0" t="0" r="7620" b="7620"/>
                  <wp:docPr id="60" name="Image" descr="参考图片" titl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 descr="参考图片" title="图片"/>
                          <pic:cNvPicPr>
                            <a:picLocks noChangeAspect="1" noChangeArrowheads="1"/>
                          </pic:cNvPicPr>
                        </pic:nvPicPr>
                        <pic:blipFill>
                          <a:blip r:embed="rId14"/>
                          <a:srcRect/>
                          <a:stretch>
                            <a:fillRect/>
                          </a:stretch>
                        </pic:blipFill>
                        <pic:spPr>
                          <a:xfrm>
                            <a:off x="0" y="0"/>
                            <a:ext cx="1160780" cy="1160780"/>
                          </a:xfrm>
                          <a:prstGeom prst="rect">
                            <a:avLst/>
                          </a:prstGeom>
                        </pic:spPr>
                      </pic:pic>
                    </a:graphicData>
                  </a:graphic>
                </wp:inline>
              </w:drawing>
            </w:r>
          </w:p>
        </w:tc>
        <w:tc>
          <w:tcPr>
            <w:tcW w:w="621" w:type="pct"/>
            <w:tcBorders>
              <w:top w:val="single" w:color="000000" w:sz="0" w:space="0"/>
              <w:left w:val="single" w:color="000000" w:sz="0" w:space="0"/>
              <w:bottom w:val="single" w:color="000000" w:sz="0" w:space="0"/>
              <w:right w:val="single" w:color="000000" w:sz="0" w:space="0"/>
            </w:tcBorders>
            <w:shd w:val="clear" w:color="auto" w:fill="auto"/>
            <w:vAlign w:val="top"/>
          </w:tcPr>
          <w:p w14:paraId="12252AA3">
            <w:pPr>
              <w:jc w:val="left"/>
              <w:rPr>
                <w:rFonts w:ascii="Times New Roman" w:hAnsi="Times New Roman" w:eastAsia="宋体" w:cs="Times New Roman"/>
                <w:color w:val="auto"/>
                <w:kern w:val="2"/>
                <w:sz w:val="21"/>
                <w:szCs w:val="22"/>
                <w:highlight w:val="none"/>
                <w:lang w:val="en-US" w:eastAsia="zh-CN" w:bidi="ar-SA"/>
              </w:rPr>
            </w:pPr>
            <w:r>
              <w:rPr>
                <w:color w:val="auto"/>
                <w:sz w:val="20"/>
                <w:szCs w:val="20"/>
                <w:highlight w:val="none"/>
              </w:rPr>
              <w:t>1</w:t>
            </w:r>
            <w:r>
              <w:rPr>
                <w:rFonts w:hint="eastAsia"/>
                <w:color w:val="auto"/>
                <w:sz w:val="20"/>
                <w:szCs w:val="20"/>
                <w:highlight w:val="none"/>
              </w:rPr>
              <w:t>6</w:t>
            </w:r>
            <w:r>
              <w:rPr>
                <w:color w:val="auto"/>
                <w:sz w:val="20"/>
                <w:szCs w:val="20"/>
                <w:highlight w:val="none"/>
              </w:rPr>
              <w:t>00*</w:t>
            </w:r>
            <w:r>
              <w:rPr>
                <w:rFonts w:hint="eastAsia"/>
                <w:color w:val="auto"/>
                <w:sz w:val="20"/>
                <w:szCs w:val="20"/>
                <w:highlight w:val="none"/>
              </w:rPr>
              <w:t>70</w:t>
            </w:r>
            <w:r>
              <w:rPr>
                <w:color w:val="auto"/>
                <w:sz w:val="20"/>
                <w:szCs w:val="20"/>
                <w:highlight w:val="none"/>
              </w:rPr>
              <w:t>0*7</w:t>
            </w:r>
            <w:r>
              <w:rPr>
                <w:rFonts w:hint="eastAsia"/>
                <w:color w:val="auto"/>
                <w:sz w:val="20"/>
                <w:szCs w:val="20"/>
                <w:highlight w:val="none"/>
              </w:rPr>
              <w:t>6</w:t>
            </w:r>
            <w:r>
              <w:rPr>
                <w:color w:val="auto"/>
                <w:sz w:val="20"/>
                <w:szCs w:val="20"/>
                <w:highlight w:val="none"/>
              </w:rPr>
              <w:t>0mm*6套</w:t>
            </w:r>
          </w:p>
        </w:tc>
        <w:tc>
          <w:tcPr>
            <w:tcW w:w="204" w:type="pct"/>
            <w:tcBorders>
              <w:top w:val="single" w:color="000000" w:sz="0" w:space="0"/>
              <w:left w:val="single" w:color="000000" w:sz="0" w:space="0"/>
              <w:bottom w:val="single" w:color="000000" w:sz="0" w:space="0"/>
              <w:right w:val="single" w:color="000000" w:sz="0" w:space="0"/>
            </w:tcBorders>
            <w:shd w:val="clear" w:color="auto" w:fill="auto"/>
            <w:vAlign w:val="top"/>
          </w:tcPr>
          <w:p w14:paraId="60C46342">
            <w:pPr>
              <w:jc w:val="center"/>
              <w:rPr>
                <w:rFonts w:hint="eastAsia" w:ascii="Times New Roman" w:hAnsi="Times New Roman" w:eastAsia="宋体" w:cs="Times New Roman"/>
                <w:color w:val="auto"/>
                <w:kern w:val="2"/>
                <w:sz w:val="21"/>
                <w:szCs w:val="22"/>
                <w:highlight w:val="none"/>
                <w:lang w:val="en-US" w:eastAsia="zh-CN" w:bidi="ar-SA"/>
              </w:rPr>
            </w:pPr>
            <w:r>
              <w:rPr>
                <w:rFonts w:hint="eastAsia"/>
                <w:color w:val="auto"/>
                <w:sz w:val="20"/>
                <w:szCs w:val="20"/>
                <w:highlight w:val="none"/>
                <w:lang w:val="en-US" w:eastAsia="zh-CN"/>
              </w:rPr>
              <w:t>6</w:t>
            </w:r>
            <w:r>
              <w:rPr>
                <w:color w:val="auto"/>
                <w:sz w:val="20"/>
                <w:szCs w:val="20"/>
                <w:highlight w:val="none"/>
              </w:rPr>
              <w:t>套</w:t>
            </w:r>
          </w:p>
        </w:tc>
        <w:tc>
          <w:tcPr>
            <w:tcW w:w="504" w:type="pct"/>
            <w:tcBorders>
              <w:top w:val="single" w:color="000000" w:sz="0" w:space="0"/>
              <w:left w:val="single" w:color="000000" w:sz="0" w:space="0"/>
              <w:bottom w:val="single" w:color="000000" w:sz="0" w:space="0"/>
              <w:right w:val="single" w:color="000000" w:sz="0" w:space="0"/>
            </w:tcBorders>
            <w:shd w:val="clear" w:color="auto" w:fill="auto"/>
            <w:vAlign w:val="top"/>
          </w:tcPr>
          <w:p w14:paraId="1B752D02">
            <w:pPr>
              <w:jc w:val="left"/>
              <w:rPr>
                <w:rFonts w:ascii="Times New Roman" w:hAnsi="Times New Roman" w:eastAsia="宋体" w:cs="Times New Roman"/>
                <w:color w:val="auto"/>
                <w:kern w:val="2"/>
                <w:sz w:val="21"/>
                <w:szCs w:val="22"/>
                <w:highlight w:val="none"/>
                <w:lang w:val="en-US" w:eastAsia="zh-CN" w:bidi="ar-SA"/>
              </w:rPr>
            </w:pPr>
            <w:r>
              <w:rPr>
                <w:color w:val="auto"/>
                <w:sz w:val="20"/>
                <w:szCs w:val="20"/>
                <w:highlight w:val="none"/>
              </w:rPr>
              <w:t>基材、封边</w:t>
            </w:r>
          </w:p>
        </w:tc>
        <w:tc>
          <w:tcPr>
            <w:tcW w:w="314" w:type="pct"/>
            <w:tcBorders>
              <w:top w:val="single" w:color="000000" w:sz="0" w:space="0"/>
              <w:left w:val="single" w:color="000000" w:sz="0" w:space="0"/>
              <w:bottom w:val="single" w:color="000000" w:sz="0" w:space="0"/>
              <w:right w:val="single" w:color="000000" w:sz="0" w:space="0"/>
            </w:tcBorders>
            <w:shd w:val="clear" w:color="auto" w:fill="auto"/>
            <w:vAlign w:val="top"/>
          </w:tcPr>
          <w:p w14:paraId="40CC411C">
            <w:pPr>
              <w:jc w:val="left"/>
              <w:rPr>
                <w:rFonts w:ascii="Times New Roman" w:hAnsi="Times New Roman" w:eastAsia="宋体" w:cs="Times New Roman"/>
                <w:color w:val="auto"/>
                <w:kern w:val="2"/>
                <w:sz w:val="21"/>
                <w:szCs w:val="22"/>
                <w:highlight w:val="none"/>
                <w:lang w:val="en-US" w:eastAsia="zh-CN" w:bidi="ar-SA"/>
              </w:rPr>
            </w:pPr>
            <w:r>
              <w:rPr>
                <w:color w:val="auto"/>
                <w:sz w:val="20"/>
                <w:szCs w:val="20"/>
                <w:highlight w:val="none"/>
              </w:rPr>
              <w:t>刨花板</w:t>
            </w:r>
          </w:p>
        </w:tc>
        <w:tc>
          <w:tcPr>
            <w:tcW w:w="2095" w:type="pct"/>
            <w:tcBorders>
              <w:top w:val="single" w:color="000000" w:sz="0" w:space="0"/>
              <w:left w:val="single" w:color="000000" w:sz="0" w:space="0"/>
              <w:bottom w:val="single" w:color="000000" w:sz="0" w:space="0"/>
              <w:right w:val="single" w:color="000000" w:sz="0" w:space="0"/>
            </w:tcBorders>
            <w:shd w:val="clear" w:color="auto" w:fill="auto"/>
            <w:vAlign w:val="top"/>
          </w:tcPr>
          <w:p w14:paraId="4605672B">
            <w:pPr>
              <w:jc w:val="left"/>
              <w:rPr>
                <w:rFonts w:hint="eastAsia" w:ascii="Times New Roman" w:hAnsi="Times New Roman" w:eastAsia="宋体" w:cs="Times New Roman"/>
                <w:color w:val="auto"/>
                <w:kern w:val="2"/>
                <w:sz w:val="21"/>
                <w:szCs w:val="22"/>
                <w:highlight w:val="none"/>
                <w:lang w:val="en-US" w:eastAsia="zh-CN" w:bidi="ar-SA"/>
              </w:rPr>
            </w:pPr>
            <w:r>
              <w:rPr>
                <w:rFonts w:hint="eastAsia" w:ascii="宋体" w:hAnsi="宋体" w:cs="宋体"/>
                <w:color w:val="auto"/>
                <w:sz w:val="18"/>
                <w:szCs w:val="18"/>
                <w:highlight w:val="none"/>
                <w:lang w:bidi="ar"/>
              </w:rPr>
              <w:t>（1）基材：基材采用ENF级实木颗粒板，台面厚度</w:t>
            </w:r>
            <w:r>
              <w:rPr>
                <w:rFonts w:hint="eastAsia" w:ascii="宋体" w:hAnsi="宋体" w:cs="宋体"/>
                <w:snapToGrid w:val="0"/>
                <w:color w:val="auto"/>
                <w:kern w:val="0"/>
                <w:sz w:val="20"/>
                <w:szCs w:val="20"/>
                <w:highlight w:val="none"/>
                <w:lang w:bidi="ar"/>
              </w:rPr>
              <w:t>≥</w:t>
            </w:r>
            <w:r>
              <w:rPr>
                <w:rFonts w:hint="eastAsia" w:ascii="宋体" w:hAnsi="宋体" w:cs="宋体"/>
                <w:color w:val="auto"/>
                <w:sz w:val="18"/>
                <w:szCs w:val="18"/>
                <w:highlight w:val="none"/>
                <w:lang w:bidi="ar"/>
              </w:rPr>
              <w:t>25mm，其他厚度</w:t>
            </w:r>
            <w:r>
              <w:rPr>
                <w:rFonts w:hint="eastAsia" w:ascii="宋体" w:hAnsi="宋体" w:cs="宋体"/>
                <w:snapToGrid w:val="0"/>
                <w:color w:val="auto"/>
                <w:kern w:val="0"/>
                <w:sz w:val="20"/>
                <w:szCs w:val="20"/>
                <w:highlight w:val="none"/>
                <w:lang w:bidi="ar"/>
              </w:rPr>
              <w:t>≥</w:t>
            </w:r>
            <w:r>
              <w:rPr>
                <w:rFonts w:hint="eastAsia" w:ascii="宋体" w:hAnsi="宋体" w:cs="宋体"/>
                <w:color w:val="auto"/>
                <w:sz w:val="18"/>
                <w:szCs w:val="18"/>
                <w:highlight w:val="none"/>
                <w:lang w:bidi="ar"/>
              </w:rPr>
              <w:t>18mm，表面平整、光滑、无皱纹、折痕、压纹清晰。四周采用同色PVC封边</w:t>
            </w:r>
            <w:r>
              <w:rPr>
                <w:rFonts w:hint="eastAsia" w:ascii="宋体" w:hAnsi="宋体" w:cs="宋体"/>
                <w:color w:val="auto"/>
                <w:sz w:val="18"/>
                <w:szCs w:val="18"/>
                <w:highlight w:val="none"/>
                <w:lang w:eastAsia="zh-CN" w:bidi="ar"/>
              </w:rPr>
              <w:t>。</w:t>
            </w:r>
            <w:r>
              <w:rPr>
                <w:rFonts w:hint="eastAsia" w:ascii="宋体" w:hAnsi="宋体" w:cs="宋体"/>
                <w:color w:val="auto"/>
                <w:sz w:val="18"/>
                <w:szCs w:val="18"/>
                <w:highlight w:val="none"/>
                <w:lang w:bidi="ar"/>
              </w:rPr>
              <w:br w:type="textWrapping"/>
            </w:r>
            <w:r>
              <w:rPr>
                <w:rFonts w:hint="eastAsia" w:ascii="宋体" w:hAnsi="宋体" w:cs="宋体"/>
                <w:color w:val="auto"/>
                <w:sz w:val="18"/>
                <w:szCs w:val="18"/>
                <w:highlight w:val="none"/>
                <w:lang w:bidi="ar"/>
              </w:rPr>
              <w:t>（2）配件：连接件、缓冲轨道、缓冲铰链，锁具、采用优质品牌。                                                                                                                                                                                              （3）胶水：采用优质环保胶水                                                                                                           （4）环保：家具成品均</w:t>
            </w:r>
            <w:r>
              <w:rPr>
                <w:rFonts w:hint="eastAsia" w:ascii="宋体" w:hAnsi="宋体" w:cs="宋体"/>
                <w:color w:val="auto"/>
                <w:sz w:val="18"/>
                <w:szCs w:val="18"/>
                <w:highlight w:val="none"/>
                <w:lang w:eastAsia="zh-CN" w:bidi="ar"/>
              </w:rPr>
              <w:t>需</w:t>
            </w:r>
            <w:r>
              <w:rPr>
                <w:rFonts w:hint="eastAsia" w:ascii="宋体" w:hAnsi="宋体" w:cs="宋体"/>
                <w:color w:val="auto"/>
                <w:sz w:val="18"/>
                <w:szCs w:val="18"/>
                <w:highlight w:val="none"/>
                <w:lang w:bidi="ar"/>
              </w:rPr>
              <w:t>满足GB/T 35607-2024《绿色产品评价 家具》的要求（其中成品甲醛释放量≤0.05mg/m3，苯≤0.05mg/m3，甲苯、二甲苯≤0.1mg/m3，TVOC≤0.3mg/m3）</w:t>
            </w:r>
          </w:p>
        </w:tc>
      </w:tr>
      <w:tr w14:paraId="21112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0" w:type="dxa"/>
            <w:left w:w="100" w:type="dxa"/>
            <w:bottom w:w="50" w:type="dxa"/>
            <w:right w:w="100" w:type="dxa"/>
          </w:tblCellMar>
        </w:tblPrEx>
        <w:tc>
          <w:tcPr>
            <w:tcW w:w="153" w:type="pct"/>
            <w:tcBorders>
              <w:top w:val="single" w:color="000000" w:sz="0" w:space="0"/>
              <w:left w:val="single" w:color="000000" w:sz="0" w:space="0"/>
              <w:bottom w:val="single" w:color="000000" w:sz="0" w:space="0"/>
              <w:right w:val="single" w:color="000000" w:sz="0" w:space="0"/>
            </w:tcBorders>
          </w:tcPr>
          <w:p w14:paraId="4B95E94F">
            <w:pPr>
              <w:numPr>
                <w:ilvl w:val="0"/>
                <w:numId w:val="7"/>
              </w:numPr>
              <w:jc w:val="center"/>
              <w:rPr>
                <w:color w:val="auto"/>
                <w:highlight w:val="none"/>
              </w:rPr>
            </w:pPr>
          </w:p>
        </w:tc>
        <w:tc>
          <w:tcPr>
            <w:tcW w:w="325" w:type="pct"/>
            <w:tcBorders>
              <w:top w:val="single" w:color="000000" w:sz="0" w:space="0"/>
              <w:left w:val="single" w:color="000000" w:sz="0" w:space="0"/>
              <w:bottom w:val="single" w:color="000000" w:sz="0" w:space="0"/>
              <w:right w:val="single" w:color="000000" w:sz="0" w:space="0"/>
            </w:tcBorders>
          </w:tcPr>
          <w:p w14:paraId="5213EF6E">
            <w:pPr>
              <w:jc w:val="left"/>
              <w:rPr>
                <w:rFonts w:hint="eastAsia" w:eastAsia="宋体"/>
                <w:color w:val="auto"/>
                <w:highlight w:val="none"/>
                <w:lang w:eastAsia="zh-CN"/>
              </w:rPr>
            </w:pPr>
            <w:r>
              <w:rPr>
                <w:color w:val="auto"/>
                <w:sz w:val="20"/>
                <w:szCs w:val="20"/>
                <w:highlight w:val="none"/>
              </w:rPr>
              <w:t>教师办公桌</w:t>
            </w:r>
            <w:r>
              <w:rPr>
                <w:rFonts w:hint="eastAsia"/>
                <w:color w:val="auto"/>
                <w:sz w:val="20"/>
                <w:szCs w:val="20"/>
                <w:highlight w:val="none"/>
                <w:lang w:val="en-US" w:eastAsia="zh-CN"/>
              </w:rPr>
              <w:t>1</w:t>
            </w:r>
            <w:r>
              <w:rPr>
                <w:rFonts w:hint="eastAsia"/>
                <w:color w:val="auto"/>
                <w:sz w:val="20"/>
                <w:szCs w:val="20"/>
                <w:highlight w:val="none"/>
                <w:lang w:eastAsia="zh-CN"/>
              </w:rPr>
              <w:t>（</w:t>
            </w:r>
            <w:r>
              <w:rPr>
                <w:rFonts w:hint="eastAsia"/>
                <w:color w:val="auto"/>
                <w:sz w:val="20"/>
                <w:szCs w:val="20"/>
                <w:highlight w:val="none"/>
                <w:lang w:val="en-US" w:eastAsia="zh-CN"/>
              </w:rPr>
              <w:t>无挡板</w:t>
            </w:r>
            <w:r>
              <w:rPr>
                <w:rFonts w:hint="eastAsia"/>
                <w:color w:val="auto"/>
                <w:sz w:val="20"/>
                <w:szCs w:val="20"/>
                <w:highlight w:val="none"/>
                <w:lang w:eastAsia="zh-CN"/>
              </w:rPr>
              <w:t>）</w:t>
            </w:r>
          </w:p>
        </w:tc>
        <w:tc>
          <w:tcPr>
            <w:tcW w:w="257" w:type="pct"/>
            <w:tcBorders>
              <w:top w:val="single" w:color="000000" w:sz="0" w:space="0"/>
              <w:left w:val="single" w:color="000000" w:sz="0" w:space="0"/>
              <w:bottom w:val="single" w:color="000000" w:sz="0" w:space="0"/>
              <w:right w:val="single" w:color="000000" w:sz="0" w:space="0"/>
            </w:tcBorders>
          </w:tcPr>
          <w:p w14:paraId="61D5347D">
            <w:pPr>
              <w:jc w:val="center"/>
              <w:rPr>
                <w:color w:val="auto"/>
                <w:highlight w:val="none"/>
              </w:rPr>
            </w:pPr>
            <w:r>
              <w:rPr>
                <w:color w:val="auto"/>
                <w:sz w:val="20"/>
                <w:szCs w:val="20"/>
                <w:highlight w:val="none"/>
              </w:rPr>
              <w:t>办公桌</w:t>
            </w:r>
          </w:p>
        </w:tc>
        <w:tc>
          <w:tcPr>
            <w:tcW w:w="524" w:type="pct"/>
          </w:tcPr>
          <w:p w14:paraId="4B4B7DF8">
            <w:pPr>
              <w:jc w:val="center"/>
              <w:rPr>
                <w:color w:val="auto"/>
                <w:highlight w:val="none"/>
              </w:rPr>
            </w:pPr>
            <w:r>
              <w:rPr>
                <w:color w:val="auto"/>
                <w:highlight w:val="none"/>
              </w:rPr>
              <w:drawing>
                <wp:inline distT="0" distB="0" distL="0" distR="0">
                  <wp:extent cx="1160780" cy="1160780"/>
                  <wp:effectExtent l="0" t="0" r="1270" b="1270"/>
                  <wp:docPr id="29" name="Image" descr="参考图片" titl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 descr="参考图片" title="图片"/>
                          <pic:cNvPicPr>
                            <a:picLocks noChangeAspect="1" noChangeArrowheads="1"/>
                          </pic:cNvPicPr>
                        </pic:nvPicPr>
                        <pic:blipFill>
                          <a:blip r:embed="rId14"/>
                          <a:srcRect/>
                          <a:stretch>
                            <a:fillRect/>
                          </a:stretch>
                        </pic:blipFill>
                        <pic:spPr>
                          <a:xfrm>
                            <a:off x="0" y="0"/>
                            <a:ext cx="1160780" cy="1160780"/>
                          </a:xfrm>
                          <a:prstGeom prst="rect">
                            <a:avLst/>
                          </a:prstGeom>
                        </pic:spPr>
                      </pic:pic>
                    </a:graphicData>
                  </a:graphic>
                </wp:inline>
              </w:drawing>
            </w:r>
          </w:p>
        </w:tc>
        <w:tc>
          <w:tcPr>
            <w:tcW w:w="621" w:type="pct"/>
            <w:tcBorders>
              <w:top w:val="single" w:color="000000" w:sz="0" w:space="0"/>
              <w:left w:val="single" w:color="000000" w:sz="0" w:space="0"/>
              <w:bottom w:val="single" w:color="000000" w:sz="0" w:space="0"/>
              <w:right w:val="single" w:color="000000" w:sz="0" w:space="0"/>
            </w:tcBorders>
          </w:tcPr>
          <w:p w14:paraId="2A2C75C7">
            <w:pPr>
              <w:jc w:val="left"/>
              <w:rPr>
                <w:color w:val="auto"/>
                <w:highlight w:val="none"/>
              </w:rPr>
            </w:pPr>
            <w:r>
              <w:rPr>
                <w:color w:val="auto"/>
                <w:sz w:val="20"/>
                <w:szCs w:val="20"/>
                <w:highlight w:val="none"/>
              </w:rPr>
              <w:t>1</w:t>
            </w:r>
            <w:r>
              <w:rPr>
                <w:rFonts w:hint="eastAsia"/>
                <w:color w:val="auto"/>
                <w:sz w:val="20"/>
                <w:szCs w:val="20"/>
                <w:highlight w:val="none"/>
              </w:rPr>
              <w:t>8</w:t>
            </w:r>
            <w:r>
              <w:rPr>
                <w:color w:val="auto"/>
                <w:sz w:val="20"/>
                <w:szCs w:val="20"/>
                <w:highlight w:val="none"/>
              </w:rPr>
              <w:t>00*700*760mm*</w:t>
            </w:r>
            <w:r>
              <w:rPr>
                <w:rFonts w:hint="eastAsia"/>
                <w:color w:val="auto"/>
                <w:sz w:val="20"/>
                <w:szCs w:val="20"/>
                <w:highlight w:val="none"/>
              </w:rPr>
              <w:t>6</w:t>
            </w:r>
            <w:r>
              <w:rPr>
                <w:color w:val="auto"/>
                <w:sz w:val="20"/>
                <w:szCs w:val="20"/>
                <w:highlight w:val="none"/>
              </w:rPr>
              <w:t>张</w:t>
            </w:r>
          </w:p>
        </w:tc>
        <w:tc>
          <w:tcPr>
            <w:tcW w:w="204" w:type="pct"/>
            <w:tcBorders>
              <w:top w:val="single" w:color="000000" w:sz="0" w:space="0"/>
              <w:left w:val="single" w:color="000000" w:sz="0" w:space="0"/>
              <w:bottom w:val="single" w:color="000000" w:sz="0" w:space="0"/>
              <w:right w:val="single" w:color="000000" w:sz="0" w:space="0"/>
            </w:tcBorders>
          </w:tcPr>
          <w:p w14:paraId="06AF0F3D">
            <w:pPr>
              <w:jc w:val="center"/>
              <w:rPr>
                <w:color w:val="auto"/>
                <w:highlight w:val="none"/>
              </w:rPr>
            </w:pPr>
            <w:r>
              <w:rPr>
                <w:rFonts w:hint="eastAsia"/>
                <w:color w:val="auto"/>
                <w:sz w:val="20"/>
                <w:szCs w:val="20"/>
                <w:highlight w:val="none"/>
                <w:lang w:val="en-US" w:eastAsia="zh-CN"/>
              </w:rPr>
              <w:t>6</w:t>
            </w:r>
            <w:r>
              <w:rPr>
                <w:color w:val="auto"/>
                <w:sz w:val="20"/>
                <w:szCs w:val="20"/>
                <w:highlight w:val="none"/>
              </w:rPr>
              <w:t>套</w:t>
            </w:r>
          </w:p>
        </w:tc>
        <w:tc>
          <w:tcPr>
            <w:tcW w:w="504" w:type="pct"/>
            <w:tcBorders>
              <w:top w:val="single" w:color="000000" w:sz="0" w:space="0"/>
              <w:left w:val="single" w:color="000000" w:sz="0" w:space="0"/>
              <w:bottom w:val="single" w:color="000000" w:sz="0" w:space="0"/>
              <w:right w:val="single" w:color="000000" w:sz="0" w:space="0"/>
            </w:tcBorders>
          </w:tcPr>
          <w:p w14:paraId="04E856A1">
            <w:pPr>
              <w:jc w:val="left"/>
              <w:rPr>
                <w:color w:val="auto"/>
                <w:highlight w:val="none"/>
              </w:rPr>
            </w:pPr>
            <w:r>
              <w:rPr>
                <w:color w:val="auto"/>
                <w:sz w:val="20"/>
                <w:szCs w:val="20"/>
                <w:highlight w:val="none"/>
              </w:rPr>
              <w:t>基材、封边</w:t>
            </w:r>
          </w:p>
        </w:tc>
        <w:tc>
          <w:tcPr>
            <w:tcW w:w="314" w:type="pct"/>
            <w:tcBorders>
              <w:top w:val="single" w:color="000000" w:sz="0" w:space="0"/>
              <w:left w:val="single" w:color="000000" w:sz="0" w:space="0"/>
              <w:bottom w:val="single" w:color="000000" w:sz="0" w:space="0"/>
              <w:right w:val="single" w:color="000000" w:sz="0" w:space="0"/>
            </w:tcBorders>
          </w:tcPr>
          <w:p w14:paraId="60500C31">
            <w:pPr>
              <w:jc w:val="left"/>
              <w:rPr>
                <w:color w:val="auto"/>
                <w:highlight w:val="none"/>
              </w:rPr>
            </w:pPr>
            <w:r>
              <w:rPr>
                <w:color w:val="auto"/>
                <w:sz w:val="20"/>
                <w:szCs w:val="20"/>
                <w:highlight w:val="none"/>
              </w:rPr>
              <w:t>刨花板</w:t>
            </w:r>
          </w:p>
        </w:tc>
        <w:tc>
          <w:tcPr>
            <w:tcW w:w="2095" w:type="pct"/>
            <w:tcBorders>
              <w:top w:val="single" w:color="000000" w:sz="0" w:space="0"/>
              <w:left w:val="single" w:color="000000" w:sz="0" w:space="0"/>
              <w:bottom w:val="single" w:color="000000" w:sz="0" w:space="0"/>
              <w:right w:val="single" w:color="000000" w:sz="0" w:space="0"/>
            </w:tcBorders>
          </w:tcPr>
          <w:p w14:paraId="79F0AC5B">
            <w:pPr>
              <w:jc w:val="left"/>
              <w:rPr>
                <w:color w:val="auto"/>
                <w:highlight w:val="none"/>
              </w:rPr>
            </w:pPr>
            <w:r>
              <w:rPr>
                <w:rFonts w:hint="eastAsia" w:ascii="宋体" w:hAnsi="宋体" w:cs="宋体"/>
                <w:color w:val="auto"/>
                <w:sz w:val="18"/>
                <w:szCs w:val="18"/>
                <w:highlight w:val="none"/>
                <w:lang w:bidi="ar"/>
              </w:rPr>
              <w:t>（1）基材：基材采用ENF级实木颗粒板，台面厚度</w:t>
            </w:r>
            <w:r>
              <w:rPr>
                <w:rFonts w:hint="eastAsia" w:ascii="宋体" w:hAnsi="宋体" w:cs="宋体"/>
                <w:snapToGrid w:val="0"/>
                <w:color w:val="auto"/>
                <w:kern w:val="0"/>
                <w:sz w:val="20"/>
                <w:szCs w:val="20"/>
                <w:highlight w:val="none"/>
                <w:lang w:bidi="ar"/>
              </w:rPr>
              <w:t>≥</w:t>
            </w:r>
            <w:r>
              <w:rPr>
                <w:rFonts w:hint="eastAsia" w:ascii="宋体" w:hAnsi="宋体" w:cs="宋体"/>
                <w:color w:val="auto"/>
                <w:sz w:val="18"/>
                <w:szCs w:val="18"/>
                <w:highlight w:val="none"/>
                <w:lang w:bidi="ar"/>
              </w:rPr>
              <w:t>25mm，其他厚度</w:t>
            </w:r>
            <w:r>
              <w:rPr>
                <w:rFonts w:hint="eastAsia" w:ascii="宋体" w:hAnsi="宋体" w:cs="宋体"/>
                <w:snapToGrid w:val="0"/>
                <w:color w:val="auto"/>
                <w:kern w:val="0"/>
                <w:sz w:val="20"/>
                <w:szCs w:val="20"/>
                <w:highlight w:val="none"/>
                <w:lang w:bidi="ar"/>
              </w:rPr>
              <w:t>≥</w:t>
            </w:r>
            <w:r>
              <w:rPr>
                <w:rFonts w:hint="eastAsia" w:ascii="宋体" w:hAnsi="宋体" w:cs="宋体"/>
                <w:color w:val="auto"/>
                <w:sz w:val="18"/>
                <w:szCs w:val="18"/>
                <w:highlight w:val="none"/>
                <w:lang w:bidi="ar"/>
              </w:rPr>
              <w:t>18mm，表面平整、光滑、无皱纹、折痕、压纹清晰。四周采用同色PVC封边</w:t>
            </w:r>
            <w:r>
              <w:rPr>
                <w:rFonts w:hint="eastAsia" w:ascii="宋体" w:hAnsi="宋体" w:cs="宋体"/>
                <w:color w:val="auto"/>
                <w:sz w:val="18"/>
                <w:szCs w:val="18"/>
                <w:highlight w:val="none"/>
                <w:lang w:eastAsia="zh-CN" w:bidi="ar"/>
              </w:rPr>
              <w:t>。</w:t>
            </w:r>
            <w:r>
              <w:rPr>
                <w:rFonts w:hint="eastAsia" w:ascii="宋体" w:hAnsi="宋体" w:cs="宋体"/>
                <w:color w:val="auto"/>
                <w:sz w:val="18"/>
                <w:szCs w:val="18"/>
                <w:highlight w:val="none"/>
                <w:lang w:bidi="ar"/>
              </w:rPr>
              <w:br w:type="textWrapping"/>
            </w:r>
            <w:r>
              <w:rPr>
                <w:rFonts w:hint="eastAsia" w:ascii="宋体" w:hAnsi="宋体" w:cs="宋体"/>
                <w:color w:val="auto"/>
                <w:sz w:val="18"/>
                <w:szCs w:val="18"/>
                <w:highlight w:val="none"/>
                <w:lang w:bidi="ar"/>
              </w:rPr>
              <w:t>（2）配件：连接件、缓冲轨道、缓冲铰链，锁具、采用优质品牌。                                                                                                                                                                                              （3）胶水：采用优质环保胶水                                                                                                           （4）环保：家具成品均</w:t>
            </w:r>
            <w:r>
              <w:rPr>
                <w:rFonts w:hint="eastAsia" w:ascii="宋体" w:hAnsi="宋体" w:cs="宋体"/>
                <w:color w:val="auto"/>
                <w:sz w:val="18"/>
                <w:szCs w:val="18"/>
                <w:highlight w:val="none"/>
                <w:lang w:eastAsia="zh-CN" w:bidi="ar"/>
              </w:rPr>
              <w:t>需</w:t>
            </w:r>
            <w:r>
              <w:rPr>
                <w:rFonts w:hint="eastAsia" w:ascii="宋体" w:hAnsi="宋体" w:cs="宋体"/>
                <w:color w:val="auto"/>
                <w:sz w:val="18"/>
                <w:szCs w:val="18"/>
                <w:highlight w:val="none"/>
                <w:lang w:bidi="ar"/>
              </w:rPr>
              <w:t>满足GB/T 35607-2024《绿色产品评价 家具》的要求（其中成品甲醛释放量≤0.05mg/m3，苯≤0.05mg/m3，甲苯、二甲苯≤0.1mg/m3，TVOC≤0.3mg/m3）</w:t>
            </w:r>
          </w:p>
        </w:tc>
      </w:tr>
      <w:tr w14:paraId="089BF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0" w:type="dxa"/>
            <w:left w:w="100" w:type="dxa"/>
            <w:bottom w:w="50" w:type="dxa"/>
            <w:right w:w="100" w:type="dxa"/>
          </w:tblCellMar>
        </w:tblPrEx>
        <w:tc>
          <w:tcPr>
            <w:tcW w:w="153" w:type="pct"/>
            <w:tcBorders>
              <w:top w:val="single" w:color="000000" w:sz="0" w:space="0"/>
              <w:left w:val="single" w:color="000000" w:sz="0" w:space="0"/>
              <w:bottom w:val="single" w:color="000000" w:sz="0" w:space="0"/>
              <w:right w:val="single" w:color="000000" w:sz="0" w:space="0"/>
            </w:tcBorders>
            <w:shd w:val="clear" w:color="auto" w:fill="auto"/>
            <w:vAlign w:val="top"/>
          </w:tcPr>
          <w:p w14:paraId="24E28A93">
            <w:pPr>
              <w:numPr>
                <w:ilvl w:val="0"/>
                <w:numId w:val="7"/>
              </w:numPr>
              <w:ind w:left="425" w:leftChars="0" w:hanging="425" w:firstLineChars="0"/>
              <w:jc w:val="center"/>
              <w:rPr>
                <w:rFonts w:ascii="Times New Roman" w:hAnsi="Times New Roman" w:eastAsia="宋体" w:cs="Times New Roman"/>
                <w:color w:val="auto"/>
                <w:kern w:val="2"/>
                <w:sz w:val="21"/>
                <w:szCs w:val="22"/>
                <w:highlight w:val="none"/>
                <w:lang w:val="en-US" w:eastAsia="zh-CN" w:bidi="ar-SA"/>
              </w:rPr>
            </w:pPr>
          </w:p>
        </w:tc>
        <w:tc>
          <w:tcPr>
            <w:tcW w:w="325" w:type="pct"/>
            <w:tcBorders>
              <w:top w:val="single" w:color="000000" w:sz="0" w:space="0"/>
              <w:left w:val="single" w:color="000000" w:sz="0" w:space="0"/>
              <w:bottom w:val="single" w:color="000000" w:sz="0" w:space="0"/>
              <w:right w:val="single" w:color="000000" w:sz="0" w:space="0"/>
            </w:tcBorders>
            <w:shd w:val="clear" w:color="auto" w:fill="auto"/>
            <w:vAlign w:val="top"/>
          </w:tcPr>
          <w:p w14:paraId="52CE9A66">
            <w:pPr>
              <w:jc w:val="left"/>
              <w:rPr>
                <w:rFonts w:hint="eastAsia" w:ascii="Times New Roman" w:hAnsi="Times New Roman" w:eastAsia="宋体" w:cs="Times New Roman"/>
                <w:color w:val="auto"/>
                <w:kern w:val="2"/>
                <w:sz w:val="21"/>
                <w:szCs w:val="22"/>
                <w:highlight w:val="none"/>
                <w:lang w:val="en-US" w:eastAsia="zh-CN" w:bidi="ar-SA"/>
              </w:rPr>
            </w:pPr>
            <w:r>
              <w:rPr>
                <w:color w:val="auto"/>
                <w:sz w:val="20"/>
                <w:szCs w:val="20"/>
                <w:highlight w:val="none"/>
              </w:rPr>
              <w:t>教师办公桌</w:t>
            </w:r>
            <w:r>
              <w:rPr>
                <w:rFonts w:hint="eastAsia"/>
                <w:color w:val="auto"/>
                <w:sz w:val="20"/>
                <w:szCs w:val="20"/>
                <w:highlight w:val="none"/>
                <w:lang w:val="en-US" w:eastAsia="zh-CN"/>
              </w:rPr>
              <w:t>2</w:t>
            </w:r>
            <w:r>
              <w:rPr>
                <w:rFonts w:hint="eastAsia"/>
                <w:color w:val="auto"/>
                <w:sz w:val="20"/>
                <w:szCs w:val="20"/>
                <w:highlight w:val="none"/>
                <w:lang w:eastAsia="zh-CN"/>
              </w:rPr>
              <w:t>（</w:t>
            </w:r>
            <w:r>
              <w:rPr>
                <w:rFonts w:hint="eastAsia"/>
                <w:color w:val="auto"/>
                <w:sz w:val="20"/>
                <w:szCs w:val="20"/>
                <w:highlight w:val="none"/>
                <w:lang w:val="en-US" w:eastAsia="zh-CN"/>
              </w:rPr>
              <w:t>无挡板</w:t>
            </w:r>
            <w:r>
              <w:rPr>
                <w:rFonts w:hint="eastAsia"/>
                <w:color w:val="auto"/>
                <w:sz w:val="20"/>
                <w:szCs w:val="20"/>
                <w:highlight w:val="none"/>
                <w:lang w:eastAsia="zh-CN"/>
              </w:rPr>
              <w:t>）</w:t>
            </w:r>
          </w:p>
        </w:tc>
        <w:tc>
          <w:tcPr>
            <w:tcW w:w="257" w:type="pct"/>
            <w:tcBorders>
              <w:top w:val="single" w:color="000000" w:sz="0" w:space="0"/>
              <w:left w:val="single" w:color="000000" w:sz="0" w:space="0"/>
              <w:bottom w:val="single" w:color="000000" w:sz="0" w:space="0"/>
              <w:right w:val="single" w:color="000000" w:sz="0" w:space="0"/>
            </w:tcBorders>
            <w:shd w:val="clear" w:color="auto" w:fill="auto"/>
            <w:vAlign w:val="top"/>
          </w:tcPr>
          <w:p w14:paraId="0B847C98">
            <w:pPr>
              <w:jc w:val="center"/>
              <w:rPr>
                <w:rFonts w:ascii="Times New Roman" w:hAnsi="Times New Roman" w:eastAsia="宋体" w:cs="Times New Roman"/>
                <w:color w:val="auto"/>
                <w:kern w:val="2"/>
                <w:sz w:val="21"/>
                <w:szCs w:val="22"/>
                <w:highlight w:val="none"/>
                <w:lang w:val="en-US" w:eastAsia="zh-CN" w:bidi="ar-SA"/>
              </w:rPr>
            </w:pPr>
            <w:r>
              <w:rPr>
                <w:color w:val="auto"/>
                <w:sz w:val="20"/>
                <w:szCs w:val="20"/>
                <w:highlight w:val="none"/>
              </w:rPr>
              <w:t>办公桌</w:t>
            </w:r>
          </w:p>
        </w:tc>
        <w:tc>
          <w:tcPr>
            <w:tcW w:w="524" w:type="pct"/>
            <w:shd w:val="clear" w:color="auto" w:fill="auto"/>
            <w:vAlign w:val="top"/>
          </w:tcPr>
          <w:p w14:paraId="378A8C3F">
            <w:pPr>
              <w:jc w:val="center"/>
              <w:rPr>
                <w:rFonts w:ascii="Times New Roman" w:hAnsi="Times New Roman" w:eastAsia="宋体" w:cs="Times New Roman"/>
                <w:color w:val="auto"/>
                <w:kern w:val="2"/>
                <w:sz w:val="21"/>
                <w:szCs w:val="22"/>
                <w:highlight w:val="none"/>
                <w:lang w:val="en-US" w:eastAsia="zh-CN" w:bidi="ar-SA"/>
              </w:rPr>
            </w:pPr>
            <w:r>
              <w:rPr>
                <w:color w:val="auto"/>
                <w:highlight w:val="none"/>
              </w:rPr>
              <w:drawing>
                <wp:inline distT="0" distB="0" distL="0" distR="0">
                  <wp:extent cx="1160780" cy="1160780"/>
                  <wp:effectExtent l="0" t="0" r="7620" b="7620"/>
                  <wp:docPr id="62" name="Image" descr="参考图片" titl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 descr="参考图片" title="图片"/>
                          <pic:cNvPicPr>
                            <a:picLocks noChangeAspect="1" noChangeArrowheads="1"/>
                          </pic:cNvPicPr>
                        </pic:nvPicPr>
                        <pic:blipFill>
                          <a:blip r:embed="rId14"/>
                          <a:srcRect/>
                          <a:stretch>
                            <a:fillRect/>
                          </a:stretch>
                        </pic:blipFill>
                        <pic:spPr>
                          <a:xfrm>
                            <a:off x="0" y="0"/>
                            <a:ext cx="1160780" cy="1160780"/>
                          </a:xfrm>
                          <a:prstGeom prst="rect">
                            <a:avLst/>
                          </a:prstGeom>
                        </pic:spPr>
                      </pic:pic>
                    </a:graphicData>
                  </a:graphic>
                </wp:inline>
              </w:drawing>
            </w:r>
          </w:p>
        </w:tc>
        <w:tc>
          <w:tcPr>
            <w:tcW w:w="621" w:type="pct"/>
            <w:tcBorders>
              <w:top w:val="single" w:color="000000" w:sz="0" w:space="0"/>
              <w:left w:val="single" w:color="000000" w:sz="0" w:space="0"/>
              <w:bottom w:val="single" w:color="000000" w:sz="0" w:space="0"/>
              <w:right w:val="single" w:color="000000" w:sz="0" w:space="0"/>
            </w:tcBorders>
            <w:shd w:val="clear" w:color="auto" w:fill="auto"/>
            <w:vAlign w:val="top"/>
          </w:tcPr>
          <w:p w14:paraId="5E0FEBD7">
            <w:pPr>
              <w:jc w:val="left"/>
              <w:rPr>
                <w:rFonts w:ascii="Times New Roman" w:hAnsi="Times New Roman" w:eastAsia="宋体" w:cs="Times New Roman"/>
                <w:color w:val="auto"/>
                <w:kern w:val="2"/>
                <w:sz w:val="21"/>
                <w:szCs w:val="22"/>
                <w:highlight w:val="none"/>
                <w:lang w:val="en-US" w:eastAsia="zh-CN" w:bidi="ar-SA"/>
              </w:rPr>
            </w:pPr>
            <w:r>
              <w:rPr>
                <w:color w:val="auto"/>
                <w:sz w:val="20"/>
                <w:szCs w:val="20"/>
                <w:highlight w:val="none"/>
              </w:rPr>
              <w:t>1</w:t>
            </w:r>
            <w:r>
              <w:rPr>
                <w:rFonts w:hint="eastAsia"/>
                <w:color w:val="auto"/>
                <w:sz w:val="20"/>
                <w:szCs w:val="20"/>
                <w:highlight w:val="none"/>
              </w:rPr>
              <w:t>6</w:t>
            </w:r>
            <w:r>
              <w:rPr>
                <w:color w:val="auto"/>
                <w:sz w:val="20"/>
                <w:szCs w:val="20"/>
                <w:highlight w:val="none"/>
              </w:rPr>
              <w:t>00*</w:t>
            </w:r>
            <w:r>
              <w:rPr>
                <w:rFonts w:hint="eastAsia"/>
                <w:color w:val="auto"/>
                <w:sz w:val="20"/>
                <w:szCs w:val="20"/>
                <w:highlight w:val="none"/>
              </w:rPr>
              <w:t>7</w:t>
            </w:r>
            <w:r>
              <w:rPr>
                <w:color w:val="auto"/>
                <w:sz w:val="20"/>
                <w:szCs w:val="20"/>
                <w:highlight w:val="none"/>
              </w:rPr>
              <w:t>00*760mm*3张</w:t>
            </w:r>
          </w:p>
        </w:tc>
        <w:tc>
          <w:tcPr>
            <w:tcW w:w="204" w:type="pct"/>
            <w:tcBorders>
              <w:top w:val="single" w:color="000000" w:sz="0" w:space="0"/>
              <w:left w:val="single" w:color="000000" w:sz="0" w:space="0"/>
              <w:bottom w:val="single" w:color="000000" w:sz="0" w:space="0"/>
              <w:right w:val="single" w:color="000000" w:sz="0" w:space="0"/>
            </w:tcBorders>
            <w:shd w:val="clear" w:color="auto" w:fill="auto"/>
            <w:vAlign w:val="top"/>
          </w:tcPr>
          <w:p w14:paraId="1EFBA40A">
            <w:pPr>
              <w:jc w:val="center"/>
              <w:rPr>
                <w:rFonts w:ascii="Times New Roman" w:hAnsi="Times New Roman" w:eastAsia="宋体" w:cs="Times New Roman"/>
                <w:color w:val="auto"/>
                <w:kern w:val="2"/>
                <w:sz w:val="21"/>
                <w:szCs w:val="22"/>
                <w:highlight w:val="none"/>
                <w:lang w:val="en-US" w:eastAsia="zh-CN" w:bidi="ar-SA"/>
              </w:rPr>
            </w:pPr>
            <w:r>
              <w:rPr>
                <w:rFonts w:hint="eastAsia"/>
                <w:color w:val="auto"/>
                <w:sz w:val="20"/>
                <w:szCs w:val="20"/>
                <w:highlight w:val="none"/>
                <w:lang w:val="en-US" w:eastAsia="zh-CN"/>
              </w:rPr>
              <w:t>3</w:t>
            </w:r>
            <w:r>
              <w:rPr>
                <w:color w:val="auto"/>
                <w:sz w:val="20"/>
                <w:szCs w:val="20"/>
                <w:highlight w:val="none"/>
              </w:rPr>
              <w:t>套</w:t>
            </w:r>
          </w:p>
        </w:tc>
        <w:tc>
          <w:tcPr>
            <w:tcW w:w="504" w:type="pct"/>
            <w:tcBorders>
              <w:top w:val="single" w:color="000000" w:sz="0" w:space="0"/>
              <w:left w:val="single" w:color="000000" w:sz="0" w:space="0"/>
              <w:bottom w:val="single" w:color="000000" w:sz="0" w:space="0"/>
              <w:right w:val="single" w:color="000000" w:sz="0" w:space="0"/>
            </w:tcBorders>
            <w:shd w:val="clear" w:color="auto" w:fill="auto"/>
            <w:vAlign w:val="top"/>
          </w:tcPr>
          <w:p w14:paraId="5ED89E8F">
            <w:pPr>
              <w:jc w:val="left"/>
              <w:rPr>
                <w:rFonts w:ascii="Times New Roman" w:hAnsi="Times New Roman" w:eastAsia="宋体" w:cs="Times New Roman"/>
                <w:color w:val="auto"/>
                <w:kern w:val="2"/>
                <w:sz w:val="21"/>
                <w:szCs w:val="22"/>
                <w:highlight w:val="none"/>
                <w:lang w:val="en-US" w:eastAsia="zh-CN" w:bidi="ar-SA"/>
              </w:rPr>
            </w:pPr>
            <w:r>
              <w:rPr>
                <w:color w:val="auto"/>
                <w:sz w:val="20"/>
                <w:szCs w:val="20"/>
                <w:highlight w:val="none"/>
              </w:rPr>
              <w:t>基材、封边</w:t>
            </w:r>
          </w:p>
        </w:tc>
        <w:tc>
          <w:tcPr>
            <w:tcW w:w="314" w:type="pct"/>
            <w:tcBorders>
              <w:top w:val="single" w:color="000000" w:sz="0" w:space="0"/>
              <w:left w:val="single" w:color="000000" w:sz="0" w:space="0"/>
              <w:bottom w:val="single" w:color="000000" w:sz="0" w:space="0"/>
              <w:right w:val="single" w:color="000000" w:sz="0" w:space="0"/>
            </w:tcBorders>
            <w:shd w:val="clear" w:color="auto" w:fill="auto"/>
            <w:vAlign w:val="top"/>
          </w:tcPr>
          <w:p w14:paraId="168870D3">
            <w:pPr>
              <w:jc w:val="left"/>
              <w:rPr>
                <w:rFonts w:ascii="Times New Roman" w:hAnsi="Times New Roman" w:eastAsia="宋体" w:cs="Times New Roman"/>
                <w:color w:val="auto"/>
                <w:kern w:val="2"/>
                <w:sz w:val="21"/>
                <w:szCs w:val="22"/>
                <w:highlight w:val="none"/>
                <w:lang w:val="en-US" w:eastAsia="zh-CN" w:bidi="ar-SA"/>
              </w:rPr>
            </w:pPr>
            <w:r>
              <w:rPr>
                <w:color w:val="auto"/>
                <w:sz w:val="20"/>
                <w:szCs w:val="20"/>
                <w:highlight w:val="none"/>
              </w:rPr>
              <w:t>刨花板</w:t>
            </w:r>
          </w:p>
        </w:tc>
        <w:tc>
          <w:tcPr>
            <w:tcW w:w="2095" w:type="pct"/>
            <w:tcBorders>
              <w:top w:val="single" w:color="000000" w:sz="0" w:space="0"/>
              <w:left w:val="single" w:color="000000" w:sz="0" w:space="0"/>
              <w:bottom w:val="single" w:color="000000" w:sz="0" w:space="0"/>
              <w:right w:val="single" w:color="000000" w:sz="0" w:space="0"/>
            </w:tcBorders>
            <w:shd w:val="clear" w:color="auto" w:fill="auto"/>
            <w:vAlign w:val="top"/>
          </w:tcPr>
          <w:p w14:paraId="029D9C4A">
            <w:pPr>
              <w:jc w:val="left"/>
              <w:rPr>
                <w:rFonts w:hint="eastAsia" w:ascii="Times New Roman" w:hAnsi="Times New Roman" w:eastAsia="宋体" w:cs="Times New Roman"/>
                <w:color w:val="auto"/>
                <w:kern w:val="2"/>
                <w:sz w:val="21"/>
                <w:szCs w:val="22"/>
                <w:highlight w:val="none"/>
                <w:lang w:val="en-US" w:eastAsia="zh-CN" w:bidi="ar-SA"/>
              </w:rPr>
            </w:pPr>
            <w:r>
              <w:rPr>
                <w:rFonts w:hint="eastAsia" w:ascii="宋体" w:hAnsi="宋体" w:cs="宋体"/>
                <w:color w:val="auto"/>
                <w:sz w:val="18"/>
                <w:szCs w:val="18"/>
                <w:highlight w:val="none"/>
                <w:lang w:bidi="ar"/>
              </w:rPr>
              <w:t>（1）基材：基材采用ENF级实木颗粒板，台面厚度</w:t>
            </w:r>
            <w:r>
              <w:rPr>
                <w:rFonts w:hint="eastAsia" w:ascii="宋体" w:hAnsi="宋体" w:cs="宋体"/>
                <w:snapToGrid w:val="0"/>
                <w:color w:val="auto"/>
                <w:kern w:val="0"/>
                <w:sz w:val="20"/>
                <w:szCs w:val="20"/>
                <w:highlight w:val="none"/>
                <w:lang w:bidi="ar"/>
              </w:rPr>
              <w:t>≥</w:t>
            </w:r>
            <w:r>
              <w:rPr>
                <w:rFonts w:hint="eastAsia" w:ascii="宋体" w:hAnsi="宋体" w:cs="宋体"/>
                <w:color w:val="auto"/>
                <w:sz w:val="18"/>
                <w:szCs w:val="18"/>
                <w:highlight w:val="none"/>
                <w:lang w:bidi="ar"/>
              </w:rPr>
              <w:t>25mm，其他厚度</w:t>
            </w:r>
            <w:r>
              <w:rPr>
                <w:rFonts w:hint="eastAsia" w:ascii="宋体" w:hAnsi="宋体" w:cs="宋体"/>
                <w:snapToGrid w:val="0"/>
                <w:color w:val="auto"/>
                <w:kern w:val="0"/>
                <w:sz w:val="20"/>
                <w:szCs w:val="20"/>
                <w:highlight w:val="none"/>
                <w:lang w:bidi="ar"/>
              </w:rPr>
              <w:t>≥</w:t>
            </w:r>
            <w:r>
              <w:rPr>
                <w:rFonts w:hint="eastAsia" w:ascii="宋体" w:hAnsi="宋体" w:cs="宋体"/>
                <w:color w:val="auto"/>
                <w:sz w:val="18"/>
                <w:szCs w:val="18"/>
                <w:highlight w:val="none"/>
                <w:lang w:bidi="ar"/>
              </w:rPr>
              <w:t>18mm，表面平整、光滑、无皱纹、折痕、压纹清晰。四周采用同色PVC封边</w:t>
            </w:r>
            <w:r>
              <w:rPr>
                <w:rFonts w:hint="eastAsia" w:ascii="宋体" w:hAnsi="宋体" w:cs="宋体"/>
                <w:color w:val="auto"/>
                <w:sz w:val="18"/>
                <w:szCs w:val="18"/>
                <w:highlight w:val="none"/>
                <w:lang w:eastAsia="zh-CN" w:bidi="ar"/>
              </w:rPr>
              <w:t>。</w:t>
            </w:r>
            <w:r>
              <w:rPr>
                <w:rFonts w:hint="eastAsia" w:ascii="宋体" w:hAnsi="宋体" w:cs="宋体"/>
                <w:color w:val="auto"/>
                <w:sz w:val="18"/>
                <w:szCs w:val="18"/>
                <w:highlight w:val="none"/>
                <w:lang w:bidi="ar"/>
              </w:rPr>
              <w:br w:type="textWrapping"/>
            </w:r>
            <w:r>
              <w:rPr>
                <w:rFonts w:hint="eastAsia" w:ascii="宋体" w:hAnsi="宋体" w:cs="宋体"/>
                <w:color w:val="auto"/>
                <w:sz w:val="18"/>
                <w:szCs w:val="18"/>
                <w:highlight w:val="none"/>
                <w:lang w:bidi="ar"/>
              </w:rPr>
              <w:t>（2）配件：连接件、缓冲轨道、缓冲铰链，锁具、采用优质品牌。                                                                                                                                                                                              （3）胶水：采用优质环保胶水                                                                                                           （4）环保：家具成品均</w:t>
            </w:r>
            <w:r>
              <w:rPr>
                <w:rFonts w:hint="eastAsia" w:ascii="宋体" w:hAnsi="宋体" w:cs="宋体"/>
                <w:color w:val="auto"/>
                <w:sz w:val="18"/>
                <w:szCs w:val="18"/>
                <w:highlight w:val="none"/>
                <w:lang w:eastAsia="zh-CN" w:bidi="ar"/>
              </w:rPr>
              <w:t>需</w:t>
            </w:r>
            <w:r>
              <w:rPr>
                <w:rFonts w:hint="eastAsia" w:ascii="宋体" w:hAnsi="宋体" w:cs="宋体"/>
                <w:color w:val="auto"/>
                <w:sz w:val="18"/>
                <w:szCs w:val="18"/>
                <w:highlight w:val="none"/>
                <w:lang w:bidi="ar"/>
              </w:rPr>
              <w:t>满足GB/T 35607-2024《绿色产品评价 家具》的要求（其中成品甲醛释放量≤0.05mg/m3，苯≤0.05mg/m3，甲苯、二甲苯≤0.1mg/m3，TVOC≤0.3mg/m3）</w:t>
            </w:r>
          </w:p>
        </w:tc>
      </w:tr>
      <w:tr w14:paraId="06639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0" w:type="dxa"/>
            <w:left w:w="100" w:type="dxa"/>
            <w:bottom w:w="50" w:type="dxa"/>
            <w:right w:w="100" w:type="dxa"/>
          </w:tblCellMar>
        </w:tblPrEx>
        <w:trPr>
          <w:trHeight w:val="3574" w:hRule="atLeast"/>
        </w:trPr>
        <w:tc>
          <w:tcPr>
            <w:tcW w:w="153" w:type="pct"/>
            <w:tcBorders>
              <w:top w:val="single" w:color="000000" w:sz="0" w:space="0"/>
              <w:left w:val="single" w:color="000000" w:sz="0" w:space="0"/>
              <w:bottom w:val="single" w:color="000000" w:sz="0" w:space="0"/>
              <w:right w:val="single" w:color="000000" w:sz="0" w:space="0"/>
            </w:tcBorders>
          </w:tcPr>
          <w:p w14:paraId="31EBB7BB">
            <w:pPr>
              <w:numPr>
                <w:ilvl w:val="0"/>
                <w:numId w:val="7"/>
              </w:numPr>
              <w:jc w:val="center"/>
              <w:rPr>
                <w:color w:val="auto"/>
                <w:sz w:val="20"/>
                <w:szCs w:val="20"/>
                <w:highlight w:val="none"/>
              </w:rPr>
            </w:pPr>
          </w:p>
        </w:tc>
        <w:tc>
          <w:tcPr>
            <w:tcW w:w="325" w:type="pct"/>
            <w:tcBorders>
              <w:top w:val="single" w:color="000000" w:sz="0" w:space="0"/>
              <w:left w:val="single" w:color="000000" w:sz="0" w:space="0"/>
              <w:bottom w:val="single" w:color="000000" w:sz="0" w:space="0"/>
              <w:right w:val="single" w:color="000000" w:sz="0" w:space="0"/>
            </w:tcBorders>
          </w:tcPr>
          <w:p w14:paraId="5CEC92F0">
            <w:pPr>
              <w:jc w:val="left"/>
              <w:rPr>
                <w:color w:val="auto"/>
                <w:highlight w:val="none"/>
              </w:rPr>
            </w:pPr>
            <w:r>
              <w:rPr>
                <w:color w:val="auto"/>
                <w:sz w:val="20"/>
                <w:szCs w:val="20"/>
                <w:highlight w:val="none"/>
              </w:rPr>
              <w:t>教师办公桌（带屏风</w:t>
            </w:r>
            <w:r>
              <w:rPr>
                <w:rFonts w:hint="eastAsia"/>
                <w:color w:val="auto"/>
                <w:sz w:val="20"/>
                <w:szCs w:val="20"/>
                <w:highlight w:val="none"/>
              </w:rPr>
              <w:t>/文件架</w:t>
            </w:r>
            <w:r>
              <w:rPr>
                <w:color w:val="auto"/>
                <w:sz w:val="20"/>
                <w:szCs w:val="20"/>
                <w:highlight w:val="none"/>
              </w:rPr>
              <w:t>）</w:t>
            </w:r>
          </w:p>
        </w:tc>
        <w:tc>
          <w:tcPr>
            <w:tcW w:w="257" w:type="pct"/>
            <w:tcBorders>
              <w:top w:val="single" w:color="000000" w:sz="0" w:space="0"/>
              <w:left w:val="single" w:color="000000" w:sz="0" w:space="0"/>
              <w:bottom w:val="single" w:color="000000" w:sz="0" w:space="0"/>
              <w:right w:val="single" w:color="000000" w:sz="0" w:space="0"/>
            </w:tcBorders>
          </w:tcPr>
          <w:p w14:paraId="7ACDDAE0">
            <w:pPr>
              <w:jc w:val="center"/>
              <w:rPr>
                <w:color w:val="auto"/>
                <w:highlight w:val="none"/>
              </w:rPr>
            </w:pPr>
            <w:r>
              <w:rPr>
                <w:color w:val="auto"/>
                <w:sz w:val="20"/>
                <w:szCs w:val="20"/>
                <w:highlight w:val="none"/>
              </w:rPr>
              <w:t>办公桌</w:t>
            </w:r>
          </w:p>
        </w:tc>
        <w:tc>
          <w:tcPr>
            <w:tcW w:w="524" w:type="pct"/>
          </w:tcPr>
          <w:p w14:paraId="4652AD79">
            <w:pPr>
              <w:jc w:val="center"/>
              <w:rPr>
                <w:color w:val="auto"/>
                <w:highlight w:val="none"/>
              </w:rPr>
            </w:pPr>
            <w:r>
              <w:rPr>
                <w:rFonts w:hint="eastAsia"/>
                <w:color w:val="auto"/>
                <w:highlight w:val="none"/>
              </w:rPr>
              <w:t>示意图</w:t>
            </w:r>
            <w:r>
              <w:rPr>
                <w:color w:val="auto"/>
                <w:highlight w:val="none"/>
              </w:rPr>
              <w:drawing>
                <wp:inline distT="0" distB="0" distL="114300" distR="114300">
                  <wp:extent cx="1068705" cy="840740"/>
                  <wp:effectExtent l="0" t="0" r="17145" b="16510"/>
                  <wp:docPr id="88" name="图片 87" descr="卡座带文件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87" descr="卡座带文件架"/>
                          <pic:cNvPicPr>
                            <a:picLocks noChangeAspect="1"/>
                          </pic:cNvPicPr>
                        </pic:nvPicPr>
                        <pic:blipFill>
                          <a:blip r:embed="rId15"/>
                          <a:stretch>
                            <a:fillRect/>
                          </a:stretch>
                        </pic:blipFill>
                        <pic:spPr>
                          <a:xfrm>
                            <a:off x="0" y="0"/>
                            <a:ext cx="1068705" cy="840740"/>
                          </a:xfrm>
                          <a:prstGeom prst="rect">
                            <a:avLst/>
                          </a:prstGeom>
                        </pic:spPr>
                      </pic:pic>
                    </a:graphicData>
                  </a:graphic>
                </wp:inline>
              </w:drawing>
            </w:r>
          </w:p>
        </w:tc>
        <w:tc>
          <w:tcPr>
            <w:tcW w:w="621" w:type="pct"/>
            <w:tcBorders>
              <w:top w:val="single" w:color="000000" w:sz="0" w:space="0"/>
              <w:left w:val="single" w:color="000000" w:sz="0" w:space="0"/>
              <w:bottom w:val="single" w:color="000000" w:sz="0" w:space="0"/>
              <w:right w:val="single" w:color="000000" w:sz="0" w:space="0"/>
            </w:tcBorders>
          </w:tcPr>
          <w:p w14:paraId="6CD5DC96">
            <w:pPr>
              <w:jc w:val="left"/>
              <w:rPr>
                <w:rFonts w:hint="default" w:eastAsia="宋体"/>
                <w:color w:val="auto"/>
                <w:highlight w:val="none"/>
                <w:lang w:val="en-US" w:eastAsia="zh-CN"/>
              </w:rPr>
            </w:pPr>
            <w:r>
              <w:rPr>
                <w:rFonts w:hint="eastAsia"/>
                <w:color w:val="auto"/>
                <w:sz w:val="20"/>
                <w:szCs w:val="20"/>
                <w:highlight w:val="none"/>
              </w:rPr>
              <w:t>1400*(1400+150)*</w:t>
            </w:r>
            <w:r>
              <w:rPr>
                <w:rFonts w:hint="eastAsia"/>
                <w:color w:val="auto"/>
                <w:sz w:val="20"/>
                <w:szCs w:val="20"/>
                <w:highlight w:val="none"/>
                <w:lang w:eastAsia="zh-CN"/>
              </w:rPr>
              <w:t>（</w:t>
            </w:r>
            <w:r>
              <w:rPr>
                <w:rFonts w:hint="eastAsia"/>
                <w:color w:val="auto"/>
                <w:sz w:val="20"/>
                <w:szCs w:val="20"/>
                <w:highlight w:val="none"/>
              </w:rPr>
              <w:t>730-1200</w:t>
            </w:r>
            <w:r>
              <w:rPr>
                <w:rFonts w:hint="eastAsia"/>
                <w:color w:val="auto"/>
                <w:sz w:val="20"/>
                <w:szCs w:val="20"/>
                <w:highlight w:val="none"/>
                <w:lang w:eastAsia="zh-CN"/>
              </w:rPr>
              <w:t>）</w:t>
            </w:r>
            <w:r>
              <w:rPr>
                <w:color w:val="auto"/>
                <w:sz w:val="20"/>
                <w:szCs w:val="20"/>
                <w:highlight w:val="none"/>
              </w:rPr>
              <w:t>*</w:t>
            </w:r>
            <w:r>
              <w:rPr>
                <w:rFonts w:hint="eastAsia"/>
                <w:color w:val="auto"/>
                <w:sz w:val="20"/>
                <w:szCs w:val="20"/>
                <w:highlight w:val="none"/>
              </w:rPr>
              <w:t>8</w:t>
            </w:r>
            <w:r>
              <w:rPr>
                <w:color w:val="auto"/>
                <w:sz w:val="20"/>
                <w:szCs w:val="20"/>
                <w:highlight w:val="none"/>
              </w:rPr>
              <w:t>套</w:t>
            </w:r>
            <w:r>
              <w:rPr>
                <w:rFonts w:hint="eastAsia"/>
                <w:color w:val="auto"/>
                <w:sz w:val="20"/>
                <w:szCs w:val="20"/>
                <w:highlight w:val="none"/>
                <w:lang w:val="en-US" w:eastAsia="zh-CN"/>
              </w:rPr>
              <w:t>尺寸可偏离±10</w:t>
            </w:r>
          </w:p>
        </w:tc>
        <w:tc>
          <w:tcPr>
            <w:tcW w:w="204" w:type="pct"/>
            <w:tcBorders>
              <w:top w:val="single" w:color="000000" w:sz="0" w:space="0"/>
              <w:left w:val="single" w:color="000000" w:sz="0" w:space="0"/>
              <w:bottom w:val="single" w:color="000000" w:sz="0" w:space="0"/>
              <w:right w:val="single" w:color="000000" w:sz="0" w:space="0"/>
            </w:tcBorders>
          </w:tcPr>
          <w:p w14:paraId="637C5A54">
            <w:pPr>
              <w:jc w:val="center"/>
              <w:rPr>
                <w:color w:val="auto"/>
                <w:highlight w:val="none"/>
              </w:rPr>
            </w:pPr>
            <w:r>
              <w:rPr>
                <w:rFonts w:hint="eastAsia"/>
                <w:color w:val="auto"/>
                <w:sz w:val="20"/>
                <w:szCs w:val="20"/>
                <w:highlight w:val="none"/>
              </w:rPr>
              <w:t>8</w:t>
            </w:r>
            <w:r>
              <w:rPr>
                <w:color w:val="auto"/>
                <w:sz w:val="20"/>
                <w:szCs w:val="20"/>
                <w:highlight w:val="none"/>
              </w:rPr>
              <w:t>套</w:t>
            </w:r>
          </w:p>
        </w:tc>
        <w:tc>
          <w:tcPr>
            <w:tcW w:w="504" w:type="pct"/>
            <w:tcBorders>
              <w:top w:val="single" w:color="000000" w:sz="0" w:space="0"/>
              <w:left w:val="single" w:color="000000" w:sz="0" w:space="0"/>
              <w:bottom w:val="single" w:color="000000" w:sz="0" w:space="0"/>
              <w:right w:val="single" w:color="000000" w:sz="0" w:space="0"/>
            </w:tcBorders>
          </w:tcPr>
          <w:p w14:paraId="34A241D3">
            <w:pPr>
              <w:jc w:val="left"/>
              <w:rPr>
                <w:color w:val="auto"/>
                <w:highlight w:val="none"/>
              </w:rPr>
            </w:pPr>
            <w:r>
              <w:rPr>
                <w:color w:val="auto"/>
                <w:sz w:val="20"/>
                <w:szCs w:val="20"/>
                <w:highlight w:val="none"/>
              </w:rPr>
              <w:t>基材、饰面、封边</w:t>
            </w:r>
          </w:p>
        </w:tc>
        <w:tc>
          <w:tcPr>
            <w:tcW w:w="314" w:type="pct"/>
            <w:tcBorders>
              <w:top w:val="single" w:color="000000" w:sz="0" w:space="0"/>
              <w:left w:val="single" w:color="000000" w:sz="0" w:space="0"/>
              <w:bottom w:val="single" w:color="000000" w:sz="0" w:space="0"/>
              <w:right w:val="single" w:color="000000" w:sz="0" w:space="0"/>
            </w:tcBorders>
          </w:tcPr>
          <w:p w14:paraId="4FC4186A">
            <w:pPr>
              <w:jc w:val="left"/>
              <w:rPr>
                <w:color w:val="auto"/>
                <w:highlight w:val="none"/>
              </w:rPr>
            </w:pPr>
            <w:r>
              <w:rPr>
                <w:color w:val="auto"/>
                <w:sz w:val="20"/>
                <w:szCs w:val="20"/>
                <w:highlight w:val="none"/>
              </w:rPr>
              <w:t>刨花板、实木、铝合金</w:t>
            </w:r>
          </w:p>
        </w:tc>
        <w:tc>
          <w:tcPr>
            <w:tcW w:w="2095" w:type="pct"/>
            <w:tcBorders>
              <w:top w:val="single" w:color="000000" w:sz="0" w:space="0"/>
              <w:left w:val="single" w:color="000000" w:sz="0" w:space="0"/>
              <w:bottom w:val="single" w:color="000000" w:sz="0" w:space="0"/>
              <w:right w:val="single" w:color="000000" w:sz="0" w:space="0"/>
            </w:tcBorders>
          </w:tcPr>
          <w:p w14:paraId="30E96F67">
            <w:pPr>
              <w:jc w:val="left"/>
              <w:rPr>
                <w:color w:val="auto"/>
                <w:highlight w:val="none"/>
              </w:rPr>
            </w:pPr>
            <w:r>
              <w:rPr>
                <w:rFonts w:hint="eastAsia" w:ascii="宋体" w:hAnsi="宋体" w:cs="宋体"/>
                <w:color w:val="auto"/>
                <w:sz w:val="18"/>
                <w:szCs w:val="18"/>
                <w:highlight w:val="none"/>
                <w:lang w:bidi="ar"/>
              </w:rPr>
              <w:t>（1）基材：基材采用ENF级实木颗粒板，台面厚度</w:t>
            </w:r>
            <w:r>
              <w:rPr>
                <w:rFonts w:hint="eastAsia" w:ascii="宋体" w:hAnsi="宋体" w:cs="宋体"/>
                <w:snapToGrid w:val="0"/>
                <w:color w:val="auto"/>
                <w:kern w:val="0"/>
                <w:sz w:val="20"/>
                <w:szCs w:val="20"/>
                <w:highlight w:val="none"/>
                <w:lang w:bidi="ar"/>
              </w:rPr>
              <w:t>≥</w:t>
            </w:r>
            <w:r>
              <w:rPr>
                <w:rFonts w:hint="eastAsia" w:ascii="宋体" w:hAnsi="宋体" w:cs="宋体"/>
                <w:color w:val="auto"/>
                <w:sz w:val="18"/>
                <w:szCs w:val="18"/>
                <w:highlight w:val="none"/>
                <w:lang w:bidi="ar"/>
              </w:rPr>
              <w:t>25mm，其他厚度</w:t>
            </w:r>
            <w:r>
              <w:rPr>
                <w:rFonts w:hint="eastAsia" w:ascii="宋体" w:hAnsi="宋体" w:cs="宋体"/>
                <w:snapToGrid w:val="0"/>
                <w:color w:val="auto"/>
                <w:kern w:val="0"/>
                <w:sz w:val="20"/>
                <w:szCs w:val="20"/>
                <w:highlight w:val="none"/>
                <w:lang w:bidi="ar"/>
              </w:rPr>
              <w:t>≥</w:t>
            </w:r>
            <w:r>
              <w:rPr>
                <w:rFonts w:hint="eastAsia" w:ascii="宋体" w:hAnsi="宋体" w:cs="宋体"/>
                <w:color w:val="auto"/>
                <w:sz w:val="18"/>
                <w:szCs w:val="18"/>
                <w:highlight w:val="none"/>
                <w:lang w:bidi="ar"/>
              </w:rPr>
              <w:t>18mm，表面平整、光滑、无皱纹、折痕、压纹清晰。四周采用同色PVC封边，屏风厚度</w:t>
            </w:r>
            <w:r>
              <w:rPr>
                <w:rFonts w:hint="eastAsia" w:ascii="宋体" w:hAnsi="宋体" w:cs="宋体"/>
                <w:snapToGrid w:val="0"/>
                <w:color w:val="auto"/>
                <w:kern w:val="0"/>
                <w:sz w:val="20"/>
                <w:szCs w:val="20"/>
                <w:highlight w:val="none"/>
                <w:lang w:bidi="ar"/>
              </w:rPr>
              <w:t>≥</w:t>
            </w:r>
            <w:r>
              <w:rPr>
                <w:rFonts w:hint="eastAsia" w:ascii="宋体" w:hAnsi="宋体" w:cs="宋体"/>
                <w:color w:val="auto"/>
                <w:sz w:val="18"/>
                <w:szCs w:val="18"/>
                <w:highlight w:val="none"/>
                <w:lang w:bidi="ar"/>
              </w:rPr>
              <w:t>30mm,屏风铝材主材壁厚</w:t>
            </w:r>
            <w:r>
              <w:rPr>
                <w:rFonts w:hint="eastAsia" w:ascii="宋体" w:hAnsi="宋体" w:cs="宋体"/>
                <w:snapToGrid w:val="0"/>
                <w:color w:val="auto"/>
                <w:kern w:val="0"/>
                <w:sz w:val="20"/>
                <w:szCs w:val="20"/>
                <w:highlight w:val="none"/>
                <w:lang w:bidi="ar"/>
              </w:rPr>
              <w:t>≥</w:t>
            </w:r>
            <w:r>
              <w:rPr>
                <w:rFonts w:hint="eastAsia" w:ascii="宋体" w:hAnsi="宋体" w:cs="宋体"/>
                <w:color w:val="auto"/>
                <w:sz w:val="18"/>
                <w:szCs w:val="18"/>
                <w:highlight w:val="none"/>
                <w:lang w:bidi="ar"/>
              </w:rPr>
              <w:t>1.2mm，配铝合金功能挂槽，走线部分配下翻式线盒利于后面工序布线及收纳。屏风横向铝材与边柱铝材无缝连接，屏风与侧脚板连接配专门配件侧脚码。</w:t>
            </w:r>
            <w:r>
              <w:rPr>
                <w:rFonts w:hint="eastAsia" w:ascii="宋体" w:hAnsi="宋体" w:cs="宋体"/>
                <w:color w:val="auto"/>
                <w:sz w:val="18"/>
                <w:szCs w:val="18"/>
                <w:highlight w:val="none"/>
                <w:lang w:bidi="ar"/>
              </w:rPr>
              <w:br w:type="textWrapping"/>
            </w:r>
            <w:r>
              <w:rPr>
                <w:rFonts w:hint="eastAsia" w:ascii="宋体" w:hAnsi="宋体" w:cs="宋体"/>
                <w:color w:val="auto"/>
                <w:sz w:val="18"/>
                <w:szCs w:val="18"/>
                <w:highlight w:val="none"/>
                <w:lang w:bidi="ar"/>
              </w:rPr>
              <w:t>（2）配件：连接件、缓冲轨道、缓冲铰链，锁具、采用优质品牌。                                                                                                                                                                                              （3）胶水：采用优质环保胶水。                                                                                                           （4）环保：家具成品均</w:t>
            </w:r>
            <w:r>
              <w:rPr>
                <w:rFonts w:hint="eastAsia" w:ascii="宋体" w:hAnsi="宋体" w:cs="宋体"/>
                <w:color w:val="auto"/>
                <w:sz w:val="18"/>
                <w:szCs w:val="18"/>
                <w:highlight w:val="none"/>
                <w:lang w:eastAsia="zh-CN" w:bidi="ar"/>
              </w:rPr>
              <w:t>需</w:t>
            </w:r>
            <w:r>
              <w:rPr>
                <w:rFonts w:hint="eastAsia" w:ascii="宋体" w:hAnsi="宋体" w:cs="宋体"/>
                <w:color w:val="auto"/>
                <w:sz w:val="18"/>
                <w:szCs w:val="18"/>
                <w:highlight w:val="none"/>
                <w:lang w:bidi="ar"/>
              </w:rPr>
              <w:t>满足GB/T 35607-2024《绿色产品评价 家具》的要求（其中成品甲醛释放量≤0.05mg/m3，苯≤0.05mg/m3，甲苯、二甲苯≤0.1mg/m3，TVOC≤0.3mg/m3）。</w:t>
            </w:r>
          </w:p>
        </w:tc>
      </w:tr>
      <w:tr w14:paraId="2EC01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0" w:type="dxa"/>
            <w:left w:w="100" w:type="dxa"/>
            <w:bottom w:w="50" w:type="dxa"/>
            <w:right w:w="100" w:type="dxa"/>
          </w:tblCellMar>
        </w:tblPrEx>
        <w:tc>
          <w:tcPr>
            <w:tcW w:w="153" w:type="pct"/>
            <w:tcBorders>
              <w:top w:val="single" w:color="000000" w:sz="0" w:space="0"/>
              <w:left w:val="single" w:color="000000" w:sz="0" w:space="0"/>
              <w:bottom w:val="single" w:color="000000" w:sz="0" w:space="0"/>
              <w:right w:val="single" w:color="000000" w:sz="0" w:space="0"/>
            </w:tcBorders>
          </w:tcPr>
          <w:p w14:paraId="35464EF8">
            <w:pPr>
              <w:numPr>
                <w:ilvl w:val="0"/>
                <w:numId w:val="7"/>
              </w:numPr>
              <w:jc w:val="center"/>
              <w:rPr>
                <w:color w:val="auto"/>
                <w:highlight w:val="none"/>
              </w:rPr>
            </w:pPr>
          </w:p>
        </w:tc>
        <w:tc>
          <w:tcPr>
            <w:tcW w:w="325" w:type="pct"/>
            <w:tcBorders>
              <w:top w:val="single" w:color="000000" w:sz="0" w:space="0"/>
              <w:left w:val="single" w:color="000000" w:sz="0" w:space="0"/>
              <w:bottom w:val="single" w:color="000000" w:sz="0" w:space="0"/>
              <w:right w:val="single" w:color="000000" w:sz="0" w:space="0"/>
            </w:tcBorders>
          </w:tcPr>
          <w:p w14:paraId="65505BF4">
            <w:pPr>
              <w:jc w:val="left"/>
              <w:rPr>
                <w:color w:val="auto"/>
                <w:highlight w:val="none"/>
              </w:rPr>
            </w:pPr>
            <w:r>
              <w:rPr>
                <w:color w:val="auto"/>
                <w:sz w:val="20"/>
                <w:szCs w:val="20"/>
                <w:highlight w:val="none"/>
              </w:rPr>
              <w:t>教师办公桌</w:t>
            </w:r>
            <w:r>
              <w:rPr>
                <w:rFonts w:hint="eastAsia"/>
                <w:color w:val="auto"/>
                <w:sz w:val="20"/>
                <w:szCs w:val="20"/>
                <w:highlight w:val="none"/>
                <w:lang w:val="en-US" w:eastAsia="zh-CN"/>
              </w:rPr>
              <w:t>1</w:t>
            </w:r>
            <w:r>
              <w:rPr>
                <w:color w:val="auto"/>
                <w:sz w:val="20"/>
                <w:szCs w:val="20"/>
                <w:highlight w:val="none"/>
              </w:rPr>
              <w:t>（带屏风）</w:t>
            </w:r>
          </w:p>
        </w:tc>
        <w:tc>
          <w:tcPr>
            <w:tcW w:w="257" w:type="pct"/>
            <w:tcBorders>
              <w:top w:val="single" w:color="000000" w:sz="0" w:space="0"/>
              <w:left w:val="single" w:color="000000" w:sz="0" w:space="0"/>
              <w:bottom w:val="single" w:color="000000" w:sz="0" w:space="0"/>
              <w:right w:val="single" w:color="000000" w:sz="0" w:space="0"/>
            </w:tcBorders>
          </w:tcPr>
          <w:p w14:paraId="56E49401">
            <w:pPr>
              <w:jc w:val="center"/>
              <w:rPr>
                <w:color w:val="auto"/>
                <w:highlight w:val="none"/>
              </w:rPr>
            </w:pPr>
            <w:r>
              <w:rPr>
                <w:color w:val="auto"/>
                <w:sz w:val="20"/>
                <w:szCs w:val="20"/>
                <w:highlight w:val="none"/>
              </w:rPr>
              <w:t>办公桌</w:t>
            </w:r>
          </w:p>
        </w:tc>
        <w:tc>
          <w:tcPr>
            <w:tcW w:w="524" w:type="pct"/>
          </w:tcPr>
          <w:p w14:paraId="1A0EC794">
            <w:pPr>
              <w:jc w:val="center"/>
              <w:rPr>
                <w:color w:val="auto"/>
                <w:highlight w:val="none"/>
              </w:rPr>
            </w:pPr>
            <w:r>
              <w:rPr>
                <w:color w:val="auto"/>
                <w:highlight w:val="none"/>
              </w:rPr>
              <w:drawing>
                <wp:inline distT="0" distB="0" distL="0" distR="0">
                  <wp:extent cx="1386840" cy="1386840"/>
                  <wp:effectExtent l="0" t="0" r="3810" b="3810"/>
                  <wp:docPr id="30" name="Image" descr="参考图片" titl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 descr="参考图片" title="图片"/>
                          <pic:cNvPicPr>
                            <a:picLocks noChangeAspect="1" noChangeArrowheads="1"/>
                          </pic:cNvPicPr>
                        </pic:nvPicPr>
                        <pic:blipFill>
                          <a:blip r:embed="rId16"/>
                          <a:srcRect/>
                          <a:stretch>
                            <a:fillRect/>
                          </a:stretch>
                        </pic:blipFill>
                        <pic:spPr>
                          <a:xfrm>
                            <a:off x="0" y="0"/>
                            <a:ext cx="1386840" cy="1386840"/>
                          </a:xfrm>
                          <a:prstGeom prst="rect">
                            <a:avLst/>
                          </a:prstGeom>
                        </pic:spPr>
                      </pic:pic>
                    </a:graphicData>
                  </a:graphic>
                </wp:inline>
              </w:drawing>
            </w:r>
          </w:p>
        </w:tc>
        <w:tc>
          <w:tcPr>
            <w:tcW w:w="621" w:type="pct"/>
            <w:tcBorders>
              <w:top w:val="single" w:color="000000" w:sz="0" w:space="0"/>
              <w:left w:val="single" w:color="000000" w:sz="0" w:space="0"/>
              <w:bottom w:val="single" w:color="000000" w:sz="0" w:space="0"/>
              <w:right w:val="single" w:color="000000" w:sz="0" w:space="0"/>
            </w:tcBorders>
          </w:tcPr>
          <w:p w14:paraId="7B739AC7">
            <w:pPr>
              <w:jc w:val="left"/>
              <w:rPr>
                <w:color w:val="auto"/>
                <w:highlight w:val="none"/>
              </w:rPr>
            </w:pPr>
            <w:r>
              <w:rPr>
                <w:color w:val="auto"/>
                <w:sz w:val="20"/>
                <w:szCs w:val="20"/>
                <w:highlight w:val="none"/>
              </w:rPr>
              <w:t>1700*1400*</w:t>
            </w:r>
            <w:r>
              <w:rPr>
                <w:rFonts w:hint="eastAsia"/>
                <w:color w:val="auto"/>
                <w:sz w:val="20"/>
                <w:szCs w:val="20"/>
                <w:highlight w:val="none"/>
                <w:lang w:eastAsia="zh-CN"/>
              </w:rPr>
              <w:t>（</w:t>
            </w:r>
            <w:r>
              <w:rPr>
                <w:color w:val="auto"/>
                <w:sz w:val="20"/>
                <w:szCs w:val="20"/>
                <w:highlight w:val="none"/>
              </w:rPr>
              <w:t>730-1200</w:t>
            </w:r>
            <w:r>
              <w:rPr>
                <w:rFonts w:hint="eastAsia"/>
                <w:color w:val="auto"/>
                <w:sz w:val="20"/>
                <w:szCs w:val="20"/>
                <w:highlight w:val="none"/>
                <w:lang w:eastAsia="zh-CN"/>
              </w:rPr>
              <w:t>）</w:t>
            </w:r>
            <w:r>
              <w:rPr>
                <w:color w:val="auto"/>
                <w:sz w:val="20"/>
                <w:szCs w:val="20"/>
                <w:highlight w:val="none"/>
              </w:rPr>
              <w:t>*</w:t>
            </w:r>
            <w:r>
              <w:rPr>
                <w:rFonts w:hint="eastAsia"/>
                <w:color w:val="auto"/>
                <w:sz w:val="20"/>
                <w:szCs w:val="20"/>
                <w:highlight w:val="none"/>
              </w:rPr>
              <w:t>8</w:t>
            </w:r>
            <w:r>
              <w:rPr>
                <w:color w:val="auto"/>
                <w:sz w:val="20"/>
                <w:szCs w:val="20"/>
                <w:highlight w:val="none"/>
              </w:rPr>
              <w:t>套</w:t>
            </w:r>
          </w:p>
        </w:tc>
        <w:tc>
          <w:tcPr>
            <w:tcW w:w="204" w:type="pct"/>
            <w:tcBorders>
              <w:top w:val="single" w:color="000000" w:sz="0" w:space="0"/>
              <w:left w:val="single" w:color="000000" w:sz="0" w:space="0"/>
              <w:bottom w:val="single" w:color="000000" w:sz="0" w:space="0"/>
              <w:right w:val="single" w:color="000000" w:sz="0" w:space="0"/>
            </w:tcBorders>
          </w:tcPr>
          <w:p w14:paraId="1D05C9BE">
            <w:pPr>
              <w:jc w:val="center"/>
              <w:rPr>
                <w:color w:val="auto"/>
                <w:highlight w:val="none"/>
              </w:rPr>
            </w:pPr>
            <w:r>
              <w:rPr>
                <w:rFonts w:hint="eastAsia"/>
                <w:color w:val="auto"/>
                <w:sz w:val="20"/>
                <w:szCs w:val="20"/>
                <w:highlight w:val="none"/>
                <w:lang w:val="en-US" w:eastAsia="zh-CN"/>
              </w:rPr>
              <w:t>8</w:t>
            </w:r>
            <w:r>
              <w:rPr>
                <w:color w:val="auto"/>
                <w:sz w:val="20"/>
                <w:szCs w:val="20"/>
                <w:highlight w:val="none"/>
              </w:rPr>
              <w:t>套</w:t>
            </w:r>
          </w:p>
        </w:tc>
        <w:tc>
          <w:tcPr>
            <w:tcW w:w="504" w:type="pct"/>
            <w:tcBorders>
              <w:top w:val="single" w:color="000000" w:sz="0" w:space="0"/>
              <w:left w:val="single" w:color="000000" w:sz="0" w:space="0"/>
              <w:bottom w:val="single" w:color="000000" w:sz="0" w:space="0"/>
              <w:right w:val="single" w:color="000000" w:sz="0" w:space="0"/>
            </w:tcBorders>
          </w:tcPr>
          <w:p w14:paraId="021944D6">
            <w:pPr>
              <w:jc w:val="left"/>
              <w:rPr>
                <w:color w:val="auto"/>
                <w:highlight w:val="none"/>
              </w:rPr>
            </w:pPr>
            <w:r>
              <w:rPr>
                <w:color w:val="auto"/>
                <w:sz w:val="20"/>
                <w:szCs w:val="20"/>
                <w:highlight w:val="none"/>
              </w:rPr>
              <w:t>基材、饰面、封边</w:t>
            </w:r>
          </w:p>
        </w:tc>
        <w:tc>
          <w:tcPr>
            <w:tcW w:w="314" w:type="pct"/>
            <w:tcBorders>
              <w:top w:val="single" w:color="000000" w:sz="0" w:space="0"/>
              <w:left w:val="single" w:color="000000" w:sz="0" w:space="0"/>
              <w:bottom w:val="single" w:color="000000" w:sz="0" w:space="0"/>
              <w:right w:val="single" w:color="000000" w:sz="0" w:space="0"/>
            </w:tcBorders>
          </w:tcPr>
          <w:p w14:paraId="1E726BCF">
            <w:pPr>
              <w:jc w:val="left"/>
              <w:rPr>
                <w:color w:val="auto"/>
                <w:highlight w:val="none"/>
              </w:rPr>
            </w:pPr>
            <w:r>
              <w:rPr>
                <w:color w:val="auto"/>
                <w:sz w:val="20"/>
                <w:szCs w:val="20"/>
                <w:highlight w:val="none"/>
              </w:rPr>
              <w:t>刨花板、实木、铝合金</w:t>
            </w:r>
          </w:p>
        </w:tc>
        <w:tc>
          <w:tcPr>
            <w:tcW w:w="2095" w:type="pct"/>
            <w:tcBorders>
              <w:top w:val="single" w:color="000000" w:sz="0" w:space="0"/>
              <w:left w:val="single" w:color="000000" w:sz="0" w:space="0"/>
              <w:bottom w:val="single" w:color="000000" w:sz="0" w:space="0"/>
              <w:right w:val="single" w:color="000000" w:sz="0" w:space="0"/>
            </w:tcBorders>
          </w:tcPr>
          <w:p w14:paraId="269EA22B">
            <w:pPr>
              <w:jc w:val="left"/>
              <w:rPr>
                <w:color w:val="auto"/>
                <w:highlight w:val="none"/>
              </w:rPr>
            </w:pPr>
            <w:r>
              <w:rPr>
                <w:rFonts w:hint="eastAsia" w:ascii="宋体" w:hAnsi="宋体" w:cs="宋体"/>
                <w:color w:val="auto"/>
                <w:sz w:val="18"/>
                <w:szCs w:val="18"/>
                <w:highlight w:val="none"/>
                <w:lang w:bidi="ar"/>
              </w:rPr>
              <w:t>（1）基材：基材采用ENF级实木颗粒板，台面厚度</w:t>
            </w:r>
            <w:r>
              <w:rPr>
                <w:rFonts w:hint="eastAsia" w:ascii="宋体" w:hAnsi="宋体" w:cs="宋体"/>
                <w:snapToGrid w:val="0"/>
                <w:color w:val="auto"/>
                <w:kern w:val="0"/>
                <w:sz w:val="20"/>
                <w:szCs w:val="20"/>
                <w:highlight w:val="none"/>
                <w:lang w:bidi="ar"/>
              </w:rPr>
              <w:t>≥</w:t>
            </w:r>
            <w:r>
              <w:rPr>
                <w:rFonts w:hint="eastAsia" w:ascii="宋体" w:hAnsi="宋体" w:cs="宋体"/>
                <w:color w:val="auto"/>
                <w:sz w:val="18"/>
                <w:szCs w:val="18"/>
                <w:highlight w:val="none"/>
                <w:lang w:bidi="ar"/>
              </w:rPr>
              <w:t>25mm，其他厚度</w:t>
            </w:r>
            <w:r>
              <w:rPr>
                <w:rFonts w:hint="eastAsia" w:ascii="宋体" w:hAnsi="宋体" w:cs="宋体"/>
                <w:snapToGrid w:val="0"/>
                <w:color w:val="auto"/>
                <w:kern w:val="0"/>
                <w:sz w:val="20"/>
                <w:szCs w:val="20"/>
                <w:highlight w:val="none"/>
                <w:lang w:bidi="ar"/>
              </w:rPr>
              <w:t>≥</w:t>
            </w:r>
            <w:r>
              <w:rPr>
                <w:rFonts w:hint="eastAsia" w:ascii="宋体" w:hAnsi="宋体" w:cs="宋体"/>
                <w:color w:val="auto"/>
                <w:sz w:val="18"/>
                <w:szCs w:val="18"/>
                <w:highlight w:val="none"/>
                <w:lang w:bidi="ar"/>
              </w:rPr>
              <w:t>18mm，表面平整、光滑、无皱纹、折痕、压纹清晰。四周采用同色PVC封边，靠过道处屏风采用圆弧工艺，屏风厚度</w:t>
            </w:r>
            <w:r>
              <w:rPr>
                <w:rFonts w:hint="eastAsia" w:ascii="宋体" w:hAnsi="宋体" w:cs="宋体"/>
                <w:snapToGrid w:val="0"/>
                <w:color w:val="auto"/>
                <w:kern w:val="0"/>
                <w:sz w:val="20"/>
                <w:szCs w:val="20"/>
                <w:highlight w:val="none"/>
                <w:lang w:bidi="ar"/>
              </w:rPr>
              <w:t>≥</w:t>
            </w:r>
            <w:r>
              <w:rPr>
                <w:rFonts w:hint="eastAsia" w:ascii="宋体" w:hAnsi="宋体" w:cs="宋体"/>
                <w:color w:val="auto"/>
                <w:sz w:val="18"/>
                <w:szCs w:val="18"/>
                <w:highlight w:val="none"/>
                <w:lang w:bidi="ar"/>
              </w:rPr>
              <w:t>30mm,屏风铝材主材壁厚</w:t>
            </w:r>
            <w:r>
              <w:rPr>
                <w:rFonts w:hint="eastAsia" w:ascii="宋体" w:hAnsi="宋体" w:cs="宋体"/>
                <w:snapToGrid w:val="0"/>
                <w:color w:val="auto"/>
                <w:kern w:val="0"/>
                <w:sz w:val="20"/>
                <w:szCs w:val="20"/>
                <w:highlight w:val="none"/>
                <w:lang w:bidi="ar"/>
              </w:rPr>
              <w:t>≥</w:t>
            </w:r>
            <w:r>
              <w:rPr>
                <w:rFonts w:hint="eastAsia" w:ascii="宋体" w:hAnsi="宋体" w:cs="宋体"/>
                <w:color w:val="auto"/>
                <w:sz w:val="18"/>
                <w:szCs w:val="18"/>
                <w:highlight w:val="none"/>
                <w:lang w:bidi="ar"/>
              </w:rPr>
              <w:t>1.2mm，配铝合金功能挂槽，走线部分配下翻式线盒利于后面工序布线及收纳。屏风横向铝材与边柱铝材无缝连接，屏风与侧脚板连接配专门配件侧脚码。</w:t>
            </w:r>
            <w:r>
              <w:rPr>
                <w:rFonts w:hint="eastAsia" w:ascii="宋体" w:hAnsi="宋体" w:cs="宋体"/>
                <w:color w:val="auto"/>
                <w:sz w:val="18"/>
                <w:szCs w:val="18"/>
                <w:highlight w:val="none"/>
                <w:lang w:bidi="ar"/>
              </w:rPr>
              <w:br w:type="textWrapping"/>
            </w:r>
            <w:r>
              <w:rPr>
                <w:rFonts w:hint="eastAsia" w:ascii="宋体" w:hAnsi="宋体" w:cs="宋体"/>
                <w:color w:val="auto"/>
                <w:sz w:val="18"/>
                <w:szCs w:val="18"/>
                <w:highlight w:val="none"/>
                <w:lang w:bidi="ar"/>
              </w:rPr>
              <w:t>（2）配件：连接件、缓冲轨道、缓冲铰链，锁具、采用优质品牌。                                                                                                                                                                                              （3）胶水：采用优质环保胶水。                                                                                                           （4）环保：家具成品均</w:t>
            </w:r>
            <w:r>
              <w:rPr>
                <w:rFonts w:hint="eastAsia" w:ascii="宋体" w:hAnsi="宋体" w:cs="宋体"/>
                <w:color w:val="auto"/>
                <w:sz w:val="18"/>
                <w:szCs w:val="18"/>
                <w:highlight w:val="none"/>
                <w:lang w:eastAsia="zh-CN" w:bidi="ar"/>
              </w:rPr>
              <w:t>需</w:t>
            </w:r>
            <w:r>
              <w:rPr>
                <w:rFonts w:hint="eastAsia" w:ascii="宋体" w:hAnsi="宋体" w:cs="宋体"/>
                <w:color w:val="auto"/>
                <w:sz w:val="18"/>
                <w:szCs w:val="18"/>
                <w:highlight w:val="none"/>
                <w:lang w:bidi="ar"/>
              </w:rPr>
              <w:t>满足GB/T 35607-2024《绿色产品评价 家具》的要求（其中成品甲醛释放量≤0.05mg/m3，苯≤0.05mg/m3，甲苯、二甲苯≤0.1mg/m3，TVOC≤0.3mg/m3）。</w:t>
            </w:r>
          </w:p>
        </w:tc>
      </w:tr>
      <w:tr w14:paraId="0EE83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0" w:type="dxa"/>
            <w:left w:w="100" w:type="dxa"/>
            <w:bottom w:w="50" w:type="dxa"/>
            <w:right w:w="100" w:type="dxa"/>
          </w:tblCellMar>
        </w:tblPrEx>
        <w:tc>
          <w:tcPr>
            <w:tcW w:w="153" w:type="pct"/>
            <w:tcBorders>
              <w:top w:val="single" w:color="000000" w:sz="0" w:space="0"/>
              <w:left w:val="single" w:color="000000" w:sz="0" w:space="0"/>
              <w:bottom w:val="single" w:color="000000" w:sz="0" w:space="0"/>
              <w:right w:val="single" w:color="000000" w:sz="0" w:space="0"/>
            </w:tcBorders>
          </w:tcPr>
          <w:p w14:paraId="6AE6A799">
            <w:pPr>
              <w:numPr>
                <w:ilvl w:val="0"/>
                <w:numId w:val="7"/>
              </w:numPr>
              <w:jc w:val="center"/>
              <w:rPr>
                <w:color w:val="auto"/>
                <w:highlight w:val="none"/>
              </w:rPr>
            </w:pPr>
          </w:p>
        </w:tc>
        <w:tc>
          <w:tcPr>
            <w:tcW w:w="325" w:type="pct"/>
            <w:tcBorders>
              <w:top w:val="single" w:color="000000" w:sz="0" w:space="0"/>
              <w:left w:val="single" w:color="000000" w:sz="0" w:space="0"/>
              <w:bottom w:val="single" w:color="000000" w:sz="0" w:space="0"/>
              <w:right w:val="single" w:color="000000" w:sz="0" w:space="0"/>
            </w:tcBorders>
            <w:shd w:val="clear" w:color="auto" w:fill="auto"/>
            <w:vAlign w:val="top"/>
          </w:tcPr>
          <w:p w14:paraId="1D758F05">
            <w:pPr>
              <w:jc w:val="left"/>
              <w:rPr>
                <w:rFonts w:ascii="Times New Roman" w:hAnsi="Times New Roman" w:eastAsia="宋体" w:cs="Times New Roman"/>
                <w:color w:val="auto"/>
                <w:kern w:val="2"/>
                <w:sz w:val="21"/>
                <w:szCs w:val="22"/>
                <w:highlight w:val="none"/>
                <w:lang w:val="en-US" w:eastAsia="zh-CN" w:bidi="ar-SA"/>
              </w:rPr>
            </w:pPr>
            <w:r>
              <w:rPr>
                <w:color w:val="auto"/>
                <w:sz w:val="20"/>
                <w:szCs w:val="20"/>
                <w:highlight w:val="none"/>
              </w:rPr>
              <w:t>教师办公桌</w:t>
            </w:r>
            <w:r>
              <w:rPr>
                <w:rFonts w:hint="eastAsia"/>
                <w:color w:val="auto"/>
                <w:sz w:val="20"/>
                <w:szCs w:val="20"/>
                <w:highlight w:val="none"/>
                <w:lang w:val="en-US" w:eastAsia="zh-CN"/>
              </w:rPr>
              <w:t>2</w:t>
            </w:r>
            <w:r>
              <w:rPr>
                <w:color w:val="auto"/>
                <w:sz w:val="20"/>
                <w:szCs w:val="20"/>
                <w:highlight w:val="none"/>
              </w:rPr>
              <w:t>（带屏风）</w:t>
            </w:r>
          </w:p>
        </w:tc>
        <w:tc>
          <w:tcPr>
            <w:tcW w:w="257" w:type="pct"/>
            <w:tcBorders>
              <w:top w:val="single" w:color="000000" w:sz="0" w:space="0"/>
              <w:left w:val="single" w:color="000000" w:sz="0" w:space="0"/>
              <w:bottom w:val="single" w:color="000000" w:sz="0" w:space="0"/>
              <w:right w:val="single" w:color="000000" w:sz="0" w:space="0"/>
            </w:tcBorders>
            <w:shd w:val="clear" w:color="auto" w:fill="auto"/>
            <w:vAlign w:val="top"/>
          </w:tcPr>
          <w:p w14:paraId="08EEE0AF">
            <w:pPr>
              <w:jc w:val="center"/>
              <w:rPr>
                <w:rFonts w:ascii="Times New Roman" w:hAnsi="Times New Roman" w:eastAsia="宋体" w:cs="Times New Roman"/>
                <w:color w:val="auto"/>
                <w:kern w:val="2"/>
                <w:sz w:val="21"/>
                <w:szCs w:val="22"/>
                <w:highlight w:val="none"/>
                <w:lang w:val="en-US" w:eastAsia="zh-CN" w:bidi="ar-SA"/>
              </w:rPr>
            </w:pPr>
            <w:r>
              <w:rPr>
                <w:color w:val="auto"/>
                <w:sz w:val="20"/>
                <w:szCs w:val="20"/>
                <w:highlight w:val="none"/>
              </w:rPr>
              <w:t>办公桌</w:t>
            </w:r>
          </w:p>
        </w:tc>
        <w:tc>
          <w:tcPr>
            <w:tcW w:w="524" w:type="pct"/>
            <w:shd w:val="clear" w:color="auto" w:fill="auto"/>
            <w:vAlign w:val="top"/>
          </w:tcPr>
          <w:p w14:paraId="4C933F42">
            <w:pPr>
              <w:jc w:val="center"/>
              <w:rPr>
                <w:rFonts w:ascii="Times New Roman" w:hAnsi="Times New Roman" w:eastAsia="宋体" w:cs="Times New Roman"/>
                <w:color w:val="auto"/>
                <w:kern w:val="2"/>
                <w:sz w:val="21"/>
                <w:szCs w:val="22"/>
                <w:highlight w:val="none"/>
                <w:lang w:val="en-US" w:eastAsia="zh-CN" w:bidi="ar-SA"/>
              </w:rPr>
            </w:pPr>
            <w:r>
              <w:rPr>
                <w:color w:val="auto"/>
                <w:highlight w:val="none"/>
              </w:rPr>
              <w:drawing>
                <wp:inline distT="0" distB="0" distL="0" distR="0">
                  <wp:extent cx="1386840" cy="1386840"/>
                  <wp:effectExtent l="0" t="0" r="10160" b="10160"/>
                  <wp:docPr id="64" name="Image" descr="参考图片" titl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 descr="参考图片" title="图片"/>
                          <pic:cNvPicPr>
                            <a:picLocks noChangeAspect="1" noChangeArrowheads="1"/>
                          </pic:cNvPicPr>
                        </pic:nvPicPr>
                        <pic:blipFill>
                          <a:blip r:embed="rId16"/>
                          <a:srcRect/>
                          <a:stretch>
                            <a:fillRect/>
                          </a:stretch>
                        </pic:blipFill>
                        <pic:spPr>
                          <a:xfrm>
                            <a:off x="0" y="0"/>
                            <a:ext cx="1386840" cy="1386840"/>
                          </a:xfrm>
                          <a:prstGeom prst="rect">
                            <a:avLst/>
                          </a:prstGeom>
                        </pic:spPr>
                      </pic:pic>
                    </a:graphicData>
                  </a:graphic>
                </wp:inline>
              </w:drawing>
            </w:r>
          </w:p>
        </w:tc>
        <w:tc>
          <w:tcPr>
            <w:tcW w:w="621" w:type="pct"/>
            <w:tcBorders>
              <w:top w:val="single" w:color="000000" w:sz="0" w:space="0"/>
              <w:left w:val="single" w:color="000000" w:sz="0" w:space="0"/>
              <w:bottom w:val="single" w:color="000000" w:sz="0" w:space="0"/>
              <w:right w:val="single" w:color="000000" w:sz="0" w:space="0"/>
            </w:tcBorders>
            <w:shd w:val="clear" w:color="auto" w:fill="auto"/>
            <w:vAlign w:val="top"/>
          </w:tcPr>
          <w:p w14:paraId="46CE36BC">
            <w:pPr>
              <w:jc w:val="left"/>
              <w:rPr>
                <w:color w:val="auto"/>
                <w:sz w:val="20"/>
                <w:szCs w:val="20"/>
                <w:highlight w:val="none"/>
              </w:rPr>
            </w:pPr>
            <w:r>
              <w:rPr>
                <w:color w:val="auto"/>
                <w:sz w:val="20"/>
                <w:szCs w:val="20"/>
                <w:highlight w:val="none"/>
              </w:rPr>
              <w:t>1</w:t>
            </w:r>
            <w:r>
              <w:rPr>
                <w:rFonts w:hint="eastAsia"/>
                <w:color w:val="auto"/>
                <w:sz w:val="20"/>
                <w:szCs w:val="20"/>
                <w:highlight w:val="none"/>
              </w:rPr>
              <w:t>7</w:t>
            </w:r>
            <w:r>
              <w:rPr>
                <w:color w:val="auto"/>
                <w:sz w:val="20"/>
                <w:szCs w:val="20"/>
                <w:highlight w:val="none"/>
              </w:rPr>
              <w:t>00*1</w:t>
            </w:r>
            <w:r>
              <w:rPr>
                <w:rFonts w:hint="eastAsia"/>
                <w:color w:val="auto"/>
                <w:sz w:val="20"/>
                <w:szCs w:val="20"/>
                <w:highlight w:val="none"/>
              </w:rPr>
              <w:t>5</w:t>
            </w:r>
            <w:r>
              <w:rPr>
                <w:color w:val="auto"/>
                <w:sz w:val="20"/>
                <w:szCs w:val="20"/>
                <w:highlight w:val="none"/>
              </w:rPr>
              <w:t>00*</w:t>
            </w:r>
            <w:r>
              <w:rPr>
                <w:rFonts w:hint="eastAsia"/>
                <w:color w:val="auto"/>
                <w:sz w:val="20"/>
                <w:szCs w:val="20"/>
                <w:highlight w:val="none"/>
                <w:lang w:eastAsia="zh-CN"/>
              </w:rPr>
              <w:t>（</w:t>
            </w:r>
            <w:r>
              <w:rPr>
                <w:color w:val="auto"/>
                <w:sz w:val="20"/>
                <w:szCs w:val="20"/>
                <w:highlight w:val="none"/>
              </w:rPr>
              <w:t>730</w:t>
            </w:r>
            <w:r>
              <w:rPr>
                <w:rFonts w:hint="eastAsia"/>
                <w:color w:val="auto"/>
                <w:sz w:val="20"/>
                <w:szCs w:val="20"/>
                <w:highlight w:val="none"/>
              </w:rPr>
              <w:t>-</w:t>
            </w:r>
            <w:r>
              <w:rPr>
                <w:color w:val="auto"/>
                <w:sz w:val="20"/>
                <w:szCs w:val="20"/>
                <w:highlight w:val="none"/>
              </w:rPr>
              <w:t>1200</w:t>
            </w:r>
            <w:r>
              <w:rPr>
                <w:rFonts w:hint="eastAsia"/>
                <w:color w:val="auto"/>
                <w:sz w:val="20"/>
                <w:szCs w:val="20"/>
                <w:highlight w:val="none"/>
                <w:lang w:eastAsia="zh-CN"/>
              </w:rPr>
              <w:t>）</w:t>
            </w:r>
            <w:r>
              <w:rPr>
                <w:color w:val="auto"/>
                <w:sz w:val="20"/>
                <w:szCs w:val="20"/>
                <w:highlight w:val="none"/>
              </w:rPr>
              <w:t>*</w:t>
            </w:r>
            <w:r>
              <w:rPr>
                <w:rFonts w:hint="eastAsia"/>
                <w:color w:val="auto"/>
                <w:sz w:val="20"/>
                <w:szCs w:val="20"/>
                <w:highlight w:val="none"/>
              </w:rPr>
              <w:t>10</w:t>
            </w:r>
            <w:r>
              <w:rPr>
                <w:color w:val="auto"/>
                <w:sz w:val="20"/>
                <w:szCs w:val="20"/>
                <w:highlight w:val="none"/>
              </w:rPr>
              <w:t>套</w:t>
            </w:r>
          </w:p>
          <w:p w14:paraId="2649FDCD">
            <w:pPr>
              <w:jc w:val="left"/>
              <w:rPr>
                <w:rFonts w:ascii="Times New Roman" w:hAnsi="Times New Roman" w:eastAsia="宋体" w:cs="Times New Roman"/>
                <w:color w:val="auto"/>
                <w:kern w:val="2"/>
                <w:sz w:val="21"/>
                <w:szCs w:val="22"/>
                <w:highlight w:val="none"/>
                <w:lang w:val="en-US" w:eastAsia="zh-CN" w:bidi="ar-SA"/>
              </w:rPr>
            </w:pPr>
          </w:p>
        </w:tc>
        <w:tc>
          <w:tcPr>
            <w:tcW w:w="204" w:type="pct"/>
            <w:tcBorders>
              <w:top w:val="single" w:color="000000" w:sz="0" w:space="0"/>
              <w:left w:val="single" w:color="000000" w:sz="0" w:space="0"/>
              <w:bottom w:val="single" w:color="000000" w:sz="0" w:space="0"/>
              <w:right w:val="single" w:color="000000" w:sz="0" w:space="0"/>
            </w:tcBorders>
            <w:shd w:val="clear" w:color="auto" w:fill="auto"/>
            <w:vAlign w:val="top"/>
          </w:tcPr>
          <w:p w14:paraId="69D2BA03">
            <w:pPr>
              <w:jc w:val="center"/>
              <w:rPr>
                <w:rFonts w:ascii="Times New Roman" w:hAnsi="Times New Roman" w:eastAsia="宋体" w:cs="Times New Roman"/>
                <w:color w:val="auto"/>
                <w:kern w:val="2"/>
                <w:sz w:val="21"/>
                <w:szCs w:val="22"/>
                <w:highlight w:val="none"/>
                <w:lang w:val="en-US" w:eastAsia="zh-CN" w:bidi="ar-SA"/>
              </w:rPr>
            </w:pPr>
            <w:r>
              <w:rPr>
                <w:rFonts w:hint="eastAsia"/>
                <w:color w:val="auto"/>
                <w:sz w:val="20"/>
                <w:szCs w:val="20"/>
                <w:highlight w:val="none"/>
                <w:lang w:val="en-US" w:eastAsia="zh-CN"/>
              </w:rPr>
              <w:t>10</w:t>
            </w:r>
            <w:r>
              <w:rPr>
                <w:color w:val="auto"/>
                <w:sz w:val="20"/>
                <w:szCs w:val="20"/>
                <w:highlight w:val="none"/>
              </w:rPr>
              <w:t>套</w:t>
            </w:r>
          </w:p>
        </w:tc>
        <w:tc>
          <w:tcPr>
            <w:tcW w:w="504" w:type="pct"/>
            <w:tcBorders>
              <w:top w:val="single" w:color="000000" w:sz="0" w:space="0"/>
              <w:left w:val="single" w:color="000000" w:sz="0" w:space="0"/>
              <w:bottom w:val="single" w:color="000000" w:sz="0" w:space="0"/>
              <w:right w:val="single" w:color="000000" w:sz="0" w:space="0"/>
            </w:tcBorders>
            <w:shd w:val="clear" w:color="auto" w:fill="auto"/>
            <w:vAlign w:val="top"/>
          </w:tcPr>
          <w:p w14:paraId="692BE8A6">
            <w:pPr>
              <w:jc w:val="left"/>
              <w:rPr>
                <w:rFonts w:ascii="Times New Roman" w:hAnsi="Times New Roman" w:eastAsia="宋体" w:cs="Times New Roman"/>
                <w:color w:val="auto"/>
                <w:kern w:val="2"/>
                <w:sz w:val="21"/>
                <w:szCs w:val="22"/>
                <w:highlight w:val="none"/>
                <w:lang w:val="en-US" w:eastAsia="zh-CN" w:bidi="ar-SA"/>
              </w:rPr>
            </w:pPr>
            <w:r>
              <w:rPr>
                <w:color w:val="auto"/>
                <w:sz w:val="20"/>
                <w:szCs w:val="20"/>
                <w:highlight w:val="none"/>
              </w:rPr>
              <w:t>基材、饰面、封边</w:t>
            </w:r>
          </w:p>
        </w:tc>
        <w:tc>
          <w:tcPr>
            <w:tcW w:w="314" w:type="pct"/>
            <w:tcBorders>
              <w:top w:val="single" w:color="000000" w:sz="0" w:space="0"/>
              <w:left w:val="single" w:color="000000" w:sz="0" w:space="0"/>
              <w:bottom w:val="single" w:color="000000" w:sz="0" w:space="0"/>
              <w:right w:val="single" w:color="000000" w:sz="0" w:space="0"/>
            </w:tcBorders>
            <w:shd w:val="clear" w:color="auto" w:fill="auto"/>
            <w:vAlign w:val="top"/>
          </w:tcPr>
          <w:p w14:paraId="4EF24A8D">
            <w:pPr>
              <w:jc w:val="left"/>
              <w:rPr>
                <w:rFonts w:ascii="Times New Roman" w:hAnsi="Times New Roman" w:eastAsia="宋体" w:cs="Times New Roman"/>
                <w:color w:val="auto"/>
                <w:kern w:val="2"/>
                <w:sz w:val="21"/>
                <w:szCs w:val="22"/>
                <w:highlight w:val="none"/>
                <w:lang w:val="en-US" w:eastAsia="zh-CN" w:bidi="ar-SA"/>
              </w:rPr>
            </w:pPr>
            <w:r>
              <w:rPr>
                <w:color w:val="auto"/>
                <w:sz w:val="20"/>
                <w:szCs w:val="20"/>
                <w:highlight w:val="none"/>
              </w:rPr>
              <w:t>刨花板、实木、铝合金</w:t>
            </w:r>
          </w:p>
        </w:tc>
        <w:tc>
          <w:tcPr>
            <w:tcW w:w="2095" w:type="pct"/>
            <w:tcBorders>
              <w:top w:val="single" w:color="000000" w:sz="0" w:space="0"/>
              <w:left w:val="single" w:color="000000" w:sz="0" w:space="0"/>
              <w:bottom w:val="single" w:color="000000" w:sz="0" w:space="0"/>
              <w:right w:val="single" w:color="000000" w:sz="0" w:space="0"/>
            </w:tcBorders>
            <w:shd w:val="clear" w:color="auto" w:fill="auto"/>
            <w:vAlign w:val="top"/>
          </w:tcPr>
          <w:p w14:paraId="27199349">
            <w:pPr>
              <w:jc w:val="left"/>
              <w:rPr>
                <w:rFonts w:hint="eastAsia" w:ascii="Times New Roman" w:hAnsi="Times New Roman" w:eastAsia="宋体" w:cs="Times New Roman"/>
                <w:color w:val="auto"/>
                <w:kern w:val="2"/>
                <w:sz w:val="21"/>
                <w:szCs w:val="22"/>
                <w:highlight w:val="none"/>
                <w:lang w:val="en-US" w:eastAsia="zh-CN" w:bidi="ar-SA"/>
              </w:rPr>
            </w:pPr>
            <w:r>
              <w:rPr>
                <w:rFonts w:hint="eastAsia" w:ascii="宋体" w:hAnsi="宋体" w:cs="宋体"/>
                <w:color w:val="auto"/>
                <w:sz w:val="18"/>
                <w:szCs w:val="18"/>
                <w:highlight w:val="none"/>
                <w:lang w:bidi="ar"/>
              </w:rPr>
              <w:t>（1）基材：基材采用ENF级实木颗粒板，台面厚度</w:t>
            </w:r>
            <w:r>
              <w:rPr>
                <w:rFonts w:hint="eastAsia" w:ascii="宋体" w:hAnsi="宋体" w:cs="宋体"/>
                <w:snapToGrid w:val="0"/>
                <w:color w:val="auto"/>
                <w:kern w:val="0"/>
                <w:sz w:val="20"/>
                <w:szCs w:val="20"/>
                <w:highlight w:val="none"/>
                <w:lang w:bidi="ar"/>
              </w:rPr>
              <w:t>≥</w:t>
            </w:r>
            <w:r>
              <w:rPr>
                <w:rFonts w:hint="eastAsia" w:ascii="宋体" w:hAnsi="宋体" w:cs="宋体"/>
                <w:color w:val="auto"/>
                <w:sz w:val="18"/>
                <w:szCs w:val="18"/>
                <w:highlight w:val="none"/>
                <w:lang w:bidi="ar"/>
              </w:rPr>
              <w:t>25mm，其他厚度</w:t>
            </w:r>
            <w:r>
              <w:rPr>
                <w:rFonts w:hint="eastAsia" w:ascii="宋体" w:hAnsi="宋体" w:cs="宋体"/>
                <w:snapToGrid w:val="0"/>
                <w:color w:val="auto"/>
                <w:kern w:val="0"/>
                <w:sz w:val="20"/>
                <w:szCs w:val="20"/>
                <w:highlight w:val="none"/>
                <w:lang w:bidi="ar"/>
              </w:rPr>
              <w:t>≥</w:t>
            </w:r>
            <w:r>
              <w:rPr>
                <w:rFonts w:hint="eastAsia" w:ascii="宋体" w:hAnsi="宋体" w:cs="宋体"/>
                <w:color w:val="auto"/>
                <w:sz w:val="18"/>
                <w:szCs w:val="18"/>
                <w:highlight w:val="none"/>
                <w:lang w:bidi="ar"/>
              </w:rPr>
              <w:t>18mm，表面平整、光滑、无皱纹、折痕、压纹清晰。四周采用同色PVC封边，靠过道处屏风采用圆弧工艺，屏风厚度</w:t>
            </w:r>
            <w:r>
              <w:rPr>
                <w:rFonts w:hint="eastAsia" w:ascii="宋体" w:hAnsi="宋体" w:cs="宋体"/>
                <w:snapToGrid w:val="0"/>
                <w:color w:val="auto"/>
                <w:kern w:val="0"/>
                <w:sz w:val="20"/>
                <w:szCs w:val="20"/>
                <w:highlight w:val="none"/>
                <w:lang w:bidi="ar"/>
              </w:rPr>
              <w:t>≥</w:t>
            </w:r>
            <w:r>
              <w:rPr>
                <w:rFonts w:hint="eastAsia" w:ascii="宋体" w:hAnsi="宋体" w:cs="宋体"/>
                <w:color w:val="auto"/>
                <w:sz w:val="18"/>
                <w:szCs w:val="18"/>
                <w:highlight w:val="none"/>
                <w:lang w:bidi="ar"/>
              </w:rPr>
              <w:t>30mm,屏风铝材主材壁厚</w:t>
            </w:r>
            <w:r>
              <w:rPr>
                <w:rFonts w:hint="eastAsia" w:ascii="宋体" w:hAnsi="宋体" w:cs="宋体"/>
                <w:snapToGrid w:val="0"/>
                <w:color w:val="auto"/>
                <w:kern w:val="0"/>
                <w:sz w:val="20"/>
                <w:szCs w:val="20"/>
                <w:highlight w:val="none"/>
                <w:lang w:bidi="ar"/>
              </w:rPr>
              <w:t>≥</w:t>
            </w:r>
            <w:r>
              <w:rPr>
                <w:rFonts w:hint="eastAsia" w:ascii="宋体" w:hAnsi="宋体" w:cs="宋体"/>
                <w:color w:val="auto"/>
                <w:sz w:val="18"/>
                <w:szCs w:val="18"/>
                <w:highlight w:val="none"/>
                <w:lang w:bidi="ar"/>
              </w:rPr>
              <w:t>1.2mm，配铝合金功能挂槽，走线部分配下翻式线盒利于后面工序布线及收纳。屏风横向铝材与边柱铝材无缝连接，屏风与侧脚板连接配专门配件侧脚码。</w:t>
            </w:r>
            <w:r>
              <w:rPr>
                <w:rFonts w:hint="eastAsia" w:ascii="宋体" w:hAnsi="宋体" w:cs="宋体"/>
                <w:color w:val="auto"/>
                <w:sz w:val="18"/>
                <w:szCs w:val="18"/>
                <w:highlight w:val="none"/>
                <w:lang w:bidi="ar"/>
              </w:rPr>
              <w:br w:type="textWrapping"/>
            </w:r>
            <w:r>
              <w:rPr>
                <w:rFonts w:hint="eastAsia" w:ascii="宋体" w:hAnsi="宋体" w:cs="宋体"/>
                <w:color w:val="auto"/>
                <w:sz w:val="18"/>
                <w:szCs w:val="18"/>
                <w:highlight w:val="none"/>
                <w:lang w:bidi="ar"/>
              </w:rPr>
              <w:t>（2）配件：连接件、缓冲轨道、缓冲铰链，锁具、采用优质品牌。                                                                                                                                                                                              （3）胶水：采用优质环保胶水。                                                                                                           （4）环保：家具成品均</w:t>
            </w:r>
            <w:r>
              <w:rPr>
                <w:rFonts w:hint="eastAsia" w:ascii="宋体" w:hAnsi="宋体" w:cs="宋体"/>
                <w:color w:val="auto"/>
                <w:sz w:val="18"/>
                <w:szCs w:val="18"/>
                <w:highlight w:val="none"/>
                <w:lang w:eastAsia="zh-CN" w:bidi="ar"/>
              </w:rPr>
              <w:t>需</w:t>
            </w:r>
            <w:r>
              <w:rPr>
                <w:rFonts w:hint="eastAsia" w:ascii="宋体" w:hAnsi="宋体" w:cs="宋体"/>
                <w:color w:val="auto"/>
                <w:sz w:val="18"/>
                <w:szCs w:val="18"/>
                <w:highlight w:val="none"/>
                <w:lang w:bidi="ar"/>
              </w:rPr>
              <w:t>满足GB/T 35607-2024《绿色产品评价 家具》的要求（其中成品甲醛释放量≤0.05mg/m3，苯≤0.05mg/m3，甲苯、二甲苯≤0.1mg/m3，TVOC≤0.3mg/m3）。</w:t>
            </w:r>
          </w:p>
        </w:tc>
      </w:tr>
      <w:tr w14:paraId="21B54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0" w:type="dxa"/>
            <w:left w:w="100" w:type="dxa"/>
            <w:bottom w:w="50" w:type="dxa"/>
            <w:right w:w="100" w:type="dxa"/>
          </w:tblCellMar>
        </w:tblPrEx>
        <w:tc>
          <w:tcPr>
            <w:tcW w:w="153" w:type="pct"/>
            <w:tcBorders>
              <w:top w:val="single" w:color="000000" w:sz="0" w:space="0"/>
              <w:left w:val="single" w:color="000000" w:sz="0" w:space="0"/>
              <w:bottom w:val="single" w:color="000000" w:sz="0" w:space="0"/>
              <w:right w:val="single" w:color="000000" w:sz="0" w:space="0"/>
            </w:tcBorders>
          </w:tcPr>
          <w:p w14:paraId="5966F8F5">
            <w:pPr>
              <w:numPr>
                <w:ilvl w:val="0"/>
                <w:numId w:val="7"/>
              </w:numPr>
              <w:jc w:val="center"/>
              <w:rPr>
                <w:color w:val="auto"/>
                <w:highlight w:val="none"/>
              </w:rPr>
            </w:pPr>
          </w:p>
        </w:tc>
        <w:tc>
          <w:tcPr>
            <w:tcW w:w="325" w:type="pct"/>
            <w:tcBorders>
              <w:top w:val="single" w:color="000000" w:sz="0" w:space="0"/>
              <w:left w:val="single" w:color="000000" w:sz="0" w:space="0"/>
              <w:bottom w:val="single" w:color="000000" w:sz="0" w:space="0"/>
              <w:right w:val="single" w:color="000000" w:sz="0" w:space="0"/>
            </w:tcBorders>
            <w:shd w:val="clear" w:color="auto" w:fill="auto"/>
            <w:vAlign w:val="top"/>
          </w:tcPr>
          <w:p w14:paraId="4F2D8E7F">
            <w:pPr>
              <w:jc w:val="left"/>
              <w:rPr>
                <w:rFonts w:ascii="Times New Roman" w:hAnsi="Times New Roman" w:eastAsia="宋体" w:cs="Times New Roman"/>
                <w:color w:val="auto"/>
                <w:kern w:val="2"/>
                <w:sz w:val="21"/>
                <w:szCs w:val="22"/>
                <w:highlight w:val="none"/>
                <w:lang w:val="en-US" w:eastAsia="zh-CN" w:bidi="ar-SA"/>
              </w:rPr>
            </w:pPr>
            <w:r>
              <w:rPr>
                <w:color w:val="auto"/>
                <w:sz w:val="20"/>
                <w:szCs w:val="20"/>
                <w:highlight w:val="none"/>
              </w:rPr>
              <w:t>教师办公桌</w:t>
            </w:r>
            <w:r>
              <w:rPr>
                <w:rFonts w:hint="eastAsia"/>
                <w:color w:val="auto"/>
                <w:sz w:val="20"/>
                <w:szCs w:val="20"/>
                <w:highlight w:val="none"/>
                <w:lang w:val="en-US" w:eastAsia="zh-CN"/>
              </w:rPr>
              <w:t>3</w:t>
            </w:r>
            <w:r>
              <w:rPr>
                <w:color w:val="auto"/>
                <w:sz w:val="20"/>
                <w:szCs w:val="20"/>
                <w:highlight w:val="none"/>
              </w:rPr>
              <w:t>（带屏风）</w:t>
            </w:r>
          </w:p>
        </w:tc>
        <w:tc>
          <w:tcPr>
            <w:tcW w:w="257" w:type="pct"/>
            <w:tcBorders>
              <w:top w:val="single" w:color="000000" w:sz="0" w:space="0"/>
              <w:left w:val="single" w:color="000000" w:sz="0" w:space="0"/>
              <w:bottom w:val="single" w:color="000000" w:sz="0" w:space="0"/>
              <w:right w:val="single" w:color="000000" w:sz="0" w:space="0"/>
            </w:tcBorders>
            <w:shd w:val="clear" w:color="auto" w:fill="auto"/>
            <w:vAlign w:val="top"/>
          </w:tcPr>
          <w:p w14:paraId="40874365">
            <w:pPr>
              <w:jc w:val="center"/>
              <w:rPr>
                <w:rFonts w:ascii="Times New Roman" w:hAnsi="Times New Roman" w:eastAsia="宋体" w:cs="Times New Roman"/>
                <w:color w:val="auto"/>
                <w:kern w:val="2"/>
                <w:sz w:val="21"/>
                <w:szCs w:val="22"/>
                <w:highlight w:val="none"/>
                <w:lang w:val="en-US" w:eastAsia="zh-CN" w:bidi="ar-SA"/>
              </w:rPr>
            </w:pPr>
            <w:r>
              <w:rPr>
                <w:color w:val="auto"/>
                <w:sz w:val="20"/>
                <w:szCs w:val="20"/>
                <w:highlight w:val="none"/>
              </w:rPr>
              <w:t>办公桌</w:t>
            </w:r>
          </w:p>
        </w:tc>
        <w:tc>
          <w:tcPr>
            <w:tcW w:w="524" w:type="pct"/>
            <w:shd w:val="clear" w:color="auto" w:fill="auto"/>
            <w:vAlign w:val="top"/>
          </w:tcPr>
          <w:p w14:paraId="315B5D3A">
            <w:pPr>
              <w:jc w:val="center"/>
              <w:rPr>
                <w:rFonts w:ascii="Times New Roman" w:hAnsi="Times New Roman" w:eastAsia="宋体" w:cs="Times New Roman"/>
                <w:color w:val="auto"/>
                <w:kern w:val="2"/>
                <w:sz w:val="21"/>
                <w:szCs w:val="22"/>
                <w:highlight w:val="none"/>
                <w:lang w:val="en-US" w:eastAsia="zh-CN" w:bidi="ar-SA"/>
              </w:rPr>
            </w:pPr>
            <w:r>
              <w:rPr>
                <w:color w:val="auto"/>
                <w:highlight w:val="none"/>
              </w:rPr>
              <w:drawing>
                <wp:inline distT="0" distB="0" distL="0" distR="0">
                  <wp:extent cx="1386840" cy="1386840"/>
                  <wp:effectExtent l="0" t="0" r="10160" b="10160"/>
                  <wp:docPr id="66" name="Image" descr="参考图片" titl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 descr="参考图片" title="图片"/>
                          <pic:cNvPicPr>
                            <a:picLocks noChangeAspect="1" noChangeArrowheads="1"/>
                          </pic:cNvPicPr>
                        </pic:nvPicPr>
                        <pic:blipFill>
                          <a:blip r:embed="rId16"/>
                          <a:srcRect/>
                          <a:stretch>
                            <a:fillRect/>
                          </a:stretch>
                        </pic:blipFill>
                        <pic:spPr>
                          <a:xfrm>
                            <a:off x="0" y="0"/>
                            <a:ext cx="1386840" cy="1386840"/>
                          </a:xfrm>
                          <a:prstGeom prst="rect">
                            <a:avLst/>
                          </a:prstGeom>
                        </pic:spPr>
                      </pic:pic>
                    </a:graphicData>
                  </a:graphic>
                </wp:inline>
              </w:drawing>
            </w:r>
          </w:p>
        </w:tc>
        <w:tc>
          <w:tcPr>
            <w:tcW w:w="621" w:type="pct"/>
            <w:tcBorders>
              <w:top w:val="single" w:color="000000" w:sz="0" w:space="0"/>
              <w:left w:val="single" w:color="000000" w:sz="0" w:space="0"/>
              <w:bottom w:val="single" w:color="000000" w:sz="0" w:space="0"/>
              <w:right w:val="single" w:color="000000" w:sz="0" w:space="0"/>
            </w:tcBorders>
            <w:shd w:val="clear" w:color="auto" w:fill="auto"/>
            <w:vAlign w:val="top"/>
          </w:tcPr>
          <w:p w14:paraId="0CD211E1">
            <w:pPr>
              <w:jc w:val="left"/>
              <w:rPr>
                <w:rFonts w:ascii="Times New Roman" w:hAnsi="Times New Roman" w:eastAsia="宋体" w:cs="Times New Roman"/>
                <w:color w:val="auto"/>
                <w:kern w:val="2"/>
                <w:sz w:val="21"/>
                <w:szCs w:val="22"/>
                <w:highlight w:val="none"/>
                <w:lang w:val="en-US" w:eastAsia="zh-CN" w:bidi="ar-SA"/>
              </w:rPr>
            </w:pPr>
            <w:r>
              <w:rPr>
                <w:color w:val="auto"/>
                <w:sz w:val="20"/>
                <w:szCs w:val="20"/>
                <w:highlight w:val="none"/>
              </w:rPr>
              <w:t>1500*1500*</w:t>
            </w:r>
            <w:r>
              <w:rPr>
                <w:rFonts w:hint="eastAsia"/>
                <w:color w:val="auto"/>
                <w:sz w:val="20"/>
                <w:szCs w:val="20"/>
                <w:highlight w:val="none"/>
                <w:lang w:val="en-US" w:eastAsia="zh-CN"/>
              </w:rPr>
              <w:t>(</w:t>
            </w:r>
            <w:r>
              <w:rPr>
                <w:color w:val="auto"/>
                <w:sz w:val="20"/>
                <w:szCs w:val="20"/>
                <w:highlight w:val="none"/>
              </w:rPr>
              <w:t>730-1200</w:t>
            </w:r>
            <w:r>
              <w:rPr>
                <w:rFonts w:hint="eastAsia"/>
                <w:color w:val="auto"/>
                <w:sz w:val="20"/>
                <w:szCs w:val="20"/>
                <w:highlight w:val="none"/>
                <w:lang w:eastAsia="zh-CN"/>
              </w:rPr>
              <w:t>）</w:t>
            </w:r>
            <w:r>
              <w:rPr>
                <w:color w:val="auto"/>
                <w:sz w:val="20"/>
                <w:szCs w:val="20"/>
                <w:highlight w:val="none"/>
              </w:rPr>
              <w:t>*1</w:t>
            </w:r>
            <w:r>
              <w:rPr>
                <w:rFonts w:hint="eastAsia"/>
                <w:color w:val="auto"/>
                <w:sz w:val="20"/>
                <w:szCs w:val="20"/>
                <w:highlight w:val="none"/>
              </w:rPr>
              <w:t>6</w:t>
            </w:r>
            <w:r>
              <w:rPr>
                <w:color w:val="auto"/>
                <w:sz w:val="20"/>
                <w:szCs w:val="20"/>
                <w:highlight w:val="none"/>
              </w:rPr>
              <w:t>套</w:t>
            </w:r>
          </w:p>
        </w:tc>
        <w:tc>
          <w:tcPr>
            <w:tcW w:w="204" w:type="pct"/>
            <w:tcBorders>
              <w:top w:val="single" w:color="000000" w:sz="0" w:space="0"/>
              <w:left w:val="single" w:color="000000" w:sz="0" w:space="0"/>
              <w:bottom w:val="single" w:color="000000" w:sz="0" w:space="0"/>
              <w:right w:val="single" w:color="000000" w:sz="0" w:space="0"/>
            </w:tcBorders>
            <w:shd w:val="clear" w:color="auto" w:fill="auto"/>
            <w:vAlign w:val="top"/>
          </w:tcPr>
          <w:p w14:paraId="0A662FD5">
            <w:pPr>
              <w:jc w:val="center"/>
              <w:rPr>
                <w:rFonts w:ascii="Times New Roman" w:hAnsi="Times New Roman" w:eastAsia="宋体" w:cs="Times New Roman"/>
                <w:color w:val="auto"/>
                <w:kern w:val="2"/>
                <w:sz w:val="21"/>
                <w:szCs w:val="22"/>
                <w:highlight w:val="none"/>
                <w:lang w:val="en-US" w:eastAsia="zh-CN" w:bidi="ar-SA"/>
              </w:rPr>
            </w:pPr>
            <w:r>
              <w:rPr>
                <w:rFonts w:hint="eastAsia"/>
                <w:color w:val="auto"/>
                <w:sz w:val="20"/>
                <w:szCs w:val="20"/>
                <w:highlight w:val="none"/>
                <w:lang w:val="en-US" w:eastAsia="zh-CN"/>
              </w:rPr>
              <w:t>16</w:t>
            </w:r>
            <w:r>
              <w:rPr>
                <w:color w:val="auto"/>
                <w:sz w:val="20"/>
                <w:szCs w:val="20"/>
                <w:highlight w:val="none"/>
              </w:rPr>
              <w:t>套</w:t>
            </w:r>
          </w:p>
        </w:tc>
        <w:tc>
          <w:tcPr>
            <w:tcW w:w="504" w:type="pct"/>
            <w:tcBorders>
              <w:top w:val="single" w:color="000000" w:sz="0" w:space="0"/>
              <w:left w:val="single" w:color="000000" w:sz="0" w:space="0"/>
              <w:bottom w:val="single" w:color="000000" w:sz="0" w:space="0"/>
              <w:right w:val="single" w:color="000000" w:sz="0" w:space="0"/>
            </w:tcBorders>
            <w:shd w:val="clear" w:color="auto" w:fill="auto"/>
            <w:vAlign w:val="top"/>
          </w:tcPr>
          <w:p w14:paraId="03095F03">
            <w:pPr>
              <w:jc w:val="left"/>
              <w:rPr>
                <w:rFonts w:ascii="Times New Roman" w:hAnsi="Times New Roman" w:eastAsia="宋体" w:cs="Times New Roman"/>
                <w:color w:val="auto"/>
                <w:kern w:val="2"/>
                <w:sz w:val="21"/>
                <w:szCs w:val="22"/>
                <w:highlight w:val="none"/>
                <w:lang w:val="en-US" w:eastAsia="zh-CN" w:bidi="ar-SA"/>
              </w:rPr>
            </w:pPr>
            <w:r>
              <w:rPr>
                <w:color w:val="auto"/>
                <w:sz w:val="20"/>
                <w:szCs w:val="20"/>
                <w:highlight w:val="none"/>
              </w:rPr>
              <w:t>基材、饰面、封边</w:t>
            </w:r>
          </w:p>
        </w:tc>
        <w:tc>
          <w:tcPr>
            <w:tcW w:w="314" w:type="pct"/>
            <w:tcBorders>
              <w:top w:val="single" w:color="000000" w:sz="0" w:space="0"/>
              <w:left w:val="single" w:color="000000" w:sz="0" w:space="0"/>
              <w:bottom w:val="single" w:color="000000" w:sz="0" w:space="0"/>
              <w:right w:val="single" w:color="000000" w:sz="0" w:space="0"/>
            </w:tcBorders>
            <w:shd w:val="clear" w:color="auto" w:fill="auto"/>
            <w:vAlign w:val="top"/>
          </w:tcPr>
          <w:p w14:paraId="2883810B">
            <w:pPr>
              <w:jc w:val="left"/>
              <w:rPr>
                <w:rFonts w:ascii="Times New Roman" w:hAnsi="Times New Roman" w:eastAsia="宋体" w:cs="Times New Roman"/>
                <w:color w:val="auto"/>
                <w:kern w:val="2"/>
                <w:sz w:val="21"/>
                <w:szCs w:val="22"/>
                <w:highlight w:val="none"/>
                <w:lang w:val="en-US" w:eastAsia="zh-CN" w:bidi="ar-SA"/>
              </w:rPr>
            </w:pPr>
            <w:r>
              <w:rPr>
                <w:color w:val="auto"/>
                <w:sz w:val="20"/>
                <w:szCs w:val="20"/>
                <w:highlight w:val="none"/>
              </w:rPr>
              <w:t>刨花板、实木、铝合金</w:t>
            </w:r>
          </w:p>
        </w:tc>
        <w:tc>
          <w:tcPr>
            <w:tcW w:w="2095" w:type="pct"/>
            <w:tcBorders>
              <w:top w:val="single" w:color="000000" w:sz="0" w:space="0"/>
              <w:left w:val="single" w:color="000000" w:sz="0" w:space="0"/>
              <w:bottom w:val="single" w:color="000000" w:sz="0" w:space="0"/>
              <w:right w:val="single" w:color="000000" w:sz="0" w:space="0"/>
            </w:tcBorders>
            <w:shd w:val="clear" w:color="auto" w:fill="auto"/>
            <w:vAlign w:val="top"/>
          </w:tcPr>
          <w:p w14:paraId="7148E563">
            <w:pPr>
              <w:jc w:val="left"/>
              <w:rPr>
                <w:rFonts w:hint="eastAsia" w:ascii="Times New Roman" w:hAnsi="Times New Roman" w:eastAsia="宋体" w:cs="Times New Roman"/>
                <w:color w:val="auto"/>
                <w:kern w:val="2"/>
                <w:sz w:val="21"/>
                <w:szCs w:val="22"/>
                <w:highlight w:val="none"/>
                <w:lang w:val="en-US" w:eastAsia="zh-CN" w:bidi="ar-SA"/>
              </w:rPr>
            </w:pPr>
            <w:r>
              <w:rPr>
                <w:rFonts w:hint="eastAsia" w:ascii="宋体" w:hAnsi="宋体" w:cs="宋体"/>
                <w:color w:val="auto"/>
                <w:sz w:val="18"/>
                <w:szCs w:val="18"/>
                <w:highlight w:val="none"/>
                <w:lang w:bidi="ar"/>
              </w:rPr>
              <w:t>（1）基材：基材采用ENF级实木颗粒板，台面厚度</w:t>
            </w:r>
            <w:r>
              <w:rPr>
                <w:rFonts w:hint="eastAsia" w:ascii="宋体" w:hAnsi="宋体" w:cs="宋体"/>
                <w:snapToGrid w:val="0"/>
                <w:color w:val="auto"/>
                <w:kern w:val="0"/>
                <w:sz w:val="20"/>
                <w:szCs w:val="20"/>
                <w:highlight w:val="none"/>
                <w:lang w:bidi="ar"/>
              </w:rPr>
              <w:t>≥</w:t>
            </w:r>
            <w:r>
              <w:rPr>
                <w:rFonts w:hint="eastAsia" w:ascii="宋体" w:hAnsi="宋体" w:cs="宋体"/>
                <w:color w:val="auto"/>
                <w:sz w:val="18"/>
                <w:szCs w:val="18"/>
                <w:highlight w:val="none"/>
                <w:lang w:bidi="ar"/>
              </w:rPr>
              <w:t>25mm，其他厚度</w:t>
            </w:r>
            <w:r>
              <w:rPr>
                <w:rFonts w:hint="eastAsia" w:ascii="宋体" w:hAnsi="宋体" w:cs="宋体"/>
                <w:snapToGrid w:val="0"/>
                <w:color w:val="auto"/>
                <w:kern w:val="0"/>
                <w:sz w:val="20"/>
                <w:szCs w:val="20"/>
                <w:highlight w:val="none"/>
                <w:lang w:bidi="ar"/>
              </w:rPr>
              <w:t>≥</w:t>
            </w:r>
            <w:r>
              <w:rPr>
                <w:rFonts w:hint="eastAsia" w:ascii="宋体" w:hAnsi="宋体" w:cs="宋体"/>
                <w:color w:val="auto"/>
                <w:sz w:val="18"/>
                <w:szCs w:val="18"/>
                <w:highlight w:val="none"/>
                <w:lang w:bidi="ar"/>
              </w:rPr>
              <w:t>18mm，表面平整、光滑、无皱纹、折痕、压纹清晰。四周采用同色PVC封边，靠过道处屏风采用圆弧工艺，屏风厚度</w:t>
            </w:r>
            <w:r>
              <w:rPr>
                <w:rFonts w:hint="eastAsia" w:ascii="宋体" w:hAnsi="宋体" w:cs="宋体"/>
                <w:snapToGrid w:val="0"/>
                <w:color w:val="auto"/>
                <w:kern w:val="0"/>
                <w:sz w:val="20"/>
                <w:szCs w:val="20"/>
                <w:highlight w:val="none"/>
                <w:lang w:bidi="ar"/>
              </w:rPr>
              <w:t>≥</w:t>
            </w:r>
            <w:r>
              <w:rPr>
                <w:rFonts w:hint="eastAsia" w:ascii="宋体" w:hAnsi="宋体" w:cs="宋体"/>
                <w:color w:val="auto"/>
                <w:sz w:val="18"/>
                <w:szCs w:val="18"/>
                <w:highlight w:val="none"/>
                <w:lang w:bidi="ar"/>
              </w:rPr>
              <w:t>30mm,屏风铝材主材壁厚</w:t>
            </w:r>
            <w:r>
              <w:rPr>
                <w:rFonts w:hint="eastAsia" w:ascii="宋体" w:hAnsi="宋体" w:cs="宋体"/>
                <w:snapToGrid w:val="0"/>
                <w:color w:val="auto"/>
                <w:kern w:val="0"/>
                <w:sz w:val="20"/>
                <w:szCs w:val="20"/>
                <w:highlight w:val="none"/>
                <w:lang w:bidi="ar"/>
              </w:rPr>
              <w:t>≥</w:t>
            </w:r>
            <w:r>
              <w:rPr>
                <w:rFonts w:hint="eastAsia" w:ascii="宋体" w:hAnsi="宋体" w:cs="宋体"/>
                <w:color w:val="auto"/>
                <w:sz w:val="18"/>
                <w:szCs w:val="18"/>
                <w:highlight w:val="none"/>
                <w:lang w:bidi="ar"/>
              </w:rPr>
              <w:t>1.2mm，配铝合金功能挂槽，走线部分配下翻式线盒利于后面工序布线及收纳。屏风横向铝材与边柱铝材无缝连接，屏风与侧脚板连接配专门配件侧脚码。</w:t>
            </w:r>
            <w:r>
              <w:rPr>
                <w:rFonts w:hint="eastAsia" w:ascii="宋体" w:hAnsi="宋体" w:cs="宋体"/>
                <w:color w:val="auto"/>
                <w:sz w:val="18"/>
                <w:szCs w:val="18"/>
                <w:highlight w:val="none"/>
                <w:lang w:bidi="ar"/>
              </w:rPr>
              <w:br w:type="textWrapping"/>
            </w:r>
            <w:r>
              <w:rPr>
                <w:rFonts w:hint="eastAsia" w:ascii="宋体" w:hAnsi="宋体" w:cs="宋体"/>
                <w:color w:val="auto"/>
                <w:sz w:val="18"/>
                <w:szCs w:val="18"/>
                <w:highlight w:val="none"/>
                <w:lang w:bidi="ar"/>
              </w:rPr>
              <w:t>（2）配件：连接件、缓冲轨道、缓冲铰链，锁具、采用优质品牌。                                                                                                                                                                                              （3）胶水：采用优质环保胶水。                                                                                                           （4）环保：家具成品均</w:t>
            </w:r>
            <w:r>
              <w:rPr>
                <w:rFonts w:hint="eastAsia" w:ascii="宋体" w:hAnsi="宋体" w:cs="宋体"/>
                <w:color w:val="auto"/>
                <w:sz w:val="18"/>
                <w:szCs w:val="18"/>
                <w:highlight w:val="none"/>
                <w:lang w:eastAsia="zh-CN" w:bidi="ar"/>
              </w:rPr>
              <w:t>需</w:t>
            </w:r>
            <w:r>
              <w:rPr>
                <w:rFonts w:hint="eastAsia" w:ascii="宋体" w:hAnsi="宋体" w:cs="宋体"/>
                <w:color w:val="auto"/>
                <w:sz w:val="18"/>
                <w:szCs w:val="18"/>
                <w:highlight w:val="none"/>
                <w:lang w:bidi="ar"/>
              </w:rPr>
              <w:t>满足GB/T 35607-2024《绿色产品评价 家具》的要求（其中成品甲醛释放量≤0.05mg/m3，苯≤0.05mg/m3，甲苯、二甲苯≤0.1mg/m3，TVOC≤0.3mg/m3）。</w:t>
            </w:r>
          </w:p>
        </w:tc>
      </w:tr>
      <w:tr w14:paraId="78614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0" w:type="dxa"/>
            <w:left w:w="100" w:type="dxa"/>
            <w:bottom w:w="50" w:type="dxa"/>
            <w:right w:w="100" w:type="dxa"/>
          </w:tblCellMar>
        </w:tblPrEx>
        <w:tc>
          <w:tcPr>
            <w:tcW w:w="153" w:type="pct"/>
            <w:tcBorders>
              <w:top w:val="single" w:color="000000" w:sz="0" w:space="0"/>
              <w:left w:val="single" w:color="000000" w:sz="0" w:space="0"/>
              <w:bottom w:val="single" w:color="000000" w:sz="0" w:space="0"/>
              <w:right w:val="single" w:color="000000" w:sz="0" w:space="0"/>
            </w:tcBorders>
          </w:tcPr>
          <w:p w14:paraId="2BE5FEDE">
            <w:pPr>
              <w:numPr>
                <w:ilvl w:val="0"/>
                <w:numId w:val="7"/>
              </w:numPr>
              <w:jc w:val="center"/>
              <w:rPr>
                <w:color w:val="auto"/>
                <w:highlight w:val="none"/>
              </w:rPr>
            </w:pPr>
          </w:p>
        </w:tc>
        <w:tc>
          <w:tcPr>
            <w:tcW w:w="325" w:type="pct"/>
            <w:tcBorders>
              <w:top w:val="single" w:color="000000" w:sz="0" w:space="0"/>
              <w:left w:val="single" w:color="000000" w:sz="0" w:space="0"/>
              <w:bottom w:val="single" w:color="000000" w:sz="0" w:space="0"/>
              <w:right w:val="single" w:color="000000" w:sz="0" w:space="0"/>
            </w:tcBorders>
          </w:tcPr>
          <w:p w14:paraId="298932CD">
            <w:pPr>
              <w:jc w:val="left"/>
              <w:rPr>
                <w:color w:val="auto"/>
                <w:highlight w:val="none"/>
              </w:rPr>
            </w:pPr>
            <w:r>
              <w:rPr>
                <w:color w:val="auto"/>
                <w:sz w:val="20"/>
                <w:szCs w:val="20"/>
                <w:highlight w:val="none"/>
              </w:rPr>
              <w:t>会议条桌</w:t>
            </w:r>
          </w:p>
        </w:tc>
        <w:tc>
          <w:tcPr>
            <w:tcW w:w="257" w:type="pct"/>
            <w:tcBorders>
              <w:top w:val="single" w:color="000000" w:sz="0" w:space="0"/>
              <w:left w:val="single" w:color="000000" w:sz="0" w:space="0"/>
              <w:bottom w:val="single" w:color="000000" w:sz="0" w:space="0"/>
              <w:right w:val="single" w:color="000000" w:sz="0" w:space="0"/>
            </w:tcBorders>
          </w:tcPr>
          <w:p w14:paraId="0F6EB3D9">
            <w:pPr>
              <w:jc w:val="center"/>
              <w:rPr>
                <w:color w:val="auto"/>
                <w:highlight w:val="none"/>
              </w:rPr>
            </w:pPr>
            <w:r>
              <w:rPr>
                <w:color w:val="auto"/>
                <w:sz w:val="20"/>
                <w:szCs w:val="20"/>
                <w:highlight w:val="none"/>
              </w:rPr>
              <w:t>会议桌</w:t>
            </w:r>
          </w:p>
        </w:tc>
        <w:tc>
          <w:tcPr>
            <w:tcW w:w="524" w:type="pct"/>
          </w:tcPr>
          <w:p w14:paraId="24F6495A">
            <w:pPr>
              <w:jc w:val="center"/>
              <w:rPr>
                <w:color w:val="auto"/>
                <w:highlight w:val="none"/>
              </w:rPr>
            </w:pPr>
            <w:r>
              <w:rPr>
                <w:color w:val="auto"/>
                <w:highlight w:val="none"/>
              </w:rPr>
              <w:drawing>
                <wp:inline distT="0" distB="0" distL="0" distR="0">
                  <wp:extent cx="1226820" cy="922655"/>
                  <wp:effectExtent l="0" t="0" r="11430" b="10795"/>
                  <wp:docPr id="37" name="Image" descr="参考图片" titl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 descr="参考图片" title="图片"/>
                          <pic:cNvPicPr>
                            <a:picLocks noChangeAspect="1" noChangeArrowheads="1"/>
                          </pic:cNvPicPr>
                        </pic:nvPicPr>
                        <pic:blipFill>
                          <a:blip r:embed="rId17"/>
                          <a:srcRect/>
                          <a:stretch>
                            <a:fillRect/>
                          </a:stretch>
                        </pic:blipFill>
                        <pic:spPr>
                          <a:xfrm>
                            <a:off x="0" y="0"/>
                            <a:ext cx="1226820" cy="922655"/>
                          </a:xfrm>
                          <a:prstGeom prst="rect">
                            <a:avLst/>
                          </a:prstGeom>
                        </pic:spPr>
                      </pic:pic>
                    </a:graphicData>
                  </a:graphic>
                </wp:inline>
              </w:drawing>
            </w:r>
          </w:p>
        </w:tc>
        <w:tc>
          <w:tcPr>
            <w:tcW w:w="621" w:type="pct"/>
            <w:tcBorders>
              <w:top w:val="single" w:color="000000" w:sz="0" w:space="0"/>
              <w:left w:val="single" w:color="000000" w:sz="0" w:space="0"/>
              <w:bottom w:val="single" w:color="000000" w:sz="0" w:space="0"/>
              <w:right w:val="single" w:color="000000" w:sz="0" w:space="0"/>
            </w:tcBorders>
          </w:tcPr>
          <w:p w14:paraId="1768BA0B">
            <w:pPr>
              <w:jc w:val="left"/>
              <w:rPr>
                <w:rFonts w:hint="eastAsia" w:eastAsia="宋体"/>
                <w:color w:val="auto"/>
                <w:highlight w:val="none"/>
                <w:lang w:eastAsia="zh-CN"/>
              </w:rPr>
            </w:pPr>
            <w:r>
              <w:rPr>
                <w:color w:val="auto"/>
                <w:sz w:val="20"/>
                <w:szCs w:val="20"/>
                <w:highlight w:val="none"/>
              </w:rPr>
              <w:t>1200*400*750</w:t>
            </w:r>
            <w:r>
              <w:rPr>
                <w:rFonts w:hint="eastAsia"/>
                <w:color w:val="auto"/>
                <w:sz w:val="20"/>
                <w:szCs w:val="20"/>
                <w:highlight w:val="none"/>
                <w:lang w:eastAsia="zh-CN"/>
              </w:rPr>
              <w:t>（</w:t>
            </w:r>
            <w:r>
              <w:rPr>
                <w:rFonts w:hint="eastAsia"/>
                <w:color w:val="auto"/>
                <w:sz w:val="20"/>
                <w:szCs w:val="20"/>
                <w:highlight w:val="none"/>
                <w:lang w:val="en-US" w:eastAsia="zh-CN"/>
              </w:rPr>
              <w:t>尺寸可±10</w:t>
            </w:r>
            <w:r>
              <w:rPr>
                <w:rFonts w:hint="eastAsia"/>
                <w:color w:val="auto"/>
                <w:sz w:val="20"/>
                <w:szCs w:val="20"/>
                <w:highlight w:val="none"/>
                <w:lang w:eastAsia="zh-CN"/>
              </w:rPr>
              <w:t>）</w:t>
            </w:r>
          </w:p>
        </w:tc>
        <w:tc>
          <w:tcPr>
            <w:tcW w:w="204" w:type="pct"/>
            <w:tcBorders>
              <w:top w:val="single" w:color="000000" w:sz="0" w:space="0"/>
              <w:left w:val="single" w:color="000000" w:sz="0" w:space="0"/>
              <w:bottom w:val="single" w:color="000000" w:sz="0" w:space="0"/>
              <w:right w:val="single" w:color="000000" w:sz="0" w:space="0"/>
            </w:tcBorders>
          </w:tcPr>
          <w:p w14:paraId="27B60240">
            <w:pPr>
              <w:jc w:val="center"/>
              <w:rPr>
                <w:color w:val="auto"/>
                <w:highlight w:val="none"/>
              </w:rPr>
            </w:pPr>
            <w:r>
              <w:rPr>
                <w:color w:val="auto"/>
                <w:sz w:val="20"/>
                <w:szCs w:val="20"/>
                <w:highlight w:val="none"/>
              </w:rPr>
              <w:t>38张</w:t>
            </w:r>
          </w:p>
        </w:tc>
        <w:tc>
          <w:tcPr>
            <w:tcW w:w="504" w:type="pct"/>
            <w:tcBorders>
              <w:top w:val="single" w:color="000000" w:sz="0" w:space="0"/>
              <w:left w:val="single" w:color="000000" w:sz="0" w:space="0"/>
              <w:bottom w:val="single" w:color="000000" w:sz="0" w:space="0"/>
              <w:right w:val="single" w:color="000000" w:sz="0" w:space="0"/>
            </w:tcBorders>
          </w:tcPr>
          <w:p w14:paraId="0C812B51">
            <w:pPr>
              <w:jc w:val="left"/>
              <w:rPr>
                <w:color w:val="auto"/>
                <w:highlight w:val="none"/>
              </w:rPr>
            </w:pPr>
            <w:r>
              <w:rPr>
                <w:color w:val="auto"/>
                <w:sz w:val="20"/>
                <w:szCs w:val="20"/>
                <w:highlight w:val="none"/>
              </w:rPr>
              <w:t>基材、油漆、封边、金属支架、脚轮</w:t>
            </w:r>
          </w:p>
        </w:tc>
        <w:tc>
          <w:tcPr>
            <w:tcW w:w="314" w:type="pct"/>
            <w:tcBorders>
              <w:top w:val="single" w:color="000000" w:sz="0" w:space="0"/>
              <w:left w:val="single" w:color="000000" w:sz="0" w:space="0"/>
              <w:bottom w:val="single" w:color="000000" w:sz="0" w:space="0"/>
              <w:right w:val="single" w:color="000000" w:sz="0" w:space="0"/>
            </w:tcBorders>
          </w:tcPr>
          <w:p w14:paraId="526782A3">
            <w:pPr>
              <w:jc w:val="left"/>
              <w:rPr>
                <w:color w:val="auto"/>
                <w:highlight w:val="none"/>
              </w:rPr>
            </w:pPr>
            <w:r>
              <w:rPr>
                <w:color w:val="auto"/>
                <w:sz w:val="20"/>
                <w:szCs w:val="20"/>
                <w:highlight w:val="none"/>
              </w:rPr>
              <w:t>刨花板、冷轧钢板、PP/塑胶、铝合金</w:t>
            </w:r>
          </w:p>
        </w:tc>
        <w:tc>
          <w:tcPr>
            <w:tcW w:w="2095" w:type="pct"/>
            <w:tcBorders>
              <w:top w:val="single" w:color="000000" w:sz="0" w:space="0"/>
              <w:left w:val="single" w:color="000000" w:sz="0" w:space="0"/>
              <w:bottom w:val="single" w:color="000000" w:sz="0" w:space="0"/>
              <w:right w:val="single" w:color="000000" w:sz="0" w:space="0"/>
            </w:tcBorders>
          </w:tcPr>
          <w:p w14:paraId="680B9A9A">
            <w:pPr>
              <w:jc w:val="left"/>
              <w:rPr>
                <w:color w:val="auto"/>
                <w:sz w:val="20"/>
                <w:szCs w:val="20"/>
                <w:highlight w:val="none"/>
              </w:rPr>
            </w:pPr>
            <w:r>
              <w:rPr>
                <w:rFonts w:hint="eastAsia"/>
                <w:color w:val="auto"/>
                <w:sz w:val="20"/>
                <w:szCs w:val="20"/>
                <w:highlight w:val="none"/>
              </w:rPr>
              <w:t>（1）桌面：采用ENF级三聚氰胺饰面刨花板，台面厚度</w:t>
            </w:r>
            <w:r>
              <w:rPr>
                <w:rFonts w:hint="eastAsia" w:ascii="宋体" w:hAnsi="宋体" w:cs="宋体"/>
                <w:snapToGrid w:val="0"/>
                <w:color w:val="auto"/>
                <w:kern w:val="0"/>
                <w:sz w:val="20"/>
                <w:szCs w:val="20"/>
                <w:highlight w:val="none"/>
                <w:lang w:bidi="ar"/>
              </w:rPr>
              <w:t>≥</w:t>
            </w:r>
            <w:r>
              <w:rPr>
                <w:rFonts w:hint="eastAsia"/>
                <w:color w:val="auto"/>
                <w:sz w:val="20"/>
                <w:szCs w:val="20"/>
                <w:highlight w:val="none"/>
              </w:rPr>
              <w:t>25mm，其他板材厚度</w:t>
            </w:r>
            <w:r>
              <w:rPr>
                <w:rFonts w:hint="eastAsia" w:ascii="宋体" w:hAnsi="宋体" w:cs="宋体"/>
                <w:snapToGrid w:val="0"/>
                <w:color w:val="auto"/>
                <w:kern w:val="0"/>
                <w:sz w:val="20"/>
                <w:szCs w:val="20"/>
                <w:highlight w:val="none"/>
                <w:lang w:bidi="ar"/>
              </w:rPr>
              <w:t>≥</w:t>
            </w:r>
            <w:r>
              <w:rPr>
                <w:rFonts w:hint="eastAsia"/>
                <w:color w:val="auto"/>
                <w:sz w:val="20"/>
                <w:szCs w:val="20"/>
                <w:highlight w:val="none"/>
              </w:rPr>
              <w:t>18mm，四周采用同色PVC直封边。</w:t>
            </w:r>
          </w:p>
          <w:p w14:paraId="2036FBA9">
            <w:pPr>
              <w:jc w:val="left"/>
              <w:rPr>
                <w:rFonts w:hint="eastAsia" w:eastAsia="宋体"/>
                <w:color w:val="auto"/>
                <w:highlight w:val="none"/>
                <w:lang w:eastAsia="zh-CN"/>
              </w:rPr>
            </w:pPr>
            <w:r>
              <w:rPr>
                <w:rFonts w:hint="eastAsia"/>
                <w:color w:val="auto"/>
                <w:sz w:val="20"/>
                <w:szCs w:val="20"/>
                <w:highlight w:val="none"/>
              </w:rPr>
              <w:t>（2）桌架：钢架</w:t>
            </w:r>
            <w:r>
              <w:rPr>
                <w:rFonts w:hint="eastAsia"/>
                <w:color w:val="auto"/>
                <w:sz w:val="20"/>
                <w:szCs w:val="20"/>
                <w:highlight w:val="none"/>
                <w:lang w:eastAsia="zh-CN"/>
              </w:rPr>
              <w:t>，</w:t>
            </w:r>
            <w:r>
              <w:rPr>
                <w:rFonts w:hint="eastAsia"/>
                <w:color w:val="auto"/>
                <w:sz w:val="20"/>
                <w:szCs w:val="20"/>
                <w:highlight w:val="none"/>
              </w:rPr>
              <w:t>顶板为</w:t>
            </w:r>
            <w:r>
              <w:rPr>
                <w:rFonts w:hint="eastAsia" w:ascii="Times New Roman" w:hAnsi="Times New Roman" w:cs="Times New Roman"/>
                <w:snapToGrid/>
                <w:color w:val="auto"/>
                <w:kern w:val="2"/>
                <w:sz w:val="20"/>
                <w:szCs w:val="20"/>
                <w:highlight w:val="none"/>
                <w:lang w:bidi="ar"/>
              </w:rPr>
              <w:t>≥</w:t>
            </w:r>
            <w:r>
              <w:rPr>
                <w:rFonts w:hint="eastAsia"/>
                <w:color w:val="auto"/>
                <w:sz w:val="20"/>
                <w:szCs w:val="20"/>
                <w:highlight w:val="none"/>
              </w:rPr>
              <w:t>1.5mm钢板冲压成型，立柱</w:t>
            </w:r>
            <w:r>
              <w:rPr>
                <w:rFonts w:hint="eastAsia" w:ascii="Times New Roman" w:hAnsi="Times New Roman" w:cs="Times New Roman"/>
                <w:snapToGrid/>
                <w:color w:val="auto"/>
                <w:kern w:val="2"/>
                <w:sz w:val="20"/>
                <w:szCs w:val="20"/>
                <w:highlight w:val="none"/>
                <w:lang w:bidi="ar"/>
              </w:rPr>
              <w:t>≥</w:t>
            </w:r>
            <w:r>
              <w:rPr>
                <w:rFonts w:hint="eastAsia"/>
                <w:color w:val="auto"/>
                <w:sz w:val="20"/>
                <w:szCs w:val="20"/>
                <w:highlight w:val="none"/>
              </w:rPr>
              <w:t>50*25*1.2蛋通，层板为</w:t>
            </w:r>
            <w:r>
              <w:rPr>
                <w:rFonts w:hint="eastAsia" w:ascii="Times New Roman" w:hAnsi="Times New Roman" w:cs="Times New Roman"/>
                <w:snapToGrid/>
                <w:color w:val="auto"/>
                <w:kern w:val="2"/>
                <w:sz w:val="20"/>
                <w:szCs w:val="20"/>
                <w:highlight w:val="none"/>
                <w:lang w:bidi="ar"/>
              </w:rPr>
              <w:t>≥</w:t>
            </w:r>
            <w:r>
              <w:rPr>
                <w:rFonts w:hint="eastAsia"/>
                <w:color w:val="auto"/>
                <w:sz w:val="20"/>
                <w:szCs w:val="20"/>
                <w:highlight w:val="none"/>
              </w:rPr>
              <w:t>0.8mm钢板冲压折边。表面全处理后高温静电喷涂，手按折叠开关，带刹车PU静音轮。桌子稳固不摇晃，桌面可翻动，方便水平叠放，节省空间。                                                                                                                                                    （3）</w:t>
            </w:r>
            <w:r>
              <w:rPr>
                <w:rFonts w:hint="eastAsia" w:ascii="宋体" w:hAnsi="宋体" w:cs="宋体"/>
                <w:color w:val="auto"/>
                <w:sz w:val="18"/>
                <w:szCs w:val="18"/>
                <w:highlight w:val="none"/>
                <w:lang w:bidi="ar"/>
              </w:rPr>
              <w:t>环保：家具成品均</w:t>
            </w:r>
            <w:r>
              <w:rPr>
                <w:rFonts w:hint="eastAsia" w:ascii="宋体" w:hAnsi="宋体" w:cs="宋体"/>
                <w:color w:val="auto"/>
                <w:sz w:val="18"/>
                <w:szCs w:val="18"/>
                <w:highlight w:val="none"/>
                <w:lang w:eastAsia="zh-CN" w:bidi="ar"/>
              </w:rPr>
              <w:t>需</w:t>
            </w:r>
            <w:r>
              <w:rPr>
                <w:rFonts w:hint="eastAsia" w:ascii="宋体" w:hAnsi="宋体" w:cs="宋体"/>
                <w:color w:val="auto"/>
                <w:sz w:val="18"/>
                <w:szCs w:val="18"/>
                <w:highlight w:val="none"/>
                <w:lang w:bidi="ar"/>
              </w:rPr>
              <w:t>满足GB/T 35607-2024《绿色产品评价 家具》的要求（其中成品甲醛释放量≤0.05mg/m3，苯≤0.05mg/m3，甲苯、二甲苯≤0.1mg/m3，TVOC≤0.3mg/m3）</w:t>
            </w:r>
            <w:r>
              <w:rPr>
                <w:rFonts w:hint="eastAsia" w:ascii="宋体" w:hAnsi="宋体" w:cs="宋体"/>
                <w:color w:val="auto"/>
                <w:sz w:val="18"/>
                <w:szCs w:val="18"/>
                <w:highlight w:val="none"/>
                <w:lang w:eastAsia="zh-CN" w:bidi="ar"/>
              </w:rPr>
              <w:t>。</w:t>
            </w:r>
          </w:p>
        </w:tc>
      </w:tr>
      <w:tr w14:paraId="5E75E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0" w:type="dxa"/>
            <w:left w:w="100" w:type="dxa"/>
            <w:bottom w:w="50" w:type="dxa"/>
            <w:right w:w="100" w:type="dxa"/>
          </w:tblCellMar>
        </w:tblPrEx>
        <w:tc>
          <w:tcPr>
            <w:tcW w:w="153" w:type="pct"/>
            <w:tcBorders>
              <w:top w:val="single" w:color="000000" w:sz="0" w:space="0"/>
              <w:left w:val="single" w:color="000000" w:sz="0" w:space="0"/>
              <w:bottom w:val="single" w:color="000000" w:sz="0" w:space="0"/>
              <w:right w:val="single" w:color="000000" w:sz="0" w:space="0"/>
            </w:tcBorders>
          </w:tcPr>
          <w:p w14:paraId="466A8604">
            <w:pPr>
              <w:numPr>
                <w:ilvl w:val="0"/>
                <w:numId w:val="7"/>
              </w:numPr>
              <w:jc w:val="center"/>
              <w:rPr>
                <w:color w:val="auto"/>
                <w:highlight w:val="none"/>
              </w:rPr>
            </w:pPr>
          </w:p>
        </w:tc>
        <w:tc>
          <w:tcPr>
            <w:tcW w:w="325" w:type="pct"/>
            <w:tcBorders>
              <w:top w:val="single" w:color="000000" w:sz="0" w:space="0"/>
              <w:left w:val="single" w:color="000000" w:sz="0" w:space="0"/>
              <w:bottom w:val="single" w:color="000000" w:sz="0" w:space="0"/>
              <w:right w:val="single" w:color="000000" w:sz="0" w:space="0"/>
            </w:tcBorders>
          </w:tcPr>
          <w:p w14:paraId="7FA42E07">
            <w:pPr>
              <w:jc w:val="left"/>
              <w:rPr>
                <w:color w:val="auto"/>
                <w:highlight w:val="none"/>
              </w:rPr>
            </w:pPr>
            <w:r>
              <w:rPr>
                <w:color w:val="auto"/>
                <w:sz w:val="20"/>
                <w:szCs w:val="20"/>
                <w:highlight w:val="none"/>
              </w:rPr>
              <w:t>活动桌</w:t>
            </w:r>
            <w:r>
              <w:rPr>
                <w:rFonts w:hint="eastAsia"/>
                <w:color w:val="auto"/>
                <w:sz w:val="20"/>
                <w:szCs w:val="20"/>
                <w:highlight w:val="none"/>
                <w:lang w:val="en-US" w:eastAsia="zh-CN"/>
              </w:rPr>
              <w:t>1</w:t>
            </w:r>
            <w:r>
              <w:rPr>
                <w:color w:val="auto"/>
                <w:sz w:val="20"/>
                <w:szCs w:val="20"/>
                <w:highlight w:val="none"/>
              </w:rPr>
              <w:t>(米色)</w:t>
            </w:r>
          </w:p>
        </w:tc>
        <w:tc>
          <w:tcPr>
            <w:tcW w:w="257" w:type="pct"/>
            <w:tcBorders>
              <w:top w:val="single" w:color="000000" w:sz="0" w:space="0"/>
              <w:left w:val="single" w:color="000000" w:sz="0" w:space="0"/>
              <w:bottom w:val="single" w:color="000000" w:sz="0" w:space="0"/>
              <w:right w:val="single" w:color="000000" w:sz="0" w:space="0"/>
            </w:tcBorders>
          </w:tcPr>
          <w:p w14:paraId="5886B5EE">
            <w:pPr>
              <w:jc w:val="center"/>
              <w:rPr>
                <w:color w:val="auto"/>
                <w:highlight w:val="none"/>
              </w:rPr>
            </w:pPr>
            <w:r>
              <w:rPr>
                <w:color w:val="auto"/>
                <w:sz w:val="20"/>
                <w:szCs w:val="20"/>
                <w:highlight w:val="none"/>
              </w:rPr>
              <w:t>活动桌</w:t>
            </w:r>
          </w:p>
        </w:tc>
        <w:tc>
          <w:tcPr>
            <w:tcW w:w="524" w:type="pct"/>
          </w:tcPr>
          <w:p w14:paraId="42FE612C">
            <w:pPr>
              <w:jc w:val="center"/>
              <w:rPr>
                <w:color w:val="auto"/>
                <w:highlight w:val="none"/>
              </w:rPr>
            </w:pPr>
            <w:r>
              <w:rPr>
                <w:color w:val="auto"/>
                <w:highlight w:val="none"/>
              </w:rPr>
              <w:drawing>
                <wp:inline distT="0" distB="0" distL="0" distR="0">
                  <wp:extent cx="1355090" cy="1355090"/>
                  <wp:effectExtent l="0" t="0" r="16510" b="16510"/>
                  <wp:docPr id="41" name="Image" descr="参考图片" titl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 descr="参考图片" title="图片"/>
                          <pic:cNvPicPr>
                            <a:picLocks noChangeAspect="1" noChangeArrowheads="1"/>
                          </pic:cNvPicPr>
                        </pic:nvPicPr>
                        <pic:blipFill>
                          <a:blip r:embed="rId18"/>
                          <a:srcRect/>
                          <a:stretch>
                            <a:fillRect/>
                          </a:stretch>
                        </pic:blipFill>
                        <pic:spPr>
                          <a:xfrm>
                            <a:off x="0" y="0"/>
                            <a:ext cx="1355090" cy="1355090"/>
                          </a:xfrm>
                          <a:prstGeom prst="rect">
                            <a:avLst/>
                          </a:prstGeom>
                        </pic:spPr>
                      </pic:pic>
                    </a:graphicData>
                  </a:graphic>
                </wp:inline>
              </w:drawing>
            </w:r>
          </w:p>
        </w:tc>
        <w:tc>
          <w:tcPr>
            <w:tcW w:w="621" w:type="pct"/>
            <w:tcBorders>
              <w:top w:val="single" w:color="000000" w:sz="0" w:space="0"/>
              <w:left w:val="single" w:color="000000" w:sz="0" w:space="0"/>
              <w:bottom w:val="single" w:color="000000" w:sz="0" w:space="0"/>
              <w:right w:val="single" w:color="000000" w:sz="0" w:space="0"/>
            </w:tcBorders>
          </w:tcPr>
          <w:p w14:paraId="33E2BC89">
            <w:pPr>
              <w:jc w:val="left"/>
              <w:rPr>
                <w:color w:val="auto"/>
                <w:highlight w:val="none"/>
              </w:rPr>
            </w:pPr>
            <w:r>
              <w:rPr>
                <w:color w:val="auto"/>
                <w:sz w:val="20"/>
                <w:szCs w:val="20"/>
                <w:highlight w:val="none"/>
              </w:rPr>
              <w:t>φ1500*750</w:t>
            </w:r>
          </w:p>
        </w:tc>
        <w:tc>
          <w:tcPr>
            <w:tcW w:w="204" w:type="pct"/>
            <w:tcBorders>
              <w:top w:val="single" w:color="000000" w:sz="0" w:space="0"/>
              <w:left w:val="single" w:color="000000" w:sz="0" w:space="0"/>
              <w:bottom w:val="single" w:color="000000" w:sz="0" w:space="0"/>
              <w:right w:val="single" w:color="000000" w:sz="0" w:space="0"/>
            </w:tcBorders>
          </w:tcPr>
          <w:p w14:paraId="1C67AEA9">
            <w:pPr>
              <w:jc w:val="center"/>
              <w:rPr>
                <w:color w:val="auto"/>
                <w:highlight w:val="none"/>
              </w:rPr>
            </w:pPr>
            <w:r>
              <w:rPr>
                <w:color w:val="auto"/>
                <w:sz w:val="20"/>
                <w:szCs w:val="20"/>
                <w:highlight w:val="none"/>
              </w:rPr>
              <w:t>2套</w:t>
            </w:r>
          </w:p>
        </w:tc>
        <w:tc>
          <w:tcPr>
            <w:tcW w:w="504" w:type="pct"/>
            <w:tcBorders>
              <w:top w:val="single" w:color="000000" w:sz="0" w:space="0"/>
              <w:left w:val="single" w:color="000000" w:sz="0" w:space="0"/>
              <w:bottom w:val="single" w:color="000000" w:sz="0" w:space="0"/>
              <w:right w:val="single" w:color="000000" w:sz="0" w:space="0"/>
            </w:tcBorders>
          </w:tcPr>
          <w:p w14:paraId="50A44988">
            <w:pPr>
              <w:jc w:val="left"/>
              <w:rPr>
                <w:color w:val="auto"/>
                <w:highlight w:val="none"/>
              </w:rPr>
            </w:pPr>
            <w:r>
              <w:rPr>
                <w:color w:val="auto"/>
                <w:sz w:val="20"/>
                <w:szCs w:val="20"/>
                <w:highlight w:val="none"/>
              </w:rPr>
              <w:t>基材、封边、金属支架</w:t>
            </w:r>
          </w:p>
        </w:tc>
        <w:tc>
          <w:tcPr>
            <w:tcW w:w="314" w:type="pct"/>
            <w:tcBorders>
              <w:top w:val="single" w:color="000000" w:sz="0" w:space="0"/>
              <w:left w:val="single" w:color="000000" w:sz="0" w:space="0"/>
              <w:bottom w:val="single" w:color="000000" w:sz="0" w:space="0"/>
              <w:right w:val="single" w:color="000000" w:sz="0" w:space="0"/>
            </w:tcBorders>
          </w:tcPr>
          <w:p w14:paraId="49A5D2D4">
            <w:pPr>
              <w:jc w:val="left"/>
              <w:rPr>
                <w:color w:val="auto"/>
                <w:highlight w:val="none"/>
              </w:rPr>
            </w:pPr>
            <w:r>
              <w:rPr>
                <w:color w:val="auto"/>
                <w:sz w:val="20"/>
                <w:szCs w:val="20"/>
                <w:highlight w:val="none"/>
              </w:rPr>
              <w:t>刨花板</w:t>
            </w:r>
          </w:p>
        </w:tc>
        <w:tc>
          <w:tcPr>
            <w:tcW w:w="2095" w:type="pct"/>
            <w:tcBorders>
              <w:top w:val="single" w:color="000000" w:sz="0" w:space="0"/>
              <w:left w:val="single" w:color="000000" w:sz="0" w:space="0"/>
              <w:bottom w:val="single" w:color="000000" w:sz="0" w:space="0"/>
              <w:right w:val="single" w:color="000000" w:sz="0" w:space="0"/>
            </w:tcBorders>
          </w:tcPr>
          <w:p w14:paraId="7995E27C">
            <w:pPr>
              <w:jc w:val="left"/>
              <w:rPr>
                <w:color w:val="auto"/>
                <w:sz w:val="20"/>
                <w:szCs w:val="20"/>
                <w:highlight w:val="none"/>
              </w:rPr>
            </w:pPr>
            <w:r>
              <w:rPr>
                <w:rFonts w:hint="eastAsia"/>
                <w:color w:val="auto"/>
                <w:sz w:val="20"/>
                <w:szCs w:val="20"/>
                <w:highlight w:val="none"/>
              </w:rPr>
              <w:t>（1）桌面：采用ENF级三聚氰胺饰面刨花板，台面厚度</w:t>
            </w:r>
            <w:r>
              <w:rPr>
                <w:rFonts w:hint="eastAsia" w:ascii="宋体" w:hAnsi="宋体" w:cs="宋体"/>
                <w:snapToGrid w:val="0"/>
                <w:color w:val="auto"/>
                <w:kern w:val="0"/>
                <w:sz w:val="20"/>
                <w:szCs w:val="20"/>
                <w:highlight w:val="none"/>
                <w:lang w:bidi="ar"/>
              </w:rPr>
              <w:t>≥</w:t>
            </w:r>
            <w:r>
              <w:rPr>
                <w:rFonts w:hint="eastAsia"/>
                <w:color w:val="auto"/>
                <w:sz w:val="20"/>
                <w:szCs w:val="20"/>
                <w:highlight w:val="none"/>
              </w:rPr>
              <w:t>25mm，其他板材厚度</w:t>
            </w:r>
            <w:r>
              <w:rPr>
                <w:rFonts w:hint="eastAsia" w:ascii="宋体" w:hAnsi="宋体" w:cs="宋体"/>
                <w:snapToGrid w:val="0"/>
                <w:color w:val="auto"/>
                <w:kern w:val="0"/>
                <w:sz w:val="20"/>
                <w:szCs w:val="20"/>
                <w:highlight w:val="none"/>
                <w:lang w:bidi="ar"/>
              </w:rPr>
              <w:t>≥</w:t>
            </w:r>
            <w:r>
              <w:rPr>
                <w:rFonts w:hint="eastAsia"/>
                <w:color w:val="auto"/>
                <w:sz w:val="20"/>
                <w:szCs w:val="20"/>
                <w:highlight w:val="none"/>
              </w:rPr>
              <w:t>18mm，四周采用同色PVC直封边。</w:t>
            </w:r>
          </w:p>
          <w:p w14:paraId="31B671CE">
            <w:pPr>
              <w:jc w:val="left"/>
              <w:rPr>
                <w:rFonts w:hint="eastAsia"/>
                <w:color w:val="auto"/>
                <w:sz w:val="20"/>
                <w:szCs w:val="20"/>
                <w:highlight w:val="none"/>
              </w:rPr>
            </w:pPr>
            <w:r>
              <w:rPr>
                <w:rFonts w:hint="eastAsia"/>
                <w:color w:val="auto"/>
                <w:sz w:val="20"/>
                <w:szCs w:val="20"/>
                <w:highlight w:val="none"/>
              </w:rPr>
              <w:t>（2）桌架：</w:t>
            </w:r>
          </w:p>
          <w:p w14:paraId="467F5C6F">
            <w:pPr>
              <w:jc w:val="left"/>
              <w:rPr>
                <w:rFonts w:hint="eastAsia" w:ascii="宋体" w:hAnsi="宋体" w:cs="宋体"/>
                <w:snapToGrid w:val="0"/>
                <w:color w:val="auto"/>
                <w:kern w:val="0"/>
                <w:sz w:val="20"/>
                <w:szCs w:val="20"/>
                <w:highlight w:val="none"/>
                <w:lang w:bidi="ar"/>
              </w:rPr>
            </w:pPr>
            <w:r>
              <w:rPr>
                <w:rFonts w:hint="eastAsia" w:ascii="宋体" w:hAnsi="宋体" w:cs="宋体"/>
                <w:snapToGrid w:val="0"/>
                <w:color w:val="auto"/>
                <w:kern w:val="0"/>
                <w:sz w:val="20"/>
                <w:szCs w:val="20"/>
                <w:highlight w:val="none"/>
                <w:lang w:bidi="ar"/>
              </w:rPr>
              <w:t>2.1.独立式设计：四个桌脚具有单独拆分、组合的功能，单个桌脚由3部分组成（桌面连接器，桌脚连接器，桌脚）。</w:t>
            </w:r>
            <w:r>
              <w:rPr>
                <w:rFonts w:hint="eastAsia" w:ascii="宋体" w:hAnsi="宋体" w:cs="宋体"/>
                <w:snapToGrid w:val="0"/>
                <w:color w:val="auto"/>
                <w:kern w:val="0"/>
                <w:sz w:val="20"/>
                <w:szCs w:val="20"/>
                <w:highlight w:val="none"/>
                <w:lang w:val="en-US" w:eastAsia="zh-CN" w:bidi="ar"/>
              </w:rPr>
              <w:t>2.2</w:t>
            </w:r>
            <w:r>
              <w:rPr>
                <w:rFonts w:hint="eastAsia" w:ascii="宋体" w:hAnsi="宋体" w:cs="宋体"/>
                <w:snapToGrid w:val="0"/>
                <w:color w:val="auto"/>
                <w:kern w:val="0"/>
                <w:sz w:val="20"/>
                <w:szCs w:val="20"/>
                <w:highlight w:val="none"/>
                <w:lang w:bidi="ar"/>
              </w:rPr>
              <w:t>桌面连接器：优质热轧钢所制，直径≥90mm，厚度≥5mm的圆形铁板。</w:t>
            </w:r>
          </w:p>
          <w:p w14:paraId="12E3FB95">
            <w:pPr>
              <w:jc w:val="left"/>
              <w:rPr>
                <w:rFonts w:hint="eastAsia" w:ascii="宋体" w:hAnsi="宋体" w:cs="宋体"/>
                <w:snapToGrid w:val="0"/>
                <w:color w:val="auto"/>
                <w:kern w:val="0"/>
                <w:sz w:val="20"/>
                <w:szCs w:val="20"/>
                <w:highlight w:val="none"/>
                <w:lang w:bidi="ar"/>
              </w:rPr>
            </w:pPr>
            <w:r>
              <w:rPr>
                <w:rFonts w:hint="eastAsia" w:ascii="宋体" w:hAnsi="宋体" w:cs="宋体"/>
                <w:snapToGrid w:val="0"/>
                <w:color w:val="auto"/>
                <w:kern w:val="0"/>
                <w:sz w:val="20"/>
                <w:szCs w:val="20"/>
                <w:highlight w:val="none"/>
                <w:lang w:val="en-US" w:eastAsia="zh-CN" w:bidi="ar"/>
              </w:rPr>
              <w:t>2.3</w:t>
            </w:r>
            <w:r>
              <w:rPr>
                <w:rFonts w:hint="eastAsia" w:ascii="宋体" w:hAnsi="宋体" w:cs="宋体"/>
                <w:snapToGrid w:val="0"/>
                <w:color w:val="auto"/>
                <w:kern w:val="0"/>
                <w:sz w:val="20"/>
                <w:szCs w:val="20"/>
                <w:highlight w:val="none"/>
                <w:lang w:bidi="ar"/>
              </w:rPr>
              <w:t>桌脚：优质冷轧钢所制，直径45-100mm喇叭型桌腿，厚度≥1.5mm的圆柱体（符合GB/T 3325-20</w:t>
            </w:r>
            <w:r>
              <w:rPr>
                <w:rFonts w:hint="eastAsia" w:ascii="宋体" w:hAnsi="宋体" w:cs="宋体"/>
                <w:snapToGrid w:val="0"/>
                <w:color w:val="auto"/>
                <w:kern w:val="0"/>
                <w:sz w:val="20"/>
                <w:szCs w:val="20"/>
                <w:highlight w:val="none"/>
                <w:lang w:val="en-US" w:eastAsia="zh-CN" w:bidi="ar"/>
              </w:rPr>
              <w:t>24</w:t>
            </w:r>
            <w:r>
              <w:rPr>
                <w:rFonts w:hint="eastAsia" w:ascii="宋体" w:hAnsi="宋体" w:cs="宋体"/>
                <w:snapToGrid w:val="0"/>
                <w:color w:val="auto"/>
                <w:kern w:val="0"/>
                <w:sz w:val="20"/>
                <w:szCs w:val="20"/>
                <w:highlight w:val="none"/>
                <w:lang w:bidi="ar"/>
              </w:rPr>
              <w:t>标准，金属喷漆（塑）涂层理化耐腐蚀：100h内，在溶液中样板上划道两侧3mm以外，无鼓泡产生；100h后，划道两侧3mm外，无锈迹、剥落、起皱、变色和失光等现象）。</w:t>
            </w:r>
          </w:p>
          <w:p w14:paraId="061E963A">
            <w:pPr>
              <w:jc w:val="left"/>
              <w:rPr>
                <w:color w:val="auto"/>
                <w:highlight w:val="none"/>
              </w:rPr>
            </w:pPr>
            <w:r>
              <w:rPr>
                <w:rFonts w:hint="eastAsia" w:ascii="宋体" w:hAnsi="宋体" w:cs="宋体"/>
                <w:snapToGrid w:val="0"/>
                <w:color w:val="auto"/>
                <w:kern w:val="0"/>
                <w:sz w:val="20"/>
                <w:szCs w:val="20"/>
                <w:highlight w:val="none"/>
                <w:lang w:bidi="ar"/>
              </w:rPr>
              <w:t>2.</w:t>
            </w:r>
            <w:r>
              <w:rPr>
                <w:rFonts w:hint="eastAsia" w:ascii="宋体" w:hAnsi="宋体" w:cs="宋体"/>
                <w:snapToGrid w:val="0"/>
                <w:color w:val="auto"/>
                <w:kern w:val="0"/>
                <w:sz w:val="20"/>
                <w:szCs w:val="20"/>
                <w:highlight w:val="none"/>
                <w:lang w:val="en-US" w:eastAsia="zh-CN" w:bidi="ar"/>
              </w:rPr>
              <w:t>4</w:t>
            </w:r>
            <w:r>
              <w:rPr>
                <w:rFonts w:hint="eastAsia" w:ascii="宋体" w:hAnsi="宋体" w:cs="宋体"/>
                <w:snapToGrid w:val="0"/>
                <w:color w:val="auto"/>
                <w:kern w:val="0"/>
                <w:sz w:val="20"/>
                <w:szCs w:val="20"/>
                <w:highlight w:val="none"/>
                <w:lang w:bidi="ar"/>
              </w:rPr>
              <w:t>脚垫：可调节式脚塞，全新尼龙制作，≥75mm高度，有效避免拖地时将水渍附到桌脚上从而生产腐蚀。</w:t>
            </w:r>
            <w:r>
              <w:rPr>
                <w:rFonts w:hint="eastAsia"/>
                <w:color w:val="auto"/>
                <w:sz w:val="20"/>
                <w:szCs w:val="20"/>
                <w:highlight w:val="none"/>
              </w:rPr>
              <w:t xml:space="preserve">                                                                                                                                                  （3）</w:t>
            </w:r>
            <w:r>
              <w:rPr>
                <w:rFonts w:hint="eastAsia" w:ascii="宋体" w:hAnsi="宋体" w:cs="宋体"/>
                <w:color w:val="auto"/>
                <w:sz w:val="18"/>
                <w:szCs w:val="18"/>
                <w:highlight w:val="none"/>
                <w:lang w:bidi="ar"/>
              </w:rPr>
              <w:t>环保：家具成品均</w:t>
            </w:r>
            <w:r>
              <w:rPr>
                <w:rFonts w:hint="eastAsia" w:ascii="宋体" w:hAnsi="宋体" w:cs="宋体"/>
                <w:color w:val="auto"/>
                <w:sz w:val="18"/>
                <w:szCs w:val="18"/>
                <w:highlight w:val="none"/>
                <w:lang w:eastAsia="zh-CN" w:bidi="ar"/>
              </w:rPr>
              <w:t>需</w:t>
            </w:r>
            <w:r>
              <w:rPr>
                <w:rFonts w:hint="eastAsia" w:ascii="宋体" w:hAnsi="宋体" w:cs="宋体"/>
                <w:color w:val="auto"/>
                <w:sz w:val="18"/>
                <w:szCs w:val="18"/>
                <w:highlight w:val="none"/>
                <w:lang w:bidi="ar"/>
              </w:rPr>
              <w:t>满足GB/T 35607-2024《绿色产品评价 家具》的要求（其中成品甲醛释放量≤0.05mg/m3，苯≤0.05mg/m3，甲苯、二甲苯≤0.1mg/m3，TVOC≤0.3mg/m3）</w:t>
            </w:r>
          </w:p>
        </w:tc>
      </w:tr>
      <w:tr w14:paraId="0380A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0" w:type="dxa"/>
            <w:left w:w="100" w:type="dxa"/>
            <w:bottom w:w="50" w:type="dxa"/>
            <w:right w:w="100" w:type="dxa"/>
          </w:tblCellMar>
        </w:tblPrEx>
        <w:tc>
          <w:tcPr>
            <w:tcW w:w="153" w:type="pct"/>
            <w:tcBorders>
              <w:top w:val="single" w:color="000000" w:sz="0" w:space="0"/>
              <w:left w:val="single" w:color="000000" w:sz="0" w:space="0"/>
              <w:bottom w:val="single" w:color="000000" w:sz="0" w:space="0"/>
              <w:right w:val="single" w:color="000000" w:sz="0" w:space="0"/>
            </w:tcBorders>
          </w:tcPr>
          <w:p w14:paraId="6C331E83">
            <w:pPr>
              <w:numPr>
                <w:ilvl w:val="0"/>
                <w:numId w:val="7"/>
              </w:numPr>
              <w:jc w:val="center"/>
              <w:rPr>
                <w:color w:val="auto"/>
                <w:highlight w:val="none"/>
              </w:rPr>
            </w:pPr>
          </w:p>
        </w:tc>
        <w:tc>
          <w:tcPr>
            <w:tcW w:w="325" w:type="pct"/>
            <w:tcBorders>
              <w:top w:val="single" w:color="000000" w:sz="0" w:space="0"/>
              <w:left w:val="single" w:color="000000" w:sz="0" w:space="0"/>
              <w:bottom w:val="single" w:color="000000" w:sz="0" w:space="0"/>
              <w:right w:val="single" w:color="000000" w:sz="0" w:space="0"/>
            </w:tcBorders>
          </w:tcPr>
          <w:p w14:paraId="00266E05">
            <w:pPr>
              <w:jc w:val="left"/>
              <w:rPr>
                <w:color w:val="auto"/>
                <w:highlight w:val="none"/>
              </w:rPr>
            </w:pPr>
            <w:r>
              <w:rPr>
                <w:rFonts w:hint="eastAsia"/>
                <w:color w:val="auto"/>
                <w:sz w:val="20"/>
                <w:szCs w:val="20"/>
                <w:highlight w:val="none"/>
              </w:rPr>
              <w:t>活动桌</w:t>
            </w:r>
            <w:r>
              <w:rPr>
                <w:rFonts w:hint="eastAsia"/>
                <w:color w:val="auto"/>
                <w:sz w:val="20"/>
                <w:szCs w:val="20"/>
                <w:highlight w:val="none"/>
                <w:lang w:val="en-US" w:eastAsia="zh-CN"/>
              </w:rPr>
              <w:t>2</w:t>
            </w:r>
            <w:r>
              <w:rPr>
                <w:rFonts w:hint="eastAsia"/>
                <w:color w:val="auto"/>
                <w:sz w:val="20"/>
                <w:szCs w:val="20"/>
                <w:highlight w:val="none"/>
              </w:rPr>
              <w:t>（蓝白拼接色）</w:t>
            </w:r>
          </w:p>
        </w:tc>
        <w:tc>
          <w:tcPr>
            <w:tcW w:w="257" w:type="pct"/>
            <w:tcBorders>
              <w:top w:val="single" w:color="000000" w:sz="0" w:space="0"/>
              <w:left w:val="single" w:color="000000" w:sz="0" w:space="0"/>
              <w:bottom w:val="single" w:color="000000" w:sz="0" w:space="0"/>
              <w:right w:val="single" w:color="000000" w:sz="0" w:space="0"/>
            </w:tcBorders>
          </w:tcPr>
          <w:p w14:paraId="5D5774FB">
            <w:pPr>
              <w:jc w:val="center"/>
              <w:rPr>
                <w:color w:val="auto"/>
                <w:highlight w:val="none"/>
              </w:rPr>
            </w:pPr>
            <w:r>
              <w:rPr>
                <w:color w:val="auto"/>
                <w:sz w:val="20"/>
                <w:szCs w:val="20"/>
                <w:highlight w:val="none"/>
              </w:rPr>
              <w:t>活动桌</w:t>
            </w:r>
          </w:p>
        </w:tc>
        <w:tc>
          <w:tcPr>
            <w:tcW w:w="524" w:type="pct"/>
          </w:tcPr>
          <w:p w14:paraId="7F2F9FBE">
            <w:pPr>
              <w:jc w:val="center"/>
              <w:rPr>
                <w:color w:val="auto"/>
                <w:highlight w:val="none"/>
              </w:rPr>
            </w:pPr>
            <w:r>
              <w:rPr>
                <w:color w:val="auto"/>
                <w:highlight w:val="none"/>
              </w:rPr>
              <w:drawing>
                <wp:inline distT="0" distB="0" distL="0" distR="0">
                  <wp:extent cx="1355090" cy="1355090"/>
                  <wp:effectExtent l="0" t="0" r="16510" b="16510"/>
                  <wp:docPr id="42" name="Image" descr="参考图片" titl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 descr="参考图片" title="图片"/>
                          <pic:cNvPicPr>
                            <a:picLocks noChangeAspect="1" noChangeArrowheads="1"/>
                          </pic:cNvPicPr>
                        </pic:nvPicPr>
                        <pic:blipFill>
                          <a:blip r:embed="rId19"/>
                          <a:srcRect/>
                          <a:stretch>
                            <a:fillRect/>
                          </a:stretch>
                        </pic:blipFill>
                        <pic:spPr>
                          <a:xfrm>
                            <a:off x="0" y="0"/>
                            <a:ext cx="1355090" cy="1355090"/>
                          </a:xfrm>
                          <a:prstGeom prst="rect">
                            <a:avLst/>
                          </a:prstGeom>
                        </pic:spPr>
                      </pic:pic>
                    </a:graphicData>
                  </a:graphic>
                </wp:inline>
              </w:drawing>
            </w:r>
          </w:p>
        </w:tc>
        <w:tc>
          <w:tcPr>
            <w:tcW w:w="621" w:type="pct"/>
            <w:tcBorders>
              <w:top w:val="single" w:color="000000" w:sz="0" w:space="0"/>
              <w:left w:val="single" w:color="000000" w:sz="0" w:space="0"/>
              <w:bottom w:val="single" w:color="000000" w:sz="0" w:space="0"/>
              <w:right w:val="single" w:color="000000" w:sz="0" w:space="0"/>
            </w:tcBorders>
          </w:tcPr>
          <w:p w14:paraId="61102D17">
            <w:pPr>
              <w:jc w:val="left"/>
              <w:rPr>
                <w:color w:val="auto"/>
                <w:highlight w:val="none"/>
              </w:rPr>
            </w:pPr>
            <w:r>
              <w:rPr>
                <w:color w:val="auto"/>
                <w:sz w:val="20"/>
                <w:szCs w:val="20"/>
                <w:highlight w:val="none"/>
              </w:rPr>
              <w:t>φ1500*750</w:t>
            </w:r>
          </w:p>
        </w:tc>
        <w:tc>
          <w:tcPr>
            <w:tcW w:w="204" w:type="pct"/>
            <w:tcBorders>
              <w:top w:val="single" w:color="000000" w:sz="0" w:space="0"/>
              <w:left w:val="single" w:color="000000" w:sz="0" w:space="0"/>
              <w:bottom w:val="single" w:color="000000" w:sz="0" w:space="0"/>
              <w:right w:val="single" w:color="000000" w:sz="0" w:space="0"/>
            </w:tcBorders>
          </w:tcPr>
          <w:p w14:paraId="449EA8F1">
            <w:pPr>
              <w:jc w:val="center"/>
              <w:rPr>
                <w:color w:val="auto"/>
                <w:highlight w:val="none"/>
              </w:rPr>
            </w:pPr>
            <w:r>
              <w:rPr>
                <w:color w:val="auto"/>
                <w:sz w:val="20"/>
                <w:szCs w:val="20"/>
                <w:highlight w:val="none"/>
              </w:rPr>
              <w:t>5套</w:t>
            </w:r>
          </w:p>
        </w:tc>
        <w:tc>
          <w:tcPr>
            <w:tcW w:w="504" w:type="pct"/>
            <w:tcBorders>
              <w:top w:val="single" w:color="000000" w:sz="0" w:space="0"/>
              <w:left w:val="single" w:color="000000" w:sz="0" w:space="0"/>
              <w:bottom w:val="single" w:color="000000" w:sz="0" w:space="0"/>
              <w:right w:val="single" w:color="000000" w:sz="0" w:space="0"/>
            </w:tcBorders>
          </w:tcPr>
          <w:p w14:paraId="15C3FA5F">
            <w:pPr>
              <w:jc w:val="left"/>
              <w:rPr>
                <w:color w:val="auto"/>
                <w:highlight w:val="none"/>
              </w:rPr>
            </w:pPr>
            <w:r>
              <w:rPr>
                <w:color w:val="auto"/>
                <w:sz w:val="20"/>
                <w:szCs w:val="20"/>
                <w:highlight w:val="none"/>
              </w:rPr>
              <w:t>基材、封边、金属支架</w:t>
            </w:r>
          </w:p>
        </w:tc>
        <w:tc>
          <w:tcPr>
            <w:tcW w:w="314" w:type="pct"/>
            <w:tcBorders>
              <w:top w:val="single" w:color="000000" w:sz="0" w:space="0"/>
              <w:left w:val="single" w:color="000000" w:sz="0" w:space="0"/>
              <w:bottom w:val="single" w:color="000000" w:sz="0" w:space="0"/>
              <w:right w:val="single" w:color="000000" w:sz="0" w:space="0"/>
            </w:tcBorders>
          </w:tcPr>
          <w:p w14:paraId="1A68D9AB">
            <w:pPr>
              <w:jc w:val="left"/>
              <w:rPr>
                <w:color w:val="auto"/>
                <w:highlight w:val="none"/>
              </w:rPr>
            </w:pPr>
            <w:r>
              <w:rPr>
                <w:color w:val="auto"/>
                <w:sz w:val="20"/>
                <w:szCs w:val="20"/>
                <w:highlight w:val="none"/>
              </w:rPr>
              <w:t>刨花板</w:t>
            </w:r>
          </w:p>
        </w:tc>
        <w:tc>
          <w:tcPr>
            <w:tcW w:w="2095" w:type="pct"/>
            <w:tcBorders>
              <w:top w:val="single" w:color="000000" w:sz="0" w:space="0"/>
              <w:left w:val="single" w:color="000000" w:sz="0" w:space="0"/>
              <w:bottom w:val="single" w:color="000000" w:sz="0" w:space="0"/>
              <w:right w:val="single" w:color="000000" w:sz="0" w:space="0"/>
            </w:tcBorders>
          </w:tcPr>
          <w:p w14:paraId="43732FB7">
            <w:pPr>
              <w:jc w:val="left"/>
              <w:rPr>
                <w:color w:val="auto"/>
                <w:sz w:val="20"/>
                <w:szCs w:val="20"/>
                <w:highlight w:val="none"/>
              </w:rPr>
            </w:pPr>
            <w:r>
              <w:rPr>
                <w:rFonts w:hint="eastAsia"/>
                <w:color w:val="auto"/>
                <w:sz w:val="20"/>
                <w:szCs w:val="20"/>
                <w:highlight w:val="none"/>
              </w:rPr>
              <w:t>（1）桌面：采用ENF级三聚氰胺饰面刨花板，台面厚度</w:t>
            </w:r>
            <w:r>
              <w:rPr>
                <w:rFonts w:hint="eastAsia" w:ascii="宋体" w:hAnsi="宋体" w:cs="宋体"/>
                <w:snapToGrid w:val="0"/>
                <w:color w:val="auto"/>
                <w:kern w:val="0"/>
                <w:sz w:val="20"/>
                <w:szCs w:val="20"/>
                <w:highlight w:val="none"/>
                <w:lang w:bidi="ar"/>
              </w:rPr>
              <w:t>≥</w:t>
            </w:r>
            <w:r>
              <w:rPr>
                <w:rFonts w:hint="eastAsia"/>
                <w:color w:val="auto"/>
                <w:sz w:val="20"/>
                <w:szCs w:val="20"/>
                <w:highlight w:val="none"/>
              </w:rPr>
              <w:t>25mm，其他板材厚度</w:t>
            </w:r>
            <w:r>
              <w:rPr>
                <w:rFonts w:hint="eastAsia" w:ascii="宋体" w:hAnsi="宋体" w:cs="宋体"/>
                <w:snapToGrid w:val="0"/>
                <w:color w:val="auto"/>
                <w:kern w:val="0"/>
                <w:sz w:val="20"/>
                <w:szCs w:val="20"/>
                <w:highlight w:val="none"/>
                <w:lang w:bidi="ar"/>
              </w:rPr>
              <w:t>≥</w:t>
            </w:r>
            <w:r>
              <w:rPr>
                <w:rFonts w:hint="eastAsia"/>
                <w:color w:val="auto"/>
                <w:sz w:val="20"/>
                <w:szCs w:val="20"/>
                <w:highlight w:val="none"/>
              </w:rPr>
              <w:t>18mm，四周采用同色PVC直封边。</w:t>
            </w:r>
          </w:p>
          <w:p w14:paraId="5F774F5F">
            <w:pPr>
              <w:jc w:val="left"/>
              <w:rPr>
                <w:rFonts w:hint="eastAsia"/>
                <w:color w:val="auto"/>
                <w:sz w:val="20"/>
                <w:szCs w:val="20"/>
                <w:highlight w:val="none"/>
              </w:rPr>
            </w:pPr>
            <w:r>
              <w:rPr>
                <w:rFonts w:hint="eastAsia"/>
                <w:color w:val="auto"/>
                <w:sz w:val="20"/>
                <w:szCs w:val="20"/>
                <w:highlight w:val="none"/>
              </w:rPr>
              <w:t>（2）桌架：</w:t>
            </w:r>
          </w:p>
          <w:p w14:paraId="52F5F973">
            <w:pPr>
              <w:jc w:val="left"/>
              <w:rPr>
                <w:rFonts w:hint="eastAsia" w:ascii="宋体" w:hAnsi="宋体" w:cs="宋体"/>
                <w:snapToGrid w:val="0"/>
                <w:color w:val="auto"/>
                <w:kern w:val="0"/>
                <w:sz w:val="20"/>
                <w:szCs w:val="20"/>
                <w:highlight w:val="none"/>
                <w:lang w:bidi="ar"/>
              </w:rPr>
            </w:pPr>
            <w:r>
              <w:rPr>
                <w:rFonts w:hint="eastAsia" w:ascii="宋体" w:hAnsi="宋体" w:cs="宋体"/>
                <w:snapToGrid w:val="0"/>
                <w:color w:val="auto"/>
                <w:kern w:val="0"/>
                <w:sz w:val="20"/>
                <w:szCs w:val="20"/>
                <w:highlight w:val="none"/>
                <w:lang w:bidi="ar"/>
              </w:rPr>
              <w:t>2.1独立式设计：四个桌脚具有单独拆分、组合的功能，单个桌脚由3部分组成（桌面连接器，桌脚连接器，桌脚）</w:t>
            </w:r>
          </w:p>
          <w:p w14:paraId="412CB373">
            <w:pPr>
              <w:jc w:val="left"/>
              <w:rPr>
                <w:rFonts w:hint="eastAsia" w:ascii="宋体" w:hAnsi="宋体" w:cs="宋体"/>
                <w:snapToGrid w:val="0"/>
                <w:color w:val="auto"/>
                <w:kern w:val="0"/>
                <w:sz w:val="20"/>
                <w:szCs w:val="20"/>
                <w:highlight w:val="none"/>
                <w:lang w:bidi="ar"/>
              </w:rPr>
            </w:pPr>
            <w:r>
              <w:rPr>
                <w:rFonts w:hint="eastAsia" w:ascii="宋体" w:hAnsi="宋体" w:cs="宋体"/>
                <w:snapToGrid w:val="0"/>
                <w:color w:val="auto"/>
                <w:kern w:val="0"/>
                <w:sz w:val="20"/>
                <w:szCs w:val="20"/>
                <w:highlight w:val="none"/>
                <w:lang w:val="en-US" w:eastAsia="zh-CN" w:bidi="ar"/>
              </w:rPr>
              <w:t>2.2</w:t>
            </w:r>
            <w:r>
              <w:rPr>
                <w:rFonts w:hint="eastAsia" w:ascii="宋体" w:hAnsi="宋体" w:cs="宋体"/>
                <w:snapToGrid w:val="0"/>
                <w:color w:val="auto"/>
                <w:kern w:val="0"/>
                <w:sz w:val="20"/>
                <w:szCs w:val="20"/>
                <w:highlight w:val="none"/>
                <w:lang w:bidi="ar"/>
              </w:rPr>
              <w:t>桌面连接器：优质热轧钢所制，直径≥90mm，厚度≥5mm的圆形铁板。</w:t>
            </w:r>
          </w:p>
          <w:p w14:paraId="5E8AB2F7">
            <w:pPr>
              <w:jc w:val="left"/>
              <w:rPr>
                <w:rFonts w:hint="eastAsia" w:ascii="宋体" w:hAnsi="宋体" w:cs="宋体"/>
                <w:snapToGrid w:val="0"/>
                <w:color w:val="auto"/>
                <w:kern w:val="0"/>
                <w:sz w:val="20"/>
                <w:szCs w:val="20"/>
                <w:highlight w:val="none"/>
                <w:lang w:bidi="ar"/>
              </w:rPr>
            </w:pPr>
            <w:r>
              <w:rPr>
                <w:rFonts w:hint="eastAsia" w:ascii="宋体" w:hAnsi="宋体" w:cs="宋体"/>
                <w:snapToGrid w:val="0"/>
                <w:color w:val="auto"/>
                <w:kern w:val="0"/>
                <w:sz w:val="20"/>
                <w:szCs w:val="20"/>
                <w:highlight w:val="none"/>
                <w:lang w:val="en-US" w:eastAsia="zh-CN" w:bidi="ar"/>
              </w:rPr>
              <w:t>2.3</w:t>
            </w:r>
            <w:r>
              <w:rPr>
                <w:rFonts w:hint="eastAsia" w:ascii="宋体" w:hAnsi="宋体" w:cs="宋体"/>
                <w:snapToGrid w:val="0"/>
                <w:color w:val="auto"/>
                <w:kern w:val="0"/>
                <w:sz w:val="20"/>
                <w:szCs w:val="20"/>
                <w:highlight w:val="none"/>
                <w:lang w:bidi="ar"/>
              </w:rPr>
              <w:t>桌脚：优质冷轧钢所制，直径45-100mm喇叭型桌腿，厚度≥1.5mm的圆柱体（符合GB/T 3325-2017标准，金属喷漆（塑）涂层理化耐腐蚀：100h内，在溶液中样板上划道两侧3mm以外，无鼓泡产生；100h后，划道两侧3mm外，无锈迹、剥落、起皱、变色和失光等现象）。</w:t>
            </w:r>
          </w:p>
          <w:p w14:paraId="34FA5AF8">
            <w:pPr>
              <w:jc w:val="left"/>
              <w:rPr>
                <w:color w:val="auto"/>
                <w:highlight w:val="none"/>
              </w:rPr>
            </w:pPr>
            <w:r>
              <w:rPr>
                <w:rFonts w:hint="eastAsia" w:ascii="宋体" w:hAnsi="宋体" w:cs="宋体"/>
                <w:snapToGrid w:val="0"/>
                <w:color w:val="auto"/>
                <w:kern w:val="0"/>
                <w:sz w:val="20"/>
                <w:szCs w:val="20"/>
                <w:highlight w:val="none"/>
                <w:lang w:bidi="ar"/>
              </w:rPr>
              <w:t>2.</w:t>
            </w:r>
            <w:r>
              <w:rPr>
                <w:rFonts w:hint="eastAsia" w:ascii="宋体" w:hAnsi="宋体" w:cs="宋体"/>
                <w:snapToGrid w:val="0"/>
                <w:color w:val="auto"/>
                <w:kern w:val="0"/>
                <w:sz w:val="20"/>
                <w:szCs w:val="20"/>
                <w:highlight w:val="none"/>
                <w:lang w:val="en-US" w:eastAsia="zh-CN" w:bidi="ar"/>
              </w:rPr>
              <w:t>4</w:t>
            </w:r>
            <w:r>
              <w:rPr>
                <w:rFonts w:hint="eastAsia" w:ascii="宋体" w:hAnsi="宋体" w:cs="宋体"/>
                <w:snapToGrid w:val="0"/>
                <w:color w:val="auto"/>
                <w:kern w:val="0"/>
                <w:sz w:val="20"/>
                <w:szCs w:val="20"/>
                <w:highlight w:val="none"/>
                <w:lang w:bidi="ar"/>
              </w:rPr>
              <w:t>脚垫：可调节式脚塞，全新尼龙制作，≥75mm高度，有效避免拖地时将水渍附到桌脚上从而生产腐蚀。</w:t>
            </w:r>
            <w:r>
              <w:rPr>
                <w:rFonts w:hint="eastAsia"/>
                <w:color w:val="auto"/>
                <w:sz w:val="20"/>
                <w:szCs w:val="20"/>
                <w:highlight w:val="none"/>
              </w:rPr>
              <w:t xml:space="preserve">                                                                                                                                                  （3）</w:t>
            </w:r>
            <w:r>
              <w:rPr>
                <w:rFonts w:hint="eastAsia" w:ascii="宋体" w:hAnsi="宋体" w:cs="宋体"/>
                <w:color w:val="auto"/>
                <w:sz w:val="18"/>
                <w:szCs w:val="18"/>
                <w:highlight w:val="none"/>
                <w:lang w:bidi="ar"/>
              </w:rPr>
              <w:t>环保：家具成品均</w:t>
            </w:r>
            <w:r>
              <w:rPr>
                <w:rFonts w:hint="eastAsia" w:ascii="宋体" w:hAnsi="宋体" w:cs="宋体"/>
                <w:color w:val="auto"/>
                <w:sz w:val="18"/>
                <w:szCs w:val="18"/>
                <w:highlight w:val="none"/>
                <w:lang w:eastAsia="zh-CN" w:bidi="ar"/>
              </w:rPr>
              <w:t>需</w:t>
            </w:r>
            <w:r>
              <w:rPr>
                <w:rFonts w:hint="eastAsia" w:ascii="宋体" w:hAnsi="宋体" w:cs="宋体"/>
                <w:color w:val="auto"/>
                <w:sz w:val="18"/>
                <w:szCs w:val="18"/>
                <w:highlight w:val="none"/>
                <w:lang w:bidi="ar"/>
              </w:rPr>
              <w:t>满足GB/T 35607-2024《绿色产品评价 家具》的要求（其中成品甲醛释放量≤0.05mg/m3，苯≤0.05mg/m3，甲苯、二甲苯≤0.1mg/m3，TVOC≤0.3mg/m3）</w:t>
            </w:r>
          </w:p>
        </w:tc>
      </w:tr>
      <w:tr w14:paraId="4DE1F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0" w:type="dxa"/>
            <w:left w:w="100" w:type="dxa"/>
            <w:bottom w:w="50" w:type="dxa"/>
            <w:right w:w="100" w:type="dxa"/>
          </w:tblCellMar>
        </w:tblPrEx>
        <w:tc>
          <w:tcPr>
            <w:tcW w:w="153" w:type="pct"/>
            <w:tcBorders>
              <w:top w:val="single" w:color="000000" w:sz="0" w:space="0"/>
              <w:left w:val="single" w:color="000000" w:sz="0" w:space="0"/>
              <w:bottom w:val="single" w:color="000000" w:sz="0" w:space="0"/>
              <w:right w:val="single" w:color="000000" w:sz="0" w:space="0"/>
            </w:tcBorders>
          </w:tcPr>
          <w:p w14:paraId="7A9151D9">
            <w:pPr>
              <w:numPr>
                <w:ilvl w:val="0"/>
                <w:numId w:val="7"/>
              </w:numPr>
              <w:jc w:val="center"/>
              <w:rPr>
                <w:color w:val="auto"/>
                <w:highlight w:val="none"/>
              </w:rPr>
            </w:pPr>
          </w:p>
        </w:tc>
        <w:tc>
          <w:tcPr>
            <w:tcW w:w="325" w:type="pct"/>
            <w:tcBorders>
              <w:top w:val="single" w:color="000000" w:sz="0" w:space="0"/>
              <w:left w:val="single" w:color="000000" w:sz="0" w:space="0"/>
              <w:bottom w:val="single" w:color="000000" w:sz="0" w:space="0"/>
              <w:right w:val="single" w:color="000000" w:sz="0" w:space="0"/>
            </w:tcBorders>
          </w:tcPr>
          <w:p w14:paraId="33FDEEAA">
            <w:pPr>
              <w:jc w:val="left"/>
              <w:rPr>
                <w:rFonts w:hint="eastAsia" w:eastAsia="宋体"/>
                <w:color w:val="auto"/>
                <w:highlight w:val="none"/>
                <w:lang w:val="en-US" w:eastAsia="zh-CN"/>
              </w:rPr>
            </w:pPr>
            <w:r>
              <w:rPr>
                <w:color w:val="auto"/>
                <w:sz w:val="20"/>
                <w:szCs w:val="20"/>
                <w:highlight w:val="none"/>
              </w:rPr>
              <w:t>多功能教室活动桌</w:t>
            </w:r>
            <w:r>
              <w:rPr>
                <w:rFonts w:hint="eastAsia"/>
                <w:color w:val="auto"/>
                <w:sz w:val="20"/>
                <w:szCs w:val="20"/>
                <w:highlight w:val="none"/>
                <w:lang w:val="en-US" w:eastAsia="zh-CN"/>
              </w:rPr>
              <w:t>1</w:t>
            </w:r>
          </w:p>
        </w:tc>
        <w:tc>
          <w:tcPr>
            <w:tcW w:w="257" w:type="pct"/>
            <w:tcBorders>
              <w:top w:val="single" w:color="000000" w:sz="0" w:space="0"/>
              <w:left w:val="single" w:color="000000" w:sz="0" w:space="0"/>
              <w:bottom w:val="single" w:color="000000" w:sz="0" w:space="0"/>
              <w:right w:val="single" w:color="000000" w:sz="0" w:space="0"/>
            </w:tcBorders>
          </w:tcPr>
          <w:p w14:paraId="2FB9BAEA">
            <w:pPr>
              <w:jc w:val="center"/>
              <w:rPr>
                <w:color w:val="auto"/>
                <w:highlight w:val="none"/>
              </w:rPr>
            </w:pPr>
            <w:r>
              <w:rPr>
                <w:color w:val="auto"/>
                <w:sz w:val="20"/>
                <w:szCs w:val="20"/>
                <w:highlight w:val="none"/>
              </w:rPr>
              <w:t>活动桌</w:t>
            </w:r>
          </w:p>
        </w:tc>
        <w:tc>
          <w:tcPr>
            <w:tcW w:w="524" w:type="pct"/>
          </w:tcPr>
          <w:p w14:paraId="03445D9B">
            <w:pPr>
              <w:jc w:val="center"/>
              <w:rPr>
                <w:color w:val="auto"/>
                <w:highlight w:val="none"/>
              </w:rPr>
            </w:pPr>
            <w:r>
              <w:rPr>
                <w:color w:val="auto"/>
                <w:highlight w:val="none"/>
              </w:rPr>
              <w:drawing>
                <wp:inline distT="0" distB="0" distL="0" distR="0">
                  <wp:extent cx="1275715" cy="1591945"/>
                  <wp:effectExtent l="0" t="0" r="635" b="8255"/>
                  <wp:docPr id="43" name="Image" descr="参考图片" titl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 descr="参考图片" title="图片"/>
                          <pic:cNvPicPr>
                            <a:picLocks noChangeAspect="1" noChangeArrowheads="1"/>
                          </pic:cNvPicPr>
                        </pic:nvPicPr>
                        <pic:blipFill>
                          <a:blip r:embed="rId20"/>
                          <a:srcRect/>
                          <a:stretch>
                            <a:fillRect/>
                          </a:stretch>
                        </pic:blipFill>
                        <pic:spPr>
                          <a:xfrm>
                            <a:off x="0" y="0"/>
                            <a:ext cx="1275715" cy="1591945"/>
                          </a:xfrm>
                          <a:prstGeom prst="rect">
                            <a:avLst/>
                          </a:prstGeom>
                        </pic:spPr>
                      </pic:pic>
                    </a:graphicData>
                  </a:graphic>
                </wp:inline>
              </w:drawing>
            </w:r>
          </w:p>
        </w:tc>
        <w:tc>
          <w:tcPr>
            <w:tcW w:w="621" w:type="pct"/>
            <w:tcBorders>
              <w:top w:val="single" w:color="000000" w:sz="0" w:space="0"/>
              <w:left w:val="single" w:color="000000" w:sz="0" w:space="0"/>
              <w:bottom w:val="single" w:color="000000" w:sz="0" w:space="0"/>
              <w:right w:val="single" w:color="000000" w:sz="0" w:space="0"/>
            </w:tcBorders>
          </w:tcPr>
          <w:p w14:paraId="38FB4BD9">
            <w:pPr>
              <w:jc w:val="left"/>
              <w:rPr>
                <w:color w:val="auto"/>
                <w:sz w:val="20"/>
                <w:szCs w:val="20"/>
                <w:highlight w:val="none"/>
              </w:rPr>
            </w:pPr>
            <w:r>
              <w:rPr>
                <w:color w:val="auto"/>
                <w:sz w:val="20"/>
                <w:szCs w:val="20"/>
                <w:highlight w:val="none"/>
              </w:rPr>
              <w:t>1800*500*750H*8套</w:t>
            </w:r>
          </w:p>
        </w:tc>
        <w:tc>
          <w:tcPr>
            <w:tcW w:w="204" w:type="pct"/>
            <w:tcBorders>
              <w:top w:val="single" w:color="000000" w:sz="0" w:space="0"/>
              <w:left w:val="single" w:color="000000" w:sz="0" w:space="0"/>
              <w:bottom w:val="single" w:color="000000" w:sz="0" w:space="0"/>
              <w:right w:val="single" w:color="000000" w:sz="0" w:space="0"/>
            </w:tcBorders>
          </w:tcPr>
          <w:p w14:paraId="1B99A65E">
            <w:pPr>
              <w:jc w:val="center"/>
              <w:rPr>
                <w:color w:val="auto"/>
                <w:highlight w:val="none"/>
              </w:rPr>
            </w:pPr>
            <w:r>
              <w:rPr>
                <w:rFonts w:hint="eastAsia"/>
                <w:color w:val="auto"/>
                <w:sz w:val="20"/>
                <w:szCs w:val="20"/>
                <w:highlight w:val="none"/>
                <w:lang w:val="en-US" w:eastAsia="zh-CN"/>
              </w:rPr>
              <w:t>8</w:t>
            </w:r>
            <w:r>
              <w:rPr>
                <w:color w:val="auto"/>
                <w:sz w:val="20"/>
                <w:szCs w:val="20"/>
                <w:highlight w:val="none"/>
              </w:rPr>
              <w:t>套</w:t>
            </w:r>
          </w:p>
        </w:tc>
        <w:tc>
          <w:tcPr>
            <w:tcW w:w="504" w:type="pct"/>
            <w:tcBorders>
              <w:top w:val="single" w:color="000000" w:sz="0" w:space="0"/>
              <w:left w:val="single" w:color="000000" w:sz="0" w:space="0"/>
              <w:bottom w:val="single" w:color="000000" w:sz="0" w:space="0"/>
              <w:right w:val="single" w:color="000000" w:sz="0" w:space="0"/>
            </w:tcBorders>
          </w:tcPr>
          <w:p w14:paraId="70901227">
            <w:pPr>
              <w:jc w:val="left"/>
              <w:rPr>
                <w:color w:val="auto"/>
                <w:highlight w:val="none"/>
              </w:rPr>
            </w:pPr>
            <w:r>
              <w:rPr>
                <w:color w:val="auto"/>
                <w:sz w:val="20"/>
                <w:szCs w:val="20"/>
                <w:highlight w:val="none"/>
              </w:rPr>
              <w:t>基材、封边、金属支架</w:t>
            </w:r>
          </w:p>
        </w:tc>
        <w:tc>
          <w:tcPr>
            <w:tcW w:w="314" w:type="pct"/>
            <w:tcBorders>
              <w:top w:val="single" w:color="000000" w:sz="0" w:space="0"/>
              <w:left w:val="single" w:color="000000" w:sz="0" w:space="0"/>
              <w:bottom w:val="single" w:color="000000" w:sz="0" w:space="0"/>
              <w:right w:val="single" w:color="000000" w:sz="0" w:space="0"/>
            </w:tcBorders>
          </w:tcPr>
          <w:p w14:paraId="6215503C">
            <w:pPr>
              <w:jc w:val="left"/>
              <w:rPr>
                <w:color w:val="auto"/>
                <w:highlight w:val="none"/>
              </w:rPr>
            </w:pPr>
            <w:r>
              <w:rPr>
                <w:color w:val="auto"/>
                <w:sz w:val="20"/>
                <w:szCs w:val="20"/>
                <w:highlight w:val="none"/>
              </w:rPr>
              <w:t>刨花板、冷轧钢板、铝合金</w:t>
            </w:r>
          </w:p>
        </w:tc>
        <w:tc>
          <w:tcPr>
            <w:tcW w:w="2095" w:type="pct"/>
            <w:tcBorders>
              <w:top w:val="single" w:color="000000" w:sz="0" w:space="0"/>
              <w:left w:val="single" w:color="000000" w:sz="0" w:space="0"/>
              <w:bottom w:val="single" w:color="000000" w:sz="0" w:space="0"/>
              <w:right w:val="single" w:color="000000" w:sz="0" w:space="0"/>
            </w:tcBorders>
          </w:tcPr>
          <w:p w14:paraId="66B4078E">
            <w:pPr>
              <w:jc w:val="left"/>
              <w:rPr>
                <w:color w:val="auto"/>
                <w:sz w:val="20"/>
                <w:szCs w:val="20"/>
                <w:highlight w:val="none"/>
              </w:rPr>
            </w:pPr>
            <w:r>
              <w:rPr>
                <w:rFonts w:hint="eastAsia"/>
                <w:color w:val="auto"/>
                <w:sz w:val="20"/>
                <w:szCs w:val="20"/>
                <w:highlight w:val="none"/>
              </w:rPr>
              <w:t>（1）桌面：采用ENF级三聚氰胺饰面刨花板，台面厚度</w:t>
            </w:r>
            <w:r>
              <w:rPr>
                <w:rFonts w:hint="eastAsia" w:ascii="宋体" w:hAnsi="宋体" w:cs="宋体"/>
                <w:snapToGrid w:val="0"/>
                <w:color w:val="auto"/>
                <w:kern w:val="0"/>
                <w:sz w:val="20"/>
                <w:szCs w:val="20"/>
                <w:highlight w:val="none"/>
                <w:lang w:bidi="ar"/>
              </w:rPr>
              <w:t>≥</w:t>
            </w:r>
            <w:r>
              <w:rPr>
                <w:rFonts w:hint="eastAsia"/>
                <w:color w:val="auto"/>
                <w:sz w:val="20"/>
                <w:szCs w:val="20"/>
                <w:highlight w:val="none"/>
              </w:rPr>
              <w:t>25mm，其他板材厚度</w:t>
            </w:r>
            <w:r>
              <w:rPr>
                <w:rFonts w:hint="eastAsia" w:ascii="宋体" w:hAnsi="宋体" w:cs="宋体"/>
                <w:snapToGrid w:val="0"/>
                <w:color w:val="auto"/>
                <w:kern w:val="0"/>
                <w:sz w:val="20"/>
                <w:szCs w:val="20"/>
                <w:highlight w:val="none"/>
                <w:lang w:bidi="ar"/>
              </w:rPr>
              <w:t>≥</w:t>
            </w:r>
            <w:r>
              <w:rPr>
                <w:rFonts w:hint="eastAsia"/>
                <w:color w:val="auto"/>
                <w:sz w:val="20"/>
                <w:szCs w:val="20"/>
                <w:highlight w:val="none"/>
              </w:rPr>
              <w:t>18mm，四周采用同色PVC直封边。</w:t>
            </w:r>
          </w:p>
          <w:p w14:paraId="2392B2CC">
            <w:pPr>
              <w:jc w:val="left"/>
              <w:rPr>
                <w:color w:val="auto"/>
                <w:highlight w:val="none"/>
              </w:rPr>
            </w:pPr>
            <w:r>
              <w:rPr>
                <w:rFonts w:hint="eastAsia"/>
                <w:color w:val="auto"/>
                <w:sz w:val="20"/>
                <w:szCs w:val="20"/>
                <w:highlight w:val="none"/>
              </w:rPr>
              <w:t>（2）钢架：立柱采用优质高精度冷轧钢及方管压铸而成一字形，方管是</w:t>
            </w:r>
            <w:r>
              <w:rPr>
                <w:rFonts w:hint="eastAsia" w:ascii="宋体" w:hAnsi="宋体" w:cs="宋体"/>
                <w:snapToGrid w:val="0"/>
                <w:color w:val="auto"/>
                <w:kern w:val="0"/>
                <w:sz w:val="20"/>
                <w:szCs w:val="20"/>
                <w:highlight w:val="none"/>
                <w:lang w:bidi="ar"/>
              </w:rPr>
              <w:t>≥</w:t>
            </w:r>
            <w:r>
              <w:rPr>
                <w:rFonts w:hint="eastAsia"/>
                <w:color w:val="auto"/>
                <w:sz w:val="20"/>
                <w:szCs w:val="20"/>
                <w:highlight w:val="none"/>
              </w:rPr>
              <w:t>50*25*510</w:t>
            </w:r>
            <w:r>
              <w:rPr>
                <w:rFonts w:hint="eastAsia"/>
                <w:color w:val="auto"/>
                <w:sz w:val="20"/>
                <w:szCs w:val="20"/>
                <w:highlight w:val="none"/>
                <w:lang w:val="en-US" w:eastAsia="zh-CN"/>
              </w:rPr>
              <w:t>mm</w:t>
            </w:r>
            <w:r>
              <w:rPr>
                <w:rFonts w:hint="eastAsia"/>
                <w:color w:val="auto"/>
                <w:sz w:val="20"/>
                <w:szCs w:val="20"/>
                <w:highlight w:val="none"/>
              </w:rPr>
              <w:t>方管，壁厚为</w:t>
            </w:r>
            <w:r>
              <w:rPr>
                <w:rFonts w:hint="eastAsia" w:ascii="宋体" w:hAnsi="宋体" w:cs="宋体"/>
                <w:snapToGrid w:val="0"/>
                <w:color w:val="auto"/>
                <w:kern w:val="0"/>
                <w:sz w:val="20"/>
                <w:szCs w:val="20"/>
                <w:highlight w:val="none"/>
                <w:lang w:bidi="ar"/>
              </w:rPr>
              <w:t>≥</w:t>
            </w:r>
            <w:r>
              <w:rPr>
                <w:rFonts w:hint="eastAsia"/>
                <w:color w:val="auto"/>
                <w:sz w:val="20"/>
                <w:szCs w:val="20"/>
                <w:highlight w:val="none"/>
              </w:rPr>
              <w:t>1.2</w:t>
            </w:r>
            <w:r>
              <w:rPr>
                <w:rFonts w:hint="eastAsia"/>
                <w:color w:val="auto"/>
                <w:sz w:val="20"/>
                <w:szCs w:val="20"/>
                <w:highlight w:val="none"/>
                <w:lang w:val="en-US" w:eastAsia="zh-CN"/>
              </w:rPr>
              <w:t>mm</w:t>
            </w:r>
            <w:r>
              <w:rPr>
                <w:rFonts w:hint="eastAsia"/>
                <w:color w:val="auto"/>
                <w:sz w:val="20"/>
                <w:szCs w:val="20"/>
                <w:highlight w:val="none"/>
              </w:rPr>
              <w:t>，表面采用防绣静电喷涂处理，冷轧钢板</w:t>
            </w:r>
            <w:r>
              <w:rPr>
                <w:rFonts w:hint="eastAsia" w:ascii="宋体" w:hAnsi="宋体" w:cs="宋体"/>
                <w:snapToGrid w:val="0"/>
                <w:color w:val="auto"/>
                <w:kern w:val="0"/>
                <w:sz w:val="20"/>
                <w:szCs w:val="20"/>
                <w:highlight w:val="none"/>
                <w:lang w:bidi="ar"/>
              </w:rPr>
              <w:t>≥</w:t>
            </w:r>
            <w:r>
              <w:rPr>
                <w:rFonts w:hint="eastAsia"/>
                <w:color w:val="auto"/>
                <w:sz w:val="20"/>
                <w:szCs w:val="20"/>
                <w:highlight w:val="none"/>
              </w:rPr>
              <w:t>540*70*3.0</w:t>
            </w:r>
            <w:r>
              <w:rPr>
                <w:rFonts w:hint="eastAsia"/>
                <w:color w:val="auto"/>
                <w:sz w:val="20"/>
                <w:szCs w:val="20"/>
                <w:highlight w:val="none"/>
                <w:lang w:val="en-US" w:eastAsia="zh-CN"/>
              </w:rPr>
              <w:t>mm</w:t>
            </w:r>
            <w:r>
              <w:rPr>
                <w:rFonts w:hint="eastAsia"/>
                <w:color w:val="auto"/>
                <w:sz w:val="20"/>
                <w:szCs w:val="20"/>
                <w:highlight w:val="none"/>
              </w:rPr>
              <w:t>，重合焊接而成，底脚尺寸</w:t>
            </w:r>
            <w:r>
              <w:rPr>
                <w:rFonts w:hint="eastAsia" w:ascii="宋体" w:hAnsi="宋体" w:cs="宋体"/>
                <w:snapToGrid w:val="0"/>
                <w:color w:val="auto"/>
                <w:kern w:val="0"/>
                <w:sz w:val="20"/>
                <w:szCs w:val="20"/>
                <w:highlight w:val="none"/>
                <w:lang w:bidi="ar"/>
              </w:rPr>
              <w:t>≥</w:t>
            </w:r>
            <w:r>
              <w:rPr>
                <w:rFonts w:hint="eastAsia"/>
                <w:color w:val="auto"/>
                <w:sz w:val="20"/>
                <w:szCs w:val="20"/>
                <w:highlight w:val="none"/>
              </w:rPr>
              <w:t>540*70*28</w:t>
            </w:r>
            <w:r>
              <w:rPr>
                <w:rFonts w:hint="eastAsia"/>
                <w:color w:val="auto"/>
                <w:sz w:val="20"/>
                <w:szCs w:val="20"/>
                <w:highlight w:val="none"/>
                <w:lang w:val="en-US" w:eastAsia="zh-CN"/>
              </w:rPr>
              <w:t>mm</w:t>
            </w:r>
            <w:r>
              <w:rPr>
                <w:rFonts w:hint="eastAsia"/>
                <w:color w:val="auto"/>
                <w:sz w:val="20"/>
                <w:szCs w:val="20"/>
                <w:highlight w:val="none"/>
              </w:rPr>
              <w:t>，表面光滑显高端，牢固耐用，美观大方，</w:t>
            </w:r>
            <w:r>
              <w:rPr>
                <w:rFonts w:hint="eastAsia"/>
                <w:color w:val="auto"/>
                <w:sz w:val="20"/>
                <w:szCs w:val="20"/>
                <w:highlight w:val="none"/>
                <w:lang w:val="en-US" w:eastAsia="zh-CN"/>
              </w:rPr>
              <w:t>可</w:t>
            </w:r>
            <w:r>
              <w:rPr>
                <w:rFonts w:hint="eastAsia"/>
                <w:color w:val="auto"/>
                <w:sz w:val="20"/>
                <w:szCs w:val="20"/>
                <w:highlight w:val="none"/>
              </w:rPr>
              <w:t>抗变型 。横梁采用优质高精度冷轧钢，方管管：</w:t>
            </w:r>
            <w:r>
              <w:rPr>
                <w:rFonts w:hint="eastAsia" w:ascii="宋体" w:hAnsi="宋体" w:cs="宋体"/>
                <w:snapToGrid w:val="0"/>
                <w:color w:val="auto"/>
                <w:kern w:val="0"/>
                <w:sz w:val="20"/>
                <w:szCs w:val="20"/>
                <w:highlight w:val="none"/>
                <w:lang w:bidi="ar"/>
              </w:rPr>
              <w:t>≥</w:t>
            </w:r>
            <w:r>
              <w:rPr>
                <w:rFonts w:hint="eastAsia"/>
                <w:color w:val="auto"/>
                <w:sz w:val="20"/>
                <w:szCs w:val="20"/>
                <w:highlight w:val="none"/>
              </w:rPr>
              <w:t>40*40*1060*T1.2mm， 表面再经防锈静电喷涂处理，实用牢固，承受力大。拉杆机构采用</w:t>
            </w:r>
            <w:r>
              <w:rPr>
                <w:rFonts w:hint="eastAsia" w:ascii="宋体" w:hAnsi="宋体" w:cs="宋体"/>
                <w:snapToGrid w:val="0"/>
                <w:color w:val="auto"/>
                <w:kern w:val="0"/>
                <w:sz w:val="20"/>
                <w:szCs w:val="20"/>
                <w:highlight w:val="none"/>
                <w:lang w:bidi="ar"/>
              </w:rPr>
              <w:t>≥</w:t>
            </w:r>
            <w:r>
              <w:rPr>
                <w:rFonts w:hint="eastAsia"/>
                <w:color w:val="auto"/>
                <w:sz w:val="20"/>
                <w:szCs w:val="20"/>
                <w:highlight w:val="none"/>
              </w:rPr>
              <w:t>1.2</w:t>
            </w:r>
            <w:r>
              <w:rPr>
                <w:rFonts w:hint="eastAsia"/>
                <w:color w:val="auto"/>
                <w:sz w:val="20"/>
                <w:szCs w:val="20"/>
                <w:highlight w:val="none"/>
                <w:lang w:val="en-US" w:eastAsia="zh-CN"/>
              </w:rPr>
              <w:t>mm</w:t>
            </w:r>
            <w:r>
              <w:rPr>
                <w:rFonts w:hint="eastAsia"/>
                <w:color w:val="auto"/>
                <w:sz w:val="20"/>
                <w:szCs w:val="20"/>
                <w:highlight w:val="none"/>
              </w:rPr>
              <w:t>厚度拉杆折叠机构，两端配置压铸。拉杆机构采用</w:t>
            </w:r>
            <w:r>
              <w:rPr>
                <w:rFonts w:hint="eastAsia" w:ascii="宋体" w:hAnsi="宋体" w:cs="宋体"/>
                <w:snapToGrid w:val="0"/>
                <w:color w:val="auto"/>
                <w:kern w:val="0"/>
                <w:sz w:val="20"/>
                <w:szCs w:val="20"/>
                <w:highlight w:val="none"/>
                <w:lang w:bidi="ar"/>
              </w:rPr>
              <w:t>≥</w:t>
            </w:r>
            <w:r>
              <w:rPr>
                <w:rFonts w:hint="eastAsia"/>
                <w:color w:val="auto"/>
                <w:sz w:val="20"/>
                <w:szCs w:val="20"/>
                <w:highlight w:val="none"/>
              </w:rPr>
              <w:t>1.2</w:t>
            </w:r>
            <w:r>
              <w:rPr>
                <w:rFonts w:hint="eastAsia"/>
                <w:color w:val="auto"/>
                <w:sz w:val="20"/>
                <w:szCs w:val="20"/>
                <w:highlight w:val="none"/>
                <w:lang w:val="en-US" w:eastAsia="zh-CN"/>
              </w:rPr>
              <w:t>mm</w:t>
            </w:r>
            <w:r>
              <w:rPr>
                <w:rFonts w:hint="eastAsia"/>
                <w:color w:val="auto"/>
                <w:sz w:val="20"/>
                <w:szCs w:val="20"/>
                <w:highlight w:val="none"/>
              </w:rPr>
              <w:t>厚度拉杆折叠机构，两端配置压铸盒子及铝合金挂钩连动折叠，单手可折叠，折叠次数不少于5000次，稳定性强,不易变形。                                                                                                                                                    （</w:t>
            </w:r>
            <w:r>
              <w:rPr>
                <w:rFonts w:hint="eastAsia"/>
                <w:color w:val="auto"/>
                <w:sz w:val="20"/>
                <w:szCs w:val="20"/>
                <w:highlight w:val="none"/>
                <w:lang w:val="en-US" w:eastAsia="zh-CN"/>
              </w:rPr>
              <w:t>3</w:t>
            </w:r>
            <w:r>
              <w:rPr>
                <w:rFonts w:hint="eastAsia"/>
                <w:color w:val="auto"/>
                <w:sz w:val="20"/>
                <w:szCs w:val="20"/>
                <w:highlight w:val="none"/>
              </w:rPr>
              <w:t>）</w:t>
            </w:r>
            <w:r>
              <w:rPr>
                <w:rFonts w:hint="eastAsia" w:ascii="宋体" w:hAnsi="宋体" w:cs="宋体"/>
                <w:color w:val="auto"/>
                <w:sz w:val="18"/>
                <w:szCs w:val="18"/>
                <w:highlight w:val="none"/>
                <w:lang w:bidi="ar"/>
              </w:rPr>
              <w:t>环保：家具成品均</w:t>
            </w:r>
            <w:r>
              <w:rPr>
                <w:rFonts w:hint="eastAsia" w:ascii="宋体" w:hAnsi="宋体" w:cs="宋体"/>
                <w:color w:val="auto"/>
                <w:sz w:val="18"/>
                <w:szCs w:val="18"/>
                <w:highlight w:val="none"/>
                <w:lang w:eastAsia="zh-CN" w:bidi="ar"/>
              </w:rPr>
              <w:t>需</w:t>
            </w:r>
            <w:r>
              <w:rPr>
                <w:rFonts w:hint="eastAsia" w:ascii="宋体" w:hAnsi="宋体" w:cs="宋体"/>
                <w:color w:val="auto"/>
                <w:sz w:val="18"/>
                <w:szCs w:val="18"/>
                <w:highlight w:val="none"/>
                <w:lang w:bidi="ar"/>
              </w:rPr>
              <w:t>满足GB/T 35607-2024《绿色产品评价 家具》的要求（其中成品甲醛释放量≤0.05mg/m3，苯≤0.05mg/m3，甲苯、二甲苯≤0.1mg/m3，TVOC≤0.3mg/m3）</w:t>
            </w:r>
          </w:p>
        </w:tc>
      </w:tr>
      <w:tr w14:paraId="350A5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0" w:type="dxa"/>
            <w:left w:w="100" w:type="dxa"/>
            <w:bottom w:w="50" w:type="dxa"/>
            <w:right w:w="100" w:type="dxa"/>
          </w:tblCellMar>
        </w:tblPrEx>
        <w:tc>
          <w:tcPr>
            <w:tcW w:w="153" w:type="pct"/>
            <w:tcBorders>
              <w:top w:val="single" w:color="000000" w:sz="0" w:space="0"/>
              <w:left w:val="single" w:color="000000" w:sz="0" w:space="0"/>
              <w:bottom w:val="single" w:color="000000" w:sz="0" w:space="0"/>
              <w:right w:val="single" w:color="000000" w:sz="0" w:space="0"/>
            </w:tcBorders>
          </w:tcPr>
          <w:p w14:paraId="04EFF0DF">
            <w:pPr>
              <w:numPr>
                <w:ilvl w:val="0"/>
                <w:numId w:val="7"/>
              </w:numPr>
              <w:jc w:val="center"/>
              <w:rPr>
                <w:color w:val="auto"/>
                <w:highlight w:val="none"/>
              </w:rPr>
            </w:pPr>
          </w:p>
        </w:tc>
        <w:tc>
          <w:tcPr>
            <w:tcW w:w="325" w:type="pct"/>
            <w:tcBorders>
              <w:top w:val="single" w:color="000000" w:sz="0" w:space="0"/>
              <w:left w:val="single" w:color="000000" w:sz="0" w:space="0"/>
              <w:bottom w:val="single" w:color="000000" w:sz="0" w:space="0"/>
              <w:right w:val="single" w:color="000000" w:sz="0" w:space="0"/>
            </w:tcBorders>
            <w:shd w:val="clear" w:color="auto" w:fill="auto"/>
            <w:vAlign w:val="top"/>
          </w:tcPr>
          <w:p w14:paraId="6FE70E0E">
            <w:pPr>
              <w:jc w:val="left"/>
              <w:rPr>
                <w:rFonts w:hint="eastAsia" w:ascii="Times New Roman" w:hAnsi="Times New Roman" w:eastAsia="宋体" w:cs="Times New Roman"/>
                <w:color w:val="auto"/>
                <w:kern w:val="2"/>
                <w:sz w:val="21"/>
                <w:szCs w:val="22"/>
                <w:highlight w:val="none"/>
                <w:lang w:val="en-US" w:eastAsia="zh-CN" w:bidi="ar-SA"/>
              </w:rPr>
            </w:pPr>
            <w:r>
              <w:rPr>
                <w:color w:val="auto"/>
                <w:sz w:val="20"/>
                <w:szCs w:val="20"/>
                <w:highlight w:val="none"/>
              </w:rPr>
              <w:t>多功能教室活动桌</w:t>
            </w:r>
            <w:r>
              <w:rPr>
                <w:rFonts w:hint="eastAsia"/>
                <w:color w:val="auto"/>
                <w:sz w:val="20"/>
                <w:szCs w:val="20"/>
                <w:highlight w:val="none"/>
                <w:lang w:val="en-US" w:eastAsia="zh-CN"/>
              </w:rPr>
              <w:t>2</w:t>
            </w:r>
          </w:p>
        </w:tc>
        <w:tc>
          <w:tcPr>
            <w:tcW w:w="257" w:type="pct"/>
            <w:tcBorders>
              <w:top w:val="single" w:color="000000" w:sz="0" w:space="0"/>
              <w:left w:val="single" w:color="000000" w:sz="0" w:space="0"/>
              <w:bottom w:val="single" w:color="000000" w:sz="0" w:space="0"/>
              <w:right w:val="single" w:color="000000" w:sz="0" w:space="0"/>
            </w:tcBorders>
            <w:shd w:val="clear" w:color="auto" w:fill="auto"/>
            <w:vAlign w:val="top"/>
          </w:tcPr>
          <w:p w14:paraId="216980DA">
            <w:pPr>
              <w:jc w:val="center"/>
              <w:rPr>
                <w:rFonts w:ascii="Times New Roman" w:hAnsi="Times New Roman" w:eastAsia="宋体" w:cs="Times New Roman"/>
                <w:color w:val="auto"/>
                <w:kern w:val="2"/>
                <w:sz w:val="21"/>
                <w:szCs w:val="22"/>
                <w:highlight w:val="none"/>
                <w:lang w:val="en-US" w:eastAsia="zh-CN" w:bidi="ar-SA"/>
              </w:rPr>
            </w:pPr>
            <w:r>
              <w:rPr>
                <w:color w:val="auto"/>
                <w:sz w:val="20"/>
                <w:szCs w:val="20"/>
                <w:highlight w:val="none"/>
              </w:rPr>
              <w:t>活动桌</w:t>
            </w:r>
          </w:p>
        </w:tc>
        <w:tc>
          <w:tcPr>
            <w:tcW w:w="524" w:type="pct"/>
            <w:shd w:val="clear" w:color="auto" w:fill="auto"/>
            <w:vAlign w:val="top"/>
          </w:tcPr>
          <w:p w14:paraId="52A82247">
            <w:pPr>
              <w:jc w:val="center"/>
              <w:rPr>
                <w:rFonts w:ascii="Times New Roman" w:hAnsi="Times New Roman" w:eastAsia="宋体" w:cs="Times New Roman"/>
                <w:color w:val="auto"/>
                <w:kern w:val="2"/>
                <w:sz w:val="21"/>
                <w:szCs w:val="22"/>
                <w:highlight w:val="none"/>
                <w:lang w:val="en-US" w:eastAsia="zh-CN" w:bidi="ar-SA"/>
              </w:rPr>
            </w:pPr>
            <w:r>
              <w:rPr>
                <w:color w:val="auto"/>
                <w:highlight w:val="none"/>
              </w:rPr>
              <w:drawing>
                <wp:inline distT="0" distB="0" distL="0" distR="0">
                  <wp:extent cx="1275715" cy="1591945"/>
                  <wp:effectExtent l="0" t="0" r="6985" b="8255"/>
                  <wp:docPr id="68" name="Image" descr="参考图片" titl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 descr="参考图片" title="图片"/>
                          <pic:cNvPicPr>
                            <a:picLocks noChangeAspect="1" noChangeArrowheads="1"/>
                          </pic:cNvPicPr>
                        </pic:nvPicPr>
                        <pic:blipFill>
                          <a:blip r:embed="rId20"/>
                          <a:srcRect/>
                          <a:stretch>
                            <a:fillRect/>
                          </a:stretch>
                        </pic:blipFill>
                        <pic:spPr>
                          <a:xfrm>
                            <a:off x="0" y="0"/>
                            <a:ext cx="1275715" cy="1591945"/>
                          </a:xfrm>
                          <a:prstGeom prst="rect">
                            <a:avLst/>
                          </a:prstGeom>
                        </pic:spPr>
                      </pic:pic>
                    </a:graphicData>
                  </a:graphic>
                </wp:inline>
              </w:drawing>
            </w:r>
          </w:p>
        </w:tc>
        <w:tc>
          <w:tcPr>
            <w:tcW w:w="621" w:type="pct"/>
            <w:tcBorders>
              <w:top w:val="single" w:color="000000" w:sz="0" w:space="0"/>
              <w:left w:val="single" w:color="000000" w:sz="0" w:space="0"/>
              <w:bottom w:val="single" w:color="000000" w:sz="0" w:space="0"/>
              <w:right w:val="single" w:color="000000" w:sz="0" w:space="0"/>
            </w:tcBorders>
            <w:shd w:val="clear" w:color="auto" w:fill="auto"/>
            <w:vAlign w:val="top"/>
          </w:tcPr>
          <w:p w14:paraId="36AAFF00">
            <w:pPr>
              <w:jc w:val="left"/>
              <w:rPr>
                <w:rFonts w:hint="eastAsia" w:ascii="Times New Roman" w:hAnsi="Times New Roman" w:eastAsia="宋体" w:cs="Times New Roman"/>
                <w:color w:val="auto"/>
                <w:kern w:val="2"/>
                <w:sz w:val="20"/>
                <w:szCs w:val="20"/>
                <w:highlight w:val="none"/>
                <w:lang w:val="en-US" w:eastAsia="zh-CN" w:bidi="ar-SA"/>
              </w:rPr>
            </w:pPr>
            <w:r>
              <w:rPr>
                <w:color w:val="auto"/>
                <w:sz w:val="20"/>
                <w:szCs w:val="20"/>
                <w:highlight w:val="none"/>
              </w:rPr>
              <w:t>1200*500*750H*34套</w:t>
            </w:r>
          </w:p>
        </w:tc>
        <w:tc>
          <w:tcPr>
            <w:tcW w:w="204" w:type="pct"/>
            <w:tcBorders>
              <w:top w:val="single" w:color="000000" w:sz="0" w:space="0"/>
              <w:left w:val="single" w:color="000000" w:sz="0" w:space="0"/>
              <w:bottom w:val="single" w:color="000000" w:sz="0" w:space="0"/>
              <w:right w:val="single" w:color="000000" w:sz="0" w:space="0"/>
            </w:tcBorders>
            <w:shd w:val="clear" w:color="auto" w:fill="auto"/>
            <w:vAlign w:val="top"/>
          </w:tcPr>
          <w:p w14:paraId="4574E721">
            <w:pPr>
              <w:jc w:val="center"/>
              <w:rPr>
                <w:rFonts w:ascii="Times New Roman" w:hAnsi="Times New Roman" w:eastAsia="宋体" w:cs="Times New Roman"/>
                <w:color w:val="auto"/>
                <w:kern w:val="2"/>
                <w:sz w:val="21"/>
                <w:szCs w:val="22"/>
                <w:highlight w:val="none"/>
                <w:lang w:val="en-US" w:eastAsia="zh-CN" w:bidi="ar-SA"/>
              </w:rPr>
            </w:pPr>
            <w:r>
              <w:rPr>
                <w:rFonts w:hint="eastAsia"/>
                <w:color w:val="auto"/>
                <w:sz w:val="20"/>
                <w:szCs w:val="20"/>
                <w:highlight w:val="none"/>
                <w:lang w:val="en-US" w:eastAsia="zh-CN"/>
              </w:rPr>
              <w:t>34</w:t>
            </w:r>
            <w:r>
              <w:rPr>
                <w:color w:val="auto"/>
                <w:sz w:val="20"/>
                <w:szCs w:val="20"/>
                <w:highlight w:val="none"/>
              </w:rPr>
              <w:t>套</w:t>
            </w:r>
          </w:p>
        </w:tc>
        <w:tc>
          <w:tcPr>
            <w:tcW w:w="504" w:type="pct"/>
            <w:tcBorders>
              <w:top w:val="single" w:color="000000" w:sz="0" w:space="0"/>
              <w:left w:val="single" w:color="000000" w:sz="0" w:space="0"/>
              <w:bottom w:val="single" w:color="000000" w:sz="0" w:space="0"/>
              <w:right w:val="single" w:color="000000" w:sz="0" w:space="0"/>
            </w:tcBorders>
            <w:shd w:val="clear" w:color="auto" w:fill="auto"/>
            <w:vAlign w:val="top"/>
          </w:tcPr>
          <w:p w14:paraId="6FB7664E">
            <w:pPr>
              <w:jc w:val="left"/>
              <w:rPr>
                <w:rFonts w:ascii="Times New Roman" w:hAnsi="Times New Roman" w:eastAsia="宋体" w:cs="Times New Roman"/>
                <w:color w:val="auto"/>
                <w:kern w:val="2"/>
                <w:sz w:val="21"/>
                <w:szCs w:val="22"/>
                <w:highlight w:val="none"/>
                <w:lang w:val="en-US" w:eastAsia="zh-CN" w:bidi="ar-SA"/>
              </w:rPr>
            </w:pPr>
            <w:r>
              <w:rPr>
                <w:color w:val="auto"/>
                <w:sz w:val="20"/>
                <w:szCs w:val="20"/>
                <w:highlight w:val="none"/>
              </w:rPr>
              <w:t>基材、封边、金属支架</w:t>
            </w:r>
          </w:p>
        </w:tc>
        <w:tc>
          <w:tcPr>
            <w:tcW w:w="314" w:type="pct"/>
            <w:tcBorders>
              <w:top w:val="single" w:color="000000" w:sz="0" w:space="0"/>
              <w:left w:val="single" w:color="000000" w:sz="0" w:space="0"/>
              <w:bottom w:val="single" w:color="000000" w:sz="0" w:space="0"/>
              <w:right w:val="single" w:color="000000" w:sz="0" w:space="0"/>
            </w:tcBorders>
            <w:shd w:val="clear" w:color="auto" w:fill="auto"/>
            <w:vAlign w:val="top"/>
          </w:tcPr>
          <w:p w14:paraId="251785FD">
            <w:pPr>
              <w:jc w:val="left"/>
              <w:rPr>
                <w:rFonts w:ascii="Times New Roman" w:hAnsi="Times New Roman" w:eastAsia="宋体" w:cs="Times New Roman"/>
                <w:color w:val="auto"/>
                <w:kern w:val="2"/>
                <w:sz w:val="21"/>
                <w:szCs w:val="22"/>
                <w:highlight w:val="none"/>
                <w:lang w:val="en-US" w:eastAsia="zh-CN" w:bidi="ar-SA"/>
              </w:rPr>
            </w:pPr>
            <w:r>
              <w:rPr>
                <w:color w:val="auto"/>
                <w:sz w:val="20"/>
                <w:szCs w:val="20"/>
                <w:highlight w:val="none"/>
              </w:rPr>
              <w:t>刨花板、冷轧钢板、铝合金</w:t>
            </w:r>
          </w:p>
        </w:tc>
        <w:tc>
          <w:tcPr>
            <w:tcW w:w="2095" w:type="pct"/>
            <w:tcBorders>
              <w:top w:val="single" w:color="000000" w:sz="0" w:space="0"/>
              <w:left w:val="single" w:color="000000" w:sz="0" w:space="0"/>
              <w:bottom w:val="single" w:color="000000" w:sz="0" w:space="0"/>
              <w:right w:val="single" w:color="000000" w:sz="0" w:space="0"/>
            </w:tcBorders>
            <w:shd w:val="clear" w:color="auto" w:fill="auto"/>
            <w:vAlign w:val="top"/>
          </w:tcPr>
          <w:p w14:paraId="0AC24404">
            <w:pPr>
              <w:jc w:val="left"/>
              <w:rPr>
                <w:color w:val="auto"/>
                <w:sz w:val="20"/>
                <w:szCs w:val="20"/>
                <w:highlight w:val="none"/>
              </w:rPr>
            </w:pPr>
            <w:r>
              <w:rPr>
                <w:rFonts w:hint="eastAsia"/>
                <w:color w:val="auto"/>
                <w:sz w:val="20"/>
                <w:szCs w:val="20"/>
                <w:highlight w:val="none"/>
              </w:rPr>
              <w:t>（1）桌面：采用ENF级三聚氰胺饰面刨花板，台面厚度</w:t>
            </w:r>
            <w:r>
              <w:rPr>
                <w:rFonts w:hint="eastAsia" w:ascii="宋体" w:hAnsi="宋体" w:cs="宋体"/>
                <w:snapToGrid w:val="0"/>
                <w:color w:val="auto"/>
                <w:kern w:val="0"/>
                <w:sz w:val="20"/>
                <w:szCs w:val="20"/>
                <w:highlight w:val="none"/>
                <w:lang w:bidi="ar"/>
              </w:rPr>
              <w:t>≥</w:t>
            </w:r>
            <w:r>
              <w:rPr>
                <w:rFonts w:hint="eastAsia"/>
                <w:color w:val="auto"/>
                <w:sz w:val="20"/>
                <w:szCs w:val="20"/>
                <w:highlight w:val="none"/>
              </w:rPr>
              <w:t>25mm，其他板材厚度</w:t>
            </w:r>
            <w:r>
              <w:rPr>
                <w:rFonts w:hint="eastAsia" w:ascii="宋体" w:hAnsi="宋体" w:cs="宋体"/>
                <w:snapToGrid w:val="0"/>
                <w:color w:val="auto"/>
                <w:kern w:val="0"/>
                <w:sz w:val="20"/>
                <w:szCs w:val="20"/>
                <w:highlight w:val="none"/>
                <w:lang w:bidi="ar"/>
              </w:rPr>
              <w:t>≥</w:t>
            </w:r>
            <w:r>
              <w:rPr>
                <w:rFonts w:hint="eastAsia"/>
                <w:color w:val="auto"/>
                <w:sz w:val="20"/>
                <w:szCs w:val="20"/>
                <w:highlight w:val="none"/>
              </w:rPr>
              <w:t>18mm，四周采用同色PVC直封边。</w:t>
            </w:r>
          </w:p>
          <w:p w14:paraId="0AE48AB1">
            <w:pPr>
              <w:jc w:val="left"/>
              <w:rPr>
                <w:rFonts w:hint="eastAsia" w:ascii="Times New Roman" w:hAnsi="Times New Roman" w:eastAsia="宋体" w:cs="Times New Roman"/>
                <w:color w:val="auto"/>
                <w:kern w:val="2"/>
                <w:sz w:val="21"/>
                <w:szCs w:val="22"/>
                <w:highlight w:val="none"/>
                <w:lang w:val="en-US" w:eastAsia="zh-CN" w:bidi="ar-SA"/>
              </w:rPr>
            </w:pPr>
            <w:r>
              <w:rPr>
                <w:rFonts w:hint="eastAsia"/>
                <w:color w:val="auto"/>
                <w:sz w:val="20"/>
                <w:szCs w:val="20"/>
                <w:highlight w:val="none"/>
              </w:rPr>
              <w:t>（2）钢架：立柱采用优质高精度冷轧钢及方管压铸而成一字形，方管是</w:t>
            </w:r>
            <w:r>
              <w:rPr>
                <w:rFonts w:hint="eastAsia" w:ascii="宋体" w:hAnsi="宋体" w:cs="宋体"/>
                <w:snapToGrid w:val="0"/>
                <w:color w:val="auto"/>
                <w:kern w:val="0"/>
                <w:sz w:val="20"/>
                <w:szCs w:val="20"/>
                <w:highlight w:val="none"/>
                <w:lang w:bidi="ar"/>
              </w:rPr>
              <w:t>≥</w:t>
            </w:r>
            <w:r>
              <w:rPr>
                <w:rFonts w:hint="eastAsia"/>
                <w:color w:val="auto"/>
                <w:sz w:val="20"/>
                <w:szCs w:val="20"/>
                <w:highlight w:val="none"/>
              </w:rPr>
              <w:t>50*25*510</w:t>
            </w:r>
            <w:r>
              <w:rPr>
                <w:rFonts w:hint="eastAsia"/>
                <w:color w:val="auto"/>
                <w:sz w:val="20"/>
                <w:szCs w:val="20"/>
                <w:highlight w:val="none"/>
                <w:lang w:val="en-US" w:eastAsia="zh-CN"/>
              </w:rPr>
              <w:t>mm</w:t>
            </w:r>
            <w:r>
              <w:rPr>
                <w:rFonts w:hint="eastAsia"/>
                <w:color w:val="auto"/>
                <w:sz w:val="20"/>
                <w:szCs w:val="20"/>
                <w:highlight w:val="none"/>
              </w:rPr>
              <w:t>方管，壁厚为</w:t>
            </w:r>
            <w:r>
              <w:rPr>
                <w:rFonts w:hint="eastAsia" w:ascii="宋体" w:hAnsi="宋体" w:cs="宋体"/>
                <w:snapToGrid w:val="0"/>
                <w:color w:val="auto"/>
                <w:kern w:val="0"/>
                <w:sz w:val="20"/>
                <w:szCs w:val="20"/>
                <w:highlight w:val="none"/>
                <w:lang w:bidi="ar"/>
              </w:rPr>
              <w:t>≥</w:t>
            </w:r>
            <w:r>
              <w:rPr>
                <w:rFonts w:hint="eastAsia"/>
                <w:color w:val="auto"/>
                <w:sz w:val="20"/>
                <w:szCs w:val="20"/>
                <w:highlight w:val="none"/>
              </w:rPr>
              <w:t>1.2</w:t>
            </w:r>
            <w:r>
              <w:rPr>
                <w:rFonts w:hint="eastAsia"/>
                <w:color w:val="auto"/>
                <w:sz w:val="20"/>
                <w:szCs w:val="20"/>
                <w:highlight w:val="none"/>
                <w:lang w:val="en-US" w:eastAsia="zh-CN"/>
              </w:rPr>
              <w:t>mm</w:t>
            </w:r>
            <w:r>
              <w:rPr>
                <w:rFonts w:hint="eastAsia"/>
                <w:color w:val="auto"/>
                <w:sz w:val="20"/>
                <w:szCs w:val="20"/>
                <w:highlight w:val="none"/>
              </w:rPr>
              <w:t>，表面采用防绣静电喷涂处理，冷轧钢板</w:t>
            </w:r>
            <w:r>
              <w:rPr>
                <w:rFonts w:hint="eastAsia" w:ascii="宋体" w:hAnsi="宋体" w:cs="宋体"/>
                <w:snapToGrid w:val="0"/>
                <w:color w:val="auto"/>
                <w:kern w:val="0"/>
                <w:sz w:val="20"/>
                <w:szCs w:val="20"/>
                <w:highlight w:val="none"/>
                <w:lang w:bidi="ar"/>
              </w:rPr>
              <w:t>≥</w:t>
            </w:r>
            <w:r>
              <w:rPr>
                <w:rFonts w:hint="eastAsia"/>
                <w:color w:val="auto"/>
                <w:sz w:val="20"/>
                <w:szCs w:val="20"/>
                <w:highlight w:val="none"/>
              </w:rPr>
              <w:t>540*70*3.0</w:t>
            </w:r>
            <w:r>
              <w:rPr>
                <w:rFonts w:hint="eastAsia"/>
                <w:color w:val="auto"/>
                <w:sz w:val="20"/>
                <w:szCs w:val="20"/>
                <w:highlight w:val="none"/>
                <w:lang w:val="en-US" w:eastAsia="zh-CN"/>
              </w:rPr>
              <w:t>mm</w:t>
            </w:r>
            <w:r>
              <w:rPr>
                <w:rFonts w:hint="eastAsia"/>
                <w:color w:val="auto"/>
                <w:sz w:val="20"/>
                <w:szCs w:val="20"/>
                <w:highlight w:val="none"/>
              </w:rPr>
              <w:t>，重合焊接而成，底脚尺寸</w:t>
            </w:r>
            <w:r>
              <w:rPr>
                <w:rFonts w:hint="eastAsia" w:ascii="宋体" w:hAnsi="宋体" w:cs="宋体"/>
                <w:snapToGrid w:val="0"/>
                <w:color w:val="auto"/>
                <w:kern w:val="0"/>
                <w:sz w:val="20"/>
                <w:szCs w:val="20"/>
                <w:highlight w:val="none"/>
                <w:lang w:bidi="ar"/>
              </w:rPr>
              <w:t>≥</w:t>
            </w:r>
            <w:r>
              <w:rPr>
                <w:rFonts w:hint="eastAsia"/>
                <w:color w:val="auto"/>
                <w:sz w:val="20"/>
                <w:szCs w:val="20"/>
                <w:highlight w:val="none"/>
              </w:rPr>
              <w:t>540*70*28</w:t>
            </w:r>
            <w:r>
              <w:rPr>
                <w:rFonts w:hint="eastAsia"/>
                <w:color w:val="auto"/>
                <w:sz w:val="20"/>
                <w:szCs w:val="20"/>
                <w:highlight w:val="none"/>
                <w:lang w:val="en-US" w:eastAsia="zh-CN"/>
              </w:rPr>
              <w:t>mm</w:t>
            </w:r>
            <w:r>
              <w:rPr>
                <w:rFonts w:hint="eastAsia"/>
                <w:color w:val="auto"/>
                <w:sz w:val="20"/>
                <w:szCs w:val="20"/>
                <w:highlight w:val="none"/>
              </w:rPr>
              <w:t>，表面光滑显高端，牢固耐用，美观大方，</w:t>
            </w:r>
            <w:r>
              <w:rPr>
                <w:rFonts w:hint="eastAsia"/>
                <w:color w:val="auto"/>
                <w:sz w:val="20"/>
                <w:szCs w:val="20"/>
                <w:highlight w:val="none"/>
                <w:lang w:val="en-US" w:eastAsia="zh-CN"/>
              </w:rPr>
              <w:t>可</w:t>
            </w:r>
            <w:r>
              <w:rPr>
                <w:rFonts w:hint="eastAsia"/>
                <w:color w:val="auto"/>
                <w:sz w:val="20"/>
                <w:szCs w:val="20"/>
                <w:highlight w:val="none"/>
              </w:rPr>
              <w:t>抗变型 。横梁采用优质高精度冷轧钢，方管管：</w:t>
            </w:r>
            <w:r>
              <w:rPr>
                <w:rFonts w:hint="eastAsia" w:ascii="宋体" w:hAnsi="宋体" w:cs="宋体"/>
                <w:snapToGrid w:val="0"/>
                <w:color w:val="auto"/>
                <w:kern w:val="0"/>
                <w:sz w:val="20"/>
                <w:szCs w:val="20"/>
                <w:highlight w:val="none"/>
                <w:lang w:bidi="ar"/>
              </w:rPr>
              <w:t>≥</w:t>
            </w:r>
            <w:r>
              <w:rPr>
                <w:rFonts w:hint="eastAsia"/>
                <w:color w:val="auto"/>
                <w:sz w:val="20"/>
                <w:szCs w:val="20"/>
                <w:highlight w:val="none"/>
              </w:rPr>
              <w:t>40*40*1060*T1.2mm， 表面再经防锈静电喷涂处理，实用牢固，承受力大。拉杆机构采用</w:t>
            </w:r>
            <w:r>
              <w:rPr>
                <w:rFonts w:hint="eastAsia" w:ascii="宋体" w:hAnsi="宋体" w:cs="宋体"/>
                <w:snapToGrid w:val="0"/>
                <w:color w:val="auto"/>
                <w:kern w:val="0"/>
                <w:sz w:val="20"/>
                <w:szCs w:val="20"/>
                <w:highlight w:val="none"/>
                <w:lang w:bidi="ar"/>
              </w:rPr>
              <w:t>≥</w:t>
            </w:r>
            <w:r>
              <w:rPr>
                <w:rFonts w:hint="eastAsia"/>
                <w:color w:val="auto"/>
                <w:sz w:val="20"/>
                <w:szCs w:val="20"/>
                <w:highlight w:val="none"/>
              </w:rPr>
              <w:t>1.2</w:t>
            </w:r>
            <w:r>
              <w:rPr>
                <w:rFonts w:hint="eastAsia"/>
                <w:color w:val="auto"/>
                <w:sz w:val="20"/>
                <w:szCs w:val="20"/>
                <w:highlight w:val="none"/>
                <w:lang w:val="en-US" w:eastAsia="zh-CN"/>
              </w:rPr>
              <w:t>mm</w:t>
            </w:r>
            <w:r>
              <w:rPr>
                <w:rFonts w:hint="eastAsia"/>
                <w:color w:val="auto"/>
                <w:sz w:val="20"/>
                <w:szCs w:val="20"/>
                <w:highlight w:val="none"/>
              </w:rPr>
              <w:t>厚度拉杆折叠机构，两端配置压铸。拉杆机构采用</w:t>
            </w:r>
            <w:r>
              <w:rPr>
                <w:rFonts w:hint="eastAsia" w:ascii="宋体" w:hAnsi="宋体" w:cs="宋体"/>
                <w:snapToGrid w:val="0"/>
                <w:color w:val="auto"/>
                <w:kern w:val="0"/>
                <w:sz w:val="20"/>
                <w:szCs w:val="20"/>
                <w:highlight w:val="none"/>
                <w:lang w:bidi="ar"/>
              </w:rPr>
              <w:t>≥</w:t>
            </w:r>
            <w:r>
              <w:rPr>
                <w:rFonts w:hint="eastAsia"/>
                <w:color w:val="auto"/>
                <w:sz w:val="20"/>
                <w:szCs w:val="20"/>
                <w:highlight w:val="none"/>
              </w:rPr>
              <w:t>1.2</w:t>
            </w:r>
            <w:r>
              <w:rPr>
                <w:rFonts w:hint="eastAsia"/>
                <w:color w:val="auto"/>
                <w:sz w:val="20"/>
                <w:szCs w:val="20"/>
                <w:highlight w:val="none"/>
                <w:lang w:val="en-US" w:eastAsia="zh-CN"/>
              </w:rPr>
              <w:t>mm</w:t>
            </w:r>
            <w:r>
              <w:rPr>
                <w:rFonts w:hint="eastAsia"/>
                <w:color w:val="auto"/>
                <w:sz w:val="20"/>
                <w:szCs w:val="20"/>
                <w:highlight w:val="none"/>
              </w:rPr>
              <w:t>厚度拉杆折叠机构，两端配置压铸盒子及铝合金挂钩连动折叠，单手可折叠，折叠次数不少于5000次，稳定性强,不易变形。                                                                                                                                                    （</w:t>
            </w:r>
            <w:r>
              <w:rPr>
                <w:rFonts w:hint="eastAsia"/>
                <w:color w:val="auto"/>
                <w:sz w:val="20"/>
                <w:szCs w:val="20"/>
                <w:highlight w:val="none"/>
                <w:lang w:val="en-US" w:eastAsia="zh-CN"/>
              </w:rPr>
              <w:t>3</w:t>
            </w:r>
            <w:r>
              <w:rPr>
                <w:rFonts w:hint="eastAsia"/>
                <w:color w:val="auto"/>
                <w:sz w:val="20"/>
                <w:szCs w:val="20"/>
                <w:highlight w:val="none"/>
              </w:rPr>
              <w:t>）</w:t>
            </w:r>
            <w:r>
              <w:rPr>
                <w:rFonts w:hint="eastAsia" w:ascii="宋体" w:hAnsi="宋体" w:cs="宋体"/>
                <w:color w:val="auto"/>
                <w:sz w:val="18"/>
                <w:szCs w:val="18"/>
                <w:highlight w:val="none"/>
                <w:lang w:bidi="ar"/>
              </w:rPr>
              <w:t>环保：家具成品均</w:t>
            </w:r>
            <w:r>
              <w:rPr>
                <w:rFonts w:hint="eastAsia" w:ascii="宋体" w:hAnsi="宋体" w:cs="宋体"/>
                <w:color w:val="auto"/>
                <w:sz w:val="18"/>
                <w:szCs w:val="18"/>
                <w:highlight w:val="none"/>
                <w:lang w:eastAsia="zh-CN" w:bidi="ar"/>
              </w:rPr>
              <w:t>需</w:t>
            </w:r>
            <w:r>
              <w:rPr>
                <w:rFonts w:hint="eastAsia" w:ascii="宋体" w:hAnsi="宋体" w:cs="宋体"/>
                <w:color w:val="auto"/>
                <w:sz w:val="18"/>
                <w:szCs w:val="18"/>
                <w:highlight w:val="none"/>
                <w:lang w:bidi="ar"/>
              </w:rPr>
              <w:t>满足GB/T 35607-2024《绿色产品评价 家具》的要求（其中成品甲醛释放量≤0.05mg/m3，苯≤0.05mg/m3，甲苯、二甲苯≤0.1mg/m3，TVOC≤0.3mg/m3）</w:t>
            </w:r>
          </w:p>
        </w:tc>
      </w:tr>
      <w:tr w14:paraId="15C82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0" w:type="dxa"/>
            <w:left w:w="100" w:type="dxa"/>
            <w:bottom w:w="50" w:type="dxa"/>
            <w:right w:w="100" w:type="dxa"/>
          </w:tblCellMar>
        </w:tblPrEx>
        <w:tc>
          <w:tcPr>
            <w:tcW w:w="153" w:type="pct"/>
            <w:tcBorders>
              <w:top w:val="single" w:color="000000" w:sz="0" w:space="0"/>
              <w:left w:val="single" w:color="000000" w:sz="0" w:space="0"/>
              <w:bottom w:val="single" w:color="000000" w:sz="0" w:space="0"/>
              <w:right w:val="single" w:color="000000" w:sz="0" w:space="0"/>
            </w:tcBorders>
          </w:tcPr>
          <w:p w14:paraId="60C3E99A">
            <w:pPr>
              <w:numPr>
                <w:ilvl w:val="0"/>
                <w:numId w:val="7"/>
              </w:numPr>
              <w:jc w:val="center"/>
              <w:rPr>
                <w:color w:val="auto"/>
                <w:highlight w:val="none"/>
              </w:rPr>
            </w:pPr>
          </w:p>
        </w:tc>
        <w:tc>
          <w:tcPr>
            <w:tcW w:w="325" w:type="pct"/>
            <w:tcBorders>
              <w:top w:val="single" w:color="000000" w:sz="0" w:space="0"/>
              <w:left w:val="single" w:color="000000" w:sz="0" w:space="0"/>
              <w:bottom w:val="single" w:color="000000" w:sz="0" w:space="0"/>
              <w:right w:val="single" w:color="000000" w:sz="0" w:space="0"/>
            </w:tcBorders>
            <w:shd w:val="clear" w:color="auto" w:fill="auto"/>
            <w:vAlign w:val="top"/>
          </w:tcPr>
          <w:p w14:paraId="1A210C2E">
            <w:pPr>
              <w:jc w:val="left"/>
              <w:rPr>
                <w:rFonts w:hint="eastAsia" w:ascii="Times New Roman" w:hAnsi="Times New Roman" w:eastAsia="宋体" w:cs="Times New Roman"/>
                <w:color w:val="auto"/>
                <w:kern w:val="2"/>
                <w:sz w:val="21"/>
                <w:szCs w:val="22"/>
                <w:highlight w:val="none"/>
                <w:lang w:val="en-US" w:eastAsia="zh-CN" w:bidi="ar-SA"/>
              </w:rPr>
            </w:pPr>
            <w:r>
              <w:rPr>
                <w:color w:val="auto"/>
                <w:sz w:val="20"/>
                <w:szCs w:val="20"/>
                <w:highlight w:val="none"/>
              </w:rPr>
              <w:t>多功能教室活动桌</w:t>
            </w:r>
            <w:r>
              <w:rPr>
                <w:rFonts w:hint="eastAsia"/>
                <w:color w:val="auto"/>
                <w:sz w:val="20"/>
                <w:szCs w:val="20"/>
                <w:highlight w:val="none"/>
                <w:lang w:val="en-US" w:eastAsia="zh-CN"/>
              </w:rPr>
              <w:t>3</w:t>
            </w:r>
          </w:p>
        </w:tc>
        <w:tc>
          <w:tcPr>
            <w:tcW w:w="257" w:type="pct"/>
            <w:tcBorders>
              <w:top w:val="single" w:color="000000" w:sz="0" w:space="0"/>
              <w:left w:val="single" w:color="000000" w:sz="0" w:space="0"/>
              <w:bottom w:val="single" w:color="000000" w:sz="0" w:space="0"/>
              <w:right w:val="single" w:color="000000" w:sz="0" w:space="0"/>
            </w:tcBorders>
            <w:shd w:val="clear" w:color="auto" w:fill="auto"/>
            <w:vAlign w:val="top"/>
          </w:tcPr>
          <w:p w14:paraId="64CEF931">
            <w:pPr>
              <w:jc w:val="center"/>
              <w:rPr>
                <w:rFonts w:ascii="Times New Roman" w:hAnsi="Times New Roman" w:eastAsia="宋体" w:cs="Times New Roman"/>
                <w:color w:val="auto"/>
                <w:kern w:val="2"/>
                <w:sz w:val="21"/>
                <w:szCs w:val="22"/>
                <w:highlight w:val="none"/>
                <w:lang w:val="en-US" w:eastAsia="zh-CN" w:bidi="ar-SA"/>
              </w:rPr>
            </w:pPr>
            <w:r>
              <w:rPr>
                <w:color w:val="auto"/>
                <w:sz w:val="20"/>
                <w:szCs w:val="20"/>
                <w:highlight w:val="none"/>
              </w:rPr>
              <w:t>活动桌</w:t>
            </w:r>
          </w:p>
        </w:tc>
        <w:tc>
          <w:tcPr>
            <w:tcW w:w="524" w:type="pct"/>
            <w:shd w:val="clear" w:color="auto" w:fill="auto"/>
            <w:vAlign w:val="top"/>
          </w:tcPr>
          <w:p w14:paraId="7574B2A2">
            <w:pPr>
              <w:jc w:val="center"/>
              <w:rPr>
                <w:rFonts w:ascii="Times New Roman" w:hAnsi="Times New Roman" w:eastAsia="宋体" w:cs="Times New Roman"/>
                <w:color w:val="auto"/>
                <w:kern w:val="2"/>
                <w:sz w:val="21"/>
                <w:szCs w:val="22"/>
                <w:highlight w:val="none"/>
                <w:lang w:val="en-US" w:eastAsia="zh-CN" w:bidi="ar-SA"/>
              </w:rPr>
            </w:pPr>
            <w:r>
              <w:rPr>
                <w:color w:val="auto"/>
                <w:highlight w:val="none"/>
              </w:rPr>
              <w:drawing>
                <wp:inline distT="0" distB="0" distL="0" distR="0">
                  <wp:extent cx="1275715" cy="1591945"/>
                  <wp:effectExtent l="0" t="0" r="6985" b="8255"/>
                  <wp:docPr id="70" name="Image" descr="参考图片" titl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 descr="参考图片" title="图片"/>
                          <pic:cNvPicPr>
                            <a:picLocks noChangeAspect="1" noChangeArrowheads="1"/>
                          </pic:cNvPicPr>
                        </pic:nvPicPr>
                        <pic:blipFill>
                          <a:blip r:embed="rId20"/>
                          <a:srcRect/>
                          <a:stretch>
                            <a:fillRect/>
                          </a:stretch>
                        </pic:blipFill>
                        <pic:spPr>
                          <a:xfrm>
                            <a:off x="0" y="0"/>
                            <a:ext cx="1275715" cy="1591945"/>
                          </a:xfrm>
                          <a:prstGeom prst="rect">
                            <a:avLst/>
                          </a:prstGeom>
                        </pic:spPr>
                      </pic:pic>
                    </a:graphicData>
                  </a:graphic>
                </wp:inline>
              </w:drawing>
            </w:r>
          </w:p>
        </w:tc>
        <w:tc>
          <w:tcPr>
            <w:tcW w:w="621" w:type="pct"/>
            <w:tcBorders>
              <w:top w:val="single" w:color="000000" w:sz="0" w:space="0"/>
              <w:left w:val="single" w:color="000000" w:sz="0" w:space="0"/>
              <w:bottom w:val="single" w:color="000000" w:sz="0" w:space="0"/>
              <w:right w:val="single" w:color="000000" w:sz="0" w:space="0"/>
            </w:tcBorders>
            <w:shd w:val="clear" w:color="auto" w:fill="auto"/>
            <w:vAlign w:val="top"/>
          </w:tcPr>
          <w:p w14:paraId="36A8318A">
            <w:pPr>
              <w:jc w:val="left"/>
              <w:rPr>
                <w:color w:val="auto"/>
                <w:sz w:val="20"/>
                <w:szCs w:val="20"/>
                <w:highlight w:val="none"/>
              </w:rPr>
            </w:pPr>
            <w:r>
              <w:rPr>
                <w:color w:val="auto"/>
                <w:sz w:val="20"/>
                <w:szCs w:val="20"/>
                <w:highlight w:val="none"/>
              </w:rPr>
              <w:t>600*500*750H*22套</w:t>
            </w:r>
          </w:p>
          <w:p w14:paraId="3CF10211">
            <w:pPr>
              <w:jc w:val="left"/>
              <w:rPr>
                <w:rFonts w:hint="eastAsia" w:ascii="Times New Roman" w:hAnsi="Times New Roman" w:eastAsia="宋体" w:cs="Times New Roman"/>
                <w:color w:val="auto"/>
                <w:kern w:val="2"/>
                <w:sz w:val="20"/>
                <w:szCs w:val="20"/>
                <w:highlight w:val="none"/>
                <w:lang w:val="en-US" w:eastAsia="zh-CN" w:bidi="ar-SA"/>
              </w:rPr>
            </w:pPr>
          </w:p>
        </w:tc>
        <w:tc>
          <w:tcPr>
            <w:tcW w:w="204" w:type="pct"/>
            <w:tcBorders>
              <w:top w:val="single" w:color="000000" w:sz="0" w:space="0"/>
              <w:left w:val="single" w:color="000000" w:sz="0" w:space="0"/>
              <w:bottom w:val="single" w:color="000000" w:sz="0" w:space="0"/>
              <w:right w:val="single" w:color="000000" w:sz="0" w:space="0"/>
            </w:tcBorders>
            <w:shd w:val="clear" w:color="auto" w:fill="auto"/>
            <w:vAlign w:val="top"/>
          </w:tcPr>
          <w:p w14:paraId="5057F31D">
            <w:pPr>
              <w:jc w:val="center"/>
              <w:rPr>
                <w:rFonts w:hint="eastAsia" w:ascii="Times New Roman" w:hAnsi="Times New Roman" w:eastAsia="宋体" w:cs="Times New Roman"/>
                <w:color w:val="auto"/>
                <w:kern w:val="2"/>
                <w:sz w:val="21"/>
                <w:szCs w:val="22"/>
                <w:highlight w:val="none"/>
                <w:lang w:val="en-US" w:eastAsia="zh-CN" w:bidi="ar-SA"/>
              </w:rPr>
            </w:pPr>
            <w:r>
              <w:rPr>
                <w:rFonts w:hint="eastAsia"/>
                <w:color w:val="auto"/>
                <w:sz w:val="20"/>
                <w:szCs w:val="20"/>
                <w:highlight w:val="none"/>
                <w:lang w:val="en-US" w:eastAsia="zh-CN"/>
              </w:rPr>
              <w:t>22</w:t>
            </w:r>
            <w:r>
              <w:rPr>
                <w:color w:val="auto"/>
                <w:sz w:val="20"/>
                <w:szCs w:val="20"/>
                <w:highlight w:val="none"/>
              </w:rPr>
              <w:t>套</w:t>
            </w:r>
          </w:p>
        </w:tc>
        <w:tc>
          <w:tcPr>
            <w:tcW w:w="504" w:type="pct"/>
            <w:tcBorders>
              <w:top w:val="single" w:color="000000" w:sz="0" w:space="0"/>
              <w:left w:val="single" w:color="000000" w:sz="0" w:space="0"/>
              <w:bottom w:val="single" w:color="000000" w:sz="0" w:space="0"/>
              <w:right w:val="single" w:color="000000" w:sz="0" w:space="0"/>
            </w:tcBorders>
            <w:shd w:val="clear" w:color="auto" w:fill="auto"/>
            <w:vAlign w:val="top"/>
          </w:tcPr>
          <w:p w14:paraId="122CDE1B">
            <w:pPr>
              <w:jc w:val="left"/>
              <w:rPr>
                <w:rFonts w:ascii="Times New Roman" w:hAnsi="Times New Roman" w:eastAsia="宋体" w:cs="Times New Roman"/>
                <w:color w:val="auto"/>
                <w:kern w:val="2"/>
                <w:sz w:val="21"/>
                <w:szCs w:val="22"/>
                <w:highlight w:val="none"/>
                <w:lang w:val="en-US" w:eastAsia="zh-CN" w:bidi="ar-SA"/>
              </w:rPr>
            </w:pPr>
            <w:r>
              <w:rPr>
                <w:color w:val="auto"/>
                <w:sz w:val="20"/>
                <w:szCs w:val="20"/>
                <w:highlight w:val="none"/>
              </w:rPr>
              <w:t>基材、封边、金属支架</w:t>
            </w:r>
          </w:p>
        </w:tc>
        <w:tc>
          <w:tcPr>
            <w:tcW w:w="314" w:type="pct"/>
            <w:tcBorders>
              <w:top w:val="single" w:color="000000" w:sz="0" w:space="0"/>
              <w:left w:val="single" w:color="000000" w:sz="0" w:space="0"/>
              <w:bottom w:val="single" w:color="000000" w:sz="0" w:space="0"/>
              <w:right w:val="single" w:color="000000" w:sz="0" w:space="0"/>
            </w:tcBorders>
            <w:shd w:val="clear" w:color="auto" w:fill="auto"/>
            <w:vAlign w:val="top"/>
          </w:tcPr>
          <w:p w14:paraId="6A42D244">
            <w:pPr>
              <w:jc w:val="left"/>
              <w:rPr>
                <w:rFonts w:ascii="Times New Roman" w:hAnsi="Times New Roman" w:eastAsia="宋体" w:cs="Times New Roman"/>
                <w:color w:val="auto"/>
                <w:kern w:val="2"/>
                <w:sz w:val="21"/>
                <w:szCs w:val="22"/>
                <w:highlight w:val="none"/>
                <w:lang w:val="en-US" w:eastAsia="zh-CN" w:bidi="ar-SA"/>
              </w:rPr>
            </w:pPr>
            <w:r>
              <w:rPr>
                <w:color w:val="auto"/>
                <w:sz w:val="20"/>
                <w:szCs w:val="20"/>
                <w:highlight w:val="none"/>
              </w:rPr>
              <w:t>刨花板、冷轧钢板、铝合金</w:t>
            </w:r>
          </w:p>
        </w:tc>
        <w:tc>
          <w:tcPr>
            <w:tcW w:w="2095" w:type="pct"/>
            <w:tcBorders>
              <w:top w:val="single" w:color="000000" w:sz="0" w:space="0"/>
              <w:left w:val="single" w:color="000000" w:sz="0" w:space="0"/>
              <w:bottom w:val="single" w:color="000000" w:sz="0" w:space="0"/>
              <w:right w:val="single" w:color="000000" w:sz="0" w:space="0"/>
            </w:tcBorders>
            <w:shd w:val="clear" w:color="auto" w:fill="auto"/>
            <w:vAlign w:val="top"/>
          </w:tcPr>
          <w:p w14:paraId="3DC87359">
            <w:pPr>
              <w:jc w:val="left"/>
              <w:rPr>
                <w:color w:val="auto"/>
                <w:sz w:val="20"/>
                <w:szCs w:val="20"/>
                <w:highlight w:val="none"/>
              </w:rPr>
            </w:pPr>
            <w:r>
              <w:rPr>
                <w:rFonts w:hint="eastAsia"/>
                <w:color w:val="auto"/>
                <w:sz w:val="20"/>
                <w:szCs w:val="20"/>
                <w:highlight w:val="none"/>
              </w:rPr>
              <w:t>（1）桌面：采用ENF级三聚氰胺饰面刨花板，台面厚度</w:t>
            </w:r>
            <w:r>
              <w:rPr>
                <w:rFonts w:hint="eastAsia" w:ascii="宋体" w:hAnsi="宋体" w:cs="宋体"/>
                <w:snapToGrid w:val="0"/>
                <w:color w:val="auto"/>
                <w:kern w:val="0"/>
                <w:sz w:val="20"/>
                <w:szCs w:val="20"/>
                <w:highlight w:val="none"/>
                <w:lang w:bidi="ar"/>
              </w:rPr>
              <w:t>≥</w:t>
            </w:r>
            <w:r>
              <w:rPr>
                <w:rFonts w:hint="eastAsia"/>
                <w:color w:val="auto"/>
                <w:sz w:val="20"/>
                <w:szCs w:val="20"/>
                <w:highlight w:val="none"/>
              </w:rPr>
              <w:t>25mm，其他板材厚度</w:t>
            </w:r>
            <w:r>
              <w:rPr>
                <w:rFonts w:hint="eastAsia" w:ascii="宋体" w:hAnsi="宋体" w:cs="宋体"/>
                <w:snapToGrid w:val="0"/>
                <w:color w:val="auto"/>
                <w:kern w:val="0"/>
                <w:sz w:val="20"/>
                <w:szCs w:val="20"/>
                <w:highlight w:val="none"/>
                <w:lang w:bidi="ar"/>
              </w:rPr>
              <w:t>≥</w:t>
            </w:r>
            <w:r>
              <w:rPr>
                <w:rFonts w:hint="eastAsia"/>
                <w:color w:val="auto"/>
                <w:sz w:val="20"/>
                <w:szCs w:val="20"/>
                <w:highlight w:val="none"/>
              </w:rPr>
              <w:t>18mm，四周采用同色PVC直封边。</w:t>
            </w:r>
          </w:p>
          <w:p w14:paraId="4DCB6C31">
            <w:pPr>
              <w:jc w:val="left"/>
              <w:rPr>
                <w:rFonts w:hint="eastAsia" w:ascii="Times New Roman" w:hAnsi="Times New Roman" w:eastAsia="宋体" w:cs="Times New Roman"/>
                <w:color w:val="auto"/>
                <w:kern w:val="2"/>
                <w:sz w:val="21"/>
                <w:szCs w:val="22"/>
                <w:highlight w:val="none"/>
                <w:lang w:val="en-US" w:eastAsia="zh-CN" w:bidi="ar-SA"/>
              </w:rPr>
            </w:pPr>
            <w:r>
              <w:rPr>
                <w:rFonts w:hint="eastAsia"/>
                <w:color w:val="auto"/>
                <w:sz w:val="20"/>
                <w:szCs w:val="20"/>
                <w:highlight w:val="none"/>
              </w:rPr>
              <w:t>（2）钢架：立柱采用优质高精度冷轧钢及方管压铸而成一字形，方管是</w:t>
            </w:r>
            <w:r>
              <w:rPr>
                <w:rFonts w:hint="eastAsia" w:ascii="宋体" w:hAnsi="宋体" w:cs="宋体"/>
                <w:snapToGrid w:val="0"/>
                <w:color w:val="auto"/>
                <w:kern w:val="0"/>
                <w:sz w:val="20"/>
                <w:szCs w:val="20"/>
                <w:highlight w:val="none"/>
                <w:lang w:bidi="ar"/>
              </w:rPr>
              <w:t>≥</w:t>
            </w:r>
            <w:r>
              <w:rPr>
                <w:rFonts w:hint="eastAsia"/>
                <w:color w:val="auto"/>
                <w:sz w:val="20"/>
                <w:szCs w:val="20"/>
                <w:highlight w:val="none"/>
              </w:rPr>
              <w:t>50*25*510</w:t>
            </w:r>
            <w:r>
              <w:rPr>
                <w:rFonts w:hint="eastAsia"/>
                <w:color w:val="auto"/>
                <w:sz w:val="20"/>
                <w:szCs w:val="20"/>
                <w:highlight w:val="none"/>
                <w:lang w:val="en-US" w:eastAsia="zh-CN"/>
              </w:rPr>
              <w:t>mm</w:t>
            </w:r>
            <w:r>
              <w:rPr>
                <w:rFonts w:hint="eastAsia"/>
                <w:color w:val="auto"/>
                <w:sz w:val="20"/>
                <w:szCs w:val="20"/>
                <w:highlight w:val="none"/>
              </w:rPr>
              <w:t>方管，壁厚为</w:t>
            </w:r>
            <w:r>
              <w:rPr>
                <w:rFonts w:hint="eastAsia" w:ascii="宋体" w:hAnsi="宋体" w:cs="宋体"/>
                <w:snapToGrid w:val="0"/>
                <w:color w:val="auto"/>
                <w:kern w:val="0"/>
                <w:sz w:val="20"/>
                <w:szCs w:val="20"/>
                <w:highlight w:val="none"/>
                <w:lang w:bidi="ar"/>
              </w:rPr>
              <w:t>≥</w:t>
            </w:r>
            <w:r>
              <w:rPr>
                <w:rFonts w:hint="eastAsia"/>
                <w:color w:val="auto"/>
                <w:sz w:val="20"/>
                <w:szCs w:val="20"/>
                <w:highlight w:val="none"/>
              </w:rPr>
              <w:t>1.2</w:t>
            </w:r>
            <w:r>
              <w:rPr>
                <w:rFonts w:hint="eastAsia"/>
                <w:color w:val="auto"/>
                <w:sz w:val="20"/>
                <w:szCs w:val="20"/>
                <w:highlight w:val="none"/>
                <w:lang w:val="en-US" w:eastAsia="zh-CN"/>
              </w:rPr>
              <w:t>mm</w:t>
            </w:r>
            <w:r>
              <w:rPr>
                <w:rFonts w:hint="eastAsia"/>
                <w:color w:val="auto"/>
                <w:sz w:val="20"/>
                <w:szCs w:val="20"/>
                <w:highlight w:val="none"/>
              </w:rPr>
              <w:t>，表面采用防绣静电喷涂处理，冷轧钢板</w:t>
            </w:r>
            <w:r>
              <w:rPr>
                <w:rFonts w:hint="eastAsia" w:ascii="宋体" w:hAnsi="宋体" w:cs="宋体"/>
                <w:snapToGrid w:val="0"/>
                <w:color w:val="auto"/>
                <w:kern w:val="0"/>
                <w:sz w:val="20"/>
                <w:szCs w:val="20"/>
                <w:highlight w:val="none"/>
                <w:lang w:bidi="ar"/>
              </w:rPr>
              <w:t>≥</w:t>
            </w:r>
            <w:r>
              <w:rPr>
                <w:rFonts w:hint="eastAsia"/>
                <w:color w:val="auto"/>
                <w:sz w:val="20"/>
                <w:szCs w:val="20"/>
                <w:highlight w:val="none"/>
              </w:rPr>
              <w:t>540*70*3.0</w:t>
            </w:r>
            <w:r>
              <w:rPr>
                <w:rFonts w:hint="eastAsia"/>
                <w:color w:val="auto"/>
                <w:sz w:val="20"/>
                <w:szCs w:val="20"/>
                <w:highlight w:val="none"/>
                <w:lang w:val="en-US" w:eastAsia="zh-CN"/>
              </w:rPr>
              <w:t>mm</w:t>
            </w:r>
            <w:r>
              <w:rPr>
                <w:rFonts w:hint="eastAsia"/>
                <w:color w:val="auto"/>
                <w:sz w:val="20"/>
                <w:szCs w:val="20"/>
                <w:highlight w:val="none"/>
              </w:rPr>
              <w:t>，重合焊接而成，底脚尺寸</w:t>
            </w:r>
            <w:r>
              <w:rPr>
                <w:rFonts w:hint="eastAsia" w:ascii="宋体" w:hAnsi="宋体" w:cs="宋体"/>
                <w:snapToGrid w:val="0"/>
                <w:color w:val="auto"/>
                <w:kern w:val="0"/>
                <w:sz w:val="20"/>
                <w:szCs w:val="20"/>
                <w:highlight w:val="none"/>
                <w:lang w:bidi="ar"/>
              </w:rPr>
              <w:t>≥</w:t>
            </w:r>
            <w:r>
              <w:rPr>
                <w:rFonts w:hint="eastAsia"/>
                <w:color w:val="auto"/>
                <w:sz w:val="20"/>
                <w:szCs w:val="20"/>
                <w:highlight w:val="none"/>
              </w:rPr>
              <w:t>540*70*28</w:t>
            </w:r>
            <w:r>
              <w:rPr>
                <w:rFonts w:hint="eastAsia"/>
                <w:color w:val="auto"/>
                <w:sz w:val="20"/>
                <w:szCs w:val="20"/>
                <w:highlight w:val="none"/>
                <w:lang w:val="en-US" w:eastAsia="zh-CN"/>
              </w:rPr>
              <w:t>mm</w:t>
            </w:r>
            <w:r>
              <w:rPr>
                <w:rFonts w:hint="eastAsia"/>
                <w:color w:val="auto"/>
                <w:sz w:val="20"/>
                <w:szCs w:val="20"/>
                <w:highlight w:val="none"/>
              </w:rPr>
              <w:t>，表面光滑显高端，牢固耐用，美观大方，</w:t>
            </w:r>
            <w:r>
              <w:rPr>
                <w:rFonts w:hint="eastAsia"/>
                <w:color w:val="auto"/>
                <w:sz w:val="20"/>
                <w:szCs w:val="20"/>
                <w:highlight w:val="none"/>
                <w:lang w:val="en-US" w:eastAsia="zh-CN"/>
              </w:rPr>
              <w:t>可</w:t>
            </w:r>
            <w:r>
              <w:rPr>
                <w:rFonts w:hint="eastAsia"/>
                <w:color w:val="auto"/>
                <w:sz w:val="20"/>
                <w:szCs w:val="20"/>
                <w:highlight w:val="none"/>
              </w:rPr>
              <w:t>抗变型 。横梁采用优质高精度冷轧钢，方管管：</w:t>
            </w:r>
            <w:r>
              <w:rPr>
                <w:rFonts w:hint="eastAsia" w:ascii="宋体" w:hAnsi="宋体" w:cs="宋体"/>
                <w:snapToGrid w:val="0"/>
                <w:color w:val="auto"/>
                <w:kern w:val="0"/>
                <w:sz w:val="20"/>
                <w:szCs w:val="20"/>
                <w:highlight w:val="none"/>
                <w:lang w:bidi="ar"/>
              </w:rPr>
              <w:t>≥</w:t>
            </w:r>
            <w:r>
              <w:rPr>
                <w:rFonts w:hint="eastAsia"/>
                <w:color w:val="auto"/>
                <w:sz w:val="20"/>
                <w:szCs w:val="20"/>
                <w:highlight w:val="none"/>
              </w:rPr>
              <w:t>40*40*1060*T1.2mm， 表面再经防锈静电喷涂处理，实用牢固，承受力大。拉杆机构采用</w:t>
            </w:r>
            <w:r>
              <w:rPr>
                <w:rFonts w:hint="eastAsia" w:ascii="宋体" w:hAnsi="宋体" w:cs="宋体"/>
                <w:snapToGrid w:val="0"/>
                <w:color w:val="auto"/>
                <w:kern w:val="0"/>
                <w:sz w:val="20"/>
                <w:szCs w:val="20"/>
                <w:highlight w:val="none"/>
                <w:lang w:bidi="ar"/>
              </w:rPr>
              <w:t>≥</w:t>
            </w:r>
            <w:r>
              <w:rPr>
                <w:rFonts w:hint="eastAsia"/>
                <w:color w:val="auto"/>
                <w:sz w:val="20"/>
                <w:szCs w:val="20"/>
                <w:highlight w:val="none"/>
              </w:rPr>
              <w:t>1.2</w:t>
            </w:r>
            <w:r>
              <w:rPr>
                <w:rFonts w:hint="eastAsia"/>
                <w:color w:val="auto"/>
                <w:sz w:val="20"/>
                <w:szCs w:val="20"/>
                <w:highlight w:val="none"/>
                <w:lang w:val="en-US" w:eastAsia="zh-CN"/>
              </w:rPr>
              <w:t>mm</w:t>
            </w:r>
            <w:r>
              <w:rPr>
                <w:rFonts w:hint="eastAsia"/>
                <w:color w:val="auto"/>
                <w:sz w:val="20"/>
                <w:szCs w:val="20"/>
                <w:highlight w:val="none"/>
              </w:rPr>
              <w:t>厚度拉杆折叠机构，两端配置压铸。拉杆机构采用</w:t>
            </w:r>
            <w:r>
              <w:rPr>
                <w:rFonts w:hint="eastAsia" w:ascii="宋体" w:hAnsi="宋体" w:cs="宋体"/>
                <w:snapToGrid w:val="0"/>
                <w:color w:val="auto"/>
                <w:kern w:val="0"/>
                <w:sz w:val="20"/>
                <w:szCs w:val="20"/>
                <w:highlight w:val="none"/>
                <w:lang w:bidi="ar"/>
              </w:rPr>
              <w:t>≥</w:t>
            </w:r>
            <w:r>
              <w:rPr>
                <w:rFonts w:hint="eastAsia"/>
                <w:color w:val="auto"/>
                <w:sz w:val="20"/>
                <w:szCs w:val="20"/>
                <w:highlight w:val="none"/>
              </w:rPr>
              <w:t>1.2</w:t>
            </w:r>
            <w:r>
              <w:rPr>
                <w:rFonts w:hint="eastAsia"/>
                <w:color w:val="auto"/>
                <w:sz w:val="20"/>
                <w:szCs w:val="20"/>
                <w:highlight w:val="none"/>
                <w:lang w:val="en-US" w:eastAsia="zh-CN"/>
              </w:rPr>
              <w:t>mm</w:t>
            </w:r>
            <w:r>
              <w:rPr>
                <w:rFonts w:hint="eastAsia"/>
                <w:color w:val="auto"/>
                <w:sz w:val="20"/>
                <w:szCs w:val="20"/>
                <w:highlight w:val="none"/>
              </w:rPr>
              <w:t>厚度拉杆折叠机构，两端配置压铸盒子及铝合金挂钩连动折叠，单手可折叠，折叠次数不少于5000次，稳定性强,不易变形。                                                                                                                                                    （</w:t>
            </w:r>
            <w:r>
              <w:rPr>
                <w:rFonts w:hint="eastAsia"/>
                <w:color w:val="auto"/>
                <w:sz w:val="20"/>
                <w:szCs w:val="20"/>
                <w:highlight w:val="none"/>
                <w:lang w:val="en-US" w:eastAsia="zh-CN"/>
              </w:rPr>
              <w:t>3</w:t>
            </w:r>
            <w:r>
              <w:rPr>
                <w:rFonts w:hint="eastAsia"/>
                <w:color w:val="auto"/>
                <w:sz w:val="20"/>
                <w:szCs w:val="20"/>
                <w:highlight w:val="none"/>
              </w:rPr>
              <w:t>）</w:t>
            </w:r>
            <w:r>
              <w:rPr>
                <w:rFonts w:hint="eastAsia" w:ascii="宋体" w:hAnsi="宋体" w:cs="宋体"/>
                <w:color w:val="auto"/>
                <w:sz w:val="18"/>
                <w:szCs w:val="18"/>
                <w:highlight w:val="none"/>
                <w:lang w:bidi="ar"/>
              </w:rPr>
              <w:t>环保：家具成品均</w:t>
            </w:r>
            <w:r>
              <w:rPr>
                <w:rFonts w:hint="eastAsia" w:ascii="宋体" w:hAnsi="宋体" w:cs="宋体"/>
                <w:color w:val="auto"/>
                <w:sz w:val="18"/>
                <w:szCs w:val="18"/>
                <w:highlight w:val="none"/>
                <w:lang w:eastAsia="zh-CN" w:bidi="ar"/>
              </w:rPr>
              <w:t>需</w:t>
            </w:r>
            <w:r>
              <w:rPr>
                <w:rFonts w:hint="eastAsia" w:ascii="宋体" w:hAnsi="宋体" w:cs="宋体"/>
                <w:color w:val="auto"/>
                <w:sz w:val="18"/>
                <w:szCs w:val="18"/>
                <w:highlight w:val="none"/>
                <w:lang w:bidi="ar"/>
              </w:rPr>
              <w:t>满足GB/T 35607-2024《绿色产品评价 家具》的要求（其中成品甲醛释放量≤0.05mg/m3，苯≤0.05mg/m3，甲苯、二甲苯≤0.1mg/m3，TVOC≤0.3mg/m3）</w:t>
            </w:r>
          </w:p>
        </w:tc>
      </w:tr>
      <w:tr w14:paraId="0936E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0" w:type="dxa"/>
            <w:left w:w="100" w:type="dxa"/>
            <w:bottom w:w="50" w:type="dxa"/>
            <w:right w:w="100" w:type="dxa"/>
          </w:tblCellMar>
        </w:tblPrEx>
        <w:tc>
          <w:tcPr>
            <w:tcW w:w="153" w:type="pct"/>
            <w:tcBorders>
              <w:top w:val="single" w:color="000000" w:sz="0" w:space="0"/>
              <w:left w:val="single" w:color="000000" w:sz="0" w:space="0"/>
              <w:bottom w:val="single" w:color="000000" w:sz="0" w:space="0"/>
              <w:right w:val="single" w:color="000000" w:sz="0" w:space="0"/>
            </w:tcBorders>
          </w:tcPr>
          <w:p w14:paraId="3B16CD82">
            <w:pPr>
              <w:numPr>
                <w:ilvl w:val="0"/>
                <w:numId w:val="7"/>
              </w:numPr>
              <w:jc w:val="center"/>
              <w:rPr>
                <w:color w:val="auto"/>
                <w:highlight w:val="none"/>
              </w:rPr>
            </w:pPr>
          </w:p>
        </w:tc>
        <w:tc>
          <w:tcPr>
            <w:tcW w:w="325" w:type="pct"/>
            <w:tcBorders>
              <w:top w:val="single" w:color="000000" w:sz="0" w:space="0"/>
              <w:left w:val="single" w:color="000000" w:sz="0" w:space="0"/>
              <w:bottom w:val="single" w:color="000000" w:sz="0" w:space="0"/>
              <w:right w:val="single" w:color="000000" w:sz="0" w:space="0"/>
            </w:tcBorders>
            <w:shd w:val="clear" w:color="auto" w:fill="auto"/>
            <w:vAlign w:val="top"/>
          </w:tcPr>
          <w:p w14:paraId="79AE77EE">
            <w:pPr>
              <w:jc w:val="left"/>
              <w:rPr>
                <w:rFonts w:hint="eastAsia" w:ascii="Times New Roman" w:hAnsi="Times New Roman" w:eastAsia="宋体" w:cs="Times New Roman"/>
                <w:color w:val="auto"/>
                <w:kern w:val="2"/>
                <w:sz w:val="21"/>
                <w:szCs w:val="22"/>
                <w:highlight w:val="none"/>
                <w:lang w:val="en-US" w:eastAsia="zh-CN" w:bidi="ar-SA"/>
              </w:rPr>
            </w:pPr>
            <w:r>
              <w:rPr>
                <w:color w:val="auto"/>
                <w:sz w:val="20"/>
                <w:szCs w:val="20"/>
                <w:highlight w:val="none"/>
              </w:rPr>
              <w:t>多功能教室活动桌</w:t>
            </w:r>
            <w:r>
              <w:rPr>
                <w:rFonts w:hint="eastAsia"/>
                <w:color w:val="auto"/>
                <w:sz w:val="20"/>
                <w:szCs w:val="20"/>
                <w:highlight w:val="none"/>
                <w:lang w:val="en-US" w:eastAsia="zh-CN"/>
              </w:rPr>
              <w:t>4</w:t>
            </w:r>
          </w:p>
        </w:tc>
        <w:tc>
          <w:tcPr>
            <w:tcW w:w="257" w:type="pct"/>
            <w:tcBorders>
              <w:top w:val="single" w:color="000000" w:sz="0" w:space="0"/>
              <w:left w:val="single" w:color="000000" w:sz="0" w:space="0"/>
              <w:bottom w:val="single" w:color="000000" w:sz="0" w:space="0"/>
              <w:right w:val="single" w:color="000000" w:sz="0" w:space="0"/>
            </w:tcBorders>
            <w:shd w:val="clear" w:color="auto" w:fill="auto"/>
            <w:vAlign w:val="top"/>
          </w:tcPr>
          <w:p w14:paraId="5DE7AE30">
            <w:pPr>
              <w:jc w:val="center"/>
              <w:rPr>
                <w:rFonts w:ascii="Times New Roman" w:hAnsi="Times New Roman" w:eastAsia="宋体" w:cs="Times New Roman"/>
                <w:color w:val="auto"/>
                <w:kern w:val="2"/>
                <w:sz w:val="21"/>
                <w:szCs w:val="22"/>
                <w:highlight w:val="none"/>
                <w:lang w:val="en-US" w:eastAsia="zh-CN" w:bidi="ar-SA"/>
              </w:rPr>
            </w:pPr>
            <w:r>
              <w:rPr>
                <w:color w:val="auto"/>
                <w:sz w:val="20"/>
                <w:szCs w:val="20"/>
                <w:highlight w:val="none"/>
              </w:rPr>
              <w:t>活动桌</w:t>
            </w:r>
          </w:p>
        </w:tc>
        <w:tc>
          <w:tcPr>
            <w:tcW w:w="524" w:type="pct"/>
            <w:shd w:val="clear" w:color="auto" w:fill="auto"/>
            <w:vAlign w:val="top"/>
          </w:tcPr>
          <w:p w14:paraId="0038C066">
            <w:pPr>
              <w:jc w:val="center"/>
              <w:rPr>
                <w:rFonts w:ascii="Times New Roman" w:hAnsi="Times New Roman" w:eastAsia="宋体" w:cs="Times New Roman"/>
                <w:color w:val="auto"/>
                <w:kern w:val="2"/>
                <w:sz w:val="21"/>
                <w:szCs w:val="22"/>
                <w:highlight w:val="none"/>
                <w:lang w:val="en-US" w:eastAsia="zh-CN" w:bidi="ar-SA"/>
              </w:rPr>
            </w:pPr>
            <w:r>
              <w:rPr>
                <w:color w:val="auto"/>
                <w:highlight w:val="none"/>
              </w:rPr>
              <w:drawing>
                <wp:inline distT="0" distB="0" distL="0" distR="0">
                  <wp:extent cx="1275715" cy="1591945"/>
                  <wp:effectExtent l="0" t="0" r="6985" b="8255"/>
                  <wp:docPr id="72" name="Image" descr="参考图片" titl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 descr="参考图片" title="图片"/>
                          <pic:cNvPicPr>
                            <a:picLocks noChangeAspect="1" noChangeArrowheads="1"/>
                          </pic:cNvPicPr>
                        </pic:nvPicPr>
                        <pic:blipFill>
                          <a:blip r:embed="rId20"/>
                          <a:srcRect/>
                          <a:stretch>
                            <a:fillRect/>
                          </a:stretch>
                        </pic:blipFill>
                        <pic:spPr>
                          <a:xfrm>
                            <a:off x="0" y="0"/>
                            <a:ext cx="1275715" cy="1591945"/>
                          </a:xfrm>
                          <a:prstGeom prst="rect">
                            <a:avLst/>
                          </a:prstGeom>
                        </pic:spPr>
                      </pic:pic>
                    </a:graphicData>
                  </a:graphic>
                </wp:inline>
              </w:drawing>
            </w:r>
          </w:p>
        </w:tc>
        <w:tc>
          <w:tcPr>
            <w:tcW w:w="621" w:type="pct"/>
            <w:tcBorders>
              <w:top w:val="single" w:color="000000" w:sz="0" w:space="0"/>
              <w:left w:val="single" w:color="000000" w:sz="0" w:space="0"/>
              <w:bottom w:val="single" w:color="000000" w:sz="0" w:space="0"/>
              <w:right w:val="single" w:color="000000" w:sz="0" w:space="0"/>
            </w:tcBorders>
            <w:shd w:val="clear" w:color="auto" w:fill="auto"/>
            <w:vAlign w:val="top"/>
          </w:tcPr>
          <w:p w14:paraId="7398C67D">
            <w:pPr>
              <w:jc w:val="left"/>
              <w:rPr>
                <w:rFonts w:hint="eastAsia" w:ascii="Times New Roman" w:hAnsi="Times New Roman" w:eastAsia="宋体" w:cs="Times New Roman"/>
                <w:color w:val="auto"/>
                <w:kern w:val="2"/>
                <w:sz w:val="20"/>
                <w:szCs w:val="20"/>
                <w:highlight w:val="none"/>
                <w:lang w:val="en-US" w:eastAsia="zh-CN" w:bidi="ar-SA"/>
              </w:rPr>
            </w:pPr>
            <w:r>
              <w:rPr>
                <w:rFonts w:hint="eastAsia"/>
                <w:color w:val="auto"/>
                <w:sz w:val="20"/>
                <w:szCs w:val="20"/>
                <w:highlight w:val="none"/>
              </w:rPr>
              <w:t>12</w:t>
            </w:r>
            <w:r>
              <w:rPr>
                <w:color w:val="auto"/>
                <w:sz w:val="20"/>
                <w:szCs w:val="20"/>
                <w:highlight w:val="none"/>
              </w:rPr>
              <w:t>00*</w:t>
            </w:r>
            <w:r>
              <w:rPr>
                <w:rFonts w:hint="eastAsia"/>
                <w:color w:val="auto"/>
                <w:sz w:val="20"/>
                <w:szCs w:val="20"/>
                <w:highlight w:val="none"/>
              </w:rPr>
              <w:t>6</w:t>
            </w:r>
            <w:r>
              <w:rPr>
                <w:color w:val="auto"/>
                <w:sz w:val="20"/>
                <w:szCs w:val="20"/>
                <w:highlight w:val="none"/>
              </w:rPr>
              <w:t>00*750H*</w:t>
            </w:r>
            <w:r>
              <w:rPr>
                <w:rFonts w:hint="eastAsia"/>
                <w:color w:val="auto"/>
                <w:sz w:val="20"/>
                <w:szCs w:val="20"/>
                <w:highlight w:val="none"/>
              </w:rPr>
              <w:t>4</w:t>
            </w:r>
            <w:r>
              <w:rPr>
                <w:color w:val="auto"/>
                <w:sz w:val="20"/>
                <w:szCs w:val="20"/>
                <w:highlight w:val="none"/>
              </w:rPr>
              <w:t>套</w:t>
            </w:r>
          </w:p>
        </w:tc>
        <w:tc>
          <w:tcPr>
            <w:tcW w:w="204" w:type="pct"/>
            <w:tcBorders>
              <w:top w:val="single" w:color="000000" w:sz="0" w:space="0"/>
              <w:left w:val="single" w:color="000000" w:sz="0" w:space="0"/>
              <w:bottom w:val="single" w:color="000000" w:sz="0" w:space="0"/>
              <w:right w:val="single" w:color="000000" w:sz="0" w:space="0"/>
            </w:tcBorders>
            <w:shd w:val="clear" w:color="auto" w:fill="auto"/>
            <w:vAlign w:val="top"/>
          </w:tcPr>
          <w:p w14:paraId="65E80242">
            <w:pPr>
              <w:jc w:val="center"/>
              <w:rPr>
                <w:rFonts w:hint="eastAsia" w:ascii="Times New Roman" w:hAnsi="Times New Roman" w:eastAsia="宋体" w:cs="Times New Roman"/>
                <w:color w:val="auto"/>
                <w:kern w:val="2"/>
                <w:sz w:val="21"/>
                <w:szCs w:val="22"/>
                <w:highlight w:val="none"/>
                <w:lang w:val="en-US" w:eastAsia="zh-CN" w:bidi="ar-SA"/>
              </w:rPr>
            </w:pPr>
            <w:r>
              <w:rPr>
                <w:rFonts w:hint="eastAsia"/>
                <w:color w:val="auto"/>
                <w:sz w:val="20"/>
                <w:szCs w:val="20"/>
                <w:highlight w:val="none"/>
                <w:lang w:val="en-US" w:eastAsia="zh-CN"/>
              </w:rPr>
              <w:t>4</w:t>
            </w:r>
            <w:r>
              <w:rPr>
                <w:color w:val="auto"/>
                <w:sz w:val="20"/>
                <w:szCs w:val="20"/>
                <w:highlight w:val="none"/>
              </w:rPr>
              <w:t>套</w:t>
            </w:r>
          </w:p>
        </w:tc>
        <w:tc>
          <w:tcPr>
            <w:tcW w:w="504" w:type="pct"/>
            <w:tcBorders>
              <w:top w:val="single" w:color="000000" w:sz="0" w:space="0"/>
              <w:left w:val="single" w:color="000000" w:sz="0" w:space="0"/>
              <w:bottom w:val="single" w:color="000000" w:sz="0" w:space="0"/>
              <w:right w:val="single" w:color="000000" w:sz="0" w:space="0"/>
            </w:tcBorders>
            <w:shd w:val="clear" w:color="auto" w:fill="auto"/>
            <w:vAlign w:val="top"/>
          </w:tcPr>
          <w:p w14:paraId="6BB87862">
            <w:pPr>
              <w:jc w:val="left"/>
              <w:rPr>
                <w:rFonts w:ascii="Times New Roman" w:hAnsi="Times New Roman" w:eastAsia="宋体" w:cs="Times New Roman"/>
                <w:color w:val="auto"/>
                <w:kern w:val="2"/>
                <w:sz w:val="21"/>
                <w:szCs w:val="22"/>
                <w:highlight w:val="none"/>
                <w:lang w:val="en-US" w:eastAsia="zh-CN" w:bidi="ar-SA"/>
              </w:rPr>
            </w:pPr>
            <w:r>
              <w:rPr>
                <w:color w:val="auto"/>
                <w:sz w:val="20"/>
                <w:szCs w:val="20"/>
                <w:highlight w:val="none"/>
              </w:rPr>
              <w:t>基材、封边、金属支架</w:t>
            </w:r>
          </w:p>
        </w:tc>
        <w:tc>
          <w:tcPr>
            <w:tcW w:w="314" w:type="pct"/>
            <w:tcBorders>
              <w:top w:val="single" w:color="000000" w:sz="0" w:space="0"/>
              <w:left w:val="single" w:color="000000" w:sz="0" w:space="0"/>
              <w:bottom w:val="single" w:color="000000" w:sz="0" w:space="0"/>
              <w:right w:val="single" w:color="000000" w:sz="0" w:space="0"/>
            </w:tcBorders>
            <w:shd w:val="clear" w:color="auto" w:fill="auto"/>
            <w:vAlign w:val="top"/>
          </w:tcPr>
          <w:p w14:paraId="56002BA9">
            <w:pPr>
              <w:jc w:val="left"/>
              <w:rPr>
                <w:rFonts w:ascii="Times New Roman" w:hAnsi="Times New Roman" w:eastAsia="宋体" w:cs="Times New Roman"/>
                <w:color w:val="auto"/>
                <w:kern w:val="2"/>
                <w:sz w:val="21"/>
                <w:szCs w:val="22"/>
                <w:highlight w:val="none"/>
                <w:lang w:val="en-US" w:eastAsia="zh-CN" w:bidi="ar-SA"/>
              </w:rPr>
            </w:pPr>
            <w:r>
              <w:rPr>
                <w:color w:val="auto"/>
                <w:sz w:val="20"/>
                <w:szCs w:val="20"/>
                <w:highlight w:val="none"/>
              </w:rPr>
              <w:t>刨花板、冷轧钢板、铝合金</w:t>
            </w:r>
          </w:p>
        </w:tc>
        <w:tc>
          <w:tcPr>
            <w:tcW w:w="2095" w:type="pct"/>
            <w:tcBorders>
              <w:top w:val="single" w:color="000000" w:sz="0" w:space="0"/>
              <w:left w:val="single" w:color="000000" w:sz="0" w:space="0"/>
              <w:bottom w:val="single" w:color="000000" w:sz="0" w:space="0"/>
              <w:right w:val="single" w:color="000000" w:sz="0" w:space="0"/>
            </w:tcBorders>
            <w:shd w:val="clear" w:color="auto" w:fill="auto"/>
            <w:vAlign w:val="top"/>
          </w:tcPr>
          <w:p w14:paraId="2030119C">
            <w:pPr>
              <w:jc w:val="left"/>
              <w:rPr>
                <w:color w:val="auto"/>
                <w:sz w:val="20"/>
                <w:szCs w:val="20"/>
                <w:highlight w:val="none"/>
              </w:rPr>
            </w:pPr>
            <w:r>
              <w:rPr>
                <w:rFonts w:hint="eastAsia"/>
                <w:color w:val="auto"/>
                <w:sz w:val="20"/>
                <w:szCs w:val="20"/>
                <w:highlight w:val="none"/>
              </w:rPr>
              <w:t>（1）桌面：采用ENF级三聚氰胺饰面刨花板，台面厚度</w:t>
            </w:r>
            <w:r>
              <w:rPr>
                <w:rFonts w:hint="eastAsia" w:ascii="宋体" w:hAnsi="宋体" w:cs="宋体"/>
                <w:snapToGrid w:val="0"/>
                <w:color w:val="auto"/>
                <w:kern w:val="0"/>
                <w:sz w:val="20"/>
                <w:szCs w:val="20"/>
                <w:highlight w:val="none"/>
                <w:lang w:bidi="ar"/>
              </w:rPr>
              <w:t>≥</w:t>
            </w:r>
            <w:r>
              <w:rPr>
                <w:rFonts w:hint="eastAsia"/>
                <w:color w:val="auto"/>
                <w:sz w:val="20"/>
                <w:szCs w:val="20"/>
                <w:highlight w:val="none"/>
              </w:rPr>
              <w:t>25mm，其他板材厚度</w:t>
            </w:r>
            <w:r>
              <w:rPr>
                <w:rFonts w:hint="eastAsia" w:ascii="宋体" w:hAnsi="宋体" w:cs="宋体"/>
                <w:snapToGrid w:val="0"/>
                <w:color w:val="auto"/>
                <w:kern w:val="0"/>
                <w:sz w:val="20"/>
                <w:szCs w:val="20"/>
                <w:highlight w:val="none"/>
                <w:lang w:bidi="ar"/>
              </w:rPr>
              <w:t>≥</w:t>
            </w:r>
            <w:r>
              <w:rPr>
                <w:rFonts w:hint="eastAsia"/>
                <w:color w:val="auto"/>
                <w:sz w:val="20"/>
                <w:szCs w:val="20"/>
                <w:highlight w:val="none"/>
              </w:rPr>
              <w:t>18mm，四周采用同色PVC直封边。</w:t>
            </w:r>
          </w:p>
          <w:p w14:paraId="3DE73E5E">
            <w:pPr>
              <w:jc w:val="left"/>
              <w:rPr>
                <w:rFonts w:hint="eastAsia" w:ascii="Times New Roman" w:hAnsi="Times New Roman" w:eastAsia="宋体" w:cs="Times New Roman"/>
                <w:color w:val="auto"/>
                <w:kern w:val="2"/>
                <w:sz w:val="21"/>
                <w:szCs w:val="22"/>
                <w:highlight w:val="none"/>
                <w:lang w:val="en-US" w:eastAsia="zh-CN" w:bidi="ar-SA"/>
              </w:rPr>
            </w:pPr>
            <w:r>
              <w:rPr>
                <w:rFonts w:hint="eastAsia"/>
                <w:color w:val="auto"/>
                <w:sz w:val="20"/>
                <w:szCs w:val="20"/>
                <w:highlight w:val="none"/>
              </w:rPr>
              <w:t>（2）钢架：立柱采用优质高精度冷轧钢及方管压铸而成一字形，方管是</w:t>
            </w:r>
            <w:r>
              <w:rPr>
                <w:rFonts w:hint="eastAsia" w:ascii="宋体" w:hAnsi="宋体" w:cs="宋体"/>
                <w:snapToGrid w:val="0"/>
                <w:color w:val="auto"/>
                <w:kern w:val="0"/>
                <w:sz w:val="20"/>
                <w:szCs w:val="20"/>
                <w:highlight w:val="none"/>
                <w:lang w:bidi="ar"/>
              </w:rPr>
              <w:t>≥</w:t>
            </w:r>
            <w:r>
              <w:rPr>
                <w:rFonts w:hint="eastAsia"/>
                <w:color w:val="auto"/>
                <w:sz w:val="20"/>
                <w:szCs w:val="20"/>
                <w:highlight w:val="none"/>
              </w:rPr>
              <w:t>50*25*510</w:t>
            </w:r>
            <w:r>
              <w:rPr>
                <w:rFonts w:hint="eastAsia"/>
                <w:color w:val="auto"/>
                <w:sz w:val="20"/>
                <w:szCs w:val="20"/>
                <w:highlight w:val="none"/>
                <w:lang w:val="en-US" w:eastAsia="zh-CN"/>
              </w:rPr>
              <w:t>mm</w:t>
            </w:r>
            <w:r>
              <w:rPr>
                <w:rFonts w:hint="eastAsia"/>
                <w:color w:val="auto"/>
                <w:sz w:val="20"/>
                <w:szCs w:val="20"/>
                <w:highlight w:val="none"/>
              </w:rPr>
              <w:t>方管，壁厚为</w:t>
            </w:r>
            <w:r>
              <w:rPr>
                <w:rFonts w:hint="eastAsia" w:ascii="宋体" w:hAnsi="宋体" w:cs="宋体"/>
                <w:snapToGrid w:val="0"/>
                <w:color w:val="auto"/>
                <w:kern w:val="0"/>
                <w:sz w:val="20"/>
                <w:szCs w:val="20"/>
                <w:highlight w:val="none"/>
                <w:lang w:bidi="ar"/>
              </w:rPr>
              <w:t>≥</w:t>
            </w:r>
            <w:r>
              <w:rPr>
                <w:rFonts w:hint="eastAsia"/>
                <w:color w:val="auto"/>
                <w:sz w:val="20"/>
                <w:szCs w:val="20"/>
                <w:highlight w:val="none"/>
              </w:rPr>
              <w:t>1.2</w:t>
            </w:r>
            <w:r>
              <w:rPr>
                <w:rFonts w:hint="eastAsia"/>
                <w:color w:val="auto"/>
                <w:sz w:val="20"/>
                <w:szCs w:val="20"/>
                <w:highlight w:val="none"/>
                <w:lang w:val="en-US" w:eastAsia="zh-CN"/>
              </w:rPr>
              <w:t>mm</w:t>
            </w:r>
            <w:r>
              <w:rPr>
                <w:rFonts w:hint="eastAsia"/>
                <w:color w:val="auto"/>
                <w:sz w:val="20"/>
                <w:szCs w:val="20"/>
                <w:highlight w:val="none"/>
              </w:rPr>
              <w:t>，表面采用防绣静电喷涂处理，冷轧钢板</w:t>
            </w:r>
            <w:r>
              <w:rPr>
                <w:rFonts w:hint="eastAsia" w:ascii="宋体" w:hAnsi="宋体" w:cs="宋体"/>
                <w:snapToGrid w:val="0"/>
                <w:color w:val="auto"/>
                <w:kern w:val="0"/>
                <w:sz w:val="20"/>
                <w:szCs w:val="20"/>
                <w:highlight w:val="none"/>
                <w:lang w:bidi="ar"/>
              </w:rPr>
              <w:t>≥</w:t>
            </w:r>
            <w:r>
              <w:rPr>
                <w:rFonts w:hint="eastAsia"/>
                <w:color w:val="auto"/>
                <w:sz w:val="20"/>
                <w:szCs w:val="20"/>
                <w:highlight w:val="none"/>
              </w:rPr>
              <w:t>540*70*3.0</w:t>
            </w:r>
            <w:r>
              <w:rPr>
                <w:rFonts w:hint="eastAsia"/>
                <w:color w:val="auto"/>
                <w:sz w:val="20"/>
                <w:szCs w:val="20"/>
                <w:highlight w:val="none"/>
                <w:lang w:val="en-US" w:eastAsia="zh-CN"/>
              </w:rPr>
              <w:t>mm</w:t>
            </w:r>
            <w:r>
              <w:rPr>
                <w:rFonts w:hint="eastAsia"/>
                <w:color w:val="auto"/>
                <w:sz w:val="20"/>
                <w:szCs w:val="20"/>
                <w:highlight w:val="none"/>
              </w:rPr>
              <w:t>，重合焊接而成，底脚尺寸</w:t>
            </w:r>
            <w:r>
              <w:rPr>
                <w:rFonts w:hint="eastAsia" w:ascii="宋体" w:hAnsi="宋体" w:cs="宋体"/>
                <w:snapToGrid w:val="0"/>
                <w:color w:val="auto"/>
                <w:kern w:val="0"/>
                <w:sz w:val="20"/>
                <w:szCs w:val="20"/>
                <w:highlight w:val="none"/>
                <w:lang w:bidi="ar"/>
              </w:rPr>
              <w:t>≥</w:t>
            </w:r>
            <w:r>
              <w:rPr>
                <w:rFonts w:hint="eastAsia"/>
                <w:color w:val="auto"/>
                <w:sz w:val="20"/>
                <w:szCs w:val="20"/>
                <w:highlight w:val="none"/>
              </w:rPr>
              <w:t>540*70*28</w:t>
            </w:r>
            <w:r>
              <w:rPr>
                <w:rFonts w:hint="eastAsia"/>
                <w:color w:val="auto"/>
                <w:sz w:val="20"/>
                <w:szCs w:val="20"/>
                <w:highlight w:val="none"/>
                <w:lang w:val="en-US" w:eastAsia="zh-CN"/>
              </w:rPr>
              <w:t>mm</w:t>
            </w:r>
            <w:r>
              <w:rPr>
                <w:rFonts w:hint="eastAsia"/>
                <w:color w:val="auto"/>
                <w:sz w:val="20"/>
                <w:szCs w:val="20"/>
                <w:highlight w:val="none"/>
              </w:rPr>
              <w:t>，表面光滑显高端，牢固耐用，美观大方，</w:t>
            </w:r>
            <w:r>
              <w:rPr>
                <w:rFonts w:hint="eastAsia"/>
                <w:color w:val="auto"/>
                <w:sz w:val="20"/>
                <w:szCs w:val="20"/>
                <w:highlight w:val="none"/>
                <w:lang w:val="en-US" w:eastAsia="zh-CN"/>
              </w:rPr>
              <w:t>可</w:t>
            </w:r>
            <w:r>
              <w:rPr>
                <w:rFonts w:hint="eastAsia"/>
                <w:color w:val="auto"/>
                <w:sz w:val="20"/>
                <w:szCs w:val="20"/>
                <w:highlight w:val="none"/>
              </w:rPr>
              <w:t>抗变型 。横梁采用优质高精度冷轧钢，方管管：</w:t>
            </w:r>
            <w:r>
              <w:rPr>
                <w:rFonts w:hint="eastAsia" w:ascii="宋体" w:hAnsi="宋体" w:cs="宋体"/>
                <w:snapToGrid w:val="0"/>
                <w:color w:val="auto"/>
                <w:kern w:val="0"/>
                <w:sz w:val="20"/>
                <w:szCs w:val="20"/>
                <w:highlight w:val="none"/>
                <w:lang w:bidi="ar"/>
              </w:rPr>
              <w:t>≥</w:t>
            </w:r>
            <w:r>
              <w:rPr>
                <w:rFonts w:hint="eastAsia"/>
                <w:color w:val="auto"/>
                <w:sz w:val="20"/>
                <w:szCs w:val="20"/>
                <w:highlight w:val="none"/>
              </w:rPr>
              <w:t>40*40*1060*T1.2mm， 表面再经防锈静电喷涂处理，实用牢固，承受力大。拉杆机构采用</w:t>
            </w:r>
            <w:r>
              <w:rPr>
                <w:rFonts w:hint="eastAsia" w:ascii="宋体" w:hAnsi="宋体" w:cs="宋体"/>
                <w:snapToGrid w:val="0"/>
                <w:color w:val="auto"/>
                <w:kern w:val="0"/>
                <w:sz w:val="20"/>
                <w:szCs w:val="20"/>
                <w:highlight w:val="none"/>
                <w:lang w:bidi="ar"/>
              </w:rPr>
              <w:t>≥</w:t>
            </w:r>
            <w:r>
              <w:rPr>
                <w:rFonts w:hint="eastAsia"/>
                <w:color w:val="auto"/>
                <w:sz w:val="20"/>
                <w:szCs w:val="20"/>
                <w:highlight w:val="none"/>
              </w:rPr>
              <w:t>1.2</w:t>
            </w:r>
            <w:r>
              <w:rPr>
                <w:rFonts w:hint="eastAsia"/>
                <w:color w:val="auto"/>
                <w:sz w:val="20"/>
                <w:szCs w:val="20"/>
                <w:highlight w:val="none"/>
                <w:lang w:val="en-US" w:eastAsia="zh-CN"/>
              </w:rPr>
              <w:t>mm</w:t>
            </w:r>
            <w:r>
              <w:rPr>
                <w:rFonts w:hint="eastAsia"/>
                <w:color w:val="auto"/>
                <w:sz w:val="20"/>
                <w:szCs w:val="20"/>
                <w:highlight w:val="none"/>
              </w:rPr>
              <w:t>厚度拉杆折叠机构，两端配置压铸。拉杆机构采用</w:t>
            </w:r>
            <w:r>
              <w:rPr>
                <w:rFonts w:hint="eastAsia" w:ascii="宋体" w:hAnsi="宋体" w:cs="宋体"/>
                <w:snapToGrid w:val="0"/>
                <w:color w:val="auto"/>
                <w:kern w:val="0"/>
                <w:sz w:val="20"/>
                <w:szCs w:val="20"/>
                <w:highlight w:val="none"/>
                <w:lang w:bidi="ar"/>
              </w:rPr>
              <w:t>≥</w:t>
            </w:r>
            <w:r>
              <w:rPr>
                <w:rFonts w:hint="eastAsia"/>
                <w:color w:val="auto"/>
                <w:sz w:val="20"/>
                <w:szCs w:val="20"/>
                <w:highlight w:val="none"/>
              </w:rPr>
              <w:t>1.2</w:t>
            </w:r>
            <w:r>
              <w:rPr>
                <w:rFonts w:hint="eastAsia"/>
                <w:color w:val="auto"/>
                <w:sz w:val="20"/>
                <w:szCs w:val="20"/>
                <w:highlight w:val="none"/>
                <w:lang w:val="en-US" w:eastAsia="zh-CN"/>
              </w:rPr>
              <w:t>mm</w:t>
            </w:r>
            <w:r>
              <w:rPr>
                <w:rFonts w:hint="eastAsia"/>
                <w:color w:val="auto"/>
                <w:sz w:val="20"/>
                <w:szCs w:val="20"/>
                <w:highlight w:val="none"/>
              </w:rPr>
              <w:t>厚度拉杆折叠机构，两端配置压铸盒子及铝合金挂钩连动折叠，单手可折叠，折叠次数不少于5000次，稳定性强,不易变形。                                                                                                                                                    （</w:t>
            </w:r>
            <w:r>
              <w:rPr>
                <w:rFonts w:hint="eastAsia"/>
                <w:color w:val="auto"/>
                <w:sz w:val="20"/>
                <w:szCs w:val="20"/>
                <w:highlight w:val="none"/>
                <w:lang w:val="en-US" w:eastAsia="zh-CN"/>
              </w:rPr>
              <w:t>3</w:t>
            </w:r>
            <w:r>
              <w:rPr>
                <w:rFonts w:hint="eastAsia"/>
                <w:color w:val="auto"/>
                <w:sz w:val="20"/>
                <w:szCs w:val="20"/>
                <w:highlight w:val="none"/>
              </w:rPr>
              <w:t>）</w:t>
            </w:r>
            <w:r>
              <w:rPr>
                <w:rFonts w:hint="eastAsia" w:ascii="宋体" w:hAnsi="宋体" w:cs="宋体"/>
                <w:color w:val="auto"/>
                <w:sz w:val="18"/>
                <w:szCs w:val="18"/>
                <w:highlight w:val="none"/>
                <w:lang w:bidi="ar"/>
              </w:rPr>
              <w:t>环保：家具成品均</w:t>
            </w:r>
            <w:r>
              <w:rPr>
                <w:rFonts w:hint="eastAsia" w:ascii="宋体" w:hAnsi="宋体" w:cs="宋体"/>
                <w:color w:val="auto"/>
                <w:sz w:val="18"/>
                <w:szCs w:val="18"/>
                <w:highlight w:val="none"/>
                <w:lang w:eastAsia="zh-CN" w:bidi="ar"/>
              </w:rPr>
              <w:t>需</w:t>
            </w:r>
            <w:r>
              <w:rPr>
                <w:rFonts w:hint="eastAsia" w:ascii="宋体" w:hAnsi="宋体" w:cs="宋体"/>
                <w:color w:val="auto"/>
                <w:sz w:val="18"/>
                <w:szCs w:val="18"/>
                <w:highlight w:val="none"/>
                <w:lang w:bidi="ar"/>
              </w:rPr>
              <w:t>满足GB/T 35607-2024《绿色产品评价 家具》的要求（其中成品甲醛释放量≤0.05mg/m3，苯≤0.05mg/m3，甲苯、二甲苯≤0.1mg/m3，TVOC≤0.3mg/m3）</w:t>
            </w:r>
          </w:p>
        </w:tc>
      </w:tr>
      <w:tr w14:paraId="390FA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0" w:type="dxa"/>
            <w:left w:w="100" w:type="dxa"/>
            <w:bottom w:w="50" w:type="dxa"/>
            <w:right w:w="100" w:type="dxa"/>
          </w:tblCellMar>
        </w:tblPrEx>
        <w:tc>
          <w:tcPr>
            <w:tcW w:w="153" w:type="pct"/>
            <w:tcBorders>
              <w:top w:val="single" w:color="000000" w:sz="0" w:space="0"/>
              <w:left w:val="single" w:color="000000" w:sz="0" w:space="0"/>
              <w:bottom w:val="single" w:color="000000" w:sz="0" w:space="0"/>
              <w:right w:val="single" w:color="000000" w:sz="0" w:space="0"/>
            </w:tcBorders>
          </w:tcPr>
          <w:p w14:paraId="08112537">
            <w:pPr>
              <w:numPr>
                <w:ilvl w:val="0"/>
                <w:numId w:val="7"/>
              </w:numPr>
              <w:jc w:val="center"/>
              <w:rPr>
                <w:color w:val="auto"/>
                <w:highlight w:val="none"/>
              </w:rPr>
            </w:pPr>
          </w:p>
        </w:tc>
        <w:tc>
          <w:tcPr>
            <w:tcW w:w="325" w:type="pct"/>
            <w:tcBorders>
              <w:top w:val="single" w:color="000000" w:sz="0" w:space="0"/>
              <w:left w:val="single" w:color="000000" w:sz="0" w:space="0"/>
              <w:bottom w:val="single" w:color="000000" w:sz="0" w:space="0"/>
              <w:right w:val="single" w:color="000000" w:sz="0" w:space="0"/>
            </w:tcBorders>
          </w:tcPr>
          <w:p w14:paraId="70ED62F6">
            <w:pPr>
              <w:jc w:val="left"/>
              <w:rPr>
                <w:color w:val="auto"/>
                <w:highlight w:val="none"/>
              </w:rPr>
            </w:pPr>
            <w:r>
              <w:rPr>
                <w:color w:val="auto"/>
                <w:sz w:val="20"/>
                <w:szCs w:val="20"/>
                <w:highlight w:val="none"/>
              </w:rPr>
              <w:t>移动讲台桌</w:t>
            </w:r>
          </w:p>
        </w:tc>
        <w:tc>
          <w:tcPr>
            <w:tcW w:w="257" w:type="pct"/>
            <w:tcBorders>
              <w:top w:val="single" w:color="000000" w:sz="0" w:space="0"/>
              <w:left w:val="single" w:color="000000" w:sz="0" w:space="0"/>
              <w:bottom w:val="single" w:color="000000" w:sz="0" w:space="0"/>
              <w:right w:val="single" w:color="000000" w:sz="0" w:space="0"/>
            </w:tcBorders>
          </w:tcPr>
          <w:p w14:paraId="5DFA7120">
            <w:pPr>
              <w:jc w:val="center"/>
              <w:rPr>
                <w:color w:val="auto"/>
                <w:highlight w:val="none"/>
              </w:rPr>
            </w:pPr>
            <w:r>
              <w:rPr>
                <w:color w:val="auto"/>
                <w:sz w:val="20"/>
                <w:szCs w:val="20"/>
                <w:highlight w:val="none"/>
              </w:rPr>
              <w:t>讲台</w:t>
            </w:r>
          </w:p>
        </w:tc>
        <w:tc>
          <w:tcPr>
            <w:tcW w:w="524" w:type="pct"/>
          </w:tcPr>
          <w:p w14:paraId="6BD2B8E8">
            <w:pPr>
              <w:jc w:val="center"/>
              <w:rPr>
                <w:color w:val="auto"/>
                <w:highlight w:val="none"/>
              </w:rPr>
            </w:pPr>
            <w:r>
              <w:rPr>
                <w:color w:val="auto"/>
                <w:highlight w:val="none"/>
              </w:rPr>
              <w:drawing>
                <wp:inline distT="0" distB="0" distL="0" distR="0">
                  <wp:extent cx="1339215" cy="1339215"/>
                  <wp:effectExtent l="0" t="0" r="13335" b="13335"/>
                  <wp:docPr id="44" name="Image" descr="参考图片" titl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 descr="参考图片" title="图片"/>
                          <pic:cNvPicPr>
                            <a:picLocks noChangeAspect="1" noChangeArrowheads="1"/>
                          </pic:cNvPicPr>
                        </pic:nvPicPr>
                        <pic:blipFill>
                          <a:blip r:embed="rId21"/>
                          <a:srcRect/>
                          <a:stretch>
                            <a:fillRect/>
                          </a:stretch>
                        </pic:blipFill>
                        <pic:spPr>
                          <a:xfrm>
                            <a:off x="0" y="0"/>
                            <a:ext cx="1339215" cy="1339215"/>
                          </a:xfrm>
                          <a:prstGeom prst="rect">
                            <a:avLst/>
                          </a:prstGeom>
                        </pic:spPr>
                      </pic:pic>
                    </a:graphicData>
                  </a:graphic>
                </wp:inline>
              </w:drawing>
            </w:r>
          </w:p>
        </w:tc>
        <w:tc>
          <w:tcPr>
            <w:tcW w:w="621" w:type="pct"/>
            <w:tcBorders>
              <w:top w:val="single" w:color="000000" w:sz="0" w:space="0"/>
              <w:left w:val="single" w:color="000000" w:sz="0" w:space="0"/>
              <w:bottom w:val="single" w:color="000000" w:sz="0" w:space="0"/>
              <w:right w:val="single" w:color="000000" w:sz="0" w:space="0"/>
            </w:tcBorders>
          </w:tcPr>
          <w:p w14:paraId="0E0C85C9">
            <w:pPr>
              <w:jc w:val="left"/>
              <w:rPr>
                <w:color w:val="auto"/>
                <w:highlight w:val="none"/>
              </w:rPr>
            </w:pPr>
            <w:r>
              <w:rPr>
                <w:rFonts w:hint="eastAsia"/>
                <w:color w:val="auto"/>
                <w:sz w:val="20"/>
                <w:szCs w:val="20"/>
                <w:highlight w:val="none"/>
                <w:lang w:val="en-US" w:eastAsia="zh-CN"/>
              </w:rPr>
              <w:t>总体尺寸：</w:t>
            </w:r>
            <w:r>
              <w:rPr>
                <w:color w:val="auto"/>
                <w:sz w:val="20"/>
                <w:szCs w:val="20"/>
                <w:highlight w:val="none"/>
              </w:rPr>
              <w:t>1500*700*750*</w:t>
            </w:r>
            <w:r>
              <w:rPr>
                <w:rFonts w:hint="eastAsia"/>
                <w:color w:val="auto"/>
                <w:sz w:val="20"/>
                <w:szCs w:val="20"/>
                <w:highlight w:val="none"/>
                <w:lang w:val="en-US" w:eastAsia="zh-CN"/>
              </w:rPr>
              <w:t>2套</w:t>
            </w:r>
            <w:r>
              <w:rPr>
                <w:color w:val="auto"/>
                <w:sz w:val="20"/>
                <w:szCs w:val="20"/>
                <w:highlight w:val="none"/>
              </w:rPr>
              <w:t>（1套</w:t>
            </w:r>
            <w:r>
              <w:rPr>
                <w:rFonts w:hint="eastAsia"/>
                <w:color w:val="auto"/>
                <w:sz w:val="20"/>
                <w:szCs w:val="20"/>
                <w:highlight w:val="none"/>
                <w:lang w:val="en-US" w:eastAsia="zh-CN"/>
              </w:rPr>
              <w:t>包含桌子尺寸</w:t>
            </w:r>
            <w:r>
              <w:rPr>
                <w:color w:val="auto"/>
                <w:sz w:val="20"/>
                <w:szCs w:val="20"/>
                <w:highlight w:val="none"/>
              </w:rPr>
              <w:t>1500*700*750</w:t>
            </w:r>
            <w:r>
              <w:rPr>
                <w:rFonts w:hint="eastAsia"/>
                <w:color w:val="auto"/>
                <w:sz w:val="20"/>
                <w:szCs w:val="20"/>
                <w:highlight w:val="none"/>
                <w:lang w:val="en-US" w:eastAsia="zh-CN"/>
              </w:rPr>
              <w:t>数量1个</w:t>
            </w:r>
            <w:r>
              <w:rPr>
                <w:rFonts w:hint="eastAsia"/>
                <w:color w:val="auto"/>
                <w:sz w:val="20"/>
                <w:szCs w:val="20"/>
                <w:highlight w:val="none"/>
                <w:lang w:eastAsia="zh-CN"/>
              </w:rPr>
              <w:t>；</w:t>
            </w:r>
            <w:r>
              <w:rPr>
                <w:rFonts w:hint="eastAsia"/>
                <w:color w:val="auto"/>
                <w:sz w:val="20"/>
                <w:szCs w:val="20"/>
                <w:highlight w:val="none"/>
                <w:lang w:val="en-US" w:eastAsia="zh-CN"/>
              </w:rPr>
              <w:t>边侧</w:t>
            </w:r>
            <w:r>
              <w:rPr>
                <w:color w:val="auto"/>
                <w:sz w:val="20"/>
                <w:szCs w:val="20"/>
                <w:highlight w:val="none"/>
              </w:rPr>
              <w:t>柜子</w:t>
            </w:r>
            <w:r>
              <w:rPr>
                <w:rFonts w:hint="eastAsia"/>
                <w:color w:val="auto"/>
                <w:sz w:val="20"/>
                <w:szCs w:val="20"/>
                <w:highlight w:val="none"/>
                <w:lang w:val="en-US" w:eastAsia="zh-CN"/>
              </w:rPr>
              <w:t>尺寸</w:t>
            </w:r>
            <w:r>
              <w:rPr>
                <w:color w:val="auto"/>
                <w:sz w:val="20"/>
                <w:szCs w:val="20"/>
                <w:highlight w:val="none"/>
              </w:rPr>
              <w:t>400*700*1000）</w:t>
            </w:r>
            <w:r>
              <w:rPr>
                <w:rFonts w:hint="eastAsia"/>
                <w:color w:val="auto"/>
                <w:sz w:val="20"/>
                <w:szCs w:val="20"/>
                <w:highlight w:val="none"/>
                <w:lang w:val="en-US" w:eastAsia="zh-CN"/>
              </w:rPr>
              <w:t>数量1个）</w:t>
            </w:r>
          </w:p>
        </w:tc>
        <w:tc>
          <w:tcPr>
            <w:tcW w:w="204" w:type="pct"/>
            <w:tcBorders>
              <w:top w:val="single" w:color="000000" w:sz="0" w:space="0"/>
              <w:left w:val="single" w:color="000000" w:sz="0" w:space="0"/>
              <w:bottom w:val="single" w:color="000000" w:sz="0" w:space="0"/>
              <w:right w:val="single" w:color="000000" w:sz="0" w:space="0"/>
            </w:tcBorders>
          </w:tcPr>
          <w:p w14:paraId="117519E8">
            <w:pPr>
              <w:jc w:val="center"/>
              <w:rPr>
                <w:color w:val="auto"/>
                <w:highlight w:val="none"/>
              </w:rPr>
            </w:pPr>
            <w:r>
              <w:rPr>
                <w:color w:val="auto"/>
                <w:sz w:val="20"/>
                <w:szCs w:val="20"/>
                <w:highlight w:val="none"/>
              </w:rPr>
              <w:t>2套</w:t>
            </w:r>
          </w:p>
        </w:tc>
        <w:tc>
          <w:tcPr>
            <w:tcW w:w="504" w:type="pct"/>
            <w:tcBorders>
              <w:top w:val="single" w:color="000000" w:sz="0" w:space="0"/>
              <w:left w:val="single" w:color="000000" w:sz="0" w:space="0"/>
              <w:bottom w:val="single" w:color="000000" w:sz="0" w:space="0"/>
              <w:right w:val="single" w:color="000000" w:sz="0" w:space="0"/>
            </w:tcBorders>
          </w:tcPr>
          <w:p w14:paraId="546FA15D">
            <w:pPr>
              <w:jc w:val="left"/>
              <w:rPr>
                <w:color w:val="auto"/>
                <w:highlight w:val="none"/>
              </w:rPr>
            </w:pPr>
            <w:r>
              <w:rPr>
                <w:color w:val="auto"/>
                <w:sz w:val="20"/>
                <w:szCs w:val="20"/>
                <w:highlight w:val="none"/>
              </w:rPr>
              <w:t>基材、封边、脚轮</w:t>
            </w:r>
          </w:p>
        </w:tc>
        <w:tc>
          <w:tcPr>
            <w:tcW w:w="314" w:type="pct"/>
            <w:tcBorders>
              <w:top w:val="single" w:color="000000" w:sz="0" w:space="0"/>
              <w:left w:val="single" w:color="000000" w:sz="0" w:space="0"/>
              <w:bottom w:val="single" w:color="000000" w:sz="0" w:space="0"/>
              <w:right w:val="single" w:color="000000" w:sz="0" w:space="0"/>
            </w:tcBorders>
          </w:tcPr>
          <w:p w14:paraId="598E3C95">
            <w:pPr>
              <w:jc w:val="left"/>
              <w:rPr>
                <w:color w:val="auto"/>
                <w:highlight w:val="none"/>
              </w:rPr>
            </w:pPr>
            <w:r>
              <w:rPr>
                <w:color w:val="auto"/>
                <w:sz w:val="20"/>
                <w:szCs w:val="20"/>
                <w:highlight w:val="none"/>
              </w:rPr>
              <w:t>刨花板</w:t>
            </w:r>
          </w:p>
        </w:tc>
        <w:tc>
          <w:tcPr>
            <w:tcW w:w="2095" w:type="pct"/>
            <w:tcBorders>
              <w:top w:val="single" w:color="000000" w:sz="0" w:space="0"/>
              <w:left w:val="single" w:color="000000" w:sz="0" w:space="0"/>
              <w:bottom w:val="single" w:color="000000" w:sz="0" w:space="0"/>
              <w:right w:val="single" w:color="000000" w:sz="0" w:space="0"/>
            </w:tcBorders>
          </w:tcPr>
          <w:p w14:paraId="40B70B20">
            <w:pPr>
              <w:jc w:val="left"/>
              <w:rPr>
                <w:color w:val="auto"/>
                <w:sz w:val="20"/>
                <w:szCs w:val="20"/>
                <w:highlight w:val="none"/>
              </w:rPr>
            </w:pPr>
            <w:r>
              <w:rPr>
                <w:rFonts w:hint="eastAsia"/>
                <w:color w:val="auto"/>
                <w:sz w:val="20"/>
                <w:szCs w:val="20"/>
                <w:highlight w:val="none"/>
              </w:rPr>
              <w:t>（1）桌面：采用ENF级三聚氰胺饰面刨花板，台面厚度</w:t>
            </w:r>
            <w:r>
              <w:rPr>
                <w:rFonts w:hint="eastAsia" w:ascii="宋体" w:hAnsi="宋体" w:cs="宋体"/>
                <w:snapToGrid w:val="0"/>
                <w:color w:val="auto"/>
                <w:kern w:val="0"/>
                <w:sz w:val="20"/>
                <w:szCs w:val="20"/>
                <w:highlight w:val="none"/>
                <w:lang w:bidi="ar"/>
              </w:rPr>
              <w:t>≥</w:t>
            </w:r>
            <w:r>
              <w:rPr>
                <w:rFonts w:hint="eastAsia"/>
                <w:color w:val="auto"/>
                <w:sz w:val="20"/>
                <w:szCs w:val="20"/>
                <w:highlight w:val="none"/>
              </w:rPr>
              <w:t>25mm，其他板材厚度</w:t>
            </w:r>
            <w:r>
              <w:rPr>
                <w:rFonts w:hint="eastAsia" w:ascii="宋体" w:hAnsi="宋体" w:cs="宋体"/>
                <w:snapToGrid w:val="0"/>
                <w:color w:val="auto"/>
                <w:kern w:val="0"/>
                <w:sz w:val="20"/>
                <w:szCs w:val="20"/>
                <w:highlight w:val="none"/>
                <w:lang w:bidi="ar"/>
              </w:rPr>
              <w:t>≥</w:t>
            </w:r>
            <w:r>
              <w:rPr>
                <w:rFonts w:hint="eastAsia"/>
                <w:color w:val="auto"/>
                <w:sz w:val="20"/>
                <w:szCs w:val="20"/>
                <w:highlight w:val="none"/>
              </w:rPr>
              <w:t>18mm，四周采用同色PVC直封边。</w:t>
            </w:r>
          </w:p>
          <w:p w14:paraId="4932B326">
            <w:pPr>
              <w:jc w:val="left"/>
              <w:rPr>
                <w:color w:val="auto"/>
                <w:highlight w:val="none"/>
              </w:rPr>
            </w:pPr>
            <w:r>
              <w:rPr>
                <w:rFonts w:hint="eastAsia"/>
                <w:color w:val="auto"/>
                <w:sz w:val="20"/>
                <w:szCs w:val="20"/>
                <w:highlight w:val="none"/>
              </w:rPr>
              <w:t>（2）桌架：钢架：顶板为</w:t>
            </w:r>
            <w:r>
              <w:rPr>
                <w:rFonts w:hint="eastAsia" w:ascii="宋体" w:hAnsi="宋体" w:cs="宋体"/>
                <w:snapToGrid w:val="0"/>
                <w:color w:val="auto"/>
                <w:kern w:val="0"/>
                <w:sz w:val="20"/>
                <w:szCs w:val="20"/>
                <w:highlight w:val="none"/>
                <w:lang w:bidi="ar"/>
              </w:rPr>
              <w:t>≥</w:t>
            </w:r>
            <w:r>
              <w:rPr>
                <w:rFonts w:hint="eastAsia"/>
                <w:color w:val="auto"/>
                <w:sz w:val="20"/>
                <w:szCs w:val="20"/>
                <w:highlight w:val="none"/>
              </w:rPr>
              <w:t>1.5mm钢板冲压成型，立柱</w:t>
            </w:r>
            <w:r>
              <w:rPr>
                <w:rFonts w:hint="eastAsia" w:ascii="宋体" w:hAnsi="宋体" w:cs="宋体"/>
                <w:snapToGrid w:val="0"/>
                <w:color w:val="auto"/>
                <w:kern w:val="0"/>
                <w:sz w:val="20"/>
                <w:szCs w:val="20"/>
                <w:highlight w:val="none"/>
                <w:lang w:bidi="ar"/>
              </w:rPr>
              <w:t>≥</w:t>
            </w:r>
            <w:r>
              <w:rPr>
                <w:rFonts w:hint="eastAsia"/>
                <w:color w:val="auto"/>
                <w:sz w:val="20"/>
                <w:szCs w:val="20"/>
                <w:highlight w:val="none"/>
              </w:rPr>
              <w:t>50*25*1.2蛋通。表面全处理后高温静电喷涂，带刹车PU静音轮。桌子稳固不摇晃。                                                                                                                                                  （3）</w:t>
            </w:r>
            <w:r>
              <w:rPr>
                <w:rFonts w:hint="eastAsia" w:ascii="宋体" w:hAnsi="宋体" w:cs="宋体"/>
                <w:color w:val="auto"/>
                <w:sz w:val="18"/>
                <w:szCs w:val="18"/>
                <w:highlight w:val="none"/>
                <w:lang w:bidi="ar"/>
              </w:rPr>
              <w:t>环保：家具成品均</w:t>
            </w:r>
            <w:r>
              <w:rPr>
                <w:rFonts w:hint="eastAsia" w:ascii="宋体" w:hAnsi="宋体" w:cs="宋体"/>
                <w:color w:val="auto"/>
                <w:sz w:val="18"/>
                <w:szCs w:val="18"/>
                <w:highlight w:val="none"/>
                <w:lang w:eastAsia="zh-CN" w:bidi="ar"/>
              </w:rPr>
              <w:t>需</w:t>
            </w:r>
            <w:r>
              <w:rPr>
                <w:rFonts w:hint="eastAsia" w:ascii="宋体" w:hAnsi="宋体" w:cs="宋体"/>
                <w:color w:val="auto"/>
                <w:sz w:val="18"/>
                <w:szCs w:val="18"/>
                <w:highlight w:val="none"/>
                <w:lang w:bidi="ar"/>
              </w:rPr>
              <w:t>满足GB/T 35607-2024《绿色产品评价 家具》的要求（其中成品甲醛释放量≤0.05mg/m3，苯≤0.05mg/m3，甲苯、二甲苯≤0.1mg/m3，TVOC≤0.3mg/m3）</w:t>
            </w:r>
          </w:p>
        </w:tc>
      </w:tr>
      <w:tr w14:paraId="5B3E2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0" w:type="dxa"/>
            <w:left w:w="100" w:type="dxa"/>
            <w:bottom w:w="50" w:type="dxa"/>
            <w:right w:w="100" w:type="dxa"/>
          </w:tblCellMar>
        </w:tblPrEx>
        <w:tc>
          <w:tcPr>
            <w:tcW w:w="153" w:type="pct"/>
            <w:tcBorders>
              <w:top w:val="single" w:color="000000" w:sz="0" w:space="0"/>
              <w:left w:val="single" w:color="000000" w:sz="0" w:space="0"/>
              <w:bottom w:val="single" w:color="000000" w:sz="0" w:space="0"/>
              <w:right w:val="single" w:color="000000" w:sz="0" w:space="0"/>
            </w:tcBorders>
          </w:tcPr>
          <w:p w14:paraId="27B59BE1">
            <w:pPr>
              <w:numPr>
                <w:ilvl w:val="0"/>
                <w:numId w:val="7"/>
              </w:numPr>
              <w:jc w:val="center"/>
              <w:rPr>
                <w:color w:val="auto"/>
                <w:highlight w:val="none"/>
              </w:rPr>
            </w:pPr>
          </w:p>
        </w:tc>
        <w:tc>
          <w:tcPr>
            <w:tcW w:w="325" w:type="pct"/>
            <w:tcBorders>
              <w:top w:val="single" w:color="000000" w:sz="0" w:space="0"/>
              <w:left w:val="single" w:color="000000" w:sz="0" w:space="0"/>
              <w:bottom w:val="single" w:color="000000" w:sz="0" w:space="0"/>
              <w:right w:val="single" w:color="000000" w:sz="0" w:space="0"/>
            </w:tcBorders>
          </w:tcPr>
          <w:p w14:paraId="7D29D1AA">
            <w:pPr>
              <w:jc w:val="left"/>
              <w:rPr>
                <w:color w:val="auto"/>
                <w:highlight w:val="none"/>
              </w:rPr>
            </w:pPr>
            <w:r>
              <w:rPr>
                <w:color w:val="auto"/>
                <w:sz w:val="20"/>
                <w:szCs w:val="20"/>
                <w:highlight w:val="none"/>
              </w:rPr>
              <w:t>升降讲台</w:t>
            </w:r>
          </w:p>
        </w:tc>
        <w:tc>
          <w:tcPr>
            <w:tcW w:w="257" w:type="pct"/>
            <w:tcBorders>
              <w:top w:val="single" w:color="000000" w:sz="0" w:space="0"/>
              <w:left w:val="single" w:color="000000" w:sz="0" w:space="0"/>
              <w:bottom w:val="single" w:color="000000" w:sz="0" w:space="0"/>
              <w:right w:val="single" w:color="000000" w:sz="0" w:space="0"/>
            </w:tcBorders>
          </w:tcPr>
          <w:p w14:paraId="485D592C">
            <w:pPr>
              <w:jc w:val="center"/>
              <w:rPr>
                <w:color w:val="auto"/>
                <w:highlight w:val="none"/>
              </w:rPr>
            </w:pPr>
            <w:r>
              <w:rPr>
                <w:color w:val="auto"/>
                <w:sz w:val="20"/>
                <w:szCs w:val="20"/>
                <w:highlight w:val="none"/>
              </w:rPr>
              <w:t>讲台</w:t>
            </w:r>
          </w:p>
        </w:tc>
        <w:tc>
          <w:tcPr>
            <w:tcW w:w="524" w:type="pct"/>
          </w:tcPr>
          <w:p w14:paraId="4032D4E9">
            <w:pPr>
              <w:jc w:val="center"/>
              <w:rPr>
                <w:color w:val="auto"/>
                <w:highlight w:val="none"/>
              </w:rPr>
            </w:pPr>
            <w:r>
              <w:rPr>
                <w:color w:val="auto"/>
                <w:highlight w:val="none"/>
              </w:rPr>
              <w:drawing>
                <wp:inline distT="0" distB="0" distL="114300" distR="114300">
                  <wp:extent cx="1350645" cy="1032510"/>
                  <wp:effectExtent l="0" t="0" r="1905" b="15240"/>
                  <wp:docPr id="4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2"/>
                          <pic:cNvPicPr>
                            <a:picLocks noChangeAspect="1"/>
                          </pic:cNvPicPr>
                        </pic:nvPicPr>
                        <pic:blipFill>
                          <a:blip r:embed="rId22"/>
                          <a:stretch>
                            <a:fillRect/>
                          </a:stretch>
                        </pic:blipFill>
                        <pic:spPr>
                          <a:xfrm>
                            <a:off x="0" y="0"/>
                            <a:ext cx="1350645" cy="1032510"/>
                          </a:xfrm>
                          <a:prstGeom prst="rect">
                            <a:avLst/>
                          </a:prstGeom>
                          <a:noFill/>
                          <a:ln>
                            <a:noFill/>
                          </a:ln>
                        </pic:spPr>
                      </pic:pic>
                    </a:graphicData>
                  </a:graphic>
                </wp:inline>
              </w:drawing>
            </w:r>
          </w:p>
        </w:tc>
        <w:tc>
          <w:tcPr>
            <w:tcW w:w="621" w:type="pct"/>
            <w:tcBorders>
              <w:top w:val="single" w:color="000000" w:sz="0" w:space="0"/>
              <w:left w:val="single" w:color="000000" w:sz="0" w:space="0"/>
              <w:bottom w:val="single" w:color="000000" w:sz="0" w:space="0"/>
              <w:right w:val="single" w:color="000000" w:sz="0" w:space="0"/>
            </w:tcBorders>
          </w:tcPr>
          <w:p w14:paraId="791EC602">
            <w:pPr>
              <w:jc w:val="left"/>
              <w:rPr>
                <w:color w:val="auto"/>
                <w:highlight w:val="none"/>
              </w:rPr>
            </w:pPr>
            <w:r>
              <w:rPr>
                <w:color w:val="auto"/>
                <w:sz w:val="20"/>
                <w:szCs w:val="20"/>
                <w:highlight w:val="none"/>
              </w:rPr>
              <w:t>1600*</w:t>
            </w:r>
            <w:r>
              <w:rPr>
                <w:rFonts w:hint="eastAsia"/>
                <w:color w:val="auto"/>
                <w:sz w:val="20"/>
                <w:szCs w:val="20"/>
                <w:highlight w:val="none"/>
              </w:rPr>
              <w:t>77</w:t>
            </w:r>
            <w:r>
              <w:rPr>
                <w:color w:val="auto"/>
                <w:sz w:val="20"/>
                <w:szCs w:val="20"/>
                <w:highlight w:val="none"/>
              </w:rPr>
              <w:t>0*</w:t>
            </w:r>
            <w:r>
              <w:rPr>
                <w:rFonts w:hint="eastAsia"/>
                <w:color w:val="auto"/>
                <w:sz w:val="20"/>
                <w:szCs w:val="20"/>
                <w:highlight w:val="none"/>
                <w:lang w:eastAsia="zh-CN"/>
              </w:rPr>
              <w:t>（</w:t>
            </w:r>
            <w:r>
              <w:rPr>
                <w:color w:val="auto"/>
                <w:sz w:val="20"/>
                <w:szCs w:val="20"/>
                <w:highlight w:val="none"/>
              </w:rPr>
              <w:t>750-1220</w:t>
            </w:r>
            <w:r>
              <w:rPr>
                <w:rFonts w:hint="eastAsia"/>
                <w:color w:val="auto"/>
                <w:sz w:val="20"/>
                <w:szCs w:val="20"/>
                <w:highlight w:val="none"/>
                <w:lang w:eastAsia="zh-CN"/>
              </w:rPr>
              <w:t>）</w:t>
            </w:r>
            <w:r>
              <w:rPr>
                <w:rFonts w:hint="eastAsia"/>
                <w:color w:val="auto"/>
                <w:sz w:val="20"/>
                <w:szCs w:val="20"/>
                <w:highlight w:val="none"/>
                <w:lang w:val="en-US" w:eastAsia="zh-CN"/>
              </w:rPr>
              <w:t>尺寸可±10</w:t>
            </w:r>
          </w:p>
        </w:tc>
        <w:tc>
          <w:tcPr>
            <w:tcW w:w="204" w:type="pct"/>
            <w:tcBorders>
              <w:top w:val="single" w:color="000000" w:sz="0" w:space="0"/>
              <w:left w:val="single" w:color="000000" w:sz="0" w:space="0"/>
              <w:bottom w:val="single" w:color="000000" w:sz="0" w:space="0"/>
              <w:right w:val="single" w:color="000000" w:sz="0" w:space="0"/>
            </w:tcBorders>
          </w:tcPr>
          <w:p w14:paraId="2C9F32FD">
            <w:pPr>
              <w:jc w:val="center"/>
              <w:rPr>
                <w:color w:val="auto"/>
                <w:highlight w:val="none"/>
              </w:rPr>
            </w:pPr>
            <w:r>
              <w:rPr>
                <w:color w:val="auto"/>
                <w:sz w:val="20"/>
                <w:szCs w:val="20"/>
                <w:highlight w:val="none"/>
              </w:rPr>
              <w:t>75张</w:t>
            </w:r>
          </w:p>
        </w:tc>
        <w:tc>
          <w:tcPr>
            <w:tcW w:w="504" w:type="pct"/>
            <w:tcBorders>
              <w:top w:val="single" w:color="000000" w:sz="0" w:space="0"/>
              <w:left w:val="single" w:color="000000" w:sz="0" w:space="0"/>
              <w:bottom w:val="single" w:color="000000" w:sz="0" w:space="0"/>
              <w:right w:val="single" w:color="000000" w:sz="0" w:space="0"/>
            </w:tcBorders>
          </w:tcPr>
          <w:p w14:paraId="7273DBEA">
            <w:pPr>
              <w:jc w:val="left"/>
              <w:rPr>
                <w:rFonts w:hint="eastAsia" w:eastAsia="宋体"/>
                <w:color w:val="auto"/>
                <w:highlight w:val="none"/>
                <w:lang w:eastAsia="zh-CN"/>
              </w:rPr>
            </w:pPr>
            <w:r>
              <w:rPr>
                <w:rFonts w:hint="eastAsia"/>
                <w:color w:val="auto"/>
                <w:sz w:val="20"/>
                <w:szCs w:val="20"/>
                <w:highlight w:val="none"/>
                <w:lang w:val="en-US" w:eastAsia="zh-CN"/>
              </w:rPr>
              <w:t>一体式</w:t>
            </w:r>
          </w:p>
        </w:tc>
        <w:tc>
          <w:tcPr>
            <w:tcW w:w="314" w:type="pct"/>
            <w:tcBorders>
              <w:top w:val="single" w:color="000000" w:sz="0" w:space="0"/>
              <w:left w:val="single" w:color="000000" w:sz="0" w:space="0"/>
              <w:bottom w:val="single" w:color="000000" w:sz="0" w:space="0"/>
              <w:right w:val="single" w:color="000000" w:sz="0" w:space="0"/>
            </w:tcBorders>
          </w:tcPr>
          <w:p w14:paraId="61C88F33">
            <w:pPr>
              <w:jc w:val="left"/>
              <w:rPr>
                <w:color w:val="auto"/>
                <w:highlight w:val="none"/>
              </w:rPr>
            </w:pPr>
            <w:r>
              <w:rPr>
                <w:color w:val="auto"/>
                <w:sz w:val="20"/>
                <w:szCs w:val="20"/>
                <w:highlight w:val="none"/>
              </w:rPr>
              <w:t>刨花板、冷轧钢板、高密度海绵</w:t>
            </w:r>
          </w:p>
        </w:tc>
        <w:tc>
          <w:tcPr>
            <w:tcW w:w="2095" w:type="pct"/>
            <w:tcBorders>
              <w:top w:val="single" w:color="000000" w:sz="0" w:space="0"/>
              <w:left w:val="single" w:color="000000" w:sz="0" w:space="0"/>
              <w:bottom w:val="single" w:color="000000" w:sz="0" w:space="0"/>
              <w:right w:val="single" w:color="000000" w:sz="0" w:space="0"/>
            </w:tcBorders>
          </w:tcPr>
          <w:p w14:paraId="662A86A5">
            <w:pPr>
              <w:jc w:val="left"/>
              <w:rPr>
                <w:color w:val="auto"/>
                <w:sz w:val="20"/>
                <w:szCs w:val="20"/>
                <w:highlight w:val="none"/>
              </w:rPr>
            </w:pPr>
            <w:r>
              <w:rPr>
                <w:rFonts w:hint="eastAsia"/>
                <w:color w:val="auto"/>
                <w:sz w:val="20"/>
                <w:szCs w:val="20"/>
                <w:highlight w:val="none"/>
              </w:rPr>
              <w:t>（1）桌面：采用ENF级三聚氰胺饰面刨花板，台面厚度</w:t>
            </w:r>
            <w:r>
              <w:rPr>
                <w:rFonts w:hint="eastAsia" w:ascii="宋体" w:hAnsi="宋体" w:cs="宋体"/>
                <w:snapToGrid w:val="0"/>
                <w:color w:val="auto"/>
                <w:kern w:val="0"/>
                <w:sz w:val="20"/>
                <w:szCs w:val="20"/>
                <w:highlight w:val="none"/>
                <w:lang w:bidi="ar"/>
              </w:rPr>
              <w:t>≥</w:t>
            </w:r>
            <w:r>
              <w:rPr>
                <w:rFonts w:hint="eastAsia"/>
                <w:color w:val="auto"/>
                <w:sz w:val="20"/>
                <w:szCs w:val="20"/>
                <w:highlight w:val="none"/>
              </w:rPr>
              <w:t>25mm，四周采用同色PVC封边。</w:t>
            </w:r>
          </w:p>
          <w:p w14:paraId="087C5018">
            <w:pPr>
              <w:jc w:val="left"/>
              <w:rPr>
                <w:color w:val="auto"/>
                <w:sz w:val="20"/>
                <w:szCs w:val="20"/>
                <w:highlight w:val="none"/>
              </w:rPr>
            </w:pPr>
            <w:r>
              <w:rPr>
                <w:rFonts w:hint="eastAsia"/>
                <w:color w:val="auto"/>
                <w:sz w:val="20"/>
                <w:szCs w:val="20"/>
                <w:highlight w:val="none"/>
              </w:rPr>
              <w:t>（2）</w:t>
            </w:r>
            <w:r>
              <w:rPr>
                <w:color w:val="auto"/>
                <w:sz w:val="20"/>
                <w:szCs w:val="20"/>
                <w:highlight w:val="none"/>
              </w:rPr>
              <w:t xml:space="preserve">采用 </w:t>
            </w:r>
            <w:r>
              <w:rPr>
                <w:rFonts w:hint="eastAsia" w:ascii="宋体" w:hAnsi="宋体" w:cs="宋体"/>
                <w:snapToGrid w:val="0"/>
                <w:color w:val="auto"/>
                <w:kern w:val="0"/>
                <w:sz w:val="20"/>
                <w:szCs w:val="20"/>
                <w:highlight w:val="none"/>
                <w:lang w:bidi="ar"/>
              </w:rPr>
              <w:t>≥</w:t>
            </w:r>
            <w:r>
              <w:rPr>
                <w:color w:val="auto"/>
                <w:sz w:val="20"/>
                <w:szCs w:val="20"/>
                <w:highlight w:val="none"/>
              </w:rPr>
              <w:t>16mm 厚度胶合多层木板，同色油漆封边，木色围挡设计，挡板最高</w:t>
            </w:r>
            <w:r>
              <w:rPr>
                <w:rFonts w:hint="eastAsia" w:ascii="宋体" w:hAnsi="宋体" w:cs="宋体"/>
                <w:snapToGrid w:val="0"/>
                <w:color w:val="auto"/>
                <w:kern w:val="0"/>
                <w:sz w:val="20"/>
                <w:szCs w:val="20"/>
                <w:highlight w:val="none"/>
                <w:lang w:bidi="ar"/>
              </w:rPr>
              <w:t>≥</w:t>
            </w:r>
            <w:r>
              <w:rPr>
                <w:color w:val="auto"/>
                <w:sz w:val="20"/>
                <w:szCs w:val="20"/>
                <w:highlight w:val="none"/>
              </w:rPr>
              <w:t xml:space="preserve"> 170mm，两边</w:t>
            </w:r>
            <w:r>
              <w:rPr>
                <w:rFonts w:hint="eastAsia" w:ascii="宋体" w:hAnsi="宋体" w:cs="宋体"/>
                <w:snapToGrid w:val="0"/>
                <w:color w:val="auto"/>
                <w:kern w:val="0"/>
                <w:sz w:val="20"/>
                <w:szCs w:val="20"/>
                <w:highlight w:val="none"/>
                <w:lang w:bidi="ar"/>
              </w:rPr>
              <w:t>≥</w:t>
            </w:r>
            <w:r>
              <w:rPr>
                <w:color w:val="auto"/>
                <w:sz w:val="20"/>
                <w:szCs w:val="20"/>
                <w:highlight w:val="none"/>
              </w:rPr>
              <w:t xml:space="preserve"> 105mm，可防止桌面物品滚落。下挡板是采用 1.2 厚度的钢板折弯成型后焊接成为一体。</w:t>
            </w:r>
          </w:p>
          <w:p w14:paraId="24196EA1">
            <w:pPr>
              <w:jc w:val="left"/>
              <w:rPr>
                <w:color w:val="auto"/>
                <w:sz w:val="20"/>
                <w:szCs w:val="20"/>
                <w:highlight w:val="none"/>
              </w:rPr>
            </w:pPr>
            <w:r>
              <w:rPr>
                <w:rFonts w:hint="eastAsia"/>
                <w:color w:val="auto"/>
                <w:sz w:val="20"/>
                <w:szCs w:val="20"/>
                <w:highlight w:val="none"/>
              </w:rPr>
              <w:t>（3）箱体</w:t>
            </w:r>
            <w:r>
              <w:rPr>
                <w:color w:val="auto"/>
                <w:sz w:val="20"/>
                <w:szCs w:val="20"/>
                <w:highlight w:val="none"/>
              </w:rPr>
              <w:t xml:space="preserve">采用 </w:t>
            </w:r>
            <w:r>
              <w:rPr>
                <w:rFonts w:hint="eastAsia" w:ascii="宋体" w:hAnsi="宋体" w:cs="宋体"/>
                <w:snapToGrid w:val="0"/>
                <w:color w:val="auto"/>
                <w:kern w:val="0"/>
                <w:sz w:val="20"/>
                <w:szCs w:val="20"/>
                <w:highlight w:val="none"/>
                <w:lang w:bidi="ar"/>
              </w:rPr>
              <w:t>≥</w:t>
            </w:r>
            <w:r>
              <w:rPr>
                <w:color w:val="auto"/>
                <w:sz w:val="20"/>
                <w:szCs w:val="20"/>
                <w:highlight w:val="none"/>
              </w:rPr>
              <w:t>1.2mm 优质钢材激光精准设计箱柜，可用于储物及主机设备等放置，内部设计过线槽，可用于穿插讲桌内部设备和外部设备之间的连接线缆，避免绊脚拉线，提高使用的安全性。</w:t>
            </w:r>
          </w:p>
          <w:p w14:paraId="7EB5DC05">
            <w:pPr>
              <w:jc w:val="left"/>
              <w:rPr>
                <w:color w:val="auto"/>
                <w:sz w:val="20"/>
                <w:szCs w:val="20"/>
                <w:highlight w:val="none"/>
              </w:rPr>
            </w:pPr>
            <w:r>
              <w:rPr>
                <w:rFonts w:hint="eastAsia"/>
                <w:color w:val="auto"/>
                <w:sz w:val="20"/>
                <w:szCs w:val="20"/>
                <w:highlight w:val="none"/>
              </w:rPr>
              <w:t>（4）</w:t>
            </w:r>
            <w:r>
              <w:rPr>
                <w:color w:val="auto"/>
                <w:sz w:val="20"/>
                <w:szCs w:val="20"/>
                <w:highlight w:val="none"/>
              </w:rPr>
              <w:t>双电机两节升降，可设置</w:t>
            </w:r>
            <w:r>
              <w:rPr>
                <w:rFonts w:hint="eastAsia" w:ascii="宋体" w:hAnsi="宋体" w:cs="宋体"/>
                <w:snapToGrid w:val="0"/>
                <w:color w:val="auto"/>
                <w:kern w:val="0"/>
                <w:sz w:val="20"/>
                <w:szCs w:val="20"/>
                <w:highlight w:val="none"/>
                <w:lang w:bidi="ar"/>
              </w:rPr>
              <w:t>≥</w:t>
            </w:r>
            <w:r>
              <w:rPr>
                <w:color w:val="auto"/>
                <w:sz w:val="20"/>
                <w:szCs w:val="20"/>
                <w:highlight w:val="none"/>
              </w:rPr>
              <w:t xml:space="preserve"> 4 个记忆高度，升降高度范围 750</w:t>
            </w:r>
            <w:r>
              <w:rPr>
                <w:rFonts w:hint="eastAsia"/>
                <w:color w:val="auto"/>
                <w:sz w:val="20"/>
                <w:szCs w:val="20"/>
                <w:highlight w:val="none"/>
                <w:lang w:val="en-US" w:eastAsia="zh-CN"/>
              </w:rPr>
              <w:t>-</w:t>
            </w:r>
            <w:r>
              <w:rPr>
                <w:color w:val="auto"/>
                <w:sz w:val="20"/>
                <w:szCs w:val="20"/>
                <w:highlight w:val="none"/>
              </w:rPr>
              <w:t>1220mm</w:t>
            </w:r>
            <w:r>
              <w:rPr>
                <w:rFonts w:hint="eastAsia"/>
                <w:color w:val="auto"/>
                <w:sz w:val="20"/>
                <w:szCs w:val="20"/>
                <w:highlight w:val="none"/>
              </w:rPr>
              <w:t>。</w:t>
            </w:r>
          </w:p>
          <w:p w14:paraId="21C69B3D">
            <w:pPr>
              <w:jc w:val="left"/>
              <w:rPr>
                <w:color w:val="auto"/>
                <w:highlight w:val="none"/>
              </w:rPr>
            </w:pPr>
            <w:r>
              <w:rPr>
                <w:rFonts w:hint="eastAsia"/>
                <w:color w:val="auto"/>
                <w:sz w:val="20"/>
                <w:szCs w:val="20"/>
                <w:highlight w:val="none"/>
              </w:rPr>
              <w:t>（5）</w:t>
            </w:r>
            <w:r>
              <w:rPr>
                <w:rFonts w:hint="eastAsia" w:ascii="宋体" w:hAnsi="宋体" w:cs="宋体"/>
                <w:color w:val="auto"/>
                <w:sz w:val="18"/>
                <w:szCs w:val="18"/>
                <w:highlight w:val="none"/>
                <w:lang w:bidi="ar"/>
              </w:rPr>
              <w:t>环保：家具成品均</w:t>
            </w:r>
            <w:r>
              <w:rPr>
                <w:rFonts w:hint="eastAsia" w:ascii="宋体" w:hAnsi="宋体" w:cs="宋体"/>
                <w:color w:val="auto"/>
                <w:sz w:val="18"/>
                <w:szCs w:val="18"/>
                <w:highlight w:val="none"/>
                <w:lang w:eastAsia="zh-CN" w:bidi="ar"/>
              </w:rPr>
              <w:t>需</w:t>
            </w:r>
            <w:r>
              <w:rPr>
                <w:rFonts w:hint="eastAsia" w:ascii="宋体" w:hAnsi="宋体" w:cs="宋体"/>
                <w:color w:val="auto"/>
                <w:sz w:val="18"/>
                <w:szCs w:val="18"/>
                <w:highlight w:val="none"/>
                <w:lang w:bidi="ar"/>
              </w:rPr>
              <w:t>满足GB/T 35607-2024《绿色产品评价 家具》的要求（其中成品甲醛释放量≤0.05mg/m3，苯≤0.05mg/m3，甲苯、二甲苯≤0.1mg/m3，TVOC≤0.3mg/m3）</w:t>
            </w:r>
          </w:p>
        </w:tc>
      </w:tr>
      <w:tr w14:paraId="1AA70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0" w:type="dxa"/>
            <w:left w:w="100" w:type="dxa"/>
            <w:bottom w:w="50" w:type="dxa"/>
            <w:right w:w="100" w:type="dxa"/>
          </w:tblCellMar>
        </w:tblPrEx>
        <w:tc>
          <w:tcPr>
            <w:tcW w:w="153" w:type="pct"/>
            <w:tcBorders>
              <w:top w:val="single" w:color="000000" w:sz="0" w:space="0"/>
              <w:left w:val="single" w:color="000000" w:sz="0" w:space="0"/>
              <w:bottom w:val="single" w:color="000000" w:sz="0" w:space="0"/>
              <w:right w:val="single" w:color="000000" w:sz="0" w:space="0"/>
            </w:tcBorders>
          </w:tcPr>
          <w:p w14:paraId="7AF28629">
            <w:pPr>
              <w:numPr>
                <w:ilvl w:val="0"/>
                <w:numId w:val="7"/>
              </w:numPr>
              <w:jc w:val="center"/>
              <w:rPr>
                <w:color w:val="auto"/>
                <w:highlight w:val="none"/>
              </w:rPr>
            </w:pPr>
          </w:p>
        </w:tc>
        <w:tc>
          <w:tcPr>
            <w:tcW w:w="325" w:type="pct"/>
            <w:tcBorders>
              <w:top w:val="single" w:color="000000" w:sz="0" w:space="0"/>
              <w:left w:val="single" w:color="000000" w:sz="0" w:space="0"/>
              <w:bottom w:val="single" w:color="000000" w:sz="0" w:space="0"/>
              <w:right w:val="single" w:color="000000" w:sz="0" w:space="0"/>
            </w:tcBorders>
          </w:tcPr>
          <w:p w14:paraId="4511BC2B">
            <w:pPr>
              <w:jc w:val="left"/>
              <w:rPr>
                <w:rFonts w:hint="default" w:eastAsia="宋体"/>
                <w:color w:val="auto"/>
                <w:highlight w:val="none"/>
                <w:lang w:val="en-US" w:eastAsia="zh-CN"/>
              </w:rPr>
            </w:pPr>
            <w:r>
              <w:rPr>
                <w:color w:val="auto"/>
                <w:sz w:val="20"/>
                <w:szCs w:val="20"/>
                <w:highlight w:val="none"/>
              </w:rPr>
              <w:t>计算机学生桌</w:t>
            </w:r>
            <w:r>
              <w:rPr>
                <w:rFonts w:hint="eastAsia"/>
                <w:color w:val="auto"/>
                <w:sz w:val="20"/>
                <w:szCs w:val="20"/>
                <w:highlight w:val="none"/>
                <w:lang w:eastAsia="zh-CN"/>
              </w:rPr>
              <w:t>（</w:t>
            </w:r>
            <w:r>
              <w:rPr>
                <w:rFonts w:hint="eastAsia"/>
                <w:color w:val="auto"/>
                <w:sz w:val="20"/>
                <w:szCs w:val="20"/>
                <w:highlight w:val="none"/>
                <w:lang w:val="en-US" w:eastAsia="zh-CN"/>
              </w:rPr>
              <w:t>两工位一体式</w:t>
            </w:r>
            <w:r>
              <w:rPr>
                <w:rFonts w:hint="eastAsia"/>
                <w:color w:val="auto"/>
                <w:sz w:val="20"/>
                <w:szCs w:val="20"/>
                <w:highlight w:val="none"/>
                <w:lang w:eastAsia="zh-CN"/>
              </w:rPr>
              <w:t>）</w:t>
            </w:r>
          </w:p>
        </w:tc>
        <w:tc>
          <w:tcPr>
            <w:tcW w:w="257" w:type="pct"/>
            <w:tcBorders>
              <w:top w:val="single" w:color="000000" w:sz="0" w:space="0"/>
              <w:left w:val="single" w:color="000000" w:sz="0" w:space="0"/>
              <w:bottom w:val="single" w:color="000000" w:sz="0" w:space="0"/>
              <w:right w:val="single" w:color="000000" w:sz="0" w:space="0"/>
            </w:tcBorders>
          </w:tcPr>
          <w:p w14:paraId="546C9F67">
            <w:pPr>
              <w:jc w:val="center"/>
              <w:rPr>
                <w:color w:val="auto"/>
                <w:highlight w:val="none"/>
              </w:rPr>
            </w:pPr>
            <w:r>
              <w:rPr>
                <w:color w:val="auto"/>
                <w:sz w:val="20"/>
                <w:szCs w:val="20"/>
                <w:highlight w:val="none"/>
              </w:rPr>
              <w:t>机房家具</w:t>
            </w:r>
          </w:p>
        </w:tc>
        <w:tc>
          <w:tcPr>
            <w:tcW w:w="524" w:type="pct"/>
          </w:tcPr>
          <w:p w14:paraId="662C0DD4">
            <w:pPr>
              <w:jc w:val="center"/>
              <w:rPr>
                <w:color w:val="auto"/>
                <w:highlight w:val="none"/>
              </w:rPr>
            </w:pPr>
            <w:r>
              <w:rPr>
                <w:color w:val="auto"/>
                <w:highlight w:val="none"/>
              </w:rPr>
              <w:drawing>
                <wp:inline distT="0" distB="0" distL="114300" distR="114300">
                  <wp:extent cx="1385570" cy="1471295"/>
                  <wp:effectExtent l="0" t="0" r="5080" b="14605"/>
                  <wp:docPr id="46" name="ID_6C6CBA0BC03D4FC883B4CD398F93AB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D_6C6CBA0BC03D4FC883B4CD398F93AB64"/>
                          <pic:cNvPicPr>
                            <a:picLocks noChangeAspect="1"/>
                          </pic:cNvPicPr>
                        </pic:nvPicPr>
                        <pic:blipFill>
                          <a:blip r:embed="rId23"/>
                          <a:stretch>
                            <a:fillRect/>
                          </a:stretch>
                        </pic:blipFill>
                        <pic:spPr>
                          <a:xfrm>
                            <a:off x="0" y="0"/>
                            <a:ext cx="1385570" cy="1471295"/>
                          </a:xfrm>
                          <a:prstGeom prst="rect">
                            <a:avLst/>
                          </a:prstGeom>
                          <a:noFill/>
                          <a:ln w="9525">
                            <a:noFill/>
                          </a:ln>
                        </pic:spPr>
                      </pic:pic>
                    </a:graphicData>
                  </a:graphic>
                </wp:inline>
              </w:drawing>
            </w:r>
          </w:p>
        </w:tc>
        <w:tc>
          <w:tcPr>
            <w:tcW w:w="621" w:type="pct"/>
            <w:tcBorders>
              <w:top w:val="single" w:color="000000" w:sz="0" w:space="0"/>
              <w:left w:val="single" w:color="000000" w:sz="0" w:space="0"/>
              <w:bottom w:val="single" w:color="000000" w:sz="0" w:space="0"/>
              <w:right w:val="single" w:color="000000" w:sz="0" w:space="0"/>
            </w:tcBorders>
          </w:tcPr>
          <w:p w14:paraId="431B6EEF">
            <w:pPr>
              <w:jc w:val="left"/>
              <w:rPr>
                <w:color w:val="auto"/>
                <w:sz w:val="20"/>
                <w:szCs w:val="20"/>
                <w:highlight w:val="none"/>
              </w:rPr>
            </w:pPr>
            <w:r>
              <w:rPr>
                <w:rFonts w:hint="eastAsia"/>
                <w:color w:val="auto"/>
                <w:sz w:val="20"/>
                <w:szCs w:val="20"/>
                <w:highlight w:val="none"/>
                <w:lang w:val="en-US" w:eastAsia="zh-CN"/>
              </w:rPr>
              <w:t>桌子：</w:t>
            </w:r>
            <w:r>
              <w:rPr>
                <w:color w:val="auto"/>
                <w:sz w:val="20"/>
                <w:szCs w:val="20"/>
                <w:highlight w:val="none"/>
              </w:rPr>
              <w:t>1500*600*770（±10mm）*50张</w:t>
            </w:r>
          </w:p>
          <w:p w14:paraId="7A615086">
            <w:pPr>
              <w:jc w:val="left"/>
              <w:rPr>
                <w:rFonts w:hint="default" w:ascii="宋体" w:hAnsi="宋体" w:cs="宋体"/>
                <w:color w:val="auto"/>
                <w:sz w:val="18"/>
                <w:szCs w:val="18"/>
                <w:highlight w:val="none"/>
                <w:lang w:val="en-US" w:eastAsia="zh-CN" w:bidi="ar"/>
              </w:rPr>
            </w:pPr>
            <w:r>
              <w:rPr>
                <w:rFonts w:hint="eastAsia"/>
                <w:color w:val="auto"/>
                <w:sz w:val="20"/>
                <w:szCs w:val="20"/>
                <w:highlight w:val="none"/>
                <w:lang w:val="en-US" w:eastAsia="zh-CN"/>
              </w:rPr>
              <w:t>2个凳子：单个尺寸</w:t>
            </w:r>
            <w:r>
              <w:rPr>
                <w:color w:val="auto"/>
                <w:sz w:val="20"/>
                <w:szCs w:val="20"/>
                <w:highlight w:val="none"/>
              </w:rPr>
              <w:t>330*240*450（±5mm）</w:t>
            </w:r>
          </w:p>
          <w:p w14:paraId="0144A527">
            <w:pPr>
              <w:jc w:val="left"/>
              <w:rPr>
                <w:rFonts w:hint="default" w:eastAsia="宋体"/>
                <w:color w:val="auto"/>
                <w:sz w:val="20"/>
                <w:szCs w:val="20"/>
                <w:highlight w:val="none"/>
                <w:lang w:val="en-US" w:eastAsia="zh-CN"/>
              </w:rPr>
            </w:pPr>
          </w:p>
        </w:tc>
        <w:tc>
          <w:tcPr>
            <w:tcW w:w="204" w:type="pct"/>
            <w:tcBorders>
              <w:top w:val="single" w:color="000000" w:sz="0" w:space="0"/>
              <w:left w:val="single" w:color="000000" w:sz="0" w:space="0"/>
              <w:bottom w:val="single" w:color="000000" w:sz="0" w:space="0"/>
              <w:right w:val="single" w:color="000000" w:sz="0" w:space="0"/>
            </w:tcBorders>
          </w:tcPr>
          <w:p w14:paraId="36459D26">
            <w:pPr>
              <w:jc w:val="center"/>
              <w:rPr>
                <w:rFonts w:hint="eastAsia" w:eastAsia="宋体"/>
                <w:color w:val="auto"/>
                <w:highlight w:val="none"/>
                <w:lang w:eastAsia="zh-CN"/>
              </w:rPr>
            </w:pPr>
            <w:r>
              <w:rPr>
                <w:color w:val="auto"/>
                <w:sz w:val="20"/>
                <w:szCs w:val="20"/>
                <w:highlight w:val="none"/>
              </w:rPr>
              <w:t>5</w:t>
            </w:r>
            <w:r>
              <w:rPr>
                <w:rFonts w:hint="eastAsia"/>
                <w:color w:val="auto"/>
                <w:sz w:val="20"/>
                <w:szCs w:val="20"/>
                <w:highlight w:val="none"/>
                <w:lang w:val="en-US" w:eastAsia="zh-CN"/>
              </w:rPr>
              <w:t>0套</w:t>
            </w:r>
          </w:p>
        </w:tc>
        <w:tc>
          <w:tcPr>
            <w:tcW w:w="504" w:type="pct"/>
            <w:tcBorders>
              <w:top w:val="single" w:color="000000" w:sz="0" w:space="0"/>
              <w:left w:val="single" w:color="000000" w:sz="0" w:space="0"/>
              <w:bottom w:val="single" w:color="000000" w:sz="0" w:space="0"/>
              <w:right w:val="single" w:color="000000" w:sz="0" w:space="0"/>
            </w:tcBorders>
          </w:tcPr>
          <w:p w14:paraId="27AA8955">
            <w:pPr>
              <w:jc w:val="left"/>
              <w:rPr>
                <w:color w:val="auto"/>
                <w:highlight w:val="none"/>
              </w:rPr>
            </w:pPr>
            <w:r>
              <w:rPr>
                <w:color w:val="auto"/>
                <w:sz w:val="20"/>
                <w:szCs w:val="20"/>
                <w:highlight w:val="none"/>
              </w:rPr>
              <w:t>基材、封边、金属支架、脚轮</w:t>
            </w:r>
          </w:p>
        </w:tc>
        <w:tc>
          <w:tcPr>
            <w:tcW w:w="314" w:type="pct"/>
            <w:tcBorders>
              <w:top w:val="single" w:color="000000" w:sz="0" w:space="0"/>
              <w:left w:val="single" w:color="000000" w:sz="0" w:space="0"/>
              <w:bottom w:val="single" w:color="000000" w:sz="0" w:space="0"/>
              <w:right w:val="single" w:color="000000" w:sz="0" w:space="0"/>
            </w:tcBorders>
          </w:tcPr>
          <w:p w14:paraId="54634324">
            <w:pPr>
              <w:jc w:val="left"/>
              <w:rPr>
                <w:color w:val="auto"/>
                <w:highlight w:val="none"/>
              </w:rPr>
            </w:pPr>
            <w:r>
              <w:rPr>
                <w:color w:val="auto"/>
                <w:sz w:val="20"/>
                <w:szCs w:val="20"/>
                <w:highlight w:val="none"/>
              </w:rPr>
              <w:t>刨花板、实木</w:t>
            </w:r>
          </w:p>
        </w:tc>
        <w:tc>
          <w:tcPr>
            <w:tcW w:w="2095" w:type="pct"/>
            <w:tcBorders>
              <w:top w:val="single" w:color="000000" w:sz="0" w:space="0"/>
              <w:left w:val="single" w:color="000000" w:sz="0" w:space="0"/>
              <w:bottom w:val="single" w:color="000000" w:sz="0" w:space="0"/>
              <w:right w:val="single" w:color="000000" w:sz="0" w:space="0"/>
            </w:tcBorders>
          </w:tcPr>
          <w:p w14:paraId="2C3812DC">
            <w:pPr>
              <w:jc w:val="left"/>
              <w:rPr>
                <w:rFonts w:hint="eastAsia" w:eastAsia="宋体"/>
                <w:color w:val="auto"/>
                <w:sz w:val="20"/>
                <w:szCs w:val="20"/>
                <w:highlight w:val="none"/>
                <w:lang w:val="en-US" w:eastAsia="zh-CN"/>
              </w:rPr>
            </w:pPr>
            <w:r>
              <w:rPr>
                <w:rFonts w:hint="eastAsia"/>
                <w:color w:val="auto"/>
                <w:sz w:val="20"/>
                <w:szCs w:val="20"/>
                <w:highlight w:val="none"/>
                <w:lang w:val="en-US" w:eastAsia="zh-CN"/>
              </w:rPr>
              <w:t>桌子：</w:t>
            </w:r>
          </w:p>
          <w:p w14:paraId="7F139DEE">
            <w:pPr>
              <w:jc w:val="left"/>
              <w:rPr>
                <w:color w:val="auto"/>
                <w:sz w:val="20"/>
                <w:szCs w:val="20"/>
                <w:highlight w:val="none"/>
              </w:rPr>
            </w:pPr>
            <w:r>
              <w:rPr>
                <w:rFonts w:hint="eastAsia"/>
                <w:color w:val="auto"/>
                <w:sz w:val="20"/>
                <w:szCs w:val="20"/>
                <w:highlight w:val="none"/>
              </w:rPr>
              <w:t>（1）桌面：采用ENF级三聚氰胺饰面刨花板，台面厚度</w:t>
            </w:r>
            <w:r>
              <w:rPr>
                <w:rFonts w:hint="eastAsia" w:ascii="宋体" w:hAnsi="宋体" w:cs="宋体"/>
                <w:snapToGrid w:val="0"/>
                <w:color w:val="auto"/>
                <w:kern w:val="0"/>
                <w:sz w:val="20"/>
                <w:szCs w:val="20"/>
                <w:highlight w:val="none"/>
                <w:lang w:bidi="ar"/>
              </w:rPr>
              <w:t>≥</w:t>
            </w:r>
            <w:r>
              <w:rPr>
                <w:rFonts w:hint="eastAsia"/>
                <w:color w:val="auto"/>
                <w:sz w:val="20"/>
                <w:szCs w:val="20"/>
                <w:highlight w:val="none"/>
              </w:rPr>
              <w:t>25mm，其他板材厚度</w:t>
            </w:r>
            <w:r>
              <w:rPr>
                <w:rFonts w:hint="eastAsia" w:ascii="宋体" w:hAnsi="宋体" w:cs="宋体"/>
                <w:snapToGrid w:val="0"/>
                <w:color w:val="auto"/>
                <w:kern w:val="0"/>
                <w:sz w:val="20"/>
                <w:szCs w:val="20"/>
                <w:highlight w:val="none"/>
                <w:lang w:bidi="ar"/>
              </w:rPr>
              <w:t>≥</w:t>
            </w:r>
            <w:r>
              <w:rPr>
                <w:rFonts w:hint="eastAsia"/>
                <w:color w:val="auto"/>
                <w:sz w:val="20"/>
                <w:szCs w:val="20"/>
                <w:highlight w:val="none"/>
              </w:rPr>
              <w:t>18mm，前挡板采用透明亚克力，厚度</w:t>
            </w:r>
            <w:r>
              <w:rPr>
                <w:rFonts w:hint="eastAsia" w:ascii="宋体" w:hAnsi="宋体" w:cs="宋体"/>
                <w:snapToGrid w:val="0"/>
                <w:color w:val="auto"/>
                <w:kern w:val="0"/>
                <w:sz w:val="20"/>
                <w:szCs w:val="20"/>
                <w:highlight w:val="none"/>
                <w:lang w:bidi="ar"/>
              </w:rPr>
              <w:t>≥</w:t>
            </w:r>
            <w:r>
              <w:rPr>
                <w:rFonts w:hint="eastAsia"/>
                <w:color w:val="auto"/>
                <w:sz w:val="20"/>
                <w:szCs w:val="20"/>
                <w:highlight w:val="none"/>
              </w:rPr>
              <w:t>8mm，四周采用同色PVC封边。</w:t>
            </w:r>
          </w:p>
          <w:p w14:paraId="2E9EBC35">
            <w:pPr>
              <w:jc w:val="left"/>
              <w:rPr>
                <w:rFonts w:hint="eastAsia" w:ascii="宋体" w:hAnsi="宋体" w:cs="宋体"/>
                <w:color w:val="auto"/>
                <w:sz w:val="18"/>
                <w:szCs w:val="18"/>
                <w:highlight w:val="none"/>
                <w:lang w:bidi="ar"/>
              </w:rPr>
            </w:pPr>
            <w:r>
              <w:rPr>
                <w:rFonts w:hint="eastAsia"/>
                <w:color w:val="auto"/>
                <w:sz w:val="20"/>
                <w:szCs w:val="20"/>
                <w:highlight w:val="none"/>
              </w:rPr>
              <w:t>（2）桌架：中间脚采用冷轧钢板，厚度</w:t>
            </w:r>
            <w:r>
              <w:rPr>
                <w:rFonts w:hint="eastAsia" w:ascii="宋体" w:hAnsi="宋体" w:cs="宋体"/>
                <w:snapToGrid w:val="0"/>
                <w:color w:val="auto"/>
                <w:kern w:val="0"/>
                <w:sz w:val="20"/>
                <w:szCs w:val="20"/>
                <w:highlight w:val="none"/>
                <w:lang w:bidi="ar"/>
              </w:rPr>
              <w:t>≥</w:t>
            </w:r>
            <w:r>
              <w:rPr>
                <w:rFonts w:hint="eastAsia"/>
                <w:color w:val="auto"/>
                <w:sz w:val="20"/>
                <w:szCs w:val="20"/>
                <w:highlight w:val="none"/>
              </w:rPr>
              <w:t>0.8mm，双面</w:t>
            </w:r>
            <w:r>
              <w:rPr>
                <w:rFonts w:hint="eastAsia"/>
                <w:color w:val="auto"/>
                <w:sz w:val="20"/>
                <w:szCs w:val="20"/>
                <w:highlight w:val="none"/>
                <w:lang w:val="en-US" w:eastAsia="zh-CN"/>
              </w:rPr>
              <w:t>镂空设计</w:t>
            </w:r>
            <w:r>
              <w:rPr>
                <w:rFonts w:hint="eastAsia"/>
                <w:color w:val="auto"/>
                <w:sz w:val="20"/>
                <w:szCs w:val="20"/>
                <w:highlight w:val="none"/>
              </w:rPr>
              <w:t>，</w:t>
            </w:r>
            <w:r>
              <w:rPr>
                <w:rFonts w:hint="eastAsia" w:asciiTheme="minorEastAsia" w:hAnsiTheme="minorEastAsia" w:eastAsiaTheme="minorEastAsia" w:cstheme="minorEastAsia"/>
                <w:color w:val="auto"/>
                <w:spacing w:val="4"/>
                <w:szCs w:val="21"/>
                <w:highlight w:val="none"/>
              </w:rPr>
              <w:t>表面经除锈工艺后静电喷塑处理。</w:t>
            </w:r>
            <w:r>
              <w:rPr>
                <w:rFonts w:hint="eastAsia"/>
                <w:color w:val="auto"/>
                <w:sz w:val="20"/>
                <w:szCs w:val="20"/>
                <w:highlight w:val="none"/>
              </w:rPr>
              <w:t xml:space="preserve">                                                                                                                                                    （3）</w:t>
            </w:r>
            <w:r>
              <w:rPr>
                <w:rFonts w:hint="eastAsia" w:ascii="宋体" w:hAnsi="宋体" w:cs="宋体"/>
                <w:color w:val="auto"/>
                <w:sz w:val="18"/>
                <w:szCs w:val="18"/>
                <w:highlight w:val="none"/>
                <w:lang w:bidi="ar"/>
              </w:rPr>
              <w:t>环保：家具成品均</w:t>
            </w:r>
            <w:r>
              <w:rPr>
                <w:rFonts w:hint="eastAsia" w:ascii="宋体" w:hAnsi="宋体" w:cs="宋体"/>
                <w:color w:val="auto"/>
                <w:sz w:val="18"/>
                <w:szCs w:val="18"/>
                <w:highlight w:val="none"/>
                <w:lang w:eastAsia="zh-CN" w:bidi="ar"/>
              </w:rPr>
              <w:t>需</w:t>
            </w:r>
            <w:r>
              <w:rPr>
                <w:rFonts w:hint="eastAsia" w:ascii="宋体" w:hAnsi="宋体" w:cs="宋体"/>
                <w:color w:val="auto"/>
                <w:sz w:val="18"/>
                <w:szCs w:val="18"/>
                <w:highlight w:val="none"/>
                <w:lang w:bidi="ar"/>
              </w:rPr>
              <w:t>满足GB/T 35607-2024《绿色产品评价 家具》的要求（其中成品甲醛释放量≤0.05mg/m3，苯≤0.05mg/m3，甲苯、二甲苯≤0.1mg/m3，TVOC≤0.3mg/m3）.</w:t>
            </w:r>
          </w:p>
          <w:p w14:paraId="30A8358D">
            <w:pPr>
              <w:jc w:val="left"/>
              <w:rPr>
                <w:rFonts w:hint="eastAsia" w:ascii="宋体" w:hAnsi="宋体" w:cs="宋体"/>
                <w:color w:val="auto"/>
                <w:sz w:val="18"/>
                <w:szCs w:val="18"/>
                <w:highlight w:val="none"/>
                <w:lang w:val="en-US" w:eastAsia="zh-CN" w:bidi="ar"/>
              </w:rPr>
            </w:pPr>
            <w:r>
              <w:rPr>
                <w:rFonts w:hint="eastAsia" w:ascii="宋体" w:hAnsi="宋体" w:cs="宋体"/>
                <w:color w:val="auto"/>
                <w:sz w:val="18"/>
                <w:szCs w:val="18"/>
                <w:highlight w:val="none"/>
                <w:lang w:val="en-US" w:eastAsia="zh-CN" w:bidi="ar"/>
              </w:rPr>
              <w:t>凳子：</w:t>
            </w:r>
          </w:p>
          <w:p w14:paraId="577510C4">
            <w:pPr>
              <w:jc w:val="left"/>
              <w:rPr>
                <w:color w:val="auto"/>
                <w:sz w:val="20"/>
                <w:szCs w:val="20"/>
                <w:highlight w:val="none"/>
              </w:rPr>
            </w:pPr>
            <w:r>
              <w:rPr>
                <w:rFonts w:hint="eastAsia"/>
                <w:color w:val="auto"/>
                <w:sz w:val="20"/>
                <w:szCs w:val="20"/>
                <w:highlight w:val="none"/>
              </w:rPr>
              <w:t>（1）凳面：采用ENF级三聚氰胺饰面刨花板，厚度</w:t>
            </w:r>
            <w:r>
              <w:rPr>
                <w:rFonts w:hint="eastAsia" w:ascii="宋体" w:hAnsi="宋体" w:cs="宋体"/>
                <w:snapToGrid w:val="0"/>
                <w:color w:val="auto"/>
                <w:kern w:val="0"/>
                <w:sz w:val="20"/>
                <w:szCs w:val="20"/>
                <w:highlight w:val="none"/>
                <w:lang w:bidi="ar"/>
              </w:rPr>
              <w:t>≥</w:t>
            </w:r>
            <w:r>
              <w:rPr>
                <w:rFonts w:hint="eastAsia"/>
                <w:color w:val="auto"/>
                <w:sz w:val="20"/>
                <w:szCs w:val="20"/>
                <w:highlight w:val="none"/>
              </w:rPr>
              <w:t>18mm，四周采用同色PVC封边。</w:t>
            </w:r>
          </w:p>
          <w:p w14:paraId="7BE24A76">
            <w:pPr>
              <w:jc w:val="left"/>
              <w:rPr>
                <w:rFonts w:hint="eastAsia" w:ascii="宋体" w:hAnsi="宋体" w:cs="宋体"/>
                <w:color w:val="auto"/>
                <w:sz w:val="18"/>
                <w:szCs w:val="18"/>
                <w:highlight w:val="none"/>
                <w:lang w:bidi="ar"/>
              </w:rPr>
            </w:pPr>
            <w:r>
              <w:rPr>
                <w:rFonts w:hint="eastAsia"/>
                <w:color w:val="auto"/>
                <w:sz w:val="20"/>
                <w:szCs w:val="20"/>
                <w:highlight w:val="none"/>
              </w:rPr>
              <w:t>（2）凳脚：采用</w:t>
            </w:r>
            <w:r>
              <w:rPr>
                <w:rFonts w:hint="eastAsia" w:ascii="宋体" w:hAnsi="宋体" w:cs="宋体"/>
                <w:snapToGrid w:val="0"/>
                <w:color w:val="auto"/>
                <w:kern w:val="0"/>
                <w:sz w:val="20"/>
                <w:szCs w:val="20"/>
                <w:highlight w:val="none"/>
                <w:lang w:bidi="ar"/>
              </w:rPr>
              <w:t>≥</w:t>
            </w:r>
            <w:r>
              <w:rPr>
                <w:rFonts w:hint="eastAsia"/>
                <w:color w:val="auto"/>
                <w:sz w:val="20"/>
                <w:szCs w:val="20"/>
                <w:highlight w:val="none"/>
              </w:rPr>
              <w:t>25*25*1.2mm方管，</w:t>
            </w:r>
            <w:r>
              <w:rPr>
                <w:rFonts w:hint="eastAsia" w:asciiTheme="minorEastAsia" w:hAnsiTheme="minorEastAsia" w:eastAsiaTheme="minorEastAsia" w:cstheme="minorEastAsia"/>
                <w:color w:val="auto"/>
                <w:spacing w:val="4"/>
                <w:szCs w:val="21"/>
                <w:highlight w:val="none"/>
              </w:rPr>
              <w:t>表面经除锈工艺后静电喷塑处理。</w:t>
            </w:r>
            <w:r>
              <w:rPr>
                <w:rFonts w:hint="eastAsia"/>
                <w:color w:val="auto"/>
                <w:sz w:val="20"/>
                <w:szCs w:val="20"/>
                <w:highlight w:val="none"/>
              </w:rPr>
              <w:t xml:space="preserve">                                                                                                                                                    （3）</w:t>
            </w:r>
            <w:r>
              <w:rPr>
                <w:rFonts w:hint="eastAsia" w:ascii="宋体" w:hAnsi="宋体" w:cs="宋体"/>
                <w:color w:val="auto"/>
                <w:sz w:val="18"/>
                <w:szCs w:val="18"/>
                <w:highlight w:val="none"/>
                <w:lang w:bidi="ar"/>
              </w:rPr>
              <w:t>环保：家具成品均</w:t>
            </w:r>
            <w:r>
              <w:rPr>
                <w:rFonts w:hint="eastAsia" w:ascii="宋体" w:hAnsi="宋体" w:cs="宋体"/>
                <w:color w:val="auto"/>
                <w:sz w:val="18"/>
                <w:szCs w:val="18"/>
                <w:highlight w:val="none"/>
                <w:lang w:eastAsia="zh-CN" w:bidi="ar"/>
              </w:rPr>
              <w:t>需</w:t>
            </w:r>
            <w:r>
              <w:rPr>
                <w:rFonts w:hint="eastAsia" w:ascii="宋体" w:hAnsi="宋体" w:cs="宋体"/>
                <w:color w:val="auto"/>
                <w:sz w:val="18"/>
                <w:szCs w:val="18"/>
                <w:highlight w:val="none"/>
                <w:lang w:bidi="ar"/>
              </w:rPr>
              <w:t>满足GB/T 35607-2024《绿色产品评价 家具》的要求（其中成品甲醛释放量≤0.05mg/m3，苯≤0.05mg/m3，甲苯、二甲苯≤0.1mg/m3，TVOC≤0.3mg/m3）.</w:t>
            </w:r>
          </w:p>
        </w:tc>
      </w:tr>
      <w:tr w14:paraId="7B995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0" w:type="dxa"/>
            <w:left w:w="100" w:type="dxa"/>
            <w:bottom w:w="50" w:type="dxa"/>
            <w:right w:w="100" w:type="dxa"/>
          </w:tblCellMar>
        </w:tblPrEx>
        <w:tc>
          <w:tcPr>
            <w:tcW w:w="153" w:type="pct"/>
            <w:tcBorders>
              <w:top w:val="single" w:color="000000" w:sz="0" w:space="0"/>
              <w:left w:val="single" w:color="000000" w:sz="0" w:space="0"/>
              <w:bottom w:val="single" w:color="000000" w:sz="0" w:space="0"/>
              <w:right w:val="single" w:color="000000" w:sz="0" w:space="0"/>
            </w:tcBorders>
          </w:tcPr>
          <w:p w14:paraId="29ED95DA">
            <w:pPr>
              <w:numPr>
                <w:ilvl w:val="0"/>
                <w:numId w:val="7"/>
              </w:numPr>
              <w:jc w:val="center"/>
              <w:rPr>
                <w:color w:val="auto"/>
                <w:highlight w:val="none"/>
              </w:rPr>
            </w:pPr>
          </w:p>
        </w:tc>
        <w:tc>
          <w:tcPr>
            <w:tcW w:w="325" w:type="pct"/>
            <w:tcBorders>
              <w:top w:val="single" w:color="000000" w:sz="0" w:space="0"/>
              <w:left w:val="single" w:color="000000" w:sz="0" w:space="0"/>
              <w:bottom w:val="single" w:color="000000" w:sz="0" w:space="0"/>
              <w:right w:val="single" w:color="000000" w:sz="0" w:space="0"/>
            </w:tcBorders>
            <w:shd w:val="clear" w:color="auto" w:fill="auto"/>
            <w:vAlign w:val="top"/>
          </w:tcPr>
          <w:p w14:paraId="06FF8763">
            <w:pPr>
              <w:jc w:val="left"/>
              <w:rPr>
                <w:rFonts w:hint="default" w:ascii="Times New Roman" w:hAnsi="Times New Roman" w:eastAsia="宋体" w:cs="Times New Roman"/>
                <w:color w:val="auto"/>
                <w:kern w:val="2"/>
                <w:sz w:val="21"/>
                <w:szCs w:val="22"/>
                <w:highlight w:val="none"/>
                <w:lang w:val="en-US" w:eastAsia="zh-CN" w:bidi="ar-SA"/>
              </w:rPr>
            </w:pPr>
            <w:r>
              <w:rPr>
                <w:color w:val="auto"/>
                <w:sz w:val="20"/>
                <w:szCs w:val="20"/>
                <w:highlight w:val="none"/>
              </w:rPr>
              <w:t>计算机学生桌</w:t>
            </w:r>
            <w:r>
              <w:rPr>
                <w:rFonts w:hint="eastAsia"/>
                <w:color w:val="auto"/>
                <w:sz w:val="20"/>
                <w:szCs w:val="20"/>
                <w:highlight w:val="none"/>
                <w:lang w:eastAsia="zh-CN"/>
              </w:rPr>
              <w:t>（</w:t>
            </w:r>
            <w:r>
              <w:rPr>
                <w:rFonts w:hint="eastAsia"/>
                <w:color w:val="auto"/>
                <w:sz w:val="20"/>
                <w:szCs w:val="20"/>
                <w:highlight w:val="none"/>
                <w:lang w:val="en-US" w:eastAsia="zh-CN"/>
              </w:rPr>
              <w:t>单工位式</w:t>
            </w:r>
            <w:r>
              <w:rPr>
                <w:rFonts w:hint="eastAsia"/>
                <w:color w:val="auto"/>
                <w:sz w:val="20"/>
                <w:szCs w:val="20"/>
                <w:highlight w:val="none"/>
                <w:lang w:eastAsia="zh-CN"/>
              </w:rPr>
              <w:t>）</w:t>
            </w:r>
          </w:p>
        </w:tc>
        <w:tc>
          <w:tcPr>
            <w:tcW w:w="257" w:type="pct"/>
            <w:tcBorders>
              <w:top w:val="single" w:color="000000" w:sz="0" w:space="0"/>
              <w:left w:val="single" w:color="000000" w:sz="0" w:space="0"/>
              <w:bottom w:val="single" w:color="000000" w:sz="0" w:space="0"/>
              <w:right w:val="single" w:color="000000" w:sz="0" w:space="0"/>
            </w:tcBorders>
            <w:shd w:val="clear" w:color="auto" w:fill="auto"/>
            <w:vAlign w:val="top"/>
          </w:tcPr>
          <w:p w14:paraId="17CCFC35">
            <w:pPr>
              <w:jc w:val="center"/>
              <w:rPr>
                <w:rFonts w:ascii="Times New Roman" w:hAnsi="Times New Roman" w:eastAsia="宋体" w:cs="Times New Roman"/>
                <w:color w:val="auto"/>
                <w:kern w:val="2"/>
                <w:sz w:val="21"/>
                <w:szCs w:val="22"/>
                <w:highlight w:val="none"/>
                <w:lang w:val="en-US" w:eastAsia="zh-CN" w:bidi="ar-SA"/>
              </w:rPr>
            </w:pPr>
            <w:r>
              <w:rPr>
                <w:color w:val="auto"/>
                <w:sz w:val="20"/>
                <w:szCs w:val="20"/>
                <w:highlight w:val="none"/>
              </w:rPr>
              <w:t>机房家具</w:t>
            </w:r>
          </w:p>
        </w:tc>
        <w:tc>
          <w:tcPr>
            <w:tcW w:w="524" w:type="pct"/>
            <w:shd w:val="clear" w:color="auto" w:fill="auto"/>
            <w:vAlign w:val="top"/>
          </w:tcPr>
          <w:p w14:paraId="40CE0C3A">
            <w:pPr>
              <w:jc w:val="center"/>
              <w:rPr>
                <w:rFonts w:ascii="Times New Roman" w:hAnsi="Times New Roman" w:eastAsia="宋体" w:cs="Times New Roman"/>
                <w:color w:val="auto"/>
                <w:kern w:val="2"/>
                <w:sz w:val="21"/>
                <w:szCs w:val="22"/>
                <w:highlight w:val="none"/>
                <w:lang w:val="en-US" w:eastAsia="zh-CN" w:bidi="ar-SA"/>
              </w:rPr>
            </w:pPr>
            <w:r>
              <w:rPr>
                <w:color w:val="auto"/>
                <w:highlight w:val="none"/>
              </w:rPr>
              <w:drawing>
                <wp:inline distT="0" distB="0" distL="114300" distR="114300">
                  <wp:extent cx="721995" cy="1471295"/>
                  <wp:effectExtent l="0" t="0" r="1905" b="1905"/>
                  <wp:docPr id="74" name="ID_6C6CBA0BC03D4FC883B4CD398F93AB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D_6C6CBA0BC03D4FC883B4CD398F93AB64"/>
                          <pic:cNvPicPr>
                            <a:picLocks noChangeAspect="1"/>
                          </pic:cNvPicPr>
                        </pic:nvPicPr>
                        <pic:blipFill>
                          <a:blip r:embed="rId23"/>
                          <a:srcRect l="7608" t="1079" r="40284" b="-1079"/>
                          <a:stretch>
                            <a:fillRect/>
                          </a:stretch>
                        </pic:blipFill>
                        <pic:spPr>
                          <a:xfrm>
                            <a:off x="0" y="0"/>
                            <a:ext cx="721995" cy="1471295"/>
                          </a:xfrm>
                          <a:prstGeom prst="rect">
                            <a:avLst/>
                          </a:prstGeom>
                          <a:noFill/>
                          <a:ln w="9525">
                            <a:noFill/>
                          </a:ln>
                        </pic:spPr>
                      </pic:pic>
                    </a:graphicData>
                  </a:graphic>
                </wp:inline>
              </w:drawing>
            </w:r>
          </w:p>
        </w:tc>
        <w:tc>
          <w:tcPr>
            <w:tcW w:w="621" w:type="pct"/>
            <w:tcBorders>
              <w:top w:val="single" w:color="000000" w:sz="0" w:space="0"/>
              <w:left w:val="single" w:color="000000" w:sz="0" w:space="0"/>
              <w:bottom w:val="single" w:color="000000" w:sz="0" w:space="0"/>
              <w:right w:val="single" w:color="000000" w:sz="0" w:space="0"/>
            </w:tcBorders>
            <w:shd w:val="clear" w:color="auto" w:fill="auto"/>
            <w:vAlign w:val="top"/>
          </w:tcPr>
          <w:p w14:paraId="5327DF14">
            <w:pPr>
              <w:jc w:val="left"/>
              <w:rPr>
                <w:rFonts w:hint="eastAsia"/>
                <w:color w:val="auto"/>
                <w:sz w:val="20"/>
                <w:szCs w:val="20"/>
                <w:highlight w:val="none"/>
                <w:lang w:val="en-US" w:eastAsia="zh-CN"/>
              </w:rPr>
            </w:pPr>
            <w:r>
              <w:rPr>
                <w:rFonts w:hint="eastAsia"/>
                <w:color w:val="auto"/>
                <w:sz w:val="20"/>
                <w:szCs w:val="20"/>
                <w:highlight w:val="none"/>
                <w:lang w:val="en-US" w:eastAsia="zh-CN"/>
              </w:rPr>
              <w:t>1套包含：</w:t>
            </w:r>
          </w:p>
          <w:p w14:paraId="58FACB30">
            <w:pPr>
              <w:jc w:val="left"/>
              <w:rPr>
                <w:color w:val="auto"/>
                <w:sz w:val="20"/>
                <w:szCs w:val="20"/>
                <w:highlight w:val="none"/>
              </w:rPr>
            </w:pPr>
            <w:r>
              <w:rPr>
                <w:rFonts w:hint="eastAsia"/>
                <w:color w:val="auto"/>
                <w:sz w:val="20"/>
                <w:szCs w:val="20"/>
                <w:highlight w:val="none"/>
                <w:lang w:val="en-US" w:eastAsia="zh-CN"/>
              </w:rPr>
              <w:t>桌子：</w:t>
            </w:r>
          </w:p>
          <w:p w14:paraId="55B85436">
            <w:pPr>
              <w:jc w:val="left"/>
              <w:rPr>
                <w:color w:val="auto"/>
                <w:sz w:val="20"/>
                <w:szCs w:val="20"/>
                <w:highlight w:val="none"/>
              </w:rPr>
            </w:pPr>
            <w:r>
              <w:rPr>
                <w:color w:val="auto"/>
                <w:sz w:val="20"/>
                <w:szCs w:val="20"/>
                <w:highlight w:val="none"/>
              </w:rPr>
              <w:t>750*600*770（±10mm）*</w:t>
            </w:r>
            <w:r>
              <w:rPr>
                <w:rFonts w:hint="eastAsia"/>
                <w:color w:val="auto"/>
                <w:sz w:val="20"/>
                <w:szCs w:val="20"/>
                <w:highlight w:val="none"/>
                <w:lang w:val="en-US" w:eastAsia="zh-CN"/>
              </w:rPr>
              <w:t>1</w:t>
            </w:r>
            <w:r>
              <w:rPr>
                <w:color w:val="auto"/>
                <w:sz w:val="20"/>
                <w:szCs w:val="20"/>
                <w:highlight w:val="none"/>
              </w:rPr>
              <w:t>张</w:t>
            </w:r>
          </w:p>
          <w:p w14:paraId="6E72ED64">
            <w:pPr>
              <w:jc w:val="left"/>
              <w:rPr>
                <w:rFonts w:hint="default" w:ascii="宋体" w:hAnsi="宋体" w:eastAsia="宋体" w:cs="宋体"/>
                <w:color w:val="auto"/>
                <w:sz w:val="18"/>
                <w:szCs w:val="18"/>
                <w:highlight w:val="none"/>
                <w:lang w:val="en-US" w:eastAsia="zh-CN" w:bidi="ar"/>
              </w:rPr>
            </w:pPr>
            <w:r>
              <w:rPr>
                <w:rFonts w:hint="eastAsia"/>
                <w:color w:val="auto"/>
                <w:sz w:val="20"/>
                <w:szCs w:val="20"/>
                <w:highlight w:val="none"/>
                <w:lang w:val="en-US" w:eastAsia="zh-CN"/>
              </w:rPr>
              <w:t>凳子：单个尺寸</w:t>
            </w:r>
            <w:r>
              <w:rPr>
                <w:color w:val="auto"/>
                <w:sz w:val="20"/>
                <w:szCs w:val="20"/>
                <w:highlight w:val="none"/>
              </w:rPr>
              <w:t>330*240*450（±5mm）</w:t>
            </w:r>
            <w:r>
              <w:rPr>
                <w:rFonts w:hint="eastAsia"/>
                <w:color w:val="auto"/>
                <w:sz w:val="20"/>
                <w:szCs w:val="20"/>
                <w:highlight w:val="none"/>
                <w:lang w:val="en-US" w:eastAsia="zh-CN"/>
              </w:rPr>
              <w:t>*1个</w:t>
            </w:r>
          </w:p>
          <w:p w14:paraId="070D5072">
            <w:pPr>
              <w:jc w:val="left"/>
              <w:rPr>
                <w:rFonts w:hint="default" w:ascii="Times New Roman" w:hAnsi="Times New Roman" w:eastAsia="宋体" w:cs="Times New Roman"/>
                <w:color w:val="auto"/>
                <w:kern w:val="2"/>
                <w:sz w:val="20"/>
                <w:szCs w:val="20"/>
                <w:highlight w:val="none"/>
                <w:lang w:val="en-US" w:eastAsia="zh-CN" w:bidi="ar-SA"/>
              </w:rPr>
            </w:pPr>
          </w:p>
        </w:tc>
        <w:tc>
          <w:tcPr>
            <w:tcW w:w="204" w:type="pct"/>
            <w:tcBorders>
              <w:top w:val="single" w:color="000000" w:sz="0" w:space="0"/>
              <w:left w:val="single" w:color="000000" w:sz="0" w:space="0"/>
              <w:bottom w:val="single" w:color="000000" w:sz="0" w:space="0"/>
              <w:right w:val="single" w:color="000000" w:sz="0" w:space="0"/>
            </w:tcBorders>
            <w:shd w:val="clear" w:color="auto" w:fill="auto"/>
            <w:vAlign w:val="top"/>
          </w:tcPr>
          <w:p w14:paraId="37B276D1">
            <w:pPr>
              <w:jc w:val="center"/>
              <w:rPr>
                <w:rFonts w:hint="eastAsia" w:ascii="Times New Roman" w:hAnsi="Times New Roman" w:eastAsia="宋体" w:cs="Times New Roman"/>
                <w:color w:val="auto"/>
                <w:kern w:val="2"/>
                <w:sz w:val="21"/>
                <w:szCs w:val="22"/>
                <w:highlight w:val="none"/>
                <w:lang w:val="en-US" w:eastAsia="zh-CN" w:bidi="ar-SA"/>
              </w:rPr>
            </w:pPr>
            <w:r>
              <w:rPr>
                <w:rFonts w:hint="eastAsia"/>
                <w:color w:val="auto"/>
                <w:sz w:val="20"/>
                <w:szCs w:val="20"/>
                <w:highlight w:val="none"/>
                <w:lang w:val="en-US" w:eastAsia="zh-CN"/>
              </w:rPr>
              <w:t>2套</w:t>
            </w:r>
          </w:p>
        </w:tc>
        <w:tc>
          <w:tcPr>
            <w:tcW w:w="504" w:type="pct"/>
            <w:tcBorders>
              <w:top w:val="single" w:color="000000" w:sz="0" w:space="0"/>
              <w:left w:val="single" w:color="000000" w:sz="0" w:space="0"/>
              <w:bottom w:val="single" w:color="000000" w:sz="0" w:space="0"/>
              <w:right w:val="single" w:color="000000" w:sz="0" w:space="0"/>
            </w:tcBorders>
            <w:shd w:val="clear" w:color="auto" w:fill="auto"/>
            <w:vAlign w:val="top"/>
          </w:tcPr>
          <w:p w14:paraId="5221A3CC">
            <w:pPr>
              <w:jc w:val="left"/>
              <w:rPr>
                <w:rFonts w:ascii="Times New Roman" w:hAnsi="Times New Roman" w:eastAsia="宋体" w:cs="Times New Roman"/>
                <w:color w:val="auto"/>
                <w:kern w:val="2"/>
                <w:sz w:val="21"/>
                <w:szCs w:val="22"/>
                <w:highlight w:val="none"/>
                <w:lang w:val="en-US" w:eastAsia="zh-CN" w:bidi="ar-SA"/>
              </w:rPr>
            </w:pPr>
            <w:r>
              <w:rPr>
                <w:color w:val="auto"/>
                <w:sz w:val="20"/>
                <w:szCs w:val="20"/>
                <w:highlight w:val="none"/>
              </w:rPr>
              <w:t>基材、封边、金属支架、脚轮</w:t>
            </w:r>
          </w:p>
        </w:tc>
        <w:tc>
          <w:tcPr>
            <w:tcW w:w="314" w:type="pct"/>
            <w:tcBorders>
              <w:top w:val="single" w:color="000000" w:sz="0" w:space="0"/>
              <w:left w:val="single" w:color="000000" w:sz="0" w:space="0"/>
              <w:bottom w:val="single" w:color="000000" w:sz="0" w:space="0"/>
              <w:right w:val="single" w:color="000000" w:sz="0" w:space="0"/>
            </w:tcBorders>
            <w:shd w:val="clear" w:color="auto" w:fill="auto"/>
            <w:vAlign w:val="top"/>
          </w:tcPr>
          <w:p w14:paraId="6DB4E968">
            <w:pPr>
              <w:jc w:val="left"/>
              <w:rPr>
                <w:rFonts w:ascii="Times New Roman" w:hAnsi="Times New Roman" w:eastAsia="宋体" w:cs="Times New Roman"/>
                <w:color w:val="auto"/>
                <w:kern w:val="2"/>
                <w:sz w:val="21"/>
                <w:szCs w:val="22"/>
                <w:highlight w:val="none"/>
                <w:lang w:val="en-US" w:eastAsia="zh-CN" w:bidi="ar-SA"/>
              </w:rPr>
            </w:pPr>
            <w:r>
              <w:rPr>
                <w:color w:val="auto"/>
                <w:sz w:val="20"/>
                <w:szCs w:val="20"/>
                <w:highlight w:val="none"/>
              </w:rPr>
              <w:t>刨花板、实木</w:t>
            </w:r>
          </w:p>
        </w:tc>
        <w:tc>
          <w:tcPr>
            <w:tcW w:w="2095" w:type="pct"/>
            <w:tcBorders>
              <w:top w:val="single" w:color="000000" w:sz="0" w:space="0"/>
              <w:left w:val="single" w:color="000000" w:sz="0" w:space="0"/>
              <w:bottom w:val="single" w:color="000000" w:sz="0" w:space="0"/>
              <w:right w:val="single" w:color="000000" w:sz="0" w:space="0"/>
            </w:tcBorders>
            <w:shd w:val="clear" w:color="auto" w:fill="auto"/>
            <w:vAlign w:val="top"/>
          </w:tcPr>
          <w:p w14:paraId="6C2B4EE8">
            <w:pPr>
              <w:jc w:val="left"/>
              <w:rPr>
                <w:rFonts w:hint="eastAsia" w:eastAsia="宋体"/>
                <w:color w:val="auto"/>
                <w:sz w:val="20"/>
                <w:szCs w:val="20"/>
                <w:highlight w:val="none"/>
                <w:lang w:val="en-US" w:eastAsia="zh-CN"/>
              </w:rPr>
            </w:pPr>
            <w:r>
              <w:rPr>
                <w:rFonts w:hint="eastAsia"/>
                <w:color w:val="auto"/>
                <w:sz w:val="20"/>
                <w:szCs w:val="20"/>
                <w:highlight w:val="none"/>
                <w:lang w:val="en-US" w:eastAsia="zh-CN"/>
              </w:rPr>
              <w:t>桌子：</w:t>
            </w:r>
          </w:p>
          <w:p w14:paraId="41FA4A96">
            <w:pPr>
              <w:jc w:val="left"/>
              <w:rPr>
                <w:color w:val="auto"/>
                <w:sz w:val="20"/>
                <w:szCs w:val="20"/>
                <w:highlight w:val="none"/>
              </w:rPr>
            </w:pPr>
            <w:r>
              <w:rPr>
                <w:rFonts w:hint="eastAsia"/>
                <w:color w:val="auto"/>
                <w:sz w:val="20"/>
                <w:szCs w:val="20"/>
                <w:highlight w:val="none"/>
              </w:rPr>
              <w:t>（1）桌面：采用ENF级三聚氰胺饰面刨花板，台面厚度</w:t>
            </w:r>
            <w:r>
              <w:rPr>
                <w:rFonts w:hint="eastAsia" w:ascii="宋体" w:hAnsi="宋体" w:cs="宋体"/>
                <w:snapToGrid w:val="0"/>
                <w:color w:val="auto"/>
                <w:kern w:val="0"/>
                <w:sz w:val="20"/>
                <w:szCs w:val="20"/>
                <w:highlight w:val="none"/>
                <w:lang w:bidi="ar"/>
              </w:rPr>
              <w:t>≥</w:t>
            </w:r>
            <w:r>
              <w:rPr>
                <w:rFonts w:hint="eastAsia"/>
                <w:color w:val="auto"/>
                <w:sz w:val="20"/>
                <w:szCs w:val="20"/>
                <w:highlight w:val="none"/>
              </w:rPr>
              <w:t>25mm，其他板材厚度</w:t>
            </w:r>
            <w:r>
              <w:rPr>
                <w:rFonts w:hint="eastAsia" w:ascii="宋体" w:hAnsi="宋体" w:cs="宋体"/>
                <w:snapToGrid w:val="0"/>
                <w:color w:val="auto"/>
                <w:kern w:val="0"/>
                <w:sz w:val="20"/>
                <w:szCs w:val="20"/>
                <w:highlight w:val="none"/>
                <w:lang w:bidi="ar"/>
              </w:rPr>
              <w:t>≥</w:t>
            </w:r>
            <w:r>
              <w:rPr>
                <w:rFonts w:hint="eastAsia"/>
                <w:color w:val="auto"/>
                <w:sz w:val="20"/>
                <w:szCs w:val="20"/>
                <w:highlight w:val="none"/>
              </w:rPr>
              <w:t>18mm，前挡板采用透明亚克力，厚度</w:t>
            </w:r>
            <w:r>
              <w:rPr>
                <w:rFonts w:hint="eastAsia" w:ascii="宋体" w:hAnsi="宋体" w:cs="宋体"/>
                <w:snapToGrid w:val="0"/>
                <w:color w:val="auto"/>
                <w:kern w:val="0"/>
                <w:sz w:val="20"/>
                <w:szCs w:val="20"/>
                <w:highlight w:val="none"/>
                <w:lang w:bidi="ar"/>
              </w:rPr>
              <w:t>≥</w:t>
            </w:r>
            <w:r>
              <w:rPr>
                <w:rFonts w:hint="eastAsia"/>
                <w:color w:val="auto"/>
                <w:sz w:val="20"/>
                <w:szCs w:val="20"/>
                <w:highlight w:val="none"/>
              </w:rPr>
              <w:t>8mm，四周采用同色PVC封边。</w:t>
            </w:r>
          </w:p>
          <w:p w14:paraId="66FE1FE7">
            <w:pPr>
              <w:jc w:val="left"/>
              <w:rPr>
                <w:rFonts w:hint="eastAsia" w:ascii="宋体" w:hAnsi="宋体" w:cs="宋体"/>
                <w:color w:val="auto"/>
                <w:sz w:val="18"/>
                <w:szCs w:val="18"/>
                <w:highlight w:val="none"/>
                <w:lang w:bidi="ar"/>
              </w:rPr>
            </w:pPr>
            <w:r>
              <w:rPr>
                <w:rFonts w:hint="eastAsia"/>
                <w:color w:val="auto"/>
                <w:sz w:val="20"/>
                <w:szCs w:val="20"/>
                <w:highlight w:val="none"/>
              </w:rPr>
              <w:t>（2）桌架：中间脚采用冷轧钢板，厚度</w:t>
            </w:r>
            <w:r>
              <w:rPr>
                <w:rFonts w:hint="eastAsia" w:ascii="宋体" w:hAnsi="宋体" w:cs="宋体"/>
                <w:snapToGrid w:val="0"/>
                <w:color w:val="auto"/>
                <w:kern w:val="0"/>
                <w:sz w:val="20"/>
                <w:szCs w:val="20"/>
                <w:highlight w:val="none"/>
                <w:lang w:bidi="ar"/>
              </w:rPr>
              <w:t>≥</w:t>
            </w:r>
            <w:r>
              <w:rPr>
                <w:rFonts w:hint="eastAsia"/>
                <w:color w:val="auto"/>
                <w:sz w:val="20"/>
                <w:szCs w:val="20"/>
                <w:highlight w:val="none"/>
              </w:rPr>
              <w:t>0.8mm，双面</w:t>
            </w:r>
            <w:r>
              <w:rPr>
                <w:rFonts w:hint="eastAsia"/>
                <w:color w:val="auto"/>
                <w:sz w:val="20"/>
                <w:szCs w:val="20"/>
                <w:highlight w:val="none"/>
                <w:lang w:val="en-US" w:eastAsia="zh-CN"/>
              </w:rPr>
              <w:t>镂空设计</w:t>
            </w:r>
            <w:r>
              <w:rPr>
                <w:rFonts w:hint="eastAsia"/>
                <w:color w:val="auto"/>
                <w:sz w:val="20"/>
                <w:szCs w:val="20"/>
                <w:highlight w:val="none"/>
              </w:rPr>
              <w:t>，</w:t>
            </w:r>
            <w:r>
              <w:rPr>
                <w:rFonts w:hint="eastAsia" w:asciiTheme="minorEastAsia" w:hAnsiTheme="minorEastAsia" w:eastAsiaTheme="minorEastAsia" w:cstheme="minorEastAsia"/>
                <w:color w:val="auto"/>
                <w:spacing w:val="4"/>
                <w:szCs w:val="21"/>
                <w:highlight w:val="none"/>
              </w:rPr>
              <w:t>表面经除锈工艺后静电喷塑处理。</w:t>
            </w:r>
            <w:r>
              <w:rPr>
                <w:rFonts w:hint="eastAsia"/>
                <w:color w:val="auto"/>
                <w:sz w:val="20"/>
                <w:szCs w:val="20"/>
                <w:highlight w:val="none"/>
              </w:rPr>
              <w:t xml:space="preserve">                                                                                                                                                    （3）</w:t>
            </w:r>
            <w:r>
              <w:rPr>
                <w:rFonts w:hint="eastAsia" w:ascii="宋体" w:hAnsi="宋体" w:cs="宋体"/>
                <w:color w:val="auto"/>
                <w:sz w:val="18"/>
                <w:szCs w:val="18"/>
                <w:highlight w:val="none"/>
                <w:lang w:bidi="ar"/>
              </w:rPr>
              <w:t>环保：家具成品均</w:t>
            </w:r>
            <w:r>
              <w:rPr>
                <w:rFonts w:hint="eastAsia" w:ascii="宋体" w:hAnsi="宋体" w:cs="宋体"/>
                <w:color w:val="auto"/>
                <w:sz w:val="18"/>
                <w:szCs w:val="18"/>
                <w:highlight w:val="none"/>
                <w:lang w:eastAsia="zh-CN" w:bidi="ar"/>
              </w:rPr>
              <w:t>需</w:t>
            </w:r>
            <w:r>
              <w:rPr>
                <w:rFonts w:hint="eastAsia" w:ascii="宋体" w:hAnsi="宋体" w:cs="宋体"/>
                <w:color w:val="auto"/>
                <w:sz w:val="18"/>
                <w:szCs w:val="18"/>
                <w:highlight w:val="none"/>
                <w:lang w:bidi="ar"/>
              </w:rPr>
              <w:t>满足GB/T 35607-2024《绿色产品评价 家具》的要求（其中成品甲醛释放量≤0.05mg/m3，苯≤0.05mg/m3，甲苯、二甲苯≤0.1mg/m3，TVOC≤0.3mg/m3）.</w:t>
            </w:r>
          </w:p>
          <w:p w14:paraId="26AFDE40">
            <w:pPr>
              <w:jc w:val="left"/>
              <w:rPr>
                <w:rFonts w:hint="eastAsia" w:ascii="宋体" w:hAnsi="宋体" w:cs="宋体"/>
                <w:color w:val="auto"/>
                <w:sz w:val="18"/>
                <w:szCs w:val="18"/>
                <w:highlight w:val="none"/>
                <w:lang w:val="en-US" w:eastAsia="zh-CN" w:bidi="ar"/>
              </w:rPr>
            </w:pPr>
            <w:r>
              <w:rPr>
                <w:rFonts w:hint="eastAsia" w:ascii="宋体" w:hAnsi="宋体" w:cs="宋体"/>
                <w:color w:val="auto"/>
                <w:sz w:val="18"/>
                <w:szCs w:val="18"/>
                <w:highlight w:val="none"/>
                <w:lang w:val="en-US" w:eastAsia="zh-CN" w:bidi="ar"/>
              </w:rPr>
              <w:t>凳子：</w:t>
            </w:r>
          </w:p>
          <w:p w14:paraId="3DA1589D">
            <w:pPr>
              <w:jc w:val="left"/>
              <w:rPr>
                <w:color w:val="auto"/>
                <w:sz w:val="20"/>
                <w:szCs w:val="20"/>
                <w:highlight w:val="none"/>
              </w:rPr>
            </w:pPr>
            <w:r>
              <w:rPr>
                <w:rFonts w:hint="eastAsia"/>
                <w:color w:val="auto"/>
                <w:sz w:val="20"/>
                <w:szCs w:val="20"/>
                <w:highlight w:val="none"/>
              </w:rPr>
              <w:t>（1）凳面：采用ENF级三聚氰胺饰面刨花板，厚度</w:t>
            </w:r>
            <w:r>
              <w:rPr>
                <w:rFonts w:hint="eastAsia" w:ascii="宋体" w:hAnsi="宋体" w:cs="宋体"/>
                <w:snapToGrid w:val="0"/>
                <w:color w:val="auto"/>
                <w:kern w:val="0"/>
                <w:sz w:val="20"/>
                <w:szCs w:val="20"/>
                <w:highlight w:val="none"/>
                <w:lang w:bidi="ar"/>
              </w:rPr>
              <w:t>≥</w:t>
            </w:r>
            <w:r>
              <w:rPr>
                <w:rFonts w:hint="eastAsia"/>
                <w:color w:val="auto"/>
                <w:sz w:val="20"/>
                <w:szCs w:val="20"/>
                <w:highlight w:val="none"/>
              </w:rPr>
              <w:t>18mm，四周采用同色PVC封边。</w:t>
            </w:r>
          </w:p>
          <w:p w14:paraId="018FDA4D">
            <w:pPr>
              <w:jc w:val="left"/>
              <w:rPr>
                <w:rFonts w:hint="eastAsia" w:ascii="宋体" w:hAnsi="宋体" w:eastAsia="宋体" w:cs="宋体"/>
                <w:color w:val="auto"/>
                <w:kern w:val="2"/>
                <w:sz w:val="18"/>
                <w:szCs w:val="18"/>
                <w:highlight w:val="none"/>
                <w:lang w:val="en-US" w:eastAsia="zh-CN" w:bidi="ar"/>
              </w:rPr>
            </w:pPr>
            <w:r>
              <w:rPr>
                <w:rFonts w:hint="eastAsia"/>
                <w:color w:val="auto"/>
                <w:sz w:val="20"/>
                <w:szCs w:val="20"/>
                <w:highlight w:val="none"/>
              </w:rPr>
              <w:t>（2）凳脚：采用</w:t>
            </w:r>
            <w:r>
              <w:rPr>
                <w:rFonts w:hint="eastAsia" w:ascii="宋体" w:hAnsi="宋体" w:cs="宋体"/>
                <w:snapToGrid w:val="0"/>
                <w:color w:val="auto"/>
                <w:kern w:val="0"/>
                <w:sz w:val="20"/>
                <w:szCs w:val="20"/>
                <w:highlight w:val="none"/>
                <w:lang w:bidi="ar"/>
              </w:rPr>
              <w:t>≥</w:t>
            </w:r>
            <w:r>
              <w:rPr>
                <w:rFonts w:hint="eastAsia"/>
                <w:color w:val="auto"/>
                <w:sz w:val="20"/>
                <w:szCs w:val="20"/>
                <w:highlight w:val="none"/>
              </w:rPr>
              <w:t>25*25*1.2mm方管，</w:t>
            </w:r>
            <w:r>
              <w:rPr>
                <w:rFonts w:hint="eastAsia" w:asciiTheme="minorEastAsia" w:hAnsiTheme="minorEastAsia" w:eastAsiaTheme="minorEastAsia" w:cstheme="minorEastAsia"/>
                <w:color w:val="auto"/>
                <w:spacing w:val="4"/>
                <w:szCs w:val="21"/>
                <w:highlight w:val="none"/>
              </w:rPr>
              <w:t>表面经除锈工艺后静电喷塑处理。</w:t>
            </w:r>
            <w:r>
              <w:rPr>
                <w:rFonts w:hint="eastAsia"/>
                <w:color w:val="auto"/>
                <w:sz w:val="20"/>
                <w:szCs w:val="20"/>
                <w:highlight w:val="none"/>
              </w:rPr>
              <w:t xml:space="preserve">                                                                                                                                                    （3）</w:t>
            </w:r>
            <w:r>
              <w:rPr>
                <w:rFonts w:hint="eastAsia" w:ascii="宋体" w:hAnsi="宋体" w:cs="宋体"/>
                <w:color w:val="auto"/>
                <w:sz w:val="18"/>
                <w:szCs w:val="18"/>
                <w:highlight w:val="none"/>
                <w:lang w:bidi="ar"/>
              </w:rPr>
              <w:t>环保：家具成品均</w:t>
            </w:r>
            <w:r>
              <w:rPr>
                <w:rFonts w:hint="eastAsia" w:ascii="宋体" w:hAnsi="宋体" w:cs="宋体"/>
                <w:color w:val="auto"/>
                <w:sz w:val="18"/>
                <w:szCs w:val="18"/>
                <w:highlight w:val="none"/>
                <w:lang w:eastAsia="zh-CN" w:bidi="ar"/>
              </w:rPr>
              <w:t>需</w:t>
            </w:r>
            <w:r>
              <w:rPr>
                <w:rFonts w:hint="eastAsia" w:ascii="宋体" w:hAnsi="宋体" w:cs="宋体"/>
                <w:color w:val="auto"/>
                <w:sz w:val="18"/>
                <w:szCs w:val="18"/>
                <w:highlight w:val="none"/>
                <w:lang w:bidi="ar"/>
              </w:rPr>
              <w:t>满足GB/T 35607-2024《绿色产品评价 家具》的要求（其中成品甲醛释放量≤0.05mg/m3，苯≤0.05mg/m3，甲苯、二甲苯≤0.1mg/m3，TVOC≤0.3mg/m3）.</w:t>
            </w:r>
          </w:p>
        </w:tc>
      </w:tr>
      <w:tr w14:paraId="34C4B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0" w:type="dxa"/>
            <w:left w:w="100" w:type="dxa"/>
            <w:bottom w:w="50" w:type="dxa"/>
            <w:right w:w="100" w:type="dxa"/>
          </w:tblCellMar>
        </w:tblPrEx>
        <w:trPr>
          <w:trHeight w:val="1890" w:hRule="atLeast"/>
        </w:trPr>
        <w:tc>
          <w:tcPr>
            <w:tcW w:w="153" w:type="pct"/>
            <w:tcBorders>
              <w:top w:val="single" w:color="000000" w:sz="0" w:space="0"/>
              <w:left w:val="single" w:color="000000" w:sz="0" w:space="0"/>
              <w:bottom w:val="single" w:color="000000" w:sz="0" w:space="0"/>
              <w:right w:val="single" w:color="000000" w:sz="0" w:space="0"/>
            </w:tcBorders>
          </w:tcPr>
          <w:p w14:paraId="6FA39FFE">
            <w:pPr>
              <w:numPr>
                <w:ilvl w:val="0"/>
                <w:numId w:val="7"/>
              </w:numPr>
              <w:jc w:val="center"/>
              <w:rPr>
                <w:color w:val="auto"/>
                <w:highlight w:val="none"/>
              </w:rPr>
            </w:pPr>
          </w:p>
        </w:tc>
        <w:tc>
          <w:tcPr>
            <w:tcW w:w="325" w:type="pct"/>
            <w:tcBorders>
              <w:top w:val="single" w:color="000000" w:sz="0" w:space="0"/>
              <w:left w:val="single" w:color="000000" w:sz="0" w:space="0"/>
              <w:bottom w:val="single" w:color="000000" w:sz="0" w:space="0"/>
              <w:right w:val="single" w:color="000000" w:sz="0" w:space="0"/>
            </w:tcBorders>
          </w:tcPr>
          <w:p w14:paraId="733DD5B9">
            <w:pPr>
              <w:jc w:val="left"/>
              <w:rPr>
                <w:color w:val="auto"/>
                <w:highlight w:val="none"/>
              </w:rPr>
            </w:pPr>
            <w:r>
              <w:rPr>
                <w:color w:val="auto"/>
                <w:sz w:val="20"/>
                <w:szCs w:val="20"/>
                <w:highlight w:val="none"/>
              </w:rPr>
              <w:t>矮柜</w:t>
            </w:r>
            <w:r>
              <w:rPr>
                <w:rFonts w:hint="eastAsia"/>
                <w:color w:val="auto"/>
                <w:sz w:val="20"/>
                <w:szCs w:val="20"/>
                <w:highlight w:val="none"/>
              </w:rPr>
              <w:t>（棕色）</w:t>
            </w:r>
          </w:p>
        </w:tc>
        <w:tc>
          <w:tcPr>
            <w:tcW w:w="257" w:type="pct"/>
            <w:tcBorders>
              <w:top w:val="single" w:color="000000" w:sz="0" w:space="0"/>
              <w:left w:val="single" w:color="000000" w:sz="0" w:space="0"/>
              <w:bottom w:val="single" w:color="000000" w:sz="0" w:space="0"/>
              <w:right w:val="single" w:color="000000" w:sz="0" w:space="0"/>
            </w:tcBorders>
          </w:tcPr>
          <w:p w14:paraId="263CFD30">
            <w:pPr>
              <w:jc w:val="center"/>
              <w:rPr>
                <w:color w:val="auto"/>
                <w:highlight w:val="none"/>
              </w:rPr>
            </w:pPr>
            <w:r>
              <w:rPr>
                <w:color w:val="auto"/>
                <w:sz w:val="20"/>
                <w:szCs w:val="20"/>
                <w:highlight w:val="none"/>
              </w:rPr>
              <w:t>储物柜</w:t>
            </w:r>
          </w:p>
        </w:tc>
        <w:tc>
          <w:tcPr>
            <w:tcW w:w="524" w:type="pct"/>
          </w:tcPr>
          <w:p w14:paraId="0CC9F255">
            <w:pPr>
              <w:tabs>
                <w:tab w:val="left" w:pos="223"/>
                <w:tab w:val="center" w:pos="1124"/>
              </w:tabs>
              <w:jc w:val="left"/>
              <w:rPr>
                <w:color w:val="auto"/>
                <w:highlight w:val="none"/>
              </w:rPr>
            </w:pPr>
            <w:r>
              <w:rPr>
                <w:rFonts w:hint="eastAsia"/>
                <w:color w:val="auto"/>
                <w:highlight w:val="none"/>
              </w:rPr>
              <w:tab/>
            </w:r>
            <w:r>
              <w:rPr>
                <w:rFonts w:hint="eastAsia"/>
                <w:color w:val="auto"/>
                <w:highlight w:val="none"/>
              </w:rPr>
              <w:t>示意图</w:t>
            </w:r>
            <w:r>
              <w:rPr>
                <w:rFonts w:hint="eastAsia"/>
                <w:color w:val="auto"/>
                <w:highlight w:val="none"/>
              </w:rPr>
              <w:tab/>
            </w:r>
            <w:r>
              <w:rPr>
                <w:color w:val="auto"/>
                <w:highlight w:val="none"/>
              </w:rPr>
              <w:drawing>
                <wp:inline distT="0" distB="0" distL="0" distR="0">
                  <wp:extent cx="942975" cy="942975"/>
                  <wp:effectExtent l="0" t="0" r="9525" b="9525"/>
                  <wp:docPr id="48" name="Image" descr="参考图片" titl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 descr="参考图片" title="图片"/>
                          <pic:cNvPicPr>
                            <a:picLocks noChangeAspect="1" noChangeArrowheads="1"/>
                          </pic:cNvPicPr>
                        </pic:nvPicPr>
                        <pic:blipFill>
                          <a:blip r:embed="rId24"/>
                          <a:srcRect/>
                          <a:stretch>
                            <a:fillRect/>
                          </a:stretch>
                        </pic:blipFill>
                        <pic:spPr>
                          <a:xfrm>
                            <a:off x="0" y="0"/>
                            <a:ext cx="942975" cy="942975"/>
                          </a:xfrm>
                          <a:prstGeom prst="rect">
                            <a:avLst/>
                          </a:prstGeom>
                        </pic:spPr>
                      </pic:pic>
                    </a:graphicData>
                  </a:graphic>
                </wp:inline>
              </w:drawing>
            </w:r>
          </w:p>
        </w:tc>
        <w:tc>
          <w:tcPr>
            <w:tcW w:w="621" w:type="pct"/>
            <w:tcBorders>
              <w:top w:val="single" w:color="000000" w:sz="0" w:space="0"/>
              <w:left w:val="single" w:color="000000" w:sz="0" w:space="0"/>
              <w:bottom w:val="single" w:color="000000" w:sz="0" w:space="0"/>
              <w:right w:val="single" w:color="000000" w:sz="0" w:space="0"/>
            </w:tcBorders>
          </w:tcPr>
          <w:p w14:paraId="3A625CD4">
            <w:pPr>
              <w:jc w:val="left"/>
              <w:rPr>
                <w:color w:val="auto"/>
                <w:highlight w:val="none"/>
              </w:rPr>
            </w:pPr>
            <w:r>
              <w:rPr>
                <w:color w:val="auto"/>
                <w:sz w:val="20"/>
                <w:szCs w:val="20"/>
                <w:highlight w:val="none"/>
              </w:rPr>
              <w:t>1400W*600D*750H（±</w:t>
            </w:r>
            <w:r>
              <w:rPr>
                <w:rFonts w:hint="eastAsia"/>
                <w:color w:val="auto"/>
                <w:sz w:val="20"/>
                <w:szCs w:val="20"/>
                <w:highlight w:val="none"/>
                <w:lang w:val="en-US" w:eastAsia="zh-CN"/>
              </w:rPr>
              <w:t>10</w:t>
            </w:r>
            <w:r>
              <w:rPr>
                <w:color w:val="auto"/>
                <w:sz w:val="20"/>
                <w:szCs w:val="20"/>
                <w:highlight w:val="none"/>
              </w:rPr>
              <w:t>mm）</w:t>
            </w:r>
          </w:p>
        </w:tc>
        <w:tc>
          <w:tcPr>
            <w:tcW w:w="204" w:type="pct"/>
            <w:tcBorders>
              <w:top w:val="single" w:color="000000" w:sz="0" w:space="0"/>
              <w:left w:val="single" w:color="000000" w:sz="0" w:space="0"/>
              <w:bottom w:val="single" w:color="000000" w:sz="0" w:space="0"/>
              <w:right w:val="single" w:color="000000" w:sz="0" w:space="0"/>
            </w:tcBorders>
          </w:tcPr>
          <w:p w14:paraId="6A900276">
            <w:pPr>
              <w:jc w:val="center"/>
              <w:rPr>
                <w:color w:val="auto"/>
                <w:highlight w:val="none"/>
              </w:rPr>
            </w:pPr>
            <w:r>
              <w:rPr>
                <w:color w:val="auto"/>
                <w:sz w:val="20"/>
                <w:szCs w:val="20"/>
                <w:highlight w:val="none"/>
              </w:rPr>
              <w:t>1个</w:t>
            </w:r>
          </w:p>
        </w:tc>
        <w:tc>
          <w:tcPr>
            <w:tcW w:w="504" w:type="pct"/>
            <w:tcBorders>
              <w:top w:val="single" w:color="000000" w:sz="0" w:space="0"/>
              <w:left w:val="single" w:color="000000" w:sz="0" w:space="0"/>
              <w:bottom w:val="single" w:color="000000" w:sz="0" w:space="0"/>
              <w:right w:val="single" w:color="000000" w:sz="0" w:space="0"/>
            </w:tcBorders>
          </w:tcPr>
          <w:p w14:paraId="31BB53B7">
            <w:pPr>
              <w:jc w:val="left"/>
              <w:rPr>
                <w:color w:val="auto"/>
                <w:highlight w:val="none"/>
              </w:rPr>
            </w:pPr>
            <w:r>
              <w:rPr>
                <w:color w:val="auto"/>
                <w:sz w:val="20"/>
                <w:szCs w:val="20"/>
                <w:highlight w:val="none"/>
              </w:rPr>
              <w:t>油漆</w:t>
            </w:r>
          </w:p>
        </w:tc>
        <w:tc>
          <w:tcPr>
            <w:tcW w:w="314" w:type="pct"/>
            <w:tcBorders>
              <w:top w:val="single" w:color="000000" w:sz="0" w:space="0"/>
              <w:left w:val="single" w:color="000000" w:sz="0" w:space="0"/>
              <w:bottom w:val="single" w:color="000000" w:sz="0" w:space="0"/>
              <w:right w:val="single" w:color="000000" w:sz="0" w:space="0"/>
            </w:tcBorders>
          </w:tcPr>
          <w:p w14:paraId="7A876E11">
            <w:pPr>
              <w:jc w:val="left"/>
              <w:rPr>
                <w:color w:val="auto"/>
                <w:highlight w:val="none"/>
              </w:rPr>
            </w:pPr>
            <w:r>
              <w:rPr>
                <w:color w:val="auto"/>
                <w:sz w:val="20"/>
                <w:szCs w:val="20"/>
                <w:highlight w:val="none"/>
              </w:rPr>
              <w:t>冷轧钢板</w:t>
            </w:r>
          </w:p>
        </w:tc>
        <w:tc>
          <w:tcPr>
            <w:tcW w:w="2095" w:type="pct"/>
            <w:tcBorders>
              <w:top w:val="single" w:color="000000" w:sz="0" w:space="0"/>
              <w:left w:val="single" w:color="000000" w:sz="0" w:space="0"/>
              <w:bottom w:val="single" w:color="000000" w:sz="0" w:space="0"/>
              <w:right w:val="single" w:color="000000" w:sz="0" w:space="0"/>
            </w:tcBorders>
          </w:tcPr>
          <w:p w14:paraId="3896732B">
            <w:pPr>
              <w:jc w:val="left"/>
              <w:rPr>
                <w:color w:val="auto"/>
                <w:sz w:val="20"/>
                <w:szCs w:val="20"/>
                <w:highlight w:val="none"/>
              </w:rPr>
            </w:pPr>
            <w:r>
              <w:rPr>
                <w:rFonts w:hint="eastAsia"/>
                <w:color w:val="auto"/>
                <w:sz w:val="20"/>
                <w:szCs w:val="20"/>
                <w:highlight w:val="none"/>
              </w:rPr>
              <w:t>（1）材质：采用</w:t>
            </w:r>
            <w:r>
              <w:rPr>
                <w:rFonts w:hint="eastAsia"/>
                <w:color w:val="auto"/>
                <w:sz w:val="20"/>
                <w:szCs w:val="20"/>
                <w:highlight w:val="none"/>
                <w:lang w:eastAsia="zh-CN"/>
              </w:rPr>
              <w:t>优质</w:t>
            </w:r>
            <w:r>
              <w:rPr>
                <w:rFonts w:hint="eastAsia"/>
                <w:color w:val="auto"/>
                <w:sz w:val="20"/>
                <w:szCs w:val="20"/>
                <w:highlight w:val="none"/>
              </w:rPr>
              <w:t>一级冷轧钢板，裸板厚</w:t>
            </w:r>
            <w:r>
              <w:rPr>
                <w:rFonts w:hint="eastAsia" w:ascii="宋体" w:hAnsi="宋体" w:cs="宋体"/>
                <w:snapToGrid w:val="0"/>
                <w:color w:val="auto"/>
                <w:kern w:val="0"/>
                <w:sz w:val="20"/>
                <w:szCs w:val="20"/>
                <w:highlight w:val="none"/>
                <w:lang w:bidi="ar"/>
              </w:rPr>
              <w:t>≥</w:t>
            </w:r>
            <w:r>
              <w:rPr>
                <w:rFonts w:hint="eastAsia"/>
                <w:color w:val="auto"/>
                <w:sz w:val="20"/>
                <w:szCs w:val="20"/>
                <w:highlight w:val="none"/>
              </w:rPr>
              <w:t>0.7mm；</w:t>
            </w:r>
          </w:p>
          <w:p w14:paraId="7ECD0F29">
            <w:pPr>
              <w:jc w:val="left"/>
              <w:rPr>
                <w:color w:val="auto"/>
                <w:sz w:val="20"/>
                <w:szCs w:val="20"/>
                <w:highlight w:val="none"/>
              </w:rPr>
            </w:pPr>
            <w:r>
              <w:rPr>
                <w:rFonts w:hint="eastAsia"/>
                <w:color w:val="auto"/>
                <w:sz w:val="20"/>
                <w:szCs w:val="20"/>
                <w:highlight w:val="none"/>
              </w:rPr>
              <w:t>（2）喷涂：表面经酸洗磷化处理，通过粉末喷涂设备进行静电热固性粉末喷塑，采用热固性粉末。成品要求表面涂膜无剥落、粘漆和皱纹等缺陷。涂膜厚50-70um，附着力达到0级标准，具有良好的耐腐蚀和耐冲击性；</w:t>
            </w:r>
          </w:p>
          <w:p w14:paraId="1BCB903B">
            <w:pPr>
              <w:jc w:val="left"/>
              <w:rPr>
                <w:rFonts w:hint="eastAsia"/>
                <w:color w:val="auto"/>
                <w:sz w:val="20"/>
                <w:szCs w:val="20"/>
                <w:highlight w:val="none"/>
              </w:rPr>
            </w:pPr>
            <w:r>
              <w:rPr>
                <w:rFonts w:hint="eastAsia"/>
                <w:color w:val="auto"/>
                <w:sz w:val="20"/>
                <w:szCs w:val="20"/>
                <w:highlight w:val="none"/>
              </w:rPr>
              <w:t>（3）五金件：优质五金配件；</w:t>
            </w:r>
          </w:p>
          <w:p w14:paraId="510D7DC3">
            <w:pPr>
              <w:jc w:val="left"/>
              <w:rPr>
                <w:rFonts w:hint="default" w:eastAsia="宋体"/>
                <w:color w:val="auto"/>
                <w:sz w:val="20"/>
                <w:szCs w:val="20"/>
                <w:highlight w:val="none"/>
                <w:lang w:val="en-US" w:eastAsia="zh-CN"/>
              </w:rPr>
            </w:pPr>
            <w:r>
              <w:rPr>
                <w:rFonts w:hint="eastAsia"/>
                <w:color w:val="auto"/>
                <w:sz w:val="20"/>
                <w:szCs w:val="20"/>
                <w:highlight w:val="none"/>
                <w:lang w:eastAsia="zh-CN"/>
              </w:rPr>
              <w:t>（</w:t>
            </w:r>
            <w:r>
              <w:rPr>
                <w:rFonts w:hint="eastAsia"/>
                <w:color w:val="auto"/>
                <w:sz w:val="20"/>
                <w:szCs w:val="20"/>
                <w:highlight w:val="none"/>
                <w:lang w:val="en-US" w:eastAsia="zh-CN"/>
              </w:rPr>
              <w:t>4</w:t>
            </w:r>
            <w:r>
              <w:rPr>
                <w:rFonts w:hint="eastAsia"/>
                <w:color w:val="auto"/>
                <w:sz w:val="20"/>
                <w:szCs w:val="20"/>
                <w:highlight w:val="none"/>
                <w:lang w:eastAsia="zh-CN"/>
              </w:rPr>
              <w:t>）</w:t>
            </w:r>
            <w:r>
              <w:rPr>
                <w:rFonts w:hint="eastAsia"/>
                <w:color w:val="auto"/>
                <w:sz w:val="20"/>
                <w:szCs w:val="20"/>
                <w:highlight w:val="none"/>
                <w:lang w:val="en-US" w:eastAsia="zh-CN"/>
              </w:rPr>
              <w:t>2层隔板；</w:t>
            </w:r>
          </w:p>
          <w:p w14:paraId="519929F6">
            <w:pPr>
              <w:jc w:val="left"/>
              <w:rPr>
                <w:rFonts w:hint="eastAsia" w:ascii="宋体" w:hAnsi="宋体" w:cs="宋体"/>
                <w:color w:val="auto"/>
                <w:sz w:val="18"/>
                <w:szCs w:val="18"/>
                <w:highlight w:val="none"/>
                <w:lang w:bidi="ar"/>
              </w:rPr>
            </w:pPr>
            <w:r>
              <w:rPr>
                <w:rFonts w:hint="eastAsia"/>
                <w:color w:val="auto"/>
                <w:sz w:val="20"/>
                <w:szCs w:val="20"/>
                <w:highlight w:val="none"/>
              </w:rPr>
              <w:t>（</w:t>
            </w:r>
            <w:r>
              <w:rPr>
                <w:rFonts w:hint="eastAsia"/>
                <w:color w:val="auto"/>
                <w:sz w:val="20"/>
                <w:szCs w:val="20"/>
                <w:highlight w:val="none"/>
                <w:lang w:val="en-US" w:eastAsia="zh-CN"/>
              </w:rPr>
              <w:t>5</w:t>
            </w:r>
            <w:r>
              <w:rPr>
                <w:rFonts w:hint="eastAsia"/>
                <w:color w:val="auto"/>
                <w:sz w:val="20"/>
                <w:szCs w:val="20"/>
                <w:highlight w:val="none"/>
              </w:rPr>
              <w:t>）</w:t>
            </w:r>
            <w:r>
              <w:rPr>
                <w:rFonts w:hint="eastAsia" w:ascii="宋体" w:hAnsi="宋体" w:cs="宋体"/>
                <w:color w:val="auto"/>
                <w:sz w:val="18"/>
                <w:szCs w:val="18"/>
                <w:highlight w:val="none"/>
                <w:lang w:bidi="ar"/>
              </w:rPr>
              <w:t>环保：家具成品均</w:t>
            </w:r>
            <w:r>
              <w:rPr>
                <w:rFonts w:hint="eastAsia" w:ascii="宋体" w:hAnsi="宋体" w:cs="宋体"/>
                <w:color w:val="auto"/>
                <w:sz w:val="18"/>
                <w:szCs w:val="18"/>
                <w:highlight w:val="none"/>
                <w:lang w:eastAsia="zh-CN" w:bidi="ar"/>
              </w:rPr>
              <w:t>需</w:t>
            </w:r>
            <w:r>
              <w:rPr>
                <w:rFonts w:hint="eastAsia" w:ascii="宋体" w:hAnsi="宋体" w:cs="宋体"/>
                <w:color w:val="auto"/>
                <w:sz w:val="18"/>
                <w:szCs w:val="18"/>
                <w:highlight w:val="none"/>
                <w:lang w:bidi="ar"/>
              </w:rPr>
              <w:t>满足GB/T 35607-2024《绿色产品评价 家具》的要求（其中成品甲醛释放量≤0.05mg/m3，苯≤0.05mg/m3，甲苯、二甲苯≤0.1mg/m3，TVOC≤0.3mg/m3）.</w:t>
            </w:r>
          </w:p>
        </w:tc>
      </w:tr>
      <w:tr w14:paraId="21A38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0" w:type="dxa"/>
            <w:left w:w="100" w:type="dxa"/>
            <w:bottom w:w="50" w:type="dxa"/>
            <w:right w:w="100" w:type="dxa"/>
          </w:tblCellMar>
        </w:tblPrEx>
        <w:tc>
          <w:tcPr>
            <w:tcW w:w="153" w:type="pct"/>
            <w:tcBorders>
              <w:top w:val="single" w:color="000000" w:sz="0" w:space="0"/>
              <w:left w:val="single" w:color="000000" w:sz="0" w:space="0"/>
              <w:bottom w:val="single" w:color="000000" w:sz="0" w:space="0"/>
              <w:right w:val="single" w:color="000000" w:sz="0" w:space="0"/>
            </w:tcBorders>
          </w:tcPr>
          <w:p w14:paraId="7AD5AABA">
            <w:pPr>
              <w:numPr>
                <w:ilvl w:val="0"/>
                <w:numId w:val="7"/>
              </w:numPr>
              <w:jc w:val="center"/>
              <w:rPr>
                <w:color w:val="auto"/>
                <w:highlight w:val="none"/>
              </w:rPr>
            </w:pPr>
          </w:p>
        </w:tc>
        <w:tc>
          <w:tcPr>
            <w:tcW w:w="325" w:type="pct"/>
            <w:tcBorders>
              <w:top w:val="single" w:color="000000" w:sz="0" w:space="0"/>
              <w:left w:val="single" w:color="000000" w:sz="0" w:space="0"/>
              <w:bottom w:val="single" w:color="000000" w:sz="0" w:space="0"/>
              <w:right w:val="single" w:color="000000" w:sz="0" w:space="0"/>
            </w:tcBorders>
          </w:tcPr>
          <w:p w14:paraId="72039482">
            <w:pPr>
              <w:jc w:val="left"/>
              <w:rPr>
                <w:color w:val="auto"/>
                <w:highlight w:val="none"/>
              </w:rPr>
            </w:pPr>
            <w:r>
              <w:rPr>
                <w:color w:val="auto"/>
                <w:sz w:val="20"/>
                <w:szCs w:val="20"/>
                <w:highlight w:val="none"/>
              </w:rPr>
              <w:t>钢制矮柜</w:t>
            </w:r>
          </w:p>
        </w:tc>
        <w:tc>
          <w:tcPr>
            <w:tcW w:w="257" w:type="pct"/>
            <w:tcBorders>
              <w:top w:val="single" w:color="000000" w:sz="0" w:space="0"/>
              <w:left w:val="single" w:color="000000" w:sz="0" w:space="0"/>
              <w:bottom w:val="single" w:color="000000" w:sz="0" w:space="0"/>
              <w:right w:val="single" w:color="000000" w:sz="0" w:space="0"/>
            </w:tcBorders>
          </w:tcPr>
          <w:p w14:paraId="0E6531A5">
            <w:pPr>
              <w:jc w:val="center"/>
              <w:rPr>
                <w:color w:val="auto"/>
                <w:highlight w:val="none"/>
              </w:rPr>
            </w:pPr>
            <w:r>
              <w:rPr>
                <w:color w:val="auto"/>
                <w:sz w:val="20"/>
                <w:szCs w:val="20"/>
                <w:highlight w:val="none"/>
              </w:rPr>
              <w:t>储物柜</w:t>
            </w:r>
          </w:p>
        </w:tc>
        <w:tc>
          <w:tcPr>
            <w:tcW w:w="524" w:type="pct"/>
          </w:tcPr>
          <w:p w14:paraId="5B2E4881">
            <w:pPr>
              <w:jc w:val="center"/>
              <w:rPr>
                <w:color w:val="auto"/>
                <w:highlight w:val="none"/>
              </w:rPr>
            </w:pPr>
            <w:r>
              <w:rPr>
                <w:color w:val="auto"/>
                <w:highlight w:val="none"/>
              </w:rPr>
              <w:drawing>
                <wp:inline distT="0" distB="0" distL="0" distR="0">
                  <wp:extent cx="1042670" cy="1042670"/>
                  <wp:effectExtent l="0" t="0" r="5080" b="5080"/>
                  <wp:docPr id="49" name="Image" descr="参考图片" titl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 descr="参考图片" title="图片"/>
                          <pic:cNvPicPr>
                            <a:picLocks noChangeAspect="1" noChangeArrowheads="1"/>
                          </pic:cNvPicPr>
                        </pic:nvPicPr>
                        <pic:blipFill>
                          <a:blip r:embed="rId25"/>
                          <a:srcRect/>
                          <a:stretch>
                            <a:fillRect/>
                          </a:stretch>
                        </pic:blipFill>
                        <pic:spPr>
                          <a:xfrm>
                            <a:off x="0" y="0"/>
                            <a:ext cx="1042670" cy="1042670"/>
                          </a:xfrm>
                          <a:prstGeom prst="rect">
                            <a:avLst/>
                          </a:prstGeom>
                        </pic:spPr>
                      </pic:pic>
                    </a:graphicData>
                  </a:graphic>
                </wp:inline>
              </w:drawing>
            </w:r>
          </w:p>
        </w:tc>
        <w:tc>
          <w:tcPr>
            <w:tcW w:w="621" w:type="pct"/>
            <w:tcBorders>
              <w:top w:val="single" w:color="000000" w:sz="0" w:space="0"/>
              <w:left w:val="single" w:color="000000" w:sz="0" w:space="0"/>
              <w:bottom w:val="single" w:color="000000" w:sz="0" w:space="0"/>
              <w:right w:val="single" w:color="000000" w:sz="0" w:space="0"/>
            </w:tcBorders>
          </w:tcPr>
          <w:p w14:paraId="19A0543B">
            <w:pPr>
              <w:jc w:val="left"/>
              <w:rPr>
                <w:color w:val="auto"/>
                <w:highlight w:val="none"/>
              </w:rPr>
            </w:pPr>
            <w:r>
              <w:rPr>
                <w:color w:val="auto"/>
                <w:sz w:val="20"/>
                <w:szCs w:val="20"/>
                <w:highlight w:val="none"/>
              </w:rPr>
              <w:t>900*400*1090（±</w:t>
            </w:r>
            <w:r>
              <w:rPr>
                <w:rFonts w:hint="eastAsia"/>
                <w:color w:val="auto"/>
                <w:sz w:val="20"/>
                <w:szCs w:val="20"/>
                <w:highlight w:val="none"/>
                <w:lang w:val="en-US" w:eastAsia="zh-CN"/>
              </w:rPr>
              <w:t>10</w:t>
            </w:r>
            <w:r>
              <w:rPr>
                <w:color w:val="auto"/>
                <w:sz w:val="20"/>
                <w:szCs w:val="20"/>
                <w:highlight w:val="none"/>
              </w:rPr>
              <w:t>mm）</w:t>
            </w:r>
          </w:p>
        </w:tc>
        <w:tc>
          <w:tcPr>
            <w:tcW w:w="204" w:type="pct"/>
            <w:tcBorders>
              <w:top w:val="single" w:color="000000" w:sz="0" w:space="0"/>
              <w:left w:val="single" w:color="000000" w:sz="0" w:space="0"/>
              <w:bottom w:val="single" w:color="000000" w:sz="0" w:space="0"/>
              <w:right w:val="single" w:color="000000" w:sz="0" w:space="0"/>
            </w:tcBorders>
          </w:tcPr>
          <w:p w14:paraId="36CC2D55">
            <w:pPr>
              <w:jc w:val="center"/>
              <w:rPr>
                <w:color w:val="auto"/>
                <w:highlight w:val="none"/>
              </w:rPr>
            </w:pPr>
            <w:r>
              <w:rPr>
                <w:color w:val="auto"/>
                <w:sz w:val="20"/>
                <w:szCs w:val="20"/>
                <w:highlight w:val="none"/>
              </w:rPr>
              <w:t>1个</w:t>
            </w:r>
          </w:p>
        </w:tc>
        <w:tc>
          <w:tcPr>
            <w:tcW w:w="504" w:type="pct"/>
            <w:tcBorders>
              <w:top w:val="single" w:color="000000" w:sz="0" w:space="0"/>
              <w:left w:val="single" w:color="000000" w:sz="0" w:space="0"/>
              <w:bottom w:val="single" w:color="000000" w:sz="0" w:space="0"/>
              <w:right w:val="single" w:color="000000" w:sz="0" w:space="0"/>
            </w:tcBorders>
          </w:tcPr>
          <w:p w14:paraId="51F3DDCF">
            <w:pPr>
              <w:jc w:val="left"/>
              <w:rPr>
                <w:color w:val="auto"/>
                <w:highlight w:val="none"/>
              </w:rPr>
            </w:pPr>
            <w:r>
              <w:rPr>
                <w:color w:val="auto"/>
                <w:sz w:val="20"/>
                <w:szCs w:val="20"/>
                <w:highlight w:val="none"/>
              </w:rPr>
              <w:t>油漆</w:t>
            </w:r>
          </w:p>
        </w:tc>
        <w:tc>
          <w:tcPr>
            <w:tcW w:w="314" w:type="pct"/>
            <w:tcBorders>
              <w:top w:val="single" w:color="000000" w:sz="0" w:space="0"/>
              <w:left w:val="single" w:color="000000" w:sz="0" w:space="0"/>
              <w:bottom w:val="single" w:color="000000" w:sz="0" w:space="0"/>
              <w:right w:val="single" w:color="000000" w:sz="0" w:space="0"/>
            </w:tcBorders>
          </w:tcPr>
          <w:p w14:paraId="1391366D">
            <w:pPr>
              <w:jc w:val="left"/>
              <w:rPr>
                <w:color w:val="auto"/>
                <w:highlight w:val="none"/>
              </w:rPr>
            </w:pPr>
            <w:r>
              <w:rPr>
                <w:color w:val="auto"/>
                <w:sz w:val="20"/>
                <w:szCs w:val="20"/>
                <w:highlight w:val="none"/>
              </w:rPr>
              <w:t>冷轧钢板</w:t>
            </w:r>
          </w:p>
        </w:tc>
        <w:tc>
          <w:tcPr>
            <w:tcW w:w="2095" w:type="pct"/>
            <w:tcBorders>
              <w:top w:val="single" w:color="000000" w:sz="0" w:space="0"/>
              <w:left w:val="single" w:color="000000" w:sz="0" w:space="0"/>
              <w:bottom w:val="single" w:color="000000" w:sz="0" w:space="0"/>
              <w:right w:val="single" w:color="000000" w:sz="0" w:space="0"/>
            </w:tcBorders>
          </w:tcPr>
          <w:p w14:paraId="44E1C079">
            <w:pPr>
              <w:jc w:val="left"/>
              <w:rPr>
                <w:color w:val="auto"/>
                <w:sz w:val="20"/>
                <w:szCs w:val="20"/>
                <w:highlight w:val="none"/>
              </w:rPr>
            </w:pPr>
            <w:r>
              <w:rPr>
                <w:rFonts w:hint="eastAsia"/>
                <w:color w:val="auto"/>
                <w:sz w:val="20"/>
                <w:szCs w:val="20"/>
                <w:highlight w:val="none"/>
              </w:rPr>
              <w:t>（1）材质：采用</w:t>
            </w:r>
            <w:r>
              <w:rPr>
                <w:rFonts w:hint="eastAsia"/>
                <w:color w:val="auto"/>
                <w:sz w:val="20"/>
                <w:szCs w:val="20"/>
                <w:highlight w:val="none"/>
                <w:lang w:eastAsia="zh-CN"/>
              </w:rPr>
              <w:t>优质</w:t>
            </w:r>
            <w:r>
              <w:rPr>
                <w:rFonts w:hint="eastAsia"/>
                <w:color w:val="auto"/>
                <w:sz w:val="20"/>
                <w:szCs w:val="20"/>
                <w:highlight w:val="none"/>
              </w:rPr>
              <w:t>一级冷轧钢板，裸板厚</w:t>
            </w:r>
            <w:r>
              <w:rPr>
                <w:rFonts w:hint="eastAsia" w:ascii="宋体" w:hAnsi="宋体" w:cs="宋体"/>
                <w:snapToGrid w:val="0"/>
                <w:color w:val="auto"/>
                <w:kern w:val="0"/>
                <w:sz w:val="20"/>
                <w:szCs w:val="20"/>
                <w:highlight w:val="none"/>
                <w:lang w:bidi="ar"/>
              </w:rPr>
              <w:t>≥</w:t>
            </w:r>
            <w:r>
              <w:rPr>
                <w:rFonts w:hint="eastAsia"/>
                <w:color w:val="auto"/>
                <w:sz w:val="20"/>
                <w:szCs w:val="20"/>
                <w:highlight w:val="none"/>
              </w:rPr>
              <w:t>0.7mm；</w:t>
            </w:r>
          </w:p>
          <w:p w14:paraId="23A1C9BC">
            <w:pPr>
              <w:jc w:val="left"/>
              <w:rPr>
                <w:color w:val="auto"/>
                <w:sz w:val="20"/>
                <w:szCs w:val="20"/>
                <w:highlight w:val="none"/>
              </w:rPr>
            </w:pPr>
            <w:r>
              <w:rPr>
                <w:rFonts w:hint="eastAsia"/>
                <w:color w:val="auto"/>
                <w:sz w:val="20"/>
                <w:szCs w:val="20"/>
                <w:highlight w:val="none"/>
              </w:rPr>
              <w:t>（2）喷涂：表面经酸洗磷化处理，通过粉末喷涂设备进行静电热固性粉末喷塑，采用热固性粉末。成品要求表面涂膜无剥落、粘漆和皱纹等缺陷。涂膜厚50-70um，附着力达到0级标准，具有良好的耐腐蚀和耐冲击性；</w:t>
            </w:r>
          </w:p>
          <w:p w14:paraId="10C4FABB">
            <w:pPr>
              <w:jc w:val="left"/>
              <w:rPr>
                <w:rFonts w:hint="eastAsia"/>
                <w:color w:val="auto"/>
                <w:sz w:val="20"/>
                <w:szCs w:val="20"/>
                <w:highlight w:val="none"/>
              </w:rPr>
            </w:pPr>
            <w:r>
              <w:rPr>
                <w:rFonts w:hint="eastAsia"/>
                <w:color w:val="auto"/>
                <w:sz w:val="20"/>
                <w:szCs w:val="20"/>
                <w:highlight w:val="none"/>
              </w:rPr>
              <w:t>（3）五金件：优质五金配件；</w:t>
            </w:r>
          </w:p>
          <w:p w14:paraId="72AA980D">
            <w:pPr>
              <w:jc w:val="left"/>
              <w:rPr>
                <w:rFonts w:hint="eastAsia"/>
                <w:color w:val="auto"/>
                <w:sz w:val="20"/>
                <w:szCs w:val="20"/>
                <w:highlight w:val="none"/>
              </w:rPr>
            </w:pPr>
            <w:r>
              <w:rPr>
                <w:rFonts w:hint="eastAsia"/>
                <w:color w:val="auto"/>
                <w:sz w:val="20"/>
                <w:szCs w:val="20"/>
                <w:highlight w:val="none"/>
                <w:lang w:eastAsia="zh-CN"/>
              </w:rPr>
              <w:t>（</w:t>
            </w:r>
            <w:r>
              <w:rPr>
                <w:rFonts w:hint="eastAsia"/>
                <w:color w:val="auto"/>
                <w:sz w:val="20"/>
                <w:szCs w:val="20"/>
                <w:highlight w:val="none"/>
                <w:lang w:val="en-US" w:eastAsia="zh-CN"/>
              </w:rPr>
              <w:t>4</w:t>
            </w:r>
            <w:r>
              <w:rPr>
                <w:rFonts w:hint="eastAsia"/>
                <w:color w:val="auto"/>
                <w:sz w:val="20"/>
                <w:szCs w:val="20"/>
                <w:highlight w:val="none"/>
                <w:lang w:eastAsia="zh-CN"/>
              </w:rPr>
              <w:t>）</w:t>
            </w:r>
            <w:r>
              <w:rPr>
                <w:rFonts w:hint="eastAsia"/>
                <w:color w:val="auto"/>
                <w:sz w:val="20"/>
                <w:szCs w:val="20"/>
                <w:highlight w:val="none"/>
                <w:lang w:val="en-US" w:eastAsia="zh-CN"/>
              </w:rPr>
              <w:t>3层隔板；</w:t>
            </w:r>
          </w:p>
          <w:p w14:paraId="6FD38BB5">
            <w:pPr>
              <w:jc w:val="left"/>
              <w:rPr>
                <w:rFonts w:hint="eastAsia" w:ascii="宋体" w:hAnsi="宋体" w:cs="宋体"/>
                <w:color w:val="auto"/>
                <w:sz w:val="18"/>
                <w:szCs w:val="18"/>
                <w:highlight w:val="none"/>
                <w:lang w:bidi="ar"/>
              </w:rPr>
            </w:pPr>
            <w:r>
              <w:rPr>
                <w:rFonts w:hint="eastAsia"/>
                <w:color w:val="auto"/>
                <w:sz w:val="20"/>
                <w:szCs w:val="20"/>
                <w:highlight w:val="none"/>
              </w:rPr>
              <w:t>（</w:t>
            </w:r>
            <w:r>
              <w:rPr>
                <w:rFonts w:hint="eastAsia"/>
                <w:color w:val="auto"/>
                <w:sz w:val="20"/>
                <w:szCs w:val="20"/>
                <w:highlight w:val="none"/>
                <w:lang w:val="en-US" w:eastAsia="zh-CN"/>
              </w:rPr>
              <w:t>5</w:t>
            </w:r>
            <w:r>
              <w:rPr>
                <w:rFonts w:hint="eastAsia"/>
                <w:color w:val="auto"/>
                <w:sz w:val="20"/>
                <w:szCs w:val="20"/>
                <w:highlight w:val="none"/>
              </w:rPr>
              <w:t>）</w:t>
            </w:r>
            <w:r>
              <w:rPr>
                <w:rFonts w:hint="eastAsia" w:ascii="宋体" w:hAnsi="宋体" w:cs="宋体"/>
                <w:color w:val="auto"/>
                <w:sz w:val="18"/>
                <w:szCs w:val="18"/>
                <w:highlight w:val="none"/>
                <w:lang w:bidi="ar"/>
              </w:rPr>
              <w:t>环保：家具成品均</w:t>
            </w:r>
            <w:r>
              <w:rPr>
                <w:rFonts w:hint="eastAsia" w:ascii="宋体" w:hAnsi="宋体" w:cs="宋体"/>
                <w:color w:val="auto"/>
                <w:sz w:val="18"/>
                <w:szCs w:val="18"/>
                <w:highlight w:val="none"/>
                <w:lang w:eastAsia="zh-CN" w:bidi="ar"/>
              </w:rPr>
              <w:t>需</w:t>
            </w:r>
            <w:r>
              <w:rPr>
                <w:rFonts w:hint="eastAsia" w:ascii="宋体" w:hAnsi="宋体" w:cs="宋体"/>
                <w:color w:val="auto"/>
                <w:sz w:val="18"/>
                <w:szCs w:val="18"/>
                <w:highlight w:val="none"/>
                <w:lang w:bidi="ar"/>
              </w:rPr>
              <w:t>满足GB/T 35607-2024《绿色产品评价 家具》的要求（其中成品甲醛释放量≤0.05mg/m3，苯≤0.05mg/m3，甲苯、二甲苯≤0.1mg/m3，TVOC≤0.3mg/m3）.</w:t>
            </w:r>
          </w:p>
          <w:p w14:paraId="36AE0F59">
            <w:pPr>
              <w:jc w:val="left"/>
              <w:rPr>
                <w:rFonts w:hint="eastAsia" w:ascii="宋体" w:hAnsi="宋体" w:eastAsia="宋体" w:cs="宋体"/>
                <w:color w:val="auto"/>
                <w:sz w:val="18"/>
                <w:szCs w:val="18"/>
                <w:highlight w:val="none"/>
                <w:lang w:eastAsia="zh-CN" w:bidi="ar"/>
              </w:rPr>
            </w:pPr>
          </w:p>
        </w:tc>
      </w:tr>
      <w:tr w14:paraId="1C414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0" w:type="dxa"/>
            <w:left w:w="100" w:type="dxa"/>
            <w:bottom w:w="50" w:type="dxa"/>
            <w:right w:w="100" w:type="dxa"/>
          </w:tblCellMar>
        </w:tblPrEx>
        <w:trPr>
          <w:trHeight w:val="90" w:hRule="atLeast"/>
        </w:trPr>
        <w:tc>
          <w:tcPr>
            <w:tcW w:w="153" w:type="pct"/>
            <w:tcBorders>
              <w:top w:val="single" w:color="000000" w:sz="0" w:space="0"/>
              <w:left w:val="single" w:color="000000" w:sz="0" w:space="0"/>
              <w:bottom w:val="single" w:color="000000" w:sz="0" w:space="0"/>
              <w:right w:val="single" w:color="000000" w:sz="0" w:space="0"/>
            </w:tcBorders>
          </w:tcPr>
          <w:p w14:paraId="1A4A2F08">
            <w:pPr>
              <w:numPr>
                <w:ilvl w:val="0"/>
                <w:numId w:val="7"/>
              </w:numPr>
              <w:jc w:val="center"/>
              <w:rPr>
                <w:color w:val="auto"/>
                <w:highlight w:val="none"/>
              </w:rPr>
            </w:pPr>
          </w:p>
        </w:tc>
        <w:tc>
          <w:tcPr>
            <w:tcW w:w="325" w:type="pct"/>
            <w:tcBorders>
              <w:top w:val="single" w:color="000000" w:sz="0" w:space="0"/>
              <w:left w:val="single" w:color="000000" w:sz="0" w:space="0"/>
              <w:bottom w:val="single" w:color="000000" w:sz="0" w:space="0"/>
              <w:right w:val="single" w:color="000000" w:sz="0" w:space="0"/>
            </w:tcBorders>
          </w:tcPr>
          <w:p w14:paraId="2AFAFD34">
            <w:pPr>
              <w:jc w:val="left"/>
              <w:rPr>
                <w:color w:val="auto"/>
                <w:highlight w:val="none"/>
              </w:rPr>
            </w:pPr>
            <w:r>
              <w:rPr>
                <w:color w:val="auto"/>
                <w:sz w:val="20"/>
                <w:szCs w:val="20"/>
                <w:highlight w:val="none"/>
              </w:rPr>
              <w:t>钢制文件柜</w:t>
            </w:r>
          </w:p>
        </w:tc>
        <w:tc>
          <w:tcPr>
            <w:tcW w:w="257" w:type="pct"/>
            <w:tcBorders>
              <w:top w:val="single" w:color="000000" w:sz="0" w:space="0"/>
              <w:left w:val="single" w:color="000000" w:sz="0" w:space="0"/>
              <w:bottom w:val="single" w:color="000000" w:sz="0" w:space="0"/>
              <w:right w:val="single" w:color="000000" w:sz="0" w:space="0"/>
            </w:tcBorders>
          </w:tcPr>
          <w:p w14:paraId="79D08FAD">
            <w:pPr>
              <w:jc w:val="center"/>
              <w:rPr>
                <w:color w:val="auto"/>
                <w:highlight w:val="none"/>
              </w:rPr>
            </w:pPr>
            <w:r>
              <w:rPr>
                <w:color w:val="auto"/>
                <w:sz w:val="20"/>
                <w:szCs w:val="20"/>
                <w:highlight w:val="none"/>
              </w:rPr>
              <w:t>储物柜</w:t>
            </w:r>
          </w:p>
        </w:tc>
        <w:tc>
          <w:tcPr>
            <w:tcW w:w="524" w:type="pct"/>
          </w:tcPr>
          <w:p w14:paraId="5124CD3E">
            <w:pPr>
              <w:jc w:val="center"/>
              <w:rPr>
                <w:color w:val="auto"/>
                <w:highlight w:val="none"/>
              </w:rPr>
            </w:pPr>
            <w:r>
              <w:rPr>
                <w:color w:val="auto"/>
                <w:highlight w:val="none"/>
              </w:rPr>
              <w:drawing>
                <wp:inline distT="0" distB="0" distL="0" distR="0">
                  <wp:extent cx="1101090" cy="1101090"/>
                  <wp:effectExtent l="0" t="0" r="3810" b="3810"/>
                  <wp:docPr id="50" name="Image" descr="参考图片" titl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 descr="参考图片" title="图片"/>
                          <pic:cNvPicPr>
                            <a:picLocks noChangeAspect="1" noChangeArrowheads="1"/>
                          </pic:cNvPicPr>
                        </pic:nvPicPr>
                        <pic:blipFill>
                          <a:blip r:embed="rId26"/>
                          <a:srcRect/>
                          <a:stretch>
                            <a:fillRect/>
                          </a:stretch>
                        </pic:blipFill>
                        <pic:spPr>
                          <a:xfrm>
                            <a:off x="0" y="0"/>
                            <a:ext cx="1101090" cy="1101090"/>
                          </a:xfrm>
                          <a:prstGeom prst="rect">
                            <a:avLst/>
                          </a:prstGeom>
                        </pic:spPr>
                      </pic:pic>
                    </a:graphicData>
                  </a:graphic>
                </wp:inline>
              </w:drawing>
            </w:r>
          </w:p>
        </w:tc>
        <w:tc>
          <w:tcPr>
            <w:tcW w:w="621" w:type="pct"/>
            <w:tcBorders>
              <w:top w:val="single" w:color="000000" w:sz="0" w:space="0"/>
              <w:left w:val="single" w:color="000000" w:sz="0" w:space="0"/>
              <w:bottom w:val="single" w:color="000000" w:sz="0" w:space="0"/>
              <w:right w:val="single" w:color="000000" w:sz="0" w:space="0"/>
            </w:tcBorders>
          </w:tcPr>
          <w:p w14:paraId="0BE2A4DC">
            <w:pPr>
              <w:jc w:val="left"/>
              <w:rPr>
                <w:color w:val="auto"/>
                <w:highlight w:val="none"/>
              </w:rPr>
            </w:pPr>
            <w:r>
              <w:rPr>
                <w:color w:val="auto"/>
                <w:sz w:val="20"/>
                <w:szCs w:val="20"/>
                <w:highlight w:val="none"/>
              </w:rPr>
              <w:t>900*400*1850（±</w:t>
            </w:r>
            <w:r>
              <w:rPr>
                <w:rFonts w:hint="eastAsia"/>
                <w:color w:val="auto"/>
                <w:sz w:val="20"/>
                <w:szCs w:val="20"/>
                <w:highlight w:val="none"/>
                <w:lang w:val="en-US" w:eastAsia="zh-CN"/>
              </w:rPr>
              <w:t>10</w:t>
            </w:r>
            <w:r>
              <w:rPr>
                <w:color w:val="auto"/>
                <w:sz w:val="20"/>
                <w:szCs w:val="20"/>
                <w:highlight w:val="none"/>
              </w:rPr>
              <w:t>mm）</w:t>
            </w:r>
          </w:p>
        </w:tc>
        <w:tc>
          <w:tcPr>
            <w:tcW w:w="204" w:type="pct"/>
            <w:tcBorders>
              <w:top w:val="single" w:color="000000" w:sz="0" w:space="0"/>
              <w:left w:val="single" w:color="000000" w:sz="0" w:space="0"/>
              <w:bottom w:val="single" w:color="000000" w:sz="0" w:space="0"/>
              <w:right w:val="single" w:color="000000" w:sz="0" w:space="0"/>
            </w:tcBorders>
          </w:tcPr>
          <w:p w14:paraId="10DB3D87">
            <w:pPr>
              <w:jc w:val="center"/>
              <w:rPr>
                <w:color w:val="auto"/>
                <w:highlight w:val="none"/>
              </w:rPr>
            </w:pPr>
            <w:r>
              <w:rPr>
                <w:rFonts w:hint="eastAsia"/>
                <w:color w:val="auto"/>
                <w:sz w:val="20"/>
                <w:szCs w:val="20"/>
                <w:highlight w:val="none"/>
              </w:rPr>
              <w:t>183</w:t>
            </w:r>
            <w:r>
              <w:rPr>
                <w:color w:val="auto"/>
                <w:sz w:val="20"/>
                <w:szCs w:val="20"/>
                <w:highlight w:val="none"/>
              </w:rPr>
              <w:t>个</w:t>
            </w:r>
          </w:p>
        </w:tc>
        <w:tc>
          <w:tcPr>
            <w:tcW w:w="504" w:type="pct"/>
            <w:tcBorders>
              <w:top w:val="single" w:color="000000" w:sz="0" w:space="0"/>
              <w:left w:val="single" w:color="000000" w:sz="0" w:space="0"/>
              <w:bottom w:val="single" w:color="000000" w:sz="0" w:space="0"/>
              <w:right w:val="single" w:color="000000" w:sz="0" w:space="0"/>
            </w:tcBorders>
          </w:tcPr>
          <w:p w14:paraId="45D420F6">
            <w:pPr>
              <w:jc w:val="left"/>
              <w:rPr>
                <w:color w:val="auto"/>
                <w:highlight w:val="none"/>
              </w:rPr>
            </w:pPr>
            <w:r>
              <w:rPr>
                <w:color w:val="auto"/>
                <w:sz w:val="20"/>
                <w:szCs w:val="20"/>
                <w:highlight w:val="none"/>
              </w:rPr>
              <w:t>油漆</w:t>
            </w:r>
          </w:p>
        </w:tc>
        <w:tc>
          <w:tcPr>
            <w:tcW w:w="314" w:type="pct"/>
            <w:tcBorders>
              <w:top w:val="single" w:color="000000" w:sz="0" w:space="0"/>
              <w:left w:val="single" w:color="000000" w:sz="0" w:space="0"/>
              <w:bottom w:val="single" w:color="000000" w:sz="0" w:space="0"/>
              <w:right w:val="single" w:color="000000" w:sz="0" w:space="0"/>
            </w:tcBorders>
          </w:tcPr>
          <w:p w14:paraId="76014AB1">
            <w:pPr>
              <w:jc w:val="left"/>
              <w:rPr>
                <w:color w:val="auto"/>
                <w:highlight w:val="none"/>
              </w:rPr>
            </w:pPr>
            <w:r>
              <w:rPr>
                <w:color w:val="auto"/>
                <w:sz w:val="20"/>
                <w:szCs w:val="20"/>
                <w:highlight w:val="none"/>
              </w:rPr>
              <w:t>冷轧钢板</w:t>
            </w:r>
          </w:p>
        </w:tc>
        <w:tc>
          <w:tcPr>
            <w:tcW w:w="2095" w:type="pct"/>
            <w:tcBorders>
              <w:top w:val="single" w:color="000000" w:sz="0" w:space="0"/>
              <w:left w:val="single" w:color="000000" w:sz="0" w:space="0"/>
              <w:bottom w:val="single" w:color="000000" w:sz="0" w:space="0"/>
              <w:right w:val="single" w:color="000000" w:sz="0" w:space="0"/>
            </w:tcBorders>
          </w:tcPr>
          <w:p w14:paraId="2A9B5386">
            <w:pPr>
              <w:jc w:val="left"/>
              <w:rPr>
                <w:color w:val="auto"/>
                <w:sz w:val="20"/>
                <w:szCs w:val="20"/>
                <w:highlight w:val="none"/>
              </w:rPr>
            </w:pPr>
            <w:r>
              <w:rPr>
                <w:rFonts w:hint="eastAsia"/>
                <w:color w:val="auto"/>
                <w:sz w:val="20"/>
                <w:szCs w:val="20"/>
                <w:highlight w:val="none"/>
              </w:rPr>
              <w:t>（1）材质：采用</w:t>
            </w:r>
            <w:r>
              <w:rPr>
                <w:rFonts w:hint="eastAsia"/>
                <w:color w:val="auto"/>
                <w:sz w:val="20"/>
                <w:szCs w:val="20"/>
                <w:highlight w:val="none"/>
                <w:lang w:eastAsia="zh-CN"/>
              </w:rPr>
              <w:t>优质</w:t>
            </w:r>
            <w:r>
              <w:rPr>
                <w:rFonts w:hint="eastAsia"/>
                <w:color w:val="auto"/>
                <w:sz w:val="20"/>
                <w:szCs w:val="20"/>
                <w:highlight w:val="none"/>
              </w:rPr>
              <w:t>一级冷轧钢板，裸板厚</w:t>
            </w:r>
            <w:r>
              <w:rPr>
                <w:rFonts w:hint="eastAsia" w:ascii="宋体" w:hAnsi="宋体" w:cs="宋体"/>
                <w:snapToGrid w:val="0"/>
                <w:color w:val="auto"/>
                <w:kern w:val="0"/>
                <w:sz w:val="20"/>
                <w:szCs w:val="20"/>
                <w:highlight w:val="none"/>
                <w:lang w:bidi="ar"/>
              </w:rPr>
              <w:t>≥</w:t>
            </w:r>
            <w:r>
              <w:rPr>
                <w:rFonts w:hint="eastAsia"/>
                <w:color w:val="auto"/>
                <w:sz w:val="20"/>
                <w:szCs w:val="20"/>
                <w:highlight w:val="none"/>
              </w:rPr>
              <w:t>0.7mm；</w:t>
            </w:r>
          </w:p>
          <w:p w14:paraId="23E012D3">
            <w:pPr>
              <w:jc w:val="left"/>
              <w:rPr>
                <w:color w:val="auto"/>
                <w:sz w:val="20"/>
                <w:szCs w:val="20"/>
                <w:highlight w:val="none"/>
              </w:rPr>
            </w:pPr>
            <w:r>
              <w:rPr>
                <w:rFonts w:hint="eastAsia"/>
                <w:color w:val="auto"/>
                <w:sz w:val="20"/>
                <w:szCs w:val="20"/>
                <w:highlight w:val="none"/>
              </w:rPr>
              <w:t>（2）喷涂：表面经酸洗磷化处理，通过粉末喷涂设备进行静电热固性粉末喷塑，采用热固性粉末。成品要求表面涂膜无剥落、粘漆和皱纹等缺陷。涂膜厚50-70um，附着力达到0级标准，具有良好的耐腐蚀和耐冲击性；</w:t>
            </w:r>
          </w:p>
          <w:p w14:paraId="663EE5A4">
            <w:pPr>
              <w:jc w:val="left"/>
              <w:rPr>
                <w:rFonts w:hint="eastAsia"/>
                <w:color w:val="auto"/>
                <w:sz w:val="20"/>
                <w:szCs w:val="20"/>
                <w:highlight w:val="none"/>
              </w:rPr>
            </w:pPr>
            <w:r>
              <w:rPr>
                <w:rFonts w:hint="eastAsia"/>
                <w:color w:val="auto"/>
                <w:sz w:val="20"/>
                <w:szCs w:val="20"/>
                <w:highlight w:val="none"/>
              </w:rPr>
              <w:t>（3）五金件：优质五金配件；</w:t>
            </w:r>
          </w:p>
          <w:p w14:paraId="596AD70D">
            <w:pPr>
              <w:jc w:val="left"/>
              <w:rPr>
                <w:rFonts w:hint="eastAsia"/>
                <w:color w:val="auto"/>
                <w:sz w:val="20"/>
                <w:szCs w:val="20"/>
                <w:highlight w:val="none"/>
              </w:rPr>
            </w:pPr>
            <w:r>
              <w:rPr>
                <w:rFonts w:hint="eastAsia"/>
                <w:color w:val="auto"/>
                <w:sz w:val="20"/>
                <w:szCs w:val="20"/>
                <w:highlight w:val="none"/>
                <w:lang w:eastAsia="zh-CN"/>
              </w:rPr>
              <w:t>（</w:t>
            </w:r>
            <w:r>
              <w:rPr>
                <w:rFonts w:hint="eastAsia"/>
                <w:color w:val="auto"/>
                <w:sz w:val="20"/>
                <w:szCs w:val="20"/>
                <w:highlight w:val="none"/>
                <w:lang w:val="en-US" w:eastAsia="zh-CN"/>
              </w:rPr>
              <w:t>4</w:t>
            </w:r>
            <w:r>
              <w:rPr>
                <w:rFonts w:hint="eastAsia"/>
                <w:color w:val="auto"/>
                <w:sz w:val="20"/>
                <w:szCs w:val="20"/>
                <w:highlight w:val="none"/>
                <w:lang w:eastAsia="zh-CN"/>
              </w:rPr>
              <w:t>）</w:t>
            </w:r>
            <w:r>
              <w:rPr>
                <w:rFonts w:hint="eastAsia"/>
                <w:color w:val="auto"/>
                <w:sz w:val="20"/>
                <w:szCs w:val="20"/>
                <w:highlight w:val="none"/>
                <w:lang w:val="en-US" w:eastAsia="zh-CN"/>
              </w:rPr>
              <w:t>上面3层、下面2层隔板；</w:t>
            </w:r>
          </w:p>
          <w:p w14:paraId="15FCBF3D">
            <w:pPr>
              <w:jc w:val="left"/>
              <w:rPr>
                <w:rFonts w:hint="eastAsia" w:ascii="宋体" w:hAnsi="宋体" w:cs="宋体"/>
                <w:color w:val="auto"/>
                <w:sz w:val="18"/>
                <w:szCs w:val="18"/>
                <w:highlight w:val="none"/>
                <w:lang w:bidi="ar"/>
              </w:rPr>
            </w:pPr>
            <w:r>
              <w:rPr>
                <w:rFonts w:hint="eastAsia"/>
                <w:color w:val="auto"/>
                <w:sz w:val="20"/>
                <w:szCs w:val="20"/>
                <w:highlight w:val="none"/>
              </w:rPr>
              <w:t>（</w:t>
            </w:r>
            <w:r>
              <w:rPr>
                <w:rFonts w:hint="eastAsia"/>
                <w:color w:val="auto"/>
                <w:sz w:val="20"/>
                <w:szCs w:val="20"/>
                <w:highlight w:val="none"/>
                <w:lang w:val="en-US" w:eastAsia="zh-CN"/>
              </w:rPr>
              <w:t>5</w:t>
            </w:r>
            <w:r>
              <w:rPr>
                <w:rFonts w:hint="eastAsia"/>
                <w:color w:val="auto"/>
                <w:sz w:val="20"/>
                <w:szCs w:val="20"/>
                <w:highlight w:val="none"/>
              </w:rPr>
              <w:t>）</w:t>
            </w:r>
            <w:r>
              <w:rPr>
                <w:rFonts w:hint="eastAsia" w:ascii="宋体" w:hAnsi="宋体" w:cs="宋体"/>
                <w:color w:val="auto"/>
                <w:sz w:val="18"/>
                <w:szCs w:val="18"/>
                <w:highlight w:val="none"/>
                <w:lang w:bidi="ar"/>
              </w:rPr>
              <w:t>环保：家具成品均</w:t>
            </w:r>
            <w:r>
              <w:rPr>
                <w:rFonts w:hint="eastAsia" w:ascii="宋体" w:hAnsi="宋体" w:cs="宋体"/>
                <w:color w:val="auto"/>
                <w:sz w:val="18"/>
                <w:szCs w:val="18"/>
                <w:highlight w:val="none"/>
                <w:lang w:eastAsia="zh-CN" w:bidi="ar"/>
              </w:rPr>
              <w:t>需</w:t>
            </w:r>
            <w:r>
              <w:rPr>
                <w:rFonts w:hint="eastAsia" w:ascii="宋体" w:hAnsi="宋体" w:cs="宋体"/>
                <w:color w:val="auto"/>
                <w:sz w:val="18"/>
                <w:szCs w:val="18"/>
                <w:highlight w:val="none"/>
                <w:lang w:bidi="ar"/>
              </w:rPr>
              <w:t>满足GB/T 35607-2024《绿色产品评价 家具》的要求（其中成品甲醛释放量≤0.05mg/m3，苯≤0.05mg/m3，甲苯、二甲苯≤0.1mg/m3，TVOC≤0.3mg/m3）.</w:t>
            </w:r>
          </w:p>
          <w:p w14:paraId="7ED1746E">
            <w:pPr>
              <w:jc w:val="left"/>
              <w:rPr>
                <w:rFonts w:hint="eastAsia" w:ascii="宋体" w:hAnsi="宋体" w:cs="宋体"/>
                <w:color w:val="auto"/>
                <w:sz w:val="18"/>
                <w:szCs w:val="18"/>
                <w:highlight w:val="none"/>
                <w:lang w:bidi="ar"/>
              </w:rPr>
            </w:pPr>
          </w:p>
        </w:tc>
      </w:tr>
      <w:tr w14:paraId="3DFDF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0" w:type="dxa"/>
            <w:left w:w="100" w:type="dxa"/>
            <w:bottom w:w="50" w:type="dxa"/>
            <w:right w:w="100" w:type="dxa"/>
          </w:tblCellMar>
        </w:tblPrEx>
        <w:trPr>
          <w:trHeight w:val="1780" w:hRule="atLeast"/>
        </w:trPr>
        <w:tc>
          <w:tcPr>
            <w:tcW w:w="153" w:type="pct"/>
            <w:tcBorders>
              <w:top w:val="single" w:color="000000" w:sz="0" w:space="0"/>
              <w:left w:val="single" w:color="000000" w:sz="0" w:space="0"/>
              <w:bottom w:val="single" w:color="000000" w:sz="0" w:space="0"/>
              <w:right w:val="single" w:color="000000" w:sz="0" w:space="0"/>
            </w:tcBorders>
          </w:tcPr>
          <w:p w14:paraId="0F701A00">
            <w:pPr>
              <w:numPr>
                <w:ilvl w:val="0"/>
                <w:numId w:val="7"/>
              </w:numPr>
              <w:jc w:val="center"/>
              <w:rPr>
                <w:color w:val="auto"/>
                <w:sz w:val="20"/>
                <w:szCs w:val="20"/>
                <w:highlight w:val="none"/>
              </w:rPr>
            </w:pPr>
          </w:p>
        </w:tc>
        <w:tc>
          <w:tcPr>
            <w:tcW w:w="325" w:type="pct"/>
            <w:tcBorders>
              <w:top w:val="single" w:color="000000" w:sz="0" w:space="0"/>
              <w:left w:val="single" w:color="000000" w:sz="0" w:space="0"/>
              <w:bottom w:val="single" w:color="000000" w:sz="0" w:space="0"/>
              <w:right w:val="single" w:color="000000" w:sz="0" w:space="0"/>
            </w:tcBorders>
          </w:tcPr>
          <w:p w14:paraId="5AA22480">
            <w:pPr>
              <w:jc w:val="left"/>
              <w:rPr>
                <w:color w:val="auto"/>
                <w:highlight w:val="none"/>
              </w:rPr>
            </w:pPr>
            <w:r>
              <w:rPr>
                <w:rFonts w:hint="eastAsia"/>
                <w:color w:val="auto"/>
                <w:sz w:val="20"/>
                <w:szCs w:val="20"/>
                <w:highlight w:val="none"/>
              </w:rPr>
              <w:t>档案</w:t>
            </w:r>
            <w:r>
              <w:rPr>
                <w:color w:val="auto"/>
                <w:sz w:val="20"/>
                <w:szCs w:val="20"/>
                <w:highlight w:val="none"/>
              </w:rPr>
              <w:t>柜</w:t>
            </w:r>
          </w:p>
        </w:tc>
        <w:tc>
          <w:tcPr>
            <w:tcW w:w="257" w:type="pct"/>
            <w:tcBorders>
              <w:top w:val="single" w:color="000000" w:sz="0" w:space="0"/>
              <w:left w:val="single" w:color="000000" w:sz="0" w:space="0"/>
              <w:bottom w:val="single" w:color="000000" w:sz="0" w:space="0"/>
              <w:right w:val="single" w:color="000000" w:sz="0" w:space="0"/>
            </w:tcBorders>
          </w:tcPr>
          <w:p w14:paraId="195F2CAD">
            <w:pPr>
              <w:jc w:val="center"/>
              <w:rPr>
                <w:color w:val="auto"/>
                <w:highlight w:val="none"/>
              </w:rPr>
            </w:pPr>
            <w:r>
              <w:rPr>
                <w:color w:val="auto"/>
                <w:sz w:val="20"/>
                <w:szCs w:val="20"/>
                <w:highlight w:val="none"/>
              </w:rPr>
              <w:t>储物柜</w:t>
            </w:r>
          </w:p>
        </w:tc>
        <w:tc>
          <w:tcPr>
            <w:tcW w:w="524" w:type="pct"/>
          </w:tcPr>
          <w:p w14:paraId="7341AB15">
            <w:pPr>
              <w:jc w:val="center"/>
              <w:rPr>
                <w:color w:val="auto"/>
                <w:highlight w:val="none"/>
              </w:rPr>
            </w:pPr>
            <w:r>
              <w:rPr>
                <w:color w:val="auto"/>
                <w:highlight w:val="none"/>
              </w:rPr>
              <w:drawing>
                <wp:inline distT="0" distB="0" distL="114300" distR="114300">
                  <wp:extent cx="661670" cy="1053465"/>
                  <wp:effectExtent l="0" t="0" r="5080" b="13335"/>
                  <wp:docPr id="51" name="图片 21" descr="档案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21" descr="档案柜"/>
                          <pic:cNvPicPr>
                            <a:picLocks noChangeAspect="1"/>
                          </pic:cNvPicPr>
                        </pic:nvPicPr>
                        <pic:blipFill>
                          <a:blip r:embed="rId27"/>
                          <a:stretch>
                            <a:fillRect/>
                          </a:stretch>
                        </pic:blipFill>
                        <pic:spPr>
                          <a:xfrm flipV="1">
                            <a:off x="0" y="0"/>
                            <a:ext cx="661670" cy="1053465"/>
                          </a:xfrm>
                          <a:prstGeom prst="rect">
                            <a:avLst/>
                          </a:prstGeom>
                        </pic:spPr>
                      </pic:pic>
                    </a:graphicData>
                  </a:graphic>
                </wp:inline>
              </w:drawing>
            </w:r>
          </w:p>
        </w:tc>
        <w:tc>
          <w:tcPr>
            <w:tcW w:w="621" w:type="pct"/>
            <w:tcBorders>
              <w:top w:val="single" w:color="000000" w:sz="0" w:space="0"/>
              <w:left w:val="single" w:color="000000" w:sz="0" w:space="0"/>
              <w:bottom w:val="single" w:color="000000" w:sz="0" w:space="0"/>
              <w:right w:val="single" w:color="000000" w:sz="0" w:space="0"/>
            </w:tcBorders>
          </w:tcPr>
          <w:p w14:paraId="394D3459">
            <w:pPr>
              <w:jc w:val="left"/>
              <w:rPr>
                <w:color w:val="auto"/>
                <w:highlight w:val="none"/>
              </w:rPr>
            </w:pPr>
            <w:r>
              <w:rPr>
                <w:rFonts w:hint="eastAsia"/>
                <w:color w:val="auto"/>
                <w:sz w:val="20"/>
                <w:szCs w:val="20"/>
                <w:highlight w:val="none"/>
              </w:rPr>
              <w:t>900*450*1850</w:t>
            </w:r>
            <w:r>
              <w:rPr>
                <w:color w:val="auto"/>
                <w:sz w:val="20"/>
                <w:szCs w:val="20"/>
                <w:highlight w:val="none"/>
              </w:rPr>
              <w:t>（±</w:t>
            </w:r>
            <w:r>
              <w:rPr>
                <w:rFonts w:hint="eastAsia"/>
                <w:color w:val="auto"/>
                <w:sz w:val="20"/>
                <w:szCs w:val="20"/>
                <w:highlight w:val="none"/>
                <w:lang w:val="en-US" w:eastAsia="zh-CN"/>
              </w:rPr>
              <w:t>10</w:t>
            </w:r>
            <w:r>
              <w:rPr>
                <w:color w:val="auto"/>
                <w:sz w:val="20"/>
                <w:szCs w:val="20"/>
                <w:highlight w:val="none"/>
              </w:rPr>
              <w:t>mm）</w:t>
            </w:r>
          </w:p>
        </w:tc>
        <w:tc>
          <w:tcPr>
            <w:tcW w:w="204" w:type="pct"/>
            <w:tcBorders>
              <w:top w:val="single" w:color="000000" w:sz="0" w:space="0"/>
              <w:left w:val="single" w:color="000000" w:sz="0" w:space="0"/>
              <w:bottom w:val="single" w:color="000000" w:sz="0" w:space="0"/>
              <w:right w:val="single" w:color="000000" w:sz="0" w:space="0"/>
            </w:tcBorders>
          </w:tcPr>
          <w:p w14:paraId="61DE0D93">
            <w:pPr>
              <w:jc w:val="center"/>
              <w:rPr>
                <w:color w:val="auto"/>
                <w:highlight w:val="none"/>
              </w:rPr>
            </w:pPr>
            <w:r>
              <w:rPr>
                <w:rFonts w:hint="eastAsia"/>
                <w:color w:val="auto"/>
                <w:sz w:val="20"/>
                <w:szCs w:val="20"/>
                <w:highlight w:val="none"/>
              </w:rPr>
              <w:t>8</w:t>
            </w:r>
            <w:r>
              <w:rPr>
                <w:color w:val="auto"/>
                <w:sz w:val="20"/>
                <w:szCs w:val="20"/>
                <w:highlight w:val="none"/>
              </w:rPr>
              <w:t>个</w:t>
            </w:r>
          </w:p>
        </w:tc>
        <w:tc>
          <w:tcPr>
            <w:tcW w:w="504" w:type="pct"/>
            <w:tcBorders>
              <w:top w:val="single" w:color="000000" w:sz="0" w:space="0"/>
              <w:left w:val="single" w:color="000000" w:sz="0" w:space="0"/>
              <w:bottom w:val="single" w:color="000000" w:sz="0" w:space="0"/>
              <w:right w:val="single" w:color="000000" w:sz="0" w:space="0"/>
            </w:tcBorders>
          </w:tcPr>
          <w:p w14:paraId="1EBBB90A">
            <w:pPr>
              <w:jc w:val="left"/>
              <w:rPr>
                <w:color w:val="auto"/>
                <w:highlight w:val="none"/>
              </w:rPr>
            </w:pPr>
            <w:r>
              <w:rPr>
                <w:color w:val="auto"/>
                <w:sz w:val="20"/>
                <w:szCs w:val="20"/>
                <w:highlight w:val="none"/>
              </w:rPr>
              <w:t>油漆</w:t>
            </w:r>
          </w:p>
        </w:tc>
        <w:tc>
          <w:tcPr>
            <w:tcW w:w="314" w:type="pct"/>
            <w:tcBorders>
              <w:top w:val="single" w:color="000000" w:sz="0" w:space="0"/>
              <w:left w:val="single" w:color="000000" w:sz="0" w:space="0"/>
              <w:bottom w:val="single" w:color="000000" w:sz="0" w:space="0"/>
              <w:right w:val="single" w:color="000000" w:sz="0" w:space="0"/>
            </w:tcBorders>
          </w:tcPr>
          <w:p w14:paraId="22B6790B">
            <w:pPr>
              <w:jc w:val="left"/>
              <w:rPr>
                <w:color w:val="auto"/>
                <w:highlight w:val="none"/>
              </w:rPr>
            </w:pPr>
            <w:r>
              <w:rPr>
                <w:color w:val="auto"/>
                <w:sz w:val="20"/>
                <w:szCs w:val="20"/>
                <w:highlight w:val="none"/>
              </w:rPr>
              <w:t>冷轧钢板</w:t>
            </w:r>
          </w:p>
        </w:tc>
        <w:tc>
          <w:tcPr>
            <w:tcW w:w="2095" w:type="pct"/>
            <w:tcBorders>
              <w:top w:val="single" w:color="000000" w:sz="0" w:space="0"/>
              <w:left w:val="single" w:color="000000" w:sz="0" w:space="0"/>
              <w:bottom w:val="single" w:color="000000" w:sz="0" w:space="0"/>
              <w:right w:val="single" w:color="000000" w:sz="0" w:space="0"/>
            </w:tcBorders>
          </w:tcPr>
          <w:p w14:paraId="4D4E6E9E">
            <w:pPr>
              <w:jc w:val="left"/>
              <w:rPr>
                <w:color w:val="auto"/>
                <w:sz w:val="20"/>
                <w:szCs w:val="20"/>
                <w:highlight w:val="none"/>
              </w:rPr>
            </w:pPr>
            <w:r>
              <w:rPr>
                <w:rFonts w:hint="eastAsia"/>
                <w:color w:val="auto"/>
                <w:sz w:val="20"/>
                <w:szCs w:val="20"/>
                <w:highlight w:val="none"/>
              </w:rPr>
              <w:t>（1）材质：采用</w:t>
            </w:r>
            <w:r>
              <w:rPr>
                <w:rFonts w:hint="eastAsia"/>
                <w:color w:val="auto"/>
                <w:sz w:val="20"/>
                <w:szCs w:val="20"/>
                <w:highlight w:val="none"/>
                <w:lang w:eastAsia="zh-CN"/>
              </w:rPr>
              <w:t>优质</w:t>
            </w:r>
            <w:r>
              <w:rPr>
                <w:rFonts w:hint="eastAsia"/>
                <w:color w:val="auto"/>
                <w:sz w:val="20"/>
                <w:szCs w:val="20"/>
                <w:highlight w:val="none"/>
              </w:rPr>
              <w:t>一级冷轧钢板，裸板厚</w:t>
            </w:r>
            <w:r>
              <w:rPr>
                <w:rFonts w:hint="eastAsia" w:ascii="宋体" w:hAnsi="宋体" w:cs="宋体"/>
                <w:snapToGrid w:val="0"/>
                <w:color w:val="auto"/>
                <w:kern w:val="0"/>
                <w:sz w:val="20"/>
                <w:szCs w:val="20"/>
                <w:highlight w:val="none"/>
                <w:lang w:bidi="ar"/>
              </w:rPr>
              <w:t>≥</w:t>
            </w:r>
            <w:r>
              <w:rPr>
                <w:rFonts w:hint="eastAsia"/>
                <w:color w:val="auto"/>
                <w:sz w:val="20"/>
                <w:szCs w:val="20"/>
                <w:highlight w:val="none"/>
              </w:rPr>
              <w:t>0.7mm；</w:t>
            </w:r>
          </w:p>
          <w:p w14:paraId="54F67226">
            <w:pPr>
              <w:jc w:val="left"/>
              <w:rPr>
                <w:color w:val="auto"/>
                <w:sz w:val="20"/>
                <w:szCs w:val="20"/>
                <w:highlight w:val="none"/>
              </w:rPr>
            </w:pPr>
            <w:r>
              <w:rPr>
                <w:rFonts w:hint="eastAsia"/>
                <w:color w:val="auto"/>
                <w:sz w:val="20"/>
                <w:szCs w:val="20"/>
                <w:highlight w:val="none"/>
              </w:rPr>
              <w:t>（2）喷涂：表面经酸洗磷化处理，通过粉末喷涂设备进行静电热固性粉末喷塑，采用热固性粉末。成品要求表面涂膜无剥落、粘漆和皱纹等缺陷。涂膜厚50-70um，附着力达到0级标准，具有良好的耐腐蚀和耐冲击性；</w:t>
            </w:r>
          </w:p>
          <w:p w14:paraId="0D85F1FA">
            <w:pPr>
              <w:jc w:val="left"/>
              <w:rPr>
                <w:rFonts w:hint="eastAsia"/>
                <w:color w:val="auto"/>
                <w:sz w:val="20"/>
                <w:szCs w:val="20"/>
                <w:highlight w:val="none"/>
              </w:rPr>
            </w:pPr>
            <w:r>
              <w:rPr>
                <w:rFonts w:hint="eastAsia"/>
                <w:color w:val="auto"/>
                <w:sz w:val="20"/>
                <w:szCs w:val="20"/>
                <w:highlight w:val="none"/>
              </w:rPr>
              <w:t>（3）五金件：优质五金配件；</w:t>
            </w:r>
          </w:p>
          <w:p w14:paraId="546D63D9">
            <w:pPr>
              <w:jc w:val="left"/>
              <w:rPr>
                <w:rFonts w:hint="default" w:eastAsia="宋体"/>
                <w:color w:val="auto"/>
                <w:sz w:val="20"/>
                <w:szCs w:val="20"/>
                <w:highlight w:val="none"/>
                <w:lang w:val="en-US" w:eastAsia="zh-CN"/>
              </w:rPr>
            </w:pPr>
            <w:r>
              <w:rPr>
                <w:rFonts w:hint="eastAsia"/>
                <w:color w:val="auto"/>
                <w:sz w:val="20"/>
                <w:szCs w:val="20"/>
                <w:highlight w:val="none"/>
                <w:lang w:eastAsia="zh-CN"/>
              </w:rPr>
              <w:t>（</w:t>
            </w:r>
            <w:r>
              <w:rPr>
                <w:rFonts w:hint="eastAsia"/>
                <w:color w:val="auto"/>
                <w:sz w:val="20"/>
                <w:szCs w:val="20"/>
                <w:highlight w:val="none"/>
                <w:lang w:val="en-US" w:eastAsia="zh-CN"/>
              </w:rPr>
              <w:t>4</w:t>
            </w:r>
            <w:r>
              <w:rPr>
                <w:rFonts w:hint="eastAsia"/>
                <w:color w:val="auto"/>
                <w:sz w:val="20"/>
                <w:szCs w:val="20"/>
                <w:highlight w:val="none"/>
                <w:lang w:eastAsia="zh-CN"/>
              </w:rPr>
              <w:t>）</w:t>
            </w:r>
            <w:r>
              <w:rPr>
                <w:rFonts w:hint="eastAsia"/>
                <w:color w:val="auto"/>
                <w:sz w:val="20"/>
                <w:szCs w:val="20"/>
                <w:highlight w:val="none"/>
                <w:lang w:val="en-US" w:eastAsia="zh-CN"/>
              </w:rPr>
              <w:t>6层隔板；</w:t>
            </w:r>
          </w:p>
          <w:p w14:paraId="1723C804">
            <w:pPr>
              <w:jc w:val="left"/>
              <w:rPr>
                <w:rFonts w:hint="eastAsia" w:ascii="宋体" w:hAnsi="宋体" w:cs="宋体"/>
                <w:color w:val="auto"/>
                <w:sz w:val="18"/>
                <w:szCs w:val="18"/>
                <w:highlight w:val="none"/>
                <w:lang w:bidi="ar"/>
              </w:rPr>
            </w:pPr>
            <w:r>
              <w:rPr>
                <w:rFonts w:hint="eastAsia"/>
                <w:color w:val="auto"/>
                <w:sz w:val="20"/>
                <w:szCs w:val="20"/>
                <w:highlight w:val="none"/>
              </w:rPr>
              <w:t>（</w:t>
            </w:r>
            <w:r>
              <w:rPr>
                <w:rFonts w:hint="eastAsia"/>
                <w:color w:val="auto"/>
                <w:sz w:val="20"/>
                <w:szCs w:val="20"/>
                <w:highlight w:val="none"/>
                <w:lang w:val="en-US" w:eastAsia="zh-CN"/>
              </w:rPr>
              <w:t>5</w:t>
            </w:r>
            <w:r>
              <w:rPr>
                <w:rFonts w:hint="eastAsia"/>
                <w:color w:val="auto"/>
                <w:sz w:val="20"/>
                <w:szCs w:val="20"/>
                <w:highlight w:val="none"/>
              </w:rPr>
              <w:t>）</w:t>
            </w:r>
            <w:r>
              <w:rPr>
                <w:rFonts w:hint="eastAsia" w:ascii="宋体" w:hAnsi="宋体" w:cs="宋体"/>
                <w:color w:val="auto"/>
                <w:sz w:val="18"/>
                <w:szCs w:val="18"/>
                <w:highlight w:val="none"/>
                <w:lang w:bidi="ar"/>
              </w:rPr>
              <w:t>环保：家具成品均</w:t>
            </w:r>
            <w:r>
              <w:rPr>
                <w:rFonts w:hint="eastAsia" w:ascii="宋体" w:hAnsi="宋体" w:cs="宋体"/>
                <w:color w:val="auto"/>
                <w:sz w:val="18"/>
                <w:szCs w:val="18"/>
                <w:highlight w:val="none"/>
                <w:lang w:eastAsia="zh-CN" w:bidi="ar"/>
              </w:rPr>
              <w:t>需</w:t>
            </w:r>
            <w:r>
              <w:rPr>
                <w:rFonts w:hint="eastAsia" w:ascii="宋体" w:hAnsi="宋体" w:cs="宋体"/>
                <w:color w:val="auto"/>
                <w:sz w:val="18"/>
                <w:szCs w:val="18"/>
                <w:highlight w:val="none"/>
                <w:lang w:bidi="ar"/>
              </w:rPr>
              <w:t>满足GB/T 35607-2024《绿色产品评价 家具》的要求（其中成品甲醛释放量≤0.05mg/m3，苯≤0.05mg/m3，甲苯、二甲苯≤0.1mg/m3，TVOC≤0.3mg/m3）.</w:t>
            </w:r>
          </w:p>
        </w:tc>
      </w:tr>
      <w:tr w14:paraId="67804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0" w:type="dxa"/>
            <w:left w:w="100" w:type="dxa"/>
            <w:bottom w:w="50" w:type="dxa"/>
            <w:right w:w="100" w:type="dxa"/>
          </w:tblCellMar>
        </w:tblPrEx>
        <w:tc>
          <w:tcPr>
            <w:tcW w:w="153" w:type="pct"/>
            <w:tcBorders>
              <w:top w:val="single" w:color="000000" w:sz="0" w:space="0"/>
              <w:left w:val="single" w:color="000000" w:sz="0" w:space="0"/>
              <w:bottom w:val="single" w:color="000000" w:sz="0" w:space="0"/>
              <w:right w:val="single" w:color="000000" w:sz="0" w:space="0"/>
            </w:tcBorders>
          </w:tcPr>
          <w:p w14:paraId="531795E3">
            <w:pPr>
              <w:numPr>
                <w:ilvl w:val="0"/>
                <w:numId w:val="7"/>
              </w:numPr>
              <w:jc w:val="center"/>
              <w:rPr>
                <w:color w:val="auto"/>
                <w:highlight w:val="none"/>
              </w:rPr>
            </w:pPr>
          </w:p>
        </w:tc>
        <w:tc>
          <w:tcPr>
            <w:tcW w:w="325" w:type="pct"/>
            <w:tcBorders>
              <w:top w:val="single" w:color="000000" w:sz="0" w:space="0"/>
              <w:left w:val="single" w:color="000000" w:sz="0" w:space="0"/>
              <w:bottom w:val="single" w:color="000000" w:sz="0" w:space="0"/>
              <w:right w:val="single" w:color="000000" w:sz="0" w:space="0"/>
            </w:tcBorders>
          </w:tcPr>
          <w:p w14:paraId="4ADE0453">
            <w:pPr>
              <w:jc w:val="left"/>
              <w:rPr>
                <w:color w:val="auto"/>
                <w:highlight w:val="none"/>
              </w:rPr>
            </w:pPr>
            <w:r>
              <w:rPr>
                <w:color w:val="auto"/>
                <w:sz w:val="20"/>
                <w:szCs w:val="20"/>
                <w:highlight w:val="none"/>
              </w:rPr>
              <w:t>茶几</w:t>
            </w:r>
          </w:p>
        </w:tc>
        <w:tc>
          <w:tcPr>
            <w:tcW w:w="257" w:type="pct"/>
            <w:tcBorders>
              <w:top w:val="single" w:color="000000" w:sz="0" w:space="0"/>
              <w:left w:val="single" w:color="000000" w:sz="0" w:space="0"/>
              <w:bottom w:val="single" w:color="000000" w:sz="0" w:space="0"/>
              <w:right w:val="single" w:color="000000" w:sz="0" w:space="0"/>
            </w:tcBorders>
          </w:tcPr>
          <w:p w14:paraId="4258BC58">
            <w:pPr>
              <w:jc w:val="center"/>
              <w:rPr>
                <w:color w:val="auto"/>
                <w:highlight w:val="none"/>
              </w:rPr>
            </w:pPr>
            <w:r>
              <w:rPr>
                <w:color w:val="auto"/>
                <w:sz w:val="20"/>
                <w:szCs w:val="20"/>
                <w:highlight w:val="none"/>
              </w:rPr>
              <w:t>茶几</w:t>
            </w:r>
          </w:p>
        </w:tc>
        <w:tc>
          <w:tcPr>
            <w:tcW w:w="524" w:type="pct"/>
          </w:tcPr>
          <w:p w14:paraId="613E4DCA">
            <w:pPr>
              <w:jc w:val="center"/>
              <w:rPr>
                <w:color w:val="auto"/>
                <w:highlight w:val="none"/>
              </w:rPr>
            </w:pPr>
            <w:r>
              <w:rPr>
                <w:color w:val="auto"/>
                <w:highlight w:val="none"/>
              </w:rPr>
              <w:drawing>
                <wp:inline distT="0" distB="0" distL="0" distR="0">
                  <wp:extent cx="1016635" cy="1016635"/>
                  <wp:effectExtent l="0" t="0" r="12065" b="12065"/>
                  <wp:docPr id="52" name="Image" descr="参考图片" titl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 descr="参考图片" title="图片"/>
                          <pic:cNvPicPr>
                            <a:picLocks noChangeAspect="1" noChangeArrowheads="1"/>
                          </pic:cNvPicPr>
                        </pic:nvPicPr>
                        <pic:blipFill>
                          <a:blip r:embed="rId28"/>
                          <a:srcRect/>
                          <a:stretch>
                            <a:fillRect/>
                          </a:stretch>
                        </pic:blipFill>
                        <pic:spPr>
                          <a:xfrm>
                            <a:off x="0" y="0"/>
                            <a:ext cx="1016635" cy="1016635"/>
                          </a:xfrm>
                          <a:prstGeom prst="rect">
                            <a:avLst/>
                          </a:prstGeom>
                        </pic:spPr>
                      </pic:pic>
                    </a:graphicData>
                  </a:graphic>
                </wp:inline>
              </w:drawing>
            </w:r>
          </w:p>
        </w:tc>
        <w:tc>
          <w:tcPr>
            <w:tcW w:w="621" w:type="pct"/>
            <w:tcBorders>
              <w:top w:val="single" w:color="000000" w:sz="0" w:space="0"/>
              <w:left w:val="single" w:color="000000" w:sz="0" w:space="0"/>
              <w:bottom w:val="single" w:color="000000" w:sz="0" w:space="0"/>
              <w:right w:val="single" w:color="000000" w:sz="0" w:space="0"/>
            </w:tcBorders>
          </w:tcPr>
          <w:p w14:paraId="2E3B25B6">
            <w:pPr>
              <w:jc w:val="left"/>
              <w:rPr>
                <w:color w:val="auto"/>
                <w:highlight w:val="none"/>
              </w:rPr>
            </w:pPr>
            <w:r>
              <w:rPr>
                <w:color w:val="auto"/>
                <w:sz w:val="20"/>
                <w:szCs w:val="20"/>
                <w:highlight w:val="none"/>
              </w:rPr>
              <w:t>600*600</w:t>
            </w:r>
            <w:r>
              <w:rPr>
                <w:rFonts w:hint="eastAsia"/>
                <w:color w:val="auto"/>
                <w:sz w:val="20"/>
                <w:szCs w:val="20"/>
                <w:highlight w:val="none"/>
                <w:lang w:val="en-US" w:eastAsia="zh-CN"/>
              </w:rPr>
              <w:t>*500</w:t>
            </w:r>
            <w:r>
              <w:rPr>
                <w:color w:val="auto"/>
                <w:sz w:val="20"/>
                <w:szCs w:val="20"/>
                <w:highlight w:val="none"/>
              </w:rPr>
              <w:t>（±</w:t>
            </w:r>
            <w:r>
              <w:rPr>
                <w:rFonts w:hint="eastAsia"/>
                <w:color w:val="auto"/>
                <w:sz w:val="20"/>
                <w:szCs w:val="20"/>
                <w:highlight w:val="none"/>
                <w:lang w:val="en-US" w:eastAsia="zh-CN"/>
              </w:rPr>
              <w:t>10</w:t>
            </w:r>
            <w:r>
              <w:rPr>
                <w:color w:val="auto"/>
                <w:sz w:val="20"/>
                <w:szCs w:val="20"/>
                <w:highlight w:val="none"/>
              </w:rPr>
              <w:t>mm）</w:t>
            </w:r>
          </w:p>
        </w:tc>
        <w:tc>
          <w:tcPr>
            <w:tcW w:w="204" w:type="pct"/>
            <w:tcBorders>
              <w:top w:val="single" w:color="000000" w:sz="0" w:space="0"/>
              <w:left w:val="single" w:color="000000" w:sz="0" w:space="0"/>
              <w:bottom w:val="single" w:color="000000" w:sz="0" w:space="0"/>
              <w:right w:val="single" w:color="000000" w:sz="0" w:space="0"/>
            </w:tcBorders>
          </w:tcPr>
          <w:p w14:paraId="2E227D1A">
            <w:pPr>
              <w:jc w:val="center"/>
              <w:rPr>
                <w:color w:val="auto"/>
                <w:highlight w:val="none"/>
              </w:rPr>
            </w:pPr>
            <w:r>
              <w:rPr>
                <w:color w:val="auto"/>
                <w:sz w:val="20"/>
                <w:szCs w:val="20"/>
                <w:highlight w:val="none"/>
              </w:rPr>
              <w:t>12个</w:t>
            </w:r>
          </w:p>
        </w:tc>
        <w:tc>
          <w:tcPr>
            <w:tcW w:w="504" w:type="pct"/>
            <w:tcBorders>
              <w:top w:val="single" w:color="000000" w:sz="0" w:space="0"/>
              <w:left w:val="single" w:color="000000" w:sz="0" w:space="0"/>
              <w:bottom w:val="single" w:color="000000" w:sz="0" w:space="0"/>
              <w:right w:val="single" w:color="000000" w:sz="0" w:space="0"/>
            </w:tcBorders>
          </w:tcPr>
          <w:p w14:paraId="7C261AF2">
            <w:pPr>
              <w:jc w:val="left"/>
              <w:rPr>
                <w:color w:val="auto"/>
                <w:highlight w:val="none"/>
              </w:rPr>
            </w:pPr>
            <w:r>
              <w:rPr>
                <w:color w:val="auto"/>
                <w:sz w:val="20"/>
                <w:szCs w:val="20"/>
                <w:highlight w:val="none"/>
              </w:rPr>
              <w:t>基材、封边</w:t>
            </w:r>
          </w:p>
        </w:tc>
        <w:tc>
          <w:tcPr>
            <w:tcW w:w="314" w:type="pct"/>
            <w:tcBorders>
              <w:top w:val="single" w:color="000000" w:sz="0" w:space="0"/>
              <w:left w:val="single" w:color="000000" w:sz="0" w:space="0"/>
              <w:bottom w:val="single" w:color="000000" w:sz="0" w:space="0"/>
              <w:right w:val="single" w:color="000000" w:sz="0" w:space="0"/>
            </w:tcBorders>
          </w:tcPr>
          <w:p w14:paraId="5CE4A136">
            <w:pPr>
              <w:jc w:val="left"/>
              <w:rPr>
                <w:color w:val="auto"/>
                <w:highlight w:val="none"/>
              </w:rPr>
            </w:pPr>
            <w:r>
              <w:rPr>
                <w:color w:val="auto"/>
                <w:sz w:val="20"/>
                <w:szCs w:val="20"/>
                <w:highlight w:val="none"/>
              </w:rPr>
              <w:t>刨花板</w:t>
            </w:r>
          </w:p>
        </w:tc>
        <w:tc>
          <w:tcPr>
            <w:tcW w:w="2095" w:type="pct"/>
            <w:tcBorders>
              <w:top w:val="single" w:color="000000" w:sz="0" w:space="0"/>
              <w:left w:val="single" w:color="000000" w:sz="0" w:space="0"/>
              <w:bottom w:val="single" w:color="000000" w:sz="0" w:space="0"/>
              <w:right w:val="single" w:color="000000" w:sz="0" w:space="0"/>
            </w:tcBorders>
          </w:tcPr>
          <w:p w14:paraId="4A0972A7">
            <w:pPr>
              <w:jc w:val="left"/>
              <w:rPr>
                <w:color w:val="auto"/>
                <w:highlight w:val="none"/>
              </w:rPr>
            </w:pPr>
            <w:r>
              <w:rPr>
                <w:rFonts w:hint="eastAsia" w:ascii="宋体" w:hAnsi="宋体" w:cs="宋体"/>
                <w:color w:val="auto"/>
                <w:sz w:val="18"/>
                <w:szCs w:val="18"/>
                <w:highlight w:val="none"/>
                <w:lang w:bidi="ar"/>
              </w:rPr>
              <w:t>（1）基材：基材采用ENF级实木颗粒板，台面厚度</w:t>
            </w:r>
            <w:r>
              <w:rPr>
                <w:rFonts w:hint="eastAsia" w:ascii="宋体" w:hAnsi="宋体" w:cs="宋体"/>
                <w:snapToGrid w:val="0"/>
                <w:color w:val="auto"/>
                <w:kern w:val="0"/>
                <w:sz w:val="20"/>
                <w:szCs w:val="20"/>
                <w:highlight w:val="none"/>
                <w:lang w:bidi="ar"/>
              </w:rPr>
              <w:t>≥</w:t>
            </w:r>
            <w:r>
              <w:rPr>
                <w:rFonts w:hint="eastAsia" w:ascii="宋体" w:hAnsi="宋体" w:cs="宋体"/>
                <w:color w:val="auto"/>
                <w:sz w:val="18"/>
                <w:szCs w:val="18"/>
                <w:highlight w:val="none"/>
                <w:lang w:bidi="ar"/>
              </w:rPr>
              <w:t>25mm，其他厚度</w:t>
            </w:r>
            <w:r>
              <w:rPr>
                <w:rFonts w:hint="eastAsia" w:ascii="宋体" w:hAnsi="宋体" w:cs="宋体"/>
                <w:snapToGrid w:val="0"/>
                <w:color w:val="auto"/>
                <w:kern w:val="0"/>
                <w:sz w:val="20"/>
                <w:szCs w:val="20"/>
                <w:highlight w:val="none"/>
                <w:lang w:bidi="ar"/>
              </w:rPr>
              <w:t>≥</w:t>
            </w:r>
            <w:r>
              <w:rPr>
                <w:rFonts w:hint="eastAsia" w:ascii="宋体" w:hAnsi="宋体" w:cs="宋体"/>
                <w:color w:val="auto"/>
                <w:sz w:val="18"/>
                <w:szCs w:val="18"/>
                <w:highlight w:val="none"/>
                <w:lang w:bidi="ar"/>
              </w:rPr>
              <w:t>18mm，表面平整、光滑、无皱纹、折痕、压纹清晰。四周采用同色PVC封边。</w:t>
            </w:r>
            <w:r>
              <w:rPr>
                <w:rFonts w:hint="eastAsia" w:ascii="宋体" w:hAnsi="宋体" w:cs="宋体"/>
                <w:color w:val="auto"/>
                <w:sz w:val="18"/>
                <w:szCs w:val="18"/>
                <w:highlight w:val="none"/>
                <w:lang w:bidi="ar"/>
              </w:rPr>
              <w:br w:type="textWrapping"/>
            </w:r>
            <w:r>
              <w:rPr>
                <w:rFonts w:hint="eastAsia" w:ascii="宋体" w:hAnsi="宋体" w:cs="宋体"/>
                <w:color w:val="auto"/>
                <w:sz w:val="18"/>
                <w:szCs w:val="18"/>
                <w:highlight w:val="none"/>
                <w:lang w:bidi="ar"/>
              </w:rPr>
              <w:t>（2）配件：连接件采用优质品牌。                                                                                                                                                                                              （3）胶水：采用优质环保胶水。                                                                                                           （4）环保：家具成品均</w:t>
            </w:r>
            <w:r>
              <w:rPr>
                <w:rFonts w:hint="eastAsia" w:ascii="宋体" w:hAnsi="宋体" w:cs="宋体"/>
                <w:color w:val="auto"/>
                <w:sz w:val="18"/>
                <w:szCs w:val="18"/>
                <w:highlight w:val="none"/>
                <w:lang w:eastAsia="zh-CN" w:bidi="ar"/>
              </w:rPr>
              <w:t>需</w:t>
            </w:r>
            <w:r>
              <w:rPr>
                <w:rFonts w:hint="eastAsia" w:ascii="宋体" w:hAnsi="宋体" w:cs="宋体"/>
                <w:color w:val="auto"/>
                <w:sz w:val="18"/>
                <w:szCs w:val="18"/>
                <w:highlight w:val="none"/>
                <w:lang w:bidi="ar"/>
              </w:rPr>
              <w:t>满足GB/T 35607-20</w:t>
            </w:r>
            <w:r>
              <w:rPr>
                <w:rFonts w:hint="eastAsia" w:ascii="宋体" w:hAnsi="宋体" w:cs="宋体"/>
                <w:color w:val="auto"/>
                <w:sz w:val="18"/>
                <w:szCs w:val="18"/>
                <w:highlight w:val="none"/>
                <w:lang w:val="en-US" w:eastAsia="zh-CN" w:bidi="ar"/>
              </w:rPr>
              <w:t>24</w:t>
            </w:r>
            <w:r>
              <w:rPr>
                <w:rFonts w:hint="eastAsia" w:ascii="宋体" w:hAnsi="宋体" w:cs="宋体"/>
                <w:color w:val="auto"/>
                <w:sz w:val="18"/>
                <w:szCs w:val="18"/>
                <w:highlight w:val="none"/>
                <w:lang w:bidi="ar"/>
              </w:rPr>
              <w:t>《绿色产品评价 家具》的要求（其中成品甲醛释放量≤0.05mg/m3，苯≤0.05mg/m3，甲苯、二甲苯≤0.1mg/m3，TVOC≤0.3mg/m3）.</w:t>
            </w:r>
          </w:p>
        </w:tc>
      </w:tr>
      <w:tr w14:paraId="1195C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0" w:type="dxa"/>
            <w:left w:w="100" w:type="dxa"/>
            <w:bottom w:w="50" w:type="dxa"/>
            <w:right w:w="100" w:type="dxa"/>
          </w:tblCellMar>
        </w:tblPrEx>
        <w:tc>
          <w:tcPr>
            <w:tcW w:w="153" w:type="pct"/>
            <w:tcBorders>
              <w:top w:val="single" w:color="000000" w:sz="0" w:space="0"/>
              <w:left w:val="single" w:color="000000" w:sz="0" w:space="0"/>
              <w:bottom w:val="single" w:color="000000" w:sz="0" w:space="0"/>
              <w:right w:val="single" w:color="000000" w:sz="0" w:space="0"/>
            </w:tcBorders>
          </w:tcPr>
          <w:p w14:paraId="3F7AD19D">
            <w:pPr>
              <w:numPr>
                <w:ilvl w:val="0"/>
                <w:numId w:val="7"/>
              </w:numPr>
              <w:jc w:val="center"/>
              <w:rPr>
                <w:color w:val="auto"/>
                <w:highlight w:val="none"/>
              </w:rPr>
            </w:pPr>
          </w:p>
        </w:tc>
        <w:tc>
          <w:tcPr>
            <w:tcW w:w="325" w:type="pct"/>
            <w:tcBorders>
              <w:top w:val="single" w:color="000000" w:sz="0" w:space="0"/>
              <w:left w:val="single" w:color="000000" w:sz="0" w:space="0"/>
              <w:bottom w:val="single" w:color="000000" w:sz="0" w:space="0"/>
              <w:right w:val="single" w:color="000000" w:sz="0" w:space="0"/>
            </w:tcBorders>
          </w:tcPr>
          <w:p w14:paraId="65C8573D">
            <w:pPr>
              <w:jc w:val="left"/>
              <w:rPr>
                <w:color w:val="auto"/>
                <w:highlight w:val="none"/>
              </w:rPr>
            </w:pPr>
            <w:r>
              <w:rPr>
                <w:color w:val="auto"/>
                <w:sz w:val="20"/>
                <w:szCs w:val="20"/>
                <w:highlight w:val="none"/>
              </w:rPr>
              <w:t>茶水柜</w:t>
            </w:r>
            <w:r>
              <w:rPr>
                <w:rFonts w:hint="eastAsia"/>
                <w:color w:val="auto"/>
                <w:sz w:val="20"/>
                <w:szCs w:val="20"/>
                <w:highlight w:val="none"/>
              </w:rPr>
              <w:t>（棕色）</w:t>
            </w:r>
          </w:p>
        </w:tc>
        <w:tc>
          <w:tcPr>
            <w:tcW w:w="257" w:type="pct"/>
            <w:tcBorders>
              <w:top w:val="single" w:color="000000" w:sz="0" w:space="0"/>
              <w:left w:val="single" w:color="000000" w:sz="0" w:space="0"/>
              <w:bottom w:val="single" w:color="000000" w:sz="0" w:space="0"/>
              <w:right w:val="single" w:color="000000" w:sz="0" w:space="0"/>
            </w:tcBorders>
          </w:tcPr>
          <w:p w14:paraId="51C7ABE1">
            <w:pPr>
              <w:jc w:val="center"/>
              <w:rPr>
                <w:color w:val="auto"/>
                <w:highlight w:val="none"/>
              </w:rPr>
            </w:pPr>
            <w:r>
              <w:rPr>
                <w:color w:val="auto"/>
                <w:sz w:val="20"/>
                <w:szCs w:val="20"/>
                <w:highlight w:val="none"/>
              </w:rPr>
              <w:t>茶几</w:t>
            </w:r>
          </w:p>
        </w:tc>
        <w:tc>
          <w:tcPr>
            <w:tcW w:w="524" w:type="pct"/>
          </w:tcPr>
          <w:p w14:paraId="7419C614">
            <w:pPr>
              <w:jc w:val="center"/>
              <w:rPr>
                <w:color w:val="auto"/>
                <w:highlight w:val="none"/>
              </w:rPr>
            </w:pPr>
            <w:r>
              <w:rPr>
                <w:color w:val="auto"/>
                <w:highlight w:val="none"/>
              </w:rPr>
              <w:drawing>
                <wp:inline distT="0" distB="0" distL="0" distR="0">
                  <wp:extent cx="957580" cy="957580"/>
                  <wp:effectExtent l="0" t="0" r="13970" b="13970"/>
                  <wp:docPr id="53" name="Image" descr="参考图片" titl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 descr="参考图片" title="图片"/>
                          <pic:cNvPicPr>
                            <a:picLocks noChangeAspect="1" noChangeArrowheads="1"/>
                          </pic:cNvPicPr>
                        </pic:nvPicPr>
                        <pic:blipFill>
                          <a:blip r:embed="rId29"/>
                          <a:srcRect/>
                          <a:stretch>
                            <a:fillRect/>
                          </a:stretch>
                        </pic:blipFill>
                        <pic:spPr>
                          <a:xfrm>
                            <a:off x="0" y="0"/>
                            <a:ext cx="957580" cy="957580"/>
                          </a:xfrm>
                          <a:prstGeom prst="rect">
                            <a:avLst/>
                          </a:prstGeom>
                        </pic:spPr>
                      </pic:pic>
                    </a:graphicData>
                  </a:graphic>
                </wp:inline>
              </w:drawing>
            </w:r>
          </w:p>
        </w:tc>
        <w:tc>
          <w:tcPr>
            <w:tcW w:w="621" w:type="pct"/>
            <w:tcBorders>
              <w:top w:val="single" w:color="000000" w:sz="0" w:space="0"/>
              <w:left w:val="single" w:color="000000" w:sz="0" w:space="0"/>
              <w:bottom w:val="single" w:color="000000" w:sz="0" w:space="0"/>
              <w:right w:val="single" w:color="000000" w:sz="0" w:space="0"/>
            </w:tcBorders>
          </w:tcPr>
          <w:p w14:paraId="1BD0EA53">
            <w:pPr>
              <w:jc w:val="left"/>
              <w:rPr>
                <w:color w:val="auto"/>
                <w:highlight w:val="none"/>
              </w:rPr>
            </w:pPr>
            <w:r>
              <w:rPr>
                <w:color w:val="auto"/>
                <w:sz w:val="20"/>
                <w:szCs w:val="20"/>
                <w:highlight w:val="none"/>
              </w:rPr>
              <w:t>800*400*820（±</w:t>
            </w:r>
            <w:r>
              <w:rPr>
                <w:rFonts w:hint="eastAsia"/>
                <w:color w:val="auto"/>
                <w:sz w:val="20"/>
                <w:szCs w:val="20"/>
                <w:highlight w:val="none"/>
                <w:lang w:val="en-US" w:eastAsia="zh-CN"/>
              </w:rPr>
              <w:t>10</w:t>
            </w:r>
            <w:r>
              <w:rPr>
                <w:color w:val="auto"/>
                <w:sz w:val="20"/>
                <w:szCs w:val="20"/>
                <w:highlight w:val="none"/>
              </w:rPr>
              <w:t>mm）</w:t>
            </w:r>
          </w:p>
        </w:tc>
        <w:tc>
          <w:tcPr>
            <w:tcW w:w="204" w:type="pct"/>
            <w:tcBorders>
              <w:top w:val="single" w:color="000000" w:sz="0" w:space="0"/>
              <w:left w:val="single" w:color="000000" w:sz="0" w:space="0"/>
              <w:bottom w:val="single" w:color="000000" w:sz="0" w:space="0"/>
              <w:right w:val="single" w:color="000000" w:sz="0" w:space="0"/>
            </w:tcBorders>
          </w:tcPr>
          <w:p w14:paraId="38BA2BC6">
            <w:pPr>
              <w:jc w:val="center"/>
              <w:rPr>
                <w:color w:val="auto"/>
                <w:highlight w:val="none"/>
              </w:rPr>
            </w:pPr>
            <w:r>
              <w:rPr>
                <w:color w:val="auto"/>
                <w:sz w:val="20"/>
                <w:szCs w:val="20"/>
                <w:highlight w:val="none"/>
              </w:rPr>
              <w:t>21个</w:t>
            </w:r>
          </w:p>
        </w:tc>
        <w:tc>
          <w:tcPr>
            <w:tcW w:w="504" w:type="pct"/>
            <w:tcBorders>
              <w:top w:val="single" w:color="000000" w:sz="0" w:space="0"/>
              <w:left w:val="single" w:color="000000" w:sz="0" w:space="0"/>
              <w:bottom w:val="single" w:color="000000" w:sz="0" w:space="0"/>
              <w:right w:val="single" w:color="000000" w:sz="0" w:space="0"/>
            </w:tcBorders>
          </w:tcPr>
          <w:p w14:paraId="592E188E">
            <w:pPr>
              <w:jc w:val="left"/>
              <w:rPr>
                <w:color w:val="auto"/>
                <w:highlight w:val="none"/>
              </w:rPr>
            </w:pPr>
            <w:r>
              <w:rPr>
                <w:color w:val="auto"/>
                <w:sz w:val="20"/>
                <w:szCs w:val="20"/>
                <w:highlight w:val="none"/>
              </w:rPr>
              <w:t>基材、封边</w:t>
            </w:r>
          </w:p>
        </w:tc>
        <w:tc>
          <w:tcPr>
            <w:tcW w:w="314" w:type="pct"/>
            <w:tcBorders>
              <w:top w:val="single" w:color="000000" w:sz="0" w:space="0"/>
              <w:left w:val="single" w:color="000000" w:sz="0" w:space="0"/>
              <w:bottom w:val="single" w:color="000000" w:sz="0" w:space="0"/>
              <w:right w:val="single" w:color="000000" w:sz="0" w:space="0"/>
            </w:tcBorders>
          </w:tcPr>
          <w:p w14:paraId="5870E051">
            <w:pPr>
              <w:jc w:val="left"/>
              <w:rPr>
                <w:color w:val="auto"/>
                <w:highlight w:val="none"/>
              </w:rPr>
            </w:pPr>
            <w:r>
              <w:rPr>
                <w:color w:val="auto"/>
                <w:sz w:val="20"/>
                <w:szCs w:val="20"/>
                <w:highlight w:val="none"/>
              </w:rPr>
              <w:t>刨花板</w:t>
            </w:r>
          </w:p>
        </w:tc>
        <w:tc>
          <w:tcPr>
            <w:tcW w:w="2095" w:type="pct"/>
            <w:tcBorders>
              <w:top w:val="single" w:color="000000" w:sz="0" w:space="0"/>
              <w:left w:val="single" w:color="000000" w:sz="0" w:space="0"/>
              <w:bottom w:val="single" w:color="000000" w:sz="0" w:space="0"/>
              <w:right w:val="single" w:color="000000" w:sz="0" w:space="0"/>
            </w:tcBorders>
          </w:tcPr>
          <w:p w14:paraId="7D5A705E">
            <w:pPr>
              <w:jc w:val="left"/>
              <w:rPr>
                <w:color w:val="auto"/>
                <w:highlight w:val="none"/>
              </w:rPr>
            </w:pPr>
            <w:r>
              <w:rPr>
                <w:rFonts w:hint="eastAsia" w:ascii="宋体" w:hAnsi="宋体" w:cs="宋体"/>
                <w:color w:val="auto"/>
                <w:sz w:val="18"/>
                <w:szCs w:val="18"/>
                <w:highlight w:val="none"/>
                <w:lang w:bidi="ar"/>
              </w:rPr>
              <w:t>（1）基材：基材采用ENF级实木颗粒板，台面厚度</w:t>
            </w:r>
            <w:r>
              <w:rPr>
                <w:rFonts w:hint="eastAsia" w:ascii="宋体" w:hAnsi="宋体" w:cs="宋体"/>
                <w:snapToGrid w:val="0"/>
                <w:color w:val="auto"/>
                <w:kern w:val="0"/>
                <w:sz w:val="20"/>
                <w:szCs w:val="20"/>
                <w:highlight w:val="none"/>
                <w:lang w:bidi="ar"/>
              </w:rPr>
              <w:t>≥</w:t>
            </w:r>
            <w:r>
              <w:rPr>
                <w:rFonts w:hint="eastAsia" w:ascii="宋体" w:hAnsi="宋体" w:cs="宋体"/>
                <w:color w:val="auto"/>
                <w:sz w:val="18"/>
                <w:szCs w:val="18"/>
                <w:highlight w:val="none"/>
                <w:lang w:bidi="ar"/>
              </w:rPr>
              <w:t>25mm，其他厚度</w:t>
            </w:r>
            <w:r>
              <w:rPr>
                <w:rFonts w:hint="eastAsia" w:ascii="宋体" w:hAnsi="宋体" w:cs="宋体"/>
                <w:snapToGrid w:val="0"/>
                <w:color w:val="auto"/>
                <w:kern w:val="0"/>
                <w:sz w:val="20"/>
                <w:szCs w:val="20"/>
                <w:highlight w:val="none"/>
                <w:lang w:bidi="ar"/>
              </w:rPr>
              <w:t>≥</w:t>
            </w:r>
            <w:r>
              <w:rPr>
                <w:rFonts w:hint="eastAsia" w:ascii="宋体" w:hAnsi="宋体" w:cs="宋体"/>
                <w:color w:val="auto"/>
                <w:sz w:val="18"/>
                <w:szCs w:val="18"/>
                <w:highlight w:val="none"/>
                <w:lang w:bidi="ar"/>
              </w:rPr>
              <w:t>18mm，表面平整、光滑、无皱纹、折痕、压纹清晰。四周采用同色PVC封边。</w:t>
            </w:r>
            <w:r>
              <w:rPr>
                <w:rFonts w:hint="eastAsia" w:ascii="宋体" w:hAnsi="宋体" w:cs="宋体"/>
                <w:color w:val="auto"/>
                <w:sz w:val="18"/>
                <w:szCs w:val="18"/>
                <w:highlight w:val="none"/>
                <w:lang w:bidi="ar"/>
              </w:rPr>
              <w:br w:type="textWrapping"/>
            </w:r>
            <w:r>
              <w:rPr>
                <w:rFonts w:hint="eastAsia" w:ascii="宋体" w:hAnsi="宋体" w:cs="宋体"/>
                <w:color w:val="auto"/>
                <w:sz w:val="18"/>
                <w:szCs w:val="18"/>
                <w:highlight w:val="none"/>
                <w:lang w:bidi="ar"/>
              </w:rPr>
              <w:t>（2）配件：连接件采用优质品牌。                                                                                                                                                                                              （3）胶水：采用优质环保胶水。                                                                                                           （4）环保：家具成品均</w:t>
            </w:r>
            <w:r>
              <w:rPr>
                <w:rFonts w:hint="eastAsia" w:ascii="宋体" w:hAnsi="宋体" w:cs="宋体"/>
                <w:color w:val="auto"/>
                <w:sz w:val="18"/>
                <w:szCs w:val="18"/>
                <w:highlight w:val="none"/>
                <w:lang w:eastAsia="zh-CN" w:bidi="ar"/>
              </w:rPr>
              <w:t>需</w:t>
            </w:r>
            <w:r>
              <w:rPr>
                <w:rFonts w:hint="eastAsia" w:ascii="宋体" w:hAnsi="宋体" w:cs="宋体"/>
                <w:color w:val="auto"/>
                <w:sz w:val="18"/>
                <w:szCs w:val="18"/>
                <w:highlight w:val="none"/>
                <w:lang w:bidi="ar"/>
              </w:rPr>
              <w:t>满足GB/T 35607-2024《绿色产品评价 家具》的要求（其中成品甲醛释放量≤0.05mg/m3，苯≤0.05mg/m3，甲苯、二甲苯≤0.1mg/m3，TVOC≤0.3mg/m3）.</w:t>
            </w:r>
          </w:p>
        </w:tc>
      </w:tr>
      <w:tr w14:paraId="2C846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0" w:type="dxa"/>
            <w:left w:w="100" w:type="dxa"/>
            <w:bottom w:w="50" w:type="dxa"/>
            <w:right w:w="100" w:type="dxa"/>
          </w:tblCellMar>
        </w:tblPrEx>
        <w:tc>
          <w:tcPr>
            <w:tcW w:w="153" w:type="pct"/>
            <w:tcBorders>
              <w:top w:val="single" w:color="000000" w:sz="0" w:space="0"/>
              <w:left w:val="single" w:color="000000" w:sz="0" w:space="0"/>
              <w:bottom w:val="single" w:color="000000" w:sz="0" w:space="0"/>
              <w:right w:val="single" w:color="000000" w:sz="0" w:space="0"/>
            </w:tcBorders>
          </w:tcPr>
          <w:p w14:paraId="3A827576">
            <w:pPr>
              <w:numPr>
                <w:ilvl w:val="0"/>
                <w:numId w:val="7"/>
              </w:numPr>
              <w:jc w:val="center"/>
              <w:rPr>
                <w:color w:val="auto"/>
                <w:highlight w:val="none"/>
              </w:rPr>
            </w:pPr>
          </w:p>
        </w:tc>
        <w:tc>
          <w:tcPr>
            <w:tcW w:w="325" w:type="pct"/>
            <w:tcBorders>
              <w:top w:val="single" w:color="000000" w:sz="0" w:space="0"/>
              <w:left w:val="single" w:color="000000" w:sz="0" w:space="0"/>
              <w:bottom w:val="single" w:color="000000" w:sz="0" w:space="0"/>
              <w:right w:val="single" w:color="000000" w:sz="0" w:space="0"/>
            </w:tcBorders>
          </w:tcPr>
          <w:p w14:paraId="39E0F181">
            <w:pPr>
              <w:jc w:val="left"/>
              <w:rPr>
                <w:color w:val="auto"/>
                <w:highlight w:val="none"/>
              </w:rPr>
            </w:pPr>
            <w:r>
              <w:rPr>
                <w:color w:val="auto"/>
                <w:sz w:val="20"/>
                <w:szCs w:val="20"/>
                <w:highlight w:val="none"/>
              </w:rPr>
              <w:t>茶几（圆形）</w:t>
            </w:r>
          </w:p>
        </w:tc>
        <w:tc>
          <w:tcPr>
            <w:tcW w:w="257" w:type="pct"/>
            <w:tcBorders>
              <w:top w:val="single" w:color="000000" w:sz="0" w:space="0"/>
              <w:left w:val="single" w:color="000000" w:sz="0" w:space="0"/>
              <w:bottom w:val="single" w:color="000000" w:sz="0" w:space="0"/>
              <w:right w:val="single" w:color="000000" w:sz="0" w:space="0"/>
            </w:tcBorders>
          </w:tcPr>
          <w:p w14:paraId="059DC034">
            <w:pPr>
              <w:jc w:val="center"/>
              <w:rPr>
                <w:color w:val="auto"/>
                <w:highlight w:val="none"/>
              </w:rPr>
            </w:pPr>
            <w:r>
              <w:rPr>
                <w:color w:val="auto"/>
                <w:sz w:val="20"/>
                <w:szCs w:val="20"/>
                <w:highlight w:val="none"/>
              </w:rPr>
              <w:t>茶几</w:t>
            </w:r>
          </w:p>
        </w:tc>
        <w:tc>
          <w:tcPr>
            <w:tcW w:w="524" w:type="pct"/>
          </w:tcPr>
          <w:p w14:paraId="0FE3324E">
            <w:pPr>
              <w:jc w:val="center"/>
              <w:rPr>
                <w:color w:val="auto"/>
                <w:highlight w:val="none"/>
              </w:rPr>
            </w:pPr>
            <w:r>
              <w:rPr>
                <w:color w:val="auto"/>
                <w:highlight w:val="none"/>
              </w:rPr>
              <w:drawing>
                <wp:inline distT="0" distB="0" distL="0" distR="0">
                  <wp:extent cx="975995" cy="975995"/>
                  <wp:effectExtent l="0" t="0" r="14605" b="14605"/>
                  <wp:docPr id="54" name="Image" descr="参考图片" titl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 descr="参考图片" title="图片"/>
                          <pic:cNvPicPr>
                            <a:picLocks noChangeAspect="1" noChangeArrowheads="1"/>
                          </pic:cNvPicPr>
                        </pic:nvPicPr>
                        <pic:blipFill>
                          <a:blip r:embed="rId30"/>
                          <a:srcRect/>
                          <a:stretch>
                            <a:fillRect/>
                          </a:stretch>
                        </pic:blipFill>
                        <pic:spPr>
                          <a:xfrm>
                            <a:off x="0" y="0"/>
                            <a:ext cx="975995" cy="975995"/>
                          </a:xfrm>
                          <a:prstGeom prst="rect">
                            <a:avLst/>
                          </a:prstGeom>
                        </pic:spPr>
                      </pic:pic>
                    </a:graphicData>
                  </a:graphic>
                </wp:inline>
              </w:drawing>
            </w:r>
          </w:p>
        </w:tc>
        <w:tc>
          <w:tcPr>
            <w:tcW w:w="621" w:type="pct"/>
            <w:tcBorders>
              <w:top w:val="single" w:color="000000" w:sz="0" w:space="0"/>
              <w:left w:val="single" w:color="000000" w:sz="0" w:space="0"/>
              <w:bottom w:val="single" w:color="000000" w:sz="0" w:space="0"/>
              <w:right w:val="single" w:color="000000" w:sz="0" w:space="0"/>
            </w:tcBorders>
          </w:tcPr>
          <w:p w14:paraId="1A0DA2A5">
            <w:pPr>
              <w:jc w:val="left"/>
              <w:rPr>
                <w:color w:val="auto"/>
                <w:highlight w:val="none"/>
              </w:rPr>
            </w:pPr>
            <w:r>
              <w:rPr>
                <w:color w:val="auto"/>
                <w:sz w:val="20"/>
                <w:szCs w:val="20"/>
                <w:highlight w:val="none"/>
              </w:rPr>
              <w:t>φ800*</w:t>
            </w:r>
            <w:r>
              <w:rPr>
                <w:rFonts w:hint="eastAsia"/>
                <w:color w:val="auto"/>
                <w:sz w:val="20"/>
                <w:szCs w:val="20"/>
                <w:highlight w:val="none"/>
              </w:rPr>
              <w:t>45</w:t>
            </w:r>
            <w:r>
              <w:rPr>
                <w:color w:val="auto"/>
                <w:sz w:val="20"/>
                <w:szCs w:val="20"/>
                <w:highlight w:val="none"/>
              </w:rPr>
              <w:t>0（±</w:t>
            </w:r>
            <w:r>
              <w:rPr>
                <w:rFonts w:hint="eastAsia"/>
                <w:color w:val="auto"/>
                <w:sz w:val="20"/>
                <w:szCs w:val="20"/>
                <w:highlight w:val="none"/>
                <w:lang w:val="en-US" w:eastAsia="zh-CN"/>
              </w:rPr>
              <w:t>10</w:t>
            </w:r>
            <w:r>
              <w:rPr>
                <w:color w:val="auto"/>
                <w:sz w:val="20"/>
                <w:szCs w:val="20"/>
                <w:highlight w:val="none"/>
              </w:rPr>
              <w:t>mm）</w:t>
            </w:r>
          </w:p>
        </w:tc>
        <w:tc>
          <w:tcPr>
            <w:tcW w:w="204" w:type="pct"/>
            <w:tcBorders>
              <w:top w:val="single" w:color="000000" w:sz="0" w:space="0"/>
              <w:left w:val="single" w:color="000000" w:sz="0" w:space="0"/>
              <w:bottom w:val="single" w:color="000000" w:sz="0" w:space="0"/>
              <w:right w:val="single" w:color="000000" w:sz="0" w:space="0"/>
            </w:tcBorders>
          </w:tcPr>
          <w:p w14:paraId="18255249">
            <w:pPr>
              <w:jc w:val="center"/>
              <w:rPr>
                <w:color w:val="auto"/>
                <w:highlight w:val="none"/>
              </w:rPr>
            </w:pPr>
            <w:r>
              <w:rPr>
                <w:color w:val="auto"/>
                <w:sz w:val="20"/>
                <w:szCs w:val="20"/>
                <w:highlight w:val="none"/>
              </w:rPr>
              <w:t>2个</w:t>
            </w:r>
          </w:p>
        </w:tc>
        <w:tc>
          <w:tcPr>
            <w:tcW w:w="504" w:type="pct"/>
            <w:tcBorders>
              <w:top w:val="single" w:color="000000" w:sz="0" w:space="0"/>
              <w:left w:val="single" w:color="000000" w:sz="0" w:space="0"/>
              <w:bottom w:val="single" w:color="000000" w:sz="0" w:space="0"/>
              <w:right w:val="single" w:color="000000" w:sz="0" w:space="0"/>
            </w:tcBorders>
          </w:tcPr>
          <w:p w14:paraId="6AD272CA">
            <w:pPr>
              <w:jc w:val="left"/>
              <w:rPr>
                <w:color w:val="auto"/>
                <w:highlight w:val="none"/>
              </w:rPr>
            </w:pPr>
            <w:r>
              <w:rPr>
                <w:color w:val="auto"/>
                <w:sz w:val="20"/>
                <w:szCs w:val="20"/>
                <w:highlight w:val="none"/>
              </w:rPr>
              <w:t>基材、油漆</w:t>
            </w:r>
          </w:p>
        </w:tc>
        <w:tc>
          <w:tcPr>
            <w:tcW w:w="314" w:type="pct"/>
            <w:tcBorders>
              <w:top w:val="single" w:color="000000" w:sz="0" w:space="0"/>
              <w:left w:val="single" w:color="000000" w:sz="0" w:space="0"/>
              <w:bottom w:val="single" w:color="000000" w:sz="0" w:space="0"/>
              <w:right w:val="single" w:color="000000" w:sz="0" w:space="0"/>
            </w:tcBorders>
          </w:tcPr>
          <w:p w14:paraId="268A9909">
            <w:pPr>
              <w:jc w:val="left"/>
              <w:rPr>
                <w:color w:val="auto"/>
                <w:highlight w:val="none"/>
              </w:rPr>
            </w:pPr>
            <w:r>
              <w:rPr>
                <w:color w:val="auto"/>
                <w:sz w:val="20"/>
                <w:szCs w:val="20"/>
                <w:highlight w:val="none"/>
              </w:rPr>
              <w:t>实木</w:t>
            </w:r>
          </w:p>
        </w:tc>
        <w:tc>
          <w:tcPr>
            <w:tcW w:w="2095" w:type="pct"/>
            <w:tcBorders>
              <w:top w:val="single" w:color="000000" w:sz="0" w:space="0"/>
              <w:left w:val="single" w:color="000000" w:sz="0" w:space="0"/>
              <w:bottom w:val="single" w:color="000000" w:sz="0" w:space="0"/>
              <w:right w:val="single" w:color="000000" w:sz="0" w:space="0"/>
            </w:tcBorders>
          </w:tcPr>
          <w:p w14:paraId="2E1DA63E">
            <w:pPr>
              <w:numPr>
                <w:ilvl w:val="0"/>
                <w:numId w:val="11"/>
              </w:numPr>
              <w:jc w:val="left"/>
              <w:rPr>
                <w:rFonts w:hint="eastAsia" w:ascii="宋体" w:hAnsi="宋体" w:cs="宋体"/>
                <w:color w:val="auto"/>
                <w:sz w:val="18"/>
                <w:szCs w:val="18"/>
                <w:highlight w:val="none"/>
                <w:lang w:bidi="ar"/>
              </w:rPr>
            </w:pPr>
            <w:r>
              <w:rPr>
                <w:rFonts w:hint="eastAsia" w:ascii="宋体" w:hAnsi="宋体" w:cs="宋体"/>
                <w:color w:val="auto"/>
                <w:sz w:val="18"/>
                <w:szCs w:val="18"/>
                <w:highlight w:val="none"/>
                <w:lang w:bidi="ar"/>
              </w:rPr>
              <w:t>基材：采用FAS级白蜡木实木。</w:t>
            </w:r>
          </w:p>
          <w:p w14:paraId="427F664D">
            <w:pPr>
              <w:jc w:val="left"/>
              <w:rPr>
                <w:color w:val="auto"/>
                <w:highlight w:val="none"/>
              </w:rPr>
            </w:pPr>
            <w:r>
              <w:rPr>
                <w:rFonts w:hint="eastAsia" w:ascii="宋体" w:hAnsi="宋体" w:cs="宋体"/>
                <w:color w:val="auto"/>
                <w:sz w:val="18"/>
                <w:szCs w:val="18"/>
                <w:highlight w:val="none"/>
                <w:lang w:bidi="ar"/>
              </w:rPr>
              <w:t>（2）配件：连接件采用优质品牌。                                                                                                                                                                                              （3）油漆：采用水性油漆。                                                                                                           （4）环保：家具成品均</w:t>
            </w:r>
            <w:r>
              <w:rPr>
                <w:rFonts w:hint="eastAsia" w:ascii="宋体" w:hAnsi="宋体" w:cs="宋体"/>
                <w:color w:val="auto"/>
                <w:sz w:val="18"/>
                <w:szCs w:val="18"/>
                <w:highlight w:val="none"/>
                <w:lang w:eastAsia="zh-CN" w:bidi="ar"/>
              </w:rPr>
              <w:t>需</w:t>
            </w:r>
            <w:r>
              <w:rPr>
                <w:rFonts w:hint="eastAsia" w:ascii="宋体" w:hAnsi="宋体" w:cs="宋体"/>
                <w:color w:val="auto"/>
                <w:sz w:val="18"/>
                <w:szCs w:val="18"/>
                <w:highlight w:val="none"/>
                <w:lang w:bidi="ar"/>
              </w:rPr>
              <w:t>满足GB/T 35607-2024《绿色产品评价 家具》的要求（其中成品甲醛释放量≤0.05mg/m3，苯≤0.05mg/m3，甲苯、二甲苯≤0.1mg/m3，TVOC≤0.3mg/m3）。</w:t>
            </w:r>
          </w:p>
        </w:tc>
      </w:tr>
      <w:tr w14:paraId="109ED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0" w:type="dxa"/>
            <w:left w:w="100" w:type="dxa"/>
            <w:bottom w:w="50" w:type="dxa"/>
            <w:right w:w="100" w:type="dxa"/>
          </w:tblCellMar>
        </w:tblPrEx>
        <w:tc>
          <w:tcPr>
            <w:tcW w:w="153" w:type="pct"/>
            <w:tcBorders>
              <w:top w:val="single" w:color="000000" w:sz="0" w:space="0"/>
              <w:left w:val="single" w:color="000000" w:sz="0" w:space="0"/>
              <w:bottom w:val="single" w:color="000000" w:sz="0" w:space="0"/>
              <w:right w:val="single" w:color="000000" w:sz="0" w:space="0"/>
            </w:tcBorders>
          </w:tcPr>
          <w:p w14:paraId="6D6E687F">
            <w:pPr>
              <w:numPr>
                <w:ilvl w:val="0"/>
                <w:numId w:val="7"/>
              </w:numPr>
              <w:jc w:val="center"/>
              <w:rPr>
                <w:color w:val="auto"/>
                <w:highlight w:val="none"/>
              </w:rPr>
            </w:pPr>
          </w:p>
        </w:tc>
        <w:tc>
          <w:tcPr>
            <w:tcW w:w="325" w:type="pct"/>
            <w:tcBorders>
              <w:top w:val="single" w:color="000000" w:sz="0" w:space="0"/>
              <w:left w:val="single" w:color="000000" w:sz="0" w:space="0"/>
              <w:bottom w:val="single" w:color="000000" w:sz="0" w:space="0"/>
              <w:right w:val="single" w:color="000000" w:sz="0" w:space="0"/>
            </w:tcBorders>
          </w:tcPr>
          <w:p w14:paraId="3FABAEC6">
            <w:pPr>
              <w:jc w:val="left"/>
              <w:rPr>
                <w:color w:val="auto"/>
                <w:highlight w:val="none"/>
              </w:rPr>
            </w:pPr>
            <w:r>
              <w:rPr>
                <w:color w:val="auto"/>
                <w:sz w:val="20"/>
                <w:szCs w:val="20"/>
                <w:highlight w:val="none"/>
              </w:rPr>
              <w:t>办公室木柜</w:t>
            </w:r>
          </w:p>
        </w:tc>
        <w:tc>
          <w:tcPr>
            <w:tcW w:w="257" w:type="pct"/>
            <w:tcBorders>
              <w:top w:val="single" w:color="000000" w:sz="0" w:space="0"/>
              <w:left w:val="single" w:color="000000" w:sz="0" w:space="0"/>
              <w:bottom w:val="single" w:color="000000" w:sz="0" w:space="0"/>
              <w:right w:val="single" w:color="000000" w:sz="0" w:space="0"/>
            </w:tcBorders>
          </w:tcPr>
          <w:p w14:paraId="385CA54B">
            <w:pPr>
              <w:jc w:val="center"/>
              <w:rPr>
                <w:color w:val="auto"/>
                <w:highlight w:val="none"/>
              </w:rPr>
            </w:pPr>
            <w:r>
              <w:rPr>
                <w:color w:val="auto"/>
                <w:sz w:val="20"/>
                <w:szCs w:val="20"/>
                <w:highlight w:val="none"/>
              </w:rPr>
              <w:t>书架</w:t>
            </w:r>
          </w:p>
        </w:tc>
        <w:tc>
          <w:tcPr>
            <w:tcW w:w="524" w:type="pct"/>
          </w:tcPr>
          <w:p w14:paraId="553DED09">
            <w:pPr>
              <w:jc w:val="center"/>
              <w:rPr>
                <w:color w:val="auto"/>
                <w:highlight w:val="none"/>
              </w:rPr>
            </w:pPr>
            <w:r>
              <w:rPr>
                <w:color w:val="auto"/>
                <w:highlight w:val="none"/>
              </w:rPr>
              <w:drawing>
                <wp:inline distT="0" distB="0" distL="0" distR="0">
                  <wp:extent cx="1025525" cy="1025525"/>
                  <wp:effectExtent l="0" t="0" r="3175" b="3175"/>
                  <wp:docPr id="55" name="Image" descr="参考图片" titl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 descr="参考图片" title="图片"/>
                          <pic:cNvPicPr>
                            <a:picLocks noChangeAspect="1" noChangeArrowheads="1"/>
                          </pic:cNvPicPr>
                        </pic:nvPicPr>
                        <pic:blipFill>
                          <a:blip r:embed="rId31"/>
                          <a:srcRect/>
                          <a:stretch>
                            <a:fillRect/>
                          </a:stretch>
                        </pic:blipFill>
                        <pic:spPr>
                          <a:xfrm>
                            <a:off x="0" y="0"/>
                            <a:ext cx="1025525" cy="1025525"/>
                          </a:xfrm>
                          <a:prstGeom prst="rect">
                            <a:avLst/>
                          </a:prstGeom>
                        </pic:spPr>
                      </pic:pic>
                    </a:graphicData>
                  </a:graphic>
                </wp:inline>
              </w:drawing>
            </w:r>
          </w:p>
        </w:tc>
        <w:tc>
          <w:tcPr>
            <w:tcW w:w="621" w:type="pct"/>
            <w:tcBorders>
              <w:top w:val="single" w:color="000000" w:sz="0" w:space="0"/>
              <w:left w:val="single" w:color="000000" w:sz="0" w:space="0"/>
              <w:bottom w:val="single" w:color="000000" w:sz="0" w:space="0"/>
              <w:right w:val="single" w:color="000000" w:sz="0" w:space="0"/>
            </w:tcBorders>
          </w:tcPr>
          <w:p w14:paraId="43BB545A">
            <w:pPr>
              <w:jc w:val="left"/>
              <w:rPr>
                <w:color w:val="auto"/>
                <w:highlight w:val="none"/>
              </w:rPr>
            </w:pPr>
            <w:r>
              <w:rPr>
                <w:color w:val="auto"/>
                <w:sz w:val="20"/>
                <w:szCs w:val="20"/>
                <w:highlight w:val="none"/>
              </w:rPr>
              <w:t>900*450*1800</w:t>
            </w:r>
            <w:r>
              <w:rPr>
                <w:rFonts w:hint="eastAsia"/>
                <w:color w:val="auto"/>
                <w:sz w:val="20"/>
                <w:szCs w:val="20"/>
                <w:highlight w:val="none"/>
                <w:lang w:eastAsia="zh-CN"/>
              </w:rPr>
              <w:t>（</w:t>
            </w:r>
            <w:r>
              <w:rPr>
                <w:color w:val="auto"/>
                <w:sz w:val="20"/>
                <w:szCs w:val="20"/>
                <w:highlight w:val="none"/>
              </w:rPr>
              <w:t>±</w:t>
            </w:r>
            <w:r>
              <w:rPr>
                <w:rFonts w:hint="eastAsia"/>
                <w:color w:val="auto"/>
                <w:sz w:val="20"/>
                <w:szCs w:val="20"/>
                <w:highlight w:val="none"/>
                <w:lang w:val="en-US" w:eastAsia="zh-CN"/>
              </w:rPr>
              <w:t>10</w:t>
            </w:r>
            <w:r>
              <w:rPr>
                <w:color w:val="auto"/>
                <w:sz w:val="20"/>
                <w:szCs w:val="20"/>
                <w:highlight w:val="none"/>
              </w:rPr>
              <w:t>mm）</w:t>
            </w:r>
          </w:p>
        </w:tc>
        <w:tc>
          <w:tcPr>
            <w:tcW w:w="204" w:type="pct"/>
            <w:tcBorders>
              <w:top w:val="single" w:color="000000" w:sz="0" w:space="0"/>
              <w:left w:val="single" w:color="000000" w:sz="0" w:space="0"/>
              <w:bottom w:val="single" w:color="000000" w:sz="0" w:space="0"/>
              <w:right w:val="single" w:color="000000" w:sz="0" w:space="0"/>
            </w:tcBorders>
          </w:tcPr>
          <w:p w14:paraId="049FD19F">
            <w:pPr>
              <w:jc w:val="center"/>
              <w:rPr>
                <w:color w:val="auto"/>
                <w:highlight w:val="none"/>
              </w:rPr>
            </w:pPr>
            <w:r>
              <w:rPr>
                <w:color w:val="auto"/>
                <w:sz w:val="20"/>
                <w:szCs w:val="20"/>
                <w:highlight w:val="none"/>
              </w:rPr>
              <w:t>2个</w:t>
            </w:r>
          </w:p>
        </w:tc>
        <w:tc>
          <w:tcPr>
            <w:tcW w:w="504" w:type="pct"/>
            <w:tcBorders>
              <w:top w:val="single" w:color="000000" w:sz="0" w:space="0"/>
              <w:left w:val="single" w:color="000000" w:sz="0" w:space="0"/>
              <w:bottom w:val="single" w:color="000000" w:sz="0" w:space="0"/>
              <w:right w:val="single" w:color="000000" w:sz="0" w:space="0"/>
            </w:tcBorders>
          </w:tcPr>
          <w:p w14:paraId="02397AD6">
            <w:pPr>
              <w:jc w:val="left"/>
              <w:rPr>
                <w:color w:val="auto"/>
                <w:highlight w:val="none"/>
              </w:rPr>
            </w:pPr>
            <w:r>
              <w:rPr>
                <w:color w:val="auto"/>
                <w:sz w:val="20"/>
                <w:szCs w:val="20"/>
                <w:highlight w:val="none"/>
              </w:rPr>
              <w:t>基材、封边</w:t>
            </w:r>
          </w:p>
        </w:tc>
        <w:tc>
          <w:tcPr>
            <w:tcW w:w="314" w:type="pct"/>
            <w:tcBorders>
              <w:top w:val="single" w:color="000000" w:sz="0" w:space="0"/>
              <w:left w:val="single" w:color="000000" w:sz="0" w:space="0"/>
              <w:bottom w:val="single" w:color="000000" w:sz="0" w:space="0"/>
              <w:right w:val="single" w:color="000000" w:sz="0" w:space="0"/>
            </w:tcBorders>
          </w:tcPr>
          <w:p w14:paraId="722A0E73">
            <w:pPr>
              <w:jc w:val="left"/>
              <w:rPr>
                <w:color w:val="auto"/>
                <w:highlight w:val="none"/>
              </w:rPr>
            </w:pPr>
            <w:r>
              <w:rPr>
                <w:color w:val="auto"/>
                <w:sz w:val="20"/>
                <w:szCs w:val="20"/>
                <w:highlight w:val="none"/>
              </w:rPr>
              <w:t>刨花板</w:t>
            </w:r>
          </w:p>
        </w:tc>
        <w:tc>
          <w:tcPr>
            <w:tcW w:w="2095" w:type="pct"/>
            <w:tcBorders>
              <w:top w:val="single" w:color="000000" w:sz="0" w:space="0"/>
              <w:left w:val="single" w:color="000000" w:sz="0" w:space="0"/>
              <w:bottom w:val="single" w:color="000000" w:sz="0" w:space="0"/>
              <w:right w:val="single" w:color="000000" w:sz="0" w:space="0"/>
            </w:tcBorders>
          </w:tcPr>
          <w:p w14:paraId="52794026">
            <w:pPr>
              <w:jc w:val="left"/>
              <w:rPr>
                <w:color w:val="auto"/>
                <w:highlight w:val="none"/>
              </w:rPr>
            </w:pPr>
            <w:r>
              <w:rPr>
                <w:rFonts w:hint="eastAsia" w:ascii="宋体" w:hAnsi="宋体" w:cs="宋体"/>
                <w:color w:val="auto"/>
                <w:sz w:val="18"/>
                <w:szCs w:val="18"/>
                <w:highlight w:val="none"/>
                <w:lang w:bidi="ar"/>
              </w:rPr>
              <w:t>（1）基材：基材采用ENF级实木颗粒板，板材厚度</w:t>
            </w:r>
            <w:r>
              <w:rPr>
                <w:rFonts w:hint="eastAsia" w:ascii="宋体" w:hAnsi="宋体" w:cs="宋体"/>
                <w:snapToGrid w:val="0"/>
                <w:color w:val="auto"/>
                <w:kern w:val="0"/>
                <w:sz w:val="20"/>
                <w:szCs w:val="20"/>
                <w:highlight w:val="none"/>
                <w:lang w:bidi="ar"/>
              </w:rPr>
              <w:t>≥</w:t>
            </w:r>
            <w:r>
              <w:rPr>
                <w:rFonts w:hint="eastAsia" w:ascii="宋体" w:hAnsi="宋体" w:cs="宋体"/>
                <w:color w:val="auto"/>
                <w:sz w:val="18"/>
                <w:szCs w:val="18"/>
                <w:highlight w:val="none"/>
                <w:lang w:bidi="ar"/>
              </w:rPr>
              <w:t>18mm，表面平整、光滑、无皱纹、折痕、压纹清晰。四周采用同色PVC封边。</w:t>
            </w:r>
            <w:r>
              <w:rPr>
                <w:rFonts w:hint="eastAsia" w:ascii="宋体" w:hAnsi="宋体" w:cs="宋体"/>
                <w:color w:val="auto"/>
                <w:sz w:val="18"/>
                <w:szCs w:val="18"/>
                <w:highlight w:val="none"/>
                <w:lang w:bidi="ar"/>
              </w:rPr>
              <w:br w:type="textWrapping"/>
            </w:r>
            <w:r>
              <w:rPr>
                <w:rFonts w:hint="eastAsia" w:ascii="宋体" w:hAnsi="宋体" w:cs="宋体"/>
                <w:color w:val="auto"/>
                <w:sz w:val="18"/>
                <w:szCs w:val="18"/>
                <w:highlight w:val="none"/>
                <w:lang w:bidi="ar"/>
              </w:rPr>
              <w:t>（2）配件：连接件、缓冲铰链、拉手采用优质品牌。                                                                                                                                                                                              （3）胶水：采用优质环保胶水。                                                                                                           （4）环保：家具成品均</w:t>
            </w:r>
            <w:r>
              <w:rPr>
                <w:rFonts w:hint="eastAsia" w:ascii="宋体" w:hAnsi="宋体" w:cs="宋体"/>
                <w:color w:val="auto"/>
                <w:sz w:val="18"/>
                <w:szCs w:val="18"/>
                <w:highlight w:val="none"/>
                <w:lang w:eastAsia="zh-CN" w:bidi="ar"/>
              </w:rPr>
              <w:t>需</w:t>
            </w:r>
            <w:r>
              <w:rPr>
                <w:rFonts w:hint="eastAsia" w:ascii="宋体" w:hAnsi="宋体" w:cs="宋体"/>
                <w:color w:val="auto"/>
                <w:sz w:val="18"/>
                <w:szCs w:val="18"/>
                <w:highlight w:val="none"/>
                <w:lang w:bidi="ar"/>
              </w:rPr>
              <w:t>满足GB/T 35607-2024《绿色产品评价 家具》的要求（其中成品甲醛释放量≤0.05mg/m3，苯≤0.05mg/m3，甲苯、二甲苯≤0.1mg/m3，TVOC≤0.3mg/m3）。</w:t>
            </w:r>
          </w:p>
        </w:tc>
      </w:tr>
      <w:tr w14:paraId="06192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0" w:type="dxa"/>
            <w:left w:w="100" w:type="dxa"/>
            <w:bottom w:w="50" w:type="dxa"/>
            <w:right w:w="100" w:type="dxa"/>
          </w:tblCellMar>
        </w:tblPrEx>
        <w:tc>
          <w:tcPr>
            <w:tcW w:w="153" w:type="pct"/>
            <w:tcBorders>
              <w:top w:val="single" w:color="000000" w:sz="0" w:space="0"/>
              <w:left w:val="single" w:color="000000" w:sz="0" w:space="0"/>
              <w:bottom w:val="single" w:color="000000" w:sz="0" w:space="0"/>
              <w:right w:val="single" w:color="000000" w:sz="0" w:space="0"/>
            </w:tcBorders>
          </w:tcPr>
          <w:p w14:paraId="37DD4045">
            <w:pPr>
              <w:numPr>
                <w:ilvl w:val="0"/>
                <w:numId w:val="7"/>
              </w:numPr>
              <w:jc w:val="center"/>
              <w:rPr>
                <w:color w:val="auto"/>
                <w:highlight w:val="none"/>
              </w:rPr>
            </w:pPr>
          </w:p>
        </w:tc>
        <w:tc>
          <w:tcPr>
            <w:tcW w:w="325" w:type="pct"/>
            <w:tcBorders>
              <w:top w:val="single" w:color="000000" w:sz="0" w:space="0"/>
              <w:left w:val="single" w:color="000000" w:sz="0" w:space="0"/>
              <w:bottom w:val="single" w:color="000000" w:sz="0" w:space="0"/>
              <w:right w:val="single" w:color="000000" w:sz="0" w:space="0"/>
            </w:tcBorders>
          </w:tcPr>
          <w:p w14:paraId="3DF759AE">
            <w:pPr>
              <w:jc w:val="left"/>
              <w:rPr>
                <w:color w:val="auto"/>
                <w:highlight w:val="none"/>
              </w:rPr>
            </w:pPr>
            <w:r>
              <w:rPr>
                <w:color w:val="auto"/>
                <w:sz w:val="20"/>
                <w:szCs w:val="20"/>
                <w:highlight w:val="none"/>
              </w:rPr>
              <w:t>双面书架</w:t>
            </w:r>
          </w:p>
        </w:tc>
        <w:tc>
          <w:tcPr>
            <w:tcW w:w="257" w:type="pct"/>
            <w:tcBorders>
              <w:top w:val="single" w:color="000000" w:sz="0" w:space="0"/>
              <w:left w:val="single" w:color="000000" w:sz="0" w:space="0"/>
              <w:bottom w:val="single" w:color="000000" w:sz="0" w:space="0"/>
              <w:right w:val="single" w:color="000000" w:sz="0" w:space="0"/>
            </w:tcBorders>
          </w:tcPr>
          <w:p w14:paraId="55382E0B">
            <w:pPr>
              <w:jc w:val="center"/>
              <w:rPr>
                <w:color w:val="auto"/>
                <w:highlight w:val="none"/>
              </w:rPr>
            </w:pPr>
            <w:r>
              <w:rPr>
                <w:color w:val="auto"/>
                <w:sz w:val="20"/>
                <w:szCs w:val="20"/>
                <w:highlight w:val="none"/>
              </w:rPr>
              <w:t>书架</w:t>
            </w:r>
          </w:p>
        </w:tc>
        <w:tc>
          <w:tcPr>
            <w:tcW w:w="524" w:type="pct"/>
          </w:tcPr>
          <w:p w14:paraId="674B40EC">
            <w:pPr>
              <w:jc w:val="center"/>
              <w:rPr>
                <w:color w:val="auto"/>
                <w:highlight w:val="none"/>
              </w:rPr>
            </w:pPr>
            <w:r>
              <w:rPr>
                <w:color w:val="auto"/>
                <w:highlight w:val="none"/>
              </w:rPr>
              <w:drawing>
                <wp:inline distT="0" distB="0" distL="114300" distR="114300">
                  <wp:extent cx="1171575" cy="789305"/>
                  <wp:effectExtent l="0" t="0" r="9525" b="10795"/>
                  <wp:docPr id="81" name="ID_3572585E23E2418BB889A2CE9F1A9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ID_3572585E23E2418BB889A2CE9F1A9759"/>
                          <pic:cNvPicPr>
                            <a:picLocks noChangeAspect="1"/>
                          </pic:cNvPicPr>
                        </pic:nvPicPr>
                        <pic:blipFill>
                          <a:blip r:embed="rId32"/>
                          <a:srcRect r="44822"/>
                          <a:stretch>
                            <a:fillRect/>
                          </a:stretch>
                        </pic:blipFill>
                        <pic:spPr>
                          <a:xfrm>
                            <a:off x="0" y="0"/>
                            <a:ext cx="1171575" cy="789305"/>
                          </a:xfrm>
                          <a:prstGeom prst="rect">
                            <a:avLst/>
                          </a:prstGeom>
                        </pic:spPr>
                      </pic:pic>
                    </a:graphicData>
                  </a:graphic>
                </wp:inline>
              </w:drawing>
            </w:r>
          </w:p>
        </w:tc>
        <w:tc>
          <w:tcPr>
            <w:tcW w:w="621" w:type="pct"/>
            <w:tcBorders>
              <w:top w:val="single" w:color="000000" w:sz="0" w:space="0"/>
              <w:left w:val="single" w:color="000000" w:sz="0" w:space="0"/>
              <w:bottom w:val="single" w:color="000000" w:sz="0" w:space="0"/>
              <w:right w:val="single" w:color="000000" w:sz="0" w:space="0"/>
            </w:tcBorders>
          </w:tcPr>
          <w:p w14:paraId="4D069146">
            <w:pPr>
              <w:jc w:val="left"/>
              <w:rPr>
                <w:color w:val="auto"/>
                <w:highlight w:val="none"/>
              </w:rPr>
            </w:pPr>
            <w:r>
              <w:rPr>
                <w:color w:val="auto"/>
                <w:sz w:val="20"/>
                <w:szCs w:val="20"/>
                <w:highlight w:val="none"/>
              </w:rPr>
              <w:t>17150*500*1200（±</w:t>
            </w:r>
            <w:r>
              <w:rPr>
                <w:rFonts w:hint="eastAsia"/>
                <w:color w:val="auto"/>
                <w:sz w:val="20"/>
                <w:szCs w:val="20"/>
                <w:highlight w:val="none"/>
                <w:lang w:val="en-US" w:eastAsia="zh-CN"/>
              </w:rPr>
              <w:t>10</w:t>
            </w:r>
            <w:r>
              <w:rPr>
                <w:color w:val="auto"/>
                <w:sz w:val="20"/>
                <w:szCs w:val="20"/>
                <w:highlight w:val="none"/>
              </w:rPr>
              <w:t>mm）</w:t>
            </w:r>
          </w:p>
        </w:tc>
        <w:tc>
          <w:tcPr>
            <w:tcW w:w="204" w:type="pct"/>
            <w:tcBorders>
              <w:top w:val="single" w:color="000000" w:sz="0" w:space="0"/>
              <w:left w:val="single" w:color="000000" w:sz="0" w:space="0"/>
              <w:bottom w:val="single" w:color="000000" w:sz="0" w:space="0"/>
              <w:right w:val="single" w:color="000000" w:sz="0" w:space="0"/>
            </w:tcBorders>
          </w:tcPr>
          <w:p w14:paraId="100007B8">
            <w:pPr>
              <w:jc w:val="center"/>
              <w:rPr>
                <w:color w:val="auto"/>
                <w:highlight w:val="none"/>
              </w:rPr>
            </w:pPr>
            <w:r>
              <w:rPr>
                <w:color w:val="auto"/>
                <w:sz w:val="20"/>
                <w:szCs w:val="20"/>
                <w:highlight w:val="none"/>
              </w:rPr>
              <w:t>1套</w:t>
            </w:r>
          </w:p>
        </w:tc>
        <w:tc>
          <w:tcPr>
            <w:tcW w:w="504" w:type="pct"/>
            <w:tcBorders>
              <w:top w:val="single" w:color="000000" w:sz="0" w:space="0"/>
              <w:left w:val="single" w:color="000000" w:sz="0" w:space="0"/>
              <w:bottom w:val="single" w:color="000000" w:sz="0" w:space="0"/>
              <w:right w:val="single" w:color="000000" w:sz="0" w:space="0"/>
            </w:tcBorders>
          </w:tcPr>
          <w:p w14:paraId="6C34D6C9">
            <w:pPr>
              <w:jc w:val="left"/>
              <w:rPr>
                <w:color w:val="auto"/>
                <w:highlight w:val="none"/>
              </w:rPr>
            </w:pPr>
            <w:r>
              <w:rPr>
                <w:color w:val="auto"/>
                <w:sz w:val="20"/>
                <w:szCs w:val="20"/>
                <w:highlight w:val="none"/>
              </w:rPr>
              <w:t>基材、封边</w:t>
            </w:r>
          </w:p>
        </w:tc>
        <w:tc>
          <w:tcPr>
            <w:tcW w:w="314" w:type="pct"/>
            <w:tcBorders>
              <w:top w:val="single" w:color="000000" w:sz="0" w:space="0"/>
              <w:left w:val="single" w:color="000000" w:sz="0" w:space="0"/>
              <w:bottom w:val="single" w:color="000000" w:sz="0" w:space="0"/>
              <w:right w:val="single" w:color="000000" w:sz="0" w:space="0"/>
            </w:tcBorders>
          </w:tcPr>
          <w:p w14:paraId="4220DF05">
            <w:pPr>
              <w:jc w:val="left"/>
              <w:rPr>
                <w:color w:val="auto"/>
                <w:highlight w:val="none"/>
              </w:rPr>
            </w:pPr>
            <w:r>
              <w:rPr>
                <w:color w:val="auto"/>
                <w:sz w:val="20"/>
                <w:szCs w:val="20"/>
                <w:highlight w:val="none"/>
              </w:rPr>
              <w:t>刨花板</w:t>
            </w:r>
          </w:p>
        </w:tc>
        <w:tc>
          <w:tcPr>
            <w:tcW w:w="2095" w:type="pct"/>
            <w:tcBorders>
              <w:top w:val="single" w:color="000000" w:sz="0" w:space="0"/>
              <w:left w:val="single" w:color="000000" w:sz="0" w:space="0"/>
              <w:bottom w:val="single" w:color="000000" w:sz="0" w:space="0"/>
              <w:right w:val="single" w:color="000000" w:sz="0" w:space="0"/>
            </w:tcBorders>
          </w:tcPr>
          <w:p w14:paraId="0218A25B">
            <w:pPr>
              <w:jc w:val="left"/>
              <w:rPr>
                <w:color w:val="auto"/>
                <w:highlight w:val="none"/>
              </w:rPr>
            </w:pPr>
            <w:r>
              <w:rPr>
                <w:rFonts w:hint="eastAsia" w:ascii="宋体" w:hAnsi="宋体" w:cs="宋体"/>
                <w:color w:val="auto"/>
                <w:sz w:val="18"/>
                <w:szCs w:val="18"/>
                <w:highlight w:val="none"/>
                <w:lang w:bidi="ar"/>
              </w:rPr>
              <w:t>（1）基材：基材采用ENF级实木颗粒板，台面厚度</w:t>
            </w:r>
            <w:r>
              <w:rPr>
                <w:rFonts w:hint="eastAsia" w:ascii="宋体" w:hAnsi="宋体" w:cs="宋体"/>
                <w:snapToGrid w:val="0"/>
                <w:color w:val="auto"/>
                <w:kern w:val="0"/>
                <w:sz w:val="20"/>
                <w:szCs w:val="20"/>
                <w:highlight w:val="none"/>
                <w:lang w:bidi="ar"/>
              </w:rPr>
              <w:t>≥</w:t>
            </w:r>
            <w:r>
              <w:rPr>
                <w:rFonts w:hint="eastAsia" w:ascii="宋体" w:hAnsi="宋体" w:cs="宋体"/>
                <w:color w:val="auto"/>
                <w:sz w:val="18"/>
                <w:szCs w:val="18"/>
                <w:highlight w:val="none"/>
                <w:lang w:bidi="ar"/>
              </w:rPr>
              <w:t>25mm，其他厚度</w:t>
            </w:r>
            <w:r>
              <w:rPr>
                <w:rFonts w:hint="eastAsia" w:ascii="宋体" w:hAnsi="宋体" w:cs="宋体"/>
                <w:snapToGrid w:val="0"/>
                <w:color w:val="auto"/>
                <w:kern w:val="0"/>
                <w:sz w:val="20"/>
                <w:szCs w:val="20"/>
                <w:highlight w:val="none"/>
                <w:lang w:bidi="ar"/>
              </w:rPr>
              <w:t>≥</w:t>
            </w:r>
            <w:r>
              <w:rPr>
                <w:rFonts w:hint="eastAsia" w:ascii="宋体" w:hAnsi="宋体" w:cs="宋体"/>
                <w:color w:val="auto"/>
                <w:sz w:val="18"/>
                <w:szCs w:val="18"/>
                <w:highlight w:val="none"/>
                <w:lang w:bidi="ar"/>
              </w:rPr>
              <w:t>18mm，表面平整、光滑、无皱纹、折痕、压纹清晰。四周采用同色PVC封边。</w:t>
            </w:r>
            <w:r>
              <w:rPr>
                <w:rFonts w:hint="eastAsia" w:ascii="宋体" w:hAnsi="宋体" w:cs="宋体"/>
                <w:color w:val="auto"/>
                <w:sz w:val="18"/>
                <w:szCs w:val="18"/>
                <w:highlight w:val="none"/>
                <w:lang w:bidi="ar"/>
              </w:rPr>
              <w:br w:type="textWrapping"/>
            </w:r>
            <w:r>
              <w:rPr>
                <w:rFonts w:hint="eastAsia" w:ascii="宋体" w:hAnsi="宋体" w:cs="宋体"/>
                <w:color w:val="auto"/>
                <w:sz w:val="18"/>
                <w:szCs w:val="18"/>
                <w:highlight w:val="none"/>
                <w:lang w:bidi="ar"/>
              </w:rPr>
              <w:t>（2）配件：连接件采用优质品牌。                                                                                                                                                                                              （3）胶水：采用优质环保胶水。                                                                                                           （4）环保：家具成品均</w:t>
            </w:r>
            <w:r>
              <w:rPr>
                <w:rFonts w:hint="eastAsia" w:ascii="宋体" w:hAnsi="宋体" w:cs="宋体"/>
                <w:color w:val="auto"/>
                <w:sz w:val="18"/>
                <w:szCs w:val="18"/>
                <w:highlight w:val="none"/>
                <w:lang w:eastAsia="zh-CN" w:bidi="ar"/>
              </w:rPr>
              <w:t>需</w:t>
            </w:r>
            <w:r>
              <w:rPr>
                <w:rFonts w:hint="eastAsia" w:ascii="宋体" w:hAnsi="宋体" w:cs="宋体"/>
                <w:color w:val="auto"/>
                <w:sz w:val="18"/>
                <w:szCs w:val="18"/>
                <w:highlight w:val="none"/>
                <w:lang w:bidi="ar"/>
              </w:rPr>
              <w:t>满足GB/T 35607-2024《绿色产品评价 家具》的要求（其中成品甲醛释放量≤0.05mg/m3，苯≤0.05mg/m3，甲苯、二甲苯≤0.1mg/m3，TVOC≤0.3mg/m3）。</w:t>
            </w:r>
          </w:p>
        </w:tc>
      </w:tr>
      <w:tr w14:paraId="69352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0" w:type="dxa"/>
            <w:left w:w="100" w:type="dxa"/>
            <w:bottom w:w="50" w:type="dxa"/>
            <w:right w:w="100" w:type="dxa"/>
          </w:tblCellMar>
        </w:tblPrEx>
        <w:tc>
          <w:tcPr>
            <w:tcW w:w="153" w:type="pct"/>
            <w:tcBorders>
              <w:top w:val="single" w:color="000000" w:sz="0" w:space="0"/>
              <w:left w:val="single" w:color="000000" w:sz="0" w:space="0"/>
              <w:bottom w:val="single" w:color="000000" w:sz="0" w:space="0"/>
              <w:right w:val="single" w:color="000000" w:sz="0" w:space="0"/>
            </w:tcBorders>
          </w:tcPr>
          <w:p w14:paraId="0D0F047A">
            <w:pPr>
              <w:numPr>
                <w:ilvl w:val="0"/>
                <w:numId w:val="7"/>
              </w:numPr>
              <w:jc w:val="center"/>
              <w:rPr>
                <w:color w:val="auto"/>
                <w:highlight w:val="none"/>
              </w:rPr>
            </w:pPr>
          </w:p>
        </w:tc>
        <w:tc>
          <w:tcPr>
            <w:tcW w:w="325" w:type="pct"/>
            <w:tcBorders>
              <w:top w:val="single" w:color="000000" w:sz="0" w:space="0"/>
              <w:left w:val="single" w:color="000000" w:sz="0" w:space="0"/>
              <w:bottom w:val="single" w:color="000000" w:sz="0" w:space="0"/>
              <w:right w:val="single" w:color="000000" w:sz="0" w:space="0"/>
            </w:tcBorders>
          </w:tcPr>
          <w:p w14:paraId="142B714A">
            <w:pPr>
              <w:jc w:val="left"/>
              <w:rPr>
                <w:color w:val="auto"/>
                <w:highlight w:val="none"/>
              </w:rPr>
            </w:pPr>
            <w:r>
              <w:rPr>
                <w:color w:val="auto"/>
                <w:sz w:val="20"/>
                <w:szCs w:val="20"/>
                <w:highlight w:val="none"/>
              </w:rPr>
              <w:t>屏风</w:t>
            </w:r>
          </w:p>
        </w:tc>
        <w:tc>
          <w:tcPr>
            <w:tcW w:w="257" w:type="pct"/>
            <w:tcBorders>
              <w:top w:val="single" w:color="000000" w:sz="0" w:space="0"/>
              <w:left w:val="single" w:color="000000" w:sz="0" w:space="0"/>
              <w:bottom w:val="single" w:color="000000" w:sz="0" w:space="0"/>
              <w:right w:val="single" w:color="000000" w:sz="0" w:space="0"/>
            </w:tcBorders>
          </w:tcPr>
          <w:p w14:paraId="61A5D836">
            <w:pPr>
              <w:jc w:val="center"/>
              <w:rPr>
                <w:color w:val="auto"/>
                <w:highlight w:val="none"/>
              </w:rPr>
            </w:pPr>
            <w:r>
              <w:rPr>
                <w:color w:val="auto"/>
                <w:sz w:val="20"/>
                <w:szCs w:val="20"/>
                <w:highlight w:val="none"/>
              </w:rPr>
              <w:t>屏风</w:t>
            </w:r>
          </w:p>
        </w:tc>
        <w:tc>
          <w:tcPr>
            <w:tcW w:w="524" w:type="pct"/>
          </w:tcPr>
          <w:p w14:paraId="326468A2">
            <w:pPr>
              <w:jc w:val="center"/>
              <w:rPr>
                <w:color w:val="auto"/>
                <w:highlight w:val="none"/>
              </w:rPr>
            </w:pPr>
            <w:r>
              <w:rPr>
                <w:color w:val="auto"/>
                <w:highlight w:val="none"/>
              </w:rPr>
              <w:drawing>
                <wp:inline distT="0" distB="0" distL="0" distR="0">
                  <wp:extent cx="1101725" cy="1101725"/>
                  <wp:effectExtent l="0" t="0" r="3175" b="3175"/>
                  <wp:docPr id="56" name="Image" descr="参考图片" titl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 descr="参考图片" title="图片"/>
                          <pic:cNvPicPr>
                            <a:picLocks noChangeAspect="1" noChangeArrowheads="1"/>
                          </pic:cNvPicPr>
                        </pic:nvPicPr>
                        <pic:blipFill>
                          <a:blip r:embed="rId33"/>
                          <a:srcRect/>
                          <a:stretch>
                            <a:fillRect/>
                          </a:stretch>
                        </pic:blipFill>
                        <pic:spPr>
                          <a:xfrm>
                            <a:off x="0" y="0"/>
                            <a:ext cx="1101725" cy="1101725"/>
                          </a:xfrm>
                          <a:prstGeom prst="rect">
                            <a:avLst/>
                          </a:prstGeom>
                        </pic:spPr>
                      </pic:pic>
                    </a:graphicData>
                  </a:graphic>
                </wp:inline>
              </w:drawing>
            </w:r>
          </w:p>
        </w:tc>
        <w:tc>
          <w:tcPr>
            <w:tcW w:w="621" w:type="pct"/>
            <w:tcBorders>
              <w:top w:val="single" w:color="000000" w:sz="0" w:space="0"/>
              <w:left w:val="single" w:color="000000" w:sz="0" w:space="0"/>
              <w:bottom w:val="single" w:color="000000" w:sz="0" w:space="0"/>
              <w:right w:val="single" w:color="000000" w:sz="0" w:space="0"/>
            </w:tcBorders>
          </w:tcPr>
          <w:p w14:paraId="510EE099">
            <w:pPr>
              <w:jc w:val="left"/>
              <w:rPr>
                <w:color w:val="auto"/>
                <w:highlight w:val="none"/>
              </w:rPr>
            </w:pPr>
            <w:r>
              <w:rPr>
                <w:color w:val="auto"/>
                <w:sz w:val="20"/>
                <w:szCs w:val="20"/>
                <w:highlight w:val="none"/>
              </w:rPr>
              <w:t>18</w:t>
            </w:r>
            <w:r>
              <w:rPr>
                <w:rFonts w:hint="eastAsia"/>
                <w:color w:val="auto"/>
                <w:sz w:val="20"/>
                <w:szCs w:val="20"/>
                <w:highlight w:val="none"/>
              </w:rPr>
              <w:t>0</w:t>
            </w:r>
            <w:r>
              <w:rPr>
                <w:color w:val="auto"/>
                <w:sz w:val="20"/>
                <w:szCs w:val="20"/>
                <w:highlight w:val="none"/>
              </w:rPr>
              <w:t>0*400*1900</w:t>
            </w:r>
            <w:r>
              <w:rPr>
                <w:rFonts w:hint="eastAsia"/>
                <w:color w:val="auto"/>
                <w:sz w:val="20"/>
                <w:szCs w:val="20"/>
                <w:highlight w:val="none"/>
                <w:lang w:eastAsia="zh-CN"/>
              </w:rPr>
              <w:t>（</w:t>
            </w:r>
            <w:r>
              <w:rPr>
                <w:color w:val="auto"/>
                <w:sz w:val="20"/>
                <w:szCs w:val="20"/>
                <w:highlight w:val="none"/>
              </w:rPr>
              <w:t>±</w:t>
            </w:r>
            <w:r>
              <w:rPr>
                <w:rFonts w:hint="eastAsia"/>
                <w:color w:val="auto"/>
                <w:sz w:val="20"/>
                <w:szCs w:val="20"/>
                <w:highlight w:val="none"/>
                <w:lang w:val="en-US" w:eastAsia="zh-CN"/>
              </w:rPr>
              <w:t>10</w:t>
            </w:r>
            <w:r>
              <w:rPr>
                <w:color w:val="auto"/>
                <w:sz w:val="20"/>
                <w:szCs w:val="20"/>
                <w:highlight w:val="none"/>
              </w:rPr>
              <w:t>mm）</w:t>
            </w:r>
          </w:p>
        </w:tc>
        <w:tc>
          <w:tcPr>
            <w:tcW w:w="204" w:type="pct"/>
            <w:tcBorders>
              <w:top w:val="single" w:color="000000" w:sz="0" w:space="0"/>
              <w:left w:val="single" w:color="000000" w:sz="0" w:space="0"/>
              <w:bottom w:val="single" w:color="000000" w:sz="0" w:space="0"/>
              <w:right w:val="single" w:color="000000" w:sz="0" w:space="0"/>
            </w:tcBorders>
          </w:tcPr>
          <w:p w14:paraId="42CB2DF1">
            <w:pPr>
              <w:jc w:val="center"/>
              <w:rPr>
                <w:color w:val="auto"/>
                <w:highlight w:val="none"/>
              </w:rPr>
            </w:pPr>
            <w:r>
              <w:rPr>
                <w:color w:val="auto"/>
                <w:sz w:val="20"/>
                <w:szCs w:val="20"/>
                <w:highlight w:val="none"/>
              </w:rPr>
              <w:t>3组</w:t>
            </w:r>
          </w:p>
        </w:tc>
        <w:tc>
          <w:tcPr>
            <w:tcW w:w="504" w:type="pct"/>
            <w:tcBorders>
              <w:top w:val="single" w:color="000000" w:sz="0" w:space="0"/>
              <w:left w:val="single" w:color="000000" w:sz="0" w:space="0"/>
              <w:bottom w:val="single" w:color="000000" w:sz="0" w:space="0"/>
              <w:right w:val="single" w:color="000000" w:sz="0" w:space="0"/>
            </w:tcBorders>
          </w:tcPr>
          <w:p w14:paraId="07AE40A9">
            <w:pPr>
              <w:jc w:val="left"/>
              <w:rPr>
                <w:color w:val="auto"/>
                <w:highlight w:val="none"/>
              </w:rPr>
            </w:pPr>
            <w:r>
              <w:rPr>
                <w:color w:val="auto"/>
                <w:sz w:val="20"/>
                <w:szCs w:val="20"/>
                <w:highlight w:val="none"/>
              </w:rPr>
              <w:t>基材</w:t>
            </w:r>
          </w:p>
        </w:tc>
        <w:tc>
          <w:tcPr>
            <w:tcW w:w="314" w:type="pct"/>
            <w:tcBorders>
              <w:top w:val="single" w:color="000000" w:sz="0" w:space="0"/>
              <w:left w:val="single" w:color="000000" w:sz="0" w:space="0"/>
              <w:bottom w:val="single" w:color="000000" w:sz="0" w:space="0"/>
              <w:right w:val="single" w:color="000000" w:sz="0" w:space="0"/>
            </w:tcBorders>
          </w:tcPr>
          <w:p w14:paraId="42F33929">
            <w:pPr>
              <w:jc w:val="left"/>
              <w:rPr>
                <w:color w:val="auto"/>
                <w:highlight w:val="none"/>
              </w:rPr>
            </w:pPr>
            <w:r>
              <w:rPr>
                <w:color w:val="auto"/>
                <w:sz w:val="20"/>
                <w:szCs w:val="20"/>
                <w:highlight w:val="none"/>
              </w:rPr>
              <w:t>钢化玻璃</w:t>
            </w:r>
          </w:p>
        </w:tc>
        <w:tc>
          <w:tcPr>
            <w:tcW w:w="2095" w:type="pct"/>
            <w:tcBorders>
              <w:top w:val="single" w:color="000000" w:sz="0" w:space="0"/>
              <w:left w:val="single" w:color="000000" w:sz="0" w:space="0"/>
              <w:bottom w:val="single" w:color="000000" w:sz="0" w:space="0"/>
              <w:right w:val="single" w:color="000000" w:sz="0" w:space="0"/>
            </w:tcBorders>
          </w:tcPr>
          <w:p w14:paraId="07E4A25B">
            <w:pPr>
              <w:jc w:val="left"/>
              <w:rPr>
                <w:color w:val="auto"/>
                <w:highlight w:val="none"/>
              </w:rPr>
            </w:pPr>
            <w:r>
              <w:rPr>
                <w:rFonts w:hint="eastAsia" w:ascii="宋体" w:hAnsi="宋体" w:cs="宋体"/>
                <w:color w:val="auto"/>
                <w:sz w:val="18"/>
                <w:szCs w:val="18"/>
                <w:highlight w:val="none"/>
                <w:lang w:bidi="ar"/>
              </w:rPr>
              <w:t>（1）基材：基材采用铝合金，屏风厚度</w:t>
            </w:r>
            <w:r>
              <w:rPr>
                <w:rFonts w:hint="eastAsia" w:ascii="宋体" w:hAnsi="宋体" w:cs="宋体"/>
                <w:snapToGrid w:val="0"/>
                <w:color w:val="auto"/>
                <w:kern w:val="0"/>
                <w:sz w:val="20"/>
                <w:szCs w:val="20"/>
                <w:highlight w:val="none"/>
                <w:lang w:bidi="ar"/>
              </w:rPr>
              <w:t>≥</w:t>
            </w:r>
            <w:r>
              <w:rPr>
                <w:rFonts w:hint="eastAsia" w:ascii="宋体" w:hAnsi="宋体" w:cs="宋体"/>
                <w:color w:val="auto"/>
                <w:sz w:val="18"/>
                <w:szCs w:val="18"/>
                <w:highlight w:val="none"/>
                <w:lang w:bidi="ar"/>
              </w:rPr>
              <w:t>30mm,屏风铝材主材壁厚</w:t>
            </w:r>
            <w:r>
              <w:rPr>
                <w:rFonts w:hint="eastAsia" w:ascii="宋体" w:hAnsi="宋体" w:cs="宋体"/>
                <w:snapToGrid w:val="0"/>
                <w:color w:val="auto"/>
                <w:kern w:val="0"/>
                <w:sz w:val="20"/>
                <w:szCs w:val="20"/>
                <w:highlight w:val="none"/>
                <w:lang w:bidi="ar"/>
              </w:rPr>
              <w:t>≥</w:t>
            </w:r>
            <w:r>
              <w:rPr>
                <w:rFonts w:hint="eastAsia" w:ascii="宋体" w:hAnsi="宋体" w:cs="宋体"/>
                <w:color w:val="auto"/>
                <w:sz w:val="18"/>
                <w:szCs w:val="18"/>
                <w:highlight w:val="none"/>
                <w:lang w:bidi="ar"/>
              </w:rPr>
              <w:t>1.2mm，底部加宽，玻璃采用长虹玻璃。</w:t>
            </w:r>
            <w:r>
              <w:rPr>
                <w:rFonts w:hint="eastAsia" w:ascii="宋体" w:hAnsi="宋体" w:cs="宋体"/>
                <w:color w:val="auto"/>
                <w:sz w:val="18"/>
                <w:szCs w:val="18"/>
                <w:highlight w:val="none"/>
                <w:lang w:bidi="ar"/>
              </w:rPr>
              <w:br w:type="textWrapping"/>
            </w:r>
            <w:r>
              <w:rPr>
                <w:rFonts w:hint="eastAsia" w:ascii="宋体" w:hAnsi="宋体" w:cs="宋体"/>
                <w:color w:val="auto"/>
                <w:sz w:val="18"/>
                <w:szCs w:val="18"/>
                <w:highlight w:val="none"/>
                <w:lang w:bidi="ar"/>
              </w:rPr>
              <w:t>（2）配件：连接件采用优质品牌。                                                                                                                                                                                              （3）胶水：采用优质环保胶水                                                                                                           （4）环保：家具成品均</w:t>
            </w:r>
            <w:r>
              <w:rPr>
                <w:rFonts w:hint="eastAsia" w:ascii="宋体" w:hAnsi="宋体" w:cs="宋体"/>
                <w:color w:val="auto"/>
                <w:sz w:val="18"/>
                <w:szCs w:val="18"/>
                <w:highlight w:val="none"/>
                <w:lang w:eastAsia="zh-CN" w:bidi="ar"/>
              </w:rPr>
              <w:t>需</w:t>
            </w:r>
            <w:r>
              <w:rPr>
                <w:rFonts w:hint="eastAsia" w:ascii="宋体" w:hAnsi="宋体" w:cs="宋体"/>
                <w:color w:val="auto"/>
                <w:sz w:val="18"/>
                <w:szCs w:val="18"/>
                <w:highlight w:val="none"/>
                <w:lang w:bidi="ar"/>
              </w:rPr>
              <w:t>满足GB/T 35607-2024《绿色产品评价 家具》的要求（其中成品甲醛释放量≤0.05mg/m3，苯≤0.05mg/m3，甲苯、二甲苯≤0.1mg/m3，TVOC≤0.3mg/m3）.</w:t>
            </w:r>
          </w:p>
        </w:tc>
      </w:tr>
    </w:tbl>
    <w:p w14:paraId="45ADC1F8">
      <w:pPr>
        <w:pStyle w:val="12"/>
        <w:widowControl/>
        <w:rPr>
          <w:color w:val="auto"/>
          <w:highlight w:val="none"/>
        </w:rPr>
      </w:pPr>
      <w:r>
        <w:rPr>
          <w:color w:val="auto"/>
          <w:highlight w:val="none"/>
        </w:rPr>
        <w:t>注：</w:t>
      </w:r>
    </w:p>
    <w:p w14:paraId="35F7123F">
      <w:pPr>
        <w:pStyle w:val="12"/>
        <w:widowControl/>
        <w:numPr>
          <w:ilvl w:val="0"/>
          <w:numId w:val="12"/>
        </w:numPr>
        <w:spacing w:line="240" w:lineRule="auto"/>
        <w:rPr>
          <w:rFonts w:hint="eastAsia" w:ascii="宋体" w:hAnsi="宋体" w:cs="宋体"/>
          <w:color w:val="auto"/>
          <w:sz w:val="20"/>
          <w:szCs w:val="20"/>
          <w:highlight w:val="none"/>
        </w:rPr>
      </w:pPr>
      <w:r>
        <w:rPr>
          <w:color w:val="auto"/>
          <w:sz w:val="20"/>
          <w:szCs w:val="20"/>
          <w:highlight w:val="none"/>
        </w:rPr>
        <w:t>投标方应对投标货物品牌、尺寸规格、颜色、材料、质量、性能等作出说明，提供所投产品的技术参数偏离表，按实际情况注明以上清单产品各项技术参数偏离情况（正偏离/满足/负偏离），技术要求偏离表不能违背真实的参数和指标。</w:t>
      </w:r>
    </w:p>
    <w:p w14:paraId="6283DBD8">
      <w:pPr>
        <w:pStyle w:val="12"/>
        <w:widowControl/>
        <w:numPr>
          <w:ilvl w:val="0"/>
          <w:numId w:val="12"/>
        </w:numPr>
        <w:spacing w:line="240" w:lineRule="auto"/>
        <w:rPr>
          <w:rFonts w:hint="eastAsia" w:ascii="宋体" w:hAnsi="宋体" w:cs="宋体"/>
          <w:color w:val="auto"/>
          <w:sz w:val="20"/>
          <w:szCs w:val="20"/>
          <w:highlight w:val="none"/>
        </w:rPr>
      </w:pPr>
      <w:r>
        <w:rPr>
          <w:color w:val="auto"/>
          <w:sz w:val="20"/>
          <w:szCs w:val="20"/>
          <w:highlight w:val="none"/>
        </w:rPr>
        <w:t>项目需求中指出的工艺、材料和货物的标准以及参照的技术参数、图片或型号仅起说明作用，并没有任何限制性和排他性，响应方在投标中可以选用其他替代标准、技术参数或型号，但这些替代应以不影响产品质量或功能实现为前提。</w:t>
      </w:r>
    </w:p>
    <w:p w14:paraId="7795C8F4">
      <w:pPr>
        <w:pStyle w:val="12"/>
        <w:widowControl/>
        <w:numPr>
          <w:ilvl w:val="0"/>
          <w:numId w:val="12"/>
        </w:numPr>
        <w:spacing w:line="240" w:lineRule="auto"/>
        <w:rPr>
          <w:rFonts w:hint="eastAsia" w:ascii="宋体" w:hAnsi="宋体" w:cs="宋体"/>
          <w:color w:val="auto"/>
          <w:sz w:val="20"/>
          <w:szCs w:val="20"/>
          <w:highlight w:val="none"/>
        </w:rPr>
      </w:pPr>
      <w:r>
        <w:rPr>
          <w:color w:val="auto"/>
          <w:sz w:val="20"/>
          <w:szCs w:val="20"/>
          <w:highlight w:val="none"/>
        </w:rPr>
        <w:t>项目需求中指出的技术标准与规范如有更新，应以最新的标准规范实施。</w:t>
      </w:r>
    </w:p>
    <w:p w14:paraId="484B3087">
      <w:pPr>
        <w:pStyle w:val="12"/>
        <w:widowControl/>
        <w:numPr>
          <w:ilvl w:val="0"/>
          <w:numId w:val="12"/>
        </w:numPr>
        <w:spacing w:line="240" w:lineRule="auto"/>
        <w:rPr>
          <w:rFonts w:hint="eastAsia" w:ascii="宋体" w:hAnsi="宋体" w:cs="宋体"/>
          <w:color w:val="auto"/>
          <w:sz w:val="20"/>
          <w:szCs w:val="20"/>
          <w:highlight w:val="none"/>
        </w:rPr>
      </w:pPr>
      <w:r>
        <w:rPr>
          <w:color w:val="auto"/>
          <w:sz w:val="20"/>
          <w:szCs w:val="20"/>
          <w:highlight w:val="none"/>
        </w:rPr>
        <w:t>所有采购家具产品，均需经使用方确认最终的色样方可采购或制作。</w:t>
      </w:r>
    </w:p>
    <w:p w14:paraId="339102A9">
      <w:pPr>
        <w:pStyle w:val="13"/>
        <w:rPr>
          <w:color w:val="auto"/>
          <w:sz w:val="20"/>
          <w:szCs w:val="20"/>
          <w:highlight w:val="none"/>
        </w:rPr>
      </w:pPr>
    </w:p>
    <w:p w14:paraId="3D638834">
      <w:pPr>
        <w:pStyle w:val="14"/>
        <w:rPr>
          <w:rFonts w:hint="eastAsia"/>
          <w:color w:val="auto"/>
          <w:highlight w:val="none"/>
        </w:rPr>
        <w:sectPr>
          <w:footerReference r:id="rId4" w:type="default"/>
          <w:pgSz w:w="23811" w:h="16838" w:orient="landscape"/>
          <w:pgMar w:top="1440" w:right="1080" w:bottom="1440" w:left="1080" w:header="0" w:footer="992" w:gutter="0"/>
          <w:cols w:space="720" w:num="1"/>
          <w:formProt w:val="0"/>
          <w:docGrid w:type="linesAndChars" w:linePitch="326" w:charSpace="614"/>
        </w:sectPr>
      </w:pPr>
    </w:p>
    <w:p w14:paraId="07917680">
      <w:pPr>
        <w:pStyle w:val="3"/>
        <w:rPr>
          <w:color w:val="auto"/>
          <w:highlight w:val="none"/>
        </w:rPr>
      </w:pPr>
      <w:r>
        <w:rPr>
          <w:color w:val="auto"/>
          <w:highlight w:val="none"/>
        </w:rPr>
        <w:t>材料要求</w:t>
      </w:r>
    </w:p>
    <w:p w14:paraId="727BBC9A">
      <w:pPr>
        <w:pStyle w:val="4"/>
        <w:rPr>
          <w:color w:val="auto"/>
          <w:highlight w:val="none"/>
        </w:rPr>
      </w:pPr>
      <w:r>
        <w:rPr>
          <w:color w:val="auto"/>
          <w:highlight w:val="none"/>
        </w:rPr>
        <w:t>本项目采用的材料需符合以下要求</w:t>
      </w:r>
    </w:p>
    <w:p w14:paraId="1711F57D">
      <w:pPr>
        <w:numPr>
          <w:ilvl w:val="0"/>
          <w:numId w:val="13"/>
        </w:numPr>
        <w:spacing w:line="360" w:lineRule="auto"/>
        <w:rPr>
          <w:rFonts w:hint="eastAsia"/>
          <w:color w:val="auto"/>
          <w:highlight w:val="none"/>
        </w:rPr>
      </w:pPr>
      <w:bookmarkStart w:id="0" w:name="OLE_LINK2"/>
      <w:r>
        <w:rPr>
          <w:rFonts w:hint="eastAsia"/>
          <w:b/>
          <w:bCs/>
          <w:color w:val="auto"/>
          <w:highlight w:val="none"/>
        </w:rPr>
        <w:t>冷轧钢板</w:t>
      </w:r>
      <w:bookmarkEnd w:id="0"/>
      <w:r>
        <w:rPr>
          <w:rFonts w:hint="eastAsia"/>
          <w:color w:val="auto"/>
          <w:highlight w:val="none"/>
        </w:rPr>
        <w:t>：符合</w:t>
      </w:r>
      <w:bookmarkStart w:id="1" w:name="OLE_LINK6"/>
      <w:r>
        <w:rPr>
          <w:rFonts w:hint="eastAsia"/>
          <w:color w:val="auto"/>
          <w:highlight w:val="none"/>
        </w:rPr>
        <w:t>GB/T 11253-2019</w:t>
      </w:r>
      <w:bookmarkEnd w:id="1"/>
      <w:r>
        <w:rPr>
          <w:rFonts w:hint="eastAsia"/>
          <w:color w:val="auto"/>
          <w:highlight w:val="none"/>
        </w:rPr>
        <w:t>、</w:t>
      </w:r>
      <w:bookmarkStart w:id="2" w:name="OLE_LINK3"/>
      <w:r>
        <w:rPr>
          <w:rFonts w:hint="eastAsia"/>
          <w:color w:val="auto"/>
          <w:highlight w:val="none"/>
        </w:rPr>
        <w:t>GB/T 4336-2016</w:t>
      </w:r>
      <w:bookmarkEnd w:id="2"/>
      <w:r>
        <w:rPr>
          <w:rFonts w:hint="eastAsia"/>
          <w:color w:val="auto"/>
          <w:highlight w:val="none"/>
        </w:rPr>
        <w:t>、</w:t>
      </w:r>
      <w:bookmarkStart w:id="3" w:name="OLE_LINK7"/>
      <w:r>
        <w:rPr>
          <w:rFonts w:hint="eastAsia"/>
          <w:color w:val="auto"/>
          <w:highlight w:val="none"/>
        </w:rPr>
        <w:t>GB/T35602-2017</w:t>
      </w:r>
      <w:bookmarkEnd w:id="3"/>
      <w:r>
        <w:rPr>
          <w:rFonts w:hint="eastAsia"/>
          <w:color w:val="auto"/>
          <w:highlight w:val="none"/>
        </w:rPr>
        <w:t>、</w:t>
      </w:r>
      <w:bookmarkStart w:id="4" w:name="OLE_LINK8"/>
      <w:r>
        <w:rPr>
          <w:rFonts w:hint="eastAsia"/>
          <w:color w:val="auto"/>
          <w:highlight w:val="none"/>
        </w:rPr>
        <w:t>GB/T10125-2021</w:t>
      </w:r>
      <w:bookmarkEnd w:id="4"/>
      <w:r>
        <w:rPr>
          <w:rFonts w:hint="eastAsia"/>
          <w:color w:val="auto"/>
          <w:highlight w:val="none"/>
        </w:rPr>
        <w:t>、</w:t>
      </w:r>
      <w:bookmarkStart w:id="5" w:name="OLE_LINK1"/>
      <w:r>
        <w:rPr>
          <w:rFonts w:hint="eastAsia"/>
          <w:color w:val="auto"/>
          <w:highlight w:val="none"/>
        </w:rPr>
        <w:t>GB/T13448-2019</w:t>
      </w:r>
      <w:bookmarkEnd w:id="5"/>
      <w:r>
        <w:rPr>
          <w:rFonts w:hint="eastAsia"/>
          <w:color w:val="auto"/>
          <w:highlight w:val="none"/>
        </w:rPr>
        <w:t>。其中，下屈服强度≥235MPa、抗拉强度370-500MPa、断后伸长率≥</w:t>
      </w:r>
      <w:r>
        <w:rPr>
          <w:rFonts w:hint="eastAsia"/>
          <w:color w:val="auto"/>
          <w:highlight w:val="none"/>
          <w:lang w:val="en-US" w:eastAsia="zh-CN"/>
        </w:rPr>
        <w:t>2</w:t>
      </w:r>
      <w:r>
        <w:rPr>
          <w:rFonts w:hint="eastAsia"/>
          <w:color w:val="auto"/>
          <w:highlight w:val="none"/>
        </w:rPr>
        <w:t>0%；C≤0.22%、Si≤0.35%、Mn≤1.40%、P≤0.035%、S≤0.035%；</w:t>
      </w:r>
      <w:bookmarkStart w:id="6" w:name="OLE_LINK5"/>
      <w:r>
        <w:rPr>
          <w:rFonts w:hint="eastAsia"/>
          <w:color w:val="auto"/>
          <w:highlight w:val="none"/>
        </w:rPr>
        <w:t>中性盐雾试验</w:t>
      </w:r>
      <w:r>
        <w:rPr>
          <w:rFonts w:hint="eastAsia"/>
          <w:color w:val="auto"/>
          <w:highlight w:val="none"/>
          <w:lang w:val="en-US" w:eastAsia="zh-CN"/>
        </w:rPr>
        <w:t>100</w:t>
      </w:r>
      <w:r>
        <w:rPr>
          <w:rFonts w:hint="eastAsia"/>
          <w:color w:val="auto"/>
          <w:highlight w:val="none"/>
        </w:rPr>
        <w:t>h：保护评级RP10级，外观评级RA10级、乙酸盐雾试验</w:t>
      </w:r>
      <w:r>
        <w:rPr>
          <w:rFonts w:hint="eastAsia"/>
          <w:color w:val="auto"/>
          <w:highlight w:val="none"/>
          <w:lang w:val="en-US" w:eastAsia="zh-CN"/>
        </w:rPr>
        <w:t>100</w:t>
      </w:r>
      <w:r>
        <w:rPr>
          <w:rFonts w:hint="eastAsia"/>
          <w:color w:val="auto"/>
          <w:highlight w:val="none"/>
        </w:rPr>
        <w:t>h：保护评级RP10级，外观评级RA10级</w:t>
      </w:r>
      <w:bookmarkEnd w:id="6"/>
      <w:r>
        <w:rPr>
          <w:rFonts w:hint="eastAsia"/>
          <w:color w:val="auto"/>
          <w:highlight w:val="none"/>
        </w:rPr>
        <w:t>，弯曲试验：180°弯曲试验后，试样弯曲处的外面和侧面无目视可见的开裂；反向冲击：冲击高度</w:t>
      </w:r>
      <w:r>
        <w:rPr>
          <w:rFonts w:hint="eastAsia"/>
          <w:color w:val="auto"/>
          <w:highlight w:val="none"/>
          <w:lang w:val="en-US" w:eastAsia="zh-CN"/>
        </w:rPr>
        <w:t>≥</w:t>
      </w:r>
      <w:r>
        <w:rPr>
          <w:rFonts w:hint="eastAsia"/>
          <w:color w:val="auto"/>
          <w:highlight w:val="none"/>
        </w:rPr>
        <w:t>50cm，无脱落，无开裂；耐有机溶剂：擦拭</w:t>
      </w:r>
      <w:r>
        <w:rPr>
          <w:rFonts w:hint="eastAsia"/>
          <w:color w:val="auto"/>
          <w:highlight w:val="none"/>
          <w:lang w:val="en-US" w:eastAsia="zh-CN"/>
        </w:rPr>
        <w:t>≥</w:t>
      </w:r>
      <w:r>
        <w:rPr>
          <w:rFonts w:hint="eastAsia"/>
          <w:color w:val="auto"/>
          <w:highlight w:val="none"/>
        </w:rPr>
        <w:t>30次无露底；耐磨性：</w:t>
      </w:r>
      <w:r>
        <w:rPr>
          <w:rFonts w:hint="eastAsia"/>
          <w:color w:val="auto"/>
          <w:highlight w:val="none"/>
          <w:lang w:val="en-US" w:eastAsia="zh-CN"/>
        </w:rPr>
        <w:t>转数≥</w:t>
      </w:r>
      <w:r>
        <w:rPr>
          <w:rFonts w:hint="eastAsia"/>
          <w:color w:val="auto"/>
          <w:highlight w:val="none"/>
        </w:rPr>
        <w:t>500r，失重≤50mg；耐划伤：</w:t>
      </w:r>
      <w:r>
        <w:rPr>
          <w:rFonts w:hint="eastAsia"/>
          <w:color w:val="auto"/>
          <w:highlight w:val="none"/>
          <w:lang w:val="en-US" w:eastAsia="zh-CN"/>
        </w:rPr>
        <w:t>≥</w:t>
      </w:r>
      <w:r>
        <w:rPr>
          <w:rFonts w:hint="eastAsia"/>
          <w:color w:val="auto"/>
          <w:highlight w:val="none"/>
        </w:rPr>
        <w:t>500g，未划破涂层至基板；耐水浸泡</w:t>
      </w:r>
      <w:r>
        <w:rPr>
          <w:rFonts w:hint="eastAsia"/>
          <w:color w:val="auto"/>
          <w:highlight w:val="none"/>
          <w:lang w:val="en-US" w:eastAsia="zh-CN"/>
        </w:rPr>
        <w:t>≥</w:t>
      </w:r>
      <w:r>
        <w:rPr>
          <w:rFonts w:hint="eastAsia"/>
          <w:color w:val="auto"/>
          <w:highlight w:val="none"/>
        </w:rPr>
        <w:t>48h：无气泡、无开裂、无脱落、无失光、无变色；耐酸碱：试样表面无明显腐蚀现象；</w:t>
      </w:r>
      <w:bookmarkStart w:id="7" w:name="OLE_LINK9"/>
      <w:r>
        <w:rPr>
          <w:rFonts w:hint="eastAsia"/>
          <w:color w:val="auto"/>
          <w:highlight w:val="none"/>
        </w:rPr>
        <w:t>耐炭黑污染试验：目视无色差；</w:t>
      </w:r>
      <w:bookmarkEnd w:id="7"/>
      <w:r>
        <w:rPr>
          <w:rFonts w:hint="eastAsia"/>
          <w:color w:val="auto"/>
          <w:highlight w:val="none"/>
        </w:rPr>
        <w:t>耐湿热：冷凝湿热法，无生锈、起泡、变色、开裂或其他破坏现象；非金属夹杂物（AT≤0.5，AH≤0.5，BT≤0.5 ，BH≤0.5 ，CT ≤0.5，CH≤0.5 ，DT ≤0.5，DH ≤0.5，DS≤0.5），所有检测项目均合格。</w:t>
      </w:r>
    </w:p>
    <w:p w14:paraId="3EBD7973">
      <w:pPr>
        <w:numPr>
          <w:ilvl w:val="0"/>
          <w:numId w:val="13"/>
        </w:numPr>
        <w:spacing w:line="360" w:lineRule="auto"/>
        <w:rPr>
          <w:rFonts w:hint="eastAsia"/>
          <w:color w:val="auto"/>
          <w:highlight w:val="none"/>
        </w:rPr>
      </w:pPr>
      <w:r>
        <w:rPr>
          <w:rFonts w:hint="eastAsia"/>
          <w:b/>
          <w:bCs/>
          <w:color w:val="auto"/>
          <w:highlight w:val="none"/>
        </w:rPr>
        <w:t>塑粉</w:t>
      </w:r>
      <w:r>
        <w:rPr>
          <w:rFonts w:hint="eastAsia"/>
          <w:color w:val="auto"/>
          <w:highlight w:val="none"/>
        </w:rPr>
        <w:t>：符合</w:t>
      </w:r>
      <w:bookmarkStart w:id="8" w:name="OLE_LINK4"/>
      <w:r>
        <w:rPr>
          <w:rFonts w:hint="eastAsia"/>
          <w:color w:val="auto"/>
          <w:highlight w:val="none"/>
        </w:rPr>
        <w:t>HG/T 2006-2022</w:t>
      </w:r>
      <w:bookmarkEnd w:id="8"/>
      <w:r>
        <w:rPr>
          <w:rFonts w:hint="eastAsia"/>
          <w:color w:val="auto"/>
          <w:highlight w:val="none"/>
        </w:rPr>
        <w:t>、GB/T23991-2009、GB/T35602-2017、GB/T 21866-2025、</w:t>
      </w:r>
      <w:r>
        <w:rPr>
          <w:color w:val="auto"/>
          <w:highlight w:val="none"/>
        </w:rPr>
        <w:t>GB</w:t>
      </w:r>
      <w:r>
        <w:rPr>
          <w:rFonts w:hint="eastAsia"/>
          <w:color w:val="auto"/>
          <w:highlight w:val="none"/>
        </w:rPr>
        <w:t xml:space="preserve">/T </w:t>
      </w:r>
      <w:r>
        <w:rPr>
          <w:color w:val="auto"/>
          <w:highlight w:val="none"/>
        </w:rPr>
        <w:t>36021-2018</w:t>
      </w:r>
      <w:r>
        <w:rPr>
          <w:rFonts w:hint="eastAsia"/>
          <w:color w:val="auto"/>
          <w:highlight w:val="none"/>
        </w:rPr>
        <w:t>。其中，附着力（干附着力），≤1级；铅笔硬度（内聚破坏中擦伤）</w:t>
      </w:r>
      <w:bookmarkStart w:id="9" w:name="OLE_LINK16"/>
      <w:r>
        <w:rPr>
          <w:rFonts w:hint="eastAsia"/>
          <w:color w:val="auto"/>
          <w:highlight w:val="none"/>
        </w:rPr>
        <w:t>≥</w:t>
      </w:r>
      <w:bookmarkEnd w:id="9"/>
      <w:r>
        <w:rPr>
          <w:rFonts w:hint="eastAsia"/>
          <w:color w:val="auto"/>
          <w:highlight w:val="none"/>
        </w:rPr>
        <w:t>H；耐盐雾性（中性盐雾）：</w:t>
      </w:r>
      <w:r>
        <w:rPr>
          <w:rFonts w:hint="eastAsia"/>
          <w:color w:val="auto"/>
          <w:highlight w:val="none"/>
          <w:lang w:val="en-US" w:eastAsia="zh-CN"/>
        </w:rPr>
        <w:t>100</w:t>
      </w:r>
      <w:r>
        <w:rPr>
          <w:rFonts w:hint="eastAsia"/>
          <w:color w:val="auto"/>
          <w:highlight w:val="none"/>
        </w:rPr>
        <w:t>h，划痕处：单向锈蚀≤2.0mm，未划痕区：无异常；</w:t>
      </w:r>
      <w:bookmarkStart w:id="10" w:name="OLE_LINK13"/>
      <w:r>
        <w:rPr>
          <w:rFonts w:hint="eastAsia"/>
          <w:color w:val="auto"/>
          <w:highlight w:val="none"/>
        </w:rPr>
        <w:t>耐人工气候老化性</w:t>
      </w:r>
      <w:bookmarkEnd w:id="10"/>
      <w:r>
        <w:rPr>
          <w:rFonts w:hint="eastAsia"/>
          <w:color w:val="auto"/>
          <w:highlight w:val="none"/>
        </w:rPr>
        <w:t>：</w:t>
      </w:r>
      <w:r>
        <w:rPr>
          <w:rFonts w:hint="eastAsia"/>
          <w:color w:val="auto"/>
          <w:highlight w:val="none"/>
          <w:lang w:val="en-US" w:eastAsia="zh-CN"/>
        </w:rPr>
        <w:t>100</w:t>
      </w:r>
      <w:r>
        <w:rPr>
          <w:rFonts w:hint="eastAsia"/>
          <w:color w:val="auto"/>
          <w:highlight w:val="none"/>
        </w:rPr>
        <w:t>h，变色≤2级，失光≤2级，无粉化、起泡、开裂、剥落等异常现象；耐碱性[5%（质量分数）氢氧化钠溶液]（室内用）168h无异常；筛余物（125</w:t>
      </w:r>
      <w:r>
        <w:rPr>
          <w:rFonts w:hint="eastAsia" w:ascii="宋体" w:hAnsi="宋体"/>
          <w:color w:val="auto"/>
          <w:highlight w:val="none"/>
        </w:rPr>
        <w:t>μ</w:t>
      </w:r>
      <w:r>
        <w:rPr>
          <w:rFonts w:hint="eastAsia"/>
          <w:color w:val="auto"/>
          <w:highlight w:val="none"/>
        </w:rPr>
        <w:t>m）全部通过；涂膜外观正常、弯曲试验≤4mm、耐磨、耐冲击性（正向冲击）≥50m，无裂纹、皱纹及剥落；重金属含量：铅、镉、六价铬、汞</w:t>
      </w:r>
      <w:r>
        <w:rPr>
          <w:rFonts w:hint="eastAsia"/>
          <w:color w:val="auto"/>
          <w:highlight w:val="none"/>
          <w:lang w:val="en-US" w:eastAsia="zh-CN"/>
        </w:rPr>
        <w:t>未检出</w:t>
      </w:r>
      <w:r>
        <w:rPr>
          <w:rFonts w:hint="eastAsia"/>
          <w:color w:val="auto"/>
          <w:highlight w:val="none"/>
        </w:rPr>
        <w:t>；</w:t>
      </w:r>
      <w:bookmarkStart w:id="11" w:name="OLE_LINK17"/>
      <w:r>
        <w:rPr>
          <w:rFonts w:hint="eastAsia"/>
          <w:color w:val="auto"/>
          <w:highlight w:val="none"/>
        </w:rPr>
        <w:t>可溶性重金属（铬、锑、砷、钡、硒）含量均未检出</w:t>
      </w:r>
      <w:bookmarkEnd w:id="11"/>
      <w:r>
        <w:rPr>
          <w:rFonts w:hint="eastAsia"/>
          <w:color w:val="auto"/>
          <w:highlight w:val="none"/>
        </w:rPr>
        <w:t>；金黄色葡萄球菌或大肠埃希湿菌或洋葱伯克霍尔德氏菌等常见菌，抗细菌率≥99%。</w:t>
      </w:r>
    </w:p>
    <w:p w14:paraId="6DADEA97">
      <w:pPr>
        <w:numPr>
          <w:ilvl w:val="0"/>
          <w:numId w:val="13"/>
        </w:numPr>
        <w:spacing w:line="360" w:lineRule="auto"/>
        <w:rPr>
          <w:rFonts w:hint="eastAsia"/>
          <w:color w:val="auto"/>
          <w:highlight w:val="none"/>
        </w:rPr>
      </w:pPr>
      <w:r>
        <w:rPr>
          <w:rFonts w:hint="eastAsia"/>
          <w:b/>
          <w:bCs/>
          <w:color w:val="auto"/>
          <w:highlight w:val="none"/>
        </w:rPr>
        <w:t>钢管</w:t>
      </w:r>
      <w:r>
        <w:rPr>
          <w:rFonts w:hint="eastAsia"/>
          <w:color w:val="auto"/>
          <w:highlight w:val="none"/>
        </w:rPr>
        <w:t>：符合GB/T 228.1-2021、GB/T 4336-2016、GB/T3325-2024、GB/T10125-2021、GB/T13448-2019</w:t>
      </w:r>
      <w:r>
        <w:rPr>
          <w:rFonts w:hint="eastAsia"/>
          <w:color w:val="auto"/>
          <w:highlight w:val="none"/>
          <w:lang w:eastAsia="zh-CN"/>
        </w:rPr>
        <w:t>。</w:t>
      </w:r>
      <w:r>
        <w:rPr>
          <w:rFonts w:hint="eastAsia"/>
          <w:color w:val="auto"/>
          <w:highlight w:val="none"/>
        </w:rPr>
        <w:t>其中下屈服强度≥235MPa、抗拉强度370-500MPa、断后伸长率≥</w:t>
      </w:r>
      <w:r>
        <w:rPr>
          <w:rFonts w:hint="eastAsia"/>
          <w:color w:val="auto"/>
          <w:highlight w:val="none"/>
          <w:lang w:val="en-US" w:eastAsia="zh-CN"/>
        </w:rPr>
        <w:t>2</w:t>
      </w:r>
      <w:r>
        <w:rPr>
          <w:rFonts w:hint="eastAsia"/>
          <w:color w:val="auto"/>
          <w:highlight w:val="none"/>
        </w:rPr>
        <w:t>0%</w:t>
      </w:r>
      <w:r>
        <w:rPr>
          <w:rFonts w:hint="eastAsia"/>
          <w:color w:val="auto"/>
          <w:highlight w:val="none"/>
          <w:lang w:eastAsia="zh-CN"/>
        </w:rPr>
        <w:t>；</w:t>
      </w:r>
      <w:r>
        <w:rPr>
          <w:rFonts w:hint="eastAsia"/>
          <w:color w:val="auto"/>
          <w:highlight w:val="none"/>
        </w:rPr>
        <w:t>C≤0.22%、Si≤0.35%、Mn≤1.40%、P≤0.035%、S≤0.035%</w:t>
      </w:r>
      <w:r>
        <w:rPr>
          <w:rFonts w:hint="eastAsia"/>
          <w:color w:val="auto"/>
          <w:highlight w:val="none"/>
          <w:lang w:eastAsia="zh-CN"/>
        </w:rPr>
        <w:t>；</w:t>
      </w:r>
      <w:r>
        <w:rPr>
          <w:rFonts w:hint="eastAsia"/>
          <w:color w:val="auto"/>
          <w:highlight w:val="none"/>
        </w:rPr>
        <w:t>外观金属件喷漆（塑）涂层：应无漏喷、锈蚀、脱色、掉色等，应光滑均匀，色泽一致，应无流挂、疙瘩、皱皮、飞漆等</w:t>
      </w:r>
      <w:r>
        <w:rPr>
          <w:rFonts w:hint="eastAsia"/>
          <w:color w:val="auto"/>
          <w:highlight w:val="none"/>
          <w:lang w:eastAsia="zh-CN"/>
        </w:rPr>
        <w:t>；</w:t>
      </w:r>
      <w:r>
        <w:rPr>
          <w:rFonts w:hint="eastAsia"/>
          <w:color w:val="auto"/>
          <w:highlight w:val="none"/>
        </w:rPr>
        <w:t>金属喷漆（塑）涂层-硬度：铅笔硬度H</w:t>
      </w:r>
      <w:r>
        <w:rPr>
          <w:rFonts w:hint="eastAsia"/>
          <w:color w:val="auto"/>
          <w:highlight w:val="none"/>
          <w:lang w:eastAsia="zh-CN"/>
        </w:rPr>
        <w:t>；</w:t>
      </w:r>
      <w:r>
        <w:rPr>
          <w:rFonts w:hint="eastAsia"/>
          <w:color w:val="auto"/>
          <w:highlight w:val="none"/>
        </w:rPr>
        <w:t>应无塑性变形和/或内聚破坏</w:t>
      </w:r>
      <w:r>
        <w:rPr>
          <w:rFonts w:hint="eastAsia"/>
          <w:color w:val="auto"/>
          <w:highlight w:val="none"/>
          <w:lang w:eastAsia="zh-CN"/>
        </w:rPr>
        <w:t>；</w:t>
      </w:r>
      <w:r>
        <w:rPr>
          <w:rFonts w:hint="eastAsia"/>
          <w:color w:val="auto"/>
          <w:highlight w:val="none"/>
        </w:rPr>
        <w:t>冲击强度：冲击高度400mm，应无剥落、裂纹、皱纹</w:t>
      </w:r>
      <w:r>
        <w:rPr>
          <w:rFonts w:hint="eastAsia"/>
          <w:color w:val="auto"/>
          <w:highlight w:val="none"/>
          <w:lang w:eastAsia="zh-CN"/>
        </w:rPr>
        <w:t>；</w:t>
      </w:r>
      <w:r>
        <w:rPr>
          <w:rFonts w:hint="eastAsia"/>
          <w:color w:val="auto"/>
          <w:highlight w:val="none"/>
        </w:rPr>
        <w:t>耐盐浴：划道两侧3mm外，应无鼓泡、锈蚀、剥落和起皱等现象</w:t>
      </w:r>
      <w:r>
        <w:rPr>
          <w:rFonts w:hint="eastAsia"/>
          <w:color w:val="auto"/>
          <w:highlight w:val="none"/>
          <w:lang w:eastAsia="zh-CN"/>
        </w:rPr>
        <w:t>；</w:t>
      </w:r>
      <w:r>
        <w:rPr>
          <w:rFonts w:hint="eastAsia"/>
          <w:color w:val="auto"/>
          <w:highlight w:val="none"/>
        </w:rPr>
        <w:t>附着力：2级或优于2级；中性盐雾试验</w:t>
      </w:r>
      <w:r>
        <w:rPr>
          <w:rFonts w:hint="eastAsia"/>
          <w:color w:val="auto"/>
          <w:highlight w:val="none"/>
          <w:lang w:val="en-US" w:eastAsia="zh-CN"/>
        </w:rPr>
        <w:t>100</w:t>
      </w:r>
      <w:r>
        <w:rPr>
          <w:rFonts w:hint="eastAsia"/>
          <w:color w:val="auto"/>
          <w:highlight w:val="none"/>
        </w:rPr>
        <w:t>h：保护评级RP10级，外观评级RA10级、乙酸盐雾试验</w:t>
      </w:r>
      <w:r>
        <w:rPr>
          <w:rFonts w:hint="eastAsia"/>
          <w:color w:val="auto"/>
          <w:highlight w:val="none"/>
          <w:lang w:val="en-US" w:eastAsia="zh-CN"/>
        </w:rPr>
        <w:t>100</w:t>
      </w:r>
      <w:r>
        <w:rPr>
          <w:rFonts w:hint="eastAsia"/>
          <w:color w:val="auto"/>
          <w:highlight w:val="none"/>
        </w:rPr>
        <w:t>h：保护评级RP10级，外观评级RA10级；弯曲试验：180°弯曲试验后，试样弯曲处的外面和侧面无目视可见的开裂</w:t>
      </w:r>
      <w:r>
        <w:rPr>
          <w:rFonts w:hint="eastAsia"/>
          <w:color w:val="auto"/>
          <w:highlight w:val="none"/>
          <w:lang w:eastAsia="zh-CN"/>
        </w:rPr>
        <w:t>；</w:t>
      </w:r>
      <w:r>
        <w:rPr>
          <w:rFonts w:hint="eastAsia"/>
          <w:color w:val="auto"/>
          <w:highlight w:val="none"/>
        </w:rPr>
        <w:t>反向冲击：冲击高度</w:t>
      </w:r>
      <w:r>
        <w:rPr>
          <w:rFonts w:hint="eastAsia"/>
          <w:color w:val="auto"/>
          <w:highlight w:val="none"/>
          <w:lang w:val="en-US" w:eastAsia="zh-CN"/>
        </w:rPr>
        <w:t>≥</w:t>
      </w:r>
      <w:r>
        <w:rPr>
          <w:rFonts w:hint="eastAsia"/>
          <w:color w:val="auto"/>
          <w:highlight w:val="none"/>
        </w:rPr>
        <w:t>50cm，无脱落，无开裂；耐有机溶剂：擦拭</w:t>
      </w:r>
      <w:r>
        <w:rPr>
          <w:rFonts w:hint="eastAsia"/>
          <w:color w:val="auto"/>
          <w:highlight w:val="none"/>
          <w:lang w:val="en-US" w:eastAsia="zh-CN"/>
        </w:rPr>
        <w:t>≥</w:t>
      </w:r>
      <w:r>
        <w:rPr>
          <w:rFonts w:hint="eastAsia"/>
          <w:color w:val="auto"/>
          <w:highlight w:val="none"/>
        </w:rPr>
        <w:t>30次无露底；耐磨性：</w:t>
      </w:r>
      <w:r>
        <w:rPr>
          <w:rFonts w:hint="eastAsia"/>
          <w:color w:val="auto"/>
          <w:highlight w:val="none"/>
          <w:lang w:val="en-US" w:eastAsia="zh-CN"/>
        </w:rPr>
        <w:t>转数≥</w:t>
      </w:r>
      <w:r>
        <w:rPr>
          <w:rFonts w:hint="eastAsia"/>
          <w:color w:val="auto"/>
          <w:highlight w:val="none"/>
        </w:rPr>
        <w:t>500r，失重≤50mg；耐划伤：500g，未划破涂层至基板；耐水浸泡48h：无气泡、无开裂、无脱落、无失光、无变色；耐酸碱：试样表面无明显腐蚀现象；耐炭黑污染试验：目视无色差；耐湿热：冷凝湿热法，无生锈、起泡、变色、开裂或其他破坏现象；非金属夹杂物（AT≤0.5，AH≤0.5，BT≤0.5 ，BH≤0.5 ，CT ≤0.5，CH≤0.5 ，DT ≤0.5，DH ≤0.5，DS≤0.5），所有检测项目均合格。</w:t>
      </w:r>
    </w:p>
    <w:p w14:paraId="49B60E33">
      <w:pPr>
        <w:numPr>
          <w:ilvl w:val="0"/>
          <w:numId w:val="13"/>
        </w:numPr>
        <w:spacing w:line="360" w:lineRule="auto"/>
        <w:jc w:val="left"/>
        <w:rPr>
          <w:rFonts w:hint="eastAsia" w:ascii="宋体" w:hAnsi="宋体"/>
          <w:color w:val="auto"/>
          <w:szCs w:val="24"/>
          <w:highlight w:val="none"/>
        </w:rPr>
      </w:pPr>
      <w:r>
        <w:rPr>
          <w:rFonts w:hint="eastAsia" w:ascii="宋体" w:hAnsi="宋体"/>
          <w:b/>
          <w:bCs/>
          <w:color w:val="auto"/>
          <w:szCs w:val="24"/>
          <w:highlight w:val="none"/>
        </w:rPr>
        <w:t>海绵：</w:t>
      </w:r>
      <w:r>
        <w:rPr>
          <w:rFonts w:hint="eastAsia" w:ascii="宋体" w:hAnsi="宋体"/>
          <w:color w:val="auto"/>
          <w:szCs w:val="24"/>
          <w:highlight w:val="none"/>
        </w:rPr>
        <w:t>符合GB/T 10802-2023、QB/T 2280-2016、GB 17927-2024</w:t>
      </w:r>
      <w:r>
        <w:rPr>
          <w:rFonts w:hint="eastAsia" w:ascii="宋体" w:hAnsi="宋体"/>
          <w:color w:val="auto"/>
          <w:szCs w:val="24"/>
          <w:highlight w:val="none"/>
          <w:lang w:eastAsia="zh-CN"/>
        </w:rPr>
        <w:t>。</w:t>
      </w:r>
      <w:r>
        <w:rPr>
          <w:rFonts w:hint="eastAsia" w:ascii="宋体" w:hAnsi="宋体"/>
          <w:color w:val="auto"/>
          <w:szCs w:val="24"/>
          <w:highlight w:val="none"/>
        </w:rPr>
        <w:t>其中回弹率≥50%，75</w:t>
      </w:r>
      <w:r>
        <w:rPr>
          <w:rFonts w:hint="eastAsia" w:ascii="宋体" w:hAnsi="宋体"/>
          <w:color w:val="auto"/>
          <w:szCs w:val="24"/>
          <w:highlight w:val="none"/>
          <w:lang w:val="en-US" w:eastAsia="zh-CN"/>
        </w:rPr>
        <w:t>%</w:t>
      </w:r>
      <w:r>
        <w:rPr>
          <w:rFonts w:hint="eastAsia" w:ascii="宋体" w:hAnsi="宋体"/>
          <w:color w:val="auto"/>
          <w:szCs w:val="24"/>
          <w:highlight w:val="none"/>
        </w:rPr>
        <w:t>压缩永久变形≤4%，拉伸强度≥160kPa，甲醛释放量未检出，阻燃等级</w:t>
      </w:r>
      <w:r>
        <w:rPr>
          <w:rFonts w:hint="eastAsia" w:ascii="宋体" w:hAnsi="宋体"/>
          <w:color w:val="auto"/>
          <w:szCs w:val="24"/>
          <w:highlight w:val="none"/>
          <w:lang w:val="en-US" w:eastAsia="zh-CN"/>
        </w:rPr>
        <w:t>≥</w:t>
      </w:r>
      <w:r>
        <w:rPr>
          <w:rFonts w:hint="eastAsia" w:ascii="宋体" w:hAnsi="宋体"/>
          <w:color w:val="auto"/>
          <w:szCs w:val="24"/>
          <w:highlight w:val="none"/>
        </w:rPr>
        <w:t>Ⅰ，所有检测项目均合格。</w:t>
      </w:r>
    </w:p>
    <w:p w14:paraId="764D3723">
      <w:pPr>
        <w:numPr>
          <w:ilvl w:val="0"/>
          <w:numId w:val="13"/>
        </w:numPr>
        <w:spacing w:line="360" w:lineRule="auto"/>
        <w:jc w:val="left"/>
        <w:rPr>
          <w:rFonts w:hint="eastAsia" w:ascii="宋体" w:hAnsi="宋体"/>
          <w:color w:val="auto"/>
          <w:szCs w:val="24"/>
          <w:highlight w:val="none"/>
        </w:rPr>
      </w:pPr>
      <w:r>
        <w:rPr>
          <w:rFonts w:hint="eastAsia" w:ascii="宋体" w:hAnsi="宋体"/>
          <w:color w:val="auto"/>
          <w:szCs w:val="24"/>
          <w:highlight w:val="none"/>
        </w:rPr>
        <w:t>胶粘剂：符合GB18583-2008、GB 33372-2020、GB/T 32448-2015</w:t>
      </w:r>
      <w:r>
        <w:rPr>
          <w:rFonts w:hint="eastAsia" w:ascii="宋体" w:hAnsi="宋体"/>
          <w:color w:val="auto"/>
          <w:szCs w:val="24"/>
          <w:highlight w:val="none"/>
          <w:lang w:eastAsia="zh-CN"/>
        </w:rPr>
        <w:t>。</w:t>
      </w:r>
      <w:r>
        <w:rPr>
          <w:rFonts w:hint="eastAsia" w:ascii="宋体" w:hAnsi="宋体"/>
          <w:color w:val="auto"/>
          <w:szCs w:val="24"/>
          <w:highlight w:val="none"/>
        </w:rPr>
        <w:t>其中游离甲醛未检出、甲苯+二甲苯未检出、苯未检出、总挥发性有机物≤10g/L，可溶性重金属：铅、镉、铬、汞、锑、钡、砷、硒</w:t>
      </w:r>
      <w:r>
        <w:rPr>
          <w:rFonts w:hint="eastAsia" w:ascii="宋体" w:hAnsi="宋体"/>
          <w:color w:val="auto"/>
          <w:szCs w:val="24"/>
          <w:highlight w:val="none"/>
          <w:lang w:val="en-US" w:eastAsia="zh-CN"/>
        </w:rPr>
        <w:t>均未检出</w:t>
      </w:r>
      <w:r>
        <w:rPr>
          <w:rFonts w:hint="eastAsia" w:ascii="宋体" w:hAnsi="宋体"/>
          <w:color w:val="auto"/>
          <w:szCs w:val="24"/>
          <w:highlight w:val="none"/>
        </w:rPr>
        <w:t>，所有检测项目均合格。</w:t>
      </w:r>
    </w:p>
    <w:p w14:paraId="728947F1">
      <w:pPr>
        <w:numPr>
          <w:ilvl w:val="0"/>
          <w:numId w:val="13"/>
        </w:numPr>
        <w:spacing w:line="360" w:lineRule="auto"/>
        <w:jc w:val="left"/>
        <w:rPr>
          <w:rFonts w:hint="eastAsia" w:ascii="宋体" w:hAnsi="宋体"/>
          <w:color w:val="auto"/>
          <w:szCs w:val="24"/>
          <w:highlight w:val="none"/>
        </w:rPr>
      </w:pPr>
      <w:r>
        <w:rPr>
          <w:rFonts w:hint="eastAsia" w:ascii="宋体" w:hAnsi="宋体"/>
          <w:color w:val="auto"/>
          <w:szCs w:val="24"/>
          <w:highlight w:val="none"/>
        </w:rPr>
        <w:t>实木颗粒板：符合GB/T 44689-2024、GB/T 39600-2021、GB/T 40908-2021、GB/T 40493-2021、，</w:t>
      </w:r>
      <w:r>
        <w:rPr>
          <w:rFonts w:hint="eastAsia" w:ascii="宋体" w:hAnsi="宋体"/>
          <w:color w:val="auto"/>
          <w:szCs w:val="24"/>
          <w:highlight w:val="none"/>
          <w:lang w:eastAsia="zh-CN"/>
        </w:rPr>
        <w:t>金黄色葡萄球菌、大肠杆菌、普通变形杆菌、</w:t>
      </w:r>
      <w:r>
        <w:rPr>
          <w:rFonts w:hint="eastAsia" w:ascii="宋体" w:hAnsi="宋体"/>
          <w:color w:val="auto"/>
          <w:szCs w:val="24"/>
          <w:highlight w:val="none"/>
        </w:rPr>
        <w:t>普通变形杆菌</w:t>
      </w:r>
      <w:r>
        <w:rPr>
          <w:rFonts w:hint="eastAsia" w:ascii="宋体" w:hAnsi="宋体"/>
          <w:color w:val="auto"/>
          <w:szCs w:val="24"/>
          <w:highlight w:val="none"/>
          <w:lang w:val="en-US" w:eastAsia="zh-CN"/>
        </w:rPr>
        <w:t>等常见菌种</w:t>
      </w:r>
      <w:r>
        <w:rPr>
          <w:rFonts w:hint="eastAsia" w:ascii="宋体" w:hAnsi="宋体"/>
          <w:color w:val="auto"/>
          <w:szCs w:val="24"/>
          <w:highlight w:val="none"/>
        </w:rPr>
        <w:t>，抗菌率≥99%，气味等级0级</w:t>
      </w:r>
      <w:r>
        <w:rPr>
          <w:rFonts w:hint="eastAsia" w:ascii="宋体" w:hAnsi="宋体"/>
          <w:color w:val="auto"/>
          <w:szCs w:val="24"/>
          <w:highlight w:val="none"/>
          <w:lang w:eastAsia="zh-CN"/>
        </w:rPr>
        <w:t>；</w:t>
      </w:r>
      <w:r>
        <w:rPr>
          <w:rFonts w:hint="eastAsia" w:ascii="宋体" w:hAnsi="宋体"/>
          <w:color w:val="auto"/>
          <w:szCs w:val="24"/>
          <w:highlight w:val="none"/>
        </w:rPr>
        <w:t>甲醛释放量（气候箱法）ENF级</w:t>
      </w:r>
      <w:r>
        <w:rPr>
          <w:rFonts w:hint="eastAsia" w:ascii="宋体" w:hAnsi="宋体"/>
          <w:color w:val="auto"/>
          <w:szCs w:val="24"/>
          <w:highlight w:val="none"/>
          <w:lang w:eastAsia="zh-CN"/>
        </w:rPr>
        <w:t>；</w:t>
      </w:r>
      <w:r>
        <w:rPr>
          <w:rFonts w:hint="eastAsia" w:ascii="宋体" w:hAnsi="宋体"/>
          <w:color w:val="auto"/>
          <w:szCs w:val="24"/>
          <w:highlight w:val="none"/>
        </w:rPr>
        <w:t>有机磷阻燃剂未检出</w:t>
      </w:r>
      <w:r>
        <w:rPr>
          <w:rFonts w:hint="eastAsia" w:ascii="宋体" w:hAnsi="宋体"/>
          <w:color w:val="auto"/>
          <w:szCs w:val="24"/>
          <w:highlight w:val="none"/>
          <w:lang w:eastAsia="zh-CN"/>
        </w:rPr>
        <w:t>；</w:t>
      </w:r>
      <w:r>
        <w:rPr>
          <w:rFonts w:hint="eastAsia" w:ascii="宋体" w:hAnsi="宋体"/>
          <w:color w:val="auto"/>
          <w:szCs w:val="24"/>
          <w:highlight w:val="none"/>
        </w:rPr>
        <w:t>重金属元素含量：铅、镉、铬、汞均未检出，所有检测项目均合格。</w:t>
      </w:r>
      <w:bookmarkStart w:id="12" w:name="_GoBack"/>
      <w:bookmarkEnd w:id="12"/>
    </w:p>
    <w:p w14:paraId="29709F79">
      <w:pPr>
        <w:pStyle w:val="12"/>
        <w:widowControl/>
        <w:numPr>
          <w:ilvl w:val="0"/>
          <w:numId w:val="14"/>
        </w:numPr>
        <w:rPr>
          <w:rFonts w:hint="eastAsia" w:ascii="宋体" w:hAnsi="宋体" w:cs="宋体"/>
          <w:color w:val="auto"/>
          <w:highlight w:val="none"/>
        </w:rPr>
      </w:pPr>
      <w:r>
        <w:rPr>
          <w:color w:val="auto"/>
          <w:highlight w:val="none"/>
        </w:rPr>
        <w:t>上述原材料要求如与</w:t>
      </w:r>
      <w:r>
        <w:rPr>
          <w:b/>
          <w:bCs/>
          <w:color w:val="auto"/>
          <w:highlight w:val="none"/>
        </w:rPr>
        <w:t>“三、采购品目分类、参考样式、规格、基本组成、质量标准等要求”不一致，以上述要求为准，</w:t>
      </w:r>
      <w:r>
        <w:rPr>
          <w:color w:val="auto"/>
          <w:highlight w:val="none"/>
        </w:rPr>
        <w:t>检测报告原件备查</w:t>
      </w:r>
      <w:r>
        <w:rPr>
          <w:rFonts w:hint="eastAsia"/>
          <w:color w:val="auto"/>
          <w:highlight w:val="none"/>
          <w:lang w:eastAsia="zh-CN"/>
        </w:rPr>
        <w:t>。</w:t>
      </w:r>
    </w:p>
    <w:p w14:paraId="60A2B009">
      <w:pPr>
        <w:pStyle w:val="12"/>
        <w:widowControl/>
        <w:numPr>
          <w:ilvl w:val="0"/>
          <w:numId w:val="14"/>
        </w:numPr>
        <w:rPr>
          <w:rFonts w:hint="eastAsia" w:ascii="宋体" w:hAnsi="宋体" w:cs="宋体"/>
          <w:color w:val="auto"/>
          <w:highlight w:val="none"/>
        </w:rPr>
      </w:pPr>
      <w:r>
        <w:rPr>
          <w:color w:val="auto"/>
          <w:highlight w:val="none"/>
        </w:rPr>
        <w:t>针对不同叫法的同一原材料、成品，其检测报告均予认可（如名称不一致，需注明需求中对应的原材料名称）。</w:t>
      </w:r>
    </w:p>
    <w:p w14:paraId="5C482342">
      <w:pPr>
        <w:pStyle w:val="12"/>
        <w:widowControl/>
        <w:numPr>
          <w:ilvl w:val="0"/>
          <w:numId w:val="14"/>
        </w:numPr>
        <w:rPr>
          <w:rFonts w:hint="eastAsia" w:ascii="宋体" w:hAnsi="宋体" w:cs="宋体"/>
          <w:color w:val="auto"/>
          <w:highlight w:val="none"/>
        </w:rPr>
      </w:pPr>
      <w:r>
        <w:rPr>
          <w:color w:val="auto"/>
          <w:highlight w:val="none"/>
        </w:rPr>
        <w:t>检测报告上的委托单位(受检单位)名称必</w:t>
      </w:r>
      <w:r>
        <w:rPr>
          <w:rFonts w:hint="eastAsia"/>
          <w:color w:val="auto"/>
          <w:highlight w:val="none"/>
          <w:lang w:eastAsia="zh-CN"/>
        </w:rPr>
        <w:t>需</w:t>
      </w:r>
      <w:r>
        <w:rPr>
          <w:color w:val="auto"/>
          <w:highlight w:val="none"/>
        </w:rPr>
        <w:t>与投标人或投标产品的生产厂家或原材料生产厂家一致。检测报告需带有CMA标识，报告签发时间不早于202</w:t>
      </w:r>
      <w:r>
        <w:rPr>
          <w:rFonts w:hint="eastAsia"/>
          <w:color w:val="auto"/>
          <w:highlight w:val="none"/>
          <w:lang w:val="en-US" w:eastAsia="zh-CN"/>
        </w:rPr>
        <w:t>5</w:t>
      </w:r>
      <w:r>
        <w:rPr>
          <w:color w:val="auto"/>
          <w:highlight w:val="none"/>
        </w:rPr>
        <w:t>年</w:t>
      </w:r>
      <w:r>
        <w:rPr>
          <w:rFonts w:hint="eastAsia"/>
          <w:color w:val="auto"/>
          <w:highlight w:val="none"/>
          <w:lang w:val="en-US" w:eastAsia="zh-CN"/>
        </w:rPr>
        <w:t>4</w:t>
      </w:r>
      <w:r>
        <w:rPr>
          <w:color w:val="auto"/>
          <w:highlight w:val="none"/>
        </w:rPr>
        <w:t>月1日。</w:t>
      </w:r>
    </w:p>
    <w:p w14:paraId="567D7A96">
      <w:pPr>
        <w:pStyle w:val="12"/>
        <w:widowControl/>
        <w:numPr>
          <w:ilvl w:val="0"/>
          <w:numId w:val="14"/>
        </w:numPr>
        <w:rPr>
          <w:rFonts w:hint="eastAsia" w:ascii="宋体" w:hAnsi="宋体" w:cs="宋体"/>
          <w:color w:val="auto"/>
          <w:highlight w:val="none"/>
        </w:rPr>
      </w:pPr>
      <w:r>
        <w:rPr>
          <w:color w:val="auto"/>
          <w:highlight w:val="none"/>
        </w:rPr>
        <w:t>投标人需提供承诺函，承诺货物生产过程中，拟投入的原材料不低于上述检测报告结果，未提供承诺函及相应检测报告者不得分。</w:t>
      </w:r>
    </w:p>
    <w:p w14:paraId="26D49DA4">
      <w:pPr>
        <w:pStyle w:val="3"/>
        <w:rPr>
          <w:color w:val="auto"/>
          <w:highlight w:val="none"/>
        </w:rPr>
      </w:pPr>
      <w:r>
        <w:rPr>
          <w:color w:val="auto"/>
          <w:highlight w:val="none"/>
        </w:rPr>
        <w:t>颜色要求</w:t>
      </w:r>
    </w:p>
    <w:p w14:paraId="45B06B8D">
      <w:pPr>
        <w:pStyle w:val="12"/>
        <w:widowControl/>
        <w:rPr>
          <w:rFonts w:hint="eastAsia" w:eastAsia="宋体"/>
          <w:color w:val="auto"/>
          <w:highlight w:val="none"/>
          <w:lang w:eastAsia="zh-CN"/>
        </w:rPr>
      </w:pPr>
      <w:r>
        <w:rPr>
          <w:color w:val="auto"/>
          <w:highlight w:val="none"/>
        </w:rPr>
        <w:t>家具颜色应与建筑内装饰风格相适应，以木纹色和暖白色为主，主体颜色投标时暂按以下要求考虑，中标后具体颜色</w:t>
      </w:r>
      <w:r>
        <w:rPr>
          <w:rFonts w:hint="eastAsia"/>
          <w:color w:val="auto"/>
          <w:highlight w:val="none"/>
          <w:lang w:eastAsia="zh-CN"/>
        </w:rPr>
        <w:t>需</w:t>
      </w:r>
      <w:r>
        <w:rPr>
          <w:color w:val="auto"/>
          <w:highlight w:val="none"/>
        </w:rPr>
        <w:t>待采购人明确后方可下单制作。（请投标人注意，中标后价格不因具体颜色的调整而改变，报价时应综合考虑该因素）</w:t>
      </w:r>
      <w:r>
        <w:rPr>
          <w:rFonts w:hint="eastAsia"/>
          <w:color w:val="auto"/>
          <w:highlight w:val="none"/>
          <w:lang w:eastAsia="zh-CN"/>
        </w:rPr>
        <w:t>。</w:t>
      </w:r>
    </w:p>
    <w:p w14:paraId="1C1AEB4C">
      <w:pPr>
        <w:spacing w:line="360" w:lineRule="auto"/>
        <w:rPr>
          <w:rFonts w:hint="eastAsia" w:ascii="宋体" w:hAnsi="宋体" w:cs="宋体"/>
          <w:color w:val="auto"/>
          <w:szCs w:val="21"/>
          <w:highlight w:val="none"/>
        </w:rPr>
      </w:pPr>
    </w:p>
    <w:tbl>
      <w:tblPr>
        <w:tblStyle w:val="20"/>
        <w:tblW w:w="4999"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2686"/>
        <w:gridCol w:w="10559"/>
      </w:tblGrid>
      <w:tr w14:paraId="4ED00C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5" w:hRule="atLeast"/>
        </w:trPr>
        <w:tc>
          <w:tcPr>
            <w:tcW w:w="1014" w:type="pct"/>
          </w:tcPr>
          <w:p w14:paraId="4FC18BBD">
            <w:pPr>
              <w:pStyle w:val="12"/>
              <w:spacing w:before="0" w:after="120"/>
              <w:rPr>
                <w:b/>
                <w:bCs/>
                <w:color w:val="auto"/>
                <w:highlight w:val="none"/>
              </w:rPr>
            </w:pPr>
            <w:r>
              <w:rPr>
                <w:b/>
                <w:bCs/>
                <w:color w:val="auto"/>
                <w:highlight w:val="none"/>
              </w:rPr>
              <w:t>分类</w:t>
            </w:r>
          </w:p>
        </w:tc>
        <w:tc>
          <w:tcPr>
            <w:tcW w:w="3985" w:type="pct"/>
          </w:tcPr>
          <w:p w14:paraId="4F1AB64A">
            <w:pPr>
              <w:pStyle w:val="12"/>
              <w:spacing w:before="0" w:after="120"/>
              <w:rPr>
                <w:b/>
                <w:bCs/>
                <w:color w:val="auto"/>
                <w:highlight w:val="none"/>
              </w:rPr>
            </w:pPr>
            <w:r>
              <w:rPr>
                <w:b/>
                <w:bCs/>
                <w:color w:val="auto"/>
                <w:highlight w:val="none"/>
              </w:rPr>
              <w:t>主体颜色</w:t>
            </w:r>
          </w:p>
        </w:tc>
      </w:tr>
      <w:tr w14:paraId="79845D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3" w:hRule="atLeast"/>
        </w:trPr>
        <w:tc>
          <w:tcPr>
            <w:tcW w:w="1014" w:type="pct"/>
            <w:vAlign w:val="center"/>
          </w:tcPr>
          <w:p w14:paraId="1E7E44A2">
            <w:pPr>
              <w:pStyle w:val="12"/>
              <w:spacing w:before="0" w:after="120"/>
              <w:rPr>
                <w:color w:val="auto"/>
                <w:highlight w:val="none"/>
              </w:rPr>
            </w:pPr>
            <w:r>
              <w:rPr>
                <w:color w:val="auto"/>
                <w:highlight w:val="none"/>
              </w:rPr>
              <w:t>木制</w:t>
            </w:r>
          </w:p>
        </w:tc>
        <w:tc>
          <w:tcPr>
            <w:tcW w:w="3985" w:type="pct"/>
            <w:vAlign w:val="center"/>
          </w:tcPr>
          <w:p w14:paraId="6D1BB24C">
            <w:pPr>
              <w:pStyle w:val="12"/>
              <w:rPr>
                <w:color w:val="auto"/>
                <w:highlight w:val="none"/>
              </w:rPr>
            </w:pPr>
            <w:r>
              <w:rPr>
                <w:color w:val="auto"/>
                <w:highlight w:val="none"/>
              </w:rPr>
              <w:t>纹路：木皮保留天然纹路感。</w:t>
            </w:r>
          </w:p>
          <w:p w14:paraId="5A93F755">
            <w:pPr>
              <w:pStyle w:val="12"/>
              <w:spacing w:before="0" w:after="120"/>
              <w:rPr>
                <w:color w:val="auto"/>
                <w:highlight w:val="none"/>
              </w:rPr>
            </w:pPr>
            <w:r>
              <w:rPr>
                <w:color w:val="auto"/>
                <w:highlight w:val="none"/>
              </w:rPr>
              <w:t>颜色：木纹色</w:t>
            </w:r>
            <w:r>
              <w:rPr>
                <w:rFonts w:hint="eastAsia"/>
                <w:color w:val="auto"/>
                <w:highlight w:val="none"/>
              </w:rPr>
              <w:t>或按实际</w:t>
            </w:r>
            <w:r>
              <w:rPr>
                <w:color w:val="auto"/>
                <w:highlight w:val="none"/>
              </w:rPr>
              <w:t>需求</w:t>
            </w:r>
          </w:p>
        </w:tc>
      </w:tr>
      <w:tr w14:paraId="0597F2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1014" w:type="pct"/>
            <w:vAlign w:val="center"/>
          </w:tcPr>
          <w:p w14:paraId="65F4BDDB">
            <w:pPr>
              <w:pStyle w:val="12"/>
              <w:spacing w:before="0" w:after="120"/>
              <w:rPr>
                <w:color w:val="auto"/>
                <w:highlight w:val="none"/>
              </w:rPr>
            </w:pPr>
            <w:r>
              <w:rPr>
                <w:color w:val="auto"/>
                <w:highlight w:val="none"/>
              </w:rPr>
              <w:t>钢制</w:t>
            </w:r>
          </w:p>
        </w:tc>
        <w:tc>
          <w:tcPr>
            <w:tcW w:w="3985" w:type="pct"/>
            <w:vAlign w:val="center"/>
          </w:tcPr>
          <w:p w14:paraId="79246DDF">
            <w:pPr>
              <w:pStyle w:val="12"/>
              <w:spacing w:before="0" w:after="120"/>
              <w:rPr>
                <w:color w:val="auto"/>
                <w:highlight w:val="none"/>
              </w:rPr>
            </w:pPr>
            <w:r>
              <w:rPr>
                <w:color w:val="auto"/>
                <w:highlight w:val="none"/>
              </w:rPr>
              <w:t>颜色：砂纹白</w:t>
            </w:r>
            <w:r>
              <w:rPr>
                <w:rFonts w:hint="eastAsia"/>
                <w:color w:val="auto"/>
                <w:highlight w:val="none"/>
              </w:rPr>
              <w:t>或实际</w:t>
            </w:r>
            <w:r>
              <w:rPr>
                <w:color w:val="auto"/>
                <w:highlight w:val="none"/>
              </w:rPr>
              <w:t>需求</w:t>
            </w:r>
          </w:p>
        </w:tc>
      </w:tr>
      <w:tr w14:paraId="1EDD1D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014" w:type="pct"/>
            <w:vAlign w:val="center"/>
          </w:tcPr>
          <w:p w14:paraId="3148C1F0">
            <w:pPr>
              <w:pStyle w:val="12"/>
              <w:spacing w:before="0" w:after="120"/>
              <w:rPr>
                <w:color w:val="auto"/>
                <w:highlight w:val="none"/>
              </w:rPr>
            </w:pPr>
            <w:r>
              <w:rPr>
                <w:color w:val="auto"/>
                <w:highlight w:val="none"/>
              </w:rPr>
              <w:t>椅子</w:t>
            </w:r>
          </w:p>
        </w:tc>
        <w:tc>
          <w:tcPr>
            <w:tcW w:w="3985" w:type="pct"/>
            <w:vAlign w:val="center"/>
          </w:tcPr>
          <w:p w14:paraId="4F44D646">
            <w:pPr>
              <w:pStyle w:val="12"/>
              <w:spacing w:before="0" w:after="120"/>
              <w:rPr>
                <w:color w:val="auto"/>
                <w:highlight w:val="none"/>
              </w:rPr>
            </w:pPr>
            <w:r>
              <w:rPr>
                <w:color w:val="auto"/>
                <w:highlight w:val="none"/>
              </w:rPr>
              <w:t>颜色：</w:t>
            </w:r>
            <w:r>
              <w:rPr>
                <w:rFonts w:hint="eastAsia"/>
                <w:color w:val="auto"/>
                <w:highlight w:val="none"/>
              </w:rPr>
              <w:t>黑色或</w:t>
            </w:r>
            <w:r>
              <w:rPr>
                <w:color w:val="auto"/>
                <w:highlight w:val="none"/>
              </w:rPr>
              <w:t>按</w:t>
            </w:r>
            <w:r>
              <w:rPr>
                <w:rFonts w:hint="eastAsia"/>
                <w:color w:val="auto"/>
                <w:highlight w:val="none"/>
              </w:rPr>
              <w:t>实际</w:t>
            </w:r>
            <w:r>
              <w:rPr>
                <w:color w:val="auto"/>
                <w:highlight w:val="none"/>
              </w:rPr>
              <w:t>需求</w:t>
            </w:r>
          </w:p>
        </w:tc>
      </w:tr>
    </w:tbl>
    <w:p w14:paraId="23B67C08">
      <w:pPr>
        <w:pStyle w:val="3"/>
        <w:rPr>
          <w:color w:val="auto"/>
          <w:highlight w:val="none"/>
        </w:rPr>
      </w:pPr>
      <w:r>
        <w:rPr>
          <w:color w:val="auto"/>
          <w:highlight w:val="none"/>
        </w:rPr>
        <w:t>其他需求:</w:t>
      </w:r>
    </w:p>
    <w:p w14:paraId="1208529A">
      <w:pPr>
        <w:pStyle w:val="2"/>
        <w:numPr>
          <w:ilvl w:val="0"/>
          <w:numId w:val="0"/>
        </w:numPr>
        <w:ind w:leftChars="0"/>
        <w:rPr>
          <w:rFonts w:hint="eastAsia"/>
          <w:color w:val="auto"/>
          <w:sz w:val="24"/>
          <w:szCs w:val="36"/>
          <w:highlight w:val="none"/>
        </w:rPr>
      </w:pPr>
      <w:r>
        <w:rPr>
          <w:rFonts w:hint="eastAsia"/>
          <w:color w:val="auto"/>
          <w:sz w:val="24"/>
          <w:szCs w:val="36"/>
          <w:highlight w:val="none"/>
          <w:lang w:val="en-US" w:eastAsia="zh-CN"/>
        </w:rPr>
        <w:t>1.</w:t>
      </w:r>
      <w:r>
        <w:rPr>
          <w:color w:val="auto"/>
          <w:sz w:val="24"/>
          <w:szCs w:val="36"/>
          <w:highlight w:val="none"/>
        </w:rPr>
        <w:t>供货及验收</w:t>
      </w:r>
    </w:p>
    <w:tbl>
      <w:tblPr>
        <w:tblStyle w:val="20"/>
        <w:tblW w:w="4950" w:type="pct"/>
        <w:tblInd w:w="0" w:type="dxa"/>
        <w:tblLayout w:type="fixed"/>
        <w:tblCellMar>
          <w:top w:w="0" w:type="dxa"/>
          <w:left w:w="0" w:type="dxa"/>
          <w:bottom w:w="0" w:type="dxa"/>
          <w:right w:w="0" w:type="dxa"/>
        </w:tblCellMar>
      </w:tblPr>
      <w:tblGrid>
        <w:gridCol w:w="1515"/>
        <w:gridCol w:w="11601"/>
      </w:tblGrid>
      <w:tr w14:paraId="67F2A887">
        <w:tblPrEx>
          <w:tblCellMar>
            <w:top w:w="0" w:type="dxa"/>
            <w:left w:w="0" w:type="dxa"/>
            <w:bottom w:w="0" w:type="dxa"/>
            <w:right w:w="0" w:type="dxa"/>
          </w:tblCellMar>
        </w:tblPrEx>
        <w:trPr>
          <w:trHeight w:val="57" w:hRule="atLeast"/>
        </w:trPr>
        <w:tc>
          <w:tcPr>
            <w:tcW w:w="1107" w:type="dxa"/>
            <w:tcBorders>
              <w:top w:val="single" w:color="000000" w:sz="4" w:space="0"/>
              <w:left w:val="single" w:color="000000" w:sz="4" w:space="0"/>
              <w:bottom w:val="single" w:color="000000" w:sz="4" w:space="0"/>
              <w:right w:val="single" w:color="000000" w:sz="4" w:space="0"/>
            </w:tcBorders>
            <w:noWrap w:val="0"/>
            <w:vAlign w:val="top"/>
          </w:tcPr>
          <w:p w14:paraId="598B105F">
            <w:pPr>
              <w:jc w:val="center"/>
              <w:rPr>
                <w:b/>
                <w:bCs/>
                <w:color w:val="auto"/>
                <w:highlight w:val="none"/>
              </w:rPr>
            </w:pPr>
            <w:r>
              <w:rPr>
                <w:b/>
                <w:bCs/>
                <w:color w:val="auto"/>
                <w:highlight w:val="none"/>
              </w:rPr>
              <w:t>分类</w:t>
            </w:r>
          </w:p>
        </w:tc>
        <w:tc>
          <w:tcPr>
            <w:tcW w:w="8515" w:type="dxa"/>
            <w:tcBorders>
              <w:top w:val="single" w:color="000000" w:sz="4" w:space="0"/>
              <w:left w:val="single" w:color="000000" w:sz="4" w:space="0"/>
              <w:bottom w:val="single" w:color="000000" w:sz="4" w:space="0"/>
              <w:right w:val="single" w:color="000000" w:sz="4" w:space="0"/>
            </w:tcBorders>
            <w:noWrap w:val="0"/>
            <w:vAlign w:val="top"/>
          </w:tcPr>
          <w:p w14:paraId="0F596ADE">
            <w:pPr>
              <w:jc w:val="center"/>
              <w:rPr>
                <w:b/>
                <w:bCs/>
                <w:color w:val="auto"/>
                <w:highlight w:val="none"/>
              </w:rPr>
            </w:pPr>
            <w:r>
              <w:rPr>
                <w:b/>
                <w:bCs/>
                <w:color w:val="auto"/>
                <w:highlight w:val="none"/>
              </w:rPr>
              <w:t>内容</w:t>
            </w:r>
          </w:p>
        </w:tc>
      </w:tr>
      <w:tr w14:paraId="624CB7B8">
        <w:tblPrEx>
          <w:tblCellMar>
            <w:top w:w="0" w:type="dxa"/>
            <w:left w:w="0" w:type="dxa"/>
            <w:bottom w:w="0" w:type="dxa"/>
            <w:right w:w="0" w:type="dxa"/>
          </w:tblCellMar>
        </w:tblPrEx>
        <w:trPr>
          <w:trHeight w:val="57" w:hRule="atLeast"/>
        </w:trPr>
        <w:tc>
          <w:tcPr>
            <w:tcW w:w="1107" w:type="dxa"/>
            <w:tcBorders>
              <w:top w:val="single" w:color="000000" w:sz="4" w:space="0"/>
              <w:left w:val="single" w:color="000000" w:sz="4" w:space="0"/>
              <w:bottom w:val="single" w:color="000000" w:sz="4" w:space="0"/>
              <w:right w:val="single" w:color="000000" w:sz="4" w:space="0"/>
            </w:tcBorders>
            <w:noWrap w:val="0"/>
            <w:vAlign w:val="center"/>
          </w:tcPr>
          <w:p w14:paraId="25E18D06">
            <w:pPr>
              <w:rPr>
                <w:color w:val="auto"/>
                <w:highlight w:val="none"/>
              </w:rPr>
            </w:pPr>
            <w:r>
              <w:rPr>
                <w:color w:val="auto"/>
                <w:highlight w:val="none"/>
              </w:rPr>
              <w:t>供货要求</w:t>
            </w:r>
          </w:p>
        </w:tc>
        <w:tc>
          <w:tcPr>
            <w:tcW w:w="8515" w:type="dxa"/>
            <w:tcBorders>
              <w:top w:val="single" w:color="000000" w:sz="4" w:space="0"/>
              <w:left w:val="single" w:color="000000" w:sz="4" w:space="0"/>
              <w:bottom w:val="single" w:color="000000" w:sz="4" w:space="0"/>
              <w:right w:val="single" w:color="000000" w:sz="4" w:space="0"/>
            </w:tcBorders>
            <w:noWrap w:val="0"/>
            <w:vAlign w:val="top"/>
          </w:tcPr>
          <w:p w14:paraId="54944670">
            <w:pPr>
              <w:rPr>
                <w:rFonts w:hint="default" w:eastAsia="宋体"/>
                <w:color w:val="auto"/>
                <w:highlight w:val="none"/>
                <w:lang w:val="en-US" w:eastAsia="zh-CN"/>
              </w:rPr>
            </w:pPr>
            <w:r>
              <w:rPr>
                <w:color w:val="auto"/>
                <w:highlight w:val="none"/>
              </w:rPr>
              <w:t>供应商应当在合同签订</w:t>
            </w:r>
            <w:r>
              <w:rPr>
                <w:rFonts w:hint="eastAsia"/>
                <w:color w:val="auto"/>
                <w:highlight w:val="none"/>
                <w:lang w:val="en-US" w:eastAsia="zh-CN"/>
              </w:rPr>
              <w:t>日至2026年</w:t>
            </w:r>
            <w:r>
              <w:rPr>
                <w:rFonts w:hint="eastAsia"/>
                <w:b/>
                <w:bCs/>
                <w:color w:val="auto"/>
                <w:highlight w:val="none"/>
                <w:lang w:val="en-US" w:eastAsia="zh-CN"/>
              </w:rPr>
              <w:t>9月20日前完成</w:t>
            </w:r>
            <w:r>
              <w:rPr>
                <w:color w:val="auto"/>
                <w:highlight w:val="none"/>
              </w:rPr>
              <w:t>供货</w:t>
            </w:r>
            <w:r>
              <w:rPr>
                <w:rFonts w:hint="eastAsia"/>
                <w:color w:val="auto"/>
                <w:highlight w:val="none"/>
                <w:lang w:eastAsia="zh-CN"/>
              </w:rPr>
              <w:t>、</w:t>
            </w:r>
            <w:r>
              <w:rPr>
                <w:color w:val="auto"/>
                <w:highlight w:val="none"/>
              </w:rPr>
              <w:t>安装</w:t>
            </w:r>
            <w:r>
              <w:rPr>
                <w:rFonts w:hint="eastAsia"/>
                <w:color w:val="auto"/>
                <w:highlight w:val="none"/>
                <w:lang w:val="en-US" w:eastAsia="zh-CN"/>
              </w:rPr>
              <w:t>及验收</w:t>
            </w:r>
            <w:r>
              <w:rPr>
                <w:color w:val="auto"/>
                <w:highlight w:val="none"/>
              </w:rPr>
              <w:t>。供应商所提供的货物应符合国家相关质量标准；货物名称、型号规格、数量、颜色、外观等符合采购人要求，不得有损毁或损坏。</w:t>
            </w:r>
            <w:r>
              <w:rPr>
                <w:rFonts w:hint="eastAsia"/>
                <w:color w:val="auto"/>
                <w:highlight w:val="none"/>
                <w:lang w:val="en-US" w:eastAsia="zh-CN"/>
              </w:rPr>
              <w:t>安装地址为上海海洋大学指定地点。</w:t>
            </w:r>
          </w:p>
        </w:tc>
      </w:tr>
      <w:tr w14:paraId="407BCF19">
        <w:tblPrEx>
          <w:tblCellMar>
            <w:top w:w="0" w:type="dxa"/>
            <w:left w:w="0" w:type="dxa"/>
            <w:bottom w:w="0" w:type="dxa"/>
            <w:right w:w="0" w:type="dxa"/>
          </w:tblCellMar>
        </w:tblPrEx>
        <w:trPr>
          <w:trHeight w:val="57" w:hRule="atLeast"/>
        </w:trPr>
        <w:tc>
          <w:tcPr>
            <w:tcW w:w="1107" w:type="dxa"/>
            <w:tcBorders>
              <w:top w:val="single" w:color="000000" w:sz="4" w:space="0"/>
              <w:left w:val="single" w:color="000000" w:sz="4" w:space="0"/>
              <w:bottom w:val="single" w:color="000000" w:sz="4" w:space="0"/>
              <w:right w:val="single" w:color="000000" w:sz="4" w:space="0"/>
            </w:tcBorders>
            <w:noWrap w:val="0"/>
            <w:vAlign w:val="center"/>
          </w:tcPr>
          <w:p w14:paraId="49433264">
            <w:pPr>
              <w:rPr>
                <w:color w:val="auto"/>
                <w:highlight w:val="none"/>
              </w:rPr>
            </w:pPr>
            <w:r>
              <w:rPr>
                <w:color w:val="auto"/>
                <w:highlight w:val="none"/>
              </w:rPr>
              <w:t>包装要求</w:t>
            </w:r>
          </w:p>
        </w:tc>
        <w:tc>
          <w:tcPr>
            <w:tcW w:w="8515" w:type="dxa"/>
            <w:tcBorders>
              <w:top w:val="single" w:color="000000" w:sz="4" w:space="0"/>
              <w:left w:val="single" w:color="000000" w:sz="4" w:space="0"/>
              <w:bottom w:val="single" w:color="000000" w:sz="4" w:space="0"/>
              <w:right w:val="single" w:color="000000" w:sz="4" w:space="0"/>
            </w:tcBorders>
            <w:noWrap w:val="0"/>
            <w:vAlign w:val="top"/>
          </w:tcPr>
          <w:p w14:paraId="3063513B">
            <w:pPr>
              <w:rPr>
                <w:color w:val="auto"/>
                <w:highlight w:val="none"/>
              </w:rPr>
            </w:pPr>
            <w:r>
              <w:rPr>
                <w:color w:val="auto"/>
                <w:highlight w:val="none"/>
              </w:rPr>
              <w:t>采购中如涉及商品包装和快递包装的，其包装需求标准应不低于《关于印发&lt;商品包装政府采购需求标准(试行)&gt;、&lt;快递包装政府采购需求标准(试行)&gt;的通知》(财办库〔2020〕123号)规定的包装要求。采购人、供应商双方签订合同及验收环节，应包含上述包装要求的条款。</w:t>
            </w:r>
          </w:p>
        </w:tc>
      </w:tr>
      <w:tr w14:paraId="08B23152">
        <w:tblPrEx>
          <w:tblCellMar>
            <w:top w:w="0" w:type="dxa"/>
            <w:left w:w="0" w:type="dxa"/>
            <w:bottom w:w="0" w:type="dxa"/>
            <w:right w:w="0" w:type="dxa"/>
          </w:tblCellMar>
        </w:tblPrEx>
        <w:trPr>
          <w:trHeight w:val="57" w:hRule="atLeast"/>
        </w:trPr>
        <w:tc>
          <w:tcPr>
            <w:tcW w:w="1107" w:type="dxa"/>
            <w:tcBorders>
              <w:top w:val="single" w:color="000000" w:sz="4" w:space="0"/>
              <w:left w:val="single" w:color="000000" w:sz="4" w:space="0"/>
              <w:bottom w:val="single" w:color="000000" w:sz="4" w:space="0"/>
              <w:right w:val="single" w:color="000000" w:sz="4" w:space="0"/>
            </w:tcBorders>
            <w:noWrap w:val="0"/>
            <w:vAlign w:val="center"/>
          </w:tcPr>
          <w:p w14:paraId="15ECB69C">
            <w:pPr>
              <w:rPr>
                <w:color w:val="auto"/>
                <w:highlight w:val="none"/>
              </w:rPr>
            </w:pPr>
            <w:r>
              <w:rPr>
                <w:color w:val="auto"/>
                <w:highlight w:val="none"/>
              </w:rPr>
              <w:t>验收要求</w:t>
            </w:r>
          </w:p>
        </w:tc>
        <w:tc>
          <w:tcPr>
            <w:tcW w:w="8515" w:type="dxa"/>
            <w:tcBorders>
              <w:top w:val="single" w:color="000000" w:sz="4" w:space="0"/>
              <w:left w:val="single" w:color="000000" w:sz="4" w:space="0"/>
              <w:bottom w:val="single" w:color="000000" w:sz="4" w:space="0"/>
              <w:right w:val="single" w:color="000000" w:sz="4" w:space="0"/>
            </w:tcBorders>
            <w:noWrap w:val="0"/>
            <w:vAlign w:val="top"/>
          </w:tcPr>
          <w:p w14:paraId="662D7ED1">
            <w:pPr>
              <w:rPr>
                <w:color w:val="auto"/>
                <w:highlight w:val="none"/>
              </w:rPr>
            </w:pPr>
            <w:r>
              <w:rPr>
                <w:color w:val="auto"/>
                <w:highlight w:val="none"/>
              </w:rPr>
              <w:t>办公家具安装、调试后，由供、需双方按照合同约定对家具进行验收。验收包括清点型号、数量、检查外观等，供应商应当提供家具清单(各类家具分项开立并标注详细数量)、原产地证明、具出厂日期证明、家具环保证明等文件。</w:t>
            </w:r>
          </w:p>
        </w:tc>
      </w:tr>
      <w:tr w14:paraId="56222CA4">
        <w:tblPrEx>
          <w:tblCellMar>
            <w:top w:w="0" w:type="dxa"/>
            <w:left w:w="0" w:type="dxa"/>
            <w:bottom w:w="0" w:type="dxa"/>
            <w:right w:w="0" w:type="dxa"/>
          </w:tblCellMar>
        </w:tblPrEx>
        <w:trPr>
          <w:trHeight w:val="57" w:hRule="atLeast"/>
        </w:trPr>
        <w:tc>
          <w:tcPr>
            <w:tcW w:w="1107" w:type="dxa"/>
            <w:tcBorders>
              <w:top w:val="single" w:color="000000" w:sz="4" w:space="0"/>
              <w:left w:val="single" w:color="000000" w:sz="4" w:space="0"/>
              <w:bottom w:val="single" w:color="000000" w:sz="4" w:space="0"/>
              <w:right w:val="single" w:color="000000" w:sz="4" w:space="0"/>
            </w:tcBorders>
            <w:noWrap w:val="0"/>
            <w:vAlign w:val="center"/>
          </w:tcPr>
          <w:p w14:paraId="3E118519">
            <w:pPr>
              <w:rPr>
                <w:rFonts w:hint="eastAsia" w:eastAsia="宋体"/>
                <w:color w:val="auto"/>
                <w:highlight w:val="none"/>
                <w:lang w:eastAsia="zh-CN"/>
              </w:rPr>
            </w:pPr>
            <w:r>
              <w:rPr>
                <w:rFonts w:hint="eastAsia"/>
                <w:color w:val="auto"/>
                <w:highlight w:val="none"/>
                <w:lang w:eastAsia="zh-CN"/>
              </w:rPr>
              <w:t>环保要求</w:t>
            </w:r>
          </w:p>
        </w:tc>
        <w:tc>
          <w:tcPr>
            <w:tcW w:w="8515" w:type="dxa"/>
            <w:tcBorders>
              <w:top w:val="single" w:color="000000" w:sz="4" w:space="0"/>
              <w:left w:val="single" w:color="000000" w:sz="4" w:space="0"/>
              <w:bottom w:val="single" w:color="000000" w:sz="4" w:space="0"/>
              <w:right w:val="single" w:color="000000" w:sz="4" w:space="0"/>
            </w:tcBorders>
            <w:noWrap w:val="0"/>
            <w:vAlign w:val="top"/>
          </w:tcPr>
          <w:p w14:paraId="3F0C1F04">
            <w:pPr>
              <w:rPr>
                <w:rFonts w:hint="eastAsia" w:eastAsia="宋体"/>
                <w:color w:val="auto"/>
                <w:highlight w:val="none"/>
                <w:lang w:eastAsia="zh-CN"/>
              </w:rPr>
            </w:pPr>
            <w:r>
              <w:rPr>
                <w:rFonts w:hint="eastAsia"/>
                <w:color w:val="auto"/>
                <w:highlight w:val="none"/>
              </w:rPr>
              <w:t>所投产品具有环境标志产品认证，含人造板类家具、钢木家具、金属家具、软体家具单元</w:t>
            </w:r>
            <w:r>
              <w:rPr>
                <w:rFonts w:hint="eastAsia"/>
                <w:color w:val="auto"/>
                <w:highlight w:val="none"/>
                <w:lang w:eastAsia="zh-CN"/>
              </w:rPr>
              <w:t>的优先考虑</w:t>
            </w:r>
          </w:p>
        </w:tc>
      </w:tr>
      <w:tr w14:paraId="6D5B1762">
        <w:tblPrEx>
          <w:tblCellMar>
            <w:top w:w="0" w:type="dxa"/>
            <w:left w:w="0" w:type="dxa"/>
            <w:bottom w:w="0" w:type="dxa"/>
            <w:right w:w="0" w:type="dxa"/>
          </w:tblCellMar>
        </w:tblPrEx>
        <w:trPr>
          <w:trHeight w:val="57" w:hRule="atLeast"/>
        </w:trPr>
        <w:tc>
          <w:tcPr>
            <w:tcW w:w="1107" w:type="dxa"/>
            <w:tcBorders>
              <w:top w:val="single" w:color="000000" w:sz="4" w:space="0"/>
              <w:left w:val="single" w:color="000000" w:sz="4" w:space="0"/>
              <w:bottom w:val="single" w:color="000000" w:sz="4" w:space="0"/>
              <w:right w:val="single" w:color="000000" w:sz="4" w:space="0"/>
            </w:tcBorders>
            <w:noWrap w:val="0"/>
            <w:vAlign w:val="center"/>
          </w:tcPr>
          <w:p w14:paraId="062D3653">
            <w:pPr>
              <w:rPr>
                <w:color w:val="auto"/>
                <w:highlight w:val="none"/>
              </w:rPr>
            </w:pPr>
            <w:r>
              <w:rPr>
                <w:color w:val="auto"/>
                <w:highlight w:val="none"/>
              </w:rPr>
              <w:t>检测要求</w:t>
            </w:r>
          </w:p>
        </w:tc>
        <w:tc>
          <w:tcPr>
            <w:tcW w:w="8515" w:type="dxa"/>
            <w:tcBorders>
              <w:top w:val="single" w:color="000000" w:sz="4" w:space="0"/>
              <w:left w:val="single" w:color="000000" w:sz="4" w:space="0"/>
              <w:bottom w:val="single" w:color="000000" w:sz="4" w:space="0"/>
              <w:right w:val="single" w:color="000000" w:sz="4" w:space="0"/>
            </w:tcBorders>
            <w:noWrap w:val="0"/>
            <w:vAlign w:val="top"/>
          </w:tcPr>
          <w:p w14:paraId="300C2FCC">
            <w:pPr>
              <w:rPr>
                <w:color w:val="auto"/>
                <w:highlight w:val="none"/>
              </w:rPr>
            </w:pPr>
            <w:r>
              <w:rPr>
                <w:color w:val="auto"/>
                <w:highlight w:val="none"/>
              </w:rPr>
              <w:t>过程检测</w:t>
            </w:r>
          </w:p>
          <w:p w14:paraId="00EA0C0D">
            <w:pPr>
              <w:rPr>
                <w:color w:val="auto"/>
                <w:highlight w:val="none"/>
              </w:rPr>
            </w:pPr>
            <w:r>
              <w:rPr>
                <w:color w:val="auto"/>
                <w:highlight w:val="none"/>
              </w:rPr>
              <w:t>中标供应商原材料采购完成后，需委托第三方机构进行抽样检测</w:t>
            </w:r>
            <w:r>
              <w:rPr>
                <w:rFonts w:hint="eastAsia"/>
                <w:color w:val="auto"/>
                <w:highlight w:val="none"/>
                <w:lang w:eastAsia="zh-CN"/>
              </w:rPr>
              <w:t>（</w:t>
            </w:r>
            <w:r>
              <w:rPr>
                <w:rFonts w:hint="eastAsia"/>
                <w:color w:val="auto"/>
                <w:highlight w:val="none"/>
                <w:lang w:val="en-US" w:eastAsia="zh-CN"/>
              </w:rPr>
              <w:t>如需</w:t>
            </w:r>
            <w:r>
              <w:rPr>
                <w:rFonts w:hint="eastAsia"/>
                <w:color w:val="auto"/>
                <w:highlight w:val="none"/>
                <w:lang w:eastAsia="zh-CN"/>
              </w:rPr>
              <w:t>）</w:t>
            </w:r>
            <w:r>
              <w:rPr>
                <w:color w:val="auto"/>
                <w:highlight w:val="none"/>
              </w:rPr>
              <w:t>，检测要求见《四、材料要求》，检测数量不超过</w:t>
            </w:r>
            <w:r>
              <w:rPr>
                <w:rFonts w:eastAsia="Times New Roman"/>
                <w:color w:val="auto"/>
                <w:highlight w:val="none"/>
              </w:rPr>
              <w:t xml:space="preserve"> </w:t>
            </w:r>
            <w:r>
              <w:rPr>
                <w:color w:val="auto"/>
                <w:highlight w:val="none"/>
              </w:rPr>
              <w:t>50 件。检测费用由中标供应商承担。如检测不合格，中标供应商</w:t>
            </w:r>
            <w:r>
              <w:rPr>
                <w:rFonts w:hint="eastAsia"/>
                <w:color w:val="auto"/>
                <w:highlight w:val="none"/>
                <w:lang w:eastAsia="zh-CN"/>
              </w:rPr>
              <w:t>需</w:t>
            </w:r>
            <w:r>
              <w:rPr>
                <w:color w:val="auto"/>
                <w:highlight w:val="none"/>
              </w:rPr>
              <w:t>按照合同约定的违约责任整改至合格并承担相应的违约责任。</w:t>
            </w:r>
          </w:p>
          <w:p w14:paraId="2829C96E">
            <w:pPr>
              <w:rPr>
                <w:color w:val="auto"/>
                <w:highlight w:val="none"/>
              </w:rPr>
            </w:pPr>
            <w:r>
              <w:rPr>
                <w:color w:val="auto"/>
                <w:highlight w:val="none"/>
              </w:rPr>
              <w:t>2.验收检测</w:t>
            </w:r>
          </w:p>
          <w:p w14:paraId="73B2D197">
            <w:pPr>
              <w:rPr>
                <w:color w:val="auto"/>
                <w:highlight w:val="none"/>
              </w:rPr>
            </w:pPr>
            <w:r>
              <w:rPr>
                <w:color w:val="auto"/>
                <w:highlight w:val="none"/>
              </w:rPr>
              <w:t>正式验收前，中标供应商委托第三方机构对家具有害物质释放和环保进行抽样检测</w:t>
            </w:r>
            <w:r>
              <w:rPr>
                <w:rFonts w:hint="eastAsia"/>
                <w:color w:val="auto"/>
                <w:highlight w:val="none"/>
                <w:lang w:eastAsia="zh-CN"/>
              </w:rPr>
              <w:t>（</w:t>
            </w:r>
            <w:r>
              <w:rPr>
                <w:rFonts w:hint="eastAsia"/>
                <w:color w:val="auto"/>
                <w:highlight w:val="none"/>
                <w:lang w:val="en-US" w:eastAsia="zh-CN"/>
              </w:rPr>
              <w:t>如需</w:t>
            </w:r>
            <w:r>
              <w:rPr>
                <w:rFonts w:hint="eastAsia"/>
                <w:color w:val="auto"/>
                <w:highlight w:val="none"/>
                <w:lang w:eastAsia="zh-CN"/>
              </w:rPr>
              <w:t>）</w:t>
            </w:r>
            <w:r>
              <w:rPr>
                <w:color w:val="auto"/>
                <w:highlight w:val="none"/>
              </w:rPr>
              <w:t>，根据强制标准进行全项检测，检测数量不超过</w:t>
            </w:r>
            <w:r>
              <w:rPr>
                <w:rFonts w:eastAsia="Times New Roman"/>
                <w:color w:val="auto"/>
                <w:highlight w:val="none"/>
              </w:rPr>
              <w:t xml:space="preserve"> </w:t>
            </w:r>
            <w:r>
              <w:rPr>
                <w:rFonts w:hint="eastAsia"/>
                <w:color w:val="auto"/>
                <w:highlight w:val="none"/>
                <w:lang w:val="en-US" w:eastAsia="zh-CN"/>
              </w:rPr>
              <w:t>20</w:t>
            </w:r>
            <w:r>
              <w:rPr>
                <w:color w:val="auto"/>
                <w:highlight w:val="none"/>
              </w:rPr>
              <w:t>件。检测费用由中标供应商承担。如检测不合格，中标供应商</w:t>
            </w:r>
            <w:r>
              <w:rPr>
                <w:rFonts w:hint="eastAsia"/>
                <w:color w:val="auto"/>
                <w:highlight w:val="none"/>
                <w:lang w:eastAsia="zh-CN"/>
              </w:rPr>
              <w:t>需</w:t>
            </w:r>
            <w:r>
              <w:rPr>
                <w:color w:val="auto"/>
                <w:highlight w:val="none"/>
              </w:rPr>
              <w:t>按照合同约定的违约责任整改至合格并承担相应的违约责任。</w:t>
            </w:r>
          </w:p>
          <w:p w14:paraId="4B96E90D">
            <w:pPr>
              <w:rPr>
                <w:color w:val="auto"/>
                <w:highlight w:val="none"/>
              </w:rPr>
            </w:pPr>
          </w:p>
        </w:tc>
      </w:tr>
    </w:tbl>
    <w:p w14:paraId="2212FFF6">
      <w:pPr>
        <w:pStyle w:val="2"/>
        <w:numPr>
          <w:ilvl w:val="0"/>
          <w:numId w:val="0"/>
        </w:numPr>
        <w:ind w:leftChars="0"/>
        <w:rPr>
          <w:rFonts w:hint="eastAsia"/>
          <w:color w:val="auto"/>
          <w:sz w:val="24"/>
          <w:szCs w:val="36"/>
          <w:highlight w:val="none"/>
          <w:lang w:val="en-US" w:eastAsia="zh-CN"/>
        </w:rPr>
      </w:pPr>
      <w:r>
        <w:rPr>
          <w:rFonts w:hint="eastAsia"/>
          <w:color w:val="auto"/>
          <w:sz w:val="24"/>
          <w:szCs w:val="36"/>
          <w:highlight w:val="none"/>
          <w:lang w:val="en-US" w:eastAsia="zh-CN"/>
        </w:rPr>
        <w:t>2.其他要求</w:t>
      </w:r>
    </w:p>
    <w:tbl>
      <w:tblPr>
        <w:tblStyle w:val="20"/>
        <w:tblW w:w="4950" w:type="pct"/>
        <w:tblInd w:w="0" w:type="dxa"/>
        <w:tblLayout w:type="fixed"/>
        <w:tblCellMar>
          <w:top w:w="0" w:type="dxa"/>
          <w:left w:w="0" w:type="dxa"/>
          <w:bottom w:w="0" w:type="dxa"/>
          <w:right w:w="0" w:type="dxa"/>
        </w:tblCellMar>
      </w:tblPr>
      <w:tblGrid>
        <w:gridCol w:w="1515"/>
        <w:gridCol w:w="11601"/>
      </w:tblGrid>
      <w:tr w14:paraId="68DE7C32">
        <w:tblPrEx>
          <w:tblCellMar>
            <w:top w:w="0" w:type="dxa"/>
            <w:left w:w="0" w:type="dxa"/>
            <w:bottom w:w="0" w:type="dxa"/>
            <w:right w:w="0" w:type="dxa"/>
          </w:tblCellMar>
        </w:tblPrEx>
        <w:trPr>
          <w:trHeight w:val="306" w:hRule="atLeast"/>
          <w:tblHeader/>
        </w:trPr>
        <w:tc>
          <w:tcPr>
            <w:tcW w:w="1107" w:type="dxa"/>
            <w:tcBorders>
              <w:top w:val="single" w:color="000000" w:sz="4" w:space="0"/>
              <w:left w:val="single" w:color="000000" w:sz="4" w:space="0"/>
              <w:bottom w:val="single" w:color="000000" w:sz="4" w:space="0"/>
              <w:right w:val="single" w:color="000000" w:sz="4" w:space="0"/>
            </w:tcBorders>
            <w:noWrap w:val="0"/>
            <w:vAlign w:val="top"/>
          </w:tcPr>
          <w:p w14:paraId="5463DB27">
            <w:pPr>
              <w:jc w:val="center"/>
              <w:rPr>
                <w:b/>
                <w:bCs/>
                <w:color w:val="auto"/>
                <w:highlight w:val="none"/>
              </w:rPr>
            </w:pPr>
            <w:r>
              <w:rPr>
                <w:b/>
                <w:bCs/>
                <w:color w:val="auto"/>
                <w:highlight w:val="none"/>
              </w:rPr>
              <w:t>分类</w:t>
            </w:r>
          </w:p>
        </w:tc>
        <w:tc>
          <w:tcPr>
            <w:tcW w:w="8515" w:type="dxa"/>
            <w:tcBorders>
              <w:top w:val="single" w:color="000000" w:sz="4" w:space="0"/>
              <w:left w:val="single" w:color="000000" w:sz="4" w:space="0"/>
              <w:bottom w:val="single" w:color="000000" w:sz="4" w:space="0"/>
              <w:right w:val="single" w:color="000000" w:sz="4" w:space="0"/>
            </w:tcBorders>
            <w:noWrap w:val="0"/>
            <w:vAlign w:val="center"/>
          </w:tcPr>
          <w:p w14:paraId="4CAAB306">
            <w:pPr>
              <w:jc w:val="left"/>
              <w:rPr>
                <w:b/>
                <w:bCs/>
                <w:color w:val="auto"/>
                <w:highlight w:val="none"/>
              </w:rPr>
            </w:pPr>
            <w:r>
              <w:rPr>
                <w:b/>
                <w:bCs/>
                <w:color w:val="auto"/>
                <w:highlight w:val="none"/>
              </w:rPr>
              <w:t>内容</w:t>
            </w:r>
          </w:p>
        </w:tc>
      </w:tr>
      <w:tr w14:paraId="460C8F08">
        <w:tblPrEx>
          <w:tblCellMar>
            <w:top w:w="0" w:type="dxa"/>
            <w:left w:w="0" w:type="dxa"/>
            <w:bottom w:w="0" w:type="dxa"/>
            <w:right w:w="0" w:type="dxa"/>
          </w:tblCellMar>
        </w:tblPrEx>
        <w:trPr>
          <w:trHeight w:val="1666" w:hRule="atLeast"/>
        </w:trPr>
        <w:tc>
          <w:tcPr>
            <w:tcW w:w="1107" w:type="dxa"/>
            <w:tcBorders>
              <w:top w:val="single" w:color="000000" w:sz="4" w:space="0"/>
              <w:left w:val="single" w:color="000000" w:sz="4" w:space="0"/>
              <w:bottom w:val="single" w:color="000000" w:sz="4" w:space="0"/>
              <w:right w:val="single" w:color="000000" w:sz="4" w:space="0"/>
            </w:tcBorders>
            <w:noWrap w:val="0"/>
            <w:vAlign w:val="center"/>
          </w:tcPr>
          <w:p w14:paraId="58AD8732">
            <w:pPr>
              <w:rPr>
                <w:color w:val="auto"/>
                <w:highlight w:val="none"/>
              </w:rPr>
            </w:pPr>
            <w:r>
              <w:rPr>
                <w:color w:val="auto"/>
                <w:highlight w:val="none"/>
              </w:rPr>
              <w:t>保修服务</w:t>
            </w:r>
          </w:p>
        </w:tc>
        <w:tc>
          <w:tcPr>
            <w:tcW w:w="8515" w:type="dxa"/>
            <w:tcBorders>
              <w:top w:val="single" w:color="000000" w:sz="4" w:space="0"/>
              <w:left w:val="single" w:color="000000" w:sz="4" w:space="0"/>
              <w:bottom w:val="single" w:color="000000" w:sz="4" w:space="0"/>
              <w:right w:val="single" w:color="000000" w:sz="4" w:space="0"/>
            </w:tcBorders>
            <w:noWrap w:val="0"/>
            <w:vAlign w:val="center"/>
          </w:tcPr>
          <w:p w14:paraId="74C29CEA">
            <w:pPr>
              <w:jc w:val="left"/>
              <w:rPr>
                <w:color w:val="auto"/>
                <w:highlight w:val="none"/>
              </w:rPr>
            </w:pPr>
            <w:r>
              <w:rPr>
                <w:color w:val="auto"/>
                <w:highlight w:val="none"/>
              </w:rPr>
              <w:t>供应商提供的售后服务应符合GB/T37652-2019《家具售后服务要求》。免费保修期应当至少不低于6年。免费保修期内，除采购人因非正常使用造成家具损坏外，损坏维修以及所涉及的零部件更换，应当由供应商免费提供，供应商应当承诺每年对所供家具进行巡检。免费保修期满后，供应商保证以优惠价格提供家具所需零配件和维修服务。</w:t>
            </w:r>
          </w:p>
        </w:tc>
      </w:tr>
      <w:tr w14:paraId="360EC86B">
        <w:tblPrEx>
          <w:tblCellMar>
            <w:top w:w="0" w:type="dxa"/>
            <w:left w:w="0" w:type="dxa"/>
            <w:bottom w:w="0" w:type="dxa"/>
            <w:right w:w="0" w:type="dxa"/>
          </w:tblCellMar>
        </w:tblPrEx>
        <w:trPr>
          <w:trHeight w:val="734" w:hRule="atLeast"/>
        </w:trPr>
        <w:tc>
          <w:tcPr>
            <w:tcW w:w="1107" w:type="dxa"/>
            <w:tcBorders>
              <w:top w:val="single" w:color="000000" w:sz="4" w:space="0"/>
              <w:left w:val="single" w:color="000000" w:sz="4" w:space="0"/>
              <w:bottom w:val="single" w:color="000000" w:sz="4" w:space="0"/>
              <w:right w:val="single" w:color="000000" w:sz="4" w:space="0"/>
            </w:tcBorders>
            <w:noWrap w:val="0"/>
            <w:vAlign w:val="center"/>
          </w:tcPr>
          <w:p w14:paraId="1FA293DF">
            <w:pPr>
              <w:rPr>
                <w:color w:val="auto"/>
                <w:highlight w:val="none"/>
              </w:rPr>
            </w:pPr>
            <w:r>
              <w:rPr>
                <w:color w:val="auto"/>
                <w:highlight w:val="none"/>
              </w:rPr>
              <w:t>应急能力</w:t>
            </w:r>
          </w:p>
        </w:tc>
        <w:tc>
          <w:tcPr>
            <w:tcW w:w="8515" w:type="dxa"/>
            <w:tcBorders>
              <w:top w:val="single" w:color="000000" w:sz="4" w:space="0"/>
              <w:left w:val="single" w:color="000000" w:sz="4" w:space="0"/>
              <w:bottom w:val="single" w:color="000000" w:sz="4" w:space="0"/>
              <w:right w:val="single" w:color="000000" w:sz="4" w:space="0"/>
            </w:tcBorders>
            <w:noWrap w:val="0"/>
            <w:vAlign w:val="center"/>
          </w:tcPr>
          <w:p w14:paraId="3916A797">
            <w:pPr>
              <w:jc w:val="left"/>
              <w:rPr>
                <w:color w:val="auto"/>
                <w:highlight w:val="none"/>
              </w:rPr>
            </w:pPr>
            <w:r>
              <w:rPr>
                <w:color w:val="auto"/>
                <w:highlight w:val="none"/>
              </w:rPr>
              <w:t>供应商应当拥有</w:t>
            </w:r>
            <w:r>
              <w:rPr>
                <w:rFonts w:hint="eastAsia"/>
                <w:color w:val="auto"/>
                <w:highlight w:val="none"/>
                <w:lang w:eastAsia="zh-CN"/>
              </w:rPr>
              <w:t>及时</w:t>
            </w:r>
            <w:r>
              <w:rPr>
                <w:color w:val="auto"/>
                <w:highlight w:val="none"/>
              </w:rPr>
              <w:t>维修服务</w:t>
            </w:r>
            <w:r>
              <w:rPr>
                <w:rFonts w:hint="eastAsia"/>
                <w:color w:val="auto"/>
                <w:highlight w:val="none"/>
                <w:lang w:eastAsia="zh-CN"/>
              </w:rPr>
              <w:t>的</w:t>
            </w:r>
            <w:r>
              <w:rPr>
                <w:color w:val="auto"/>
                <w:highlight w:val="none"/>
              </w:rPr>
              <w:t>能力，提供售后服务支持。如遇质量问题，供应商应当在接到通知2小时内予以响应，并于8小时内解决完毕或提供代用产品。</w:t>
            </w:r>
          </w:p>
        </w:tc>
      </w:tr>
      <w:tr w14:paraId="71BF1E74">
        <w:tblPrEx>
          <w:tblCellMar>
            <w:top w:w="0" w:type="dxa"/>
            <w:left w:w="0" w:type="dxa"/>
            <w:bottom w:w="0" w:type="dxa"/>
            <w:right w:w="0" w:type="dxa"/>
          </w:tblCellMar>
        </w:tblPrEx>
        <w:trPr>
          <w:trHeight w:val="734" w:hRule="atLeast"/>
        </w:trPr>
        <w:tc>
          <w:tcPr>
            <w:tcW w:w="1107" w:type="dxa"/>
            <w:tcBorders>
              <w:top w:val="single" w:color="000000" w:sz="4" w:space="0"/>
              <w:left w:val="single" w:color="000000" w:sz="4" w:space="0"/>
              <w:bottom w:val="single" w:color="000000" w:sz="4" w:space="0"/>
              <w:right w:val="single" w:color="000000" w:sz="4" w:space="0"/>
            </w:tcBorders>
            <w:noWrap w:val="0"/>
            <w:vAlign w:val="center"/>
          </w:tcPr>
          <w:p w14:paraId="1DA017DB">
            <w:pPr>
              <w:rPr>
                <w:color w:val="auto"/>
                <w:highlight w:val="none"/>
              </w:rPr>
            </w:pPr>
            <w:r>
              <w:rPr>
                <w:color w:val="auto"/>
                <w:highlight w:val="none"/>
              </w:rPr>
              <w:t>项目团队</w:t>
            </w:r>
          </w:p>
        </w:tc>
        <w:tc>
          <w:tcPr>
            <w:tcW w:w="8515" w:type="dxa"/>
            <w:tcBorders>
              <w:top w:val="single" w:color="000000" w:sz="4" w:space="0"/>
              <w:left w:val="single" w:color="000000" w:sz="4" w:space="0"/>
              <w:bottom w:val="single" w:color="000000" w:sz="4" w:space="0"/>
              <w:right w:val="single" w:color="000000" w:sz="4" w:space="0"/>
            </w:tcBorders>
            <w:noWrap w:val="0"/>
            <w:vAlign w:val="center"/>
          </w:tcPr>
          <w:p w14:paraId="6766AE21">
            <w:pPr>
              <w:jc w:val="left"/>
              <w:rPr>
                <w:color w:val="auto"/>
                <w:highlight w:val="none"/>
              </w:rPr>
            </w:pPr>
            <w:r>
              <w:rPr>
                <w:color w:val="auto"/>
                <w:highlight w:val="none"/>
              </w:rPr>
              <w:t>供应商提供项目技术团队及其能力说明，提供人员清单、履历、专业技术能力等资料。</w:t>
            </w:r>
          </w:p>
        </w:tc>
      </w:tr>
      <w:tr w14:paraId="094293EE">
        <w:tblPrEx>
          <w:tblCellMar>
            <w:top w:w="0" w:type="dxa"/>
            <w:left w:w="0" w:type="dxa"/>
            <w:bottom w:w="0" w:type="dxa"/>
            <w:right w:w="0" w:type="dxa"/>
          </w:tblCellMar>
        </w:tblPrEx>
        <w:trPr>
          <w:trHeight w:val="734" w:hRule="atLeast"/>
        </w:trPr>
        <w:tc>
          <w:tcPr>
            <w:tcW w:w="1107" w:type="dxa"/>
            <w:tcBorders>
              <w:top w:val="single" w:color="000000" w:sz="4" w:space="0"/>
              <w:left w:val="single" w:color="000000" w:sz="4" w:space="0"/>
              <w:bottom w:val="single" w:color="000000" w:sz="4" w:space="0"/>
              <w:right w:val="single" w:color="000000" w:sz="4" w:space="0"/>
            </w:tcBorders>
            <w:noWrap w:val="0"/>
            <w:vAlign w:val="center"/>
          </w:tcPr>
          <w:p w14:paraId="5EE4DBBF">
            <w:pPr>
              <w:rPr>
                <w:color w:val="auto"/>
                <w:highlight w:val="none"/>
              </w:rPr>
            </w:pPr>
            <w:r>
              <w:rPr>
                <w:color w:val="auto"/>
                <w:highlight w:val="none"/>
              </w:rPr>
              <w:t>生产能力</w:t>
            </w:r>
          </w:p>
        </w:tc>
        <w:tc>
          <w:tcPr>
            <w:tcW w:w="8515" w:type="dxa"/>
            <w:tcBorders>
              <w:top w:val="single" w:color="000000" w:sz="4" w:space="0"/>
              <w:left w:val="single" w:color="000000" w:sz="4" w:space="0"/>
              <w:bottom w:val="single" w:color="000000" w:sz="4" w:space="0"/>
              <w:right w:val="single" w:color="000000" w:sz="4" w:space="0"/>
            </w:tcBorders>
            <w:noWrap w:val="0"/>
            <w:vAlign w:val="center"/>
          </w:tcPr>
          <w:p w14:paraId="586804EF">
            <w:pPr>
              <w:jc w:val="left"/>
              <w:rPr>
                <w:color w:val="auto"/>
                <w:highlight w:val="none"/>
              </w:rPr>
            </w:pPr>
            <w:r>
              <w:rPr>
                <w:color w:val="auto"/>
                <w:highlight w:val="none"/>
              </w:rPr>
              <w:t>1.生产厂商针对生产过程中可能产生的大气污染、水污染及其他环境污染应当具有有效的环保措施，制定科学的环保治理方案。</w:t>
            </w:r>
          </w:p>
          <w:p w14:paraId="551EFB4E">
            <w:pPr>
              <w:jc w:val="left"/>
              <w:rPr>
                <w:color w:val="auto"/>
                <w:highlight w:val="none"/>
              </w:rPr>
            </w:pPr>
            <w:r>
              <w:rPr>
                <w:color w:val="auto"/>
                <w:highlight w:val="none"/>
              </w:rPr>
              <w:t>2.生产厂商应当具备完善的管理体系；详细阐述生产工艺技术原理、流程、关键技术点及优势，证明其在精度、质量、效率等方面的竞争力；制定科学合理的生产进度计划，明确各阶段时间节点、交付成果，提供进度保障措施，确保生产进度可控且能按时完成；生产设备配置需完备且先进，提供设备清单信息，说明设备的先进性与适用性，可提供相关生产设备购置合同、发票等购置材料作为设备来源证明。</w:t>
            </w:r>
          </w:p>
        </w:tc>
      </w:tr>
    </w:tbl>
    <w:p w14:paraId="79198B49">
      <w:pPr>
        <w:pStyle w:val="13"/>
        <w:numPr>
          <w:ilvl w:val="-1"/>
          <w:numId w:val="0"/>
        </w:numPr>
        <w:ind w:firstLine="0"/>
        <w:rPr>
          <w:rFonts w:hint="eastAsia"/>
          <w:color w:val="auto"/>
          <w:highlight w:val="none"/>
          <w:lang w:eastAsia="zh-CN"/>
        </w:rPr>
      </w:pPr>
    </w:p>
    <w:p w14:paraId="71E0BF59">
      <w:pPr>
        <w:spacing w:before="130" w:line="360" w:lineRule="auto"/>
        <w:ind w:firstLine="422" w:firstLineChars="200"/>
        <w:rPr>
          <w:rFonts w:ascii="宋体" w:hAnsi="宋体" w:eastAsia="宋体" w:cs="宋体"/>
          <w:b/>
          <w:bCs/>
          <w:color w:val="auto"/>
          <w:highlight w:val="none"/>
          <w:lang w:eastAsia="zh-CN"/>
        </w:rPr>
      </w:pPr>
      <w:r>
        <w:rPr>
          <w:rFonts w:hint="eastAsia" w:ascii="宋体" w:hAnsi="宋体" w:eastAsia="宋体" w:cs="宋体"/>
          <w:b/>
          <w:bCs/>
          <w:color w:val="auto"/>
          <w:highlight w:val="none"/>
          <w:lang w:val="en-US" w:eastAsia="zh-CN"/>
        </w:rPr>
        <w:t>七</w:t>
      </w:r>
      <w:r>
        <w:rPr>
          <w:rFonts w:hint="eastAsia" w:ascii="宋体" w:hAnsi="宋体" w:eastAsia="宋体" w:cs="宋体"/>
          <w:b/>
          <w:bCs/>
          <w:color w:val="auto"/>
          <w:highlight w:val="none"/>
          <w:lang w:eastAsia="zh-CN"/>
        </w:rPr>
        <w:t>、样品要求</w:t>
      </w:r>
    </w:p>
    <w:p w14:paraId="23C67B88">
      <w:pPr>
        <w:spacing w:before="1" w:line="360" w:lineRule="auto"/>
        <w:ind w:left="9" w:firstLine="420" w:firstLineChars="200"/>
        <w:rPr>
          <w:rFonts w:ascii="宋体" w:hAnsi="宋体" w:eastAsia="宋体" w:cs="宋体"/>
          <w:color w:val="auto"/>
          <w:highlight w:val="none"/>
          <w:lang w:eastAsia="zh-CN"/>
        </w:rPr>
      </w:pPr>
    </w:p>
    <w:p w14:paraId="715CDB03">
      <w:pPr>
        <w:spacing w:line="360" w:lineRule="auto"/>
        <w:rPr>
          <w:rFonts w:ascii="宋体" w:hAnsi="宋体" w:eastAsia="宋体" w:cs="宋体"/>
          <w:color w:val="auto"/>
          <w:highlight w:val="none"/>
          <w:lang w:eastAsia="zh-CN"/>
        </w:rPr>
      </w:pPr>
    </w:p>
    <w:tbl>
      <w:tblPr>
        <w:tblStyle w:val="52"/>
        <w:tblW w:w="852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1027"/>
        <w:gridCol w:w="5056"/>
        <w:gridCol w:w="2439"/>
      </w:tblGrid>
      <w:tr w14:paraId="27E94F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4" w:hRule="atLeast"/>
          <w:jc w:val="center"/>
        </w:trPr>
        <w:tc>
          <w:tcPr>
            <w:tcW w:w="1027" w:type="dxa"/>
            <w:noWrap w:val="0"/>
            <w:vAlign w:val="top"/>
          </w:tcPr>
          <w:p w14:paraId="5BC922CE">
            <w:pPr>
              <w:pStyle w:val="51"/>
              <w:spacing w:before="246" w:line="240" w:lineRule="auto"/>
              <w:ind w:left="0" w:leftChars="0" w:right="0" w:rightChars="0" w:firstLine="0" w:firstLineChars="0"/>
              <w:rPr>
                <w:b/>
                <w:bCs/>
                <w:color w:val="auto"/>
                <w:sz w:val="21"/>
                <w:szCs w:val="21"/>
                <w:highlight w:val="none"/>
              </w:rPr>
            </w:pPr>
            <w:r>
              <w:rPr>
                <w:rFonts w:hint="eastAsia"/>
                <w:b/>
                <w:bCs/>
                <w:color w:val="auto"/>
                <w:spacing w:val="-8"/>
                <w:sz w:val="21"/>
                <w:szCs w:val="21"/>
                <w:highlight w:val="none"/>
              </w:rPr>
              <w:t>分类</w:t>
            </w:r>
          </w:p>
        </w:tc>
        <w:tc>
          <w:tcPr>
            <w:tcW w:w="5056" w:type="dxa"/>
            <w:noWrap w:val="0"/>
            <w:vAlign w:val="top"/>
          </w:tcPr>
          <w:p w14:paraId="3D568E51">
            <w:pPr>
              <w:pStyle w:val="51"/>
              <w:spacing w:before="246" w:line="240" w:lineRule="auto"/>
              <w:ind w:left="0" w:leftChars="0" w:right="0" w:rightChars="0" w:firstLine="0" w:firstLineChars="0"/>
              <w:jc w:val="center"/>
              <w:rPr>
                <w:b/>
                <w:bCs/>
                <w:color w:val="auto"/>
                <w:sz w:val="21"/>
                <w:szCs w:val="21"/>
                <w:highlight w:val="none"/>
              </w:rPr>
            </w:pPr>
            <w:r>
              <w:rPr>
                <w:rFonts w:hint="eastAsia"/>
                <w:b/>
                <w:bCs/>
                <w:color w:val="auto"/>
                <w:spacing w:val="3"/>
                <w:sz w:val="21"/>
                <w:szCs w:val="21"/>
                <w:highlight w:val="none"/>
              </w:rPr>
              <w:t>样品要求</w:t>
            </w:r>
          </w:p>
        </w:tc>
        <w:tc>
          <w:tcPr>
            <w:tcW w:w="2439" w:type="dxa"/>
            <w:noWrap w:val="0"/>
            <w:vAlign w:val="top"/>
          </w:tcPr>
          <w:p w14:paraId="2A3C398D">
            <w:pPr>
              <w:pStyle w:val="51"/>
              <w:spacing w:before="244" w:line="240" w:lineRule="auto"/>
              <w:ind w:left="0" w:leftChars="0" w:right="0" w:rightChars="0" w:firstLine="0" w:firstLineChars="0"/>
              <w:jc w:val="center"/>
              <w:rPr>
                <w:b/>
                <w:bCs/>
                <w:color w:val="auto"/>
                <w:sz w:val="21"/>
                <w:szCs w:val="21"/>
                <w:highlight w:val="none"/>
              </w:rPr>
            </w:pPr>
            <w:r>
              <w:rPr>
                <w:rFonts w:hint="eastAsia"/>
                <w:b/>
                <w:bCs/>
                <w:color w:val="auto"/>
                <w:spacing w:val="7"/>
                <w:sz w:val="21"/>
                <w:szCs w:val="21"/>
                <w:highlight w:val="none"/>
              </w:rPr>
              <w:t>大小尺寸</w:t>
            </w:r>
            <w:r>
              <w:rPr>
                <w:rFonts w:hint="eastAsia"/>
                <w:b/>
                <w:bCs/>
                <w:color w:val="auto"/>
                <w:spacing w:val="7"/>
                <w:sz w:val="21"/>
                <w:szCs w:val="21"/>
                <w:highlight w:val="none"/>
                <w:lang w:eastAsia="zh-CN"/>
              </w:rPr>
              <w:t>（</w:t>
            </w:r>
            <w:r>
              <w:rPr>
                <w:rFonts w:hint="eastAsia"/>
                <w:b/>
                <w:bCs/>
                <w:color w:val="auto"/>
                <w:spacing w:val="7"/>
                <w:sz w:val="21"/>
                <w:szCs w:val="21"/>
                <w:highlight w:val="none"/>
              </w:rPr>
              <w:t>单位</w:t>
            </w:r>
            <w:r>
              <w:rPr>
                <w:rFonts w:hint="eastAsia"/>
                <w:b/>
                <w:bCs/>
                <w:color w:val="auto"/>
                <w:sz w:val="21"/>
                <w:szCs w:val="21"/>
                <w:highlight w:val="none"/>
              </w:rPr>
              <w:t>mm</w:t>
            </w:r>
            <w:r>
              <w:rPr>
                <w:rFonts w:hint="eastAsia"/>
                <w:b/>
                <w:bCs/>
                <w:color w:val="auto"/>
                <w:sz w:val="21"/>
                <w:szCs w:val="21"/>
                <w:highlight w:val="none"/>
                <w:lang w:eastAsia="zh-CN"/>
              </w:rPr>
              <w:t>）</w:t>
            </w:r>
          </w:p>
        </w:tc>
      </w:tr>
      <w:tr w14:paraId="2EFB0A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6" w:hRule="atLeast"/>
          <w:jc w:val="center"/>
        </w:trPr>
        <w:tc>
          <w:tcPr>
            <w:tcW w:w="1027" w:type="dxa"/>
            <w:noWrap w:val="0"/>
            <w:vAlign w:val="center"/>
          </w:tcPr>
          <w:p w14:paraId="557EDAEB">
            <w:pPr>
              <w:pStyle w:val="51"/>
              <w:spacing w:before="91" w:line="240" w:lineRule="auto"/>
              <w:ind w:left="0" w:leftChars="0" w:right="0" w:rightChars="0" w:firstLine="0" w:firstLineChars="0"/>
              <w:jc w:val="center"/>
              <w:rPr>
                <w:rFonts w:hint="default"/>
                <w:color w:val="auto"/>
                <w:sz w:val="21"/>
                <w:szCs w:val="21"/>
                <w:highlight w:val="none"/>
                <w:lang w:val="en-US"/>
              </w:rPr>
            </w:pPr>
            <w:r>
              <w:rPr>
                <w:rFonts w:hint="eastAsia"/>
                <w:color w:val="auto"/>
                <w:spacing w:val="-7"/>
                <w:sz w:val="21"/>
                <w:szCs w:val="21"/>
                <w:highlight w:val="none"/>
                <w:lang w:val="en-US" w:eastAsia="zh-CN"/>
              </w:rPr>
              <w:t>木制</w:t>
            </w:r>
          </w:p>
        </w:tc>
        <w:tc>
          <w:tcPr>
            <w:tcW w:w="5056" w:type="dxa"/>
            <w:noWrap w:val="0"/>
            <w:vAlign w:val="center"/>
          </w:tcPr>
          <w:p w14:paraId="5B0E750C">
            <w:pPr>
              <w:pStyle w:val="51"/>
              <w:spacing w:line="240" w:lineRule="auto"/>
              <w:ind w:left="0" w:leftChars="0" w:right="0" w:rightChars="0" w:firstLine="0" w:firstLineChars="0"/>
              <w:jc w:val="both"/>
              <w:rPr>
                <w:color w:val="auto"/>
                <w:sz w:val="21"/>
                <w:szCs w:val="21"/>
                <w:highlight w:val="none"/>
                <w:lang w:eastAsia="zh-CN"/>
              </w:rPr>
            </w:pPr>
            <w:r>
              <w:rPr>
                <w:rFonts w:hint="eastAsia"/>
                <w:color w:val="auto"/>
                <w:spacing w:val="4"/>
                <w:sz w:val="21"/>
                <w:szCs w:val="21"/>
                <w:highlight w:val="none"/>
              </w:rPr>
              <w:t>实木颗粒板- 参照常用材料要求第6项</w:t>
            </w:r>
          </w:p>
        </w:tc>
        <w:tc>
          <w:tcPr>
            <w:tcW w:w="2439" w:type="dxa"/>
            <w:noWrap w:val="0"/>
            <w:vAlign w:val="center"/>
          </w:tcPr>
          <w:p w14:paraId="0BEC5143">
            <w:pPr>
              <w:pStyle w:val="51"/>
              <w:spacing w:before="140" w:line="240" w:lineRule="auto"/>
              <w:ind w:left="0" w:leftChars="0" w:right="0" w:rightChars="0" w:firstLine="0" w:firstLineChars="0"/>
              <w:rPr>
                <w:rFonts w:hint="default"/>
                <w:color w:val="auto"/>
                <w:sz w:val="21"/>
                <w:szCs w:val="21"/>
                <w:highlight w:val="none"/>
                <w:lang w:val="en-US" w:eastAsia="zh-CN"/>
              </w:rPr>
            </w:pPr>
            <w:r>
              <w:rPr>
                <w:rFonts w:hint="eastAsia"/>
                <w:color w:val="auto"/>
                <w:spacing w:val="-7"/>
                <w:sz w:val="21"/>
                <w:szCs w:val="21"/>
                <w:highlight w:val="none"/>
              </w:rPr>
              <w:t>200*200*25</w:t>
            </w:r>
          </w:p>
        </w:tc>
      </w:tr>
      <w:tr w14:paraId="65420B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28" w:hRule="atLeast"/>
          <w:jc w:val="center"/>
        </w:trPr>
        <w:tc>
          <w:tcPr>
            <w:tcW w:w="1027" w:type="dxa"/>
            <w:noWrap w:val="0"/>
            <w:vAlign w:val="center"/>
          </w:tcPr>
          <w:p w14:paraId="1936F904">
            <w:pPr>
              <w:pStyle w:val="51"/>
              <w:spacing w:before="257" w:line="240" w:lineRule="auto"/>
              <w:ind w:left="0" w:leftChars="0" w:right="0" w:rightChars="0" w:firstLine="0" w:firstLineChars="0"/>
              <w:jc w:val="center"/>
              <w:rPr>
                <w:color w:val="auto"/>
                <w:sz w:val="21"/>
                <w:szCs w:val="21"/>
                <w:highlight w:val="none"/>
              </w:rPr>
            </w:pPr>
            <w:r>
              <w:rPr>
                <w:rFonts w:hint="eastAsia"/>
                <w:color w:val="auto"/>
                <w:spacing w:val="-5"/>
                <w:sz w:val="21"/>
                <w:szCs w:val="21"/>
                <w:highlight w:val="none"/>
              </w:rPr>
              <w:t>钢制</w:t>
            </w:r>
          </w:p>
        </w:tc>
        <w:tc>
          <w:tcPr>
            <w:tcW w:w="5056" w:type="dxa"/>
            <w:noWrap w:val="0"/>
            <w:vAlign w:val="center"/>
          </w:tcPr>
          <w:p w14:paraId="13808CB8">
            <w:pPr>
              <w:pStyle w:val="51"/>
              <w:spacing w:before="95" w:line="360" w:lineRule="auto"/>
              <w:jc w:val="left"/>
              <w:rPr>
                <w:color w:val="auto"/>
                <w:position w:val="11"/>
                <w:szCs w:val="21"/>
                <w:highlight w:val="none"/>
              </w:rPr>
            </w:pPr>
            <w:r>
              <w:rPr>
                <w:rFonts w:hint="eastAsia"/>
                <w:color w:val="auto"/>
                <w:position w:val="11"/>
                <w:sz w:val="21"/>
                <w:szCs w:val="21"/>
                <w:highlight w:val="none"/>
              </w:rPr>
              <w:t>1.</w:t>
            </w:r>
            <w:r>
              <w:rPr>
                <w:rFonts w:hint="eastAsia"/>
                <w:color w:val="auto"/>
                <w:position w:val="11"/>
                <w:sz w:val="21"/>
                <w:szCs w:val="21"/>
                <w:highlight w:val="none"/>
                <w:lang w:val="en-US" w:eastAsia="zh-CN"/>
              </w:rPr>
              <w:t>冷轧钢板</w:t>
            </w:r>
            <w:r>
              <w:rPr>
                <w:rFonts w:hint="eastAsia"/>
                <w:color w:val="auto"/>
                <w:position w:val="11"/>
                <w:sz w:val="21"/>
                <w:szCs w:val="21"/>
                <w:highlight w:val="none"/>
              </w:rPr>
              <w:t>表面喷塑层板一块 - 参照常用材料要求第1项</w:t>
            </w:r>
          </w:p>
          <w:p w14:paraId="59552D77">
            <w:pPr>
              <w:pStyle w:val="51"/>
              <w:spacing w:before="95" w:line="240" w:lineRule="auto"/>
              <w:ind w:left="0" w:leftChars="0" w:right="0" w:rightChars="0" w:firstLine="0" w:firstLineChars="0"/>
              <w:jc w:val="both"/>
              <w:rPr>
                <w:rFonts w:hint="default"/>
                <w:color w:val="auto"/>
                <w:position w:val="11"/>
                <w:sz w:val="21"/>
                <w:szCs w:val="21"/>
                <w:highlight w:val="none"/>
                <w:lang w:val="en-US" w:eastAsia="zh-CN"/>
              </w:rPr>
            </w:pPr>
            <w:r>
              <w:rPr>
                <w:rFonts w:hint="eastAsia"/>
                <w:color w:val="auto"/>
                <w:position w:val="11"/>
                <w:sz w:val="21"/>
                <w:szCs w:val="21"/>
                <w:highlight w:val="none"/>
              </w:rPr>
              <w:t>2.活动桌</w:t>
            </w:r>
            <w:r>
              <w:rPr>
                <w:rFonts w:hint="eastAsia"/>
                <w:color w:val="auto"/>
                <w:position w:val="11"/>
                <w:sz w:val="21"/>
                <w:szCs w:val="21"/>
                <w:highlight w:val="none"/>
                <w:lang w:eastAsia="zh-CN"/>
              </w:rPr>
              <w:t>（</w:t>
            </w:r>
            <w:r>
              <w:rPr>
                <w:rFonts w:hint="eastAsia"/>
                <w:color w:val="auto"/>
                <w:position w:val="11"/>
                <w:sz w:val="21"/>
                <w:szCs w:val="21"/>
                <w:highlight w:val="none"/>
                <w:lang w:val="en-US" w:eastAsia="zh-CN"/>
              </w:rPr>
              <w:t>序号20</w:t>
            </w:r>
            <w:r>
              <w:rPr>
                <w:rFonts w:hint="eastAsia"/>
                <w:color w:val="auto"/>
                <w:position w:val="11"/>
                <w:sz w:val="21"/>
                <w:szCs w:val="21"/>
                <w:highlight w:val="none"/>
                <w:lang w:eastAsia="zh-CN"/>
              </w:rPr>
              <w:t>）</w:t>
            </w:r>
            <w:r>
              <w:rPr>
                <w:rFonts w:hint="eastAsia"/>
                <w:color w:val="auto"/>
                <w:position w:val="11"/>
                <w:sz w:val="21"/>
                <w:szCs w:val="21"/>
                <w:highlight w:val="none"/>
              </w:rPr>
              <w:t>桌脚一根 - 参照序号16</w:t>
            </w:r>
          </w:p>
        </w:tc>
        <w:tc>
          <w:tcPr>
            <w:tcW w:w="2439" w:type="dxa"/>
            <w:noWrap w:val="0"/>
            <w:vAlign w:val="center"/>
          </w:tcPr>
          <w:p w14:paraId="234FCA87">
            <w:pPr>
              <w:pStyle w:val="51"/>
              <w:spacing w:before="284" w:line="240" w:lineRule="auto"/>
              <w:ind w:left="0" w:leftChars="0" w:right="0" w:rightChars="0" w:firstLine="0" w:firstLineChars="0"/>
              <w:rPr>
                <w:rFonts w:hint="eastAsia"/>
                <w:color w:val="auto"/>
                <w:spacing w:val="-7"/>
                <w:sz w:val="21"/>
                <w:szCs w:val="21"/>
                <w:highlight w:val="none"/>
                <w:lang w:val="en-US" w:eastAsia="zh-CN"/>
              </w:rPr>
            </w:pPr>
            <w:r>
              <w:rPr>
                <w:rFonts w:hint="eastAsia"/>
                <w:color w:val="auto"/>
                <w:spacing w:val="-7"/>
                <w:sz w:val="21"/>
                <w:szCs w:val="21"/>
                <w:highlight w:val="none"/>
                <w:lang w:val="en-US" w:eastAsia="zh-CN"/>
              </w:rPr>
              <w:t xml:space="preserve">1.  </w:t>
            </w:r>
            <w:r>
              <w:rPr>
                <w:rFonts w:hint="eastAsia"/>
                <w:color w:val="auto"/>
                <w:spacing w:val="-7"/>
                <w:sz w:val="21"/>
                <w:szCs w:val="21"/>
                <w:highlight w:val="none"/>
              </w:rPr>
              <w:t>200</w:t>
            </w:r>
            <w:r>
              <w:rPr>
                <w:rFonts w:hint="eastAsia"/>
                <w:color w:val="auto"/>
                <w:spacing w:val="-7"/>
                <w:sz w:val="21"/>
                <w:szCs w:val="21"/>
                <w:highlight w:val="none"/>
                <w:lang w:val="en-US" w:eastAsia="zh-CN"/>
              </w:rPr>
              <w:t>mm</w:t>
            </w:r>
            <w:r>
              <w:rPr>
                <w:rFonts w:hint="eastAsia"/>
                <w:color w:val="auto"/>
                <w:spacing w:val="-7"/>
                <w:sz w:val="21"/>
                <w:szCs w:val="21"/>
                <w:highlight w:val="none"/>
              </w:rPr>
              <w:t>×200</w:t>
            </w:r>
            <w:r>
              <w:rPr>
                <w:rFonts w:hint="eastAsia"/>
                <w:color w:val="auto"/>
                <w:spacing w:val="-7"/>
                <w:sz w:val="21"/>
                <w:szCs w:val="21"/>
                <w:highlight w:val="none"/>
                <w:lang w:val="en-US" w:eastAsia="zh-CN"/>
              </w:rPr>
              <w:t>mm</w:t>
            </w:r>
            <w:r>
              <w:rPr>
                <w:rFonts w:hint="eastAsia"/>
                <w:color w:val="auto"/>
                <w:spacing w:val="-7"/>
                <w:sz w:val="21"/>
                <w:szCs w:val="21"/>
                <w:highlight w:val="none"/>
              </w:rPr>
              <w:t>×</w:t>
            </w:r>
            <w:r>
              <w:rPr>
                <w:rFonts w:hint="eastAsia"/>
                <w:color w:val="auto"/>
                <w:spacing w:val="-7"/>
                <w:sz w:val="21"/>
                <w:szCs w:val="21"/>
                <w:highlight w:val="none"/>
                <w:lang w:val="en-US" w:eastAsia="zh-CN"/>
              </w:rPr>
              <w:t>18mm（折边后厚度）</w:t>
            </w:r>
          </w:p>
          <w:p w14:paraId="14F0F5D3">
            <w:pPr>
              <w:pStyle w:val="51"/>
              <w:numPr>
                <w:ilvl w:val="0"/>
                <w:numId w:val="15"/>
              </w:numPr>
              <w:spacing w:before="284" w:line="240" w:lineRule="auto"/>
              <w:ind w:firstLine="196" w:firstLineChars="100"/>
              <w:rPr>
                <w:rFonts w:hint="default"/>
                <w:color w:val="auto"/>
                <w:spacing w:val="-7"/>
                <w:sz w:val="21"/>
                <w:szCs w:val="21"/>
                <w:highlight w:val="none"/>
                <w:lang w:val="en-US" w:eastAsia="zh-CN"/>
              </w:rPr>
            </w:pPr>
            <w:r>
              <w:rPr>
                <w:rFonts w:hint="eastAsia"/>
                <w:color w:val="auto"/>
                <w:spacing w:val="-7"/>
                <w:sz w:val="21"/>
                <w:szCs w:val="21"/>
                <w:highlight w:val="none"/>
                <w:lang w:val="en-US" w:eastAsia="zh-CN"/>
              </w:rPr>
              <w:t xml:space="preserve"> 根据实际长度</w:t>
            </w:r>
          </w:p>
        </w:tc>
      </w:tr>
      <w:tr w14:paraId="62A379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3" w:hRule="atLeast"/>
          <w:jc w:val="center"/>
        </w:trPr>
        <w:tc>
          <w:tcPr>
            <w:tcW w:w="1027" w:type="dxa"/>
            <w:noWrap w:val="0"/>
            <w:vAlign w:val="center"/>
          </w:tcPr>
          <w:p w14:paraId="129B7EC0">
            <w:pPr>
              <w:pStyle w:val="51"/>
              <w:spacing w:before="260" w:line="240" w:lineRule="auto"/>
              <w:ind w:left="0" w:leftChars="0" w:right="0" w:rightChars="0" w:firstLine="0" w:firstLineChars="0"/>
              <w:jc w:val="center"/>
              <w:rPr>
                <w:color w:val="auto"/>
                <w:spacing w:val="4"/>
                <w:sz w:val="21"/>
                <w:szCs w:val="21"/>
                <w:highlight w:val="none"/>
                <w:lang w:eastAsia="zh-CN"/>
              </w:rPr>
            </w:pPr>
            <w:r>
              <w:rPr>
                <w:rFonts w:hint="eastAsia"/>
                <w:color w:val="auto"/>
                <w:spacing w:val="4"/>
                <w:sz w:val="21"/>
                <w:szCs w:val="21"/>
                <w:highlight w:val="none"/>
                <w:lang w:eastAsia="zh-CN"/>
              </w:rPr>
              <w:t>成品</w:t>
            </w:r>
          </w:p>
        </w:tc>
        <w:tc>
          <w:tcPr>
            <w:tcW w:w="5056" w:type="dxa"/>
            <w:noWrap w:val="0"/>
            <w:vAlign w:val="center"/>
          </w:tcPr>
          <w:p w14:paraId="34082995">
            <w:pPr>
              <w:pStyle w:val="51"/>
              <w:spacing w:before="1" w:line="360" w:lineRule="auto"/>
              <w:rPr>
                <w:rFonts w:hint="eastAsia"/>
                <w:color w:val="auto"/>
                <w:spacing w:val="4"/>
                <w:sz w:val="21"/>
                <w:szCs w:val="21"/>
                <w:highlight w:val="none"/>
              </w:rPr>
            </w:pPr>
            <w:r>
              <w:rPr>
                <w:rFonts w:hint="eastAsia"/>
                <w:color w:val="auto"/>
                <w:spacing w:val="4"/>
                <w:sz w:val="21"/>
                <w:szCs w:val="21"/>
                <w:highlight w:val="none"/>
              </w:rPr>
              <w:t>升降讲台      序号</w:t>
            </w:r>
            <w:r>
              <w:rPr>
                <w:rFonts w:hint="eastAsia"/>
                <w:color w:val="auto"/>
                <w:spacing w:val="4"/>
                <w:sz w:val="21"/>
                <w:szCs w:val="21"/>
                <w:highlight w:val="none"/>
                <w:lang w:val="en-US" w:eastAsia="zh-CN"/>
              </w:rPr>
              <w:t>27</w:t>
            </w:r>
            <w:r>
              <w:rPr>
                <w:rFonts w:hint="eastAsia"/>
                <w:color w:val="auto"/>
                <w:spacing w:val="4"/>
                <w:sz w:val="21"/>
                <w:szCs w:val="21"/>
                <w:highlight w:val="none"/>
              </w:rPr>
              <w:t xml:space="preserve">  浅木纹色 白色组合</w:t>
            </w:r>
          </w:p>
          <w:p w14:paraId="383013A5">
            <w:pPr>
              <w:pStyle w:val="51"/>
              <w:spacing w:before="1" w:line="360" w:lineRule="auto"/>
              <w:rPr>
                <w:rFonts w:hint="eastAsia"/>
                <w:color w:val="auto"/>
                <w:spacing w:val="4"/>
                <w:sz w:val="21"/>
                <w:szCs w:val="21"/>
                <w:highlight w:val="none"/>
              </w:rPr>
            </w:pPr>
            <w:r>
              <w:rPr>
                <w:rFonts w:hint="eastAsia"/>
                <w:snapToGrid w:val="0"/>
                <w:color w:val="auto"/>
                <w:kern w:val="0"/>
                <w:sz w:val="22"/>
                <w:szCs w:val="22"/>
                <w:highlight w:val="none"/>
                <w:lang w:bidi="ar"/>
              </w:rPr>
              <w:t>教师办公椅</w:t>
            </w:r>
            <w:r>
              <w:rPr>
                <w:rFonts w:hint="eastAsia"/>
                <w:color w:val="auto"/>
                <w:spacing w:val="4"/>
                <w:sz w:val="21"/>
                <w:szCs w:val="21"/>
                <w:highlight w:val="none"/>
              </w:rPr>
              <w:t xml:space="preserve">    序号</w:t>
            </w:r>
            <w:r>
              <w:rPr>
                <w:rFonts w:hint="eastAsia"/>
                <w:color w:val="auto"/>
                <w:spacing w:val="4"/>
                <w:sz w:val="21"/>
                <w:szCs w:val="21"/>
                <w:highlight w:val="none"/>
                <w:lang w:val="en-US" w:eastAsia="zh-CN"/>
              </w:rPr>
              <w:t>7</w:t>
            </w:r>
            <w:r>
              <w:rPr>
                <w:rFonts w:hint="eastAsia"/>
                <w:color w:val="auto"/>
                <w:spacing w:val="4"/>
                <w:sz w:val="21"/>
                <w:szCs w:val="21"/>
                <w:highlight w:val="none"/>
              </w:rPr>
              <w:t xml:space="preserve">   黑色</w:t>
            </w:r>
          </w:p>
          <w:p w14:paraId="14C56F13">
            <w:pPr>
              <w:pStyle w:val="51"/>
              <w:spacing w:before="1" w:line="240" w:lineRule="auto"/>
              <w:ind w:left="0" w:leftChars="0" w:right="0" w:rightChars="0" w:firstLine="0" w:firstLineChars="0"/>
              <w:jc w:val="both"/>
              <w:rPr>
                <w:rFonts w:hint="default" w:ascii="宋体" w:hAnsi="宋体" w:eastAsia="宋体" w:cs="宋体"/>
                <w:i w:val="0"/>
                <w:iCs w:val="0"/>
                <w:snapToGrid w:val="0"/>
                <w:color w:val="auto"/>
                <w:kern w:val="0"/>
                <w:sz w:val="22"/>
                <w:szCs w:val="22"/>
                <w:highlight w:val="none"/>
                <w:u w:val="none"/>
                <w:lang w:val="en-US" w:eastAsia="zh-CN" w:bidi="ar"/>
              </w:rPr>
            </w:pPr>
            <w:r>
              <w:rPr>
                <w:rFonts w:hint="eastAsia"/>
                <w:snapToGrid w:val="0"/>
                <w:color w:val="auto"/>
                <w:kern w:val="0"/>
                <w:sz w:val="22"/>
                <w:szCs w:val="22"/>
                <w:highlight w:val="none"/>
                <w:lang w:bidi="ar"/>
              </w:rPr>
              <w:t xml:space="preserve">活动椅        </w:t>
            </w:r>
            <w:r>
              <w:rPr>
                <w:rFonts w:hint="eastAsia"/>
                <w:color w:val="auto"/>
                <w:spacing w:val="4"/>
                <w:sz w:val="21"/>
                <w:szCs w:val="21"/>
                <w:highlight w:val="none"/>
              </w:rPr>
              <w:t>序号</w:t>
            </w:r>
            <w:r>
              <w:rPr>
                <w:rFonts w:hint="eastAsia"/>
                <w:color w:val="auto"/>
                <w:spacing w:val="4"/>
                <w:sz w:val="21"/>
                <w:szCs w:val="21"/>
                <w:highlight w:val="none"/>
                <w:lang w:val="en-US" w:eastAsia="zh-CN"/>
              </w:rPr>
              <w:t>6</w:t>
            </w:r>
            <w:r>
              <w:rPr>
                <w:rFonts w:hint="eastAsia"/>
                <w:color w:val="auto"/>
                <w:spacing w:val="4"/>
                <w:sz w:val="21"/>
                <w:szCs w:val="21"/>
                <w:highlight w:val="none"/>
              </w:rPr>
              <w:t xml:space="preserve"> </w:t>
            </w:r>
            <w:r>
              <w:rPr>
                <w:rFonts w:hint="eastAsia"/>
                <w:color w:val="auto"/>
                <w:spacing w:val="4"/>
                <w:sz w:val="21"/>
                <w:szCs w:val="21"/>
                <w:highlight w:val="none"/>
                <w:lang w:val="en-US" w:eastAsia="zh-CN"/>
              </w:rPr>
              <w:t xml:space="preserve"> </w:t>
            </w:r>
            <w:r>
              <w:rPr>
                <w:rFonts w:hint="eastAsia"/>
                <w:color w:val="auto"/>
                <w:spacing w:val="4"/>
                <w:sz w:val="21"/>
                <w:szCs w:val="21"/>
                <w:highlight w:val="none"/>
              </w:rPr>
              <w:t xml:space="preserve"> 蓝色 白色组合</w:t>
            </w:r>
          </w:p>
        </w:tc>
        <w:tc>
          <w:tcPr>
            <w:tcW w:w="2439" w:type="dxa"/>
            <w:noWrap w:val="0"/>
            <w:vAlign w:val="center"/>
          </w:tcPr>
          <w:p w14:paraId="1FECCFBA">
            <w:pPr>
              <w:pStyle w:val="51"/>
              <w:spacing w:before="260" w:line="240" w:lineRule="auto"/>
              <w:ind w:left="0" w:leftChars="0" w:right="0" w:rightChars="0" w:firstLine="0" w:firstLineChars="0"/>
              <w:rPr>
                <w:color w:val="auto"/>
                <w:spacing w:val="-13"/>
                <w:sz w:val="21"/>
                <w:szCs w:val="21"/>
                <w:highlight w:val="none"/>
                <w:lang w:eastAsia="zh-CN"/>
              </w:rPr>
            </w:pPr>
            <w:r>
              <w:rPr>
                <w:rFonts w:hint="eastAsia"/>
                <w:color w:val="auto"/>
                <w:spacing w:val="-13"/>
                <w:sz w:val="21"/>
                <w:szCs w:val="21"/>
                <w:highlight w:val="none"/>
                <w:lang w:eastAsia="zh-CN"/>
              </w:rPr>
              <w:t>各1件</w:t>
            </w:r>
          </w:p>
        </w:tc>
      </w:tr>
    </w:tbl>
    <w:p w14:paraId="566BF3F1">
      <w:pPr>
        <w:spacing w:line="360" w:lineRule="auto"/>
        <w:rPr>
          <w:rFonts w:ascii="宋体" w:hAnsi="宋体" w:eastAsia="宋体" w:cs="宋体"/>
          <w:color w:val="auto"/>
          <w:highlight w:val="none"/>
        </w:rPr>
      </w:pPr>
    </w:p>
    <w:p w14:paraId="0E155B16">
      <w:pPr>
        <w:spacing w:line="360" w:lineRule="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说明：</w:t>
      </w:r>
    </w:p>
    <w:p w14:paraId="182DE2F6">
      <w:pPr>
        <w:numPr>
          <w:ilvl w:val="0"/>
          <w:numId w:val="16"/>
        </w:numPr>
        <w:spacing w:line="360" w:lineRule="auto"/>
        <w:rPr>
          <w:rFonts w:hint="eastAsia" w:ascii="宋体" w:hAnsi="宋体" w:cs="宋体"/>
          <w:color w:val="auto"/>
          <w:highlight w:val="none"/>
          <w:lang w:val="en-US" w:eastAsia="zh-CN"/>
        </w:rPr>
      </w:pPr>
      <w:r>
        <w:rPr>
          <w:rFonts w:hint="eastAsia" w:ascii="宋体" w:hAnsi="宋体" w:cs="宋体"/>
          <w:color w:val="auto"/>
          <w:highlight w:val="none"/>
          <w:lang w:val="en-US" w:eastAsia="zh-CN"/>
        </w:rPr>
        <w:t>实样出样：按照出样要求提供以下样品；</w:t>
      </w:r>
    </w:p>
    <w:p w14:paraId="5399537A">
      <w:pPr>
        <w:spacing w:before="1" w:line="360" w:lineRule="auto"/>
        <w:rPr>
          <w:rFonts w:hint="default"/>
          <w:color w:val="auto"/>
          <w:highlight w:val="none"/>
          <w:lang w:val="en-US" w:eastAsia="zh-CN"/>
        </w:rPr>
      </w:pPr>
      <w:r>
        <w:rPr>
          <w:rFonts w:hint="eastAsia" w:ascii="宋体" w:hAnsi="宋体" w:cs="宋体"/>
          <w:color w:val="auto"/>
          <w:highlight w:val="none"/>
          <w:lang w:val="en-US" w:eastAsia="zh-CN"/>
        </w:rPr>
        <w:t>投标实样送达：</w:t>
      </w:r>
      <w:r>
        <w:rPr>
          <w:rFonts w:hint="eastAsia"/>
          <w:color w:val="auto"/>
          <w:highlight w:val="none"/>
          <w:lang w:val="en-US" w:eastAsia="zh-CN"/>
        </w:rPr>
        <w:t>张老师，联系电话：15692161377 送样地点：上海市浦东新区沪城环路999号旧经济管理学院楼一楼；</w:t>
      </w:r>
    </w:p>
    <w:p w14:paraId="00375582">
      <w:pPr>
        <w:spacing w:before="1" w:line="360" w:lineRule="auto"/>
        <w:rPr>
          <w:rFonts w:hint="default" w:ascii="宋体" w:hAnsi="宋体" w:cs="宋体"/>
          <w:color w:val="auto"/>
          <w:highlight w:val="none"/>
          <w:lang w:val="en-US" w:eastAsia="zh-CN"/>
        </w:rPr>
      </w:pPr>
      <w:r>
        <w:rPr>
          <w:rFonts w:hint="eastAsia"/>
          <w:color w:val="auto"/>
          <w:highlight w:val="none"/>
          <w:lang w:val="en-US" w:eastAsia="zh-CN"/>
        </w:rPr>
        <w:t>送样时间：见招标文件，请提前2个工作日联系作入校申请。</w:t>
      </w:r>
    </w:p>
    <w:p w14:paraId="32D075DB">
      <w:pPr>
        <w:numPr>
          <w:ilvl w:val="0"/>
          <w:numId w:val="16"/>
        </w:numPr>
        <w:spacing w:line="360" w:lineRule="auto"/>
        <w:rPr>
          <w:rFonts w:hint="default" w:ascii="宋体" w:hAnsi="宋体" w:cs="宋体"/>
          <w:color w:val="auto"/>
          <w:highlight w:val="none"/>
          <w:lang w:val="en-US" w:eastAsia="zh-CN"/>
        </w:rPr>
      </w:pPr>
      <w:r>
        <w:rPr>
          <w:rFonts w:hint="eastAsia" w:ascii="宋体" w:hAnsi="宋体" w:cs="宋体"/>
          <w:color w:val="auto"/>
          <w:highlight w:val="none"/>
          <w:lang w:val="en-US" w:eastAsia="zh-CN"/>
        </w:rPr>
        <w:t>采购结束后投标实样处置：</w:t>
      </w:r>
    </w:p>
    <w:p w14:paraId="501266EE">
      <w:pPr>
        <w:pStyle w:val="12"/>
        <w:widowControl/>
        <w:numPr>
          <w:ilvl w:val="0"/>
          <w:numId w:val="17"/>
        </w:numPr>
        <w:rPr>
          <w:color w:val="auto"/>
          <w:highlight w:val="none"/>
        </w:rPr>
      </w:pPr>
      <w:r>
        <w:rPr>
          <w:color w:val="auto"/>
          <w:highlight w:val="none"/>
        </w:rPr>
        <w:t>中标实样将由采购人封样，作为本项目合同履约验收的检验标准之一。</w:t>
      </w:r>
    </w:p>
    <w:p w14:paraId="3A32E227">
      <w:pPr>
        <w:pStyle w:val="12"/>
        <w:widowControl/>
        <w:numPr>
          <w:ilvl w:val="0"/>
          <w:numId w:val="17"/>
        </w:numPr>
        <w:rPr>
          <w:color w:val="auto"/>
          <w:highlight w:val="none"/>
        </w:rPr>
      </w:pPr>
      <w:r>
        <w:rPr>
          <w:color w:val="auto"/>
          <w:highlight w:val="none"/>
        </w:rPr>
        <w:t>允许样品的规格尺寸与上述要求有合理偏差，但投标人中标后必</w:t>
      </w:r>
      <w:r>
        <w:rPr>
          <w:rFonts w:hint="eastAsia"/>
          <w:color w:val="auto"/>
          <w:highlight w:val="none"/>
          <w:lang w:eastAsia="zh-CN"/>
        </w:rPr>
        <w:t>需</w:t>
      </w:r>
      <w:r>
        <w:rPr>
          <w:color w:val="auto"/>
          <w:highlight w:val="none"/>
        </w:rPr>
        <w:t>按照采购需求中规定的规格尺寸生产供货，不得影响交付正常使用。</w:t>
      </w:r>
    </w:p>
    <w:p w14:paraId="6D4C9DD6">
      <w:pPr>
        <w:pStyle w:val="12"/>
        <w:widowControl/>
        <w:numPr>
          <w:ilvl w:val="0"/>
          <w:numId w:val="17"/>
        </w:numPr>
        <w:rPr>
          <w:color w:val="auto"/>
          <w:highlight w:val="none"/>
        </w:rPr>
      </w:pPr>
      <w:r>
        <w:rPr>
          <w:color w:val="auto"/>
          <w:highlight w:val="none"/>
        </w:rPr>
        <w:t>未中标实样处置：采购结果公告发布后15天内未中标人可与采购人联系，约定时间取回投标实样，逾期不领的将由采购人统一处置。如项目发生质疑、投诉，取回投标实样时间将根据具体情况后延。</w:t>
      </w:r>
    </w:p>
    <w:p w14:paraId="10F06170">
      <w:pPr>
        <w:spacing w:before="1" w:line="360" w:lineRule="auto"/>
        <w:rPr>
          <w:rFonts w:hint="default"/>
          <w:color w:val="auto"/>
          <w:highlight w:val="none"/>
          <w:lang w:val="en-US" w:eastAsia="zh-CN"/>
        </w:rPr>
      </w:pPr>
    </w:p>
    <w:sectPr>
      <w:pgSz w:w="16838" w:h="23811"/>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swiss"/>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微软雅黑">
    <w:altName w:val="方正黑体_GBK"/>
    <w:panose1 w:val="020B0503020204020204"/>
    <w:charset w:val="86"/>
    <w:family w:val="auto"/>
    <w:pitch w:val="default"/>
    <w:sig w:usb0="00000000" w:usb1="00000000" w:usb2="00000016" w:usb3="00000000" w:csb0="0004001F" w:csb1="00000000"/>
  </w:font>
  <w:font w:name="楷体_GB2312">
    <w:panose1 w:val="02010609030101010101"/>
    <w:charset w:val="86"/>
    <w:family w:val="auto"/>
    <w:pitch w:val="default"/>
    <w:sig w:usb0="00000001" w:usb1="080E0000" w:usb2="00000000" w:usb3="00000000" w:csb0="00040000" w:csb1="00000000"/>
  </w:font>
  <w:font w:name="Cambria Math">
    <w:altName w:val="DejaVu Math TeX Gyre"/>
    <w:panose1 w:val="02040503050406030204"/>
    <w:charset w:val="00"/>
    <w:family w:val="roman"/>
    <w:pitch w:val="default"/>
    <w:sig w:usb0="00000000" w:usb1="00000000" w:usb2="02000000" w:usb3="00000000" w:csb0="2000019F" w:csb1="00000000"/>
  </w:font>
  <w:font w:name="DejaVu Math TeX Gyre">
    <w:panose1 w:val="02000503000000000000"/>
    <w:charset w:val="00"/>
    <w:family w:val="auto"/>
    <w:pitch w:val="default"/>
    <w:sig w:usb0="A10000EF" w:usb1="4201F9EE" w:usb2="02000000" w:usb3="00000000" w:csb0="60000193" w:csb1="0DD40000"/>
  </w:font>
  <w:font w:name="MS Mincho">
    <w:altName w:val="方正书宋_GBK"/>
    <w:panose1 w:val="02020609040205080304"/>
    <w:charset w:val="80"/>
    <w:family w:val="modern"/>
    <w:pitch w:val="default"/>
    <w:sig w:usb0="00000000" w:usb1="00000000" w:usb2="08000012" w:usb3="00000000" w:csb0="0002009F" w:csb1="00000000"/>
  </w:font>
  <w:font w:name="文泉驿微米黑">
    <w:panose1 w:val="020B0606030804020204"/>
    <w:charset w:val="86"/>
    <w:family w:val="auto"/>
    <w:pitch w:val="default"/>
    <w:sig w:usb0="E10002EF" w:usb1="6BDFFCFB" w:usb2="00800036" w:usb3="00000000" w:csb0="603E019F" w:csb1="DFD70000"/>
  </w:font>
  <w:font w:name="微软雅黑">
    <w:altName w:val="方正黑体_GBK"/>
    <w:panose1 w:val="00000000000000000000"/>
    <w:charset w:val="00"/>
    <w:family w:val="auto"/>
    <w:pitch w:val="default"/>
    <w:sig w:usb0="00000000" w:usb1="00000000" w:usb2="00000000" w:usb3="00000000" w:csb0="00000000" w:csb1="00000000"/>
  </w:font>
  <w:font w:name="Tahoma">
    <w:altName w:val="noto sans thai"/>
    <w:panose1 w:val="00000000000000000000"/>
    <w:charset w:val="00"/>
    <w:family w:val="auto"/>
    <w:pitch w:val="default"/>
    <w:sig w:usb0="00000000" w:usb1="00000000" w:usb2="00000000" w:usb3="00000000" w:csb0="00000000" w:csb1="00000000"/>
  </w:font>
  <w:font w:name="Arial">
    <w:altName w:val="DejaVu San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1BA5F1">
    <w:pPr>
      <w:pStyle w:val="17"/>
      <w:jc w:val="center"/>
      <w:rPr>
        <w:b/>
        <w:sz w:val="24"/>
        <w:szCs w:val="24"/>
      </w:rPr>
    </w:pPr>
    <w:r>
      <w:rPr>
        <w:b/>
        <w:sz w:val="24"/>
        <w:szCs w:val="24"/>
      </w:rPr>
      <w:fldChar w:fldCharType="begin"/>
    </w:r>
    <w:r>
      <w:rPr>
        <w:b/>
        <w:sz w:val="24"/>
        <w:szCs w:val="24"/>
      </w:rPr>
      <w:instrText xml:space="preserve"> PAGE </w:instrText>
    </w:r>
    <w:r>
      <w:rPr>
        <w:b/>
        <w:sz w:val="24"/>
        <w:szCs w:val="24"/>
      </w:rPr>
      <w:fldChar w:fldCharType="separate"/>
    </w:r>
    <w:r>
      <w:rPr>
        <w:b/>
        <w:sz w:val="24"/>
        <w:szCs w:val="24"/>
      </w:rPr>
      <w:t>3</w:t>
    </w:r>
    <w:r>
      <w:rPr>
        <w:b/>
        <w:sz w:val="24"/>
        <w:szCs w:val="24"/>
      </w:rPr>
      <w:fldChar w:fldCharType="end"/>
    </w:r>
    <w:r>
      <w:rPr>
        <w:lang w:val="zh-CN"/>
      </w:rPr>
      <w:t>/</w:t>
    </w:r>
    <w:r>
      <w:rPr>
        <w:b/>
        <w:sz w:val="24"/>
        <w:szCs w:val="24"/>
      </w:rPr>
      <w:fldChar w:fldCharType="begin"/>
    </w:r>
    <w:r>
      <w:rPr>
        <w:b/>
        <w:sz w:val="24"/>
        <w:szCs w:val="24"/>
      </w:rPr>
      <w:instrText xml:space="preserve"> NUMPAGES \* ARABIC </w:instrText>
    </w:r>
    <w:r>
      <w:rPr>
        <w:b/>
        <w:sz w:val="24"/>
        <w:szCs w:val="24"/>
      </w:rPr>
      <w:fldChar w:fldCharType="separate"/>
    </w:r>
    <w:r>
      <w:rPr>
        <w:b/>
        <w:sz w:val="24"/>
        <w:szCs w:val="24"/>
      </w:rPr>
      <w:t>15</w:t>
    </w:r>
    <w:r>
      <w:rPr>
        <w:b/>
        <w:sz w:val="24"/>
        <w:szCs w:val="24"/>
      </w:rPr>
      <w:fldChar w:fldCharType="end"/>
    </w:r>
  </w:p>
  <w:p w14:paraId="34BA162C">
    <w:pPr>
      <w:pStyle w:val="17"/>
      <w:jc w:val="center"/>
      <w:rPr>
        <w:b/>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C33EAC">
    <w:pPr>
      <w:pStyle w:val="17"/>
      <w:jc w:val="center"/>
    </w:pPr>
    <w:r>
      <w:rPr>
        <w:b/>
        <w:sz w:val="24"/>
        <w:szCs w:val="24"/>
      </w:rPr>
      <w:fldChar w:fldCharType="begin"/>
    </w:r>
    <w:r>
      <w:rPr>
        <w:b/>
        <w:sz w:val="24"/>
        <w:szCs w:val="24"/>
      </w:rPr>
      <w:instrText xml:space="preserve"> PAGE </w:instrText>
    </w:r>
    <w:r>
      <w:rPr>
        <w:b/>
        <w:sz w:val="24"/>
        <w:szCs w:val="24"/>
      </w:rPr>
      <w:fldChar w:fldCharType="separate"/>
    </w:r>
    <w:r>
      <w:rPr>
        <w:b/>
        <w:sz w:val="24"/>
        <w:szCs w:val="24"/>
      </w:rPr>
      <w:t>6</w:t>
    </w:r>
    <w:r>
      <w:rPr>
        <w:b/>
        <w:sz w:val="24"/>
        <w:szCs w:val="24"/>
      </w:rPr>
      <w:fldChar w:fldCharType="end"/>
    </w:r>
    <w:r>
      <w:rPr>
        <w:lang w:val="zh-CN"/>
      </w:rPr>
      <w:t>/</w:t>
    </w:r>
    <w:r>
      <w:rPr>
        <w:b/>
        <w:sz w:val="24"/>
        <w:szCs w:val="24"/>
      </w:rPr>
      <w:fldChar w:fldCharType="begin"/>
    </w:r>
    <w:r>
      <w:rPr>
        <w:b/>
        <w:sz w:val="24"/>
        <w:szCs w:val="24"/>
      </w:rPr>
      <w:instrText xml:space="preserve"> NUMPAGES \* ARABIC </w:instrText>
    </w:r>
    <w:r>
      <w:rPr>
        <w:b/>
        <w:sz w:val="24"/>
        <w:szCs w:val="24"/>
      </w:rPr>
      <w:fldChar w:fldCharType="separate"/>
    </w:r>
    <w:r>
      <w:rPr>
        <w:b/>
        <w:sz w:val="24"/>
        <w:szCs w:val="24"/>
      </w:rPr>
      <w:t>15</w:t>
    </w:r>
    <w:r>
      <w:rPr>
        <w:b/>
        <w:sz w:val="24"/>
        <w:szCs w:val="24"/>
      </w:rPr>
      <w:fldChar w:fldCharType="end"/>
    </w:r>
  </w:p>
  <w:p w14:paraId="0B48049C">
    <w:pPr>
      <w:pStyle w:val="17"/>
      <w:jc w:val="center"/>
      <w:rPr>
        <w:b/>
        <w:sz w:val="24"/>
        <w:szCs w:val="24"/>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9CB3FA"/>
    <w:multiLevelType w:val="singleLevel"/>
    <w:tmpl w:val="859CB3FA"/>
    <w:lvl w:ilvl="0" w:tentative="0">
      <w:start w:val="1"/>
      <w:numFmt w:val="decimal"/>
      <w:suff w:val="nothing"/>
      <w:lvlText w:val="（%1）"/>
      <w:lvlJc w:val="left"/>
    </w:lvl>
  </w:abstractNum>
  <w:abstractNum w:abstractNumId="1">
    <w:nsid w:val="8D74262A"/>
    <w:multiLevelType w:val="singleLevel"/>
    <w:tmpl w:val="8D74262A"/>
    <w:lvl w:ilvl="0" w:tentative="0">
      <w:start w:val="1"/>
      <w:numFmt w:val="decimal"/>
      <w:lvlText w:val="%1."/>
      <w:lvlJc w:val="left"/>
      <w:pPr>
        <w:ind w:left="425" w:hanging="425"/>
      </w:pPr>
      <w:rPr>
        <w:rFonts w:hint="default"/>
      </w:rPr>
    </w:lvl>
  </w:abstractNum>
  <w:abstractNum w:abstractNumId="2">
    <w:nsid w:val="914841DE"/>
    <w:multiLevelType w:val="singleLevel"/>
    <w:tmpl w:val="914841DE"/>
    <w:lvl w:ilvl="0" w:tentative="0">
      <w:start w:val="1"/>
      <w:numFmt w:val="decimal"/>
      <w:pStyle w:val="4"/>
      <w:lvlText w:val="%1."/>
      <w:lvlJc w:val="left"/>
      <w:pPr>
        <w:ind w:left="425" w:hanging="425"/>
      </w:pPr>
      <w:rPr>
        <w:rFonts w:hint="default"/>
      </w:rPr>
    </w:lvl>
  </w:abstractNum>
  <w:abstractNum w:abstractNumId="3">
    <w:nsid w:val="9FF78FA7"/>
    <w:multiLevelType w:val="singleLevel"/>
    <w:tmpl w:val="9FF78FA7"/>
    <w:lvl w:ilvl="0" w:tentative="0">
      <w:start w:val="1"/>
      <w:numFmt w:val="decimal"/>
      <w:pStyle w:val="5"/>
      <w:lvlText w:val="%1)"/>
      <w:lvlJc w:val="left"/>
      <w:pPr>
        <w:ind w:left="425" w:hanging="425"/>
      </w:pPr>
      <w:rPr>
        <w:rFonts w:hint="default"/>
      </w:rPr>
    </w:lvl>
  </w:abstractNum>
  <w:abstractNum w:abstractNumId="4">
    <w:nsid w:val="B1DC59E9"/>
    <w:multiLevelType w:val="singleLevel"/>
    <w:tmpl w:val="B1DC59E9"/>
    <w:lvl w:ilvl="0" w:tentative="0">
      <w:start w:val="1"/>
      <w:numFmt w:val="chineseCounting"/>
      <w:pStyle w:val="3"/>
      <w:suff w:val="nothing"/>
      <w:lvlText w:val="（%1）"/>
      <w:lvlJc w:val="left"/>
      <w:pPr>
        <w:ind w:left="0" w:firstLine="420"/>
      </w:pPr>
      <w:rPr>
        <w:rFonts w:hint="eastAsia"/>
      </w:rPr>
    </w:lvl>
  </w:abstractNum>
  <w:abstractNum w:abstractNumId="5">
    <w:nsid w:val="C9067304"/>
    <w:multiLevelType w:val="singleLevel"/>
    <w:tmpl w:val="C9067304"/>
    <w:lvl w:ilvl="0" w:tentative="0">
      <w:start w:val="2"/>
      <w:numFmt w:val="decimal"/>
      <w:suff w:val="space"/>
      <w:lvlText w:val="%1."/>
      <w:lvlJc w:val="left"/>
    </w:lvl>
  </w:abstractNum>
  <w:abstractNum w:abstractNumId="6">
    <w:nsid w:val="CAFE60F5"/>
    <w:multiLevelType w:val="singleLevel"/>
    <w:tmpl w:val="CAFE60F5"/>
    <w:lvl w:ilvl="0" w:tentative="0">
      <w:start w:val="1"/>
      <w:numFmt w:val="decimal"/>
      <w:suff w:val="nothing"/>
      <w:lvlText w:val="%1、"/>
      <w:lvlJc w:val="left"/>
    </w:lvl>
  </w:abstractNum>
  <w:abstractNum w:abstractNumId="7">
    <w:nsid w:val="D1AD81C7"/>
    <w:multiLevelType w:val="singleLevel"/>
    <w:tmpl w:val="D1AD81C7"/>
    <w:lvl w:ilvl="0" w:tentative="0">
      <w:start w:val="1"/>
      <w:numFmt w:val="decimal"/>
      <w:suff w:val="space"/>
      <w:lvlText w:val="(%1)"/>
      <w:lvlJc w:val="left"/>
      <w:pPr>
        <w:ind w:left="0" w:firstLine="484"/>
      </w:pPr>
      <w:rPr>
        <w:rFonts w:hint="default"/>
      </w:rPr>
    </w:lvl>
  </w:abstractNum>
  <w:abstractNum w:abstractNumId="8">
    <w:nsid w:val="D7FFFF85"/>
    <w:multiLevelType w:val="singleLevel"/>
    <w:tmpl w:val="D7FFFF85"/>
    <w:lvl w:ilvl="0" w:tentative="0">
      <w:start w:val="1"/>
      <w:numFmt w:val="decimal"/>
      <w:suff w:val="nothing"/>
      <w:lvlText w:val="（%1）"/>
      <w:lvlJc w:val="left"/>
    </w:lvl>
  </w:abstractNum>
  <w:abstractNum w:abstractNumId="9">
    <w:nsid w:val="EF9813B5"/>
    <w:multiLevelType w:val="singleLevel"/>
    <w:tmpl w:val="EF9813B5"/>
    <w:lvl w:ilvl="0" w:tentative="0">
      <w:start w:val="1"/>
      <w:numFmt w:val="decimal"/>
      <w:suff w:val="nothing"/>
      <w:lvlText w:val="（%1）"/>
      <w:lvlJc w:val="left"/>
    </w:lvl>
  </w:abstractNum>
  <w:abstractNum w:abstractNumId="10">
    <w:nsid w:val="EFF89C21"/>
    <w:multiLevelType w:val="singleLevel"/>
    <w:tmpl w:val="EFF89C21"/>
    <w:lvl w:ilvl="0" w:tentative="0">
      <w:start w:val="1"/>
      <w:numFmt w:val="decimal"/>
      <w:suff w:val="nothing"/>
      <w:lvlText w:val="（%1）"/>
      <w:lvlJc w:val="left"/>
    </w:lvl>
  </w:abstractNum>
  <w:abstractNum w:abstractNumId="11">
    <w:nsid w:val="0012A0A6"/>
    <w:multiLevelType w:val="multilevel"/>
    <w:tmpl w:val="0012A0A6"/>
    <w:lvl w:ilvl="0" w:tentative="0">
      <w:start w:val="1"/>
      <w:numFmt w:val="chineseCounting"/>
      <w:suff w:val="nothing"/>
      <w:lvlText w:val="%1、"/>
      <w:lvlJc w:val="left"/>
      <w:pPr>
        <w:ind w:left="0" w:firstLine="0"/>
      </w:pPr>
      <w:rPr>
        <w:rFonts w:hint="eastAsia"/>
      </w:rPr>
    </w:lvl>
    <w:lvl w:ilvl="1" w:tentative="0">
      <w:start w:val="1"/>
      <w:numFmt w:val="chineseCounting"/>
      <w:suff w:val="nothing"/>
      <w:lvlText w:val="（%2）"/>
      <w:lvlJc w:val="left"/>
      <w:pPr>
        <w:ind w:left="0" w:firstLine="0"/>
      </w:pPr>
      <w:rPr>
        <w:rFonts w:hint="eastAsia"/>
      </w:rPr>
    </w:lvl>
    <w:lvl w:ilvl="2" w:tentative="0">
      <w:start w:val="1"/>
      <w:numFmt w:val="chineseCounting"/>
      <w:suff w:val="nothing"/>
      <w:lvlText w:val="（%3）"/>
      <w:lvlJc w:val="left"/>
      <w:pPr>
        <w:tabs>
          <w:tab w:val="left" w:pos="0"/>
        </w:tabs>
        <w:ind w:left="0" w:firstLine="0"/>
      </w:pPr>
      <w:rPr>
        <w:rFonts w:hint="eastAsia"/>
      </w:rPr>
    </w:lvl>
    <w:lvl w:ilvl="3" w:tentative="0">
      <w:start w:val="1"/>
      <w:numFmt w:val="decimal"/>
      <w:suff w:val="nothing"/>
      <w:lvlText w:val="%4."/>
      <w:lvlJc w:val="left"/>
      <w:pPr>
        <w:tabs>
          <w:tab w:val="left" w:pos="0"/>
        </w:tabs>
        <w:ind w:left="0" w:firstLine="0"/>
      </w:pPr>
      <w:rPr>
        <w:rFonts w:hint="eastAsia"/>
      </w:rPr>
    </w:lvl>
    <w:lvl w:ilvl="4" w:tentative="0">
      <w:start w:val="1"/>
      <w:numFmt w:val="decimalEnclosedCircleChinese"/>
      <w:pStyle w:val="6"/>
      <w:suff w:val="nothing"/>
      <w:lvlText w:val="%5"/>
      <w:lvlJc w:val="left"/>
      <w:pPr>
        <w:ind w:left="0" w:firstLine="402"/>
      </w:pPr>
      <w:rPr>
        <w:rFonts w:hint="eastAsia"/>
      </w:rPr>
    </w:lvl>
    <w:lvl w:ilvl="5" w:tentative="0">
      <w:start w:val="1"/>
      <w:numFmt w:val="decimal"/>
      <w:pStyle w:val="7"/>
      <w:suff w:val="nothing"/>
      <w:lvlText w:val="%6）"/>
      <w:lvlJc w:val="left"/>
      <w:pPr>
        <w:ind w:left="0" w:firstLine="402"/>
      </w:pPr>
      <w:rPr>
        <w:rFonts w:hint="eastAsia"/>
      </w:rPr>
    </w:lvl>
    <w:lvl w:ilvl="6" w:tentative="0">
      <w:start w:val="1"/>
      <w:numFmt w:val="lowerLetter"/>
      <w:pStyle w:val="8"/>
      <w:suff w:val="nothing"/>
      <w:lvlText w:val="%7．"/>
      <w:lvlJc w:val="left"/>
      <w:pPr>
        <w:ind w:left="0" w:firstLine="402"/>
      </w:pPr>
      <w:rPr>
        <w:rFonts w:hint="eastAsia"/>
      </w:rPr>
    </w:lvl>
    <w:lvl w:ilvl="7" w:tentative="0">
      <w:start w:val="1"/>
      <w:numFmt w:val="lowerLetter"/>
      <w:pStyle w:val="9"/>
      <w:suff w:val="nothing"/>
      <w:lvlText w:val="%8）"/>
      <w:lvlJc w:val="left"/>
      <w:pPr>
        <w:ind w:left="0" w:firstLine="402"/>
      </w:pPr>
      <w:rPr>
        <w:rFonts w:hint="eastAsia"/>
      </w:rPr>
    </w:lvl>
    <w:lvl w:ilvl="8" w:tentative="0">
      <w:start w:val="1"/>
      <w:numFmt w:val="lowerRoman"/>
      <w:pStyle w:val="10"/>
      <w:suff w:val="nothing"/>
      <w:lvlText w:val="%9 "/>
      <w:lvlJc w:val="left"/>
      <w:pPr>
        <w:ind w:left="0" w:firstLine="402"/>
      </w:pPr>
      <w:rPr>
        <w:rFonts w:hint="eastAsia"/>
      </w:rPr>
    </w:lvl>
  </w:abstractNum>
  <w:abstractNum w:abstractNumId="12">
    <w:nsid w:val="0C3FB5E8"/>
    <w:multiLevelType w:val="singleLevel"/>
    <w:tmpl w:val="0C3FB5E8"/>
    <w:lvl w:ilvl="0" w:tentative="0">
      <w:start w:val="1"/>
      <w:numFmt w:val="lowerLetter"/>
      <w:suff w:val="space"/>
      <w:lvlText w:val="%1."/>
      <w:lvlJc w:val="left"/>
      <w:pPr>
        <w:ind w:left="0" w:firstLine="484"/>
      </w:pPr>
      <w:rPr>
        <w:rFonts w:hint="default"/>
      </w:rPr>
    </w:lvl>
  </w:abstractNum>
  <w:abstractNum w:abstractNumId="13">
    <w:nsid w:val="3191FD4D"/>
    <w:multiLevelType w:val="singleLevel"/>
    <w:tmpl w:val="3191FD4D"/>
    <w:lvl w:ilvl="0" w:tentative="0">
      <w:start w:val="1"/>
      <w:numFmt w:val="decimal"/>
      <w:suff w:val="nothing"/>
      <w:lvlText w:val="（%1）"/>
      <w:lvlJc w:val="left"/>
    </w:lvl>
  </w:abstractNum>
  <w:abstractNum w:abstractNumId="14">
    <w:nsid w:val="44F72682"/>
    <w:multiLevelType w:val="singleLevel"/>
    <w:tmpl w:val="44F72682"/>
    <w:lvl w:ilvl="0" w:tentative="0">
      <w:start w:val="1"/>
      <w:numFmt w:val="decimal"/>
      <w:suff w:val="nothing"/>
      <w:lvlText w:val="（%1）"/>
      <w:lvlJc w:val="left"/>
      <w:pPr>
        <w:ind w:left="0" w:firstLine="484"/>
      </w:pPr>
      <w:rPr>
        <w:rFonts w:hint="default"/>
      </w:rPr>
    </w:lvl>
  </w:abstractNum>
  <w:abstractNum w:abstractNumId="15">
    <w:nsid w:val="4C8FD713"/>
    <w:multiLevelType w:val="singleLevel"/>
    <w:tmpl w:val="4C8FD713"/>
    <w:lvl w:ilvl="0" w:tentative="0">
      <w:start w:val="1"/>
      <w:numFmt w:val="chineseCounting"/>
      <w:pStyle w:val="2"/>
      <w:suff w:val="nothing"/>
      <w:lvlText w:val="%1、"/>
      <w:lvlJc w:val="left"/>
      <w:pPr>
        <w:ind w:left="0" w:firstLine="420"/>
      </w:pPr>
      <w:rPr>
        <w:rFonts w:hint="eastAsia"/>
      </w:rPr>
    </w:lvl>
  </w:abstractNum>
  <w:abstractNum w:abstractNumId="16">
    <w:nsid w:val="5EB49490"/>
    <w:multiLevelType w:val="singleLevel"/>
    <w:tmpl w:val="5EB49490"/>
    <w:lvl w:ilvl="0" w:tentative="0">
      <w:start w:val="1"/>
      <w:numFmt w:val="decimal"/>
      <w:suff w:val="space"/>
      <w:lvlText w:val="%1."/>
      <w:lvlJc w:val="left"/>
      <w:pPr>
        <w:ind w:left="0" w:firstLine="0"/>
      </w:pPr>
      <w:rPr>
        <w:rFonts w:hint="default"/>
      </w:rPr>
    </w:lvl>
  </w:abstractNum>
  <w:num w:numId="1">
    <w:abstractNumId w:val="15"/>
  </w:num>
  <w:num w:numId="2">
    <w:abstractNumId w:val="4"/>
  </w:num>
  <w:num w:numId="3">
    <w:abstractNumId w:val="2"/>
  </w:num>
  <w:num w:numId="4">
    <w:abstractNumId w:val="3"/>
  </w:num>
  <w:num w:numId="5">
    <w:abstractNumId w:val="11"/>
  </w:num>
  <w:num w:numId="6">
    <w:abstractNumId w:val="16"/>
  </w:num>
  <w:num w:numId="7">
    <w:abstractNumId w:val="1"/>
  </w:num>
  <w:num w:numId="8">
    <w:abstractNumId w:val="10"/>
  </w:num>
  <w:num w:numId="9">
    <w:abstractNumId w:val="9"/>
  </w:num>
  <w:num w:numId="10">
    <w:abstractNumId w:val="0"/>
  </w:num>
  <w:num w:numId="11">
    <w:abstractNumId w:val="8"/>
  </w:num>
  <w:num w:numId="12">
    <w:abstractNumId w:val="14"/>
  </w:num>
  <w:num w:numId="13">
    <w:abstractNumId w:val="6"/>
  </w:num>
  <w:num w:numId="14">
    <w:abstractNumId w:val="7"/>
  </w:num>
  <w:num w:numId="15">
    <w:abstractNumId w:val="5"/>
  </w:num>
  <w:num w:numId="16">
    <w:abstractNumId w:val="13"/>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ECB5A17"/>
    <w:rsid w:val="0037685A"/>
    <w:rsid w:val="003B07B2"/>
    <w:rsid w:val="003D087D"/>
    <w:rsid w:val="004312F3"/>
    <w:rsid w:val="0046375D"/>
    <w:rsid w:val="005753D8"/>
    <w:rsid w:val="00605F58"/>
    <w:rsid w:val="009536A7"/>
    <w:rsid w:val="00A93144"/>
    <w:rsid w:val="00BC0A3D"/>
    <w:rsid w:val="00C530D1"/>
    <w:rsid w:val="00C8793B"/>
    <w:rsid w:val="00E50D10"/>
    <w:rsid w:val="00EB1A9E"/>
    <w:rsid w:val="00F131E3"/>
    <w:rsid w:val="01BC1D88"/>
    <w:rsid w:val="02176F34"/>
    <w:rsid w:val="02A4476B"/>
    <w:rsid w:val="03115D87"/>
    <w:rsid w:val="03D82321"/>
    <w:rsid w:val="04BF763A"/>
    <w:rsid w:val="04E45525"/>
    <w:rsid w:val="06555821"/>
    <w:rsid w:val="07353EBD"/>
    <w:rsid w:val="07F341CA"/>
    <w:rsid w:val="086E53D7"/>
    <w:rsid w:val="08A609C9"/>
    <w:rsid w:val="098E3A7F"/>
    <w:rsid w:val="0A3B7458"/>
    <w:rsid w:val="0A674640"/>
    <w:rsid w:val="0ABE04E4"/>
    <w:rsid w:val="0BEF2824"/>
    <w:rsid w:val="0D0B3749"/>
    <w:rsid w:val="0D1C2829"/>
    <w:rsid w:val="0D98330A"/>
    <w:rsid w:val="0EF80318"/>
    <w:rsid w:val="0F4A1D24"/>
    <w:rsid w:val="10E26CD6"/>
    <w:rsid w:val="10FE5858"/>
    <w:rsid w:val="11CC470E"/>
    <w:rsid w:val="130B7721"/>
    <w:rsid w:val="13382E3A"/>
    <w:rsid w:val="13DC6B1D"/>
    <w:rsid w:val="13EB6D63"/>
    <w:rsid w:val="140F3358"/>
    <w:rsid w:val="14224495"/>
    <w:rsid w:val="14946D53"/>
    <w:rsid w:val="15375476"/>
    <w:rsid w:val="160D7976"/>
    <w:rsid w:val="18194337"/>
    <w:rsid w:val="18866B61"/>
    <w:rsid w:val="19CE7809"/>
    <w:rsid w:val="1A400DC5"/>
    <w:rsid w:val="1A537D34"/>
    <w:rsid w:val="1C0820CC"/>
    <w:rsid w:val="1DD41F50"/>
    <w:rsid w:val="1E0A6237"/>
    <w:rsid w:val="1E0F2F88"/>
    <w:rsid w:val="1E4B6404"/>
    <w:rsid w:val="1E641526"/>
    <w:rsid w:val="1E672BF1"/>
    <w:rsid w:val="1EFAB774"/>
    <w:rsid w:val="21117017"/>
    <w:rsid w:val="216B7513"/>
    <w:rsid w:val="226333FC"/>
    <w:rsid w:val="22EA0966"/>
    <w:rsid w:val="23D27417"/>
    <w:rsid w:val="23EF693F"/>
    <w:rsid w:val="2422425D"/>
    <w:rsid w:val="25071E59"/>
    <w:rsid w:val="250848CE"/>
    <w:rsid w:val="25634453"/>
    <w:rsid w:val="25B4441A"/>
    <w:rsid w:val="26416152"/>
    <w:rsid w:val="26D134D1"/>
    <w:rsid w:val="28AC5FA3"/>
    <w:rsid w:val="29007070"/>
    <w:rsid w:val="294F0DD5"/>
    <w:rsid w:val="2A1F43F1"/>
    <w:rsid w:val="2AC45212"/>
    <w:rsid w:val="2B81100C"/>
    <w:rsid w:val="2BA546D9"/>
    <w:rsid w:val="2BD644FA"/>
    <w:rsid w:val="2BF0264B"/>
    <w:rsid w:val="2C4D4D4D"/>
    <w:rsid w:val="2D7809B9"/>
    <w:rsid w:val="2DE317F7"/>
    <w:rsid w:val="2ECB5A17"/>
    <w:rsid w:val="2EF16493"/>
    <w:rsid w:val="301F4BCA"/>
    <w:rsid w:val="311A1F18"/>
    <w:rsid w:val="31572824"/>
    <w:rsid w:val="31D17460"/>
    <w:rsid w:val="32B23FA0"/>
    <w:rsid w:val="33463EAF"/>
    <w:rsid w:val="335E08A0"/>
    <w:rsid w:val="33B14D88"/>
    <w:rsid w:val="341E5E27"/>
    <w:rsid w:val="35121E99"/>
    <w:rsid w:val="35E77309"/>
    <w:rsid w:val="35EE321F"/>
    <w:rsid w:val="36552BBE"/>
    <w:rsid w:val="37720638"/>
    <w:rsid w:val="37C242B9"/>
    <w:rsid w:val="38C0690E"/>
    <w:rsid w:val="39EF6618"/>
    <w:rsid w:val="3A767B24"/>
    <w:rsid w:val="3AC7025D"/>
    <w:rsid w:val="3AD45EA3"/>
    <w:rsid w:val="3BC606A0"/>
    <w:rsid w:val="3C0812EB"/>
    <w:rsid w:val="3C0B1BFE"/>
    <w:rsid w:val="3C6E21CE"/>
    <w:rsid w:val="3CC32BDE"/>
    <w:rsid w:val="3D224897"/>
    <w:rsid w:val="3DF618A7"/>
    <w:rsid w:val="3E0D27C1"/>
    <w:rsid w:val="3E400D6C"/>
    <w:rsid w:val="3E4D3320"/>
    <w:rsid w:val="3E6735CB"/>
    <w:rsid w:val="3EDC6A5F"/>
    <w:rsid w:val="3F174FE3"/>
    <w:rsid w:val="3F943F78"/>
    <w:rsid w:val="40182CEB"/>
    <w:rsid w:val="41F5659D"/>
    <w:rsid w:val="42F21FE1"/>
    <w:rsid w:val="43550F9F"/>
    <w:rsid w:val="43906987"/>
    <w:rsid w:val="43960AC9"/>
    <w:rsid w:val="46733805"/>
    <w:rsid w:val="46BA1434"/>
    <w:rsid w:val="49900B72"/>
    <w:rsid w:val="49B758A3"/>
    <w:rsid w:val="49E80350"/>
    <w:rsid w:val="4E4023E8"/>
    <w:rsid w:val="503C69AA"/>
    <w:rsid w:val="50B1371E"/>
    <w:rsid w:val="512378F9"/>
    <w:rsid w:val="52304CA0"/>
    <w:rsid w:val="534B78C9"/>
    <w:rsid w:val="53D1048A"/>
    <w:rsid w:val="559D62AC"/>
    <w:rsid w:val="565E38AA"/>
    <w:rsid w:val="57237F93"/>
    <w:rsid w:val="57621726"/>
    <w:rsid w:val="576F4E59"/>
    <w:rsid w:val="580778EF"/>
    <w:rsid w:val="5837555F"/>
    <w:rsid w:val="5A2C1B73"/>
    <w:rsid w:val="5A4072A0"/>
    <w:rsid w:val="5A837DE0"/>
    <w:rsid w:val="5B0547A1"/>
    <w:rsid w:val="5B084200"/>
    <w:rsid w:val="5B0B0FA8"/>
    <w:rsid w:val="5B2D3ED3"/>
    <w:rsid w:val="5BC3702D"/>
    <w:rsid w:val="5C3F7E9C"/>
    <w:rsid w:val="5C480E38"/>
    <w:rsid w:val="5D52695E"/>
    <w:rsid w:val="5DAE78AC"/>
    <w:rsid w:val="5F061AAA"/>
    <w:rsid w:val="5FE377F5"/>
    <w:rsid w:val="603C5455"/>
    <w:rsid w:val="61200365"/>
    <w:rsid w:val="623702AA"/>
    <w:rsid w:val="625954CB"/>
    <w:rsid w:val="63062EA9"/>
    <w:rsid w:val="640839D2"/>
    <w:rsid w:val="642E58A0"/>
    <w:rsid w:val="656D289C"/>
    <w:rsid w:val="674F55BB"/>
    <w:rsid w:val="675A043F"/>
    <w:rsid w:val="68293494"/>
    <w:rsid w:val="69BC4694"/>
    <w:rsid w:val="6A30450D"/>
    <w:rsid w:val="6A5E3E96"/>
    <w:rsid w:val="6C321256"/>
    <w:rsid w:val="6D070494"/>
    <w:rsid w:val="6D4E2047"/>
    <w:rsid w:val="6D8008FA"/>
    <w:rsid w:val="6DF66946"/>
    <w:rsid w:val="6E4B1531"/>
    <w:rsid w:val="6E614DDF"/>
    <w:rsid w:val="6F615DB3"/>
    <w:rsid w:val="70B854E6"/>
    <w:rsid w:val="716E686F"/>
    <w:rsid w:val="718801FD"/>
    <w:rsid w:val="71FB79C9"/>
    <w:rsid w:val="7301648A"/>
    <w:rsid w:val="74386114"/>
    <w:rsid w:val="76FF6BD3"/>
    <w:rsid w:val="779D2D80"/>
    <w:rsid w:val="79850DC6"/>
    <w:rsid w:val="79ED32F3"/>
    <w:rsid w:val="7A2A13AC"/>
    <w:rsid w:val="7B152B01"/>
    <w:rsid w:val="7CD82E49"/>
    <w:rsid w:val="7CEC0E6E"/>
    <w:rsid w:val="7DF6F991"/>
    <w:rsid w:val="7E02000D"/>
    <w:rsid w:val="7F0B3B5E"/>
    <w:rsid w:val="7F36CE9E"/>
    <w:rsid w:val="7FDDE131"/>
    <w:rsid w:val="9DD7222B"/>
    <w:rsid w:val="BB7D6764"/>
    <w:rsid w:val="BEE3D16E"/>
    <w:rsid w:val="EFB91F96"/>
    <w:rsid w:val="FF3B1E27"/>
    <w:rsid w:val="FFFF47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link w:val="28"/>
    <w:qFormat/>
    <w:uiPriority w:val="0"/>
    <w:pPr>
      <w:numPr>
        <w:ilvl w:val="0"/>
        <w:numId w:val="1"/>
      </w:numPr>
      <w:adjustRightInd w:val="0"/>
      <w:spacing w:before="320" w:line="300" w:lineRule="auto"/>
      <w:ind w:firstLine="0"/>
      <w:outlineLvl w:val="0"/>
    </w:pPr>
    <w:rPr>
      <w:rFonts w:eastAsia="黑体"/>
      <w:color w:val="000000"/>
      <w:kern w:val="44"/>
      <w:sz w:val="32"/>
      <w:szCs w:val="44"/>
    </w:rPr>
  </w:style>
  <w:style w:type="paragraph" w:styleId="3">
    <w:name w:val="heading 2"/>
    <w:next w:val="1"/>
    <w:link w:val="22"/>
    <w:semiHidden/>
    <w:unhideWhenUsed/>
    <w:qFormat/>
    <w:uiPriority w:val="0"/>
    <w:pPr>
      <w:widowControl w:val="0"/>
      <w:numPr>
        <w:ilvl w:val="0"/>
        <w:numId w:val="2"/>
      </w:numPr>
      <w:adjustRightInd w:val="0"/>
      <w:spacing w:before="280" w:line="300" w:lineRule="auto"/>
      <w:jc w:val="both"/>
      <w:outlineLvl w:val="1"/>
    </w:pPr>
    <w:rPr>
      <w:rFonts w:ascii="Times New Roman" w:hAnsi="Times New Roman" w:eastAsia="黑体" w:cs="Times New Roman"/>
      <w:kern w:val="2"/>
      <w:sz w:val="30"/>
      <w:szCs w:val="32"/>
      <w:lang w:val="en-US" w:eastAsia="zh-CN" w:bidi="ar-SA"/>
    </w:rPr>
  </w:style>
  <w:style w:type="paragraph" w:styleId="4">
    <w:name w:val="heading 3"/>
    <w:next w:val="1"/>
    <w:link w:val="29"/>
    <w:semiHidden/>
    <w:unhideWhenUsed/>
    <w:qFormat/>
    <w:uiPriority w:val="0"/>
    <w:pPr>
      <w:keepNext/>
      <w:keepLines/>
      <w:widowControl w:val="0"/>
      <w:numPr>
        <w:ilvl w:val="0"/>
        <w:numId w:val="3"/>
      </w:numPr>
      <w:adjustRightInd w:val="0"/>
      <w:spacing w:before="240" w:line="300" w:lineRule="auto"/>
      <w:jc w:val="both"/>
      <w:outlineLvl w:val="2"/>
    </w:pPr>
    <w:rPr>
      <w:rFonts w:ascii="Times New Roman" w:hAnsi="Times New Roman" w:eastAsia="黑体" w:cs="Times New Roman"/>
      <w:kern w:val="2"/>
      <w:sz w:val="30"/>
      <w:szCs w:val="24"/>
      <w:lang w:val="en-US" w:eastAsia="zh-CN" w:bidi="ar-SA"/>
    </w:rPr>
  </w:style>
  <w:style w:type="paragraph" w:styleId="5">
    <w:name w:val="heading 4"/>
    <w:next w:val="1"/>
    <w:semiHidden/>
    <w:unhideWhenUsed/>
    <w:qFormat/>
    <w:uiPriority w:val="0"/>
    <w:pPr>
      <w:keepNext/>
      <w:keepLines/>
      <w:widowControl w:val="0"/>
      <w:numPr>
        <w:ilvl w:val="0"/>
        <w:numId w:val="4"/>
      </w:numPr>
      <w:adjustRightInd w:val="0"/>
      <w:spacing w:before="200" w:line="300" w:lineRule="auto"/>
      <w:jc w:val="both"/>
      <w:outlineLvl w:val="3"/>
    </w:pPr>
    <w:rPr>
      <w:rFonts w:ascii="Times New Roman" w:hAnsi="Times New Roman" w:eastAsia="黑体" w:cs="Times New Roman"/>
      <w:bCs/>
      <w:kern w:val="2"/>
      <w:sz w:val="28"/>
      <w:szCs w:val="28"/>
      <w:lang w:val="en-US" w:eastAsia="zh-CN" w:bidi="ar-SA"/>
    </w:rPr>
  </w:style>
  <w:style w:type="paragraph" w:styleId="6">
    <w:name w:val="heading 5"/>
    <w:basedOn w:val="1"/>
    <w:next w:val="1"/>
    <w:semiHidden/>
    <w:unhideWhenUsed/>
    <w:qFormat/>
    <w:uiPriority w:val="0"/>
    <w:pPr>
      <w:keepNext/>
      <w:keepLines/>
      <w:numPr>
        <w:ilvl w:val="4"/>
        <w:numId w:val="5"/>
      </w:numPr>
      <w:tabs>
        <w:tab w:val="left" w:pos="0"/>
      </w:tabs>
      <w:spacing w:before="280" w:after="290" w:line="372" w:lineRule="auto"/>
      <w:outlineLvl w:val="4"/>
    </w:pPr>
    <w:rPr>
      <w:b/>
      <w:sz w:val="28"/>
    </w:rPr>
  </w:style>
  <w:style w:type="paragraph" w:styleId="7">
    <w:name w:val="heading 6"/>
    <w:basedOn w:val="1"/>
    <w:next w:val="1"/>
    <w:semiHidden/>
    <w:unhideWhenUsed/>
    <w:qFormat/>
    <w:uiPriority w:val="0"/>
    <w:pPr>
      <w:keepNext/>
      <w:keepLines/>
      <w:numPr>
        <w:ilvl w:val="5"/>
        <w:numId w:val="5"/>
      </w:numPr>
      <w:tabs>
        <w:tab w:val="left" w:pos="420"/>
      </w:tabs>
      <w:spacing w:before="240" w:after="64" w:line="317" w:lineRule="auto"/>
      <w:outlineLvl w:val="5"/>
    </w:pPr>
    <w:rPr>
      <w:rFonts w:ascii="Arial" w:hAnsi="Arial" w:eastAsia="黑体"/>
      <w:b/>
      <w:sz w:val="24"/>
    </w:rPr>
  </w:style>
  <w:style w:type="paragraph" w:styleId="8">
    <w:name w:val="heading 7"/>
    <w:basedOn w:val="1"/>
    <w:next w:val="1"/>
    <w:semiHidden/>
    <w:unhideWhenUsed/>
    <w:qFormat/>
    <w:uiPriority w:val="0"/>
    <w:pPr>
      <w:keepNext/>
      <w:keepLines/>
      <w:numPr>
        <w:ilvl w:val="6"/>
        <w:numId w:val="5"/>
      </w:numPr>
      <w:tabs>
        <w:tab w:val="left" w:pos="0"/>
      </w:tabs>
      <w:spacing w:before="240" w:after="64" w:line="317" w:lineRule="auto"/>
      <w:outlineLvl w:val="6"/>
    </w:pPr>
    <w:rPr>
      <w:b/>
      <w:sz w:val="24"/>
    </w:rPr>
  </w:style>
  <w:style w:type="paragraph" w:styleId="9">
    <w:name w:val="heading 8"/>
    <w:basedOn w:val="1"/>
    <w:next w:val="1"/>
    <w:semiHidden/>
    <w:unhideWhenUsed/>
    <w:qFormat/>
    <w:uiPriority w:val="0"/>
    <w:pPr>
      <w:keepNext/>
      <w:keepLines/>
      <w:numPr>
        <w:ilvl w:val="7"/>
        <w:numId w:val="5"/>
      </w:numPr>
      <w:spacing w:before="240" w:after="64" w:line="317" w:lineRule="auto"/>
      <w:outlineLvl w:val="7"/>
    </w:pPr>
    <w:rPr>
      <w:rFonts w:ascii="Arial" w:hAnsi="Arial" w:eastAsia="黑体"/>
      <w:sz w:val="24"/>
    </w:rPr>
  </w:style>
  <w:style w:type="paragraph" w:styleId="10">
    <w:name w:val="heading 9"/>
    <w:basedOn w:val="1"/>
    <w:next w:val="1"/>
    <w:semiHidden/>
    <w:unhideWhenUsed/>
    <w:qFormat/>
    <w:uiPriority w:val="0"/>
    <w:pPr>
      <w:keepNext/>
      <w:keepLines/>
      <w:numPr>
        <w:ilvl w:val="8"/>
        <w:numId w:val="5"/>
      </w:numPr>
      <w:tabs>
        <w:tab w:val="left" w:pos="0"/>
      </w:tabs>
      <w:spacing w:before="240" w:after="64" w:line="317" w:lineRule="auto"/>
      <w:outlineLvl w:val="8"/>
    </w:pPr>
    <w:rPr>
      <w:rFonts w:ascii="Arial" w:hAnsi="Arial" w:eastAsia="黑体"/>
    </w:rPr>
  </w:style>
  <w:style w:type="character" w:default="1" w:styleId="21">
    <w:name w:val="Default Paragraph Font"/>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11">
    <w:name w:val="annotation text"/>
    <w:basedOn w:val="1"/>
    <w:semiHidden/>
    <w:unhideWhenUsed/>
    <w:qFormat/>
    <w:uiPriority w:val="99"/>
    <w:pPr>
      <w:jc w:val="left"/>
    </w:pPr>
  </w:style>
  <w:style w:type="paragraph" w:styleId="12">
    <w:name w:val="Body Text"/>
    <w:next w:val="13"/>
    <w:link w:val="30"/>
    <w:qFormat/>
    <w:uiPriority w:val="0"/>
    <w:pPr>
      <w:widowControl w:val="0"/>
      <w:adjustRightInd w:val="0"/>
      <w:spacing w:before="100" w:after="100" w:line="300" w:lineRule="auto"/>
      <w:jc w:val="both"/>
    </w:pPr>
    <w:rPr>
      <w:rFonts w:ascii="Times New Roman" w:hAnsi="Times New Roman" w:eastAsia="宋体" w:cs="Times New Roman"/>
      <w:kern w:val="2"/>
      <w:sz w:val="24"/>
      <w:szCs w:val="24"/>
      <w:lang w:val="en-US" w:eastAsia="zh-CN" w:bidi="ar-SA"/>
    </w:rPr>
  </w:style>
  <w:style w:type="paragraph" w:customStyle="1" w:styleId="13">
    <w:name w:val="正文首行缩进1"/>
    <w:basedOn w:val="12"/>
    <w:next w:val="14"/>
    <w:qFormat/>
    <w:uiPriority w:val="0"/>
    <w:pPr>
      <w:ind w:firstLine="420"/>
    </w:pPr>
  </w:style>
  <w:style w:type="paragraph" w:styleId="14">
    <w:name w:val="toc 6"/>
    <w:basedOn w:val="1"/>
    <w:next w:val="1"/>
    <w:qFormat/>
    <w:uiPriority w:val="0"/>
    <w:pPr>
      <w:ind w:left="2100"/>
    </w:pPr>
  </w:style>
  <w:style w:type="paragraph" w:styleId="15">
    <w:name w:val="toc 3"/>
    <w:basedOn w:val="1"/>
    <w:next w:val="1"/>
    <w:qFormat/>
    <w:uiPriority w:val="0"/>
    <w:pPr>
      <w:widowControl/>
      <w:spacing w:line="360" w:lineRule="auto"/>
      <w:ind w:left="960" w:leftChars="400"/>
      <w:jc w:val="left"/>
    </w:pPr>
    <w:rPr>
      <w:rFonts w:eastAsia="仿宋"/>
      <w:kern w:val="0"/>
    </w:rPr>
  </w:style>
  <w:style w:type="paragraph" w:styleId="16">
    <w:name w:val="Plain Text"/>
    <w:basedOn w:val="1"/>
    <w:qFormat/>
    <w:uiPriority w:val="0"/>
    <w:rPr>
      <w:rFonts w:ascii="宋体" w:hAnsi="Courier New"/>
    </w:rPr>
  </w:style>
  <w:style w:type="paragraph" w:styleId="17">
    <w:name w:val="footer"/>
    <w:basedOn w:val="1"/>
    <w:unhideWhenUsed/>
    <w:qFormat/>
    <w:uiPriority w:val="99"/>
    <w:pPr>
      <w:tabs>
        <w:tab w:val="center" w:pos="4153"/>
        <w:tab w:val="right" w:pos="8306"/>
      </w:tabs>
      <w:snapToGrid w:val="0"/>
      <w:jc w:val="left"/>
    </w:pPr>
    <w:rPr>
      <w:sz w:val="18"/>
      <w:szCs w:val="18"/>
    </w:rPr>
  </w:style>
  <w:style w:type="paragraph" w:styleId="18">
    <w:name w:val="toc 1"/>
    <w:basedOn w:val="1"/>
    <w:next w:val="1"/>
    <w:qFormat/>
    <w:uiPriority w:val="0"/>
    <w:pPr>
      <w:widowControl/>
      <w:spacing w:after="100" w:line="259" w:lineRule="auto"/>
      <w:jc w:val="left"/>
    </w:pPr>
    <w:rPr>
      <w:rFonts w:eastAsia="仿宋" w:asciiTheme="minorHAnsi" w:hAnsiTheme="minorHAnsi"/>
      <w:b/>
      <w:kern w:val="0"/>
      <w:sz w:val="32"/>
    </w:rPr>
  </w:style>
  <w:style w:type="paragraph" w:styleId="19">
    <w:name w:val="toc 2"/>
    <w:basedOn w:val="1"/>
    <w:next w:val="1"/>
    <w:qFormat/>
    <w:uiPriority w:val="0"/>
    <w:pPr>
      <w:spacing w:before="50" w:beforeLines="50"/>
      <w:ind w:left="420" w:leftChars="200"/>
    </w:pPr>
    <w:rPr>
      <w:rFonts w:eastAsia="仿宋"/>
      <w:sz w:val="28"/>
    </w:rPr>
  </w:style>
  <w:style w:type="character" w:customStyle="1" w:styleId="22">
    <w:name w:val="标题 2 字符"/>
    <w:link w:val="3"/>
    <w:autoRedefine/>
    <w:semiHidden/>
    <w:qFormat/>
    <w:uiPriority w:val="9"/>
    <w:rPr>
      <w:rFonts w:ascii="Times New Roman" w:hAnsi="Times New Roman" w:eastAsia="微软雅黑" w:cs="Times New Roman"/>
      <w:b/>
      <w:bCs/>
      <w:kern w:val="2"/>
      <w:sz w:val="28"/>
      <w:szCs w:val="28"/>
      <w:lang w:val="en-US" w:eastAsia="zh-CN" w:bidi="ar-SA"/>
    </w:rPr>
  </w:style>
  <w:style w:type="paragraph" w:customStyle="1" w:styleId="23">
    <w:name w:val="表格文字"/>
    <w:basedOn w:val="16"/>
    <w:next w:val="12"/>
    <w:qFormat/>
    <w:uiPriority w:val="99"/>
    <w:rPr>
      <w:rFonts w:hAnsi="宋体" w:cs="Arial"/>
      <w:snapToGrid w:val="0"/>
      <w:color w:val="000000"/>
      <w:szCs w:val="20"/>
    </w:rPr>
  </w:style>
  <w:style w:type="paragraph" w:customStyle="1" w:styleId="24">
    <w:name w:val="标书正文"/>
    <w:basedOn w:val="1"/>
    <w:qFormat/>
    <w:uiPriority w:val="0"/>
    <w:pPr>
      <w:tabs>
        <w:tab w:val="left" w:pos="540"/>
      </w:tabs>
      <w:snapToGrid w:val="0"/>
      <w:spacing w:line="360" w:lineRule="auto"/>
      <w:ind w:firstLine="420" w:firstLineChars="200"/>
    </w:pPr>
    <w:rPr>
      <w:rFonts w:asciiTheme="minorEastAsia" w:hAnsiTheme="minorEastAsia" w:eastAsiaTheme="minorEastAsia" w:cstheme="minorEastAsia"/>
      <w:bCs/>
      <w:color w:val="000000"/>
      <w:kern w:val="0"/>
      <w:sz w:val="24"/>
      <w:szCs w:val="28"/>
    </w:rPr>
  </w:style>
  <w:style w:type="paragraph" w:customStyle="1" w:styleId="25">
    <w:name w:val="正文文本无缩进"/>
    <w:basedOn w:val="12"/>
    <w:qFormat/>
    <w:uiPriority w:val="0"/>
    <w:rPr>
      <w:rFonts w:hint="eastAsia" w:cs="宋体"/>
      <w:u w:val="single"/>
    </w:rPr>
  </w:style>
  <w:style w:type="paragraph" w:customStyle="1" w:styleId="26">
    <w:name w:val="突出强调"/>
    <w:basedOn w:val="1"/>
    <w:link w:val="27"/>
    <w:qFormat/>
    <w:uiPriority w:val="0"/>
    <w:pPr>
      <w:shd w:val="clear" w:color="auto" w:fill="B5C7EA" w:themeFill="accent1" w:themeFillTint="66"/>
      <w:adjustRightInd w:val="0"/>
      <w:spacing w:before="100" w:after="100"/>
      <w:ind w:firstLine="1044" w:firstLineChars="200"/>
    </w:pPr>
  </w:style>
  <w:style w:type="character" w:customStyle="1" w:styleId="27">
    <w:name w:val="突出强调 Char"/>
    <w:link w:val="26"/>
    <w:qFormat/>
    <w:uiPriority w:val="0"/>
    <w:rPr>
      <w:rFonts w:ascii="Times New Roman" w:hAnsi="Times New Roman" w:eastAsia="宋体" w:cs="Times New Roman"/>
    </w:rPr>
  </w:style>
  <w:style w:type="character" w:customStyle="1" w:styleId="28">
    <w:name w:val="标题 1 字符"/>
    <w:link w:val="2"/>
    <w:autoRedefine/>
    <w:qFormat/>
    <w:uiPriority w:val="0"/>
    <w:rPr>
      <w:rFonts w:ascii="Times New Roman" w:hAnsi="Times New Roman" w:eastAsia="黑体" w:cs="Times New Roman"/>
      <w:b/>
      <w:color w:val="000000"/>
      <w:kern w:val="44"/>
      <w:sz w:val="30"/>
      <w:szCs w:val="28"/>
      <w:lang w:bidi="ar-SA"/>
    </w:rPr>
  </w:style>
  <w:style w:type="character" w:customStyle="1" w:styleId="29">
    <w:name w:val="标题 3 字符"/>
    <w:link w:val="4"/>
    <w:qFormat/>
    <w:uiPriority w:val="0"/>
    <w:rPr>
      <w:rFonts w:ascii="Times New Roman" w:hAnsi="Times New Roman" w:eastAsia="黑体" w:cs="Times New Roman"/>
      <w:b/>
      <w:bCs/>
      <w:kern w:val="2"/>
      <w:sz w:val="32"/>
      <w:szCs w:val="32"/>
    </w:rPr>
  </w:style>
  <w:style w:type="character" w:customStyle="1" w:styleId="30">
    <w:name w:val="正文文本 字符"/>
    <w:link w:val="12"/>
    <w:qFormat/>
    <w:uiPriority w:val="0"/>
    <w:rPr>
      <w:rFonts w:ascii="Times New Roman" w:hAnsi="Times New Roman" w:eastAsia="宋体" w:cs="Times New Roman"/>
      <w:szCs w:val="21"/>
    </w:rPr>
  </w:style>
  <w:style w:type="character" w:customStyle="1" w:styleId="31">
    <w:name w:val="font71"/>
    <w:basedOn w:val="21"/>
    <w:qFormat/>
    <w:uiPriority w:val="0"/>
    <w:rPr>
      <w:rFonts w:hint="eastAsia" w:ascii="宋体" w:hAnsi="宋体" w:eastAsia="宋体" w:cs="宋体"/>
      <w:color w:val="000000"/>
      <w:sz w:val="20"/>
      <w:szCs w:val="20"/>
      <w:u w:val="none"/>
    </w:rPr>
  </w:style>
  <w:style w:type="character" w:customStyle="1" w:styleId="32">
    <w:name w:val="font81"/>
    <w:basedOn w:val="21"/>
    <w:qFormat/>
    <w:uiPriority w:val="0"/>
    <w:rPr>
      <w:rFonts w:ascii="Calibri" w:hAnsi="Calibri" w:cs="Calibri"/>
      <w:color w:val="444444"/>
      <w:sz w:val="16"/>
      <w:szCs w:val="16"/>
      <w:u w:val="none"/>
    </w:rPr>
  </w:style>
  <w:style w:type="character" w:customStyle="1" w:styleId="33">
    <w:name w:val="font41"/>
    <w:basedOn w:val="21"/>
    <w:qFormat/>
    <w:uiPriority w:val="0"/>
    <w:rPr>
      <w:rFonts w:hint="default" w:ascii="Times New Roman" w:hAnsi="Times New Roman" w:cs="Times New Roman"/>
      <w:color w:val="000000"/>
      <w:sz w:val="20"/>
      <w:szCs w:val="20"/>
      <w:u w:val="none"/>
    </w:rPr>
  </w:style>
  <w:style w:type="character" w:customStyle="1" w:styleId="34">
    <w:name w:val="font11"/>
    <w:basedOn w:val="21"/>
    <w:qFormat/>
    <w:uiPriority w:val="0"/>
    <w:rPr>
      <w:rFonts w:hint="default" w:ascii="Times New Roman" w:hAnsi="Times New Roman" w:cs="Times New Roman"/>
      <w:color w:val="000000"/>
      <w:sz w:val="20"/>
      <w:szCs w:val="20"/>
      <w:u w:val="none"/>
    </w:rPr>
  </w:style>
  <w:style w:type="character" w:customStyle="1" w:styleId="35">
    <w:name w:val="font31"/>
    <w:basedOn w:val="21"/>
    <w:qFormat/>
    <w:uiPriority w:val="0"/>
    <w:rPr>
      <w:rFonts w:hint="eastAsia" w:ascii="宋体" w:hAnsi="宋体" w:eastAsia="宋体" w:cs="宋体"/>
      <w:color w:val="000000"/>
      <w:sz w:val="20"/>
      <w:szCs w:val="20"/>
      <w:u w:val="none"/>
    </w:rPr>
  </w:style>
  <w:style w:type="character" w:customStyle="1" w:styleId="36">
    <w:name w:val="font91"/>
    <w:basedOn w:val="21"/>
    <w:qFormat/>
    <w:uiPriority w:val="0"/>
    <w:rPr>
      <w:rFonts w:ascii="楷体_GB2312" w:eastAsia="楷体_GB2312" w:cs="楷体_GB2312"/>
      <w:color w:val="000000"/>
      <w:sz w:val="20"/>
      <w:szCs w:val="20"/>
      <w:u w:val="none"/>
    </w:rPr>
  </w:style>
  <w:style w:type="character" w:customStyle="1" w:styleId="37">
    <w:name w:val="font101"/>
    <w:basedOn w:val="21"/>
    <w:qFormat/>
    <w:uiPriority w:val="0"/>
    <w:rPr>
      <w:rFonts w:hint="default" w:ascii="Times New Roman" w:hAnsi="Times New Roman" w:cs="Times New Roman"/>
      <w:b/>
      <w:bCs/>
      <w:color w:val="000000"/>
      <w:sz w:val="20"/>
      <w:szCs w:val="20"/>
      <w:u w:val="none"/>
    </w:rPr>
  </w:style>
  <w:style w:type="character" w:customStyle="1" w:styleId="38">
    <w:name w:val="font112"/>
    <w:basedOn w:val="21"/>
    <w:qFormat/>
    <w:uiPriority w:val="0"/>
    <w:rPr>
      <w:rFonts w:hint="eastAsia" w:ascii="宋体" w:hAnsi="宋体" w:eastAsia="宋体" w:cs="宋体"/>
      <w:color w:val="FF0000"/>
      <w:sz w:val="20"/>
      <w:szCs w:val="20"/>
      <w:u w:val="none"/>
    </w:rPr>
  </w:style>
  <w:style w:type="character" w:customStyle="1" w:styleId="39">
    <w:name w:val="font61"/>
    <w:basedOn w:val="21"/>
    <w:qFormat/>
    <w:uiPriority w:val="0"/>
    <w:rPr>
      <w:rFonts w:hint="eastAsia" w:ascii="宋体" w:hAnsi="宋体" w:eastAsia="宋体" w:cs="宋体"/>
      <w:color w:val="000000"/>
      <w:sz w:val="20"/>
      <w:szCs w:val="20"/>
      <w:u w:val="none"/>
    </w:rPr>
  </w:style>
  <w:style w:type="character" w:customStyle="1" w:styleId="40">
    <w:name w:val="font21"/>
    <w:basedOn w:val="21"/>
    <w:qFormat/>
    <w:uiPriority w:val="0"/>
    <w:rPr>
      <w:rFonts w:hint="eastAsia" w:ascii="宋体" w:hAnsi="宋体" w:eastAsia="宋体" w:cs="宋体"/>
      <w:color w:val="000000"/>
      <w:sz w:val="20"/>
      <w:szCs w:val="20"/>
      <w:u w:val="none"/>
    </w:rPr>
  </w:style>
  <w:style w:type="character" w:customStyle="1" w:styleId="41">
    <w:name w:val="font121"/>
    <w:basedOn w:val="21"/>
    <w:qFormat/>
    <w:uiPriority w:val="0"/>
    <w:rPr>
      <w:rFonts w:ascii="Cambria Math" w:hAnsi="Cambria Math" w:eastAsia="Cambria Math" w:cs="Cambria Math"/>
      <w:color w:val="000000"/>
      <w:sz w:val="20"/>
      <w:szCs w:val="20"/>
      <w:u w:val="none"/>
    </w:rPr>
  </w:style>
  <w:style w:type="character" w:customStyle="1" w:styleId="42">
    <w:name w:val="font131"/>
    <w:basedOn w:val="21"/>
    <w:qFormat/>
    <w:uiPriority w:val="0"/>
    <w:rPr>
      <w:rFonts w:ascii="宋体" w:hAnsi="宋体" w:eastAsia="宋体" w:cs="宋体"/>
      <w:color w:val="FF0000"/>
      <w:sz w:val="20"/>
      <w:szCs w:val="20"/>
      <w:u w:val="none"/>
    </w:rPr>
  </w:style>
  <w:style w:type="character" w:customStyle="1" w:styleId="43">
    <w:name w:val="font141"/>
    <w:basedOn w:val="21"/>
    <w:qFormat/>
    <w:uiPriority w:val="0"/>
    <w:rPr>
      <w:rFonts w:hint="eastAsia" w:ascii="宋体" w:hAnsi="宋体" w:eastAsia="宋体" w:cs="宋体"/>
      <w:color w:val="FF0000"/>
      <w:sz w:val="20"/>
      <w:szCs w:val="20"/>
      <w:u w:val="none"/>
    </w:rPr>
  </w:style>
  <w:style w:type="character" w:customStyle="1" w:styleId="44">
    <w:name w:val="font151"/>
    <w:basedOn w:val="21"/>
    <w:qFormat/>
    <w:uiPriority w:val="0"/>
    <w:rPr>
      <w:rFonts w:hint="default" w:ascii="Times New Roman" w:hAnsi="Times New Roman" w:cs="Times New Roman"/>
      <w:color w:val="000000"/>
      <w:sz w:val="20"/>
      <w:szCs w:val="20"/>
      <w:u w:val="none"/>
    </w:rPr>
  </w:style>
  <w:style w:type="character" w:customStyle="1" w:styleId="45">
    <w:name w:val="font161"/>
    <w:basedOn w:val="21"/>
    <w:qFormat/>
    <w:uiPriority w:val="0"/>
    <w:rPr>
      <w:rFonts w:hint="eastAsia" w:ascii="宋体" w:hAnsi="宋体" w:eastAsia="宋体" w:cs="宋体"/>
      <w:color w:val="000000"/>
      <w:sz w:val="20"/>
      <w:szCs w:val="20"/>
      <w:u w:val="none"/>
    </w:rPr>
  </w:style>
  <w:style w:type="character" w:customStyle="1" w:styleId="46">
    <w:name w:val="font171"/>
    <w:basedOn w:val="21"/>
    <w:qFormat/>
    <w:uiPriority w:val="0"/>
    <w:rPr>
      <w:rFonts w:ascii="MS Mincho" w:hAnsi="MS Mincho" w:eastAsia="MS Mincho" w:cs="MS Mincho"/>
      <w:color w:val="000000"/>
      <w:sz w:val="20"/>
      <w:szCs w:val="20"/>
      <w:u w:val="none"/>
    </w:rPr>
  </w:style>
  <w:style w:type="character" w:customStyle="1" w:styleId="47">
    <w:name w:val="font12"/>
    <w:basedOn w:val="21"/>
    <w:qFormat/>
    <w:uiPriority w:val="0"/>
    <w:rPr>
      <w:rFonts w:hint="default" w:ascii="Times New Roman" w:hAnsi="Times New Roman" w:cs="Times New Roman"/>
      <w:color w:val="000000"/>
      <w:sz w:val="20"/>
      <w:szCs w:val="20"/>
      <w:u w:val="none"/>
    </w:rPr>
  </w:style>
  <w:style w:type="character" w:customStyle="1" w:styleId="48">
    <w:name w:val="font111"/>
    <w:basedOn w:val="21"/>
    <w:qFormat/>
    <w:uiPriority w:val="0"/>
    <w:rPr>
      <w:rFonts w:ascii="宋体" w:hAnsi="宋体" w:eastAsia="宋体" w:cs="宋体"/>
      <w:color w:val="FF0000"/>
      <w:sz w:val="20"/>
      <w:szCs w:val="20"/>
      <w:u w:val="none"/>
    </w:rPr>
  </w:style>
  <w:style w:type="character" w:customStyle="1" w:styleId="49">
    <w:name w:val="font122"/>
    <w:basedOn w:val="21"/>
    <w:qFormat/>
    <w:uiPriority w:val="0"/>
    <w:rPr>
      <w:rFonts w:hint="eastAsia" w:ascii="宋体" w:hAnsi="宋体" w:eastAsia="宋体" w:cs="宋体"/>
      <w:color w:val="FF0000"/>
      <w:sz w:val="20"/>
      <w:szCs w:val="20"/>
      <w:u w:val="none"/>
    </w:rPr>
  </w:style>
  <w:style w:type="character" w:customStyle="1" w:styleId="50">
    <w:name w:val="font51"/>
    <w:basedOn w:val="21"/>
    <w:qFormat/>
    <w:uiPriority w:val="0"/>
    <w:rPr>
      <w:rFonts w:hint="eastAsia" w:ascii="宋体" w:hAnsi="宋体" w:eastAsia="宋体" w:cs="宋体"/>
      <w:color w:val="FF0000"/>
      <w:sz w:val="20"/>
      <w:szCs w:val="20"/>
      <w:u w:val="none"/>
    </w:rPr>
  </w:style>
  <w:style w:type="paragraph" w:customStyle="1" w:styleId="51">
    <w:name w:val="Table Text"/>
    <w:basedOn w:val="1"/>
    <w:semiHidden/>
    <w:qFormat/>
    <w:uiPriority w:val="0"/>
    <w:rPr>
      <w:rFonts w:ascii="宋体" w:hAnsi="宋体" w:eastAsia="宋体" w:cs="宋体"/>
      <w:sz w:val="28"/>
      <w:szCs w:val="28"/>
    </w:rPr>
  </w:style>
  <w:style w:type="table" w:customStyle="1" w:styleId="52">
    <w:name w:val="Table Normal"/>
    <w:unhideWhenUsed/>
    <w:qFormat/>
    <w:uiPriority w:val="0"/>
    <w:tblPr>
      <w:tblCellMar>
        <w:top w:w="0" w:type="dxa"/>
        <w:left w:w="0" w:type="dxa"/>
        <w:bottom w:w="0" w:type="dxa"/>
        <w:right w:w="0" w:type="dxa"/>
      </w:tblCellMar>
    </w:tblPr>
  </w:style>
  <w:style w:type="character" w:customStyle="1" w:styleId="53">
    <w:name w:val="font01"/>
    <w:basedOn w:val="2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5" Type="http://schemas.openxmlformats.org/officeDocument/2006/relationships/fontTable" Target="fontTable.xml"/><Relationship Id="rId34" Type="http://schemas.openxmlformats.org/officeDocument/2006/relationships/numbering" Target="numbering.xml"/><Relationship Id="rId33" Type="http://schemas.openxmlformats.org/officeDocument/2006/relationships/image" Target="media/image28.png"/><Relationship Id="rId32" Type="http://schemas.openxmlformats.org/officeDocument/2006/relationships/image" Target="media/image27.png"/><Relationship Id="rId31" Type="http://schemas.openxmlformats.org/officeDocument/2006/relationships/image" Target="media/image26.png"/><Relationship Id="rId30" Type="http://schemas.openxmlformats.org/officeDocument/2006/relationships/image" Target="media/image25.png"/><Relationship Id="rId3" Type="http://schemas.openxmlformats.org/officeDocument/2006/relationships/footer" Target="footer1.xml"/><Relationship Id="rId29" Type="http://schemas.openxmlformats.org/officeDocument/2006/relationships/image" Target="media/image24.png"/><Relationship Id="rId28" Type="http://schemas.openxmlformats.org/officeDocument/2006/relationships/image" Target="media/image23.png"/><Relationship Id="rId27" Type="http://schemas.openxmlformats.org/officeDocument/2006/relationships/image" Target="media/image22.png"/><Relationship Id="rId26" Type="http://schemas.openxmlformats.org/officeDocument/2006/relationships/image" Target="media/image21.png"/><Relationship Id="rId25" Type="http://schemas.openxmlformats.org/officeDocument/2006/relationships/image" Target="media/image20.png"/><Relationship Id="rId24" Type="http://schemas.openxmlformats.org/officeDocument/2006/relationships/image" Target="media/image19.png"/><Relationship Id="rId23"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16</Pages>
  <Words>3804</Words>
  <Characters>4735</Characters>
  <Lines>860</Lines>
  <Paragraphs>745</Paragraphs>
  <TotalTime>501</TotalTime>
  <ScaleCrop>false</ScaleCrop>
  <LinksUpToDate>false</LinksUpToDate>
  <CharactersWithSpaces>5892</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2026-05-11T00:30:00Z</dcterms:created>
  <dc:creator>夏雨</dc:creator>
  <cp:lastModifiedBy>郭田恬</cp:lastModifiedBy>
  <dcterms:modified xsi:type="dcterms:W3CDTF">2026-07-14T10:24:36Z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1916D4DAFBD8479F804969D388412C8F_13</vt:lpwstr>
  </property>
  <property fmtid="{D5CDD505-2E9C-101B-9397-08002B2CF9AE}" pid="4" name="KSOTemplateDocerSaveRecord">
    <vt:lpwstr>eyJoZGlkIjoiMTQ1NjdjNTQwMTdkMzQzN2ZhYTNhNWMyNTBmNDA3MGUiLCJ1c2VySWQiOiIxMDEzOTM4NDI0In0=</vt:lpwstr>
  </property>
</Properties>
</file>