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4D085">
      <w:pPr>
        <w:pStyle w:val="2"/>
        <w:numPr>
          <w:ilvl w:val="0"/>
          <w:numId w:val="0"/>
        </w:numPr>
        <w:ind w:left="425"/>
        <w:jc w:val="center"/>
        <w:rPr>
          <w:rFonts w:hint="eastAsia"/>
          <w:color w:val="000000" w:themeColor="text1"/>
          <w14:textFill>
            <w14:solidFill>
              <w14:schemeClr w14:val="tx1"/>
            </w14:solidFill>
          </w14:textFill>
        </w:rPr>
      </w:pPr>
      <w:bookmarkStart w:id="0" w:name="_Toc63785461"/>
      <w:r>
        <w:rPr>
          <w:rFonts w:hint="eastAsia"/>
          <w:color w:val="000000" w:themeColor="text1"/>
          <w14:textFill>
            <w14:solidFill>
              <w14:schemeClr w14:val="tx1"/>
            </w14:solidFill>
          </w14:textFill>
        </w:rPr>
        <w:t>上海市工业和通信业能碳数智空间服务子系统建设项目采购需求</w:t>
      </w:r>
    </w:p>
    <w:p w14:paraId="66E9ECCC">
      <w:pPr>
        <w:ind w:firstLine="482"/>
        <w:jc w:val="center"/>
        <w:rPr>
          <w:rFonts w:hint="eastAsia"/>
          <w:b/>
          <w:bCs/>
          <w:color w:val="000000" w:themeColor="text1"/>
          <w14:textFill>
            <w14:solidFill>
              <w14:schemeClr w14:val="tx1"/>
            </w14:solidFill>
          </w14:textFill>
        </w:rPr>
      </w:pPr>
    </w:p>
    <w:p w14:paraId="4D9AB954">
      <w:pPr>
        <w:pStyle w:val="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项目概况</w:t>
      </w:r>
      <w:bookmarkEnd w:id="0"/>
    </w:p>
    <w:p w14:paraId="7A6C0230">
      <w:pPr>
        <w:spacing w:line="560" w:lineRule="exac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项目名称为“上海市工业和通信业能碳数智空间服务子系统”。为深入贯彻落实国家“双碳”战略目标，加快推进上海市节能降碳管理数字化、智能化升级，组织开展本项目建设。本项目与政府管理相关功能衔接，复用现有数据汇集、业务流程与系统能力。在已建成的能碳业务系统基础上，本期重点叠加AI智能化能力：以政府端能碳数据管理、智能报表填报、双控考核监管等为基础底座，强化绿色制造、零碳创建智能化能力，配套政策标准研究、科创供需撮合AI应用，面向政府、园区、企业、第三方机构提供智能化业务工具，提升管理服务精细化水平，赋能企业绿色低碳转型。</w:t>
      </w:r>
    </w:p>
    <w:p w14:paraId="06955C54">
      <w:pPr>
        <w:rPr>
          <w:rFonts w:hint="eastAsia"/>
          <w:color w:val="000000" w:themeColor="text1"/>
          <w14:textFill>
            <w14:solidFill>
              <w14:schemeClr w14:val="tx1"/>
            </w14:solidFill>
          </w14:textFill>
        </w:rPr>
      </w:pPr>
      <w:r>
        <w:rPr>
          <w:color w:val="000000" w:themeColor="text1"/>
          <w14:textFill>
            <w14:solidFill>
              <w14:schemeClr w14:val="tx1"/>
            </w14:solidFill>
          </w14:textFill>
        </w:rPr>
        <w:t>是否按</w:t>
      </w:r>
      <w:r>
        <w:rPr>
          <w:rFonts w:hint="eastAsia"/>
          <w:color w:val="000000" w:themeColor="text1"/>
          <w:lang w:val="en-US" w:eastAsia="zh-CN"/>
          <w14:textFill>
            <w14:solidFill>
              <w14:schemeClr w14:val="tx1"/>
            </w14:solidFill>
          </w14:textFill>
        </w:rPr>
        <w:t>XC</w:t>
      </w:r>
      <w:r>
        <w:rPr>
          <w:color w:val="000000" w:themeColor="text1"/>
          <w14:textFill>
            <w14:solidFill>
              <w14:schemeClr w14:val="tx1"/>
            </w14:solidFill>
          </w14:textFill>
        </w:rPr>
        <w:t>要求建设：是</w:t>
      </w:r>
    </w:p>
    <w:p w14:paraId="4F54ABD9">
      <w:pPr>
        <w:pStyle w:val="2"/>
        <w:rPr>
          <w:rFonts w:hint="eastAsia"/>
          <w:color w:val="000000" w:themeColor="text1"/>
          <w14:textFill>
            <w14:solidFill>
              <w14:schemeClr w14:val="tx1"/>
            </w14:solidFill>
          </w14:textFill>
        </w:rPr>
      </w:pPr>
      <w:bookmarkStart w:id="1" w:name="_Toc47532255"/>
      <w:bookmarkEnd w:id="1"/>
      <w:bookmarkStart w:id="2" w:name="_Toc47531634"/>
      <w:bookmarkEnd w:id="2"/>
      <w:bookmarkStart w:id="3" w:name="_Toc47537134"/>
      <w:bookmarkEnd w:id="3"/>
      <w:bookmarkStart w:id="4" w:name="_Toc47533256"/>
      <w:bookmarkEnd w:id="4"/>
      <w:bookmarkStart w:id="5" w:name="_Toc47532891"/>
      <w:bookmarkEnd w:id="5"/>
      <w:bookmarkStart w:id="6" w:name="_Toc47539070"/>
      <w:bookmarkEnd w:id="6"/>
      <w:bookmarkStart w:id="7" w:name="_Toc47536272"/>
      <w:bookmarkEnd w:id="7"/>
      <w:bookmarkStart w:id="8" w:name="_Toc47536644"/>
      <w:bookmarkEnd w:id="8"/>
      <w:bookmarkStart w:id="9" w:name="_Toc63785463"/>
      <w:bookmarkStart w:id="10" w:name="_Toc48223882"/>
      <w:r>
        <w:rPr>
          <w:rFonts w:hint="eastAsia"/>
          <w:color w:val="000000" w:themeColor="text1"/>
          <w14:textFill>
            <w14:solidFill>
              <w14:schemeClr w14:val="tx1"/>
            </w14:solidFill>
          </w14:textFill>
        </w:rPr>
        <w:t>建设目标</w:t>
      </w:r>
      <w:bookmarkEnd w:id="9"/>
      <w:bookmarkEnd w:id="10"/>
    </w:p>
    <w:p w14:paraId="0997DAA5">
      <w:pP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围绕政府端能碳数据管理、智能报表填报、双控考核监管、绿色制造与零碳创建、政策标准研究、科创供需撮合等核心业务，通过多智能体协同调度、统一标签字段体系、可信数据确权等智能化能力的建设，实现能碳监管业务从“事后统计”向“事中干预、事前预测”的提级转档，形成可演示、可落地、可验证的能碳数智空间服务体系，支撑上海市工业和通信业节能降碳管理的数字化、智能化升级，赋能企业绿色低碳转型。</w:t>
      </w:r>
    </w:p>
    <w:p w14:paraId="692E2342">
      <w:pP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应用指标：覆盖能源利用状况报告、温室气体排放报告、节能月报、能耗限额核查、能碳双控考核等核心政府监管业务的智能化能力；</w:t>
      </w:r>
    </w:p>
    <w:p w14:paraId="5DFBB366">
      <w:pP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技术指标：建立多智能体协同调度底座，支持任务拆解、上下文留存、中断续跑；</w:t>
      </w:r>
    </w:p>
    <w:p w14:paraId="191EF4EB">
      <w:pPr>
        <w:jc w:val="left"/>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绩效指标：项目全部建设内容须在2026年12月31日前完成部署开发、初验、进入试运行。</w:t>
      </w:r>
    </w:p>
    <w:p w14:paraId="6D287E63">
      <w:pPr>
        <w:jc w:val="center"/>
        <w:rPr>
          <w:rFonts w:hint="eastAsia" w:eastAsia="宋体"/>
          <w:bCs/>
          <w:color w:val="000000" w:themeColor="text1"/>
          <w:lang w:eastAsia="zh-CN"/>
          <w14:textFill>
            <w14:solidFill>
              <w14:schemeClr w14:val="tx1"/>
            </w14:solidFill>
          </w14:textFill>
        </w:rPr>
      </w:pPr>
      <w:r>
        <w:rPr>
          <w:rFonts w:hint="eastAsia" w:eastAsia="宋体"/>
          <w:bCs/>
          <w:color w:val="000000" w:themeColor="text1"/>
          <w:lang w:eastAsia="zh-CN"/>
          <w14:textFill>
            <w14:solidFill>
              <w14:schemeClr w14:val="tx1"/>
            </w14:solidFill>
          </w14:textFill>
        </w:rPr>
        <w:drawing>
          <wp:inline distT="0" distB="0" distL="114300" distR="114300">
            <wp:extent cx="5275580" cy="3956685"/>
            <wp:effectExtent l="0" t="0" r="12700" b="5715"/>
            <wp:docPr id="2" name="图片 2" descr="c03455afc5338370a0f15b0fdea3d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03455afc5338370a0f15b0fdea3d05"/>
                    <pic:cNvPicPr>
                      <a:picLocks noChangeAspect="1"/>
                    </pic:cNvPicPr>
                  </pic:nvPicPr>
                  <pic:blipFill>
                    <a:blip r:embed="rId12"/>
                    <a:stretch>
                      <a:fillRect/>
                    </a:stretch>
                  </pic:blipFill>
                  <pic:spPr>
                    <a:xfrm>
                      <a:off x="0" y="0"/>
                      <a:ext cx="5275580" cy="3956685"/>
                    </a:xfrm>
                    <a:prstGeom prst="rect">
                      <a:avLst/>
                    </a:prstGeom>
                  </pic:spPr>
                </pic:pic>
              </a:graphicData>
            </a:graphic>
          </wp:inline>
        </w:drawing>
      </w:r>
      <w:r>
        <w:rPr>
          <w:rFonts w:hint="eastAsia" w:ascii="宋体" w:hAnsi="宋体" w:eastAsia="宋体" w:cs="宋体"/>
          <w:b w:val="0"/>
          <w:bCs w:val="0"/>
          <w:color w:val="auto"/>
          <w:kern w:val="0"/>
          <w:sz w:val="24"/>
          <w:szCs w:val="24"/>
          <w:highlight w:val="none"/>
          <w:lang w:val="en-US" w:eastAsia="zh-CN" w:bidi="ar-SA"/>
        </w:rPr>
        <w:t>图</w:t>
      </w:r>
      <w:r>
        <w:rPr>
          <w:rFonts w:hint="eastAsia" w:cs="宋体"/>
          <w:b w:val="0"/>
          <w:bCs w:val="0"/>
          <w:color w:val="auto"/>
          <w:kern w:val="0"/>
          <w:sz w:val="24"/>
          <w:szCs w:val="24"/>
          <w:highlight w:val="none"/>
          <w:lang w:val="en-US" w:eastAsia="zh-CN" w:bidi="ar-SA"/>
        </w:rPr>
        <w:t xml:space="preserve">1 </w:t>
      </w:r>
      <w:r>
        <w:rPr>
          <w:rFonts w:hint="eastAsia" w:ascii="宋体" w:hAnsi="宋体" w:eastAsia="宋体" w:cs="宋体"/>
          <w:b w:val="0"/>
          <w:bCs w:val="0"/>
          <w:color w:val="auto"/>
          <w:kern w:val="0"/>
          <w:sz w:val="24"/>
          <w:szCs w:val="24"/>
          <w:highlight w:val="none"/>
          <w:lang w:val="en-US" w:eastAsia="zh-CN" w:bidi="ar-SA"/>
        </w:rPr>
        <w:t>整体架构图</w:t>
      </w:r>
    </w:p>
    <w:p w14:paraId="0659F920">
      <w:pPr>
        <w:pStyle w:val="2"/>
        <w:rPr>
          <w:rFonts w:hint="eastAsia"/>
          <w:color w:val="000000" w:themeColor="text1"/>
          <w14:textFill>
            <w14:solidFill>
              <w14:schemeClr w14:val="tx1"/>
            </w14:solidFill>
          </w14:textFill>
        </w:rPr>
      </w:pPr>
      <w:bookmarkStart w:id="11" w:name="_Toc47539102"/>
      <w:bookmarkEnd w:id="11"/>
      <w:bookmarkStart w:id="12" w:name="_Toc47537166"/>
      <w:bookmarkEnd w:id="12"/>
      <w:bookmarkStart w:id="13" w:name="_Toc47533288"/>
      <w:bookmarkEnd w:id="13"/>
      <w:bookmarkStart w:id="14" w:name="_Toc47536304"/>
      <w:bookmarkEnd w:id="14"/>
      <w:bookmarkStart w:id="15" w:name="_Toc47536676"/>
      <w:bookmarkEnd w:id="15"/>
      <w:bookmarkStart w:id="16" w:name="_Toc47532923"/>
      <w:bookmarkEnd w:id="16"/>
      <w:r>
        <w:rPr>
          <w:rFonts w:hint="eastAsia"/>
          <w:color w:val="000000" w:themeColor="text1"/>
          <w14:textFill>
            <w14:solidFill>
              <w14:schemeClr w14:val="tx1"/>
            </w14:solidFill>
          </w14:textFill>
        </w:rPr>
        <w:t>项目建设内容</w:t>
      </w:r>
    </w:p>
    <w:p w14:paraId="587CC2C4">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架构要求：采用模块化、前后端分离架构，系统结构清晰，便于维护迭代，能够与原系统无缝对接，业务对象、标签字段体系兼容原有业务数据；支持功能模块按需扩展，云原生弹性部署，适配业务规模增长，可后续承接新增智能体接入。</w:t>
      </w:r>
    </w:p>
    <w:p w14:paraId="1DF092B1">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（2）智能体资产管理：智能体、技能、知识、业务标</w:t>
      </w:r>
      <w:bookmarkStart w:id="25" w:name="_GoBack"/>
      <w:bookmarkEnd w:id="25"/>
      <w:r>
        <w:rPr>
          <w:rFonts w:hint="eastAsia"/>
          <w:color w:val="000000" w:themeColor="text1"/>
          <w14:textFill>
            <w14:solidFill>
              <w14:schemeClr w14:val="tx1"/>
            </w14:solidFill>
          </w14:textFill>
        </w:rPr>
        <w:t>签采用统一资产化管理，支持版本管理、版本回滚、能力复用。</w:t>
      </w:r>
    </w:p>
    <w:p w14:paraId="43406352">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性能要求：标准部署环境下核心业务接口响应满足日常业务操作体验；文档解析、智能报告生成等耗时任务提供异步任务机制，任务进度可视化展示；具备稳定并发处理能力，支撑多用户同时在线开展填报、查询、智能分析、评审等业务。</w:t>
      </w:r>
    </w:p>
    <w:p w14:paraId="54D7D2FA">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（4）部署环境：完成国产操作系统、国产数据库、国产中间件全栈适配；采用容器化部署，支持弹性扩缩容，保障平台7×24稳定运维。</w:t>
      </w:r>
    </w:p>
    <w:p w14:paraId="67F164FE">
      <w:pPr>
        <w:ind w:firstLine="482"/>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1、软件开发清单：</w:t>
      </w:r>
    </w:p>
    <w:tbl>
      <w:tblPr>
        <w:tblStyle w:val="8"/>
        <w:tblW w:w="5000" w:type="pct"/>
        <w:jc w:val="center"/>
        <w:tblLayout w:type="fixed"/>
        <w:tblCellMar>
          <w:top w:w="0" w:type="dxa"/>
          <w:left w:w="108" w:type="dxa"/>
          <w:bottom w:w="0" w:type="dxa"/>
          <w:right w:w="108" w:type="dxa"/>
        </w:tblCellMar>
      </w:tblPr>
      <w:tblGrid>
        <w:gridCol w:w="659"/>
        <w:gridCol w:w="1860"/>
        <w:gridCol w:w="1844"/>
        <w:gridCol w:w="4166"/>
      </w:tblGrid>
      <w:tr w14:paraId="3B3E3662">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2D46B27B">
            <w:pPr>
              <w:widowControl/>
              <w:spacing w:line="240" w:lineRule="auto"/>
              <w:ind w:firstLine="0" w:firstLineChars="0"/>
              <w:jc w:val="center"/>
              <w:rPr>
                <w:rFonts w:hint="eastAsia" w:cs="宋体"/>
                <w:b/>
                <w:color w:val="000000" w:themeColor="text1"/>
                <w:kern w:val="0"/>
                <w:sz w:val="22"/>
                <w:szCs w:val="22"/>
                <w14:textFill>
                  <w14:solidFill>
                    <w14:schemeClr w14:val="tx1"/>
                  </w14:solidFill>
                </w14:textFill>
              </w:rPr>
            </w:pPr>
            <w:r>
              <w:rPr>
                <w:rFonts w:hint="eastAsia" w:cs="宋体"/>
                <w:b/>
                <w:color w:val="000000" w:themeColor="text1"/>
                <w:kern w:val="0"/>
                <w:sz w:val="22"/>
                <w:szCs w:val="22"/>
                <w14:textFill>
                  <w14:solidFill>
                    <w14:schemeClr w14:val="tx1"/>
                  </w14:solidFill>
                </w14:textFill>
              </w:rPr>
              <w:t>序号</w:t>
            </w:r>
          </w:p>
        </w:tc>
        <w:tc>
          <w:tcPr>
            <w:tcW w:w="1091" w:type="pct"/>
            <w:tcBorders>
              <w:top w:val="single" w:color="auto" w:sz="4" w:space="0"/>
              <w:left w:val="nil"/>
              <w:bottom w:val="single" w:color="auto" w:sz="4" w:space="0"/>
              <w:right w:val="single" w:color="auto" w:sz="4" w:space="0"/>
            </w:tcBorders>
            <w:noWrap/>
            <w:vAlign w:val="center"/>
          </w:tcPr>
          <w:p w14:paraId="37BC7684">
            <w:pPr>
              <w:widowControl/>
              <w:spacing w:line="240" w:lineRule="auto"/>
              <w:ind w:firstLine="0" w:firstLineChars="0"/>
              <w:jc w:val="center"/>
              <w:rPr>
                <w:rFonts w:hint="eastAsia" w:cs="宋体"/>
                <w:b/>
                <w:color w:val="000000" w:themeColor="text1"/>
                <w:kern w:val="0"/>
                <w:sz w:val="22"/>
                <w:szCs w:val="22"/>
                <w14:textFill>
                  <w14:solidFill>
                    <w14:schemeClr w14:val="tx1"/>
                  </w14:solidFill>
                </w14:textFill>
              </w:rPr>
            </w:pPr>
            <w:r>
              <w:rPr>
                <w:rFonts w:hint="eastAsia" w:cs="宋体"/>
                <w:b/>
                <w:color w:val="000000" w:themeColor="text1"/>
                <w:kern w:val="0"/>
                <w:sz w:val="22"/>
                <w:szCs w:val="22"/>
                <w14:textFill>
                  <w14:solidFill>
                    <w14:schemeClr w14:val="tx1"/>
                  </w14:solidFill>
                </w14:textFill>
              </w:rPr>
              <w:t>应用系统名称</w:t>
            </w:r>
          </w:p>
        </w:tc>
        <w:tc>
          <w:tcPr>
            <w:tcW w:w="1081" w:type="pct"/>
            <w:tcBorders>
              <w:top w:val="single" w:color="auto" w:sz="4" w:space="0"/>
              <w:left w:val="nil"/>
              <w:bottom w:val="single" w:color="auto" w:sz="4" w:space="0"/>
              <w:right w:val="single" w:color="auto" w:sz="4" w:space="0"/>
            </w:tcBorders>
            <w:noWrap/>
            <w:vAlign w:val="center"/>
          </w:tcPr>
          <w:p w14:paraId="22B78E9B">
            <w:pPr>
              <w:widowControl/>
              <w:spacing w:line="240" w:lineRule="auto"/>
              <w:ind w:firstLine="0" w:firstLineChars="0"/>
              <w:jc w:val="center"/>
              <w:rPr>
                <w:rFonts w:hint="eastAsia" w:cs="宋体"/>
                <w:b/>
                <w:color w:val="000000" w:themeColor="text1"/>
                <w:kern w:val="0"/>
                <w:sz w:val="22"/>
                <w:szCs w:val="22"/>
                <w14:textFill>
                  <w14:solidFill>
                    <w14:schemeClr w14:val="tx1"/>
                  </w14:solidFill>
                </w14:textFill>
              </w:rPr>
            </w:pPr>
            <w:r>
              <w:rPr>
                <w:rFonts w:hint="eastAsia" w:cs="宋体"/>
                <w:b/>
                <w:color w:val="000000" w:themeColor="text1"/>
                <w:kern w:val="0"/>
                <w:sz w:val="22"/>
                <w:szCs w:val="22"/>
                <w14:textFill>
                  <w14:solidFill>
                    <w14:schemeClr w14:val="tx1"/>
                  </w14:solidFill>
                </w14:textFill>
              </w:rPr>
              <w:t>模块名称</w:t>
            </w:r>
          </w:p>
        </w:tc>
        <w:tc>
          <w:tcPr>
            <w:tcW w:w="2442" w:type="pct"/>
            <w:tcBorders>
              <w:top w:val="single" w:color="auto" w:sz="4" w:space="0"/>
              <w:left w:val="nil"/>
              <w:bottom w:val="single" w:color="auto" w:sz="4" w:space="0"/>
              <w:right w:val="single" w:color="auto" w:sz="4" w:space="0"/>
            </w:tcBorders>
          </w:tcPr>
          <w:p w14:paraId="0013EBAF">
            <w:pPr>
              <w:widowControl/>
              <w:spacing w:line="240" w:lineRule="auto"/>
              <w:ind w:firstLine="0" w:firstLineChars="0"/>
              <w:jc w:val="center"/>
              <w:rPr>
                <w:rFonts w:hint="eastAsia" w:cs="宋体"/>
                <w:b/>
                <w:color w:val="000000" w:themeColor="text1"/>
                <w:kern w:val="0"/>
                <w:sz w:val="22"/>
                <w:szCs w:val="22"/>
                <w14:textFill>
                  <w14:solidFill>
                    <w14:schemeClr w14:val="tx1"/>
                  </w14:solidFill>
                </w14:textFill>
              </w:rPr>
            </w:pPr>
            <w:r>
              <w:rPr>
                <w:rFonts w:hint="eastAsia" w:cs="宋体"/>
                <w:b/>
                <w:color w:val="000000" w:themeColor="text1"/>
                <w:kern w:val="0"/>
                <w:sz w:val="22"/>
                <w:szCs w:val="22"/>
                <w14:textFill>
                  <w14:solidFill>
                    <w14:schemeClr w14:val="tx1"/>
                  </w14:solidFill>
                </w14:textFill>
              </w:rPr>
              <w:t>模块描述</w:t>
            </w:r>
          </w:p>
        </w:tc>
      </w:tr>
      <w:tr w14:paraId="5088068A">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3AE6689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w:t>
            </w:r>
          </w:p>
        </w:tc>
        <w:tc>
          <w:tcPr>
            <w:tcW w:w="1091" w:type="pct"/>
            <w:tcBorders>
              <w:top w:val="single" w:color="auto" w:sz="4" w:space="0"/>
              <w:left w:val="nil"/>
              <w:bottom w:val="single" w:color="auto" w:sz="4" w:space="0"/>
              <w:right w:val="single" w:color="auto" w:sz="4" w:space="0"/>
            </w:tcBorders>
            <w:noWrap/>
            <w:vAlign w:val="center"/>
          </w:tcPr>
          <w:p w14:paraId="3FFF78EA">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5F1FB8E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空间核心平台-全景展示与决策中枢</w:t>
            </w:r>
          </w:p>
        </w:tc>
        <w:tc>
          <w:tcPr>
            <w:tcW w:w="2442" w:type="pct"/>
            <w:tcBorders>
              <w:top w:val="single" w:color="auto" w:sz="4" w:space="0"/>
              <w:left w:val="nil"/>
              <w:bottom w:val="single" w:color="auto" w:sz="4" w:space="0"/>
              <w:right w:val="single" w:color="auto" w:sz="4" w:space="0"/>
            </w:tcBorders>
          </w:tcPr>
          <w:p w14:paraId="5B2E839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在驾驶舱基础上叠加AI能力，建设产业能碳全景驾驶舱、一屏观全市决策中枢。汇聚全市工业通信业能耗、碳排放、绿色制造、节能项目指标，支持多维钻取、同环比、趋势预测；面向管理层提供综合决策视图，集成异常预警、任务督办，实现一屏掌握能碳总体态势。</w:t>
            </w:r>
          </w:p>
        </w:tc>
      </w:tr>
      <w:tr w14:paraId="7588FA03">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5F13950E">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2</w:t>
            </w:r>
          </w:p>
        </w:tc>
        <w:tc>
          <w:tcPr>
            <w:tcW w:w="1091" w:type="pct"/>
            <w:tcBorders>
              <w:top w:val="single" w:color="auto" w:sz="4" w:space="0"/>
              <w:left w:val="nil"/>
              <w:bottom w:val="single" w:color="auto" w:sz="4" w:space="0"/>
              <w:right w:val="single" w:color="auto" w:sz="4" w:space="0"/>
            </w:tcBorders>
            <w:noWrap/>
            <w:vAlign w:val="center"/>
          </w:tcPr>
          <w:p w14:paraId="48798641">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518FA6D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空间核心平台-四大板块全景看板</w:t>
            </w:r>
          </w:p>
        </w:tc>
        <w:tc>
          <w:tcPr>
            <w:tcW w:w="2442" w:type="pct"/>
            <w:tcBorders>
              <w:top w:val="single" w:color="auto" w:sz="4" w:space="0"/>
              <w:left w:val="nil"/>
              <w:bottom w:val="single" w:color="auto" w:sz="4" w:space="0"/>
              <w:right w:val="single" w:color="auto" w:sz="4" w:space="0"/>
            </w:tcBorders>
          </w:tcPr>
          <w:p w14:paraId="522611E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升级政府管理、企业服务、绿色制造、绿洲科创四大看板，对接各业务库自动归集月报、年报、温报、监察、培育库、大赛数据；支持多维度筛选钻取、同比环比、异常预警，以多种图表实现监管成效、企业服务、绿色制造培育、科创撮合成果可视化展示。</w:t>
            </w:r>
          </w:p>
        </w:tc>
      </w:tr>
      <w:tr w14:paraId="7F054278">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3A28B23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3</w:t>
            </w:r>
          </w:p>
        </w:tc>
        <w:tc>
          <w:tcPr>
            <w:tcW w:w="1091" w:type="pct"/>
            <w:tcBorders>
              <w:top w:val="single" w:color="auto" w:sz="4" w:space="0"/>
              <w:left w:val="nil"/>
              <w:bottom w:val="single" w:color="auto" w:sz="4" w:space="0"/>
              <w:right w:val="single" w:color="auto" w:sz="4" w:space="0"/>
            </w:tcBorders>
            <w:noWrap/>
            <w:vAlign w:val="center"/>
          </w:tcPr>
          <w:p w14:paraId="6150878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0C3EB1F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空间核心平台-交互服务与知识底座</w:t>
            </w:r>
          </w:p>
        </w:tc>
        <w:tc>
          <w:tcPr>
            <w:tcW w:w="2442" w:type="pct"/>
            <w:tcBorders>
              <w:top w:val="single" w:color="auto" w:sz="4" w:space="0"/>
              <w:left w:val="nil"/>
              <w:bottom w:val="single" w:color="auto" w:sz="4" w:space="0"/>
              <w:right w:val="single" w:color="auto" w:sz="4" w:space="0"/>
            </w:tcBorders>
          </w:tcPr>
          <w:p w14:paraId="5E496940">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建设政企事项智能督办台、能碳智能问答助手、能碳要闻情报站。搭建政企双端任务工作台，归集待办、到期预警，支持附件上传、任务固化复用、全流程闭环跟踪；构建能碳智能问答，支持多轮对话与附件解析，低置信问题流转人工兜底；自动聚合国内外政策技术资讯，AI生成摘要，支持标签检索。</w:t>
            </w:r>
          </w:p>
        </w:tc>
      </w:tr>
      <w:tr w14:paraId="11746E7D">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4B5D59B1">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4</w:t>
            </w:r>
          </w:p>
        </w:tc>
        <w:tc>
          <w:tcPr>
            <w:tcW w:w="1091" w:type="pct"/>
            <w:tcBorders>
              <w:top w:val="single" w:color="auto" w:sz="4" w:space="0"/>
              <w:left w:val="nil"/>
              <w:bottom w:val="single" w:color="auto" w:sz="4" w:space="0"/>
              <w:right w:val="single" w:color="auto" w:sz="4" w:space="0"/>
            </w:tcBorders>
            <w:noWrap/>
            <w:vAlign w:val="center"/>
          </w:tcPr>
          <w:p w14:paraId="572A08D8">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5BF0BF5C">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空间核心平台-底层技术与数据基座</w:t>
            </w:r>
          </w:p>
        </w:tc>
        <w:tc>
          <w:tcPr>
            <w:tcW w:w="2442" w:type="pct"/>
            <w:tcBorders>
              <w:top w:val="single" w:color="auto" w:sz="4" w:space="0"/>
              <w:left w:val="nil"/>
              <w:bottom w:val="single" w:color="auto" w:sz="4" w:space="0"/>
              <w:right w:val="single" w:color="auto" w:sz="4" w:space="0"/>
            </w:tcBorders>
          </w:tcPr>
          <w:p w14:paraId="562333B9">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建设多智能体协同调度、多源数据智能治理引擎。主Agent实现任务拆解、子智能体编排、结果校验，支持上下文留存、任务中断续跑；实现多格式文档、扫描件解析，完成近五年历史数据清洗与语义标注，建立企业、设备、项目、政策、标准标准化标签字段体系，为上层业务提供标准化数据输入。</w:t>
            </w:r>
          </w:p>
        </w:tc>
      </w:tr>
      <w:tr w14:paraId="361B7651">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5D7BE7A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5</w:t>
            </w:r>
          </w:p>
        </w:tc>
        <w:tc>
          <w:tcPr>
            <w:tcW w:w="1091" w:type="pct"/>
            <w:tcBorders>
              <w:top w:val="single" w:color="auto" w:sz="4" w:space="0"/>
              <w:left w:val="nil"/>
              <w:bottom w:val="single" w:color="auto" w:sz="4" w:space="0"/>
              <w:right w:val="single" w:color="auto" w:sz="4" w:space="0"/>
            </w:tcBorders>
            <w:noWrap/>
            <w:vAlign w:val="center"/>
          </w:tcPr>
          <w:p w14:paraId="4DBA420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3989D738">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政府管理智能体集群-智能填报智能体</w:t>
            </w:r>
          </w:p>
        </w:tc>
        <w:tc>
          <w:tcPr>
            <w:tcW w:w="2442" w:type="pct"/>
            <w:tcBorders>
              <w:top w:val="single" w:color="auto" w:sz="4" w:space="0"/>
              <w:left w:val="nil"/>
              <w:bottom w:val="single" w:color="auto" w:sz="4" w:space="0"/>
              <w:right w:val="single" w:color="auto" w:sz="4" w:space="0"/>
            </w:tcBorders>
          </w:tcPr>
          <w:p w14:paraId="37AEC6B1">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覆盖能源利用状况报告、温室气体排放报告、节能月度报告、节能档案、能碳岗位备案。支持OCR识别企业报表材料，复用平台存量确权数据，实现一次填报多报表复用；内嵌30个行业碳排放核算方法学或标准，兼容上海、国家两套核算口径，辅助欧盟碳边境调节机制核查、申报；构建企业电子节能档案，实现岗位备案、校验与更新提醒。</w:t>
            </w:r>
          </w:p>
        </w:tc>
      </w:tr>
      <w:tr w14:paraId="0C33797D">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004BD06A">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6</w:t>
            </w:r>
          </w:p>
        </w:tc>
        <w:tc>
          <w:tcPr>
            <w:tcW w:w="1091" w:type="pct"/>
            <w:tcBorders>
              <w:top w:val="single" w:color="auto" w:sz="4" w:space="0"/>
              <w:left w:val="nil"/>
              <w:bottom w:val="single" w:color="auto" w:sz="4" w:space="0"/>
              <w:right w:val="single" w:color="auto" w:sz="4" w:space="0"/>
            </w:tcBorders>
            <w:noWrap/>
            <w:vAlign w:val="center"/>
          </w:tcPr>
          <w:p w14:paraId="15A70190">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39B4B4C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政府管理智能体集群-数据确权智能体</w:t>
            </w:r>
          </w:p>
        </w:tc>
        <w:tc>
          <w:tcPr>
            <w:tcW w:w="2442" w:type="pct"/>
            <w:tcBorders>
              <w:top w:val="single" w:color="auto" w:sz="4" w:space="0"/>
              <w:left w:val="nil"/>
              <w:bottom w:val="single" w:color="auto" w:sz="4" w:space="0"/>
              <w:right w:val="single" w:color="auto" w:sz="4" w:space="0"/>
            </w:tcBorders>
          </w:tcPr>
          <w:p w14:paraId="3677623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实现三层可信核验：报表内部逻辑校验、跨表一致性校验、近五年历史跨期比对，辅以企业上传材料外部佐证；经人工兜底后生成确权凭证。</w:t>
            </w:r>
          </w:p>
        </w:tc>
      </w:tr>
      <w:tr w14:paraId="1865DE75">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659C56D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7</w:t>
            </w:r>
          </w:p>
        </w:tc>
        <w:tc>
          <w:tcPr>
            <w:tcW w:w="1091" w:type="pct"/>
            <w:tcBorders>
              <w:top w:val="single" w:color="auto" w:sz="4" w:space="0"/>
              <w:left w:val="nil"/>
              <w:bottom w:val="single" w:color="auto" w:sz="4" w:space="0"/>
              <w:right w:val="single" w:color="auto" w:sz="4" w:space="0"/>
            </w:tcBorders>
            <w:noWrap/>
            <w:vAlign w:val="center"/>
          </w:tcPr>
          <w:p w14:paraId="49E7F94D">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680A0F7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政府管理智能体集群-设备对标智能体</w:t>
            </w:r>
          </w:p>
        </w:tc>
        <w:tc>
          <w:tcPr>
            <w:tcW w:w="2442" w:type="pct"/>
            <w:tcBorders>
              <w:top w:val="single" w:color="auto" w:sz="4" w:space="0"/>
              <w:left w:val="nil"/>
              <w:bottom w:val="single" w:color="auto" w:sz="4" w:space="0"/>
              <w:right w:val="single" w:color="auto" w:sz="4" w:space="0"/>
            </w:tcBorders>
          </w:tcPr>
          <w:p w14:paraId="6130CBA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包含淘汰落后设备识别、设备能效对标。解析企业设备铭牌参数，对照国家淘汰目录、能效标准自动识别落后设备、评定能效等级；测算设备更新节能量与成本收益，向监管、企业双向风险提醒。</w:t>
            </w:r>
          </w:p>
        </w:tc>
      </w:tr>
      <w:tr w14:paraId="42EFF8F6">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5B27AAFA">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8</w:t>
            </w:r>
          </w:p>
        </w:tc>
        <w:tc>
          <w:tcPr>
            <w:tcW w:w="1091" w:type="pct"/>
            <w:tcBorders>
              <w:top w:val="single" w:color="auto" w:sz="4" w:space="0"/>
              <w:left w:val="nil"/>
              <w:bottom w:val="single" w:color="auto" w:sz="4" w:space="0"/>
              <w:right w:val="single" w:color="auto" w:sz="4" w:space="0"/>
            </w:tcBorders>
            <w:noWrap/>
            <w:vAlign w:val="center"/>
          </w:tcPr>
          <w:p w14:paraId="4AF363C8">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673DB21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政府管理智能体集群-限额核查智能体</w:t>
            </w:r>
          </w:p>
        </w:tc>
        <w:tc>
          <w:tcPr>
            <w:tcW w:w="2442" w:type="pct"/>
            <w:tcBorders>
              <w:top w:val="single" w:color="auto" w:sz="4" w:space="0"/>
              <w:left w:val="nil"/>
              <w:bottom w:val="single" w:color="auto" w:sz="4" w:space="0"/>
              <w:right w:val="single" w:color="auto" w:sz="4" w:space="0"/>
            </w:tcBorders>
          </w:tcPr>
          <w:p w14:paraId="2861606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包含能耗限额检查、数据中心管理。依据能耗限额标准校验企业产品单耗，自动生成核查报告；针对数据中心开展PUE对标核查，识别低效对象，输出整改提示，支持多维度汇总统计。</w:t>
            </w:r>
          </w:p>
        </w:tc>
      </w:tr>
      <w:tr w14:paraId="4573E363">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0361067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9</w:t>
            </w:r>
          </w:p>
        </w:tc>
        <w:tc>
          <w:tcPr>
            <w:tcW w:w="1091" w:type="pct"/>
            <w:tcBorders>
              <w:top w:val="single" w:color="auto" w:sz="4" w:space="0"/>
              <w:left w:val="nil"/>
              <w:bottom w:val="single" w:color="auto" w:sz="4" w:space="0"/>
              <w:right w:val="single" w:color="auto" w:sz="4" w:space="0"/>
            </w:tcBorders>
            <w:noWrap/>
            <w:vAlign w:val="center"/>
          </w:tcPr>
          <w:p w14:paraId="450E7049">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12463839">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政府管理智能体集群-项目管服智能体</w:t>
            </w:r>
          </w:p>
        </w:tc>
        <w:tc>
          <w:tcPr>
            <w:tcW w:w="2442" w:type="pct"/>
            <w:tcBorders>
              <w:top w:val="single" w:color="auto" w:sz="4" w:space="0"/>
              <w:left w:val="nil"/>
              <w:bottom w:val="single" w:color="auto" w:sz="4" w:space="0"/>
              <w:right w:val="single" w:color="auto" w:sz="4" w:space="0"/>
            </w:tcBorders>
          </w:tcPr>
          <w:p w14:paraId="460DF44D">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包含固投项目监管、两高项目管理。对扫描件、非标材料做OCR结构化解析，开展跨文档校验；实现固投节能审查智能预审、能耗异常预警；完成两高项目库与储备库智能匹配，自动校验减量替代台账，异常标记留痕闭环监管。</w:t>
            </w:r>
          </w:p>
        </w:tc>
      </w:tr>
      <w:tr w14:paraId="4F6B6FB8">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12E95D98">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10</w:t>
            </w:r>
          </w:p>
        </w:tc>
        <w:tc>
          <w:tcPr>
            <w:tcW w:w="1091" w:type="pct"/>
            <w:tcBorders>
              <w:top w:val="single" w:color="auto" w:sz="4" w:space="0"/>
              <w:left w:val="nil"/>
              <w:bottom w:val="single" w:color="auto" w:sz="4" w:space="0"/>
              <w:right w:val="single" w:color="auto" w:sz="4" w:space="0"/>
            </w:tcBorders>
            <w:noWrap/>
            <w:vAlign w:val="center"/>
          </w:tcPr>
          <w:p w14:paraId="3E35BF4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311DFC00">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政府管理智能体集群-双控考核智能体</w:t>
            </w:r>
          </w:p>
        </w:tc>
        <w:tc>
          <w:tcPr>
            <w:tcW w:w="2442" w:type="pct"/>
            <w:tcBorders>
              <w:top w:val="single" w:color="auto" w:sz="4" w:space="0"/>
              <w:left w:val="nil"/>
              <w:bottom w:val="single" w:color="auto" w:sz="4" w:space="0"/>
              <w:right w:val="single" w:color="auto" w:sz="4" w:space="0"/>
            </w:tcBorders>
          </w:tcPr>
          <w:p w14:paraId="154C3801">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包含目标分解、双控考核、日常进度跟踪。基于确权的年报、月报、温报数据，完成区、集团、重点企业能耗碳排指标预分解；实现考核智能初审打分，输出问题清单、考核初稿，操作全程留痕；结合月度数据动态预判年度目标完成度，输出风险清单，从事后考核转向过程干预。</w:t>
            </w:r>
          </w:p>
        </w:tc>
      </w:tr>
      <w:tr w14:paraId="73E0E1C8">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10EA6C0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11</w:t>
            </w:r>
          </w:p>
        </w:tc>
        <w:tc>
          <w:tcPr>
            <w:tcW w:w="1091" w:type="pct"/>
            <w:tcBorders>
              <w:top w:val="single" w:color="auto" w:sz="4" w:space="0"/>
              <w:left w:val="nil"/>
              <w:bottom w:val="single" w:color="auto" w:sz="4" w:space="0"/>
              <w:right w:val="single" w:color="auto" w:sz="4" w:space="0"/>
            </w:tcBorders>
            <w:noWrap/>
            <w:vAlign w:val="center"/>
          </w:tcPr>
          <w:p w14:paraId="3859610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5834C911">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政府管理智能体集群-数据分析智能体</w:t>
            </w:r>
          </w:p>
        </w:tc>
        <w:tc>
          <w:tcPr>
            <w:tcW w:w="2442" w:type="pct"/>
            <w:tcBorders>
              <w:top w:val="single" w:color="auto" w:sz="4" w:space="0"/>
              <w:left w:val="nil"/>
              <w:bottom w:val="single" w:color="auto" w:sz="4" w:space="0"/>
              <w:right w:val="single" w:color="auto" w:sz="4" w:space="0"/>
            </w:tcBorders>
          </w:tcPr>
          <w:p w14:paraId="473FA66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支持年报、温报、月报、限额报告等不同填报数据的全量化提取，支持多维度、多字段的数据提取，如分字段、分标签、分主体、分时间提取各类数据，并能够支持数据完整性、准确性的校验，支持生成数据分析报告。</w:t>
            </w:r>
          </w:p>
        </w:tc>
      </w:tr>
      <w:tr w14:paraId="486074C5">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63E7E46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12</w:t>
            </w:r>
          </w:p>
        </w:tc>
        <w:tc>
          <w:tcPr>
            <w:tcW w:w="1091" w:type="pct"/>
            <w:tcBorders>
              <w:top w:val="single" w:color="auto" w:sz="4" w:space="0"/>
              <w:left w:val="nil"/>
              <w:bottom w:val="single" w:color="auto" w:sz="4" w:space="0"/>
              <w:right w:val="single" w:color="auto" w:sz="4" w:space="0"/>
            </w:tcBorders>
            <w:noWrap/>
            <w:vAlign w:val="center"/>
          </w:tcPr>
          <w:p w14:paraId="16920C49">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1FFF6B8A">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政府管理智能体集群-报告撰写智能体</w:t>
            </w:r>
          </w:p>
        </w:tc>
        <w:tc>
          <w:tcPr>
            <w:tcW w:w="2442" w:type="pct"/>
            <w:tcBorders>
              <w:top w:val="single" w:color="auto" w:sz="4" w:space="0"/>
              <w:left w:val="nil"/>
              <w:bottom w:val="single" w:color="auto" w:sz="4" w:space="0"/>
              <w:right w:val="single" w:color="auto" w:sz="4" w:space="0"/>
            </w:tcBorders>
          </w:tcPr>
          <w:p w14:paraId="524403F9">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联动平台统计数据，自动生成工作总结、业务专报、行业分析、前沿动态初稿，支持业务人员人工微调。</w:t>
            </w:r>
          </w:p>
        </w:tc>
      </w:tr>
      <w:tr w14:paraId="6B711D12">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461AA30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13</w:t>
            </w:r>
          </w:p>
        </w:tc>
        <w:tc>
          <w:tcPr>
            <w:tcW w:w="1091" w:type="pct"/>
            <w:tcBorders>
              <w:top w:val="single" w:color="auto" w:sz="4" w:space="0"/>
              <w:left w:val="nil"/>
              <w:bottom w:val="single" w:color="auto" w:sz="4" w:space="0"/>
              <w:right w:val="single" w:color="auto" w:sz="4" w:space="0"/>
            </w:tcBorders>
            <w:noWrap/>
            <w:vAlign w:val="center"/>
          </w:tcPr>
          <w:p w14:paraId="32C155DB">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20D5E888">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政府管理智能体集群-政策研究智能体</w:t>
            </w:r>
          </w:p>
        </w:tc>
        <w:tc>
          <w:tcPr>
            <w:tcW w:w="2442" w:type="pct"/>
            <w:tcBorders>
              <w:top w:val="single" w:color="auto" w:sz="4" w:space="0"/>
              <w:left w:val="nil"/>
              <w:bottom w:val="single" w:color="auto" w:sz="4" w:space="0"/>
              <w:right w:val="single" w:color="auto" w:sz="4" w:space="0"/>
            </w:tcBorders>
          </w:tcPr>
          <w:p w14:paraId="057FD66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搭建国内外能碳政策知识库，完成政策结构化解析、标签化管理；开展跨区域政策对比，识别政策空白，输出研究报告。跟踪国家及本市标准制修订动态，归集多类标准文本并结构化解析；开展跨标准对比识别空白短板；为本市地方标准编制提供框架、指标、初稿生成能力，输出标准解读及企业对标指引。</w:t>
            </w:r>
          </w:p>
        </w:tc>
      </w:tr>
      <w:tr w14:paraId="081E6A4F">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72493F5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14</w:t>
            </w:r>
          </w:p>
        </w:tc>
        <w:tc>
          <w:tcPr>
            <w:tcW w:w="1091" w:type="pct"/>
            <w:tcBorders>
              <w:top w:val="single" w:color="auto" w:sz="4" w:space="0"/>
              <w:left w:val="nil"/>
              <w:bottom w:val="single" w:color="auto" w:sz="4" w:space="0"/>
              <w:right w:val="single" w:color="auto" w:sz="4" w:space="0"/>
            </w:tcBorders>
            <w:noWrap/>
            <w:vAlign w:val="center"/>
          </w:tcPr>
          <w:p w14:paraId="3E629160">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49BFE5B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绿色制造智能体集群-绿色制造智能体-绿色工厂</w:t>
            </w:r>
          </w:p>
        </w:tc>
        <w:tc>
          <w:tcPr>
            <w:tcW w:w="2442" w:type="pct"/>
            <w:tcBorders>
              <w:top w:val="single" w:color="auto" w:sz="4" w:space="0"/>
              <w:left w:val="nil"/>
              <w:bottom w:val="single" w:color="auto" w:sz="4" w:space="0"/>
              <w:right w:val="single" w:color="auto" w:sz="4" w:space="0"/>
            </w:tcBorders>
          </w:tcPr>
          <w:p w14:paraId="4CC2F5E3">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支持复用平台确权能碳数据，内嵌绿色工厂评价通则及分行业细则，实现在线对标、模拟自评、报告自动生成、短板识别；完善培育库、流程跟踪、专家评审、动态监测，支撑市-区-集团-企业多级绿色工厂培育、评审及动态管理。</w:t>
            </w:r>
          </w:p>
        </w:tc>
      </w:tr>
      <w:tr w14:paraId="1389E75A">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3514665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15</w:t>
            </w:r>
          </w:p>
        </w:tc>
        <w:tc>
          <w:tcPr>
            <w:tcW w:w="1091" w:type="pct"/>
            <w:tcBorders>
              <w:top w:val="single" w:color="auto" w:sz="4" w:space="0"/>
              <w:left w:val="nil"/>
              <w:bottom w:val="single" w:color="auto" w:sz="4" w:space="0"/>
              <w:right w:val="single" w:color="auto" w:sz="4" w:space="0"/>
            </w:tcBorders>
            <w:noWrap/>
            <w:vAlign w:val="center"/>
          </w:tcPr>
          <w:p w14:paraId="256AC007">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397714FC">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绿色制造智能体集群-零碳进阶智能体-零碳工厂/算力设施</w:t>
            </w:r>
          </w:p>
        </w:tc>
        <w:tc>
          <w:tcPr>
            <w:tcW w:w="2442" w:type="pct"/>
            <w:tcBorders>
              <w:top w:val="single" w:color="auto" w:sz="4" w:space="0"/>
              <w:left w:val="nil"/>
              <w:bottom w:val="single" w:color="auto" w:sz="4" w:space="0"/>
              <w:right w:val="single" w:color="auto" w:sz="4" w:space="0"/>
            </w:tcBorders>
          </w:tcPr>
          <w:p w14:paraId="1EE4652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内嵌对应评价指标体系，搭建创建储备库；依托确权数据开展准入初审，输出企业零碳画像与培育建议；跟踪建设进度，支撑市区两级专家评审、核算及初步验收。</w:t>
            </w:r>
          </w:p>
        </w:tc>
      </w:tr>
      <w:tr w14:paraId="6FADFDDF">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7B569AFE">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16</w:t>
            </w:r>
          </w:p>
        </w:tc>
        <w:tc>
          <w:tcPr>
            <w:tcW w:w="1091" w:type="pct"/>
            <w:tcBorders>
              <w:top w:val="single" w:color="auto" w:sz="4" w:space="0"/>
              <w:left w:val="nil"/>
              <w:bottom w:val="single" w:color="auto" w:sz="4" w:space="0"/>
              <w:right w:val="single" w:color="auto" w:sz="4" w:space="0"/>
            </w:tcBorders>
            <w:noWrap/>
            <w:vAlign w:val="center"/>
          </w:tcPr>
          <w:p w14:paraId="0B880FEE">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16A55832">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招才引智智能体集群-绿洲科创智能体-绿洲科创</w:t>
            </w:r>
          </w:p>
        </w:tc>
        <w:tc>
          <w:tcPr>
            <w:tcW w:w="2442" w:type="pct"/>
            <w:tcBorders>
              <w:top w:val="single" w:color="auto" w:sz="4" w:space="0"/>
              <w:left w:val="nil"/>
              <w:bottom w:val="single" w:color="auto" w:sz="4" w:space="0"/>
              <w:right w:val="single" w:color="auto" w:sz="4" w:space="0"/>
            </w:tcBorders>
          </w:tcPr>
          <w:p w14:paraId="363FEDAB">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建设科创专题看板，汇聚企业需求、技术方案，多维展示大赛运行成效；实现技术方案信息自动提取、分类入库，AI初评结合专家复核；完成企业降碳需求-技术方案智能匹配，支撑供需撮合对接。</w:t>
            </w:r>
          </w:p>
        </w:tc>
      </w:tr>
      <w:tr w14:paraId="1CEC950A">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02BBAD97">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17</w:t>
            </w:r>
          </w:p>
        </w:tc>
        <w:tc>
          <w:tcPr>
            <w:tcW w:w="1091" w:type="pct"/>
            <w:tcBorders>
              <w:top w:val="single" w:color="auto" w:sz="4" w:space="0"/>
              <w:left w:val="nil"/>
              <w:bottom w:val="single" w:color="auto" w:sz="4" w:space="0"/>
              <w:right w:val="single" w:color="auto" w:sz="4" w:space="0"/>
            </w:tcBorders>
            <w:noWrap/>
            <w:vAlign w:val="center"/>
          </w:tcPr>
          <w:p w14:paraId="2AED4B6B">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4460DC11">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空间核心通用能力-多智能体协同调度底座</w:t>
            </w:r>
          </w:p>
        </w:tc>
        <w:tc>
          <w:tcPr>
            <w:tcW w:w="2442" w:type="pct"/>
            <w:tcBorders>
              <w:top w:val="single" w:color="auto" w:sz="4" w:space="0"/>
              <w:left w:val="nil"/>
              <w:bottom w:val="single" w:color="auto" w:sz="4" w:space="0"/>
              <w:right w:val="single" w:color="auto" w:sz="4" w:space="0"/>
            </w:tcBorders>
          </w:tcPr>
          <w:p w14:paraId="2D3486A3">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提供统一主Agent调度框架，实现任务接收、任务解析、任务拆解、子智能体编排（串行、并行）、参数下发、结果汇聚、冲突校验；完整记录任务全流程执行日志，保存输入参数、中间结果、输出成果；支持长周期复杂任务托管、中断续跑、异常捕获、失败重试，对执行异常任务提供原因提示，保障报表生成、核查分析、报告撰写等长耗时业务任务稳定交付。</w:t>
            </w:r>
          </w:p>
        </w:tc>
      </w:tr>
      <w:tr w14:paraId="3E2DCA49">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1BF77D2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18</w:t>
            </w:r>
          </w:p>
        </w:tc>
        <w:tc>
          <w:tcPr>
            <w:tcW w:w="1091" w:type="pct"/>
            <w:tcBorders>
              <w:top w:val="single" w:color="auto" w:sz="4" w:space="0"/>
              <w:left w:val="nil"/>
              <w:bottom w:val="single" w:color="auto" w:sz="4" w:space="0"/>
              <w:right w:val="single" w:color="auto" w:sz="4" w:space="0"/>
            </w:tcBorders>
            <w:noWrap/>
            <w:vAlign w:val="center"/>
          </w:tcPr>
          <w:p w14:paraId="2E4C0B86">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7407CF8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空间核心通用能力-统一标签、字段与业务对象体系</w:t>
            </w:r>
          </w:p>
        </w:tc>
        <w:tc>
          <w:tcPr>
            <w:tcW w:w="2442" w:type="pct"/>
            <w:tcBorders>
              <w:top w:val="single" w:color="auto" w:sz="4" w:space="0"/>
              <w:left w:val="nil"/>
              <w:bottom w:val="single" w:color="auto" w:sz="4" w:space="0"/>
              <w:right w:val="single" w:color="auto" w:sz="4" w:space="0"/>
            </w:tcBorders>
          </w:tcPr>
          <w:p w14:paraId="793DC1A9">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统筹设计企业、设备、项目、报表、政策、标准、技术方案七类核心业务对象，统一对象字段定义、枚举值、分类标签；打通政府监管模块、绿色制造模块、招才引智模块之间的业务对象关联关系；保障同一企业、同一设备在不同智能体之间基础数据、标签口径保持一致，避免各智能体数据孤岛；标签字段支持可配置扩展，适配后续业务迭代。</w:t>
            </w:r>
          </w:p>
        </w:tc>
      </w:tr>
      <w:tr w14:paraId="1FEE2C4E">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03CE2221">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19</w:t>
            </w:r>
          </w:p>
        </w:tc>
        <w:tc>
          <w:tcPr>
            <w:tcW w:w="1091" w:type="pct"/>
            <w:tcBorders>
              <w:top w:val="single" w:color="auto" w:sz="4" w:space="0"/>
              <w:left w:val="nil"/>
              <w:bottom w:val="single" w:color="auto" w:sz="4" w:space="0"/>
              <w:right w:val="single" w:color="auto" w:sz="4" w:space="0"/>
            </w:tcBorders>
            <w:noWrap/>
            <w:vAlign w:val="center"/>
          </w:tcPr>
          <w:p w14:paraId="0DF7A777">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273D840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空间核心通用能力-分层知识治理能力</w:t>
            </w:r>
          </w:p>
        </w:tc>
        <w:tc>
          <w:tcPr>
            <w:tcW w:w="2442" w:type="pct"/>
            <w:tcBorders>
              <w:top w:val="single" w:color="auto" w:sz="4" w:space="0"/>
              <w:left w:val="nil"/>
              <w:bottom w:val="single" w:color="auto" w:sz="4" w:space="0"/>
              <w:right w:val="single" w:color="auto" w:sz="4" w:space="0"/>
            </w:tcBorders>
          </w:tcPr>
          <w:p w14:paraId="72AEEC4C">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构建市区园区集团企业五级分层知识治理体系，针对业务制度、核算方法学、政策文件、标准文本、评审规则建立知识入库、版本管理、失效标记、审计溯源全流程管理；支持知识编译为专题索引，面向不同层级用户提供统一口径的知识调用，知识变更全程留痕，支撑智能问答、报表核算、评审研判等场景调用。</w:t>
            </w:r>
          </w:p>
        </w:tc>
      </w:tr>
      <w:tr w14:paraId="78543B61">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0CA76B43">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20</w:t>
            </w:r>
          </w:p>
        </w:tc>
        <w:tc>
          <w:tcPr>
            <w:tcW w:w="1091" w:type="pct"/>
            <w:tcBorders>
              <w:top w:val="single" w:color="auto" w:sz="4" w:space="0"/>
              <w:left w:val="nil"/>
              <w:bottom w:val="single" w:color="auto" w:sz="4" w:space="0"/>
              <w:right w:val="single" w:color="auto" w:sz="4" w:space="0"/>
            </w:tcBorders>
            <w:noWrap/>
            <w:vAlign w:val="center"/>
          </w:tcPr>
          <w:p w14:paraId="6FDF6B2B">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117CACB4">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空间核心通用能力-跨模块数据互通与上下文索引能力</w:t>
            </w:r>
          </w:p>
        </w:tc>
        <w:tc>
          <w:tcPr>
            <w:tcW w:w="2442" w:type="pct"/>
            <w:tcBorders>
              <w:top w:val="single" w:color="auto" w:sz="4" w:space="0"/>
              <w:left w:val="nil"/>
              <w:bottom w:val="single" w:color="auto" w:sz="4" w:space="0"/>
              <w:right w:val="single" w:color="auto" w:sz="4" w:space="0"/>
            </w:tcBorders>
          </w:tcPr>
          <w:p w14:paraId="2798ABE8">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打通原有系统与本项目智能体的数据链路，建立全平台统一AI上下文索引；实现确权能碳数据、档案、项目库、培育库、方案库之间可关联检索、可点击溯源原始业务记录；严格控制数据访问权限，不同角色仅可访问授权范围内的数据，实现数据互通但不越权泄露。</w:t>
            </w:r>
          </w:p>
        </w:tc>
      </w:tr>
      <w:tr w14:paraId="544BF2BC">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1B027EAE">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21</w:t>
            </w:r>
          </w:p>
        </w:tc>
        <w:tc>
          <w:tcPr>
            <w:tcW w:w="1091" w:type="pct"/>
            <w:tcBorders>
              <w:top w:val="single" w:color="auto" w:sz="4" w:space="0"/>
              <w:left w:val="nil"/>
              <w:bottom w:val="single" w:color="auto" w:sz="4" w:space="0"/>
              <w:right w:val="single" w:color="auto" w:sz="4" w:space="0"/>
            </w:tcBorders>
            <w:noWrap/>
            <w:vAlign w:val="center"/>
          </w:tcPr>
          <w:p w14:paraId="090703C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25D7B56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空间核心通用能力-自然语言交互与任务能力</w:t>
            </w:r>
          </w:p>
        </w:tc>
        <w:tc>
          <w:tcPr>
            <w:tcW w:w="2442" w:type="pct"/>
            <w:tcBorders>
              <w:top w:val="single" w:color="auto" w:sz="4" w:space="0"/>
              <w:left w:val="nil"/>
              <w:bottom w:val="single" w:color="auto" w:sz="4" w:space="0"/>
              <w:right w:val="single" w:color="auto" w:sz="4" w:space="0"/>
            </w:tcBorders>
          </w:tcPr>
          <w:p w14:paraId="1A6F9A92">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支持业务人员通过自然语言发起填报辅助、数据分析、报告生成、标准检索等业务任务；系统可将自然语言需求转换为智能体执行任务；支持用户对AI输出结果进行反馈，反馈记录留存用于后续能力迭代优化，降低业务人员使用门槛。</w:t>
            </w:r>
          </w:p>
        </w:tc>
      </w:tr>
      <w:tr w14:paraId="56626008">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5E80A375">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22</w:t>
            </w:r>
          </w:p>
        </w:tc>
        <w:tc>
          <w:tcPr>
            <w:tcW w:w="1091" w:type="pct"/>
            <w:tcBorders>
              <w:top w:val="single" w:color="auto" w:sz="4" w:space="0"/>
              <w:left w:val="nil"/>
              <w:bottom w:val="single" w:color="auto" w:sz="4" w:space="0"/>
              <w:right w:val="single" w:color="auto" w:sz="4" w:space="0"/>
            </w:tcBorders>
            <w:noWrap/>
            <w:vAlign w:val="center"/>
          </w:tcPr>
          <w:p w14:paraId="4B6A1033">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61878CDB">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w:t>
            </w:r>
          </w:p>
        </w:tc>
        <w:tc>
          <w:tcPr>
            <w:tcW w:w="2442" w:type="pct"/>
            <w:tcBorders>
              <w:top w:val="single" w:color="auto" w:sz="4" w:space="0"/>
              <w:left w:val="nil"/>
              <w:bottom w:val="single" w:color="auto" w:sz="4" w:space="0"/>
              <w:right w:val="single" w:color="auto" w:sz="4" w:space="0"/>
            </w:tcBorders>
          </w:tcPr>
          <w:p w14:paraId="31F673B3">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支持敏感业务数据在可信域内受控计算，原始敏感数据不向外导出，仅输出确权凭证、统计结果等加工后输出数据，支撑数据要素安全利用。</w:t>
            </w:r>
          </w:p>
        </w:tc>
      </w:tr>
      <w:tr w14:paraId="7798B478">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6C740802">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23</w:t>
            </w:r>
          </w:p>
        </w:tc>
        <w:tc>
          <w:tcPr>
            <w:tcW w:w="1091" w:type="pct"/>
            <w:tcBorders>
              <w:top w:val="single" w:color="auto" w:sz="4" w:space="0"/>
              <w:left w:val="nil"/>
              <w:bottom w:val="single" w:color="auto" w:sz="4" w:space="0"/>
              <w:right w:val="single" w:color="auto" w:sz="4" w:space="0"/>
            </w:tcBorders>
            <w:noWrap/>
            <w:vAlign w:val="center"/>
          </w:tcPr>
          <w:p w14:paraId="14E4F9EF">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6E3AE412">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空间核心通用能力-安全与合规管控</w:t>
            </w:r>
          </w:p>
        </w:tc>
        <w:tc>
          <w:tcPr>
            <w:tcW w:w="2442" w:type="pct"/>
            <w:tcBorders>
              <w:top w:val="single" w:color="auto" w:sz="4" w:space="0"/>
              <w:left w:val="nil"/>
              <w:bottom w:val="single" w:color="auto" w:sz="4" w:space="0"/>
              <w:right w:val="single" w:color="auto" w:sz="4" w:space="0"/>
            </w:tcBorders>
          </w:tcPr>
          <w:p w14:paraId="60A1B1B2">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统一身份认证、细粒度RBAC权限、敏感操作拦截、全链路审计日志；针对AI输入输出增加风险识别管控，防止违规输出；日志留存周期满足政务系统安全管理相关要求。</w:t>
            </w:r>
          </w:p>
        </w:tc>
      </w:tr>
      <w:tr w14:paraId="4169CD26">
        <w:tblPrEx>
          <w:tblCellMar>
            <w:top w:w="0" w:type="dxa"/>
            <w:left w:w="108" w:type="dxa"/>
            <w:bottom w:w="0" w:type="dxa"/>
            <w:right w:w="108" w:type="dxa"/>
          </w:tblCellMar>
        </w:tblPrEx>
        <w:trPr>
          <w:trHeight w:val="27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5DE6D167">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24</w:t>
            </w:r>
          </w:p>
        </w:tc>
        <w:tc>
          <w:tcPr>
            <w:tcW w:w="1091" w:type="pct"/>
            <w:tcBorders>
              <w:top w:val="single" w:color="auto" w:sz="4" w:space="0"/>
              <w:left w:val="nil"/>
              <w:bottom w:val="single" w:color="auto" w:sz="4" w:space="0"/>
              <w:right w:val="single" w:color="auto" w:sz="4" w:space="0"/>
            </w:tcBorders>
            <w:noWrap/>
            <w:vAlign w:val="center"/>
          </w:tcPr>
          <w:p w14:paraId="27CE3310">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cs="宋体"/>
                <w:bCs/>
                <w:color w:val="000000" w:themeColor="text1"/>
                <w:kern w:val="0"/>
                <w:sz w:val="22"/>
                <w:szCs w:val="22"/>
                <w14:textFill>
                  <w14:solidFill>
                    <w14:schemeClr w14:val="tx1"/>
                  </w14:solidFill>
                </w14:textFill>
              </w:rPr>
              <w:t>上海市工业和通信业能碳数智空间服务子系统</w:t>
            </w:r>
          </w:p>
        </w:tc>
        <w:tc>
          <w:tcPr>
            <w:tcW w:w="1081" w:type="pct"/>
            <w:tcBorders>
              <w:top w:val="single" w:color="auto" w:sz="4" w:space="0"/>
              <w:left w:val="nil"/>
              <w:bottom w:val="single" w:color="auto" w:sz="4" w:space="0"/>
              <w:right w:val="single" w:color="auto" w:sz="4" w:space="0"/>
            </w:tcBorders>
            <w:noWrap/>
            <w:vAlign w:val="center"/>
          </w:tcPr>
          <w:p w14:paraId="16AD0533">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空间核心通用能力-国产化适配与交付保障</w:t>
            </w:r>
          </w:p>
        </w:tc>
        <w:tc>
          <w:tcPr>
            <w:tcW w:w="2442" w:type="pct"/>
            <w:tcBorders>
              <w:top w:val="single" w:color="auto" w:sz="4" w:space="0"/>
              <w:left w:val="nil"/>
              <w:bottom w:val="single" w:color="auto" w:sz="4" w:space="0"/>
              <w:right w:val="single" w:color="auto" w:sz="4" w:space="0"/>
            </w:tcBorders>
          </w:tcPr>
          <w:p w14:paraId="48055022">
            <w:pPr>
              <w:widowControl/>
              <w:spacing w:line="240" w:lineRule="auto"/>
              <w:ind w:firstLine="0" w:firstLineChars="0"/>
              <w:jc w:val="center"/>
              <w:rPr>
                <w:rFonts w:hint="eastAsia" w:cs="宋体"/>
                <w:bCs/>
                <w:color w:val="000000" w:themeColor="text1"/>
                <w:kern w:val="0"/>
                <w:sz w:val="22"/>
                <w:szCs w:val="22"/>
                <w14:textFill>
                  <w14:solidFill>
                    <w14:schemeClr w14:val="tx1"/>
                  </w14:solidFill>
                </w14:textFill>
              </w:rPr>
            </w:pPr>
            <w:r>
              <w:rPr>
                <w:rFonts w:hint="eastAsia" w:cs="宋体"/>
                <w:bCs/>
                <w:color w:val="000000" w:themeColor="text1"/>
                <w:kern w:val="0"/>
                <w:sz w:val="22"/>
                <w:szCs w:val="22"/>
                <w14:textFill>
                  <w14:solidFill>
                    <w14:schemeClr w14:val="tx1"/>
                  </w14:solidFill>
                </w14:textFill>
              </w:rPr>
              <w:t>完成国产操作系统、国产数据库、国产中间件全栈适配；采用容器化部署，支持弹性扩缩容，保障平台7×24稳定运维。</w:t>
            </w:r>
          </w:p>
        </w:tc>
      </w:tr>
    </w:tbl>
    <w:p w14:paraId="35A4F05C">
      <w:pPr>
        <w:ind w:firstLine="0" w:firstLineChars="0"/>
        <w:rPr>
          <w:rFonts w:hint="eastAsia"/>
          <w:color w:val="000000" w:themeColor="text1"/>
          <w14:textFill>
            <w14:solidFill>
              <w14:schemeClr w14:val="tx1"/>
            </w14:solidFill>
          </w14:textFill>
        </w:rPr>
      </w:pPr>
    </w:p>
    <w:p w14:paraId="02733814">
      <w:pPr>
        <w:pStyle w:val="2"/>
        <w:rPr>
          <w:rFonts w:hint="eastAsia"/>
          <w:color w:val="000000" w:themeColor="text1"/>
          <w14:textFill>
            <w14:solidFill>
              <w14:schemeClr w14:val="tx1"/>
            </w14:solidFill>
          </w14:textFill>
        </w:rPr>
      </w:pPr>
      <w:bookmarkStart w:id="17" w:name="_Toc63785503"/>
      <w:r>
        <w:rPr>
          <w:rFonts w:hint="eastAsia"/>
          <w:color w:val="000000" w:themeColor="text1"/>
          <w14:textFill>
            <w14:solidFill>
              <w14:schemeClr w14:val="tx1"/>
            </w14:solidFill>
          </w14:textFill>
        </w:rPr>
        <w:t>其他工作要求</w:t>
      </w:r>
      <w:bookmarkEnd w:id="17"/>
    </w:p>
    <w:p w14:paraId="210AB8DB">
      <w:pPr>
        <w:pStyle w:val="3"/>
        <w:rPr>
          <w:rFonts w:hint="eastAsia"/>
          <w:color w:val="000000" w:themeColor="text1"/>
          <w14:textFill>
            <w14:solidFill>
              <w14:schemeClr w14:val="tx1"/>
            </w14:solidFill>
          </w14:textFill>
        </w:rPr>
      </w:pPr>
      <w:bookmarkStart w:id="18" w:name="_Toc63785505"/>
      <w:r>
        <w:rPr>
          <w:rFonts w:hint="eastAsia"/>
          <w:color w:val="000000" w:themeColor="text1"/>
          <w14:textFill>
            <w14:solidFill>
              <w14:schemeClr w14:val="tx1"/>
            </w14:solidFill>
          </w14:textFill>
        </w:rPr>
        <w:t>售后服务要求</w:t>
      </w:r>
      <w:bookmarkEnd w:id="18"/>
    </w:p>
    <w:p w14:paraId="6CD5E967">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本项目自竣工验收合格意见书出具之日起，供应商提供合同约定的免费运维服务期。</w:t>
      </w:r>
    </w:p>
    <w:p w14:paraId="6476FB19">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在质量保证期内，供应商需按照售后服务承诺提供保修和运行维护服务。</w:t>
      </w:r>
    </w:p>
    <w:p w14:paraId="4DE23E8D">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在质量保证期内，供应商负责信息系统的运行维护工作，确保信息系统安全、稳定、可靠地运行。运行维护工作范围包括：故障响应、问题修复、版本补丁、技术咨询、智能体能力运维、国产化环境适配保障等。</w:t>
      </w:r>
    </w:p>
    <w:p w14:paraId="7E5451B3">
      <w:pPr>
        <w:pStyle w:val="3"/>
        <w:rPr>
          <w:rFonts w:hint="eastAsia"/>
          <w:color w:val="000000" w:themeColor="text1"/>
          <w14:textFill>
            <w14:solidFill>
              <w14:schemeClr w14:val="tx1"/>
            </w14:solidFill>
          </w14:textFill>
        </w:rPr>
      </w:pPr>
      <w:bookmarkStart w:id="19" w:name="_Toc63785506"/>
      <w:r>
        <w:rPr>
          <w:rFonts w:hint="eastAsia"/>
          <w:color w:val="000000" w:themeColor="text1"/>
          <w14:textFill>
            <w14:solidFill>
              <w14:schemeClr w14:val="tx1"/>
            </w14:solidFill>
          </w14:textFill>
        </w:rPr>
        <w:t>应急响应要求</w:t>
      </w:r>
      <w:bookmarkEnd w:id="19"/>
    </w:p>
    <w:p w14:paraId="5FBABF2D">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供应商对系统故障应能够实时响应，若系统发生故障，接到通知后</w:t>
      </w:r>
      <w:r>
        <w:rPr>
          <w:rFonts w:ascii="宋体" w:hAnsi="宋体"/>
          <w:color w:val="000000" w:themeColor="text1"/>
          <w:sz w:val="24"/>
          <w:szCs w:val="24"/>
          <w14:textFill>
            <w14:solidFill>
              <w14:schemeClr w14:val="tx1"/>
            </w14:solidFill>
          </w14:textFill>
        </w:rPr>
        <w:t>30分钟之内响应，专业工程师2小时内到达现场</w:t>
      </w:r>
      <w:r>
        <w:rPr>
          <w:rFonts w:hint="eastAsia" w:ascii="宋体" w:hAnsi="宋体"/>
          <w:color w:val="000000" w:themeColor="text1"/>
          <w:sz w:val="24"/>
          <w:szCs w:val="24"/>
          <w14:textFill>
            <w14:solidFill>
              <w14:schemeClr w14:val="tx1"/>
            </w14:solidFill>
          </w14:textFill>
        </w:rPr>
        <w:t>。特殊故障与客户沟通协商后，按照协商的方式制定解决方案并进行处理。</w:t>
      </w:r>
    </w:p>
    <w:p w14:paraId="304CBE07">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具体故障级别及对应的应急响应要求如下：</w:t>
      </w:r>
    </w:p>
    <w:p w14:paraId="12A4E5D9">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一级故障：在</w:t>
      </w:r>
      <w:r>
        <w:rPr>
          <w:rFonts w:ascii="宋体" w:hAnsi="宋体"/>
          <w:color w:val="000000" w:themeColor="text1"/>
          <w:sz w:val="24"/>
          <w:szCs w:val="24"/>
          <w14:textFill>
            <w14:solidFill>
              <w14:schemeClr w14:val="tx1"/>
            </w14:solidFill>
          </w14:textFill>
        </w:rPr>
        <w:t>1小时内确诊，总故障解决时间不超过4小时。</w:t>
      </w:r>
    </w:p>
    <w:p w14:paraId="34FD75C2">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二级故障：在</w:t>
      </w:r>
      <w:r>
        <w:rPr>
          <w:rFonts w:ascii="宋体" w:hAnsi="宋体"/>
          <w:color w:val="000000" w:themeColor="text1"/>
          <w:sz w:val="24"/>
          <w:szCs w:val="24"/>
          <w14:textFill>
            <w14:solidFill>
              <w14:schemeClr w14:val="tx1"/>
            </w14:solidFill>
          </w14:textFill>
        </w:rPr>
        <w:t>2小时内确诊，并在4小时内由专家到达现场确诊并解决，总故障解决时间不超过8小时；</w:t>
      </w:r>
    </w:p>
    <w:p w14:paraId="37499626">
      <w:pPr>
        <w:pStyle w:val="11"/>
        <w:snapToGrid w:val="0"/>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三、四级故障：在</w:t>
      </w:r>
      <w:r>
        <w:rPr>
          <w:rFonts w:ascii="宋体" w:hAnsi="宋体"/>
          <w:color w:val="000000" w:themeColor="text1"/>
          <w:sz w:val="24"/>
          <w:szCs w:val="24"/>
          <w14:textFill>
            <w14:solidFill>
              <w14:schemeClr w14:val="tx1"/>
            </w14:solidFill>
          </w14:textFill>
        </w:rPr>
        <w:t>4小时内确诊故障，总故障解决时间不超过16小时。</w:t>
      </w:r>
    </w:p>
    <w:p w14:paraId="612A9702">
      <w:pPr>
        <w:pStyle w:val="3"/>
        <w:rPr>
          <w:rFonts w:hint="eastAsia"/>
          <w:color w:val="000000" w:themeColor="text1"/>
          <w14:textFill>
            <w14:solidFill>
              <w14:schemeClr w14:val="tx1"/>
            </w14:solidFill>
          </w14:textFill>
        </w:rPr>
      </w:pPr>
      <w:bookmarkStart w:id="20" w:name="_Toc63785507"/>
      <w:r>
        <w:rPr>
          <w:rFonts w:hint="eastAsia"/>
          <w:color w:val="000000" w:themeColor="text1"/>
          <w14:textFill>
            <w14:solidFill>
              <w14:schemeClr w14:val="tx1"/>
            </w14:solidFill>
          </w14:textFill>
        </w:rPr>
        <w:t>培训要求</w:t>
      </w:r>
      <w:bookmarkEnd w:id="20"/>
    </w:p>
    <w:p w14:paraId="08A79BD3">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配备专职培训教员，面向甲方业务及运维人员开展系统操作培训。培训内容包括能耗报表填报核查、数据确权、考核评审、绿色制造零碳创建、智能体应用等业务操作。针对系统使用单位提供业务操作培训，应提供详细培训方案。</w:t>
      </w:r>
    </w:p>
    <w:p w14:paraId="318C00D5">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(1)在质量保证期内，提供2次及以上与项目相关的必要培训。</w:t>
      </w:r>
    </w:p>
    <w:p w14:paraId="0F3DB8B2">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(2)供应商需要开展分层次的人员培训工作，每次培训后应对参加培训人员进行测试，评估培训成果。培训应具有培训教材、培训环境和高水平的培训讲师。</w:t>
      </w:r>
    </w:p>
    <w:p w14:paraId="533F00DB">
      <w:pPr>
        <w:rPr>
          <w:rFonts w:hint="eastAsia"/>
          <w:strike/>
          <w:color w:val="000000" w:themeColor="text1"/>
          <w:szCs w:val="21"/>
          <w14:textFill>
            <w14:solidFill>
              <w14:schemeClr w14:val="tx1"/>
            </w14:solidFill>
          </w14:textFill>
        </w:rPr>
      </w:pPr>
      <w:r>
        <w:rPr>
          <w:rFonts w:hint="eastAsia"/>
          <w:color w:val="000000" w:themeColor="text1"/>
          <w14:textFill>
            <w14:solidFill>
              <w14:schemeClr w14:val="tx1"/>
            </w14:solidFill>
          </w14:textFill>
        </w:rPr>
        <w:t>(3)供应商应提供一般用户的基础操作培训和部门信息管理员的日常应用维护的培训，确保用户对象能够掌握对应的操作技能。面向广大企业端用户，系统内嵌电子操作指南、常见问题知识库，提供自助式操作指引。</w:t>
      </w:r>
    </w:p>
    <w:p w14:paraId="37019168">
      <w:pPr>
        <w:pStyle w:val="3"/>
        <w:rPr>
          <w:rFonts w:hint="eastAsia"/>
          <w:color w:val="000000" w:themeColor="text1"/>
          <w14:textFill>
            <w14:solidFill>
              <w14:schemeClr w14:val="tx1"/>
            </w14:solidFill>
          </w14:textFill>
        </w:rPr>
      </w:pPr>
      <w:bookmarkStart w:id="21" w:name="_Toc63785509"/>
      <w:r>
        <w:rPr>
          <w:rFonts w:hint="eastAsia"/>
          <w:color w:val="000000" w:themeColor="text1"/>
          <w14:textFill>
            <w14:solidFill>
              <w14:schemeClr w14:val="tx1"/>
            </w14:solidFill>
          </w14:textFill>
        </w:rPr>
        <w:t>进度要求</w:t>
      </w:r>
      <w:bookmarkEnd w:id="21"/>
    </w:p>
    <w:p w14:paraId="521D6A59">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投标人应根据建设内容，分阶段制定合理的时间进度，并且应根据招标方要求进行调整和细化。总工期硬性约束：项目全部建设内容须在2026年12月31日前完成部署开发、初验、进入试运行。</w:t>
      </w:r>
    </w:p>
    <w:p w14:paraId="4D752F53">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总建设周期至2026年12月31日，分为以下阶段：</w:t>
      </w:r>
    </w:p>
    <w:p w14:paraId="2C12726C">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第一阶段：需求调研与概要设计阶段，完成业务基准文件编制、系统概要设计、业务对象与标签字段体系设计。</w:t>
      </w:r>
    </w:p>
    <w:p w14:paraId="6801994F">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第二阶段：详细开发、集成测试、业务联调、培训、初验及试运行，确保2026年12月31日前完成初步验收，系统进入试运行。</w:t>
      </w:r>
    </w:p>
    <w:p w14:paraId="30581C43">
      <w:pPr>
        <w:pStyle w:val="3"/>
        <w:rPr>
          <w:rFonts w:hint="eastAsia"/>
          <w:color w:val="000000" w:themeColor="text1"/>
          <w14:textFill>
            <w14:solidFill>
              <w14:schemeClr w14:val="tx1"/>
            </w14:solidFill>
          </w14:textFill>
        </w:rPr>
      </w:pPr>
      <w:bookmarkStart w:id="22" w:name="_Toc63785510"/>
      <w:r>
        <w:rPr>
          <w:rFonts w:hint="eastAsia"/>
          <w:color w:val="000000" w:themeColor="text1"/>
          <w14:textFill>
            <w14:solidFill>
              <w14:schemeClr w14:val="tx1"/>
            </w14:solidFill>
          </w14:textFill>
        </w:rPr>
        <w:t>项目团队及驻场人员要求</w:t>
      </w:r>
      <w:bookmarkEnd w:id="22"/>
    </w:p>
    <w:p w14:paraId="311AFF47">
      <w:pPr>
        <w:rPr>
          <w:rFonts w:hint="eastAsia"/>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供应商</w:t>
      </w:r>
      <w:r>
        <w:rPr>
          <w:color w:val="000000" w:themeColor="text1"/>
          <w14:textFill>
            <w14:solidFill>
              <w14:schemeClr w14:val="tx1"/>
            </w14:solidFill>
          </w14:textFill>
        </w:rPr>
        <w:t>须组建稳定、专业的项目实施团队，项目核心人员在项目周期内保持相对稳定，未经甲方书面许可不得随意更换。应针对本项目提供不少于以下配置的项目服务团队（合计不少于11人）：</w:t>
      </w:r>
      <w:r>
        <w:rPr>
          <w:rFonts w:hint="eastAsia"/>
          <w:color w:val="000000" w:themeColor="text1"/>
          <w:lang w:eastAsia="zh-CN"/>
          <w14:textFill>
            <w14:solidFill>
              <w14:schemeClr w14:val="tx1"/>
            </w14:solidFill>
          </w14:textFill>
        </w:rPr>
        <w:t>项目负责人</w:t>
      </w:r>
      <w:r>
        <w:rPr>
          <w:color w:val="000000" w:themeColor="text1"/>
          <w14:textFill>
            <w14:solidFill>
              <w14:schemeClr w14:val="tx1"/>
            </w14:solidFill>
          </w14:textFill>
        </w:rPr>
        <w:t>1名、业务需求分析师不少于2名、AI/智能体研发工程师不少于3名、后端开发工程师不少于2名、前端开发工程师不少于1名、测试工程师不少于1名、安全运维工程师不少于1名。</w:t>
      </w:r>
      <w:r>
        <w:rPr>
          <w:rFonts w:hint="eastAsia"/>
          <w:color w:val="000000" w:themeColor="text1"/>
          <w14:textFill>
            <w14:solidFill>
              <w14:schemeClr w14:val="tx1"/>
            </w14:solidFill>
          </w14:textFill>
        </w:rPr>
        <w:t>供应商</w:t>
      </w:r>
      <w:r>
        <w:rPr>
          <w:color w:val="000000" w:themeColor="text1"/>
          <w14:textFill>
            <w14:solidFill>
              <w14:schemeClr w14:val="tx1"/>
            </w14:solidFill>
          </w14:textFill>
        </w:rPr>
        <w:t>须提供项目人员简历，项目实施全过程提供固定对接人，保障日常沟通响应。</w:t>
      </w:r>
    </w:p>
    <w:tbl>
      <w:tblPr>
        <w:tblStyle w:val="8"/>
        <w:tblW w:w="8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4"/>
        <w:gridCol w:w="2222"/>
        <w:gridCol w:w="1014"/>
        <w:gridCol w:w="1915"/>
        <w:gridCol w:w="1128"/>
      </w:tblGrid>
      <w:tr w14:paraId="6D6C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0F2704A4">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角色</w:t>
            </w:r>
          </w:p>
        </w:tc>
        <w:tc>
          <w:tcPr>
            <w:tcW w:w="2222" w:type="dxa"/>
            <w:noWrap/>
            <w:vAlign w:val="center"/>
          </w:tcPr>
          <w:p w14:paraId="6887BB9C">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主要职责</w:t>
            </w:r>
          </w:p>
        </w:tc>
        <w:tc>
          <w:tcPr>
            <w:tcW w:w="1014" w:type="dxa"/>
            <w:noWrap/>
            <w:vAlign w:val="center"/>
          </w:tcPr>
          <w:p w14:paraId="45563EBE">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人员数量</w:t>
            </w:r>
          </w:p>
        </w:tc>
        <w:tc>
          <w:tcPr>
            <w:tcW w:w="1915" w:type="dxa"/>
            <w:vAlign w:val="center"/>
          </w:tcPr>
          <w:p w14:paraId="43F0DC33">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人员要求</w:t>
            </w:r>
          </w:p>
        </w:tc>
        <w:tc>
          <w:tcPr>
            <w:tcW w:w="1128" w:type="dxa"/>
            <w:noWrap/>
            <w:vAlign w:val="center"/>
          </w:tcPr>
          <w:p w14:paraId="46F8CD60">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驻场要求</w:t>
            </w:r>
          </w:p>
        </w:tc>
      </w:tr>
      <w:tr w14:paraId="1E0C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72AF49AF">
            <w:pPr>
              <w:widowControl/>
              <w:spacing w:line="240" w:lineRule="auto"/>
              <w:ind w:firstLine="0" w:firstLineChars="0"/>
              <w:jc w:val="center"/>
              <w:rPr>
                <w:rFonts w:hint="eastAsia" w:eastAsia="宋体"/>
                <w:bCs/>
                <w:color w:val="000000" w:themeColor="text1"/>
                <w:lang w:eastAsia="zh-CN"/>
                <w14:textFill>
                  <w14:solidFill>
                    <w14:schemeClr w14:val="tx1"/>
                  </w14:solidFill>
                </w14:textFill>
              </w:rPr>
            </w:pPr>
            <w:r>
              <w:rPr>
                <w:rFonts w:hint="eastAsia"/>
                <w:bCs/>
                <w:color w:val="000000" w:themeColor="text1"/>
                <w:lang w:eastAsia="zh-CN"/>
                <w14:textFill>
                  <w14:solidFill>
                    <w14:schemeClr w14:val="tx1"/>
                  </w14:solidFill>
                </w14:textFill>
              </w:rPr>
              <w:t>项目负责人</w:t>
            </w:r>
          </w:p>
        </w:tc>
        <w:tc>
          <w:tcPr>
            <w:tcW w:w="2222" w:type="dxa"/>
            <w:noWrap/>
            <w:vAlign w:val="center"/>
          </w:tcPr>
          <w:p w14:paraId="6D68EC00">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全面负责项目进度、需求协调、质量管控、对外汇报</w:t>
            </w:r>
          </w:p>
        </w:tc>
        <w:tc>
          <w:tcPr>
            <w:tcW w:w="1014" w:type="dxa"/>
            <w:noWrap/>
            <w:vAlign w:val="center"/>
          </w:tcPr>
          <w:p w14:paraId="18054589">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1人</w:t>
            </w:r>
          </w:p>
        </w:tc>
        <w:tc>
          <w:tcPr>
            <w:tcW w:w="1915" w:type="dxa"/>
            <w:vAlign w:val="center"/>
          </w:tcPr>
          <w:p w14:paraId="3E3C91FD">
            <w:pPr>
              <w:widowControl/>
              <w:spacing w:line="240" w:lineRule="auto"/>
              <w:ind w:firstLine="0" w:firstLineChars="0"/>
              <w:jc w:val="left"/>
              <w:rPr>
                <w:rFonts w:hint="eastAsia"/>
                <w:bCs/>
                <w:color w:val="000000" w:themeColor="text1"/>
                <w:lang w:eastAsia="zh-CN"/>
                <w14:textFill>
                  <w14:solidFill>
                    <w14:schemeClr w14:val="tx1"/>
                  </w14:solidFill>
                </w14:textFill>
              </w:rPr>
            </w:pPr>
            <w:r>
              <w:rPr>
                <w:rFonts w:hint="eastAsia"/>
                <w:bCs/>
                <w:color w:val="000000" w:themeColor="text1"/>
                <w:lang w:val="en-US" w:eastAsia="zh-CN"/>
                <w14:textFill>
                  <w14:solidFill>
                    <w14:schemeClr w14:val="tx1"/>
                  </w14:solidFill>
                </w14:textFill>
              </w:rPr>
              <w:t>1.</w:t>
            </w:r>
            <w:r>
              <w:rPr>
                <w:rFonts w:hint="eastAsia"/>
                <w:bCs/>
                <w:color w:val="000000" w:themeColor="text1"/>
                <w:lang w:eastAsia="zh-CN"/>
                <w14:textFill>
                  <w14:solidFill>
                    <w14:schemeClr w14:val="tx1"/>
                  </w14:solidFill>
                </w14:textFill>
              </w:rPr>
              <w:t>具备计算机相关专业本科或以上学历；</w:t>
            </w:r>
          </w:p>
          <w:p w14:paraId="2EE1FE52">
            <w:pPr>
              <w:widowControl/>
              <w:spacing w:line="240" w:lineRule="auto"/>
              <w:ind w:firstLine="0" w:firstLineChars="0"/>
              <w:jc w:val="left"/>
              <w:rPr>
                <w:rFonts w:hint="eastAsia"/>
                <w:bCs/>
                <w:color w:val="000000" w:themeColor="text1"/>
                <w14:textFill>
                  <w14:solidFill>
                    <w14:schemeClr w14:val="tx1"/>
                  </w14:solidFill>
                </w14:textFill>
              </w:rPr>
            </w:pPr>
            <w:r>
              <w:rPr>
                <w:rFonts w:hint="eastAsia"/>
                <w:bCs/>
                <w:color w:val="000000" w:themeColor="text1"/>
                <w:lang w:val="en-US" w:eastAsia="zh-CN"/>
                <w14:textFill>
                  <w14:solidFill>
                    <w14:schemeClr w14:val="tx1"/>
                  </w14:solidFill>
                </w14:textFill>
              </w:rPr>
              <w:t>2.</w:t>
            </w:r>
            <w:r>
              <w:rPr>
                <w:rFonts w:hint="eastAsia"/>
                <w:bCs/>
                <w:color w:val="000000" w:themeColor="text1"/>
                <w14:textFill>
                  <w14:solidFill>
                    <w14:schemeClr w14:val="tx1"/>
                  </w14:solidFill>
                </w14:textFill>
              </w:rPr>
              <w:t>具备3年政务信息化项目管理经验</w:t>
            </w:r>
          </w:p>
        </w:tc>
        <w:tc>
          <w:tcPr>
            <w:tcW w:w="1128" w:type="dxa"/>
            <w:noWrap/>
            <w:vAlign w:val="center"/>
          </w:tcPr>
          <w:p w14:paraId="5DDE3CE3">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驻场</w:t>
            </w:r>
          </w:p>
        </w:tc>
      </w:tr>
      <w:tr w14:paraId="46F1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5361FA8F">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业务需求分析师</w:t>
            </w:r>
          </w:p>
        </w:tc>
        <w:tc>
          <w:tcPr>
            <w:tcW w:w="2222" w:type="dxa"/>
            <w:noWrap/>
            <w:vAlign w:val="center"/>
          </w:tcPr>
          <w:p w14:paraId="0156E78F">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熟悉工业节能降碳、能碳统计核算、双控考核、绿色制造业务，负责需求梳理、业务基准文档编制、统一业务对象与标签字段设计，对接甲方业务科室</w:t>
            </w:r>
          </w:p>
        </w:tc>
        <w:tc>
          <w:tcPr>
            <w:tcW w:w="1014" w:type="dxa"/>
            <w:noWrap/>
            <w:vAlign w:val="center"/>
          </w:tcPr>
          <w:p w14:paraId="47C50CA2">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不少于2人</w:t>
            </w:r>
          </w:p>
        </w:tc>
        <w:tc>
          <w:tcPr>
            <w:tcW w:w="1915" w:type="dxa"/>
            <w:vAlign w:val="center"/>
          </w:tcPr>
          <w:p w14:paraId="546BE506">
            <w:pPr>
              <w:widowControl/>
              <w:spacing w:line="240" w:lineRule="auto"/>
              <w:ind w:firstLine="0" w:firstLineChars="0"/>
              <w:jc w:val="center"/>
              <w:rPr>
                <w:rFonts w:hint="eastAsia" w:eastAsia="宋体"/>
                <w:bCs/>
                <w:color w:val="000000" w:themeColor="text1"/>
                <w:lang w:eastAsia="zh-CN"/>
                <w14:textFill>
                  <w14:solidFill>
                    <w14:schemeClr w14:val="tx1"/>
                  </w14:solidFill>
                </w14:textFill>
              </w:rPr>
            </w:pPr>
            <w:r>
              <w:rPr>
                <w:rFonts w:hint="eastAsia"/>
                <w:bCs/>
                <w:color w:val="000000" w:themeColor="text1"/>
                <w:lang w:eastAsia="zh-CN"/>
                <w14:textFill>
                  <w14:solidFill>
                    <w14:schemeClr w14:val="tx1"/>
                  </w14:solidFill>
                </w14:textFill>
              </w:rPr>
              <w:t>具备需求分析相关经验</w:t>
            </w:r>
          </w:p>
        </w:tc>
        <w:tc>
          <w:tcPr>
            <w:tcW w:w="1128" w:type="dxa"/>
            <w:noWrap/>
            <w:vAlign w:val="center"/>
          </w:tcPr>
          <w:p w14:paraId="6877F636">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驻场</w:t>
            </w:r>
          </w:p>
        </w:tc>
      </w:tr>
      <w:tr w14:paraId="5BF6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036AFF66">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AI/智能体研发工程师</w:t>
            </w:r>
          </w:p>
        </w:tc>
        <w:tc>
          <w:tcPr>
            <w:tcW w:w="2222" w:type="dxa"/>
            <w:noWrap/>
            <w:vAlign w:val="center"/>
          </w:tcPr>
          <w:p w14:paraId="5C04AC19">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负责多智能体调度、文档解析、大模型应用、智能体技能开发、知识治理底座实现</w:t>
            </w:r>
          </w:p>
        </w:tc>
        <w:tc>
          <w:tcPr>
            <w:tcW w:w="1014" w:type="dxa"/>
            <w:noWrap/>
            <w:vAlign w:val="center"/>
          </w:tcPr>
          <w:p w14:paraId="35AF2EFC">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不少于3人</w:t>
            </w:r>
          </w:p>
        </w:tc>
        <w:tc>
          <w:tcPr>
            <w:tcW w:w="1915" w:type="dxa"/>
            <w:vAlign w:val="center"/>
          </w:tcPr>
          <w:p w14:paraId="6BC540DD">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具备大模型应用、智能体开发经验</w:t>
            </w:r>
          </w:p>
        </w:tc>
        <w:tc>
          <w:tcPr>
            <w:tcW w:w="1128" w:type="dxa"/>
            <w:noWrap/>
            <w:vAlign w:val="center"/>
          </w:tcPr>
          <w:p w14:paraId="3B9AE167">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驻场</w:t>
            </w:r>
          </w:p>
        </w:tc>
      </w:tr>
      <w:tr w14:paraId="5200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4E37C4EE">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后端开发工程师</w:t>
            </w:r>
          </w:p>
        </w:tc>
        <w:tc>
          <w:tcPr>
            <w:tcW w:w="2222" w:type="dxa"/>
            <w:noWrap/>
            <w:vAlign w:val="center"/>
          </w:tcPr>
          <w:p w14:paraId="3607E157">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负责平台接口、业务模块、数据库开发，对接现有系统接口，落地统一标签字段体系</w:t>
            </w:r>
          </w:p>
        </w:tc>
        <w:tc>
          <w:tcPr>
            <w:tcW w:w="1014" w:type="dxa"/>
            <w:noWrap/>
            <w:vAlign w:val="center"/>
          </w:tcPr>
          <w:p w14:paraId="5BFFFD01">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不少于2人</w:t>
            </w:r>
          </w:p>
        </w:tc>
        <w:tc>
          <w:tcPr>
            <w:tcW w:w="1915" w:type="dxa"/>
            <w:vAlign w:val="center"/>
          </w:tcPr>
          <w:p w14:paraId="0AE41D67">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具备Java/Python后端开发经验</w:t>
            </w:r>
          </w:p>
        </w:tc>
        <w:tc>
          <w:tcPr>
            <w:tcW w:w="1128" w:type="dxa"/>
            <w:noWrap/>
            <w:vAlign w:val="center"/>
          </w:tcPr>
          <w:p w14:paraId="48FC8C8F">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按需</w:t>
            </w:r>
          </w:p>
        </w:tc>
      </w:tr>
      <w:tr w14:paraId="6600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2AC622D4">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前端开发工程师</w:t>
            </w:r>
          </w:p>
        </w:tc>
        <w:tc>
          <w:tcPr>
            <w:tcW w:w="2222" w:type="dxa"/>
            <w:noWrap/>
            <w:vAlign w:val="center"/>
          </w:tcPr>
          <w:p w14:paraId="62231AAD">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负责看板、工作台、评审页面开发</w:t>
            </w:r>
          </w:p>
        </w:tc>
        <w:tc>
          <w:tcPr>
            <w:tcW w:w="1014" w:type="dxa"/>
            <w:noWrap/>
            <w:vAlign w:val="center"/>
          </w:tcPr>
          <w:p w14:paraId="3DB4CE7C">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不少于1人</w:t>
            </w:r>
          </w:p>
        </w:tc>
        <w:tc>
          <w:tcPr>
            <w:tcW w:w="1915" w:type="dxa"/>
            <w:vAlign w:val="center"/>
          </w:tcPr>
          <w:p w14:paraId="1522AAEF">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具备Web前端开发经验</w:t>
            </w:r>
          </w:p>
        </w:tc>
        <w:tc>
          <w:tcPr>
            <w:tcW w:w="1128" w:type="dxa"/>
            <w:noWrap/>
            <w:vAlign w:val="center"/>
          </w:tcPr>
          <w:p w14:paraId="4DD5A8A9">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驻场</w:t>
            </w:r>
          </w:p>
        </w:tc>
      </w:tr>
      <w:tr w14:paraId="1E8A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5A169F8D">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测试工程师</w:t>
            </w:r>
          </w:p>
        </w:tc>
        <w:tc>
          <w:tcPr>
            <w:tcW w:w="2222" w:type="dxa"/>
            <w:noWrap/>
            <w:vAlign w:val="center"/>
          </w:tcPr>
          <w:p w14:paraId="6892DBAC">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负责功能测试、集成测试、回归测试，重点完成能耗报表、确权、考核、评审端到端业务场景测试，输出完整测试报告</w:t>
            </w:r>
          </w:p>
        </w:tc>
        <w:tc>
          <w:tcPr>
            <w:tcW w:w="1014" w:type="dxa"/>
            <w:noWrap/>
            <w:vAlign w:val="center"/>
          </w:tcPr>
          <w:p w14:paraId="7FBB09FE">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不少于1人</w:t>
            </w:r>
          </w:p>
        </w:tc>
        <w:tc>
          <w:tcPr>
            <w:tcW w:w="1915" w:type="dxa"/>
            <w:vAlign w:val="center"/>
          </w:tcPr>
          <w:p w14:paraId="5A201400">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具备测试经验</w:t>
            </w:r>
          </w:p>
        </w:tc>
        <w:tc>
          <w:tcPr>
            <w:tcW w:w="1128" w:type="dxa"/>
            <w:noWrap/>
            <w:vAlign w:val="center"/>
          </w:tcPr>
          <w:p w14:paraId="1E8F4588">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按需</w:t>
            </w:r>
          </w:p>
        </w:tc>
      </w:tr>
      <w:tr w14:paraId="4716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74" w:type="dxa"/>
            <w:noWrap/>
            <w:vAlign w:val="center"/>
          </w:tcPr>
          <w:p w14:paraId="48F8D5A2">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安全运维工程师</w:t>
            </w:r>
          </w:p>
        </w:tc>
        <w:tc>
          <w:tcPr>
            <w:tcW w:w="2222" w:type="dxa"/>
            <w:noWrap/>
            <w:vAlign w:val="center"/>
          </w:tcPr>
          <w:p w14:paraId="725E7E3A">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负责安全管控、国产化适配、部署运维</w:t>
            </w:r>
          </w:p>
        </w:tc>
        <w:tc>
          <w:tcPr>
            <w:tcW w:w="1014" w:type="dxa"/>
            <w:noWrap/>
            <w:vAlign w:val="center"/>
          </w:tcPr>
          <w:p w14:paraId="6BEB8F5B">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不少于1人</w:t>
            </w:r>
          </w:p>
        </w:tc>
        <w:tc>
          <w:tcPr>
            <w:tcW w:w="1915" w:type="dxa"/>
            <w:vAlign w:val="center"/>
          </w:tcPr>
          <w:p w14:paraId="36FDDED2">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具备安全运维经验</w:t>
            </w:r>
          </w:p>
        </w:tc>
        <w:tc>
          <w:tcPr>
            <w:tcW w:w="1128" w:type="dxa"/>
            <w:noWrap/>
            <w:vAlign w:val="center"/>
          </w:tcPr>
          <w:p w14:paraId="705E3648">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按需</w:t>
            </w:r>
          </w:p>
        </w:tc>
      </w:tr>
    </w:tbl>
    <w:p w14:paraId="6ADAC725">
      <w:pPr>
        <w:rPr>
          <w:rFonts w:hint="eastAsia"/>
          <w:color w:val="000000" w:themeColor="text1"/>
          <w14:textFill>
            <w14:solidFill>
              <w14:schemeClr w14:val="tx1"/>
            </w14:solidFill>
          </w14:textFill>
        </w:rPr>
      </w:pPr>
      <w:r>
        <w:rPr>
          <w:color w:val="000000" w:themeColor="text1"/>
          <w14:textFill>
            <w14:solidFill>
              <w14:schemeClr w14:val="tx1"/>
            </w14:solidFill>
          </w14:textFill>
        </w:rPr>
        <w:t>2）投标人应针对本项目提供不少于</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人的质保期间支撑团队；投标人的相关服务人员需具备相应的服务能力，需提供相关证明。具体配置：</w:t>
      </w:r>
      <w:r>
        <w:rPr>
          <w:rFonts w:hint="eastAsia"/>
          <w:color w:val="000000" w:themeColor="text1"/>
          <w:lang w:eastAsia="zh-CN"/>
          <w14:textFill>
            <w14:solidFill>
              <w14:schemeClr w14:val="tx1"/>
            </w14:solidFill>
          </w14:textFill>
        </w:rPr>
        <w:t>项目负责人</w:t>
      </w:r>
      <w:r>
        <w:rPr>
          <w:color w:val="000000" w:themeColor="text1"/>
          <w14:textFill>
            <w14:solidFill>
              <w14:schemeClr w14:val="tx1"/>
            </w14:solidFill>
          </w14:textFill>
        </w:rPr>
        <w:t>1名（具备数字化政务项目管理经验）、运维工程师不少于</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名。</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772"/>
        <w:gridCol w:w="1489"/>
        <w:gridCol w:w="1365"/>
        <w:gridCol w:w="1180"/>
      </w:tblGrid>
      <w:tr w14:paraId="6DFA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16A7BB8F">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角色</w:t>
            </w:r>
          </w:p>
        </w:tc>
        <w:tc>
          <w:tcPr>
            <w:tcW w:w="1772" w:type="dxa"/>
            <w:noWrap/>
            <w:vAlign w:val="center"/>
          </w:tcPr>
          <w:p w14:paraId="55745E2B">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主要职责</w:t>
            </w:r>
          </w:p>
        </w:tc>
        <w:tc>
          <w:tcPr>
            <w:tcW w:w="1489" w:type="dxa"/>
            <w:noWrap/>
            <w:vAlign w:val="center"/>
          </w:tcPr>
          <w:p w14:paraId="432ECD5C">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人员数量</w:t>
            </w:r>
          </w:p>
        </w:tc>
        <w:tc>
          <w:tcPr>
            <w:tcW w:w="1365" w:type="dxa"/>
            <w:vAlign w:val="center"/>
          </w:tcPr>
          <w:p w14:paraId="09A77EAD">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人员要求</w:t>
            </w:r>
          </w:p>
        </w:tc>
        <w:tc>
          <w:tcPr>
            <w:tcW w:w="0" w:type="auto"/>
            <w:noWrap/>
            <w:vAlign w:val="center"/>
          </w:tcPr>
          <w:p w14:paraId="25C81024">
            <w:pPr>
              <w:widowControl/>
              <w:spacing w:line="240" w:lineRule="auto"/>
              <w:ind w:firstLine="0" w:firstLineChars="0"/>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驻场要求</w:t>
            </w:r>
          </w:p>
        </w:tc>
      </w:tr>
      <w:tr w14:paraId="4E8A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544EACD5">
            <w:pPr>
              <w:widowControl/>
              <w:spacing w:line="240" w:lineRule="auto"/>
              <w:ind w:firstLine="0" w:firstLineChars="0"/>
              <w:jc w:val="center"/>
              <w:rPr>
                <w:rFonts w:hint="eastAsia" w:eastAsia="宋体"/>
                <w:bCs/>
                <w:color w:val="000000" w:themeColor="text1"/>
                <w:lang w:eastAsia="zh-CN"/>
                <w14:textFill>
                  <w14:solidFill>
                    <w14:schemeClr w14:val="tx1"/>
                  </w14:solidFill>
                </w14:textFill>
              </w:rPr>
            </w:pPr>
            <w:r>
              <w:rPr>
                <w:rFonts w:hint="eastAsia"/>
                <w:bCs/>
                <w:color w:val="000000" w:themeColor="text1"/>
                <w:lang w:eastAsia="zh-CN"/>
                <w14:textFill>
                  <w14:solidFill>
                    <w14:schemeClr w14:val="tx1"/>
                  </w14:solidFill>
                </w14:textFill>
              </w:rPr>
              <w:t>项目负责人</w:t>
            </w:r>
          </w:p>
        </w:tc>
        <w:tc>
          <w:tcPr>
            <w:tcW w:w="1772" w:type="dxa"/>
            <w:noWrap/>
            <w:vAlign w:val="center"/>
          </w:tcPr>
          <w:p w14:paraId="0174DC00">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负责项目质保期内的整体协调与管理</w:t>
            </w:r>
          </w:p>
        </w:tc>
        <w:tc>
          <w:tcPr>
            <w:tcW w:w="1489" w:type="dxa"/>
            <w:noWrap/>
            <w:vAlign w:val="center"/>
          </w:tcPr>
          <w:p w14:paraId="30F7DE14">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1人</w:t>
            </w:r>
          </w:p>
        </w:tc>
        <w:tc>
          <w:tcPr>
            <w:tcW w:w="1365" w:type="dxa"/>
            <w:vAlign w:val="center"/>
          </w:tcPr>
          <w:p w14:paraId="4AB006C1">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具备数字化政务项目管理经验</w:t>
            </w:r>
          </w:p>
        </w:tc>
        <w:tc>
          <w:tcPr>
            <w:tcW w:w="0" w:type="auto"/>
            <w:noWrap/>
            <w:vAlign w:val="center"/>
          </w:tcPr>
          <w:p w14:paraId="112EB442">
            <w:pPr>
              <w:widowControl/>
              <w:spacing w:line="240" w:lineRule="auto"/>
              <w:ind w:firstLine="0" w:firstLineChars="0"/>
              <w:jc w:val="center"/>
              <w:rPr>
                <w:rFonts w:hint="eastAsia" w:eastAsia="宋体"/>
                <w:bCs/>
                <w:color w:val="000000" w:themeColor="text1"/>
                <w:lang w:eastAsia="zh-CN"/>
                <w14:textFill>
                  <w14:solidFill>
                    <w14:schemeClr w14:val="tx1"/>
                  </w14:solidFill>
                </w14:textFill>
              </w:rPr>
            </w:pPr>
            <w:r>
              <w:rPr>
                <w:rFonts w:hint="eastAsia"/>
                <w:bCs/>
                <w:color w:val="000000" w:themeColor="text1"/>
                <w:lang w:eastAsia="zh-CN"/>
                <w14:textFill>
                  <w14:solidFill>
                    <w14:schemeClr w14:val="tx1"/>
                  </w14:solidFill>
                </w14:textFill>
              </w:rPr>
              <w:t>驻场</w:t>
            </w:r>
          </w:p>
        </w:tc>
      </w:tr>
      <w:tr w14:paraId="4375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39A12479">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运维工程师</w:t>
            </w:r>
          </w:p>
        </w:tc>
        <w:tc>
          <w:tcPr>
            <w:tcW w:w="1772" w:type="dxa"/>
            <w:noWrap/>
            <w:vAlign w:val="center"/>
          </w:tcPr>
          <w:p w14:paraId="0237572E">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负责项目运行维护与国产化环境保障</w:t>
            </w:r>
          </w:p>
        </w:tc>
        <w:tc>
          <w:tcPr>
            <w:tcW w:w="1489" w:type="dxa"/>
            <w:noWrap/>
            <w:vAlign w:val="center"/>
          </w:tcPr>
          <w:p w14:paraId="77A1F3A1">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不少于1人</w:t>
            </w:r>
          </w:p>
        </w:tc>
        <w:tc>
          <w:tcPr>
            <w:tcW w:w="1365" w:type="dxa"/>
            <w:vAlign w:val="center"/>
          </w:tcPr>
          <w:p w14:paraId="7020D5F7">
            <w:pPr>
              <w:widowControl/>
              <w:spacing w:line="240" w:lineRule="auto"/>
              <w:ind w:firstLine="0" w:firstLineChars="0"/>
              <w:jc w:val="center"/>
              <w:rPr>
                <w:rFonts w:hint="eastAsia"/>
                <w:bCs/>
                <w:color w:val="000000" w:themeColor="text1"/>
                <w14:textFill>
                  <w14:solidFill>
                    <w14:schemeClr w14:val="tx1"/>
                  </w14:solidFill>
                </w14:textFill>
              </w:rPr>
            </w:pPr>
            <w:r>
              <w:rPr>
                <w:rFonts w:hint="eastAsia"/>
                <w:bCs/>
                <w:color w:val="000000" w:themeColor="text1"/>
                <w14:textFill>
                  <w14:solidFill>
                    <w14:schemeClr w14:val="tx1"/>
                  </w14:solidFill>
                </w14:textFill>
              </w:rPr>
              <w:t>具备运维经验</w:t>
            </w:r>
          </w:p>
        </w:tc>
        <w:tc>
          <w:tcPr>
            <w:tcW w:w="0" w:type="auto"/>
            <w:noWrap/>
            <w:vAlign w:val="center"/>
          </w:tcPr>
          <w:p w14:paraId="10CCF5D8">
            <w:pPr>
              <w:widowControl/>
              <w:spacing w:line="240" w:lineRule="auto"/>
              <w:ind w:firstLine="0" w:firstLineChars="0"/>
              <w:jc w:val="center"/>
              <w:rPr>
                <w:rFonts w:hint="eastAsia" w:eastAsia="宋体"/>
                <w:bCs/>
                <w:color w:val="000000" w:themeColor="text1"/>
                <w:lang w:eastAsia="zh-CN"/>
                <w14:textFill>
                  <w14:solidFill>
                    <w14:schemeClr w14:val="tx1"/>
                  </w14:solidFill>
                </w14:textFill>
              </w:rPr>
            </w:pPr>
            <w:r>
              <w:rPr>
                <w:rFonts w:hint="eastAsia"/>
                <w:bCs/>
                <w:color w:val="000000" w:themeColor="text1"/>
                <w:lang w:eastAsia="zh-CN"/>
                <w14:textFill>
                  <w14:solidFill>
                    <w14:schemeClr w14:val="tx1"/>
                  </w14:solidFill>
                </w14:textFill>
              </w:rPr>
              <w:t>驻场</w:t>
            </w:r>
          </w:p>
        </w:tc>
      </w:tr>
    </w:tbl>
    <w:p w14:paraId="5D0FDC82">
      <w:pPr>
        <w:pStyle w:val="3"/>
        <w:rPr>
          <w:rFonts w:hint="eastAsia"/>
          <w:color w:val="000000" w:themeColor="text1"/>
          <w14:textFill>
            <w14:solidFill>
              <w14:schemeClr w14:val="tx1"/>
            </w14:solidFill>
          </w14:textFill>
        </w:rPr>
      </w:pPr>
      <w:bookmarkStart w:id="23" w:name="_Toc63785511"/>
      <w:r>
        <w:rPr>
          <w:color w:val="000000" w:themeColor="text1"/>
          <w14:textFill>
            <w14:solidFill>
              <w14:schemeClr w14:val="tx1"/>
            </w14:solidFill>
          </w14:textFill>
        </w:rPr>
        <w:t>等级保护要求</w:t>
      </w:r>
      <w:bookmarkEnd w:id="23"/>
    </w:p>
    <w:p w14:paraId="3CBD6D14">
      <w:pPr>
        <w:rPr>
          <w:rFonts w:hint="eastAsia"/>
          <w:color w:val="000000" w:themeColor="text1"/>
          <w14:textFill>
            <w14:solidFill>
              <w14:schemeClr w14:val="tx1"/>
            </w14:solidFill>
          </w14:textFill>
        </w:rPr>
      </w:pPr>
      <w:r>
        <w:rPr>
          <w:color w:val="000000" w:themeColor="text1"/>
          <w14:textFill>
            <w14:solidFill>
              <w14:schemeClr w14:val="tx1"/>
            </w14:solidFill>
          </w14:textFill>
        </w:rPr>
        <w:t>按照国家已正式颁布的网络安全等级保护测评相关文件及标准，主要包括《中华人民共和国网络安全法》、《信息安全技术—网络安全等级保护测评要求》（GB/T 28448-2019）</w:t>
      </w:r>
      <w:r>
        <w:rPr>
          <w:rFonts w:hint="eastAsia"/>
          <w:color w:val="000000" w:themeColor="text1"/>
          <w14:textFill>
            <w14:solidFill>
              <w14:schemeClr w14:val="tx1"/>
            </w14:solidFill>
          </w14:textFill>
        </w:rPr>
        <w:t>等，</w:t>
      </w:r>
      <w:r>
        <w:rPr>
          <w:color w:val="000000" w:themeColor="text1"/>
          <w14:textFill>
            <w14:solidFill>
              <w14:schemeClr w14:val="tx1"/>
            </w14:solidFill>
          </w14:textFill>
        </w:rPr>
        <w:t>本项目按等保2.0第</w:t>
      </w:r>
      <w:r>
        <w:rPr>
          <w:rFonts w:hint="eastAsia"/>
          <w:color w:val="000000" w:themeColor="text1"/>
          <w14:textFill>
            <w14:solidFill>
              <w14:schemeClr w14:val="tx1"/>
            </w14:solidFill>
          </w14:textFill>
        </w:rPr>
        <w:t>二</w:t>
      </w:r>
      <w:r>
        <w:rPr>
          <w:color w:val="000000" w:themeColor="text1"/>
          <w14:textFill>
            <w14:solidFill>
              <w14:schemeClr w14:val="tx1"/>
            </w14:solidFill>
          </w14:textFill>
        </w:rPr>
        <w:t>级进行建设。</w:t>
      </w:r>
    </w:p>
    <w:p w14:paraId="58A9A1F0">
      <w:pPr>
        <w:pStyle w:val="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商业密码应用需求</w:t>
      </w:r>
    </w:p>
    <w:p w14:paraId="79250D61">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应结合</w:t>
      </w:r>
      <w:r>
        <w:rPr>
          <w:color w:val="000000" w:themeColor="text1"/>
          <w14:textFill>
            <w14:solidFill>
              <w14:schemeClr w14:val="tx1"/>
            </w14:solidFill>
          </w14:textFill>
        </w:rPr>
        <w:t>《信息安全技术 信息系统密码应用基本要求》（GB/T 39786-2021）》，参照《商用密码应用安全性评估管理办法》、《信息安全技术 信息系统密码应用测评要求》（GB/T 43206-2023）、《信息系统密码应用测评过程指南》（GM/T 0116-2021）、《信息系统密码应用高风险判定指引》、《商用密码应用安全性评估量化评估规则》</w:t>
      </w:r>
      <w:r>
        <w:rPr>
          <w:rFonts w:hint="eastAsia"/>
          <w:color w:val="000000" w:themeColor="text1"/>
          <w14:textFill>
            <w14:solidFill>
              <w14:schemeClr w14:val="tx1"/>
            </w14:solidFill>
          </w14:textFill>
        </w:rPr>
        <w:t>等技术文件的要求，本项目应符合相关密码应用测评要求，涉及企业生产等敏感信息应符合商用密码应用需求，采用国产商用密码算法对关键环节进行保护，</w:t>
      </w:r>
    </w:p>
    <w:p w14:paraId="0949644B">
      <w:pPr>
        <w:pStyle w:val="3"/>
        <w:rPr>
          <w:rFonts w:hint="eastAsia"/>
          <w:color w:val="000000" w:themeColor="text1"/>
          <w14:textFill>
            <w14:solidFill>
              <w14:schemeClr w14:val="tx1"/>
            </w14:solidFill>
          </w14:textFill>
        </w:rPr>
      </w:pPr>
      <w:bookmarkStart w:id="24" w:name="_Toc63785512"/>
      <w:r>
        <w:rPr>
          <w:rFonts w:hint="eastAsia"/>
          <w:color w:val="000000" w:themeColor="text1"/>
          <w14:textFill>
            <w14:solidFill>
              <w14:schemeClr w14:val="tx1"/>
            </w14:solidFill>
          </w14:textFill>
        </w:rPr>
        <w:t>技术文件要求</w:t>
      </w:r>
    </w:p>
    <w:p w14:paraId="743538C7">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投标人提供的书面技术资料应能确保系统正常运行所需的管理、运营及维护有关的全套文件。技术文件应该全面、完整、详细。投标人提供的技术文件至少应包括：</w:t>
      </w:r>
    </w:p>
    <w:p w14:paraId="1D5B0556">
      <w:pPr>
        <w:pStyle w:val="12"/>
        <w:ind w:firstLine="48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（1）业务蓝图及系统设计说明书（含业务对象、标签字段设计说明，项目功能明细附件） </w:t>
      </w:r>
    </w:p>
    <w:p w14:paraId="32E3168A">
      <w:pPr>
        <w:pStyle w:val="12"/>
        <w:ind w:firstLine="48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（2）平台全部应用部署包、配套技术文档 </w:t>
      </w:r>
    </w:p>
    <w:p w14:paraId="62F739D6">
      <w:pPr>
        <w:pStyle w:val="12"/>
        <w:ind w:firstLine="48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（3）《系统操作手册》、《系统维护手册》 </w:t>
      </w:r>
    </w:p>
    <w:p w14:paraId="17871390">
      <w:pPr>
        <w:pStyle w:val="12"/>
        <w:ind w:firstLine="48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（4）系统全套测试报告，包含端到端业务场景测试用例 </w:t>
      </w:r>
    </w:p>
    <w:p w14:paraId="643A0934">
      <w:pPr>
        <w:pStyle w:val="12"/>
        <w:ind w:firstLine="48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（5）《项目试运行与验收总结报告》</w:t>
      </w:r>
    </w:p>
    <w:p w14:paraId="751CF0E7">
      <w:pPr>
        <w:pStyle w:val="12"/>
        <w:ind w:firstLine="420"/>
        <w:rPr>
          <w:rFonts w:hint="eastAsia"/>
          <w:strike/>
          <w:color w:val="000000" w:themeColor="text1"/>
          <w14:textFill>
            <w14:solidFill>
              <w14:schemeClr w14:val="tx1"/>
            </w14:solidFill>
          </w14:textFill>
        </w:rPr>
      </w:pPr>
      <w:r>
        <w:rPr>
          <w:rFonts w:hint="eastAsia"/>
          <w:color w:val="000000" w:themeColor="text1"/>
          <w14:textFill>
            <w14:solidFill>
              <w14:schemeClr w14:val="tx1"/>
            </w14:solidFill>
          </w14:textFill>
        </w:rPr>
        <w:t>提供全套技术文件纸介质3套以及电子文件1套。</w:t>
      </w:r>
      <w:bookmarkEnd w:id="24"/>
    </w:p>
    <w:p w14:paraId="3AA61024">
      <w:pPr>
        <w:pStyle w:val="12"/>
        <w:ind w:firstLine="420"/>
        <w:rPr>
          <w:rFonts w:hint="eastAsia"/>
          <w:color w:val="000000" w:themeColor="text1"/>
          <w14:textFill>
            <w14:solidFill>
              <w14:schemeClr w14:val="tx1"/>
            </w14:solidFill>
          </w14:textFill>
        </w:rPr>
      </w:pPr>
    </w:p>
    <w:p w14:paraId="6EFBFACE">
      <w:pPr>
        <w:ind w:firstLine="0" w:firstLineChars="0"/>
        <w:rPr>
          <w:rFonts w:hint="eastAsia"/>
          <w:color w:val="000000" w:themeColor="text1"/>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797" w:bottom="1135" w:left="1797"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EE158">
    <w:pPr>
      <w:pStyle w:val="5"/>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F9D5B">
    <w:pPr>
      <w:pStyle w:val="5"/>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4E223">
    <w:pPr>
      <w:ind w:firstLine="0" w:firstLineChars="0"/>
      <w:jc w:val="center"/>
      <w:rPr>
        <w:rFonts w:hint="eastAsia"/>
        <w:lang w:val="zh-CN"/>
      </w:rP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p w14:paraId="15E0609B">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2E529">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36E5D">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9159C">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3"/>
      <w:isLgl/>
      <w:suff w:val="nothing"/>
      <w:lvlText w:val="%1.%2、"/>
      <w:lvlJc w:val="left"/>
      <w:pPr>
        <w:ind w:left="480" w:hanging="567"/>
      </w:pPr>
    </w:lvl>
    <w:lvl w:ilvl="2" w:tentative="0">
      <w:start w:val="1"/>
      <w:numFmt w:val="decimal"/>
      <w:isLgl/>
      <w:suff w:val="nothing"/>
      <w:lvlText w:val="%1.%2.%3、"/>
      <w:lvlJc w:val="left"/>
      <w:pPr>
        <w:ind w:left="1069" w:hanging="1069"/>
      </w:pPr>
      <w:rPr>
        <w:rFonts w:hint="default" w:ascii="宋体" w:hAnsi="宋体" w:eastAsia="宋体" w:cs="Arial"/>
      </w:rPr>
    </w:lvl>
    <w:lvl w:ilvl="3" w:tentative="0">
      <w:start w:val="1"/>
      <w:numFmt w:val="decimal"/>
      <w:isLgl/>
      <w:suff w:val="nothing"/>
      <w:lvlText w:val="%1.%2.%3.%4、"/>
      <w:lvlJc w:val="left"/>
      <w:pPr>
        <w:ind w:left="3403" w:hanging="851"/>
      </w:pPr>
    </w:lvl>
    <w:lvl w:ilvl="4" w:tentative="0">
      <w:start w:val="1"/>
      <w:numFmt w:val="decimal"/>
      <w:isLgl/>
      <w:suff w:val="nothing"/>
      <w:lvlText w:val="%1.%2.%3.%4.%5、"/>
      <w:lvlJc w:val="left"/>
      <w:pPr>
        <w:ind w:left="3544" w:hanging="992"/>
      </w:pPr>
      <w:rPr>
        <w:rFonts w:hint="eastAsia"/>
      </w:rPr>
    </w:lvl>
    <w:lvl w:ilvl="5" w:tentative="0">
      <w:start w:val="1"/>
      <w:numFmt w:val="decimal"/>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1OTMyYmVkNDBiZGZjOTJjNzg0ZTljMGM2NGM1NWEifQ=="/>
  </w:docVars>
  <w:rsids>
    <w:rsidRoot w:val="00575E7D"/>
    <w:rsid w:val="00095B69"/>
    <w:rsid w:val="000B6C31"/>
    <w:rsid w:val="000F5077"/>
    <w:rsid w:val="00116DD0"/>
    <w:rsid w:val="001276F2"/>
    <w:rsid w:val="00207AA1"/>
    <w:rsid w:val="00271C35"/>
    <w:rsid w:val="00275AD6"/>
    <w:rsid w:val="0029165A"/>
    <w:rsid w:val="002F1A73"/>
    <w:rsid w:val="0036485C"/>
    <w:rsid w:val="0039149C"/>
    <w:rsid w:val="003D7A15"/>
    <w:rsid w:val="004318DB"/>
    <w:rsid w:val="0045703D"/>
    <w:rsid w:val="004C61F5"/>
    <w:rsid w:val="00575E7D"/>
    <w:rsid w:val="005E3914"/>
    <w:rsid w:val="00676F0C"/>
    <w:rsid w:val="006B2061"/>
    <w:rsid w:val="0072246D"/>
    <w:rsid w:val="00763EAB"/>
    <w:rsid w:val="007B34BB"/>
    <w:rsid w:val="007E29E9"/>
    <w:rsid w:val="007F225C"/>
    <w:rsid w:val="007F70ED"/>
    <w:rsid w:val="00836BAB"/>
    <w:rsid w:val="00872082"/>
    <w:rsid w:val="00947C67"/>
    <w:rsid w:val="009A37EA"/>
    <w:rsid w:val="009A47D0"/>
    <w:rsid w:val="00AB198D"/>
    <w:rsid w:val="00AE0060"/>
    <w:rsid w:val="00B037B1"/>
    <w:rsid w:val="00B426AE"/>
    <w:rsid w:val="00BE4863"/>
    <w:rsid w:val="00C217B9"/>
    <w:rsid w:val="00CC0101"/>
    <w:rsid w:val="00D14570"/>
    <w:rsid w:val="00D91D35"/>
    <w:rsid w:val="00D92C8D"/>
    <w:rsid w:val="00D95A03"/>
    <w:rsid w:val="00DC0977"/>
    <w:rsid w:val="00E05F78"/>
    <w:rsid w:val="00EB208B"/>
    <w:rsid w:val="488B2612"/>
    <w:rsid w:val="4AE7338D"/>
    <w:rsid w:val="57F60AEF"/>
    <w:rsid w:val="645D785C"/>
    <w:rsid w:val="66082BF5"/>
    <w:rsid w:val="6EECA358"/>
    <w:rsid w:val="717370BE"/>
    <w:rsid w:val="73EE1966"/>
    <w:rsid w:val="7BED34ED"/>
    <w:rsid w:val="7DBFC2E0"/>
    <w:rsid w:val="7F65D43A"/>
    <w:rsid w:val="7FFE156B"/>
    <w:rsid w:val="7FFF5B22"/>
    <w:rsid w:val="8ECC5201"/>
    <w:rsid w:val="8FFFEBFB"/>
    <w:rsid w:val="D7D91998"/>
    <w:rsid w:val="DCAE915B"/>
    <w:rsid w:val="DF32036E"/>
    <w:rsid w:val="DFAEAA82"/>
    <w:rsid w:val="EFFFEDEB"/>
    <w:rsid w:val="F7AF5E8B"/>
    <w:rsid w:val="F8DA7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0" w:firstLineChars="0"/>
      <w:outlineLvl w:val="0"/>
    </w:pPr>
    <w:rPr>
      <w:rFonts w:eastAsia="黑体"/>
      <w:b/>
      <w:bCs/>
      <w:kern w:val="44"/>
      <w:sz w:val="32"/>
      <w:szCs w:val="28"/>
    </w:rPr>
  </w:style>
  <w:style w:type="paragraph" w:styleId="3">
    <w:name w:val="heading 2"/>
    <w:basedOn w:val="1"/>
    <w:next w:val="1"/>
    <w:qFormat/>
    <w:uiPriority w:val="9"/>
    <w:pPr>
      <w:keepNext/>
      <w:keepLines/>
      <w:numPr>
        <w:ilvl w:val="1"/>
        <w:numId w:val="1"/>
      </w:numPr>
      <w:spacing w:before="120" w:after="120"/>
      <w:ind w:firstLine="0" w:firstLineChars="0"/>
      <w:outlineLvl w:val="1"/>
    </w:pPr>
    <w:rPr>
      <w:b/>
      <w:bCs/>
      <w:sz w:val="30"/>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5"/>
    <w:qFormat/>
    <w:uiPriority w:val="0"/>
    <w:pPr>
      <w:jc w:val="left"/>
    </w:pPr>
  </w:style>
  <w:style w:type="paragraph" w:styleId="5">
    <w:name w:val="footer"/>
    <w:basedOn w:val="1"/>
    <w:link w:val="13"/>
    <w:qFormat/>
    <w:uiPriority w:val="0"/>
    <w:pPr>
      <w:tabs>
        <w:tab w:val="center" w:pos="4153"/>
        <w:tab w:val="right" w:pos="8306"/>
      </w:tabs>
      <w:snapToGrid w:val="0"/>
      <w:spacing w:line="240" w:lineRule="auto"/>
      <w:jc w:val="left"/>
    </w:pPr>
    <w:rPr>
      <w:sz w:val="18"/>
      <w:szCs w:val="18"/>
    </w:rPr>
  </w:style>
  <w:style w:type="paragraph" w:styleId="6">
    <w:name w:val="header"/>
    <w:basedOn w:val="1"/>
    <w:qFormat/>
    <w:uiPriority w:val="99"/>
    <w:pPr>
      <w:pBdr>
        <w:bottom w:val="single" w:color="auto" w:sz="4" w:space="0"/>
      </w:pBdr>
      <w:tabs>
        <w:tab w:val="center" w:pos="4153"/>
        <w:tab w:val="right" w:pos="8306"/>
      </w:tabs>
      <w:snapToGrid w:val="0"/>
      <w:jc w:val="center"/>
    </w:pPr>
    <w:rPr>
      <w:rFonts w:ascii="Times New Roman" w:hAnsi="Times New Roman"/>
      <w:sz w:val="18"/>
      <w:szCs w:val="18"/>
    </w:rPr>
  </w:style>
  <w:style w:type="paragraph" w:styleId="7">
    <w:name w:val="annotation subject"/>
    <w:basedOn w:val="4"/>
    <w:next w:val="4"/>
    <w:link w:val="16"/>
    <w:qFormat/>
    <w:uiPriority w:val="0"/>
    <w:rPr>
      <w:b/>
      <w:bCs/>
    </w:rPr>
  </w:style>
  <w:style w:type="character" w:styleId="10">
    <w:name w:val="annotation reference"/>
    <w:basedOn w:val="9"/>
    <w:qFormat/>
    <w:uiPriority w:val="0"/>
    <w:rPr>
      <w:sz w:val="21"/>
      <w:szCs w:val="21"/>
    </w:rPr>
  </w:style>
  <w:style w:type="paragraph" w:customStyle="1" w:styleId="11">
    <w:name w:val="正文缩进1"/>
    <w:basedOn w:val="1"/>
    <w:autoRedefine/>
    <w:qFormat/>
    <w:uiPriority w:val="0"/>
    <w:pPr>
      <w:spacing w:line="240" w:lineRule="auto"/>
      <w:ind w:firstLine="420"/>
    </w:pPr>
    <w:rPr>
      <w:rFonts w:ascii="Times New Roman" w:hAnsi="Times New Roman"/>
      <w:sz w:val="21"/>
      <w:szCs w:val="20"/>
    </w:rPr>
  </w:style>
  <w:style w:type="paragraph" w:customStyle="1" w:styleId="12">
    <w:name w:val="正文正文2"/>
    <w:basedOn w:val="1"/>
    <w:autoRedefine/>
    <w:qFormat/>
    <w:uiPriority w:val="0"/>
    <w:pPr>
      <w:ind w:firstLine="460"/>
    </w:pPr>
    <w:rPr>
      <w:sz w:val="21"/>
      <w:szCs w:val="21"/>
    </w:rPr>
  </w:style>
  <w:style w:type="character" w:customStyle="1" w:styleId="13">
    <w:name w:val="页脚 字符"/>
    <w:basedOn w:val="9"/>
    <w:link w:val="5"/>
    <w:qFormat/>
    <w:uiPriority w:val="0"/>
    <w:rPr>
      <w:rFonts w:ascii="宋体" w:hAnsi="宋体" w:eastAsia="宋体" w:cs="Times New Roman"/>
      <w:kern w:val="2"/>
      <w:sz w:val="18"/>
      <w:szCs w:val="18"/>
    </w:rPr>
  </w:style>
  <w:style w:type="paragraph" w:customStyle="1" w:styleId="14">
    <w:name w:val="修订1"/>
    <w:hidden/>
    <w:unhideWhenUsed/>
    <w:qFormat/>
    <w:uiPriority w:val="99"/>
    <w:rPr>
      <w:rFonts w:ascii="宋体" w:hAnsi="宋体" w:eastAsia="宋体" w:cs="Times New Roman"/>
      <w:kern w:val="2"/>
      <w:sz w:val="24"/>
      <w:szCs w:val="24"/>
      <w:lang w:val="en-US" w:eastAsia="zh-CN" w:bidi="ar-SA"/>
    </w:rPr>
  </w:style>
  <w:style w:type="character" w:customStyle="1" w:styleId="15">
    <w:name w:val="批注文字 字符"/>
    <w:basedOn w:val="9"/>
    <w:link w:val="4"/>
    <w:qFormat/>
    <w:uiPriority w:val="0"/>
    <w:rPr>
      <w:rFonts w:ascii="宋体" w:hAnsi="宋体" w:eastAsia="宋体" w:cs="Times New Roman"/>
      <w:kern w:val="2"/>
      <w:sz w:val="24"/>
      <w:szCs w:val="24"/>
    </w:rPr>
  </w:style>
  <w:style w:type="character" w:customStyle="1" w:styleId="16">
    <w:name w:val="批注主题 字符"/>
    <w:basedOn w:val="15"/>
    <w:link w:val="7"/>
    <w:qFormat/>
    <w:uiPriority w:val="0"/>
    <w:rPr>
      <w:rFonts w:ascii="宋体" w:hAnsi="宋体" w:eastAsia="宋体" w:cs="Times New Roman"/>
      <w:b/>
      <w:bCs/>
      <w:kern w:val="2"/>
      <w:sz w:val="24"/>
      <w:szCs w:val="24"/>
    </w:rPr>
  </w:style>
  <w:style w:type="paragraph" w:customStyle="1" w:styleId="17">
    <w:name w:val="Revision"/>
    <w:hidden/>
    <w:unhideWhenUsed/>
    <w:qFormat/>
    <w:uiPriority w:val="99"/>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740</Words>
  <Characters>747</Characters>
  <Lines>53</Lines>
  <Paragraphs>15</Paragraphs>
  <TotalTime>5</TotalTime>
  <ScaleCrop>false</ScaleCrop>
  <LinksUpToDate>false</LinksUpToDate>
  <CharactersWithSpaces>747</CharactersWithSpaces>
  <Application>WPS Office_12.1.2.29183_F1E327BC-269C-435d-A152-05C5408002CA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2026-09-29T20:27:00Z</dcterms:created>
  <dc:creator>user</dc:creator>
  <cp:lastModifiedBy>高际航</cp:lastModifiedBy>
  <dcterms:modified xsi:type="dcterms:W3CDTF">2026-10-27T14:20:49Z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2052-12.1.2.29183</vt:lpwstr>
  </property>
  <property fmtid="{D5CDD505-2E9C-101B-9397-08002B2CF9AE}" pid="3" name="ICV">
    <vt:lpwstr>C55D91A9FADADCE93402DB6AC5B89A88_43</vt:lpwstr>
  </property>
  <property fmtid="{D5CDD505-2E9C-101B-9397-08002B2CF9AE}" pid="4" name="KSOTemplateDocerSaveRecord">
    <vt:lpwstr>eyJoZGlkIjoiNzI1MzljODBiNDliMzEyMzFlZWNlN2EzYjU0N2YzMWEiLCJ1c2VySWQiOiIyNzUwMDE4NDcifQ==</vt:lpwstr>
  </property>
</Properties>
</file>