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numPr>
          <w:ilvl w:val="0"/>
          <w:numId w:val="0"/>
        </w:numPr>
        <w:ind w:left="425"/>
        <w:jc w:val="center"/>
      </w:pPr>
      <w:bookmarkStart w:id="0" w:name="_Toc63785461"/>
      <w:r>
        <w:rPr>
          <w:rFonts w:hint="eastAsia"/>
        </w:rPr>
        <w:t>上海市融资信用服务子系统建设项目应用软件</w:t>
      </w:r>
    </w:p>
    <w:p>
      <w:pPr>
        <w:pStyle w:val="2"/>
      </w:pPr>
      <w:r>
        <w:rPr>
          <w:rFonts w:hint="eastAsia"/>
        </w:rPr>
        <w:t>项目概况</w:t>
      </w:r>
      <w:bookmarkEnd w:id="0"/>
    </w:p>
    <w:p>
      <w:pPr>
        <w:spacing w:line="560" w:lineRule="exact"/>
      </w:pPr>
      <w:r>
        <w:rPr>
          <w:rFonts w:hint="eastAsia"/>
        </w:rPr>
        <w:t>项目背景及现状：</w:t>
      </w:r>
    </w:p>
    <w:p>
      <w:pPr>
        <w:spacing w:line="560" w:lineRule="exact"/>
      </w:pPr>
      <w:r>
        <w:rPr>
          <w:rFonts w:hint="eastAsia"/>
        </w:rPr>
        <w:t>近年来，国家发展改革委等部门深入推进“信易贷”工作，建设全国融资服务平台，联通地方融资服务平台，构建全国一体化平台网络，助力中小微企业以“信”换“贷”为更好统筹融资服务平台建设，完善以信息为基础的普惠融资服务体系，3月22日国务院常务会议审议通过、并以国办名义印发实施《统筹融资服务平台建设提升中小微企业融资便利水平实施方案》（国办发[2024]15号，简称《国家方案》），明确4项要求:一是推进平台整合。原则上一个省份只保留一个省级平台，市县级设立的平台不超过一个，所有地方平台统一纳入全国一体化平台网络。整合工作于今年底前完成。二是统一信息出口。保留的地方融资服务平台要联通全国融资服务平台，作为向金融机构集中提供跨部门融资信息的“唯一出口”。三是加强信息归集共享。《国家方案》制定了国家版的信息归集共享清单，要求各地加大清单内地方数据归集，并结合实际编制地方信息归集共享清单。四是深化数据开发利用。鼓励地方与银行机构开展联合建模应用。归集特色信息，因地制宜开展“信易贷”专项产品开发依托平台汇聚金融便民惠企政策，推动政策直达快享。依法依规开放数据，培育服务市场。</w:t>
      </w:r>
    </w:p>
    <w:p>
      <w:pPr>
        <w:spacing w:line="560" w:lineRule="exact"/>
      </w:pPr>
      <w:r>
        <w:rPr>
          <w:rFonts w:hint="eastAsia"/>
        </w:rPr>
        <w:t>相关政策：</w:t>
      </w:r>
    </w:p>
    <w:p>
      <w:pPr>
        <w:spacing w:line="560" w:lineRule="exact"/>
      </w:pPr>
      <w:r>
        <w:rPr>
          <w:rFonts w:hint="eastAsia"/>
        </w:rPr>
        <w:t>1、</w:t>
      </w:r>
      <w:r>
        <w:t>国务院办公厅关于印发《统筹融资服务平台建设提升中小微企业融资便利水平实施方案》的通知（国办发〔2024〕15号）</w:t>
      </w:r>
    </w:p>
    <w:p>
      <w:pPr>
        <w:spacing w:line="560" w:lineRule="exact"/>
      </w:pPr>
      <w:r>
        <w:rPr>
          <w:rFonts w:hint="eastAsia"/>
        </w:rPr>
        <w:t>2、</w:t>
      </w:r>
      <w:r>
        <w:t>《优化本市融资服务平台建设提升中小微企业融资便利水平实施方案》（沪府办发〔2024〕19号）</w:t>
      </w:r>
    </w:p>
    <w:p>
      <w:pPr>
        <w:spacing w:line="560" w:lineRule="exact"/>
      </w:pPr>
      <w:r>
        <w:rPr>
          <w:rFonts w:hint="eastAsia"/>
        </w:rPr>
        <w:t>3、</w:t>
      </w:r>
      <w:r>
        <w:t>国家发展改革委办公厅金融监管总局办公厅关于进一步提升融资服务平台服务质效深入推进“信易贷”工作的通知</w:t>
      </w:r>
    </w:p>
    <w:p>
      <w:pPr>
        <w:spacing w:line="560" w:lineRule="exact"/>
      </w:pPr>
      <w:r>
        <w:rPr>
          <w:rFonts w:hint="eastAsia"/>
        </w:rPr>
        <w:t>4、</w:t>
      </w:r>
      <w:r>
        <w:t>国务院办公厅《加强信息共享应用促进中小微企业融资实施方案》（国办发〔2021〕52号）</w:t>
      </w:r>
    </w:p>
    <w:p>
      <w:pPr>
        <w:spacing w:line="560" w:lineRule="exact"/>
      </w:pPr>
      <w:r>
        <w:rPr>
          <w:rFonts w:hint="eastAsia"/>
        </w:rPr>
        <w:t>5、</w:t>
      </w:r>
      <w:r>
        <w:t>国务院办公厅《要素市场化配置综合改革试点总体方案》（国办发〔2021〕51号）</w:t>
      </w:r>
    </w:p>
    <w:p>
      <w:pPr>
        <w:spacing w:line="560" w:lineRule="exact"/>
      </w:pPr>
      <w:r>
        <w:rPr>
          <w:rFonts w:hint="eastAsia"/>
        </w:rPr>
        <w:t>6、</w:t>
      </w:r>
      <w:r>
        <w:t>关于印发《2024年上海市社会体系建设工作要点》的通知（沪办〔2024〕1号)</w:t>
      </w:r>
    </w:p>
    <w:p>
      <w:pPr>
        <w:spacing w:line="560" w:lineRule="exact"/>
      </w:pPr>
      <w:r>
        <w:rPr>
          <w:rFonts w:hint="eastAsia"/>
        </w:rPr>
        <w:t>7、</w:t>
      </w:r>
      <w:r>
        <w:t>国家发展改革委、银保监会《关于深入开展“信易贷”支持中小微企业融资的通知》（发改财金〔2019〕1491号）</w:t>
      </w:r>
    </w:p>
    <w:p>
      <w:pPr>
        <w:spacing w:line="560" w:lineRule="exact"/>
      </w:pPr>
      <w:r>
        <w:rPr>
          <w:rFonts w:hint="eastAsia"/>
        </w:rPr>
        <w:t>8、</w:t>
      </w:r>
      <w:r>
        <w:t>《上海市促进中小企业发展条例》</w:t>
      </w:r>
    </w:p>
    <w:p>
      <w:pPr>
        <w:rPr>
          <w:color w:val="auto"/>
        </w:rPr>
      </w:pPr>
      <w:r>
        <w:rPr>
          <w:color w:val="auto"/>
        </w:rPr>
        <w:t>是否按</w:t>
      </w:r>
      <w:r>
        <w:rPr>
          <w:rFonts w:hint="eastAsia"/>
          <w:color w:val="auto"/>
          <w:lang w:val="en-US" w:eastAsia="zh-CN"/>
        </w:rPr>
        <w:t>XC</w:t>
      </w:r>
      <w:r>
        <w:rPr>
          <w:color w:val="auto"/>
        </w:rPr>
        <w:t>要求建设：是</w:t>
      </w:r>
    </w:p>
    <w:p>
      <w:pPr>
        <w:pStyle w:val="2"/>
      </w:pPr>
      <w:bookmarkStart w:id="1" w:name="_Toc47537134"/>
      <w:bookmarkEnd w:id="1"/>
      <w:bookmarkStart w:id="2" w:name="_Toc47539070"/>
      <w:bookmarkEnd w:id="2"/>
      <w:bookmarkStart w:id="3" w:name="_Toc47532255"/>
      <w:bookmarkEnd w:id="3"/>
      <w:bookmarkStart w:id="4" w:name="_Toc47533256"/>
      <w:bookmarkEnd w:id="4"/>
      <w:bookmarkStart w:id="5" w:name="_Toc47532891"/>
      <w:bookmarkEnd w:id="5"/>
      <w:bookmarkStart w:id="6" w:name="_Toc47536272"/>
      <w:bookmarkEnd w:id="6"/>
      <w:bookmarkStart w:id="7" w:name="_Toc47531634"/>
      <w:bookmarkEnd w:id="7"/>
      <w:bookmarkStart w:id="8" w:name="_Toc47536644"/>
      <w:bookmarkEnd w:id="8"/>
      <w:bookmarkStart w:id="9" w:name="_Toc48223882"/>
      <w:bookmarkStart w:id="10" w:name="_Toc63785463"/>
      <w:r>
        <w:rPr>
          <w:rFonts w:hint="eastAsia"/>
        </w:rPr>
        <w:t>建设目标</w:t>
      </w:r>
      <w:bookmarkEnd w:id="9"/>
      <w:bookmarkEnd w:id="10"/>
    </w:p>
    <w:p>
      <w:pPr>
        <w:rPr>
          <w:bCs/>
        </w:rPr>
      </w:pPr>
      <w:r>
        <w:rPr>
          <w:rFonts w:hint="eastAsia"/>
          <w:bCs/>
        </w:rPr>
        <w:t>简述项目建设目标：</w:t>
      </w:r>
    </w:p>
    <w:p>
      <w:pPr>
        <w:rPr>
          <w:bCs/>
        </w:rPr>
      </w:pPr>
      <w:r>
        <w:rPr>
          <w:rFonts w:hint="eastAsia"/>
          <w:bCs/>
        </w:rPr>
        <w:t>优化平台建设方面。一是统一建设市级融资服务平合。作为本市集中统一提供跨部门融资信息、服务中小微企业融资的公益性基础设施，在信息归集、共享和开放应用中发挥“地区枢纽”作用。二是优化平台功能定位。强化市融资服务平台的公共服务功能，为金融机构提供高效的基础信息服务，为中小微企业提供便捷的融资申请渠道。支持服务机构基于平台依法开放的信息，创新开发产品。加强平台基础功能，提升平台政策集成水平。三是拓展全市融资服务网络。推动各区和经济功能区因地制宜建设融资服务子平台，积极构建一体化融资服务平台网络。探索利用“服务窗口”“融资服务中心”设立融资服务线下工作站点，延伸服务网络。</w:t>
      </w:r>
    </w:p>
    <w:p>
      <w:pPr>
        <w:rPr>
          <w:bCs/>
        </w:rPr>
      </w:pPr>
      <w:r>
        <w:rPr>
          <w:rFonts w:hint="eastAsia"/>
          <w:bCs/>
        </w:rPr>
        <w:t>强化信息供给方面。一是根据《上海市融资信息归集共享清单》，提供共计18类73项基础性公共信息查询服务，有效覆盖银行融资信息需求。二是加强与国家融资服务平台对接，持续提升数据双向联通质效。三是统一信息共享出口。打造向金融机构集中提供跨部门融资信息服务的“唯一出口”。</w:t>
      </w:r>
    </w:p>
    <w:p>
      <w:pPr>
        <w:rPr>
          <w:bCs/>
        </w:rPr>
      </w:pPr>
      <w:r>
        <w:rPr>
          <w:rFonts w:hint="eastAsia"/>
          <w:bCs/>
        </w:rPr>
        <w:t>深化数据开发利用方面。一是强化基础服务。包括提升融资信息查询、公共评价基础服务效能。整合后的平台提供数据推送、信息查询、报告查询等服务。迭代更新公共综合评价指标，对中小微企业开展全覆盖评价。二是支持创新特色服务。加大对金融机构产品研发和投放的支持力度，推动接入平台的金融机构优化授信审批流程。引入更多金融机构扩大联合建模，深化数据模型研究实验室建设。加强特色信息归集，支撑金融机构开发特色融资产品。加强区块链、人工智能、大模型等新技术应用。</w:t>
      </w:r>
    </w:p>
    <w:p>
      <w:pPr>
        <w:rPr>
          <w:bCs/>
        </w:rPr>
      </w:pPr>
      <w:r>
        <w:rPr>
          <w:bCs/>
        </w:rPr>
        <w:t>（</w:t>
      </w:r>
      <w:r>
        <w:rPr>
          <w:rFonts w:hint="eastAsia"/>
          <w:bCs/>
        </w:rPr>
        <w:t>一</w:t>
      </w:r>
      <w:r>
        <w:rPr>
          <w:bCs/>
        </w:rPr>
        <w:t>）</w:t>
      </w:r>
      <w:r>
        <w:rPr>
          <w:rFonts w:hint="eastAsia"/>
          <w:bCs/>
        </w:rPr>
        <w:t>功能建设与运维要求：</w:t>
      </w:r>
    </w:p>
    <w:p>
      <w:pPr>
        <w:rPr>
          <w:bCs/>
          <w:color w:val="000000"/>
        </w:rPr>
      </w:pPr>
      <w:r>
        <w:rPr>
          <w:bCs/>
          <w:color w:val="000000"/>
        </w:rPr>
        <w:t>1、完成应用模块开发数量达8个。项目中标后在4个月内完成门户前台、接口后台、资源及数据管理后台功能共计3个，项目正式验收前完成全部功能共计8个，共涵盖72个业务功能模块。</w:t>
      </w:r>
    </w:p>
    <w:p>
      <w:pPr>
        <w:rPr>
          <w:bCs/>
          <w:color w:val="000000"/>
        </w:rPr>
      </w:pPr>
      <w:r>
        <w:rPr>
          <w:bCs/>
          <w:color w:val="000000"/>
        </w:rPr>
        <w:t>2、项目中标后4个月内完成相关数据治理，并提交数据治理报告和数据资源编目。</w:t>
      </w:r>
    </w:p>
    <w:p>
      <w:pPr>
        <w:rPr>
          <w:bCs/>
          <w:color w:val="000000"/>
        </w:rPr>
      </w:pPr>
      <w:r>
        <w:rPr>
          <w:bCs/>
          <w:color w:val="000000"/>
        </w:rPr>
        <w:t>3、建成信息化应用系统或平台并全部实际投入使用及发挥作用。</w:t>
      </w:r>
    </w:p>
    <w:p>
      <w:pPr>
        <w:rPr>
          <w:bCs/>
          <w:color w:val="000000"/>
        </w:rPr>
      </w:pPr>
      <w:r>
        <w:rPr>
          <w:bCs/>
          <w:color w:val="000000"/>
        </w:rPr>
        <w:t>4、及时上线并一次性验收通过，若不通过按合同相应条款处理。</w:t>
      </w:r>
    </w:p>
    <w:p>
      <w:pPr>
        <w:rPr>
          <w:bCs/>
          <w:color w:val="000000"/>
        </w:rPr>
      </w:pPr>
      <w:r>
        <w:rPr>
          <w:bCs/>
          <w:color w:val="000000"/>
        </w:rPr>
        <w:t>5、保证平台正常运行率达到99%以上。</w:t>
      </w:r>
    </w:p>
    <w:p>
      <w:pPr>
        <w:rPr>
          <w:bCs/>
          <w:color w:val="000000"/>
        </w:rPr>
      </w:pPr>
      <w:r>
        <w:rPr>
          <w:bCs/>
          <w:color w:val="000000"/>
        </w:rPr>
        <w:t>6、上线后，保障免费运维至少一年。</w:t>
      </w:r>
    </w:p>
    <w:p>
      <w:pPr>
        <w:rPr>
          <w:bCs/>
        </w:rPr>
      </w:pPr>
      <w:r>
        <w:rPr>
          <w:bCs/>
        </w:rPr>
        <w:t>（二）系统性能要求</w:t>
      </w:r>
    </w:p>
    <w:p>
      <w:pPr>
        <w:rPr>
          <w:bCs/>
          <w:color w:val="000000"/>
        </w:rPr>
      </w:pPr>
      <w:r>
        <w:rPr>
          <w:rFonts w:hint="eastAsia"/>
          <w:bCs/>
          <w:color w:val="000000"/>
        </w:rPr>
        <w:t>1、</w:t>
      </w:r>
      <w:r>
        <w:rPr>
          <w:bCs/>
          <w:color w:val="000000"/>
        </w:rPr>
        <w:t>最少支持同时在线用户数≥500。</w:t>
      </w:r>
    </w:p>
    <w:p>
      <w:pPr>
        <w:rPr>
          <w:bCs/>
          <w:color w:val="000000"/>
        </w:rPr>
      </w:pPr>
      <w:r>
        <w:rPr>
          <w:bCs/>
          <w:color w:val="000000"/>
        </w:rPr>
        <w:t>2、最少支持并发用户数≥100。</w:t>
      </w:r>
    </w:p>
    <w:p>
      <w:pPr>
        <w:rPr>
          <w:bCs/>
          <w:color w:val="000000"/>
        </w:rPr>
      </w:pPr>
      <w:r>
        <w:rPr>
          <w:bCs/>
          <w:color w:val="000000"/>
        </w:rPr>
        <w:t>3、系统登陆时间≤2秒。</w:t>
      </w:r>
    </w:p>
    <w:p>
      <w:pPr>
        <w:rPr>
          <w:bCs/>
          <w:color w:val="000000"/>
        </w:rPr>
      </w:pPr>
      <w:r>
        <w:rPr>
          <w:bCs/>
          <w:color w:val="000000"/>
        </w:rPr>
        <w:t>4、一般查询和写入操作响应时间（90%的操作页面）≤3秒。</w:t>
      </w:r>
    </w:p>
    <w:p>
      <w:pPr>
        <w:rPr>
          <w:bCs/>
          <w:color w:val="000000"/>
        </w:rPr>
      </w:pPr>
      <w:r>
        <w:rPr>
          <w:bCs/>
          <w:color w:val="000000"/>
        </w:rPr>
        <w:t>5、搜索类操作响应时间≤3秒。</w:t>
      </w:r>
    </w:p>
    <w:p>
      <w:pPr>
        <w:rPr>
          <w:bCs/>
          <w:color w:val="000000"/>
        </w:rPr>
      </w:pPr>
      <w:r>
        <w:rPr>
          <w:bCs/>
          <w:color w:val="000000"/>
        </w:rPr>
        <w:t>6、报表统计类操作响应时间≤10秒。</w:t>
      </w:r>
    </w:p>
    <w:p>
      <w:pPr>
        <w:rPr>
          <w:bCs/>
          <w:color w:val="000000"/>
        </w:rPr>
      </w:pPr>
      <w:r>
        <w:rPr>
          <w:bCs/>
          <w:color w:val="000000"/>
        </w:rPr>
        <w:t>7、响应时间较长的操作页面应显示进度条。</w:t>
      </w:r>
    </w:p>
    <w:p>
      <w:pPr>
        <w:rPr>
          <w:bCs/>
          <w:color w:val="000000"/>
        </w:rPr>
      </w:pPr>
      <w:r>
        <w:rPr>
          <w:bCs/>
          <w:color w:val="000000"/>
        </w:rPr>
        <w:t>8、支持不小于30TB数据的分布式存储。</w:t>
      </w:r>
    </w:p>
    <w:p>
      <w:pPr>
        <w:rPr>
          <w:bCs/>
        </w:rPr>
      </w:pPr>
      <w:r>
        <w:rPr>
          <w:bCs/>
        </w:rPr>
        <w:t>（三）安全性要求</w:t>
      </w:r>
    </w:p>
    <w:p>
      <w:pPr>
        <w:rPr>
          <w:bCs/>
          <w:color w:val="000000"/>
        </w:rPr>
      </w:pPr>
      <w:r>
        <w:rPr>
          <w:bCs/>
          <w:color w:val="000000"/>
        </w:rPr>
        <w:t>1、数据安全需求：本项目系统部署于市电子政务云并依托市电子政务云相关安全措施实现网络安全防护，需满足等保三级、国密算法等合规要求，部署实时入侵检测、行为审计及防病毒等防护要求，防止数据泄露、篡改及服务中断，支撑政务业务高效稳定运行。</w:t>
      </w:r>
    </w:p>
    <w:p>
      <w:pPr>
        <w:rPr>
          <w:bCs/>
          <w:color w:val="000000"/>
        </w:rPr>
      </w:pPr>
      <w:r>
        <w:rPr>
          <w:bCs/>
          <w:color w:val="000000"/>
        </w:rPr>
        <w:t>2、密码应用需求：根据安全风险分析，并对照《密码应用基本要求》中三级指标要求和《密码应用设计指南》，满足本项目密码应用需求。</w:t>
      </w:r>
    </w:p>
    <w:p>
      <w:pPr>
        <w:pStyle w:val="2"/>
      </w:pPr>
      <w:r>
        <w:rPr>
          <w:rFonts w:hint="eastAsia"/>
        </w:rPr>
        <w:t>项目建设内容</w:t>
      </w:r>
    </w:p>
    <w:p>
      <w:r>
        <w:rPr>
          <w:rFonts w:hint="eastAsia"/>
        </w:rPr>
        <w:t>上海市融资服务平台将围绕“门户前台、特色服务功能、金融中台、数据模型应用中台、运营中台、接口后台、资源及数据管理后台、平台全景驾驶舱”六大核心板块展开建设，旨在构建全流程、智能化的融资服务生态体系。</w:t>
      </w:r>
    </w:p>
    <w:p>
      <w:pPr>
        <w:ind w:firstLine="482"/>
        <w:rPr>
          <w:b/>
        </w:rPr>
      </w:pPr>
      <w:r>
        <w:rPr>
          <w:rFonts w:hint="eastAsia"/>
          <w:b/>
        </w:rPr>
        <w:t>软件开发清单：</w:t>
      </w:r>
    </w:p>
    <w:tbl>
      <w:tblPr>
        <w:tblStyle w:val="6"/>
        <w:tblW w:w="5000" w:type="pct"/>
        <w:tblInd w:w="0" w:type="dxa"/>
        <w:tblLayout w:type="autofit"/>
        <w:tblCellMar>
          <w:top w:w="0" w:type="dxa"/>
          <w:left w:w="108" w:type="dxa"/>
          <w:bottom w:w="0" w:type="dxa"/>
          <w:right w:w="108" w:type="dxa"/>
        </w:tblCellMar>
      </w:tblPr>
      <w:tblGrid>
        <w:gridCol w:w="698"/>
        <w:gridCol w:w="2376"/>
        <w:gridCol w:w="1688"/>
        <w:gridCol w:w="3766"/>
      </w:tblGrid>
      <w:tr>
        <w:tblPrEx>
          <w:tblCellMar>
            <w:top w:w="0" w:type="dxa"/>
            <w:left w:w="108" w:type="dxa"/>
            <w:bottom w:w="0" w:type="dxa"/>
            <w:right w:w="108" w:type="dxa"/>
          </w:tblCellMar>
        </w:tblPrEx>
        <w:trPr>
          <w:trHeight w:val="400" w:hRule="atLeast"/>
        </w:trPr>
        <w:tc>
          <w:tcPr>
            <w:tcW w:w="327" w:type="pct"/>
            <w:tcBorders>
              <w:top w:val="single" w:color="000000" w:sz="8" w:space="0"/>
              <w:left w:val="single" w:color="000000" w:sz="8" w:space="0"/>
              <w:bottom w:val="single" w:color="000000" w:sz="8" w:space="0"/>
              <w:right w:val="single" w:color="000000" w:sz="8" w:space="0"/>
            </w:tcBorders>
            <w:shd w:val="clear" w:color="auto" w:fill="F3F8FC"/>
            <w:noWrap/>
            <w:vAlign w:val="center"/>
          </w:tcPr>
          <w:p>
            <w:pPr>
              <w:widowControl/>
              <w:spacing w:line="240" w:lineRule="auto"/>
              <w:ind w:firstLine="0" w:firstLineChars="0"/>
              <w:jc w:val="center"/>
              <w:rPr>
                <w:rFonts w:cs="宋体"/>
                <w:b/>
                <w:bCs/>
                <w:color w:val="000000"/>
                <w:kern w:val="0"/>
              </w:rPr>
            </w:pPr>
            <w:r>
              <w:rPr>
                <w:rFonts w:hint="eastAsia" w:cs="宋体"/>
                <w:b/>
                <w:bCs/>
                <w:color w:val="000000"/>
                <w:kern w:val="0"/>
              </w:rPr>
              <w:t>序号</w:t>
            </w:r>
          </w:p>
        </w:tc>
        <w:tc>
          <w:tcPr>
            <w:tcW w:w="867" w:type="pct"/>
            <w:tcBorders>
              <w:top w:val="single" w:color="000000" w:sz="8" w:space="0"/>
              <w:left w:val="nil"/>
              <w:bottom w:val="single" w:color="000000" w:sz="8" w:space="0"/>
              <w:right w:val="single" w:color="000000" w:sz="8" w:space="0"/>
            </w:tcBorders>
            <w:shd w:val="clear" w:color="auto" w:fill="F3F8FC"/>
            <w:noWrap/>
            <w:vAlign w:val="center"/>
          </w:tcPr>
          <w:p>
            <w:pPr>
              <w:widowControl/>
              <w:spacing w:line="240" w:lineRule="auto"/>
              <w:ind w:firstLine="0" w:firstLineChars="0"/>
              <w:jc w:val="center"/>
              <w:rPr>
                <w:rFonts w:cs="宋体"/>
                <w:b/>
                <w:bCs/>
                <w:color w:val="000000"/>
                <w:kern w:val="0"/>
              </w:rPr>
            </w:pPr>
            <w:r>
              <w:rPr>
                <w:rFonts w:hint="eastAsia" w:cs="宋体"/>
                <w:b/>
                <w:bCs/>
                <w:color w:val="000000"/>
                <w:kern w:val="0"/>
              </w:rPr>
              <w:t>应用系统名称</w:t>
            </w:r>
          </w:p>
        </w:tc>
        <w:tc>
          <w:tcPr>
            <w:tcW w:w="1294" w:type="pct"/>
            <w:tcBorders>
              <w:top w:val="single" w:color="000000" w:sz="8" w:space="0"/>
              <w:left w:val="nil"/>
              <w:bottom w:val="single" w:color="000000" w:sz="8" w:space="0"/>
              <w:right w:val="single" w:color="000000" w:sz="8" w:space="0"/>
            </w:tcBorders>
            <w:shd w:val="clear" w:color="auto" w:fill="F3F8FC"/>
            <w:noWrap/>
            <w:vAlign w:val="center"/>
          </w:tcPr>
          <w:p>
            <w:pPr>
              <w:widowControl/>
              <w:spacing w:line="240" w:lineRule="auto"/>
              <w:ind w:firstLine="0" w:firstLineChars="0"/>
              <w:jc w:val="center"/>
              <w:rPr>
                <w:rFonts w:cs="宋体"/>
                <w:b/>
                <w:bCs/>
                <w:color w:val="000000"/>
                <w:kern w:val="0"/>
              </w:rPr>
            </w:pPr>
            <w:r>
              <w:rPr>
                <w:rFonts w:hint="eastAsia" w:cs="宋体"/>
                <w:b/>
                <w:bCs/>
                <w:color w:val="000000"/>
                <w:kern w:val="0"/>
              </w:rPr>
              <w:t>模块名称</w:t>
            </w:r>
          </w:p>
        </w:tc>
        <w:tc>
          <w:tcPr>
            <w:tcW w:w="2512" w:type="pct"/>
            <w:tcBorders>
              <w:top w:val="single" w:color="000000" w:sz="8" w:space="0"/>
              <w:left w:val="nil"/>
              <w:bottom w:val="single" w:color="000000" w:sz="8" w:space="0"/>
              <w:right w:val="single" w:color="000000" w:sz="8" w:space="0"/>
            </w:tcBorders>
            <w:shd w:val="clear" w:color="auto" w:fill="F3F8FC"/>
          </w:tcPr>
          <w:p>
            <w:pPr>
              <w:widowControl/>
              <w:spacing w:line="240" w:lineRule="auto"/>
              <w:ind w:firstLine="0" w:firstLineChars="0"/>
              <w:jc w:val="center"/>
              <w:rPr>
                <w:rFonts w:cs="宋体"/>
                <w:b/>
                <w:bCs/>
                <w:color w:val="000000"/>
                <w:kern w:val="0"/>
              </w:rPr>
            </w:pPr>
            <w:r>
              <w:rPr>
                <w:rFonts w:hint="eastAsia" w:cs="宋体"/>
                <w:b/>
                <w:bCs/>
                <w:color w:val="000000"/>
                <w:kern w:val="0"/>
              </w:rPr>
              <w:t>模块描述</w:t>
            </w:r>
          </w:p>
        </w:tc>
      </w:tr>
      <w:tr>
        <w:tblPrEx>
          <w:tblCellMar>
            <w:top w:w="0" w:type="dxa"/>
            <w:left w:w="108" w:type="dxa"/>
            <w:bottom w:w="0" w:type="dxa"/>
            <w:right w:w="108" w:type="dxa"/>
          </w:tblCellMar>
        </w:tblPrEx>
        <w:trPr>
          <w:trHeight w:val="505"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1</w:t>
            </w:r>
          </w:p>
        </w:tc>
        <w:tc>
          <w:tcPr>
            <w:tcW w:w="867" w:type="pct"/>
            <w:vMerge w:val="restar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门户前台</w:t>
            </w: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服务门户小程序主页</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服务门户小程序主页包含首页、融资服务、个人中心功能</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2</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服务门户小程序企业用户端</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服务门户小程序企业用户端包含企业认证中心、一键测额、政策找人、续贷服务、金融产品超市、融资申请、融资进度查询、融资信用分、政策资讯、服务资讯功能</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3</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服务门户小程序金融机构端</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服务门户小程序金融机构端包含用户认证、金融产品管理、二维码生成、贷款申请审批、企业客户管理、数据分析、营销活动管理</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4</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服务门户小程序政府管理端</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服务门户小程序政府管理端包含用户认证、机构管理、政策发布管理、数据监测、融资服务监督、区域服务管理、企业服务、决策支持、通知公告</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5</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服务门户</w:t>
            </w:r>
            <w:r>
              <w:rPr>
                <w:rFonts w:ascii="Times New Roman" w:hAnsi="Times New Roman" w:eastAsia="仿宋_GB2312"/>
                <w:color w:val="000000"/>
                <w:kern w:val="0"/>
              </w:rPr>
              <w:t>H5</w:t>
            </w:r>
            <w:r>
              <w:rPr>
                <w:rFonts w:ascii="仿宋_GB2312" w:eastAsia="仿宋_GB2312" w:cs="宋体"/>
                <w:color w:val="000000"/>
                <w:kern w:val="0"/>
              </w:rPr>
              <w:t>页面主页</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服务门户</w:t>
            </w:r>
            <w:r>
              <w:rPr>
                <w:rFonts w:ascii="Times New Roman" w:hAnsi="Times New Roman" w:eastAsia="仿宋_GB2312"/>
                <w:color w:val="000000"/>
                <w:kern w:val="0"/>
              </w:rPr>
              <w:t>H5</w:t>
            </w:r>
            <w:r>
              <w:rPr>
                <w:rFonts w:ascii="仿宋_GB2312" w:eastAsia="仿宋_GB2312" w:cs="宋体"/>
                <w:color w:val="000000"/>
                <w:kern w:val="0"/>
              </w:rPr>
              <w:t>页面主页包含首页、融资服务、个人中心功能</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6</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服务门户</w:t>
            </w:r>
            <w:r>
              <w:rPr>
                <w:rFonts w:ascii="Times New Roman" w:hAnsi="Times New Roman" w:eastAsia="仿宋_GB2312"/>
                <w:color w:val="000000"/>
                <w:kern w:val="0"/>
              </w:rPr>
              <w:t>H5</w:t>
            </w:r>
            <w:r>
              <w:rPr>
                <w:rFonts w:ascii="仿宋_GB2312" w:eastAsia="仿宋_GB2312" w:cs="宋体"/>
                <w:color w:val="000000"/>
                <w:kern w:val="0"/>
              </w:rPr>
              <w:t>页面企业用户端</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服务门户</w:t>
            </w:r>
            <w:r>
              <w:rPr>
                <w:rFonts w:ascii="Times New Roman" w:hAnsi="Times New Roman" w:eastAsia="仿宋_GB2312"/>
                <w:color w:val="000000"/>
                <w:kern w:val="0"/>
              </w:rPr>
              <w:t>H5</w:t>
            </w:r>
            <w:r>
              <w:rPr>
                <w:rFonts w:ascii="仿宋_GB2312" w:eastAsia="仿宋_GB2312" w:cs="宋体"/>
                <w:color w:val="000000"/>
                <w:kern w:val="0"/>
              </w:rPr>
              <w:t>页面企业用户端包含企业认证中心、一键测额、政策找人、续贷服务、金融产品超市、融资申请、融资进度查询、融资信用分、政策资讯、服务资讯功能</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7</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服务门户</w:t>
            </w:r>
            <w:r>
              <w:rPr>
                <w:rFonts w:ascii="Times New Roman" w:hAnsi="Times New Roman" w:eastAsia="仿宋_GB2312"/>
                <w:color w:val="000000"/>
                <w:kern w:val="0"/>
              </w:rPr>
              <w:t>H5</w:t>
            </w:r>
            <w:r>
              <w:rPr>
                <w:rFonts w:ascii="仿宋_GB2312" w:eastAsia="仿宋_GB2312" w:cs="宋体"/>
                <w:color w:val="000000"/>
                <w:kern w:val="0"/>
              </w:rPr>
              <w:t>页面金融机构端</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服务门户</w:t>
            </w:r>
            <w:r>
              <w:rPr>
                <w:rFonts w:ascii="Times New Roman" w:hAnsi="Times New Roman" w:eastAsia="仿宋_GB2312"/>
                <w:color w:val="000000"/>
                <w:kern w:val="0"/>
              </w:rPr>
              <w:t>H5</w:t>
            </w:r>
            <w:r>
              <w:rPr>
                <w:rFonts w:ascii="仿宋_GB2312" w:eastAsia="仿宋_GB2312" w:cs="宋体"/>
                <w:color w:val="000000"/>
                <w:kern w:val="0"/>
              </w:rPr>
              <w:t>页面金融机构端包含用户认证、金融产品管理、二维码生成、贷款申请审批、企业客户管理、数据分析、营销活动管理</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8</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服务门户</w:t>
            </w:r>
            <w:r>
              <w:rPr>
                <w:rFonts w:ascii="Times New Roman" w:hAnsi="Times New Roman" w:eastAsia="仿宋_GB2312"/>
                <w:color w:val="000000"/>
                <w:kern w:val="0"/>
              </w:rPr>
              <w:t>H5</w:t>
            </w:r>
            <w:r>
              <w:rPr>
                <w:rFonts w:ascii="仿宋_GB2312" w:eastAsia="仿宋_GB2312" w:cs="宋体"/>
                <w:color w:val="000000"/>
                <w:kern w:val="0"/>
              </w:rPr>
              <w:t>页面政府管理端</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服务门户</w:t>
            </w:r>
            <w:r>
              <w:rPr>
                <w:rFonts w:ascii="Times New Roman" w:hAnsi="Times New Roman" w:eastAsia="仿宋_GB2312"/>
                <w:color w:val="000000"/>
                <w:kern w:val="0"/>
              </w:rPr>
              <w:t>H5</w:t>
            </w:r>
            <w:r>
              <w:rPr>
                <w:rFonts w:ascii="仿宋_GB2312" w:eastAsia="仿宋_GB2312" w:cs="宋体"/>
                <w:color w:val="000000"/>
                <w:kern w:val="0"/>
              </w:rPr>
              <w:t>页面政府管理端包含用户认证、机构管理、政策发布管理、数据监测、融资服务监督、区域服务管理、企业服务、决策支持、通知公告</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9</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随申办门户</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包含一键登录、用户身份对接、随申办门户页面、随申办业务数据回传接口对接功能</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10</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随申办企业云门户</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包含一键登录、用户身份对接、随申办企业云门户页面、随申办企业云业务数据回传接口对接功能</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11</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特色园区平台专版</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包含特色园区服务专版首页、园区详情、特色融资产品、政策资讯功能</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12</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民营企业服务专版</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包含民营企业服务专版首页、融资信用分、融资匹配、政策直通</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13</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普惠金融服务专版</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包含普惠金融服务专版首页、融资匹配、政策直通</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14</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线上赋强公证专版</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包含线上赋强公证服务专版首页、公证指南、在线申请、进度查询、常见问题</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15</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供应链金融服务专版</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包含供应链金融服务专版首页、沪信融资、供应链票据、订单融资</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16</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绿色金融专版</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专区金融产品、专区资讯</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17</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农业金融专版</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农业金融产品展示、政策法规解读、农业项目融资、市场资讯、专家资讯</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18</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科创金融专版</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科创金融产品展示、知识产权服务、科技成果转化融资、政策展示、科创企业名录库</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19</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产品筛选</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包含条件筛选、智能搜索、结果联动功能</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20</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产品列表</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包含列表展示、排序方式、数据可视化功能</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21</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详情页面</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包含产品全景信息、功能详情、应用场景与案例、交互功能、申请入口</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22</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申请信息推送</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包含多渠道推送、推送内容设计、进度查询功能</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23</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业务流程管理</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包含数据产品维护、门户信息维护、金融机构产品维护、融资业务流程配置、政策管理流程配置</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24</w:t>
            </w:r>
          </w:p>
        </w:tc>
        <w:tc>
          <w:tcPr>
            <w:tcW w:w="867" w:type="pct"/>
            <w:vMerge w:val="restar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特色服务功能</w:t>
            </w: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政策展示</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包含对接</w:t>
            </w:r>
            <w:r>
              <w:rPr>
                <w:rFonts w:ascii="Times New Roman" w:hAnsi="Times New Roman" w:eastAsia="仿宋_GB2312"/>
                <w:color w:val="000000"/>
                <w:kern w:val="0"/>
              </w:rPr>
              <w:t>“</w:t>
            </w:r>
            <w:r>
              <w:rPr>
                <w:rFonts w:ascii="仿宋_GB2312" w:eastAsia="仿宋_GB2312" w:cs="宋体"/>
                <w:color w:val="000000"/>
                <w:kern w:val="0"/>
              </w:rPr>
              <w:t>随申兑</w:t>
            </w:r>
            <w:r>
              <w:rPr>
                <w:rFonts w:ascii="Times New Roman" w:hAnsi="Times New Roman" w:eastAsia="仿宋_GB2312"/>
                <w:color w:val="000000"/>
                <w:kern w:val="0"/>
              </w:rPr>
              <w:t>”</w:t>
            </w:r>
            <w:r>
              <w:rPr>
                <w:rFonts w:ascii="仿宋_GB2312" w:eastAsia="仿宋_GB2312" w:cs="宋体"/>
                <w:color w:val="000000"/>
                <w:kern w:val="0"/>
              </w:rPr>
              <w:t>、政策分类、政策详情、智能搜索功能</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25</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政策匹配</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包含智能匹配、政策推荐、动态更新功能</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26</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申请办理</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包含与</w:t>
            </w:r>
            <w:r>
              <w:rPr>
                <w:rFonts w:ascii="Times New Roman" w:hAnsi="Times New Roman" w:eastAsia="仿宋_GB2312"/>
                <w:color w:val="000000"/>
                <w:kern w:val="0"/>
              </w:rPr>
              <w:t>“</w:t>
            </w:r>
            <w:r>
              <w:rPr>
                <w:rFonts w:ascii="仿宋_GB2312" w:eastAsia="仿宋_GB2312" w:cs="宋体"/>
                <w:color w:val="000000"/>
                <w:kern w:val="0"/>
              </w:rPr>
              <w:t>一网通办</w:t>
            </w:r>
            <w:r>
              <w:rPr>
                <w:rFonts w:ascii="Times New Roman" w:hAnsi="Times New Roman" w:eastAsia="仿宋_GB2312"/>
                <w:color w:val="000000"/>
                <w:kern w:val="0"/>
              </w:rPr>
              <w:t>”</w:t>
            </w:r>
            <w:r>
              <w:rPr>
                <w:rFonts w:ascii="仿宋_GB2312" w:eastAsia="仿宋_GB2312" w:cs="宋体"/>
                <w:color w:val="000000"/>
                <w:kern w:val="0"/>
              </w:rPr>
              <w:t>融合跳转、申请信息填报辅助、进度跟踪功能</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27</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政策采集</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包含数据采集、政策管理、标签管理、匹配规则模型功能</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28</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内容管理</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包含文章管理、图片管理、视频管理、页面管理功能</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29</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入驻园区页面配置</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包含模版设计、功能配置功能</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30</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特色园区服务成效数据统计分析</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包含企业融资数据统计、产业分布统计、园区企业发展统计功能</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31</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融资信用分管理</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包含信用分更新查询、信用分异议处理功能</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32</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精准融资匹配管理</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包含融资需求管理、匹配算法配置、匹配过程监控、匹配效果评估管理</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33</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政策直通管理</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包含政策筛选分类、政策推送规则配置、政策跟踪反馈功能</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34</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民营企业服务、普惠金融服务专版成效数据统计分析</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包含政策扶持统计、融资服务统计、企业成长统计、覆盖范围统计、服务结构统计、服务成效统计功能</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35</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在线申请管理</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申请信息采集校验、申请信息配置管理、申请信息审核处理</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36</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进度查询管理</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进度状态更新、查询接口权限管理</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37</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线上赋强公证服务专版成效数据统计分析</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业务量统计分析、业务类型统计分析、服务效率统计分析</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38</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沪信融资管理</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融资申请管理、融资审核风险控制管理、融资放款贷后管理</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39</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供应链票据管理</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票据发行登记、票据交易流转、票据兑付清算</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40</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订单融资管理</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订单信息管理、融资申请审核</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41</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融资产品库管理</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产品信息管理、产品合作机构管理</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42</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供应链金融服务专版成效数据统计分析</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业务规模分布统计、融资结构统计分析、服务效率统计分析</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43</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农业金融产品展示管理</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产品信息管理、产品合作机构管理</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44</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政策法规解读管理</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政策源管理、政策解读内容管理</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45</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农业项目融资管理</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项目信息管理、融资审核匹配</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46</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市场资讯管理</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资讯采集审核、资讯发布推广</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47</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农业金融专版成效数据统计分析</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涉农信贷业务统计、农业保险业务统计、新型农业经营主体融资统计、农业金融服务成效统计</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48</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产品展示管理</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产品信息管理、合作机构管理</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49</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知识产权服务功能</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知识产权信息管理、知识产权评估</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50</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科技成果转化融资功能</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成果信息管理、融资对接管理、转化效果评估</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51</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政策支持解读功能</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解读创作审核、标签分类管理、精准推送管理</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52</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科创企业名录库功能</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企业信息管理、企业评价推荐</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53</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科创金融专版成效数据统计分析</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科创企业融资情况统计、研发投入创新成果统计、科技金融产品服务统计、科技成果转化统计</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54</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AI</w:t>
            </w:r>
            <w:r>
              <w:rPr>
                <w:rFonts w:ascii="仿宋_GB2312" w:hAnsi="Times New Roman" w:eastAsia="仿宋_GB2312"/>
                <w:color w:val="000000"/>
                <w:kern w:val="0"/>
              </w:rPr>
              <w:t>智能客服</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融资服务智能咨询、融资管家、受理智能分类、智能派单、智能审核</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55</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AI</w:t>
            </w:r>
            <w:r>
              <w:rPr>
                <w:rFonts w:ascii="仿宋_GB2312" w:hAnsi="Times New Roman" w:eastAsia="仿宋_GB2312"/>
                <w:color w:val="000000"/>
                <w:kern w:val="0"/>
              </w:rPr>
              <w:t>数据管理</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知识管理中枢、政策检索、知识问答、</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56</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AI</w:t>
            </w:r>
            <w:r>
              <w:rPr>
                <w:rFonts w:ascii="仿宋_GB2312" w:hAnsi="Times New Roman" w:eastAsia="仿宋_GB2312"/>
                <w:color w:val="000000"/>
                <w:kern w:val="0"/>
              </w:rPr>
              <w:t>模型管理</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模型</w:t>
            </w:r>
            <w:r>
              <w:rPr>
                <w:rFonts w:ascii="Times New Roman" w:hAnsi="Times New Roman" w:eastAsia="仿宋_GB2312"/>
                <w:color w:val="000000"/>
                <w:kern w:val="0"/>
              </w:rPr>
              <w:t>API</w:t>
            </w:r>
            <w:r>
              <w:rPr>
                <w:rFonts w:ascii="仿宋_GB2312" w:eastAsia="仿宋_GB2312" w:cs="宋体"/>
                <w:color w:val="000000"/>
                <w:kern w:val="0"/>
              </w:rPr>
              <w:t>集成、可视化工作流工具、用户反馈闭环管理、增强型知识库管理、智能决策管理</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57</w:t>
            </w:r>
          </w:p>
        </w:tc>
        <w:tc>
          <w:tcPr>
            <w:tcW w:w="867" w:type="pct"/>
            <w:vMerge w:val="restart"/>
            <w:tcBorders>
              <w:top w:val="nil"/>
              <w:left w:val="single" w:color="000000" w:sz="8" w:space="0"/>
              <w:bottom w:val="single" w:color="000000" w:sz="8" w:space="0"/>
              <w:right w:val="single" w:color="000000" w:sz="8" w:space="0"/>
            </w:tcBorders>
            <w:noWrap/>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金融中台</w:t>
            </w: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贷前风险管理</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数据核验、智能模型风险预测、动态授信决策支持</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58</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贷中风险管理</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经营风险动态预警、授信动态调整管理</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59</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贷后风险管理</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包含救助管理、风险复盘功能</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60</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授权书模版管理</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包含模版分类、模版编辑更新功能</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61</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授权书签署管理</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包含流程设置、电子签名认证功能</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62</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授权书存储管理</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存储检索、状态跟踪、权限控制</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63</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信用评价</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基于机构内部信用评价模型，对企业信用状况进行量化评分与等级评定。</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64</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申请模块</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申请入口、申请表单、材料管理</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65</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审批模块</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信用评估、审批决策、审批流程</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66</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发放模块</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包含合同签署、资金记账功能</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67</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贷后管理</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包含还款监控、风险预警功能</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68</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分析报告</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包含贷后统计、决策报告功能</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69</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异常事件监测</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实时监测融资业务流程中的异常情况</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70</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异常提醒</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通过站内信、短信、弹窗等多种方式，向相关人员发送异常提醒信息</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71</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异常处理跟踪</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建立异常事件处理台账，记录异常处理过程、责任人及处理结果。</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72</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服务申请</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设置多样化增值服务申请通道</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73</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服务跟踪</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提供增值服务全流程跟踪功能，</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74</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服务评估</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服务完成后，支持客户对服务质量进行评价打分</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75</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组织架构</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支持金融机构创建多层级组织架构</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76</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权限配置</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对融资产品管理、数据查询、客户服务等功能进行细粒度权限分配</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77</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权限调整</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实时调整权限设置。记录权限变更历史，</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78</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业务数据统计</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对融资业务关键数据进行统计</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79</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客户行为分析</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分析客户融资需求偏好、还款习惯、产品使用频率等行为数据</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80</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风险数据分析</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统计逾期率、不良贷款率、风险客户分布等数据</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81</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产品管理</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支持融资产品从创建、上线、下线的全流程操作</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82</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产品调整</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根据市场变化和机构策略，实时调整产品参数</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83</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产品分类</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对融资产品进行多维分类</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84</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需求接收与分配</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根据需求类型、金额、区域等条件，智能分配至对应业务团队或客户经理。</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85</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需求审核与反馈</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业务团队对融资需求进行初审、复审</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86</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需求进度跟踪</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以时间轴形式展示融资需求处理进度</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87</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公共事业履约信息支撑</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包含生产经营稳定性、社会保障维度功能</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88</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知识产权与技术创新支撑</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包含知识产权资产池、科创力量化体系功能</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89</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市场竞争力分析支撑</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包含行业定位识别、财务健康度功能</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90</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智能分析功能</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包含风险预警触发机制、定制化报告生成功能</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91</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对外服务接口</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标准化</w:t>
            </w:r>
            <w:r>
              <w:rPr>
                <w:rFonts w:ascii="Times New Roman" w:hAnsi="Times New Roman" w:eastAsia="仿宋_GB2312"/>
                <w:color w:val="000000"/>
                <w:kern w:val="0"/>
              </w:rPr>
              <w:t>api</w:t>
            </w:r>
            <w:r>
              <w:rPr>
                <w:rFonts w:ascii="仿宋_GB2312" w:eastAsia="仿宋_GB2312" w:cs="宋体"/>
                <w:color w:val="000000"/>
                <w:kern w:val="0"/>
              </w:rPr>
              <w:t>输出、可视化交互工具</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92</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分级授权</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包含对金融机构、政府部门、企业进行权限管理</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93</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数据脱敏</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包含个人信息、商业秘密数据进行脱敏</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94</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模版配置</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多维度模版编辑器、动态条件筛选引擎</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95</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调度分发</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时间策略引擎、全渠道触达能力</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96</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用户偏好管理</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接受对象分组管理、动态标签订阅</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97</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IP</w:t>
            </w:r>
            <w:r>
              <w:rPr>
                <w:rFonts w:ascii="仿宋_GB2312" w:hAnsi="Times New Roman" w:eastAsia="仿宋_GB2312"/>
                <w:color w:val="000000"/>
                <w:kern w:val="0"/>
              </w:rPr>
              <w:t>白名单管控</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分级白名单管理、访问日志追溯</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98</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数据权限审配</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包含权限模型、审配工作流功能</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99</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报告授权管理</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信用报告水印、时效控制、设备绑定策略</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100</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数据推送</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推送规则、数据推送、推送记录</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101</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数据异议填报</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异议提交、进度查询、申诉反馈</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102</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成效数据逐笔回传</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实现融资业务数据的实时采集、准确传输与高效处理。</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103</w:t>
            </w:r>
          </w:p>
        </w:tc>
        <w:tc>
          <w:tcPr>
            <w:tcW w:w="867" w:type="pct"/>
            <w:vMerge w:val="restar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数据模型应用中台</w:t>
            </w: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场景定制</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可根据实际业务需求，创建多样化的融资信用场景，</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104</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场景仓库</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支持将成熟的融资信用场景封装为模板</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105</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场景监控</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实时监测各融资信用场景的运行状态</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106</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模型管理</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提供信用评估模型从概念设计、开发训练、验证优化到部署应用的全生命周期管理功能。</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107</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版本管理</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自动记录模型每次训练、修改的版本信息，完整保存对应数据集、算法参数、训练日志及评估结果</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108</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协同开发管理</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支持内部或与外部机构共享信用评估模型</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109</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数据分析</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提供数据描述性统计、频数分布分析、相关性分析等基础统计功能</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110</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风险分析</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支持科研人员开展信用风险评估、违约概率预测、信用等级分类等深度分析</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111</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分析报告</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自动整合数据清洗过程、统计分析结果、模型评估指标等内容</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112</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数据可视化</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提供可视化大屏编辑工具</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113</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行业大屏模版库</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预设金融机构信用风险管理、政府部门融资政策效果评估、企业融资能力分析等多种行业化大屏主题模板</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114</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大屏共享交互</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支持将大屏链接分享给内部团队成员、外部合作伙伴或客户，实现远程实时查看</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115</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数据管理</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支持接入企业工商数据、税务数据、司法诉讼数据、金融信贷数据等多源异构数据，兼容本地文件（</w:t>
            </w:r>
            <w:r>
              <w:rPr>
                <w:rFonts w:ascii="Times New Roman" w:hAnsi="Times New Roman" w:eastAsia="仿宋_GB2312"/>
                <w:color w:val="000000"/>
                <w:kern w:val="0"/>
              </w:rPr>
              <w:t>CSV</w:t>
            </w:r>
            <w:r>
              <w:rPr>
                <w:rFonts w:ascii="仿宋_GB2312" w:eastAsia="仿宋_GB2312" w:cs="宋体"/>
                <w:color w:val="000000"/>
                <w:kern w:val="0"/>
              </w:rPr>
              <w:t>、</w:t>
            </w:r>
            <w:r>
              <w:rPr>
                <w:rFonts w:ascii="Times New Roman" w:hAnsi="Times New Roman" w:eastAsia="仿宋_GB2312"/>
                <w:color w:val="000000"/>
                <w:kern w:val="0"/>
              </w:rPr>
              <w:t>JSON</w:t>
            </w:r>
            <w:r>
              <w:rPr>
                <w:rFonts w:ascii="仿宋_GB2312" w:eastAsia="仿宋_GB2312" w:cs="宋体"/>
                <w:color w:val="000000"/>
                <w:kern w:val="0"/>
              </w:rPr>
              <w:t>等）、数据库（</w:t>
            </w:r>
            <w:r>
              <w:rPr>
                <w:rFonts w:ascii="Times New Roman" w:hAnsi="Times New Roman" w:eastAsia="仿宋_GB2312"/>
                <w:color w:val="000000"/>
                <w:kern w:val="0"/>
              </w:rPr>
              <w:t>MySQL</w:t>
            </w:r>
            <w:r>
              <w:rPr>
                <w:rFonts w:ascii="仿宋_GB2312" w:eastAsia="仿宋_GB2312" w:cs="宋体"/>
                <w:color w:val="000000"/>
                <w:kern w:val="0"/>
              </w:rPr>
              <w:t>、</w:t>
            </w:r>
            <w:r>
              <w:rPr>
                <w:rFonts w:ascii="Times New Roman" w:hAnsi="Times New Roman" w:eastAsia="仿宋_GB2312"/>
                <w:color w:val="000000"/>
                <w:kern w:val="0"/>
              </w:rPr>
              <w:t>PostgreSQL</w:t>
            </w:r>
            <w:r>
              <w:rPr>
                <w:rFonts w:ascii="仿宋_GB2312" w:eastAsia="仿宋_GB2312" w:cs="宋体"/>
                <w:color w:val="000000"/>
                <w:kern w:val="0"/>
              </w:rPr>
              <w:t>）、</w:t>
            </w:r>
            <w:r>
              <w:rPr>
                <w:rFonts w:ascii="Times New Roman" w:hAnsi="Times New Roman" w:eastAsia="仿宋_GB2312"/>
                <w:color w:val="000000"/>
                <w:kern w:val="0"/>
              </w:rPr>
              <w:t>API</w:t>
            </w:r>
            <w:r>
              <w:rPr>
                <w:rFonts w:ascii="仿宋_GB2312" w:eastAsia="仿宋_GB2312" w:cs="宋体"/>
                <w:color w:val="000000"/>
                <w:kern w:val="0"/>
              </w:rPr>
              <w:t>接口等多种数据来源</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116</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指标、样本、算法管理</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构建分层式数据存储架构</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117</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融资信用评价管理</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允许自定义评估指标（如偿债能力指标、盈利能力指标、经营稳定性指标），灵活设置指标计算逻辑、权重分配方式，构建符合不同业务需求的个性化信用评估体系，为信用评估模型提供科学的评价标准。</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118</w:t>
            </w:r>
          </w:p>
        </w:tc>
        <w:tc>
          <w:tcPr>
            <w:tcW w:w="867" w:type="pct"/>
            <w:vMerge w:val="restart"/>
            <w:tcBorders>
              <w:top w:val="nil"/>
              <w:left w:val="single" w:color="000000" w:sz="8" w:space="0"/>
              <w:bottom w:val="single" w:color="000000" w:sz="8" w:space="0"/>
              <w:right w:val="single" w:color="000000" w:sz="8" w:space="0"/>
            </w:tcBorders>
            <w:noWrap/>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运营中台</w:t>
            </w: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安全软件集成</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Web</w:t>
            </w:r>
            <w:r>
              <w:rPr>
                <w:rFonts w:ascii="仿宋_GB2312" w:hAnsi="Times New Roman" w:eastAsia="仿宋_GB2312"/>
                <w:color w:val="000000"/>
                <w:kern w:val="0"/>
              </w:rPr>
              <w:t>应用防护（</w:t>
            </w:r>
            <w:r>
              <w:rPr>
                <w:rFonts w:ascii="Times New Roman" w:hAnsi="Times New Roman"/>
                <w:color w:val="000000"/>
                <w:kern w:val="0"/>
              </w:rPr>
              <w:t>WAF</w:t>
            </w:r>
            <w:r>
              <w:rPr>
                <w:rFonts w:ascii="仿宋_GB2312" w:hAnsi="Times New Roman" w:eastAsia="仿宋_GB2312"/>
                <w:color w:val="000000"/>
                <w:kern w:val="0"/>
              </w:rPr>
              <w:t>）集成、反病毒软件集成、入侵检测系统（</w:t>
            </w:r>
            <w:r>
              <w:rPr>
                <w:rFonts w:ascii="Times New Roman" w:hAnsi="Times New Roman"/>
                <w:color w:val="000000"/>
                <w:kern w:val="0"/>
              </w:rPr>
              <w:t>IDS</w:t>
            </w:r>
            <w:r>
              <w:rPr>
                <w:rFonts w:ascii="仿宋_GB2312" w:hAnsi="Times New Roman" w:eastAsia="仿宋_GB2312"/>
                <w:color w:val="000000"/>
                <w:kern w:val="0"/>
              </w:rPr>
              <w:t>）集成、入侵防御系统（</w:t>
            </w:r>
            <w:r>
              <w:rPr>
                <w:rFonts w:ascii="Times New Roman" w:hAnsi="Times New Roman"/>
                <w:color w:val="000000"/>
                <w:kern w:val="0"/>
              </w:rPr>
              <w:t>IPS</w:t>
            </w:r>
            <w:r>
              <w:rPr>
                <w:rFonts w:ascii="仿宋_GB2312" w:hAnsi="Times New Roman" w:eastAsia="仿宋_GB2312"/>
                <w:color w:val="000000"/>
                <w:kern w:val="0"/>
              </w:rPr>
              <w:t>）集成</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119</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密码服务集成</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数据采集过程密码服务、数据传输过程密码服务、数据存储过程密码服务</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120</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数据安全监管</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关键数据加签服务、数据安全审计、数据水印与溯源</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121</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业务系统记录</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门户注册用户管理、用户业务申请记录管理</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122</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业务管理</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白名单上传管理、案例上传管理</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123</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应用状态监控预警</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服务节点监控、预警规则配置</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124</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外部访问状态监控预警</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接口调用监控、访问质量分析</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125</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数据库状态监控预警</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性能指标监控、智能优化</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126</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服务器状态监控预警</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基础设施监控、弹性拓展</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127</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推送告警信息</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多渠道通知、分级告警</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128</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监控信息统计分析</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可视化监控看板、数据决策支撑</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129</w:t>
            </w:r>
          </w:p>
        </w:tc>
        <w:tc>
          <w:tcPr>
            <w:tcW w:w="867" w:type="pct"/>
            <w:vMerge w:val="restart"/>
            <w:tcBorders>
              <w:top w:val="nil"/>
              <w:left w:val="single" w:color="000000" w:sz="8" w:space="0"/>
              <w:bottom w:val="single" w:color="000000" w:sz="8" w:space="0"/>
              <w:right w:val="single" w:color="000000" w:sz="8" w:space="0"/>
            </w:tcBorders>
            <w:noWrap/>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接口后台</w:t>
            </w: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数据接入管理</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普惠金融服务包、数据接入、数据清洗</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130</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接口调用管理</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动态接口、权限控制、监控限流</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131</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数据安全保障</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包含加密传输、安全审计功能</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132</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接口定制发布</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包含定制化数据服务、接口发布管理</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133</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数据整合共享</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包含数据整合、数据共享功能</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134</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接口性能优化</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包含缓存策略管理、异步处理机制</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135</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普惠金融服务包接口</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市检法人库信息接口、高院信息接口、环保局信息接口、人社局数据接口、知识产权局数据接口、住建委数据接口、税务局数据接口、科委数据接口、规资局数据接口、农委数据接口、用户授权接口、企业信用报告接口、个人信用报告接口、企业信用评价服务接口、个人信用评价服务接口</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136</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园区接口</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纳税信息归集、非正常纳税户信息及归集、欠税信息归集、水费信息归集、电费信息归集、燃气费信息归集、企业名下不动产登记信息归集、企业名下不动产抵押信息归集、科技研发信息归集、区信贷撮合数据归集、民营企业统计信息及归集、企业填报信息归集、企业融资需求信息归集、金融机构信息归集、金融机构授信放款信息归集、企业白名单信息归集</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137</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数据清单管理</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包含新增数据事项、删除数据事项、修改数据事项、查询数据事项</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138</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可视化展示</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包含数据全景看板、委办局信息图谱、字段详情可视化</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139</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查询分析</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多维度查询、智能检索与推荐、数据分析导出</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140</w:t>
            </w:r>
          </w:p>
        </w:tc>
        <w:tc>
          <w:tcPr>
            <w:tcW w:w="867" w:type="pct"/>
            <w:vMerge w:val="restart"/>
            <w:tcBorders>
              <w:top w:val="nil"/>
              <w:left w:val="single" w:color="000000" w:sz="8" w:space="0"/>
              <w:bottom w:val="single" w:color="000000" w:sz="8" w:space="0"/>
              <w:right w:val="single" w:color="000000" w:sz="8" w:space="0"/>
            </w:tcBorders>
            <w:noWrap/>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资源及数据管理后台</w:t>
            </w: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应用系统关联对接</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包含接口规范、接口管理、系统集成功能</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141</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数据主题库维护</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包含数据主题库架构设计、数据采集清洗、数据更新维护</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142</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资源安全管理</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包含身份认证与访问控制、数据安全保护、数据审计监控</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143</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原普惠数据表结构配置及动态维护</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包含数据模型设计、动态表结构配置、实时变更传播</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144</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原普惠数据清洗、加工、融合</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包含数据清洗、数据加工、数据融合</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145</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原普惠数据批量计算</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包含分布式计算框架设计、定时任务管理</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146</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原普惠数据库维护</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包含自动化运维、安全管控、性能优化</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147</w:t>
            </w:r>
          </w:p>
        </w:tc>
        <w:tc>
          <w:tcPr>
            <w:tcW w:w="867" w:type="pct"/>
            <w:vMerge w:val="restar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全景驾驶舱</w:t>
            </w: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平台综合成效大屏</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数据归集大屏、数据加工大屏、数据服务大屏、系统监控大屏、城市信用监测大屏、合作金融机构成效大屏、金融产品成效大屏、成效数据多维图表统计分析大屏</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148</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专版页面大屏</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特色园区平台专版大屏、民营企业服务专版大屏、普惠金融服务专版大屏、线上赋强公证服务专版大屏、供应链金融服务专版大屏</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149</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农业金融实验室专版大屏</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涉农信贷业务统计、农业保险业务统计、新型农业经营主体融资统计、农业金融服务成效统计</w:t>
            </w:r>
          </w:p>
        </w:tc>
      </w:tr>
      <w:tr>
        <w:tblPrEx>
          <w:tblCellMar>
            <w:top w:w="0" w:type="dxa"/>
            <w:left w:w="108" w:type="dxa"/>
            <w:bottom w:w="0" w:type="dxa"/>
            <w:right w:w="108" w:type="dxa"/>
          </w:tblCellMar>
        </w:tblPrEx>
        <w:trPr>
          <w:trHeight w:val="400" w:hRule="atLeast"/>
        </w:trPr>
        <w:tc>
          <w:tcPr>
            <w:tcW w:w="327"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Times New Roman" w:hAnsi="Times New Roman"/>
                <w:color w:val="000000"/>
                <w:kern w:val="0"/>
              </w:rPr>
            </w:pPr>
            <w:r>
              <w:rPr>
                <w:rFonts w:ascii="Times New Roman" w:hAnsi="Times New Roman"/>
                <w:color w:val="000000"/>
                <w:kern w:val="0"/>
              </w:rPr>
              <w:t>150</w:t>
            </w:r>
          </w:p>
        </w:tc>
        <w:tc>
          <w:tcPr>
            <w:tcW w:w="867" w:type="pct"/>
            <w:vMerge w:val="continue"/>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jc w:val="left"/>
              <w:rPr>
                <w:rFonts w:ascii="仿宋_GB2312" w:eastAsia="仿宋_GB2312" w:cs="宋体"/>
                <w:color w:val="000000"/>
                <w:kern w:val="0"/>
              </w:rPr>
            </w:pPr>
          </w:p>
        </w:tc>
        <w:tc>
          <w:tcPr>
            <w:tcW w:w="1294"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科创金融实验室专版大屏</w:t>
            </w:r>
          </w:p>
        </w:tc>
        <w:tc>
          <w:tcPr>
            <w:tcW w:w="2512" w:type="pct"/>
            <w:tcBorders>
              <w:top w:val="nil"/>
              <w:left w:val="single" w:color="000000" w:sz="8" w:space="0"/>
              <w:bottom w:val="single" w:color="000000" w:sz="8" w:space="0"/>
              <w:right w:val="single" w:color="000000" w:sz="8" w:space="0"/>
            </w:tcBorders>
            <w:vAlign w:val="center"/>
          </w:tcPr>
          <w:p>
            <w:pPr>
              <w:widowControl/>
              <w:spacing w:line="240" w:lineRule="auto"/>
              <w:ind w:firstLine="0" w:firstLineChars="0"/>
              <w:rPr>
                <w:rFonts w:ascii="仿宋_GB2312" w:eastAsia="仿宋_GB2312" w:cs="宋体"/>
                <w:color w:val="000000"/>
                <w:kern w:val="0"/>
              </w:rPr>
            </w:pPr>
            <w:r>
              <w:rPr>
                <w:rFonts w:hint="eastAsia" w:ascii="仿宋_GB2312" w:eastAsia="仿宋_GB2312" w:cs="宋体"/>
                <w:color w:val="000000"/>
                <w:kern w:val="0"/>
              </w:rPr>
              <w:t>科创企业融资情况统计、研发投入与创新成果统计、科技金融产品与服务统计、科技成果转化统计</w:t>
            </w:r>
          </w:p>
        </w:tc>
      </w:tr>
    </w:tbl>
    <w:p/>
    <w:p>
      <w:pPr>
        <w:pStyle w:val="2"/>
      </w:pPr>
      <w:bookmarkStart w:id="11" w:name="_Toc63785502"/>
      <w:r>
        <w:rPr>
          <w:rFonts w:hint="eastAsia"/>
        </w:rPr>
        <w:t>电子政务云资源需求</w:t>
      </w:r>
      <w:bookmarkEnd w:id="11"/>
    </w:p>
    <w:p>
      <w:r>
        <w:rPr>
          <w:rFonts w:hint="eastAsia"/>
        </w:rPr>
        <w:t>本次建设根据估算拟向电子政务云申请55台服务器资源CPU452 核 、内存888 G、存储32300 G。</w:t>
      </w:r>
    </w:p>
    <w:p>
      <w:pPr>
        <w:pStyle w:val="2"/>
      </w:pPr>
      <w:bookmarkStart w:id="12" w:name="_Toc63785503"/>
      <w:r>
        <w:rPr>
          <w:rFonts w:hint="eastAsia"/>
        </w:rPr>
        <w:t>其他工作要求</w:t>
      </w:r>
      <w:bookmarkEnd w:id="12"/>
    </w:p>
    <w:p>
      <w:pPr>
        <w:pStyle w:val="3"/>
      </w:pPr>
      <w:r>
        <w:t>功能建设与运维要求</w:t>
      </w:r>
    </w:p>
    <w:p>
      <w:r>
        <w:t>1、完成应用模块开发数量达8个。</w:t>
      </w:r>
      <w:bookmarkStart w:id="13" w:name="OLE_LINK15"/>
      <w:bookmarkStart w:id="14" w:name="OLE_LINK16"/>
      <w:r>
        <w:t>项目中标后</w:t>
      </w:r>
      <w:bookmarkEnd w:id="13"/>
      <w:bookmarkEnd w:id="14"/>
      <w:r>
        <w:t>在4个月内完成门户前台、接口后台、资源及数据管理后台功能共计3个，项目正式验收前完成全部功能共计8个，共涵盖72个业务功能模块。</w:t>
      </w:r>
    </w:p>
    <w:p>
      <w:r>
        <w:t>2、项目中标后4个月内完成相关数据治理，并提交数据治理报告和数据资源编目。</w:t>
      </w:r>
    </w:p>
    <w:p>
      <w:r>
        <w:t>3、建成信息化应用系统或平台并全部实际投入使用及发挥作用。</w:t>
      </w:r>
    </w:p>
    <w:p>
      <w:r>
        <w:t>4、及时上线并一次性验收通过，若不通过按合同相应条款处理。</w:t>
      </w:r>
    </w:p>
    <w:p>
      <w:r>
        <w:t>5、保证平台正常运行率达到99%以上。</w:t>
      </w:r>
    </w:p>
    <w:p>
      <w:r>
        <w:t>6、上线后，保障免费运维至少一年。</w:t>
      </w:r>
    </w:p>
    <w:p>
      <w:pPr>
        <w:pStyle w:val="3"/>
      </w:pPr>
      <w:r>
        <w:t>系统性能要求</w:t>
      </w:r>
    </w:p>
    <w:p>
      <w:r>
        <w:rPr>
          <w:rFonts w:hint="eastAsia"/>
        </w:rPr>
        <w:t>1、</w:t>
      </w:r>
      <w:r>
        <w:t>最少支持同时在线用户数≥500。</w:t>
      </w:r>
    </w:p>
    <w:p>
      <w:r>
        <w:t>2、最少支持并发用户数≥100。</w:t>
      </w:r>
    </w:p>
    <w:p>
      <w:r>
        <w:t>3、系统登陆时间≤2秒。</w:t>
      </w:r>
    </w:p>
    <w:p>
      <w:r>
        <w:t>4、一般查询和写入操作响应时间（90%的操作页面）≤3秒。</w:t>
      </w:r>
    </w:p>
    <w:p>
      <w:r>
        <w:t>5、搜索类操作响应时间≤3秒。</w:t>
      </w:r>
    </w:p>
    <w:p>
      <w:r>
        <w:t>6、报表统计类操作响应时间≤10秒。</w:t>
      </w:r>
    </w:p>
    <w:p>
      <w:r>
        <w:t>7、响应时间较长的操作页面应显示进度条。</w:t>
      </w:r>
    </w:p>
    <w:p>
      <w:r>
        <w:t>8、支持不小于30TB数据的分布式存储。</w:t>
      </w:r>
    </w:p>
    <w:p>
      <w:pPr>
        <w:pStyle w:val="3"/>
      </w:pPr>
      <w:r>
        <w:t>安全性要求</w:t>
      </w:r>
    </w:p>
    <w:p>
      <w:r>
        <w:t>1、数据安全需求：本项目系统部署于市电子政务云并依托市电子政务云相关安全措施实现网络安全防护，需满足等保三级、国密算法等合规要求，部署实时入侵检测、行为审计及防病毒等防护要求，防止数据泄露、篡改及服务中断，支撑政务业务高效稳定运行。</w:t>
      </w:r>
    </w:p>
    <w:p>
      <w:r>
        <w:t>2、密码应用需求：根据安全风险分析，并对照《密码应用基本要求》中三级指标要求和《密码应用设计指南》，满足本项目密码应用需求。</w:t>
      </w:r>
    </w:p>
    <w:p>
      <w:pPr>
        <w:pStyle w:val="3"/>
      </w:pPr>
      <w:r>
        <w:t>项目实施服务要求</w:t>
      </w:r>
    </w:p>
    <w:p>
      <w:r>
        <w:t>供应商需提供详细的项目实施方案，包括项目的组织及人员配备，项目实施过程，系统测试及验收方案等。</w:t>
      </w:r>
    </w:p>
    <w:p>
      <w:r>
        <w:t>供应商需要保证投入到本项目的开发人员能够准确、全面地理解业务需求并在项目中进行实现，能够满足本项目需求涉及面广、专业性强的要求。</w:t>
      </w:r>
    </w:p>
    <w:p>
      <w:r>
        <w:t>同时，在保证实施团队技术力量的前提下，需要对项目实施人员的职责进行明确规定、对项目实施过程进行有效监督，加强需求的提供方与系统开发方之间的沟通效率，确保项目的顺利实施。</w:t>
      </w:r>
    </w:p>
    <w:p>
      <w:r>
        <w:t>向用户提供完整的技术资料。包括但不限于软件源程序及介质、需求规格说明书、概要设计说明书、详细设计说明书、用户操作手册等。</w:t>
      </w:r>
    </w:p>
    <w:p>
      <w:r>
        <w:t>供应商应根据采购要求进行系统的深化设计，提供系统整体解决方案。系统各子模块功能无法一一列出，项目实施过程中需根据实际需求调研后对各子模块功能进行增加及修改，此类费用供应商应计入本次报价，今后采购人不再予以支付。</w:t>
      </w:r>
    </w:p>
    <w:p>
      <w:r>
        <w:t>供应商应配合完成原普惠金融服务相关金融机构的全部迁移</w:t>
      </w:r>
      <w:r>
        <w:rPr>
          <w:rFonts w:hint="eastAsia"/>
        </w:rPr>
        <w:t>，协调关停市级其他相关融资信用服务数据接口服务，相关服务费用应计入本次投标报价中，采购人不再另外予以支付。</w:t>
      </w:r>
    </w:p>
    <w:p>
      <w:pPr>
        <w:pStyle w:val="3"/>
      </w:pPr>
      <w:r>
        <w:t>项目工期要求</w:t>
      </w:r>
    </w:p>
    <w:p>
      <w:r>
        <w:t>本项目要求</w:t>
      </w:r>
      <w:r>
        <w:rPr>
          <w:rFonts w:hint="eastAsia"/>
        </w:rPr>
        <w:t>自合同签订之日起至2026年11月</w:t>
      </w:r>
      <w:r>
        <w:t>30</w:t>
      </w:r>
      <w:r>
        <w:rPr>
          <w:rFonts w:hint="eastAsia"/>
        </w:rPr>
        <w:t>日前完成验收。</w:t>
      </w:r>
      <w:r>
        <w:t>中标供应商在签署合同后必须确保在承诺工期内完成采购内容。供应商在中标后，应认真组织好技术及管理队伍，做好工作计划并提出长期维护、服务以及今后技术支持的措施、计划和承诺</w:t>
      </w:r>
    </w:p>
    <w:p>
      <w:pPr>
        <w:pStyle w:val="3"/>
      </w:pPr>
      <w:r>
        <w:t>项目人员要求</w:t>
      </w:r>
    </w:p>
    <w:p>
      <w:r>
        <w:t>供应商应充分考虑本项目的复杂程度及实施要求，合理配置项目实施团队，包括组织结构、项目负责人、组成人员及分工职责，核心技术人员需具备类似项目实施经验，并提供人员简历、资质证书、社保证明等材料。</w:t>
      </w:r>
    </w:p>
    <w:p>
      <w:r>
        <w:t>为完成本项目，供应商应组建工作小组，在提交的投标文件中安排的人员，须为公司的正式职员，中标后未经采购人同意项目组成员不得随意更换；每个参加本项目人员的履历表、相关资格证明材料，应随投标文件一并提交。</w:t>
      </w:r>
    </w:p>
    <w:p>
      <w:r>
        <w:t>项目经理具有类似信息系统规划设计、项目管理经验，需至少担任过类似项目的项目经理；有较好的文字表达和沟通协调能力，具备良好的沟通和组织能力，能带领和指导团队顺利完成工作。</w:t>
      </w:r>
    </w:p>
    <w:p>
      <w:r>
        <w:t>项目实施过程中，提供不少于1名项目经理，并提供本地化服务相关证明材料。配备不少于12名技术人员的项目团队，驻场人员不低于7人，项目验收后免费运维期间驻场服务人员不少于1人。并提供本地化服务相关证明材料。</w:t>
      </w:r>
    </w:p>
    <w:p>
      <w:pPr>
        <w:pStyle w:val="3"/>
      </w:pPr>
      <w:r>
        <w:t>项目实施保障要求</w:t>
      </w:r>
    </w:p>
    <w:p>
      <w:r>
        <w:t>供应商必须提供完整的项目保障实施方案,描述项目的实施过程,提出需采取的确保整个项目正常有序实施的措施和办法。包括同现有信息系统的对接、个性化定制、测试、试运行、培训及上线计划。</w:t>
      </w:r>
    </w:p>
    <w:p>
      <w:r>
        <w:t>供应商需提供规范的软件工程实施和项目管理方法，提供完整的质量保证体系，对项目实施的全过程进行监控和管理，对项目进度和工程实施进度进行控制。</w:t>
      </w:r>
    </w:p>
    <w:p>
      <w:r>
        <w:t>供应商需配合采购人完成软件功能测评、安全测评、密码测评等相关工作，相关第三方测评机构由业主方根据程序确定，测评及备案相关费用由业主方另行支付，不包含在本项目预算中。</w:t>
      </w:r>
    </w:p>
    <w:p>
      <w:pPr>
        <w:pStyle w:val="3"/>
      </w:pPr>
      <w:r>
        <w:t>项目验收及交付要求</w:t>
      </w:r>
    </w:p>
    <w:p>
      <w:r>
        <w:t>按照招标文件的要求，供应商需要配合业主进行系统的整体验收，完成本项目的验收和交付，并提交全部相关文档资料等。</w:t>
      </w:r>
    </w:p>
    <w:p>
      <w:r>
        <w:t>供应商需要在项目验收前完成数据资源目录编制、完成应急预案、完成免费维护期运维计划，帮助业主完成规划指标报告及佐证材料。</w:t>
      </w:r>
    </w:p>
    <w:p>
      <w:r>
        <w:t>供应商需要根据本项目建设需求和系统设计方案，提供详细的系统验收手册和验收流程、验收通过标准，经业主方认可后，由双方共同组织人员进行系统验收。主要是系统功能实现上完全符合系统的设计文档要求；系统各模块性能和功能稳定、使用正常；操作规范符合用户的操作习惯；系统安全符合国家标准，能够充分保证数据安全、网络安全和应用安全。</w:t>
      </w:r>
    </w:p>
    <w:p>
      <w:r>
        <w:t>验收时间：系统试运行结束后，由供应商和业主协商，共同组织进行验收。</w:t>
      </w:r>
    </w:p>
    <w:p>
      <w:pPr>
        <w:pStyle w:val="3"/>
      </w:pPr>
      <w:r>
        <w:t>项目培训要求</w:t>
      </w:r>
    </w:p>
    <w:p>
      <w:r>
        <w:t>要求供应商对采购人技术人员进行全面技术培训，培训内容应包括：供应商所提供系统的性能、技术原理、操作使用方法，维护管理技术，并能实际上机操作。供应商对招标方人员的培训，应使招标方人员可以独立操作、维护、管理，从而使招标方人员能独立进行管理、故障处理、日常测试维护等工作，确保系统能正常安全运行。</w:t>
      </w:r>
    </w:p>
    <w:p>
      <w:pPr>
        <w:pStyle w:val="3"/>
      </w:pPr>
      <w:r>
        <w:t>技术文档要求</w:t>
      </w:r>
    </w:p>
    <w:p>
      <w:r>
        <w:t>系统验收前需提交各类成果文档（电子文档是成果不可分割的部分）及系统源代码，电子文档包括但不限于以下几类：</w:t>
      </w:r>
    </w:p>
    <w:p>
      <w:r>
        <w:t>（1）实施方案</w:t>
      </w:r>
    </w:p>
    <w:p>
      <w:r>
        <w:t>（2）需求分析说明</w:t>
      </w:r>
    </w:p>
    <w:p>
      <w:r>
        <w:t>（3）系统概要设计</w:t>
      </w:r>
    </w:p>
    <w:p>
      <w:r>
        <w:t>（4）系统详细设计</w:t>
      </w:r>
    </w:p>
    <w:p>
      <w:r>
        <w:t>（5）数据库设计</w:t>
      </w:r>
    </w:p>
    <w:p>
      <w:r>
        <w:t>（6）用户操作手册</w:t>
      </w:r>
    </w:p>
    <w:p>
      <w:r>
        <w:t>（7）程序安装维护手册</w:t>
      </w:r>
    </w:p>
    <w:p>
      <w:r>
        <w:t>（8）系统测试方案和报告</w:t>
      </w:r>
    </w:p>
    <w:p>
      <w:r>
        <w:t>（9）试运行方案和报告</w:t>
      </w:r>
    </w:p>
    <w:p>
      <w:r>
        <w:t>（10）培训方案及相应培训记录</w:t>
      </w:r>
    </w:p>
    <w:p>
      <w:r>
        <w:t>（11）应急预案</w:t>
      </w:r>
    </w:p>
    <w:p>
      <w:r>
        <w:t>（12）免费维护期运维计划</w:t>
      </w:r>
    </w:p>
    <w:p>
      <w:r>
        <w:t>（13）项目建设总结报告</w:t>
      </w:r>
    </w:p>
    <w:p>
      <w:r>
        <w:t>（14）规划指标报告及佐证材料</w:t>
      </w:r>
    </w:p>
    <w:p>
      <w:pPr>
        <w:pStyle w:val="3"/>
      </w:pPr>
      <w:bookmarkStart w:id="15" w:name="_Toc63785505"/>
      <w:r>
        <w:rPr>
          <w:rFonts w:hint="eastAsia"/>
        </w:rPr>
        <w:t>售后服务要求</w:t>
      </w:r>
      <w:bookmarkEnd w:id="15"/>
    </w:p>
    <w:p>
      <w:r>
        <w:rPr>
          <w:rFonts w:hint="eastAsia"/>
        </w:rPr>
        <w:t>供应商须在项目竣工验收后提供不少于1年的免费维护期。供应商承诺在免费维护期中，提供详细的维护服务和技术支持计划，若遇到与软硬件产品相关的技术问题，能够及时响应，委派技术工程师提供现场技术支持和服务。</w:t>
      </w:r>
    </w:p>
    <w:p>
      <w:r>
        <w:rPr>
          <w:rFonts w:hint="eastAsia"/>
        </w:rPr>
        <w:t>供应商承诺，维护期内的技术服务免费，并至少提供以下服务：</w:t>
      </w:r>
    </w:p>
    <w:p>
      <w:r>
        <w:rPr>
          <w:rFonts w:hint="eastAsia"/>
        </w:rPr>
        <w:t>本项目需要供应商提供本地化服务，处理所有售后服务事宜，同时提供7*24小时本地语言（中文）支持。</w:t>
      </w:r>
    </w:p>
    <w:p>
      <w:r>
        <w:rPr>
          <w:rFonts w:hint="eastAsia"/>
        </w:rPr>
        <w:t>无论由于哪一方产生的问题导致系统发生不正常情况时，供应商需立即派工程师到场全力配合解决，使系统尽快恢复正常。</w:t>
      </w:r>
    </w:p>
    <w:p>
      <w:r>
        <w:rPr>
          <w:rFonts w:hint="eastAsia"/>
        </w:rPr>
        <w:t>以上所有服务的相关费用均需计入投标总价。</w:t>
      </w:r>
    </w:p>
    <w:p>
      <w:r>
        <w:rPr>
          <w:rFonts w:hint="eastAsia"/>
        </w:rPr>
        <w:t>供应商在上海设立常驻服务机构，处理所有售后服务，本市服务机构具有专业服务人员。需提供1个资深运维人员（保持原系统代码持续运行）。</w:t>
      </w:r>
    </w:p>
    <w:p>
      <w:pPr>
        <w:pStyle w:val="3"/>
      </w:pPr>
      <w:bookmarkStart w:id="16" w:name="_Toc63785506"/>
      <w:r>
        <w:rPr>
          <w:rFonts w:hint="eastAsia"/>
        </w:rPr>
        <w:t>应急响应要求</w:t>
      </w:r>
      <w:bookmarkEnd w:id="16"/>
    </w:p>
    <w:p>
      <w:r>
        <w:rPr>
          <w:rFonts w:hint="eastAsia"/>
        </w:rPr>
        <w:t>一般故障应急响应时间为7天*24小时，0.5小时内响应，4小时内解决问题</w:t>
      </w:r>
    </w:p>
    <w:p>
      <w:r>
        <w:rPr>
          <w:rFonts w:hint="eastAsia"/>
        </w:rPr>
        <w:t>重大故障应急响应时间为7天*24小时，立即响应，0.5小时内到达现场，2小时内解决问题。</w:t>
      </w:r>
    </w:p>
    <w:p>
      <w:r>
        <w:rPr>
          <w:rFonts w:hint="eastAsia"/>
        </w:rPr>
        <w:t>特殊时段（国定节假日、年终、采购人重大系统测试、季度停机、年度停机、投产），供应商需按照用户要求进行相关保障工作并在投标文件中做出承诺。</w:t>
      </w:r>
    </w:p>
    <w:p>
      <w:pPr>
        <w:pStyle w:val="3"/>
      </w:pPr>
      <w:r>
        <w:t>安全保密要求</w:t>
      </w:r>
    </w:p>
    <w:p>
      <w:r>
        <w:t>对于采购人提供给各供应商的招标文件和其他业务需求说明文件，供应商有为采购人保密的义务；</w:t>
      </w:r>
    </w:p>
    <w:p>
      <w:r>
        <w:t>供应商应在采购人指定的工作机房内对数据进行处理，不得对用户的数据进行拷贝、备份并带出工作机房，同时不得对外泄露用户数据资料（包括自然人、法人和其他共享数据）的具体内容。否则由此引起的用户损失、相关社会和法律责任，由供应商负责承担；</w:t>
      </w:r>
    </w:p>
    <w:p>
      <w:pPr>
        <w:pStyle w:val="3"/>
      </w:pPr>
      <w:r>
        <w:t>服务成果要求</w:t>
      </w:r>
    </w:p>
    <w:p>
      <w:r>
        <w:t>本项目所产生的服务成果均归用户所有，包括但不限于软件、源代码、文档、及其它有关成果的知识产权。未经用户书面同意，供应商不得将上述成果向第三方提供或用于本项目外的任何其他用途。</w:t>
      </w:r>
    </w:p>
    <w:p>
      <w:r>
        <w:t>对于服务成果，如用户申请相应知识产权，供应商必须全力配合。</w:t>
      </w:r>
    </w:p>
    <w:p>
      <w:pPr>
        <w:pStyle w:val="3"/>
      </w:pPr>
      <w:bookmarkStart w:id="17" w:name="_Toc63785509"/>
      <w:r>
        <w:rPr>
          <w:rFonts w:hint="eastAsia"/>
        </w:rPr>
        <w:t>进度要求</w:t>
      </w:r>
      <w:bookmarkEnd w:id="17"/>
    </w:p>
    <w:p>
      <w:r>
        <w:rPr>
          <w:rFonts w:hint="eastAsia"/>
          <w:lang w:eastAsia="zh-CN"/>
        </w:rPr>
        <w:t>本项目建设周期为</w:t>
      </w:r>
      <w:r>
        <w:rPr>
          <w:rFonts w:hint="eastAsia"/>
        </w:rPr>
        <w:t>自合同签订之日起至2026年11月30日前完成验收</w:t>
      </w:r>
      <w:bookmarkStart w:id="21" w:name="_GoBack"/>
      <w:bookmarkEnd w:id="21"/>
      <w:r>
        <w:rPr>
          <w:rFonts w:hint="eastAsia"/>
        </w:rPr>
        <w:t>，分为2个阶段。</w:t>
      </w:r>
    </w:p>
    <w:p>
      <w:r>
        <w:rPr>
          <w:rFonts w:hint="eastAsia"/>
        </w:rPr>
        <w:t>第一阶段为4个月，完成门户前台、接口后台、资源及数据管理后台功能开发，</w:t>
      </w:r>
      <w:r>
        <w:t>完成相关数据治理，并提交数据治理报告和数据资源编目</w:t>
      </w:r>
      <w:r>
        <w:rPr>
          <w:rFonts w:hint="eastAsia"/>
        </w:rPr>
        <w:t>。</w:t>
      </w:r>
    </w:p>
    <w:p>
      <w:r>
        <w:rPr>
          <w:rFonts w:hint="eastAsia"/>
        </w:rPr>
        <w:t>第二阶段为第一阶段完成至2026年11月30日前完成验收，完成全部项目验收工作。</w:t>
      </w:r>
    </w:p>
    <w:p>
      <w:pPr>
        <w:pStyle w:val="3"/>
      </w:pPr>
      <w:bookmarkStart w:id="18" w:name="_Toc63785510"/>
      <w:r>
        <w:rPr>
          <w:rFonts w:hint="eastAsia"/>
        </w:rPr>
        <w:t>项目团队及驻场人员要求</w:t>
      </w:r>
      <w:bookmarkEnd w:id="18"/>
    </w:p>
    <w:p>
      <w:r>
        <w:t>1）</w:t>
      </w:r>
      <w:r>
        <w:rPr>
          <w:rFonts w:hint="eastAsia"/>
        </w:rPr>
        <w:t>供应商应充分考虑本项目的复杂程度及实施要求，合理配置项目实施团队，包括组织结构、项目负责人、组成人员及分工职责，核心技术人员需具备类似项目实施经验，并提供人员简历、资质证书、社保证明等材料。</w:t>
      </w:r>
    </w:p>
    <w:p>
      <w:r>
        <w:rPr>
          <w:rFonts w:hint="eastAsia"/>
        </w:rPr>
        <w:t>为完成本项目，供应商应组建工作小组，在提交的投标文件中安排的人员，须为公司的正式职员，中标后未经采购人同意项目组成员不得随意更换；每个参加本项目人员的履历表、相关资格证明材料，应随投标文件一并提交。</w:t>
      </w:r>
    </w:p>
    <w:p>
      <w:r>
        <w:rPr>
          <w:rFonts w:hint="eastAsia"/>
        </w:rPr>
        <w:t>项目负责人具有类似信息系统规划设计、项目管理经验，需至少担任过类似项目的项目经理；有较好的文字表达和沟通协调能力，具备良好的沟通和组织能力，能带领和指导团队顺利完成工作。</w:t>
      </w:r>
    </w:p>
    <w:p>
      <w:r>
        <w:rPr>
          <w:rFonts w:hint="eastAsia"/>
        </w:rPr>
        <w:t>项目实施过程中，提供1名项目负责人，配备不少于12名技术人员的项目团队，驻场人员不低于7人。</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6"/>
        <w:gridCol w:w="2856"/>
        <w:gridCol w:w="1180"/>
        <w:gridCol w:w="1720"/>
        <w:gridCol w:w="13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noWrap/>
            <w:vAlign w:val="center"/>
          </w:tcPr>
          <w:p>
            <w:pPr>
              <w:widowControl/>
              <w:spacing w:line="240" w:lineRule="auto"/>
              <w:ind w:firstLine="0" w:firstLineChars="0"/>
              <w:jc w:val="center"/>
              <w:rPr>
                <w:b/>
              </w:rPr>
            </w:pPr>
            <w:r>
              <w:rPr>
                <w:rFonts w:hint="eastAsia"/>
                <w:b/>
              </w:rPr>
              <w:t>角色</w:t>
            </w:r>
          </w:p>
        </w:tc>
        <w:tc>
          <w:tcPr>
            <w:tcW w:w="0" w:type="auto"/>
            <w:noWrap/>
            <w:vAlign w:val="center"/>
          </w:tcPr>
          <w:p>
            <w:pPr>
              <w:widowControl/>
              <w:spacing w:line="240" w:lineRule="auto"/>
              <w:ind w:firstLine="0" w:firstLineChars="0"/>
              <w:jc w:val="center"/>
              <w:rPr>
                <w:b/>
              </w:rPr>
            </w:pPr>
            <w:r>
              <w:rPr>
                <w:rFonts w:hint="eastAsia"/>
                <w:b/>
              </w:rPr>
              <w:t>主要职责</w:t>
            </w:r>
          </w:p>
        </w:tc>
        <w:tc>
          <w:tcPr>
            <w:tcW w:w="0" w:type="auto"/>
            <w:noWrap/>
            <w:vAlign w:val="center"/>
          </w:tcPr>
          <w:p>
            <w:pPr>
              <w:widowControl/>
              <w:spacing w:line="240" w:lineRule="auto"/>
              <w:ind w:firstLine="0" w:firstLineChars="0"/>
              <w:jc w:val="center"/>
              <w:rPr>
                <w:b/>
              </w:rPr>
            </w:pPr>
            <w:r>
              <w:rPr>
                <w:rFonts w:hint="eastAsia"/>
                <w:b/>
              </w:rPr>
              <w:t>人员数量</w:t>
            </w:r>
          </w:p>
        </w:tc>
        <w:tc>
          <w:tcPr>
            <w:tcW w:w="0" w:type="auto"/>
            <w:vAlign w:val="center"/>
          </w:tcPr>
          <w:p>
            <w:pPr>
              <w:widowControl/>
              <w:spacing w:line="240" w:lineRule="auto"/>
              <w:ind w:firstLine="0" w:firstLineChars="0"/>
              <w:jc w:val="center"/>
              <w:rPr>
                <w:b/>
              </w:rPr>
            </w:pPr>
            <w:r>
              <w:rPr>
                <w:rFonts w:hint="eastAsia"/>
                <w:b/>
              </w:rPr>
              <w:t>人员要求</w:t>
            </w:r>
          </w:p>
        </w:tc>
        <w:tc>
          <w:tcPr>
            <w:tcW w:w="0" w:type="auto"/>
            <w:noWrap/>
            <w:vAlign w:val="center"/>
          </w:tcPr>
          <w:p>
            <w:pPr>
              <w:widowControl/>
              <w:spacing w:line="240" w:lineRule="auto"/>
              <w:ind w:firstLine="0" w:firstLineChars="0"/>
              <w:jc w:val="center"/>
              <w:rPr>
                <w:b/>
              </w:rPr>
            </w:pPr>
            <w:r>
              <w:rPr>
                <w:rFonts w:hint="eastAsia"/>
                <w:b/>
              </w:rPr>
              <w:t>驻场要求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noWrap/>
            <w:vAlign w:val="center"/>
          </w:tcPr>
          <w:p>
            <w:pPr>
              <w:widowControl/>
              <w:spacing w:line="240" w:lineRule="auto"/>
              <w:ind w:firstLine="0" w:firstLineChars="0"/>
              <w:jc w:val="center"/>
            </w:pPr>
            <w:r>
              <w:rPr>
                <w:rFonts w:hint="eastAsia"/>
              </w:rPr>
              <w:t>项目负责人</w:t>
            </w:r>
          </w:p>
        </w:tc>
        <w:tc>
          <w:tcPr>
            <w:tcW w:w="0" w:type="auto"/>
            <w:vAlign w:val="center"/>
          </w:tcPr>
          <w:p>
            <w:pPr>
              <w:widowControl/>
              <w:spacing w:line="240" w:lineRule="auto"/>
              <w:ind w:firstLine="0" w:firstLineChars="0"/>
              <w:jc w:val="center"/>
            </w:pPr>
            <w:r>
              <w:rPr>
                <w:rFonts w:hint="eastAsia"/>
              </w:rPr>
              <w:t>负责项目质量和进度控制</w:t>
            </w:r>
          </w:p>
        </w:tc>
        <w:tc>
          <w:tcPr>
            <w:tcW w:w="0" w:type="auto"/>
            <w:noWrap/>
            <w:vAlign w:val="center"/>
          </w:tcPr>
          <w:p>
            <w:pPr>
              <w:widowControl/>
              <w:spacing w:line="240" w:lineRule="auto"/>
              <w:ind w:firstLine="0" w:firstLineChars="0"/>
              <w:jc w:val="center"/>
            </w:pPr>
            <w:r>
              <w:rPr>
                <w:rFonts w:hint="eastAsia"/>
              </w:rPr>
              <w:t>1人</w:t>
            </w:r>
          </w:p>
        </w:tc>
        <w:tc>
          <w:tcPr>
            <w:tcW w:w="0" w:type="auto"/>
            <w:vAlign w:val="center"/>
          </w:tcPr>
          <w:p>
            <w:pPr>
              <w:widowControl/>
              <w:spacing w:line="240" w:lineRule="auto"/>
              <w:ind w:firstLine="0" w:firstLineChars="0"/>
              <w:jc w:val="center"/>
            </w:pPr>
            <w:r>
              <w:rPr>
                <w:rFonts w:hint="eastAsia"/>
              </w:rPr>
              <w:t>具有备系统集成项目管理工程师证书（软考）</w:t>
            </w:r>
          </w:p>
        </w:tc>
        <w:tc>
          <w:tcPr>
            <w:tcW w:w="0" w:type="auto"/>
            <w:noWrap/>
            <w:vAlign w:val="center"/>
          </w:tcPr>
          <w:p>
            <w:pPr>
              <w:widowControl/>
              <w:spacing w:line="240" w:lineRule="auto"/>
              <w:ind w:firstLine="0" w:firstLineChars="0"/>
              <w:jc w:val="center"/>
            </w:pPr>
            <w:r>
              <w:rPr>
                <w:rFonts w:hint="eastAsia"/>
              </w:rPr>
              <w:t>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noWrap/>
            <w:vAlign w:val="center"/>
          </w:tcPr>
          <w:p>
            <w:pPr>
              <w:widowControl/>
              <w:spacing w:line="240" w:lineRule="auto"/>
              <w:ind w:firstLine="0" w:firstLineChars="0"/>
              <w:jc w:val="center"/>
            </w:pPr>
            <w:r>
              <w:rPr>
                <w:rFonts w:hint="eastAsia"/>
              </w:rPr>
              <w:t>研发</w:t>
            </w:r>
          </w:p>
        </w:tc>
        <w:tc>
          <w:tcPr>
            <w:tcW w:w="0" w:type="auto"/>
            <w:noWrap/>
            <w:vAlign w:val="center"/>
          </w:tcPr>
          <w:p>
            <w:pPr>
              <w:widowControl/>
              <w:spacing w:line="240" w:lineRule="auto"/>
              <w:ind w:firstLine="0" w:firstLineChars="0"/>
              <w:jc w:val="center"/>
            </w:pPr>
            <w:r>
              <w:rPr>
                <w:rFonts w:hint="eastAsia"/>
              </w:rPr>
              <w:t>负责项目具体开发与实施</w:t>
            </w:r>
          </w:p>
        </w:tc>
        <w:tc>
          <w:tcPr>
            <w:tcW w:w="0" w:type="auto"/>
            <w:noWrap/>
            <w:vAlign w:val="center"/>
          </w:tcPr>
          <w:p>
            <w:pPr>
              <w:widowControl/>
              <w:spacing w:line="240" w:lineRule="auto"/>
              <w:ind w:firstLine="0" w:firstLineChars="0"/>
              <w:jc w:val="center"/>
            </w:pPr>
            <w:r>
              <w:rPr>
                <w:rFonts w:hint="eastAsia"/>
              </w:rPr>
              <w:t>11人</w:t>
            </w:r>
          </w:p>
        </w:tc>
        <w:tc>
          <w:tcPr>
            <w:tcW w:w="0" w:type="auto"/>
            <w:vAlign w:val="center"/>
          </w:tcPr>
          <w:p>
            <w:pPr>
              <w:widowControl/>
              <w:spacing w:line="240" w:lineRule="auto"/>
              <w:ind w:firstLine="0" w:firstLineChars="0"/>
            </w:pPr>
            <w:r>
              <w:rPr>
                <w:rFonts w:hint="eastAsia"/>
              </w:rPr>
              <w:t>具有数据库系统工程师（软考）、中级职称、注册信息安全专业人员证书（CISP）</w:t>
            </w:r>
          </w:p>
        </w:tc>
        <w:tc>
          <w:tcPr>
            <w:tcW w:w="0" w:type="auto"/>
            <w:noWrap/>
            <w:vAlign w:val="center"/>
          </w:tcPr>
          <w:p>
            <w:pPr>
              <w:widowControl/>
              <w:spacing w:line="240" w:lineRule="auto"/>
              <w:ind w:firstLine="0" w:firstLineChars="0"/>
              <w:jc w:val="center"/>
            </w:pPr>
            <w:r>
              <w:rPr>
                <w:rFonts w:hint="eastAsia"/>
              </w:rPr>
              <w:t>6人驻场</w:t>
            </w:r>
          </w:p>
          <w:p>
            <w:pPr>
              <w:widowControl/>
              <w:spacing w:line="240" w:lineRule="auto"/>
              <w:ind w:firstLine="0" w:firstLineChars="0"/>
              <w:jc w:val="center"/>
            </w:pPr>
            <w:r>
              <w:rPr>
                <w:rFonts w:hint="eastAsia"/>
              </w:rPr>
              <w:t>5人不驻场</w:t>
            </w:r>
          </w:p>
        </w:tc>
      </w:tr>
    </w:tbl>
    <w:p>
      <w:r>
        <w:t>2）投标人应针对本项目提供不少于</w:t>
      </w:r>
      <w:r>
        <w:rPr>
          <w:rFonts w:hint="eastAsia"/>
        </w:rPr>
        <w:t>1</w:t>
      </w:r>
      <w:r>
        <w:t>人的质保期间支撑团队（其中技术工程师</w:t>
      </w:r>
      <w:r>
        <w:rPr>
          <w:rFonts w:hint="eastAsia"/>
        </w:rPr>
        <w:t>1</w:t>
      </w:r>
      <w:r>
        <w:t>人）；投标人的相关服务人员需具备相应的服务能力，需提供相关证明（最近一个季度依法缴纳社保费的证明）。</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6"/>
        <w:gridCol w:w="2136"/>
        <w:gridCol w:w="1180"/>
        <w:gridCol w:w="1180"/>
        <w:gridCol w:w="1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noWrap/>
            <w:vAlign w:val="center"/>
          </w:tcPr>
          <w:p>
            <w:pPr>
              <w:widowControl/>
              <w:spacing w:line="240" w:lineRule="auto"/>
              <w:ind w:firstLine="0" w:firstLineChars="0"/>
              <w:jc w:val="center"/>
              <w:rPr>
                <w:b/>
              </w:rPr>
            </w:pPr>
            <w:r>
              <w:rPr>
                <w:rFonts w:hint="eastAsia"/>
                <w:b/>
              </w:rPr>
              <w:t>角色</w:t>
            </w:r>
          </w:p>
        </w:tc>
        <w:tc>
          <w:tcPr>
            <w:tcW w:w="0" w:type="auto"/>
            <w:noWrap/>
            <w:vAlign w:val="center"/>
          </w:tcPr>
          <w:p>
            <w:pPr>
              <w:widowControl/>
              <w:spacing w:line="240" w:lineRule="auto"/>
              <w:ind w:firstLine="0" w:firstLineChars="0"/>
              <w:jc w:val="center"/>
              <w:rPr>
                <w:b/>
              </w:rPr>
            </w:pPr>
            <w:r>
              <w:rPr>
                <w:rFonts w:hint="eastAsia"/>
                <w:b/>
              </w:rPr>
              <w:t>主要职责</w:t>
            </w:r>
          </w:p>
        </w:tc>
        <w:tc>
          <w:tcPr>
            <w:tcW w:w="0" w:type="auto"/>
            <w:noWrap/>
            <w:vAlign w:val="center"/>
          </w:tcPr>
          <w:p>
            <w:pPr>
              <w:widowControl/>
              <w:spacing w:line="240" w:lineRule="auto"/>
              <w:ind w:firstLine="0" w:firstLineChars="0"/>
              <w:jc w:val="center"/>
              <w:rPr>
                <w:b/>
              </w:rPr>
            </w:pPr>
            <w:r>
              <w:rPr>
                <w:rFonts w:hint="eastAsia"/>
                <w:b/>
              </w:rPr>
              <w:t>人员数量</w:t>
            </w:r>
          </w:p>
        </w:tc>
        <w:tc>
          <w:tcPr>
            <w:tcW w:w="0" w:type="auto"/>
            <w:vAlign w:val="center"/>
          </w:tcPr>
          <w:p>
            <w:pPr>
              <w:widowControl/>
              <w:spacing w:line="240" w:lineRule="auto"/>
              <w:ind w:firstLine="0" w:firstLineChars="0"/>
              <w:jc w:val="center"/>
              <w:rPr>
                <w:b/>
              </w:rPr>
            </w:pPr>
            <w:r>
              <w:rPr>
                <w:rFonts w:hint="eastAsia"/>
                <w:b/>
              </w:rPr>
              <w:t>人员要求</w:t>
            </w:r>
          </w:p>
        </w:tc>
        <w:tc>
          <w:tcPr>
            <w:tcW w:w="0" w:type="auto"/>
            <w:noWrap/>
            <w:vAlign w:val="center"/>
          </w:tcPr>
          <w:p>
            <w:pPr>
              <w:widowControl/>
              <w:spacing w:line="240" w:lineRule="auto"/>
              <w:ind w:firstLine="0" w:firstLineChars="0"/>
              <w:jc w:val="center"/>
              <w:rPr>
                <w:b/>
              </w:rPr>
            </w:pPr>
            <w:r>
              <w:rPr>
                <w:rFonts w:hint="eastAsia"/>
                <w:b/>
              </w:rPr>
              <w:t>驻场要求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noWrap/>
            <w:vAlign w:val="center"/>
          </w:tcPr>
          <w:p>
            <w:pPr>
              <w:widowControl/>
              <w:spacing w:line="240" w:lineRule="auto"/>
              <w:ind w:firstLine="0" w:firstLineChars="0"/>
              <w:jc w:val="center"/>
            </w:pPr>
            <w:r>
              <w:rPr>
                <w:rFonts w:hint="eastAsia"/>
              </w:rPr>
              <w:t>技术工程师</w:t>
            </w:r>
          </w:p>
        </w:tc>
        <w:tc>
          <w:tcPr>
            <w:tcW w:w="0" w:type="auto"/>
            <w:noWrap/>
            <w:vAlign w:val="center"/>
          </w:tcPr>
          <w:p>
            <w:pPr>
              <w:widowControl/>
              <w:spacing w:line="240" w:lineRule="auto"/>
              <w:ind w:firstLine="0" w:firstLineChars="0"/>
              <w:jc w:val="center"/>
            </w:pPr>
            <w:r>
              <w:rPr>
                <w:rFonts w:hint="eastAsia"/>
              </w:rPr>
              <w:t>负责项目运行维护</w:t>
            </w:r>
          </w:p>
        </w:tc>
        <w:tc>
          <w:tcPr>
            <w:tcW w:w="0" w:type="auto"/>
            <w:noWrap/>
            <w:vAlign w:val="center"/>
          </w:tcPr>
          <w:p>
            <w:pPr>
              <w:widowControl/>
              <w:spacing w:line="240" w:lineRule="auto"/>
              <w:ind w:firstLine="0" w:firstLineChars="0"/>
              <w:jc w:val="center"/>
            </w:pPr>
            <w:r>
              <w:rPr>
                <w:rFonts w:hint="eastAsia"/>
              </w:rPr>
              <w:t>1人</w:t>
            </w:r>
          </w:p>
        </w:tc>
        <w:tc>
          <w:tcPr>
            <w:tcW w:w="0" w:type="auto"/>
            <w:vAlign w:val="center"/>
          </w:tcPr>
          <w:p>
            <w:pPr>
              <w:widowControl/>
              <w:spacing w:line="240" w:lineRule="auto"/>
              <w:ind w:firstLine="0" w:firstLineChars="0"/>
              <w:jc w:val="center"/>
            </w:pPr>
          </w:p>
        </w:tc>
        <w:tc>
          <w:tcPr>
            <w:tcW w:w="0" w:type="auto"/>
            <w:noWrap/>
            <w:vAlign w:val="center"/>
          </w:tcPr>
          <w:p>
            <w:pPr>
              <w:widowControl/>
              <w:spacing w:line="240" w:lineRule="auto"/>
              <w:ind w:firstLine="0" w:firstLineChars="0"/>
              <w:jc w:val="center"/>
            </w:pPr>
            <w:r>
              <w:rPr>
                <w:rFonts w:hint="eastAsia"/>
              </w:rPr>
              <w:t>驻场</w:t>
            </w:r>
          </w:p>
        </w:tc>
      </w:tr>
    </w:tbl>
    <w:p>
      <w:pPr>
        <w:pStyle w:val="3"/>
      </w:pPr>
      <w:bookmarkStart w:id="19" w:name="_Toc63785511"/>
      <w:r>
        <w:rPr>
          <w:rFonts w:hint="eastAsia"/>
        </w:rPr>
        <w:t>供应商要求</w:t>
      </w:r>
    </w:p>
    <w:p>
      <w:r>
        <w:rPr>
          <w:rFonts w:hint="eastAsia"/>
        </w:rPr>
        <w:t>供应商具有ISO9001质量管理体系认证证书、ISO20000信息技术服务管理体系认证证书、拥有ISO27001信息安全管理体系认证证书的优先考虑。</w:t>
      </w:r>
    </w:p>
    <w:p>
      <w:pPr>
        <w:pStyle w:val="3"/>
      </w:pPr>
      <w:r>
        <w:t>等级保护要求</w:t>
      </w:r>
      <w:bookmarkEnd w:id="19"/>
    </w:p>
    <w:p>
      <w:r>
        <w:t>本项目等级保护要求：</w:t>
      </w:r>
      <w:r>
        <w:rPr>
          <w:rFonts w:hint="eastAsia"/>
        </w:rPr>
        <w:t>三级</w:t>
      </w:r>
    </w:p>
    <w:p>
      <w:pPr>
        <w:pStyle w:val="3"/>
      </w:pPr>
      <w:r>
        <w:rPr>
          <w:rFonts w:hint="eastAsia"/>
        </w:rPr>
        <w:t>商业密码应用需求</w:t>
      </w:r>
    </w:p>
    <w:p>
      <w:r>
        <w:rPr>
          <w:rFonts w:hint="eastAsia"/>
        </w:rPr>
        <w:t>根据安全风险分析，需对照《密码应用基本要求》中三级指标要求和《密码应用设计指南》满足本项目密码应用需求。</w:t>
      </w:r>
    </w:p>
    <w:p>
      <w:pPr>
        <w:pStyle w:val="2"/>
      </w:pPr>
      <w:bookmarkStart w:id="20" w:name="_Toc68798863"/>
      <w:r>
        <w:rPr>
          <w:rFonts w:hint="eastAsia"/>
        </w:rPr>
        <w:t>附录</w:t>
      </w:r>
      <w:bookmarkEnd w:id="20"/>
    </w:p>
    <w:p>
      <w:pPr>
        <w:ind w:firstLine="482"/>
        <w:rPr>
          <w:b/>
        </w:rPr>
      </w:pPr>
      <w:r>
        <w:rPr>
          <w:rFonts w:hint="eastAsia"/>
          <w:b/>
        </w:rPr>
        <w:t>若项目建设过程中需符合相关技术标准或规范文件的要求，请将相关文件作为附件列出。</w:t>
      </w:r>
    </w:p>
    <w:p>
      <w:pPr>
        <w:ind w:firstLine="482"/>
      </w:pPr>
      <w:r>
        <w:rPr>
          <w:rFonts w:hint="eastAsia"/>
          <w:b/>
        </w:rPr>
        <w:t>参考如下：</w:t>
      </w:r>
    </w:p>
    <w:p>
      <w:pPr>
        <w:ind w:firstLine="0" w:firstLineChars="0"/>
      </w:pPr>
      <w:r>
        <w:rPr>
          <w:rFonts w:hint="eastAsia"/>
        </w:rPr>
        <w:t>1、</w:t>
      </w:r>
      <w:r>
        <w:t>《政务网络安全监测平台总体技术要求》</w:t>
      </w:r>
    </w:p>
    <w:p>
      <w:pPr>
        <w:ind w:firstLine="0" w:firstLineChars="0"/>
      </w:pPr>
      <w:r>
        <w:object>
          <v:shape id="_x0000_i1025" o:spt="75" type="#_x0000_t75" style="height:54.75pt;width:76.5pt;" o:ole="t" filled="f" o:preferrelative="t" stroked="f" coordsize="21600,21600">
            <v:path/>
            <v:fill on="f" focussize="0,0"/>
            <v:stroke on="f" joinstyle="miter"/>
            <v:imagedata r:id="rId13" o:title=""/>
            <o:lock v:ext="edit" aspectratio="t"/>
            <w10:wrap type="none"/>
            <w10:anchorlock/>
          </v:shape>
          <o:OLEObject Type="Embed" ProgID="Package" ShapeID="_x0000_i1025" DrawAspect="Icon" ObjectID="_1468075725" r:id="rId12">
            <o:LockedField>false</o:LockedField>
          </o:OLEObject>
        </w:object>
      </w:r>
    </w:p>
    <w:p>
      <w:pPr>
        <w:ind w:firstLine="0" w:firstLineChars="0"/>
      </w:pPr>
    </w:p>
    <w:p>
      <w:pPr>
        <w:ind w:firstLine="0" w:firstLineChars="0"/>
        <w:jc w:val="left"/>
      </w:pPr>
      <w:r>
        <w:rPr>
          <w:rFonts w:hint="eastAsia"/>
        </w:rPr>
        <w:t>2、《上海市电子政务外网建设和运行管理指南（试行）》</w:t>
      </w:r>
    </w:p>
    <w:p>
      <w:pPr>
        <w:ind w:firstLine="0" w:firstLineChars="0"/>
        <w:jc w:val="left"/>
      </w:pPr>
      <w:r>
        <w:object>
          <v:shape id="_x0000_i1026" o:spt="75" type="#_x0000_t75" style="height:54.75pt;width:76.5pt;" o:ole="t" filled="f" o:preferrelative="t" stroked="f" coordsize="21600,21600">
            <v:path/>
            <v:fill on="f" focussize="0,0"/>
            <v:stroke on="f" joinstyle="miter"/>
            <v:imagedata r:id="rId15" o:title=""/>
            <o:lock v:ext="edit" aspectratio="t"/>
            <w10:wrap type="none"/>
            <w10:anchorlock/>
          </v:shape>
          <o:OLEObject Type="Embed" ProgID="Package" ShapeID="_x0000_i1026" DrawAspect="Icon" ObjectID="_1468075726" r:id="rId14">
            <o:LockedField>false</o:LockedField>
          </o:OLEObject>
        </w:object>
      </w:r>
    </w:p>
    <w:p>
      <w:pPr>
        <w:ind w:firstLine="0" w:firstLineChars="0"/>
        <w:jc w:val="left"/>
        <w:rPr>
          <w:b/>
          <w:bCs/>
        </w:rPr>
      </w:pPr>
      <w:r>
        <w:rPr>
          <w:rFonts w:hint="eastAsia"/>
        </w:rPr>
        <w:t>3、其他标准</w:t>
      </w:r>
    </w:p>
    <w:p/>
    <w:sectPr>
      <w:headerReference r:id="rId7" w:type="first"/>
      <w:footerReference r:id="rId10" w:type="first"/>
      <w:headerReference r:id="rId5" w:type="default"/>
      <w:footerReference r:id="rId8" w:type="default"/>
      <w:headerReference r:id="rId6" w:type="even"/>
      <w:footerReference r:id="rId9" w:type="even"/>
      <w:pgSz w:w="11906" w:h="16838"/>
      <w:pgMar w:top="1134" w:right="1797" w:bottom="1135" w:left="1797" w:header="340" w:footer="7" w:gutter="0"/>
      <w:pgNumType w:start="1"/>
      <w:cols w:space="720" w:num="1"/>
      <w:titlePg/>
      <w:docGrid w:type="linesAndChar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Arial">
    <w:altName w:val="DejaVu Sans"/>
    <w:panose1 w:val="00000000000000000000"/>
    <w:charset w:val="00"/>
    <w:family w:val="auto"/>
    <w:pitch w:val="default"/>
    <w:sig w:usb0="00000000" w:usb1="00000000" w:usb2="00000000" w:usb3="00000000" w:csb0="00000000" w:csb1="00000000"/>
  </w:font>
  <w:font w:name="方正黑体_GBK">
    <w:panose1 w:val="02000000000000000000"/>
    <w:charset w:val="86"/>
    <w:family w:val="auto"/>
    <w:pitch w:val="default"/>
    <w:sig w:usb0="00000001" w:usb1="08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sans-serif">
    <w:altName w:val="仿宋_GB2312"/>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jc w:val="center"/>
      <w:rPr>
        <w:lang w:val="zh-CN"/>
      </w:rPr>
    </w:pPr>
    <w:r>
      <w:rPr>
        <w:lang w:val="zh-CN"/>
      </w:rPr>
      <w:fldChar w:fldCharType="begin"/>
    </w:r>
    <w:r>
      <w:rPr>
        <w:lang w:val="zh-CN"/>
      </w:rPr>
      <w:instrText xml:space="preserve">PAGE   \* MERGEFORMAT</w:instrText>
    </w:r>
    <w:r>
      <w:rPr>
        <w:lang w:val="zh-CN"/>
      </w:rPr>
      <w:fldChar w:fldCharType="separate"/>
    </w:r>
    <w:r>
      <w:rPr>
        <w:lang w:val="zh-CN"/>
      </w:rPr>
      <w:t>1</w:t>
    </w:r>
    <w:r>
      <w:rPr>
        <w:lang w:val="zh-CN"/>
      </w:rPr>
      <w:fldChar w:fldCharType="end"/>
    </w:r>
  </w:p>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A2F4AB3"/>
    <w:multiLevelType w:val="multilevel"/>
    <w:tmpl w:val="6A2F4AB3"/>
    <w:lvl w:ilvl="0" w:tentative="0">
      <w:start w:val="1"/>
      <w:numFmt w:val="chineseCountingThousand"/>
      <w:pStyle w:val="2"/>
      <w:suff w:val="nothing"/>
      <w:lvlText w:val="%1、"/>
      <w:lvlJc w:val="left"/>
      <w:pPr>
        <w:ind w:left="425" w:hanging="425"/>
      </w:pPr>
      <w:rPr>
        <w:rFonts w:hint="eastAsia"/>
        <w:sz w:val="32"/>
        <w:szCs w:val="32"/>
      </w:rPr>
    </w:lvl>
    <w:lvl w:ilvl="1" w:tentative="0">
      <w:start w:val="1"/>
      <w:numFmt w:val="decimal"/>
      <w:pStyle w:val="3"/>
      <w:isLgl/>
      <w:suff w:val="nothing"/>
      <w:lvlText w:val="%1.%2、"/>
      <w:lvlJc w:val="left"/>
      <w:pPr>
        <w:ind w:left="1135" w:hanging="567"/>
      </w:pPr>
    </w:lvl>
    <w:lvl w:ilvl="2" w:tentative="0">
      <w:start w:val="1"/>
      <w:numFmt w:val="decimal"/>
      <w:isLgl/>
      <w:suff w:val="nothing"/>
      <w:lvlText w:val="%1.%2.%3、"/>
      <w:lvlJc w:val="left"/>
      <w:pPr>
        <w:ind w:left="1069" w:hanging="1069"/>
      </w:pPr>
      <w:rPr>
        <w:rFonts w:hint="default" w:ascii="宋体" w:hAnsi="宋体" w:eastAsia="宋体" w:cs="Arial"/>
      </w:rPr>
    </w:lvl>
    <w:lvl w:ilvl="3" w:tentative="0">
      <w:start w:val="1"/>
      <w:numFmt w:val="decimal"/>
      <w:isLgl/>
      <w:suff w:val="nothing"/>
      <w:lvlText w:val="%1.%2.%3.%4、"/>
      <w:lvlJc w:val="left"/>
      <w:pPr>
        <w:ind w:left="3403" w:hanging="851"/>
      </w:pPr>
    </w:lvl>
    <w:lvl w:ilvl="4" w:tentative="0">
      <w:start w:val="1"/>
      <w:numFmt w:val="decimal"/>
      <w:isLgl/>
      <w:suff w:val="nothing"/>
      <w:lvlText w:val="%1.%2.%3.%4.%5、"/>
      <w:lvlJc w:val="left"/>
      <w:pPr>
        <w:ind w:left="3544" w:hanging="992"/>
      </w:pPr>
      <w:rPr>
        <w:rFonts w:hint="eastAsia"/>
      </w:rPr>
    </w:lvl>
    <w:lvl w:ilvl="5" w:tentative="0">
      <w:start w:val="1"/>
      <w:numFmt w:val="decimal"/>
      <w:isLgl/>
      <w:suff w:val="nothing"/>
      <w:lvlText w:val="%1.%2.%3.%4.%5.%6、"/>
      <w:lvlJc w:val="left"/>
      <w:pPr>
        <w:ind w:left="1134" w:hanging="1134"/>
      </w:pPr>
      <w:rPr>
        <w:rFonts w:hint="eastAsia"/>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M1OTMyYmVkNDBiZGZjOTJjNzg0ZTljMGM2NGM1NWEifQ=="/>
  </w:docVars>
  <w:rsids>
    <w:rsidRoot w:val="006F58E6"/>
    <w:rsid w:val="000677A8"/>
    <w:rsid w:val="00227A60"/>
    <w:rsid w:val="00272884"/>
    <w:rsid w:val="002E29EA"/>
    <w:rsid w:val="00454B13"/>
    <w:rsid w:val="00471E65"/>
    <w:rsid w:val="004A197B"/>
    <w:rsid w:val="00553086"/>
    <w:rsid w:val="00596FD9"/>
    <w:rsid w:val="005C069F"/>
    <w:rsid w:val="005E770C"/>
    <w:rsid w:val="006F58E6"/>
    <w:rsid w:val="00744324"/>
    <w:rsid w:val="00855B2E"/>
    <w:rsid w:val="00885842"/>
    <w:rsid w:val="009137F6"/>
    <w:rsid w:val="009E6068"/>
    <w:rsid w:val="00BD3C43"/>
    <w:rsid w:val="00C412CE"/>
    <w:rsid w:val="00C53AF5"/>
    <w:rsid w:val="00C809AE"/>
    <w:rsid w:val="00C82340"/>
    <w:rsid w:val="00CC1C0E"/>
    <w:rsid w:val="00E11BA7"/>
    <w:rsid w:val="00E1244B"/>
    <w:rsid w:val="00E72035"/>
    <w:rsid w:val="00EC6368"/>
    <w:rsid w:val="00F17CCC"/>
    <w:rsid w:val="00FA2331"/>
    <w:rsid w:val="00FA53E2"/>
    <w:rsid w:val="242671FF"/>
    <w:rsid w:val="37731FD0"/>
    <w:rsid w:val="4EDA2F0D"/>
    <w:rsid w:val="645D785C"/>
    <w:rsid w:val="73FB62D7"/>
    <w:rsid w:val="75654242"/>
    <w:rsid w:val="7FF77D37"/>
    <w:rsid w:val="B56BE34D"/>
    <w:rsid w:val="BFFF1B06"/>
    <w:rsid w:val="D9FFD014"/>
    <w:rsid w:val="FABC5D9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480" w:firstLineChars="200"/>
      <w:jc w:val="both"/>
    </w:pPr>
    <w:rPr>
      <w:rFonts w:ascii="宋体" w:hAnsi="宋体" w:eastAsia="宋体" w:cs="Times New Roman"/>
      <w:kern w:val="2"/>
      <w:sz w:val="24"/>
      <w:szCs w:val="24"/>
      <w:lang w:val="en-US" w:eastAsia="zh-CN" w:bidi="ar-SA"/>
    </w:rPr>
  </w:style>
  <w:style w:type="paragraph" w:styleId="2">
    <w:name w:val="heading 1"/>
    <w:basedOn w:val="1"/>
    <w:next w:val="1"/>
    <w:qFormat/>
    <w:uiPriority w:val="0"/>
    <w:pPr>
      <w:keepNext/>
      <w:keepLines/>
      <w:numPr>
        <w:ilvl w:val="0"/>
        <w:numId w:val="1"/>
      </w:numPr>
      <w:spacing w:before="120" w:after="120"/>
      <w:ind w:firstLine="0" w:firstLineChars="0"/>
      <w:outlineLvl w:val="0"/>
    </w:pPr>
    <w:rPr>
      <w:rFonts w:eastAsia="黑体"/>
      <w:b/>
      <w:bCs/>
      <w:kern w:val="44"/>
      <w:sz w:val="32"/>
      <w:szCs w:val="28"/>
    </w:rPr>
  </w:style>
  <w:style w:type="paragraph" w:styleId="3">
    <w:name w:val="heading 2"/>
    <w:basedOn w:val="1"/>
    <w:next w:val="1"/>
    <w:qFormat/>
    <w:uiPriority w:val="9"/>
    <w:pPr>
      <w:keepNext/>
      <w:keepLines/>
      <w:numPr>
        <w:ilvl w:val="1"/>
        <w:numId w:val="1"/>
      </w:numPr>
      <w:spacing w:before="120" w:after="120"/>
      <w:ind w:firstLine="0" w:firstLineChars="0"/>
      <w:outlineLvl w:val="1"/>
    </w:pPr>
    <w:rPr>
      <w:b/>
      <w:bCs/>
      <w:sz w:val="30"/>
      <w:szCs w:val="32"/>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3"/>
    <w:qFormat/>
    <w:uiPriority w:val="0"/>
    <w:pPr>
      <w:tabs>
        <w:tab w:val="center" w:pos="4153"/>
        <w:tab w:val="right" w:pos="8306"/>
      </w:tabs>
      <w:snapToGrid w:val="0"/>
      <w:spacing w:line="240" w:lineRule="auto"/>
      <w:jc w:val="left"/>
    </w:pPr>
    <w:rPr>
      <w:sz w:val="18"/>
      <w:szCs w:val="18"/>
    </w:rPr>
  </w:style>
  <w:style w:type="paragraph" w:styleId="5">
    <w:name w:val="header"/>
    <w:basedOn w:val="1"/>
    <w:qFormat/>
    <w:uiPriority w:val="99"/>
    <w:pPr>
      <w:pBdr>
        <w:bottom w:val="single" w:color="auto" w:sz="4" w:space="0"/>
      </w:pBdr>
      <w:tabs>
        <w:tab w:val="center" w:pos="4153"/>
        <w:tab w:val="right" w:pos="8306"/>
      </w:tabs>
      <w:snapToGrid w:val="0"/>
      <w:jc w:val="center"/>
    </w:pPr>
    <w:rPr>
      <w:rFonts w:ascii="Times New Roman" w:hAnsi="Times New Roman"/>
      <w:sz w:val="18"/>
      <w:szCs w:val="18"/>
    </w:rPr>
  </w:style>
  <w:style w:type="paragraph" w:customStyle="1" w:styleId="8">
    <w:name w:val="正文缩进1"/>
    <w:basedOn w:val="1"/>
    <w:autoRedefine/>
    <w:qFormat/>
    <w:uiPriority w:val="0"/>
    <w:pPr>
      <w:spacing w:line="240" w:lineRule="auto"/>
      <w:ind w:firstLine="420"/>
    </w:pPr>
    <w:rPr>
      <w:rFonts w:ascii="Times New Roman" w:hAnsi="Times New Roman"/>
      <w:sz w:val="21"/>
      <w:szCs w:val="20"/>
    </w:rPr>
  </w:style>
  <w:style w:type="paragraph" w:customStyle="1" w:styleId="9">
    <w:name w:val="正文正文2"/>
    <w:basedOn w:val="1"/>
    <w:autoRedefine/>
    <w:qFormat/>
    <w:uiPriority w:val="0"/>
    <w:pPr>
      <w:ind w:firstLine="460"/>
    </w:pPr>
    <w:rPr>
      <w:sz w:val="21"/>
      <w:szCs w:val="21"/>
    </w:rPr>
  </w:style>
  <w:style w:type="character" w:customStyle="1" w:styleId="10">
    <w:name w:val="font21"/>
    <w:basedOn w:val="7"/>
    <w:qFormat/>
    <w:uiPriority w:val="0"/>
    <w:rPr>
      <w:rFonts w:hint="default" w:ascii="Times New Roman" w:hAnsi="Times New Roman" w:cs="Times New Roman"/>
      <w:color w:val="000000"/>
      <w:sz w:val="28"/>
      <w:szCs w:val="28"/>
      <w:u w:val="none"/>
    </w:rPr>
  </w:style>
  <w:style w:type="character" w:customStyle="1" w:styleId="11">
    <w:name w:val="font31"/>
    <w:basedOn w:val="7"/>
    <w:qFormat/>
    <w:uiPriority w:val="0"/>
    <w:rPr>
      <w:rFonts w:hint="eastAsia" w:ascii="仿宋_GB2312" w:eastAsia="仿宋_GB2312"/>
      <w:color w:val="000000"/>
      <w:sz w:val="28"/>
      <w:szCs w:val="28"/>
      <w:u w:val="none"/>
    </w:rPr>
  </w:style>
  <w:style w:type="paragraph" w:styleId="12">
    <w:name w:val="List Paragraph"/>
    <w:basedOn w:val="1"/>
    <w:unhideWhenUsed/>
    <w:qFormat/>
    <w:uiPriority w:val="99"/>
    <w:pPr>
      <w:ind w:firstLine="420"/>
    </w:pPr>
  </w:style>
  <w:style w:type="character" w:customStyle="1" w:styleId="13">
    <w:name w:val="页脚 Char"/>
    <w:basedOn w:val="7"/>
    <w:link w:val="4"/>
    <w:qFormat/>
    <w:uiPriority w:val="0"/>
    <w:rPr>
      <w:rFonts w:ascii="宋体" w:hAnsi="宋体" w:eastAsia="宋体"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2.emf"/><Relationship Id="rId14" Type="http://schemas.openxmlformats.org/officeDocument/2006/relationships/oleObject" Target="embeddings/oleObject2.bin"/><Relationship Id="rId13" Type="http://schemas.openxmlformats.org/officeDocument/2006/relationships/image" Target="media/image1.emf"/><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22</Pages>
  <Words>2083</Words>
  <Characters>11875</Characters>
  <Lines>98</Lines>
  <Paragraphs>27</Paragraphs>
  <TotalTime>6</TotalTime>
  <ScaleCrop>false</ScaleCrop>
  <LinksUpToDate>false</LinksUpToDate>
  <CharactersWithSpaces>13931</CharactersWithSpaces>
  <Application>WPS Office_12.8.2.1113_F1E327BC-269C-435d-A152-05C5408002CA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2026-01-07T19:10:00Z</dcterms:created>
  <dc:creator>user</dc:creator>
  <cp:lastModifiedBy>user</cp:lastModifiedBy>
  <dcterms:modified xsi:type="dcterms:W3CDTF">2026-01-09T09:28:41Z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2052-12.8.2.1113</vt:lpwstr>
  </property>
  <property fmtid="{D5CDD505-2E9C-101B-9397-08002B2CF9AE}" pid="3" name="ICV">
    <vt:lpwstr>C0333D9C9EDC434881011F08177B8D11_12</vt:lpwstr>
  </property>
  <property fmtid="{D5CDD505-2E9C-101B-9397-08002B2CF9AE}" pid="4" name="KSOTemplateDocerSaveRecord">
    <vt:lpwstr>eyJoZGlkIjoiY2FjMzE1YWZlZGVjZmUxZDNiY2RmMjI5M2MwZTA1NjkiLCJ1c2VySWQiOiI3MDY4ODQ0MDEifQ==</vt:lpwstr>
  </property>
</Properties>
</file>