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9B582">
      <w:pPr>
        <w:spacing w:line="360" w:lineRule="auto"/>
      </w:pPr>
    </w:p>
    <w:p w14:paraId="19C4E4FD">
      <w:pPr>
        <w:spacing w:line="360" w:lineRule="auto"/>
        <w:rPr>
          <w:lang w:eastAsia="zh-CN"/>
        </w:rPr>
      </w:pPr>
    </w:p>
    <w:p w14:paraId="042C50DF">
      <w:pPr>
        <w:spacing w:line="360" w:lineRule="auto"/>
        <w:rPr>
          <w:lang w:eastAsia="zh-CN"/>
        </w:rPr>
      </w:pPr>
    </w:p>
    <w:p w14:paraId="27D675B9">
      <w:pPr>
        <w:spacing w:line="360" w:lineRule="auto"/>
        <w:rPr>
          <w:lang w:eastAsia="zh-CN"/>
        </w:rPr>
      </w:pPr>
    </w:p>
    <w:p w14:paraId="14880B83">
      <w:pPr>
        <w:spacing w:line="360" w:lineRule="auto"/>
        <w:rPr>
          <w:lang w:eastAsia="zh-CN"/>
        </w:rPr>
      </w:pPr>
    </w:p>
    <w:p w14:paraId="3191908F">
      <w:pPr>
        <w:spacing w:line="360" w:lineRule="auto"/>
      </w:pPr>
    </w:p>
    <w:p w14:paraId="38637ED7">
      <w:pPr>
        <w:spacing w:after="120" w:line="360" w:lineRule="auto"/>
        <w:jc w:val="center"/>
        <w:rPr>
          <w:rFonts w:hint="eastAsia" w:ascii="宋体" w:hAnsi="宋体"/>
          <w:b/>
          <w:sz w:val="44"/>
          <w:szCs w:val="44"/>
          <w:lang w:eastAsia="zh-CN"/>
        </w:rPr>
      </w:pPr>
      <w:r>
        <w:rPr>
          <w:rFonts w:ascii="宋体" w:hAnsi="宋体"/>
          <w:b/>
          <w:sz w:val="44"/>
          <w:szCs w:val="44"/>
          <w:lang w:eastAsia="zh-CN"/>
        </w:rPr>
        <w:t>【</w:t>
      </w:r>
      <w:r>
        <w:rPr>
          <w:rFonts w:hint="eastAsia" w:ascii="宋体" w:hAnsi="宋体"/>
          <w:b/>
          <w:sz w:val="44"/>
          <w:szCs w:val="44"/>
          <w:lang w:eastAsia="zh-CN"/>
        </w:rPr>
        <w:t>上海市学校校园餐信息管理子系统建设项目</w:t>
      </w:r>
      <w:r>
        <w:rPr>
          <w:rFonts w:ascii="宋体" w:hAnsi="宋体"/>
          <w:b/>
          <w:sz w:val="44"/>
          <w:szCs w:val="44"/>
          <w:lang w:eastAsia="zh-CN"/>
        </w:rPr>
        <w:t>】</w:t>
      </w:r>
    </w:p>
    <w:p w14:paraId="5C05BD1E">
      <w:pPr>
        <w:spacing w:line="360" w:lineRule="auto"/>
        <w:rPr>
          <w:lang w:eastAsia="zh-CN"/>
        </w:rPr>
      </w:pPr>
    </w:p>
    <w:p w14:paraId="7D4ECB2A">
      <w:pPr>
        <w:spacing w:line="360" w:lineRule="auto"/>
        <w:rPr>
          <w:lang w:eastAsia="zh-CN"/>
        </w:rPr>
      </w:pPr>
    </w:p>
    <w:p w14:paraId="52D50789">
      <w:pPr>
        <w:spacing w:after="120" w:line="360" w:lineRule="auto"/>
        <w:jc w:val="center"/>
        <w:rPr>
          <w:rFonts w:hint="eastAsia" w:ascii="宋体" w:hAnsi="宋体"/>
          <w:b/>
          <w:sz w:val="52"/>
          <w:szCs w:val="52"/>
          <w:lang w:eastAsia="zh-CN"/>
        </w:rPr>
      </w:pPr>
      <w:r>
        <w:rPr>
          <w:rFonts w:ascii="宋体" w:hAnsi="宋体"/>
          <w:b/>
          <w:sz w:val="52"/>
          <w:szCs w:val="52"/>
          <w:lang w:eastAsia="zh-CN"/>
        </w:rPr>
        <w:t>需求文件</w:t>
      </w:r>
    </w:p>
    <w:p w14:paraId="518F0795">
      <w:pPr>
        <w:spacing w:line="360" w:lineRule="auto"/>
        <w:rPr>
          <w:lang w:eastAsia="zh-CN"/>
        </w:rPr>
      </w:pPr>
    </w:p>
    <w:p w14:paraId="78A1AC4F">
      <w:pPr>
        <w:spacing w:line="360" w:lineRule="auto"/>
        <w:rPr>
          <w:lang w:eastAsia="zh-CN"/>
        </w:rPr>
      </w:pPr>
    </w:p>
    <w:p w14:paraId="0B0D4C6C">
      <w:pPr>
        <w:spacing w:line="360" w:lineRule="auto"/>
        <w:rPr>
          <w:lang w:eastAsia="zh-CN"/>
        </w:rPr>
      </w:pPr>
    </w:p>
    <w:p w14:paraId="72684AA5">
      <w:pPr>
        <w:spacing w:line="360" w:lineRule="auto"/>
        <w:rPr>
          <w:lang w:eastAsia="zh-CN"/>
        </w:rPr>
      </w:pPr>
    </w:p>
    <w:p w14:paraId="1A6B433E">
      <w:pPr>
        <w:spacing w:line="360" w:lineRule="auto"/>
        <w:rPr>
          <w:lang w:eastAsia="zh-CN"/>
        </w:rPr>
      </w:pPr>
    </w:p>
    <w:p w14:paraId="22BD038B">
      <w:pPr>
        <w:spacing w:line="360" w:lineRule="auto"/>
        <w:rPr>
          <w:lang w:eastAsia="zh-CN"/>
        </w:rPr>
      </w:pPr>
    </w:p>
    <w:p w14:paraId="01728C54">
      <w:pPr>
        <w:spacing w:line="360" w:lineRule="auto"/>
        <w:rPr>
          <w:lang w:eastAsia="zh-CN"/>
        </w:rPr>
      </w:pPr>
    </w:p>
    <w:p w14:paraId="5BE63A0F">
      <w:pPr>
        <w:spacing w:line="360" w:lineRule="auto"/>
        <w:rPr>
          <w:lang w:eastAsia="zh-CN"/>
        </w:rPr>
      </w:pPr>
    </w:p>
    <w:p w14:paraId="15006A86">
      <w:pPr>
        <w:spacing w:line="360" w:lineRule="auto"/>
        <w:rPr>
          <w:lang w:eastAsia="zh-CN"/>
        </w:rPr>
      </w:pPr>
    </w:p>
    <w:p w14:paraId="35D62B7B">
      <w:pPr>
        <w:spacing w:line="360" w:lineRule="auto"/>
        <w:rPr>
          <w:lang w:eastAsia="zh-CN"/>
        </w:rPr>
      </w:pPr>
    </w:p>
    <w:p w14:paraId="0EA538EE">
      <w:pPr>
        <w:spacing w:line="360" w:lineRule="auto"/>
        <w:rPr>
          <w:lang w:eastAsia="zh-CN"/>
        </w:rPr>
      </w:pPr>
    </w:p>
    <w:p w14:paraId="6AD2932B">
      <w:pPr>
        <w:spacing w:line="360" w:lineRule="auto"/>
        <w:rPr>
          <w:lang w:eastAsia="zh-CN"/>
        </w:rPr>
      </w:pPr>
    </w:p>
    <w:p w14:paraId="554C7A81">
      <w:pPr>
        <w:spacing w:line="360" w:lineRule="auto"/>
        <w:rPr>
          <w:lang w:eastAsia="zh-CN"/>
        </w:rPr>
      </w:pPr>
    </w:p>
    <w:p w14:paraId="32FDDD3A">
      <w:pPr>
        <w:spacing w:line="360" w:lineRule="auto"/>
        <w:rPr>
          <w:lang w:eastAsia="zh-CN"/>
        </w:rPr>
      </w:pPr>
    </w:p>
    <w:p w14:paraId="7A14C4AE">
      <w:pPr>
        <w:spacing w:line="360" w:lineRule="auto"/>
        <w:rPr>
          <w:lang w:eastAsia="zh-CN"/>
        </w:rPr>
      </w:pPr>
    </w:p>
    <w:p w14:paraId="2E6D92EA">
      <w:pPr>
        <w:spacing w:line="360" w:lineRule="auto"/>
        <w:rPr>
          <w:lang w:eastAsia="zh-CN"/>
        </w:rPr>
      </w:pPr>
    </w:p>
    <w:p w14:paraId="5C403BBD">
      <w:pPr>
        <w:spacing w:line="360" w:lineRule="auto"/>
        <w:rPr>
          <w:lang w:eastAsia="zh-CN"/>
        </w:rPr>
      </w:pPr>
    </w:p>
    <w:p w14:paraId="780707B9">
      <w:pPr>
        <w:spacing w:line="360" w:lineRule="auto"/>
        <w:rPr>
          <w:lang w:eastAsia="zh-CN"/>
        </w:rPr>
      </w:pPr>
    </w:p>
    <w:p w14:paraId="2C57D318">
      <w:pPr>
        <w:spacing w:line="360" w:lineRule="auto"/>
        <w:rPr>
          <w:lang w:eastAsia="zh-CN"/>
        </w:rPr>
      </w:pPr>
    </w:p>
    <w:p w14:paraId="7722BFC9">
      <w:pPr>
        <w:spacing w:line="360" w:lineRule="auto"/>
      </w:pPr>
    </w:p>
    <w:p w14:paraId="77095923">
      <w:pPr>
        <w:spacing w:after="240" w:line="360" w:lineRule="auto"/>
        <w:jc w:val="center"/>
        <w:rPr>
          <w:rFonts w:hint="eastAsia" w:ascii="宋体" w:hAnsi="宋体"/>
          <w:b/>
          <w:sz w:val="36"/>
          <w:szCs w:val="36"/>
          <w:lang w:eastAsia="zh-CN"/>
        </w:rPr>
      </w:pPr>
    </w:p>
    <w:p w14:paraId="621B737F">
      <w:pPr>
        <w:pStyle w:val="20"/>
        <w:widowControl/>
        <w:ind w:firstLine="480"/>
        <w:sectPr>
          <w:pgSz w:w="11900" w:h="16840"/>
          <w:pgMar w:top="1440" w:right="1134" w:bottom="1440" w:left="1134" w:header="720" w:footer="720" w:gutter="0"/>
          <w:cols w:space="720" w:num="1"/>
          <w:docGrid w:linePitch="360" w:charSpace="0"/>
        </w:sectPr>
      </w:pPr>
    </w:p>
    <w:p w14:paraId="0AE7FAC5">
      <w:pPr>
        <w:pStyle w:val="3"/>
        <w:widowControl/>
        <w:numPr>
          <w:ilvl w:val="0"/>
          <w:numId w:val="7"/>
        </w:numPr>
        <w:rPr>
          <w:rFonts w:hint="eastAsia" w:ascii="黑体" w:hAnsi="黑体" w:cs="黑体"/>
        </w:rPr>
      </w:pPr>
      <w:r>
        <w:t>项目概况</w:t>
      </w:r>
    </w:p>
    <w:p w14:paraId="008C11A4">
      <w:pPr>
        <w:pStyle w:val="4"/>
        <w:widowControl/>
        <w:numPr>
          <w:ilvl w:val="0"/>
          <w:numId w:val="8"/>
        </w:numPr>
        <w:rPr>
          <w:rFonts w:hint="eastAsia" w:ascii="黑体" w:hAnsi="黑体" w:cs="黑体"/>
        </w:rPr>
      </w:pPr>
      <w:r>
        <w:t>项目背景</w:t>
      </w:r>
    </w:p>
    <w:p w14:paraId="188D6B4A">
      <w:pPr>
        <w:pStyle w:val="5"/>
        <w:widowControl/>
        <w:numPr>
          <w:ilvl w:val="0"/>
          <w:numId w:val="9"/>
        </w:numPr>
        <w:rPr>
          <w:rFonts w:hint="eastAsia" w:ascii="黑体" w:hAnsi="黑体" w:cs="黑体"/>
        </w:rPr>
      </w:pPr>
      <w:r>
        <w:t>项目背景与政策依据</w:t>
      </w:r>
    </w:p>
    <w:p w14:paraId="0459BDE5">
      <w:pPr>
        <w:pStyle w:val="20"/>
        <w:widowControl/>
        <w:ind w:firstLine="480"/>
      </w:pPr>
      <w:r>
        <w:t>青少年健康事关国家未来与亿万家庭福祉。近年来，党中央、国务院将青少年健康与校园餐提升至前所未有的战略高度。习近平总书记多次强调要“落实健康第一的教育理念”，明确“确保学生在学校学、住、吃都安全，让家长放心”，并在青海考察时确立校园餐“卫生、安全、可口、营养健康”的基本标准，为新时期校园餐工作指明方向。</w:t>
      </w:r>
    </w:p>
    <w:p w14:paraId="01D6A82A">
      <w:pPr>
        <w:pStyle w:val="20"/>
        <w:widowControl/>
        <w:ind w:firstLine="480"/>
      </w:pPr>
      <w:r>
        <w:t>为落实中央精神，教育部办公厅于2024年印发《中小学校园食品安全和膳食经费管理工作指引》，以食品安全“四个最严”要求为根本遵循，推动校园餐管理从“被动应对”向“主动预防”转变。</w:t>
      </w:r>
    </w:p>
    <w:p w14:paraId="22FE044D">
      <w:pPr>
        <w:pStyle w:val="20"/>
        <w:widowControl/>
        <w:ind w:firstLine="480"/>
      </w:pPr>
      <w:r>
        <w:rPr>
          <w:color w:val="333333"/>
        </w:rPr>
        <w:t>上海市教育委员会等四部门印发《关于加强和改进上海市中小学校园餐管理工作的若干措施》的通知</w:t>
      </w:r>
      <w:r>
        <w:t>，将校园餐纳入城市精细化管理，提出充分运用智能化手段，推动监管从传统“人防、物防”迈向“人防+技防+智防”三位一体的智慧监管新阶段。</w:t>
      </w:r>
    </w:p>
    <w:p w14:paraId="05F7C02E">
      <w:pPr>
        <w:pStyle w:val="20"/>
        <w:widowControl/>
        <w:ind w:firstLine="480"/>
      </w:pPr>
      <w:r>
        <w:t>上述一系列部署释放出明确信号：校园餐治理必须依靠数字化、智能化手段实现升级，建设统一的上海市学校校园餐信息管理子系统已成为政策必然选择。</w:t>
      </w:r>
    </w:p>
    <w:p w14:paraId="0C94480B">
      <w:pPr>
        <w:pStyle w:val="5"/>
        <w:widowControl/>
        <w:numPr>
          <w:ilvl w:val="0"/>
          <w:numId w:val="9"/>
        </w:numPr>
        <w:rPr>
          <w:rFonts w:hint="eastAsia" w:ascii="黑体" w:hAnsi="黑体" w:cs="黑体"/>
        </w:rPr>
      </w:pPr>
      <w:r>
        <w:t>现实痛点与需求分析</w:t>
      </w:r>
    </w:p>
    <w:p w14:paraId="2F9C86FB">
      <w:pPr>
        <w:pStyle w:val="6"/>
        <w:widowControl/>
        <w:numPr>
          <w:ilvl w:val="0"/>
          <w:numId w:val="10"/>
        </w:numPr>
      </w:pPr>
      <w:r>
        <w:t>监管链条长，责任追溯难。</w:t>
      </w:r>
    </w:p>
    <w:p w14:paraId="22F31720">
      <w:pPr>
        <w:pStyle w:val="20"/>
        <w:widowControl/>
        <w:ind w:firstLine="480"/>
      </w:pPr>
      <w:r>
        <w:t>校园餐从供应商资质审核、食材采购验收，到加工制作、餐具消毒、成品分餐，涉及环节多达数十个。传统模式下各环节多为纸质记录，信息不连贯，一旦出现食品安全问题，难以快速、精准定位责任源头与影响范围，追溯成本高、效率低。</w:t>
      </w:r>
    </w:p>
    <w:p w14:paraId="62CAF0D7">
      <w:pPr>
        <w:pStyle w:val="6"/>
        <w:widowControl/>
        <w:numPr>
          <w:ilvl w:val="0"/>
          <w:numId w:val="10"/>
        </w:numPr>
      </w:pPr>
      <w:r>
        <w:t>风险预警弱，被动应对多。</w:t>
      </w:r>
    </w:p>
    <w:p w14:paraId="1E8651DE">
      <w:pPr>
        <w:pStyle w:val="20"/>
        <w:widowControl/>
        <w:ind w:firstLine="480"/>
      </w:pPr>
      <w:r>
        <w:t>传统管理主要依赖人工巡检与事后追溯，对食材临期、健康证过期、餐具消毒不达标等潜在风险缺乏实时监控与智能预警能力，往往“出事才补救”，难以防患于未然。</w:t>
      </w:r>
    </w:p>
    <w:p w14:paraId="21FF8712">
      <w:pPr>
        <w:pStyle w:val="6"/>
        <w:widowControl/>
        <w:numPr>
          <w:ilvl w:val="0"/>
          <w:numId w:val="10"/>
        </w:numPr>
      </w:pPr>
      <w:r>
        <w:t>信息不透明，社会监督弱。</w:t>
      </w:r>
    </w:p>
    <w:p w14:paraId="62ED73B6">
      <w:pPr>
        <w:pStyle w:val="20"/>
        <w:widowControl/>
        <w:ind w:firstLine="480"/>
      </w:pPr>
      <w:r>
        <w:t>家长作为重要的监督主体，知情权和监督权难以有效落实，无法实时了解食材来源、加工过程、营养配比等核心信息，易因信息不对称产生焦虑与误解，影响家校互信。</w:t>
      </w:r>
    </w:p>
    <w:p w14:paraId="4A7CF378">
      <w:pPr>
        <w:pStyle w:val="6"/>
        <w:widowControl/>
        <w:numPr>
          <w:ilvl w:val="0"/>
          <w:numId w:val="10"/>
        </w:numPr>
      </w:pPr>
      <w:r>
        <w:t>参与主体多，协同效率低。</w:t>
      </w:r>
    </w:p>
    <w:p w14:paraId="36952114">
      <w:pPr>
        <w:pStyle w:val="20"/>
        <w:widowControl/>
        <w:ind w:firstLine="480"/>
      </w:pPr>
      <w:r>
        <w:t>学校、承包商、供应商、监管部门、家长等多方参与，信息沟通多依赖电话、微信等非正式渠道，易失真、易遗漏；跨部门协同监管多靠运动式检查，缺乏常态化、制度化的联动机制，管理成本高而效率低。</w:t>
      </w:r>
    </w:p>
    <w:p w14:paraId="1222D7FB">
      <w:pPr>
        <w:pStyle w:val="5"/>
        <w:widowControl/>
        <w:numPr>
          <w:ilvl w:val="0"/>
          <w:numId w:val="9"/>
        </w:numPr>
        <w:rPr>
          <w:rFonts w:hint="eastAsia" w:ascii="黑体" w:hAnsi="黑体" w:cs="黑体"/>
        </w:rPr>
      </w:pPr>
      <w:r>
        <w:t>项目必要性与项目建设方向</w:t>
      </w:r>
    </w:p>
    <w:p w14:paraId="5DC4783F">
      <w:pPr>
        <w:pStyle w:val="20"/>
        <w:widowControl/>
        <w:ind w:firstLine="480"/>
      </w:pPr>
      <w:r>
        <w:t>上述问题的共性根源，在于校园餐管理长期依赖“人海战术”和“运动式整治”，缺乏贯穿全链条的数字化支撑。单纯依靠增加人力、加强检查已难以为继，必须“向科技要效率、向数据要能力”。</w:t>
      </w:r>
    </w:p>
    <w:p w14:paraId="5545EE57">
      <w:pPr>
        <w:pStyle w:val="20"/>
        <w:widowControl/>
        <w:ind w:firstLine="480"/>
      </w:pPr>
      <w:r>
        <w:t>为此，本项目拟建设统一的学校校园餐信息管理子系统，以“全链条留痕、全过程预警、全方位公开、全主体协同”为目标，运用信息化手段打通供应商管理、食材溯源、加工监控、营养配餐、社会监督等关键环节，推动校园餐治理从“人防为主”向“人防+技防+智防”跃升。这既是贯彻国家规划、顺应时代发展的必然选择，也是破解管理难题、回应社会关切的迫切需要，更是提升城市治理能力、守护下一代健康成长的关键举措。</w:t>
      </w:r>
    </w:p>
    <w:p w14:paraId="76D55732">
      <w:pPr>
        <w:pStyle w:val="4"/>
        <w:widowControl/>
        <w:numPr>
          <w:ilvl w:val="0"/>
          <w:numId w:val="8"/>
        </w:numPr>
        <w:rPr>
          <w:rFonts w:hint="eastAsia" w:ascii="黑体" w:hAnsi="黑体" w:cs="黑体"/>
        </w:rPr>
      </w:pPr>
      <w:r>
        <w:t>建设目标</w:t>
      </w:r>
    </w:p>
    <w:p w14:paraId="717EFFF7">
      <w:pPr>
        <w:pStyle w:val="20"/>
        <w:widowControl/>
        <w:ind w:firstLine="480"/>
      </w:pPr>
      <w:r>
        <w:t>以深入贯彻落实国家及上海市关于校园餐的系列法律法规与政策要求，全面提升本市中小学校园餐管理现代化治理能力，构建全链条可溯、全流程可控、全社会共治的上海市学校校园餐信息管理子系统，实现从被动应对到主动预防、从经验管理到科学决策、从分散监管到社会共治的根本性转变为总体目标。</w:t>
      </w:r>
    </w:p>
    <w:p w14:paraId="302E88AA">
      <w:pPr>
        <w:pStyle w:val="5"/>
        <w:widowControl/>
        <w:numPr>
          <w:ilvl w:val="0"/>
          <w:numId w:val="11"/>
        </w:numPr>
        <w:rPr>
          <w:rFonts w:hint="eastAsia" w:ascii="黑体" w:hAnsi="黑体" w:cs="黑体"/>
        </w:rPr>
      </w:pPr>
      <w:r>
        <w:t>数据采集与追溯管理方面</w:t>
      </w:r>
    </w:p>
    <w:p w14:paraId="043DA4D3">
      <w:pPr>
        <w:pStyle w:val="20"/>
        <w:widowControl/>
        <w:ind w:firstLine="480"/>
      </w:pPr>
      <w:r>
        <w:t>打造覆盖校园餐“从农田到餐桌”全生命周期的数字化闭环管理体系。将食材采购、智能验收、信息公示等关键业务环节全部纳入平台管理，实现线上化操作与电子化记录；建立统一数据标准，打通学校、供应商、监管部门之间的数据链路，实现采购订单、验收凭证、检验报告等信息自动关联匹配，构建完整、不可篡改的电子化追溯链条；全面替代纸质表单，通过小程序端实现现场操作即时记录，保障数据的原始性、真实性与时效性。</w:t>
      </w:r>
    </w:p>
    <w:p w14:paraId="4BE8D592">
      <w:pPr>
        <w:pStyle w:val="5"/>
        <w:widowControl/>
        <w:numPr>
          <w:ilvl w:val="0"/>
          <w:numId w:val="11"/>
        </w:numPr>
        <w:rPr>
          <w:rFonts w:hint="eastAsia" w:ascii="黑体" w:hAnsi="黑体" w:cs="黑体"/>
        </w:rPr>
      </w:pPr>
      <w:r>
        <w:t>智能监测与风险预警方面</w:t>
      </w:r>
    </w:p>
    <w:p w14:paraId="3E560E3E">
      <w:pPr>
        <w:pStyle w:val="20"/>
        <w:widowControl/>
        <w:ind w:firstLine="480"/>
      </w:pPr>
      <w:r>
        <w:t>构建主动、灵敏、高效的风险识别与处置体系。部署风险预警引擎，对管理制度、经营占比、食材验收、健康证过期等48个风险观察点进行7×24小时不间断智能监控，预警推送时效≤1分钟、风险预警准确率≥90%；建立分级预警推送机制，确保紧急风险在1分钟内精准推送给相关责任人，形成从预警发现到处置反馈的线上闭环，将风险消除在萌芽状态。</w:t>
      </w:r>
    </w:p>
    <w:p w14:paraId="066D2FF4">
      <w:pPr>
        <w:pStyle w:val="5"/>
        <w:widowControl/>
        <w:numPr>
          <w:ilvl w:val="0"/>
          <w:numId w:val="11"/>
        </w:numPr>
        <w:rPr>
          <w:rFonts w:hint="eastAsia" w:ascii="黑体" w:hAnsi="黑体" w:cs="黑体"/>
        </w:rPr>
      </w:pPr>
      <w:r>
        <w:t>协同治理与社会服务方面</w:t>
      </w:r>
    </w:p>
    <w:p w14:paraId="25D5456F">
      <w:pPr>
        <w:pStyle w:val="20"/>
        <w:widowControl/>
        <w:ind w:firstLine="480"/>
      </w:pPr>
      <w:r>
        <w:rPr>
          <w:rStyle w:val="171"/>
          <w:szCs w:val="24"/>
        </w:rPr>
        <w:t>构建权责清晰、多方参与、透明高效的现代化治理格局。固化校（园）长负责制与“日管控、周排查、月调度”机制，明确校方、供应商企业方、膳食监督家委会等各方权责，确保责任到人，杜绝“以包代管”；打通教育局、市监局、卫健委、发改委等各方数据，实现跨部门信息共享与业务协同；通过小程序全面开放带量菜谱查看、</w:t>
      </w:r>
      <w:r>
        <w:t>验菜、成品菜、满意度评价、问题反馈、供应商查阅等功能，畅通膳食家委会参与渠道，构建社会共治的坚固防线。</w:t>
      </w:r>
    </w:p>
    <w:p w14:paraId="01D58A18">
      <w:pPr>
        <w:pStyle w:val="5"/>
        <w:widowControl/>
        <w:numPr>
          <w:ilvl w:val="0"/>
          <w:numId w:val="11"/>
        </w:numPr>
        <w:rPr>
          <w:rFonts w:hint="eastAsia" w:ascii="黑体" w:hAnsi="黑体" w:cs="黑体"/>
        </w:rPr>
      </w:pPr>
      <w:r>
        <w:t>科学决策支撑方面</w:t>
      </w:r>
    </w:p>
    <w:p w14:paraId="781F7B3B">
      <w:pPr>
        <w:pStyle w:val="20"/>
        <w:widowControl/>
        <w:ind w:firstLine="480"/>
      </w:pPr>
      <w:r>
        <w:t>汇聚校园餐全流程业务数据，建设覆盖餐前、餐中、餐后的全链条信息的数据主题库，实现数据统一汇聚、集中存储、规范治理与安全共享，形成高质量、可分析、可追溯的数据资产；构建采购验收、供应商、满意度、风险隐患等多维分析模型，支撑运行规律挖掘与管理薄弱环节精准识别；建设面向市、区、校三级的决策支持与可视化展示平台，分级呈现运行态势与关键指标，自动生成周期性运行分析及专题研判报告，为政策制定、资源配置、考核评价、督导检查提供可靠数据支撑；全面推动校园餐管理由经验判断向数据驱动的科学决策转变，为构建全链条可溯、全流程可控、全社会共治的现代化治理格局提供坚实支撑。</w:t>
      </w:r>
    </w:p>
    <w:p w14:paraId="3537AC72">
      <w:pPr>
        <w:pStyle w:val="20"/>
        <w:widowControl/>
        <w:ind w:firstLine="480"/>
      </w:pPr>
      <w:r>
        <w:br w:type="page"/>
      </w:r>
    </w:p>
    <w:p w14:paraId="6AC76F55">
      <w:pPr>
        <w:pStyle w:val="3"/>
        <w:widowControl/>
        <w:numPr>
          <w:ilvl w:val="0"/>
          <w:numId w:val="7"/>
        </w:numPr>
        <w:rPr>
          <w:rFonts w:hint="eastAsia" w:ascii="黑体" w:hAnsi="黑体" w:cs="黑体"/>
        </w:rPr>
      </w:pPr>
      <w:r>
        <w:t>技术要求</w:t>
      </w:r>
    </w:p>
    <w:p w14:paraId="00070C30">
      <w:pPr>
        <w:pStyle w:val="4"/>
        <w:widowControl/>
        <w:numPr>
          <w:ilvl w:val="0"/>
          <w:numId w:val="12"/>
        </w:numPr>
        <w:rPr>
          <w:rFonts w:hint="eastAsia" w:ascii="黑体" w:hAnsi="黑体" w:cs="黑体"/>
        </w:rPr>
      </w:pPr>
      <w:r>
        <w:t>平台总体要求</w:t>
      </w:r>
    </w:p>
    <w:p w14:paraId="296B4E1A">
      <w:pPr>
        <w:pStyle w:val="5"/>
        <w:widowControl/>
        <w:numPr>
          <w:ilvl w:val="0"/>
          <w:numId w:val="13"/>
        </w:numPr>
        <w:rPr>
          <w:rFonts w:hint="eastAsia" w:ascii="黑体" w:hAnsi="黑体" w:cs="黑体"/>
        </w:rPr>
      </w:pPr>
      <w:r>
        <w:t>先进性要求</w:t>
      </w:r>
    </w:p>
    <w:p w14:paraId="14A00BEC">
      <w:pPr>
        <w:pStyle w:val="20"/>
        <w:widowControl/>
        <w:ind w:firstLine="480"/>
      </w:pPr>
      <w:r>
        <w:t>系统基于上海市政务云环境进行部署，适配国产操作系统、国产中间件、国产数据库，充分利用政务云MaaS中台大模型能力，实现智能治理知识库、智能问数、报告自动生成等AI能力业务落地。整体技术选型兼顾成熟度与前沿性，采用容器化部署、服务拆分、分布式存储等主流技术，支撑多级多用户访问；平台需按照网络安全等级保护2.0三级、商用密码应用合规相关标准开展设计建设，结合项目业务场景实现48个风险观察点7×24小时智能风险预警，预警准确率不低于90%；技术架构支持业务模块解耦，能够充分承接校园餐全链条海量业务数据，支撑大数据统计分析、智能识别研判等高级业务能力，技术方案符合上海市政务信息化项目建设技术规范，保障系统在项目生命周期内技术架构支持模块热插拔、容器横向扩容，单模块升级不中断主链路，可满足未来3 - 5年业务发展需要。</w:t>
      </w:r>
    </w:p>
    <w:p w14:paraId="5AF620FE">
      <w:pPr>
        <w:pStyle w:val="5"/>
        <w:widowControl/>
        <w:numPr>
          <w:ilvl w:val="0"/>
          <w:numId w:val="13"/>
        </w:numPr>
        <w:rPr>
          <w:rFonts w:hint="eastAsia" w:ascii="黑体" w:hAnsi="黑体" w:cs="黑体"/>
        </w:rPr>
      </w:pPr>
      <w:r>
        <w:t>兼容性要求</w:t>
      </w:r>
    </w:p>
    <w:p w14:paraId="2F5C9C52">
      <w:pPr>
        <w:pStyle w:val="20"/>
        <w:widowControl/>
        <w:ind w:firstLine="480"/>
      </w:pPr>
      <w:r>
        <w:t>运行环境兼容：系统服务端需完整适配政务云主机环境，兼容国产服务器操作系统、国产中间件、国产关系型数据库；前端 Web 端兼容主流国产浏览器、Chrome、Edge 等；小程序端兼容微信小程序运行环境，适配安卓、iOS 主流移动端操作系统，不同分辨率手机、平板设备均可正常访问操作。</w:t>
      </w:r>
    </w:p>
    <w:p w14:paraId="0EE5CCC9">
      <w:pPr>
        <w:pStyle w:val="20"/>
        <w:widowControl/>
        <w:ind w:firstLine="480"/>
      </w:pPr>
      <w:r>
        <w:t>身份体系兼容：系统需实现科艺中心账号、随申办账号双登录体系兼容，两套账号支持绑定互通，可独立登录且互不冲突。用户无论通过哪种账号登录系统，均可共享统一的权限体系与业务数据，实现账号一体化管理，适配全市不同层级用户的登录使用需求。</w:t>
      </w:r>
    </w:p>
    <w:p w14:paraId="5161CD36">
      <w:pPr>
        <w:pStyle w:val="20"/>
        <w:widowControl/>
        <w:ind w:firstLine="480"/>
      </w:pPr>
      <w:r>
        <w:t>数据对接与容量兼容：系统须具备超大容量数据承载与多维度数据对接能力，可全面适配全市业务体量规模，支持全市三千多家学校、四千多家校区、四千多家食堂、一千多家供应商、五万余名用户在线使用，系统运行稳定无卡顿、业务流转无延迟。</w:t>
      </w:r>
    </w:p>
    <w:p w14:paraId="30EEC7A6">
      <w:pPr>
        <w:pStyle w:val="20"/>
        <w:widowControl/>
        <w:ind w:firstLine="480"/>
      </w:pPr>
      <w:r>
        <w:t>数据对接方面，支持对接市大数据中心、科艺中心数据交换系统、微信开放平台、计量采集终端等各类外部第三方接口，严格兼容政务平台标准接口协议，同时可为各区业务系统提供标准化数据推送接口，实现上下级、第三方系统数据互联互通。</w:t>
      </w:r>
    </w:p>
    <w:p w14:paraId="195AD957">
      <w:pPr>
        <w:pStyle w:val="20"/>
        <w:widowControl/>
        <w:ind w:firstLine="480"/>
      </w:pPr>
      <w:r>
        <w:t>数据存储迭代方面，具备长效数据沉淀与复用能力，支持后续新增业务数据持续沉淀、归档存储，可支持随时调取、回溯、分析历年历史数据，保障业务数据全生命周期可管、可用、可追溯。</w:t>
      </w:r>
    </w:p>
    <w:p w14:paraId="6239B770">
      <w:pPr>
        <w:pStyle w:val="20"/>
        <w:widowControl/>
        <w:ind w:firstLine="480"/>
      </w:pPr>
      <w:r>
        <w:t>文件格式兼容：系统支持 Word、PDF、图片、Excel 等常见附件格式上传、预览下载，兼容历史系统导出归档文件解析读取。</w:t>
      </w:r>
    </w:p>
    <w:p w14:paraId="2F97F877">
      <w:pPr>
        <w:pStyle w:val="20"/>
        <w:widowControl/>
        <w:ind w:firstLine="480"/>
      </w:pPr>
      <w:r>
        <w:t>多级监管与可视化适配：系统需支持市级多层级监管体系，搭建分级分权的权限管理机制，针对市级管理员、区级管理员、学校领导、普通用户等不同层级、不同角色用户，配置差异化操作权限与专属数据权限，并匹配对应层级的驾驶舱可视化大屏，实现分层监管、精准管控。</w:t>
      </w:r>
    </w:p>
    <w:p w14:paraId="11A57818">
      <w:pPr>
        <w:pStyle w:val="20"/>
        <w:widowControl/>
        <w:ind w:firstLine="480"/>
      </w:pPr>
      <w:r>
        <w:t>系统需全面适配多级监管场景，涵盖市级全局监管、区级属地监管、校（园）级自主管理的需求，同时打通移动端可视化能力，支持用户通过小程序随时随地查阅本校、本区、本市的校园餐业务动态、数据统计、风险预警等信息，实现掌上监管、随时查阅、动态把控。</w:t>
      </w:r>
    </w:p>
    <w:p w14:paraId="5B3F2A0A">
      <w:pPr>
        <w:pStyle w:val="5"/>
        <w:widowControl/>
        <w:numPr>
          <w:ilvl w:val="0"/>
          <w:numId w:val="13"/>
        </w:numPr>
        <w:rPr>
          <w:rFonts w:hint="eastAsia" w:ascii="黑体" w:hAnsi="黑体" w:cs="黑体"/>
        </w:rPr>
      </w:pPr>
      <w:r>
        <w:t>扩展性要求</w:t>
      </w:r>
    </w:p>
    <w:p w14:paraId="213CA01F">
      <w:pPr>
        <w:pStyle w:val="20"/>
        <w:widowControl/>
        <w:ind w:firstLine="480"/>
      </w:pPr>
      <w:r>
        <w:t>平台采用模块化松耦合架构设计，业务功能按模块拆分，各业务模块之间低耦合、高内聚，支持业务模块独立迭代、新增、删减，无需大规模改造整体架构。</w:t>
      </w:r>
    </w:p>
    <w:p w14:paraId="2DD77A9D">
      <w:pPr>
        <w:pStyle w:val="20"/>
        <w:widowControl/>
        <w:ind w:firstLine="480"/>
      </w:pPr>
      <w:r>
        <w:t>业务功能扩展：预留业务扩展接口，支持后续新增监管维度、新增数据观测点、新增报表模板、扩展知识库规则、新增业务流程，可快速迭代上线新业务；支持风险预警规则、核查规则可配置化，无需修改底层代码即可调整业务规则。</w:t>
      </w:r>
    </w:p>
    <w:p w14:paraId="3E879919">
      <w:pPr>
        <w:pStyle w:val="20"/>
        <w:widowControl/>
        <w:ind w:firstLine="480"/>
      </w:pPr>
      <w:r>
        <w:t>性能容量扩展：基于政务云容器化部署，支持计算、存储资源横向弹性扩容，能够支撑学校数量、供应商数量、用户并发量、业务数据量持续增长；数据库支持分库分表扩展，可承载每年不少于200GB的数据治理增量规模。</w:t>
      </w:r>
    </w:p>
    <w:p w14:paraId="73093988">
      <w:pPr>
        <w:pStyle w:val="20"/>
        <w:widowControl/>
        <w:ind w:firstLine="480"/>
      </w:pPr>
      <w:r>
        <w:t>接口扩展：统一对外接口网关设计，接口支持版本管理，可快速新增第三方系统对接接口，支持按需向各区推送业务数据，可扩展对接更多市级政务业务平台。</w:t>
      </w:r>
    </w:p>
    <w:p w14:paraId="43F1145C">
      <w:pPr>
        <w:pStyle w:val="20"/>
        <w:widowControl/>
        <w:ind w:firstLine="480"/>
      </w:pPr>
      <w:r>
        <w:t>终端扩展：现有Web端、小程序基础上，架构预留扩展能力，后续可快速适配其他政务终端、政务APP等访问入口。</w:t>
      </w:r>
    </w:p>
    <w:p w14:paraId="12A6F44D">
      <w:pPr>
        <w:pStyle w:val="5"/>
        <w:widowControl/>
        <w:numPr>
          <w:ilvl w:val="0"/>
          <w:numId w:val="13"/>
        </w:numPr>
        <w:rPr>
          <w:rFonts w:hint="eastAsia" w:ascii="黑体" w:hAnsi="黑体" w:cs="黑体"/>
        </w:rPr>
      </w:pPr>
      <w:r>
        <w:t>易用性要求</w:t>
      </w:r>
    </w:p>
    <w:p w14:paraId="29F6F083">
      <w:pPr>
        <w:pStyle w:val="20"/>
        <w:widowControl/>
        <w:ind w:firstLine="480"/>
      </w:pPr>
      <w:r>
        <w:t>界面交互：Web管理端、小程序端界面布局简洁清晰，操作流程贴合校园餐业务实际工作习惯，按照市级、区级、校级、供应商、家长五类不同角色做差异化页面与功能裁剪，只展示当前角色有权限操作的菜单与功能，减少无效信息干扰。</w:t>
      </w:r>
    </w:p>
    <w:p w14:paraId="01759075">
      <w:pPr>
        <w:pStyle w:val="20"/>
        <w:widowControl/>
        <w:ind w:firstLine="480"/>
      </w:pPr>
      <w:r>
        <w:t>操作效率：常规业务模块页面响应时间≤3s，关键业务模块页面响应时间≤2s；表单提供下拉选择、模板导入导出、一键调用菜谱、批量操作等功能，减少人工录入工作量；移动端小程序适配现场作业场景，支持拍照上传、扫码溯源、任务待办提醒，满足验收、自查、晨检等现场快速填报需求。</w:t>
      </w:r>
    </w:p>
    <w:p w14:paraId="16339B31">
      <w:pPr>
        <w:pStyle w:val="20"/>
        <w:widowControl/>
        <w:ind w:firstLine="480"/>
      </w:pPr>
      <w:r>
        <w:t>提示与辅助：系统具备完善的操作提示、校验提示、错误提示，表单字段合法性实时校验；平台内置常见问题知识库，提供操作指引；通知公告、待办任务、风险预警统一聚合展示。</w:t>
      </w:r>
    </w:p>
    <w:p w14:paraId="54D5739A">
      <w:pPr>
        <w:pStyle w:val="20"/>
        <w:widowControl/>
        <w:ind w:firstLine="480"/>
      </w:pPr>
      <w:r>
        <w:t>可学习性：配套完整操作手册、培训视频，业务流程可视化，降低不同层级用户学习成本；兼顾市区级管理人员、学校领导小组及操作人员、供应商、家长不同计算机操作水平，降低使用门槛。</w:t>
      </w:r>
    </w:p>
    <w:p w14:paraId="1BC0C742">
      <w:pPr>
        <w:pStyle w:val="5"/>
        <w:widowControl/>
        <w:numPr>
          <w:ilvl w:val="0"/>
          <w:numId w:val="13"/>
        </w:numPr>
        <w:rPr>
          <w:rFonts w:hint="eastAsia" w:ascii="黑体" w:hAnsi="黑体" w:cs="黑体"/>
        </w:rPr>
      </w:pPr>
      <w:r>
        <w:t>安全性要求</w:t>
      </w:r>
    </w:p>
    <w:p w14:paraId="4DA8E4C6">
      <w:pPr>
        <w:pStyle w:val="20"/>
        <w:widowControl/>
        <w:ind w:firstLine="480"/>
      </w:pPr>
      <w:r>
        <w:t>系统严格遵循GB/T 39786-2021《信息安全技术 信息系统密码应用基本要求》第三级信息系统要求，落实商用密码应用各项规范要求，构建全维度安全防护体系。</w:t>
      </w:r>
    </w:p>
    <w:p w14:paraId="635D69CD">
      <w:pPr>
        <w:pStyle w:val="20"/>
        <w:widowControl/>
        <w:ind w:firstLine="480"/>
      </w:pPr>
      <w:r>
        <w:t>身份安全：多渠道登录身份鉴别，支持账号密码、统一身份认证、随申办实名认证登录；关键业务操作增加二次校验，区分不同角色精细化权限控制，实现最小权限原则，账号操作全程留痕审计。</w:t>
      </w:r>
    </w:p>
    <w:p w14:paraId="11B0D091">
      <w:pPr>
        <w:pStyle w:val="20"/>
        <w:widowControl/>
        <w:ind w:firstLine="480"/>
      </w:pPr>
      <w:r>
        <w:t>数据安全：敏感个人信息、业务关键数据采用商用密码算法实现传输加密、存储加密；业务关键记录具备防篡改能力，保障食材验收、溯源、自查等业务记录真实不可篡改；落实数据治理、数据脱敏，对证件号、手机号等隐私数据做脱敏展示；具备完善备份恢复策略，定期全量+增量备份，数据处理全过程留存痕迹，可回溯原始数据。</w:t>
      </w:r>
    </w:p>
    <w:p w14:paraId="473DFE27">
      <w:pPr>
        <w:pStyle w:val="20"/>
        <w:widowControl/>
        <w:ind w:firstLine="480"/>
      </w:pPr>
      <w:r>
        <w:t>访问与日志安全：完整记录用户登录、业务增删改查、接口调用、权限变更等全量审计日志，日志留存满足政务安全规范；具备防SQL注入、XSS跨站、越权访问等Web安全防护能力；接口调用做鉴权、限流、防篡改校验。</w:t>
      </w:r>
    </w:p>
    <w:p w14:paraId="304BEFD7">
      <w:pPr>
        <w:pStyle w:val="20"/>
        <w:widowControl/>
        <w:ind w:firstLine="480"/>
      </w:pPr>
      <w:r>
        <w:t>密码应用安全：部署商用密码应用模块，使用国密算法完成身份鉴别、数据加密、完整性校验，对接政务云密码服务体系，密钥管理符合国密管理规范。</w:t>
      </w:r>
    </w:p>
    <w:p w14:paraId="6C3CE47E">
      <w:pPr>
        <w:pStyle w:val="20"/>
        <w:widowControl/>
        <w:ind w:firstLine="480"/>
        <w:rPr>
          <w:highlight w:val="yellow"/>
        </w:rPr>
      </w:pPr>
      <w:r>
        <w:t>运维安全：系统具备漏洞监测、风险发现能力，服务期内及时完成安全漏洞修复；建立故障应急处置机制，防止数据泄露、丢失、系统被非法入侵；满足政务系统安全运维管理相关制度要求。</w:t>
      </w:r>
    </w:p>
    <w:p w14:paraId="7716AA5C">
      <w:pPr>
        <w:pStyle w:val="4"/>
        <w:widowControl/>
        <w:numPr>
          <w:ilvl w:val="0"/>
          <w:numId w:val="12"/>
        </w:numPr>
        <w:rPr>
          <w:rFonts w:hint="eastAsia" w:ascii="黑体" w:hAnsi="黑体" w:cs="黑体"/>
        </w:rPr>
      </w:pPr>
      <w:r>
        <w:t>平台建设内容</w:t>
      </w:r>
    </w:p>
    <w:p w14:paraId="3B927D8A">
      <w:pPr>
        <w:pStyle w:val="20"/>
        <w:widowControl/>
        <w:ind w:firstLine="480"/>
      </w:pPr>
      <w:r>
        <w:t>整体建设内容包含以下模块：</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827"/>
        <w:gridCol w:w="778"/>
      </w:tblGrid>
      <w:tr w14:paraId="2259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shd w:val="clear" w:color="auto" w:fill="F1F1F1" w:themeFill="background1" w:themeFillShade="F2"/>
            <w:vAlign w:val="center"/>
          </w:tcPr>
          <w:p w14:paraId="7DE6E32E">
            <w:pPr>
              <w:spacing w:line="500" w:lineRule="exact"/>
              <w:jc w:val="center"/>
              <w:rPr>
                <w:rFonts w:hint="eastAsia" w:ascii="宋体" w:hAnsi="宋体"/>
                <w:b/>
                <w:bCs/>
                <w:szCs w:val="21"/>
              </w:rPr>
            </w:pPr>
            <w:r>
              <w:rPr>
                <w:rFonts w:hint="eastAsia"/>
                <w:b/>
                <w:bCs/>
                <w:szCs w:val="21"/>
              </w:rPr>
              <w:t>序号</w:t>
            </w:r>
          </w:p>
        </w:tc>
        <w:tc>
          <w:tcPr>
            <w:tcW w:w="3827" w:type="dxa"/>
            <w:shd w:val="clear" w:color="auto" w:fill="F1F1F1" w:themeFill="background1" w:themeFillShade="F2"/>
            <w:vAlign w:val="center"/>
          </w:tcPr>
          <w:p w14:paraId="1DA669ED">
            <w:pPr>
              <w:spacing w:line="500" w:lineRule="exact"/>
              <w:jc w:val="center"/>
              <w:rPr>
                <w:rFonts w:hint="eastAsia" w:ascii="宋体" w:hAnsi="宋体"/>
                <w:b/>
                <w:bCs/>
                <w:szCs w:val="21"/>
                <w:lang w:eastAsia="zh-CN"/>
              </w:rPr>
            </w:pPr>
            <w:r>
              <w:rPr>
                <w:rFonts w:hint="eastAsia"/>
                <w:b/>
                <w:bCs/>
                <w:szCs w:val="21"/>
                <w:lang w:eastAsia="zh-CN"/>
              </w:rPr>
              <w:t>模块名称</w:t>
            </w:r>
          </w:p>
        </w:tc>
        <w:tc>
          <w:tcPr>
            <w:tcW w:w="778" w:type="dxa"/>
            <w:shd w:val="clear" w:color="auto" w:fill="F1F1F1" w:themeFill="background1" w:themeFillShade="F2"/>
            <w:vAlign w:val="center"/>
          </w:tcPr>
          <w:p w14:paraId="143A79A6">
            <w:pPr>
              <w:spacing w:line="500" w:lineRule="exact"/>
              <w:jc w:val="center"/>
              <w:rPr>
                <w:rFonts w:hint="eastAsia" w:ascii="宋体" w:hAnsi="宋体"/>
                <w:b/>
                <w:bCs/>
                <w:szCs w:val="21"/>
              </w:rPr>
            </w:pPr>
            <w:r>
              <w:rPr>
                <w:rFonts w:hint="eastAsia"/>
                <w:b/>
                <w:bCs/>
                <w:szCs w:val="21"/>
              </w:rPr>
              <w:t>数量</w:t>
            </w:r>
          </w:p>
        </w:tc>
      </w:tr>
      <w:tr w14:paraId="6D4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616540DE">
            <w:pPr>
              <w:spacing w:line="500" w:lineRule="exact"/>
              <w:jc w:val="center"/>
              <w:rPr>
                <w:rFonts w:hint="eastAsia" w:ascii="宋体" w:hAnsi="宋体"/>
                <w:szCs w:val="21"/>
              </w:rPr>
            </w:pPr>
            <w:r>
              <w:rPr>
                <w:rFonts w:hint="eastAsia"/>
                <w:szCs w:val="21"/>
              </w:rPr>
              <w:t>1</w:t>
            </w:r>
          </w:p>
        </w:tc>
        <w:tc>
          <w:tcPr>
            <w:tcW w:w="3827" w:type="dxa"/>
            <w:vAlign w:val="center"/>
          </w:tcPr>
          <w:p w14:paraId="04767126">
            <w:pPr>
              <w:spacing w:line="500" w:lineRule="exact"/>
              <w:jc w:val="center"/>
              <w:rPr>
                <w:rFonts w:hint="eastAsia" w:ascii="宋体" w:hAnsi="宋体"/>
                <w:szCs w:val="21"/>
              </w:rPr>
            </w:pPr>
            <w:r>
              <w:rPr>
                <w:szCs w:val="21"/>
                <w:lang w:eastAsia="zh-CN"/>
              </w:rPr>
              <w:t>首页</w:t>
            </w:r>
          </w:p>
        </w:tc>
        <w:tc>
          <w:tcPr>
            <w:tcW w:w="778" w:type="dxa"/>
            <w:vAlign w:val="center"/>
          </w:tcPr>
          <w:p w14:paraId="4EDF72E1">
            <w:pPr>
              <w:spacing w:line="500" w:lineRule="exact"/>
              <w:jc w:val="center"/>
              <w:rPr>
                <w:rFonts w:hint="eastAsia" w:ascii="宋体" w:hAnsi="宋体"/>
                <w:szCs w:val="21"/>
                <w:lang w:eastAsia="zh-CN"/>
              </w:rPr>
            </w:pPr>
            <w:r>
              <w:rPr>
                <w:rFonts w:hint="eastAsia"/>
                <w:szCs w:val="21"/>
              </w:rPr>
              <w:t>1</w:t>
            </w:r>
            <w:r>
              <w:rPr>
                <w:rFonts w:hint="eastAsia"/>
                <w:szCs w:val="21"/>
                <w:lang w:eastAsia="zh-CN"/>
              </w:rPr>
              <w:t>项</w:t>
            </w:r>
          </w:p>
        </w:tc>
      </w:tr>
      <w:tr w14:paraId="208E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588FBE87">
            <w:pPr>
              <w:spacing w:line="500" w:lineRule="exact"/>
              <w:jc w:val="center"/>
              <w:rPr>
                <w:rFonts w:hint="eastAsia" w:ascii="宋体" w:hAnsi="宋体"/>
                <w:szCs w:val="21"/>
              </w:rPr>
            </w:pPr>
            <w:r>
              <w:rPr>
                <w:rFonts w:hint="eastAsia"/>
                <w:szCs w:val="21"/>
              </w:rPr>
              <w:t>2</w:t>
            </w:r>
          </w:p>
        </w:tc>
        <w:tc>
          <w:tcPr>
            <w:tcW w:w="3827" w:type="dxa"/>
            <w:vAlign w:val="center"/>
          </w:tcPr>
          <w:p w14:paraId="1D8D38B5">
            <w:pPr>
              <w:spacing w:line="500" w:lineRule="exact"/>
              <w:jc w:val="center"/>
              <w:rPr>
                <w:rFonts w:hint="eastAsia" w:ascii="宋体" w:hAnsi="宋体"/>
                <w:szCs w:val="21"/>
              </w:rPr>
            </w:pPr>
            <w:r>
              <w:rPr>
                <w:szCs w:val="21"/>
                <w:lang w:eastAsia="zh-CN"/>
              </w:rPr>
              <w:t>基础信息</w:t>
            </w:r>
          </w:p>
        </w:tc>
        <w:tc>
          <w:tcPr>
            <w:tcW w:w="778" w:type="dxa"/>
            <w:vAlign w:val="center"/>
          </w:tcPr>
          <w:p w14:paraId="4DC52E4D">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1E1F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07DA02B8">
            <w:pPr>
              <w:spacing w:line="500" w:lineRule="exact"/>
              <w:jc w:val="center"/>
              <w:rPr>
                <w:rFonts w:hint="eastAsia" w:ascii="宋体" w:hAnsi="宋体"/>
                <w:szCs w:val="21"/>
              </w:rPr>
            </w:pPr>
            <w:r>
              <w:rPr>
                <w:rFonts w:hint="eastAsia"/>
                <w:szCs w:val="21"/>
              </w:rPr>
              <w:t>3</w:t>
            </w:r>
          </w:p>
        </w:tc>
        <w:tc>
          <w:tcPr>
            <w:tcW w:w="3827" w:type="dxa"/>
            <w:vAlign w:val="center"/>
          </w:tcPr>
          <w:p w14:paraId="51A70411">
            <w:pPr>
              <w:spacing w:line="500" w:lineRule="exact"/>
              <w:jc w:val="center"/>
              <w:rPr>
                <w:rFonts w:hint="eastAsia" w:ascii="宋体" w:hAnsi="宋体"/>
                <w:szCs w:val="21"/>
              </w:rPr>
            </w:pPr>
            <w:r>
              <w:rPr>
                <w:szCs w:val="21"/>
                <w:lang w:eastAsia="zh-CN"/>
              </w:rPr>
              <w:t>业务工作</w:t>
            </w:r>
          </w:p>
        </w:tc>
        <w:tc>
          <w:tcPr>
            <w:tcW w:w="778" w:type="dxa"/>
            <w:vAlign w:val="center"/>
          </w:tcPr>
          <w:p w14:paraId="0F53D4FF">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620C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272DF758">
            <w:pPr>
              <w:spacing w:line="500" w:lineRule="exact"/>
              <w:jc w:val="center"/>
              <w:rPr>
                <w:rFonts w:hint="eastAsia" w:ascii="宋体" w:hAnsi="宋体"/>
                <w:szCs w:val="21"/>
              </w:rPr>
            </w:pPr>
            <w:r>
              <w:rPr>
                <w:rFonts w:hint="eastAsia"/>
                <w:szCs w:val="21"/>
              </w:rPr>
              <w:t>4</w:t>
            </w:r>
          </w:p>
        </w:tc>
        <w:tc>
          <w:tcPr>
            <w:tcW w:w="3827" w:type="dxa"/>
            <w:vAlign w:val="center"/>
          </w:tcPr>
          <w:p w14:paraId="2976A018">
            <w:pPr>
              <w:spacing w:line="500" w:lineRule="exact"/>
              <w:jc w:val="center"/>
              <w:rPr>
                <w:rFonts w:hint="eastAsia" w:ascii="宋体" w:hAnsi="宋体"/>
                <w:szCs w:val="21"/>
              </w:rPr>
            </w:pPr>
            <w:r>
              <w:rPr>
                <w:szCs w:val="21"/>
                <w:lang w:eastAsia="zh-CN"/>
              </w:rPr>
              <w:t>多元监管</w:t>
            </w:r>
          </w:p>
        </w:tc>
        <w:tc>
          <w:tcPr>
            <w:tcW w:w="778" w:type="dxa"/>
            <w:vAlign w:val="center"/>
          </w:tcPr>
          <w:p w14:paraId="46E88A3E">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5627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09CC484B">
            <w:pPr>
              <w:spacing w:line="500" w:lineRule="exact"/>
              <w:jc w:val="center"/>
              <w:rPr>
                <w:rFonts w:hint="eastAsia" w:ascii="宋体" w:hAnsi="宋体"/>
                <w:szCs w:val="21"/>
              </w:rPr>
            </w:pPr>
            <w:r>
              <w:rPr>
                <w:rFonts w:hint="eastAsia"/>
                <w:szCs w:val="21"/>
              </w:rPr>
              <w:t>5</w:t>
            </w:r>
          </w:p>
        </w:tc>
        <w:tc>
          <w:tcPr>
            <w:tcW w:w="3827" w:type="dxa"/>
            <w:vAlign w:val="center"/>
          </w:tcPr>
          <w:p w14:paraId="7CFE09E2">
            <w:pPr>
              <w:spacing w:line="500" w:lineRule="exact"/>
              <w:jc w:val="center"/>
              <w:rPr>
                <w:rFonts w:hint="eastAsia" w:ascii="宋体" w:hAnsi="宋体"/>
                <w:szCs w:val="21"/>
              </w:rPr>
            </w:pPr>
            <w:r>
              <w:rPr>
                <w:szCs w:val="21"/>
                <w:lang w:eastAsia="zh-CN"/>
              </w:rPr>
              <w:t>数据赋能</w:t>
            </w:r>
          </w:p>
        </w:tc>
        <w:tc>
          <w:tcPr>
            <w:tcW w:w="778" w:type="dxa"/>
            <w:vAlign w:val="center"/>
          </w:tcPr>
          <w:p w14:paraId="38CE1C7C">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66CA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49E93711">
            <w:pPr>
              <w:spacing w:line="500" w:lineRule="exact"/>
              <w:jc w:val="center"/>
              <w:rPr>
                <w:rFonts w:hint="eastAsia" w:ascii="宋体" w:hAnsi="宋体"/>
                <w:szCs w:val="21"/>
              </w:rPr>
            </w:pPr>
            <w:r>
              <w:rPr>
                <w:rFonts w:hint="eastAsia"/>
                <w:szCs w:val="21"/>
              </w:rPr>
              <w:t>6</w:t>
            </w:r>
          </w:p>
        </w:tc>
        <w:tc>
          <w:tcPr>
            <w:tcW w:w="3827" w:type="dxa"/>
            <w:vAlign w:val="center"/>
          </w:tcPr>
          <w:p w14:paraId="12F259AD">
            <w:pPr>
              <w:spacing w:line="500" w:lineRule="exact"/>
              <w:jc w:val="center"/>
              <w:rPr>
                <w:rFonts w:hint="eastAsia" w:ascii="宋体" w:hAnsi="宋体"/>
                <w:szCs w:val="21"/>
              </w:rPr>
            </w:pPr>
            <w:r>
              <w:rPr>
                <w:szCs w:val="21"/>
                <w:lang w:eastAsia="zh-CN"/>
              </w:rPr>
              <w:t>信息公开</w:t>
            </w:r>
          </w:p>
        </w:tc>
        <w:tc>
          <w:tcPr>
            <w:tcW w:w="778" w:type="dxa"/>
            <w:vAlign w:val="center"/>
          </w:tcPr>
          <w:p w14:paraId="7666F4CC">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70C6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73C98CE1">
            <w:pPr>
              <w:spacing w:line="500" w:lineRule="exact"/>
              <w:jc w:val="center"/>
              <w:rPr>
                <w:rFonts w:hint="eastAsia" w:ascii="宋体" w:hAnsi="宋体"/>
                <w:szCs w:val="21"/>
              </w:rPr>
            </w:pPr>
            <w:r>
              <w:rPr>
                <w:rFonts w:hint="eastAsia"/>
                <w:szCs w:val="21"/>
              </w:rPr>
              <w:t>7</w:t>
            </w:r>
          </w:p>
        </w:tc>
        <w:tc>
          <w:tcPr>
            <w:tcW w:w="3827" w:type="dxa"/>
            <w:vAlign w:val="center"/>
          </w:tcPr>
          <w:p w14:paraId="162E8CAD">
            <w:pPr>
              <w:spacing w:line="500" w:lineRule="exact"/>
              <w:jc w:val="center"/>
              <w:rPr>
                <w:rFonts w:hint="eastAsia" w:ascii="宋体" w:hAnsi="宋体"/>
                <w:szCs w:val="21"/>
              </w:rPr>
            </w:pPr>
            <w:r>
              <w:rPr>
                <w:szCs w:val="21"/>
                <w:lang w:eastAsia="zh-CN"/>
              </w:rPr>
              <w:t>智能分析</w:t>
            </w:r>
          </w:p>
        </w:tc>
        <w:tc>
          <w:tcPr>
            <w:tcW w:w="778" w:type="dxa"/>
            <w:vAlign w:val="center"/>
          </w:tcPr>
          <w:p w14:paraId="12D782EC">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72FE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00EFD76D">
            <w:pPr>
              <w:spacing w:line="500" w:lineRule="exact"/>
              <w:jc w:val="center"/>
              <w:rPr>
                <w:rFonts w:hint="eastAsia" w:ascii="宋体" w:hAnsi="宋体"/>
                <w:szCs w:val="21"/>
              </w:rPr>
            </w:pPr>
            <w:r>
              <w:rPr>
                <w:rFonts w:hint="eastAsia"/>
                <w:szCs w:val="21"/>
              </w:rPr>
              <w:t>8</w:t>
            </w:r>
          </w:p>
        </w:tc>
        <w:tc>
          <w:tcPr>
            <w:tcW w:w="3827" w:type="dxa"/>
            <w:vAlign w:val="center"/>
          </w:tcPr>
          <w:p w14:paraId="0C281325">
            <w:pPr>
              <w:spacing w:line="500" w:lineRule="exact"/>
              <w:jc w:val="center"/>
              <w:rPr>
                <w:rFonts w:hint="eastAsia" w:ascii="宋体" w:hAnsi="宋体"/>
                <w:szCs w:val="21"/>
              </w:rPr>
            </w:pPr>
            <w:r>
              <w:rPr>
                <w:szCs w:val="21"/>
                <w:lang w:eastAsia="zh-CN"/>
              </w:rPr>
              <w:t>系统管理</w:t>
            </w:r>
          </w:p>
        </w:tc>
        <w:tc>
          <w:tcPr>
            <w:tcW w:w="778" w:type="dxa"/>
            <w:vAlign w:val="center"/>
          </w:tcPr>
          <w:p w14:paraId="78731BCD">
            <w:pPr>
              <w:spacing w:line="500" w:lineRule="exact"/>
              <w:jc w:val="center"/>
              <w:rPr>
                <w:rFonts w:hint="eastAsia" w:ascii="宋体" w:hAnsi="宋体"/>
                <w:szCs w:val="21"/>
              </w:rPr>
            </w:pPr>
            <w:r>
              <w:rPr>
                <w:rFonts w:hint="eastAsia"/>
                <w:szCs w:val="21"/>
              </w:rPr>
              <w:t>1</w:t>
            </w:r>
            <w:r>
              <w:rPr>
                <w:rFonts w:hint="eastAsia"/>
                <w:szCs w:val="21"/>
                <w:lang w:eastAsia="zh-CN"/>
              </w:rPr>
              <w:t>项</w:t>
            </w:r>
          </w:p>
        </w:tc>
      </w:tr>
      <w:tr w14:paraId="5F45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27283669">
            <w:pPr>
              <w:spacing w:line="500" w:lineRule="exact"/>
              <w:jc w:val="center"/>
              <w:rPr>
                <w:rFonts w:hint="eastAsia" w:ascii="宋体" w:hAnsi="宋体"/>
                <w:szCs w:val="21"/>
              </w:rPr>
            </w:pPr>
            <w:r>
              <w:rPr>
                <w:rFonts w:hint="eastAsia"/>
                <w:szCs w:val="21"/>
              </w:rPr>
              <w:t>9</w:t>
            </w:r>
          </w:p>
        </w:tc>
        <w:tc>
          <w:tcPr>
            <w:tcW w:w="3827" w:type="dxa"/>
            <w:vAlign w:val="center"/>
          </w:tcPr>
          <w:p w14:paraId="4CBC13EA">
            <w:pPr>
              <w:spacing w:line="500" w:lineRule="exact"/>
              <w:jc w:val="center"/>
              <w:rPr>
                <w:rFonts w:hint="eastAsia" w:ascii="宋体" w:hAnsi="宋体"/>
                <w:szCs w:val="21"/>
              </w:rPr>
            </w:pPr>
            <w:r>
              <w:rPr>
                <w:szCs w:val="21"/>
                <w:lang w:eastAsia="zh-CN"/>
              </w:rPr>
              <w:t>密码应用模块</w:t>
            </w:r>
          </w:p>
        </w:tc>
        <w:tc>
          <w:tcPr>
            <w:tcW w:w="778" w:type="dxa"/>
            <w:vAlign w:val="center"/>
          </w:tcPr>
          <w:p w14:paraId="6654D391">
            <w:pPr>
              <w:spacing w:line="500" w:lineRule="exact"/>
              <w:jc w:val="center"/>
              <w:rPr>
                <w:rFonts w:hint="eastAsia" w:ascii="宋体" w:hAnsi="宋体"/>
                <w:szCs w:val="21"/>
              </w:rPr>
            </w:pPr>
            <w:r>
              <w:rPr>
                <w:rFonts w:hint="eastAsia"/>
                <w:szCs w:val="21"/>
              </w:rPr>
              <w:t>1</w:t>
            </w:r>
            <w:r>
              <w:rPr>
                <w:rFonts w:hint="eastAsia"/>
                <w:szCs w:val="21"/>
                <w:lang w:eastAsia="zh-CN"/>
              </w:rPr>
              <w:t>项</w:t>
            </w:r>
          </w:p>
        </w:tc>
      </w:tr>
    </w:tbl>
    <w:p w14:paraId="039508BE">
      <w:pPr>
        <w:pStyle w:val="4"/>
        <w:widowControl/>
        <w:numPr>
          <w:ilvl w:val="0"/>
          <w:numId w:val="12"/>
        </w:numPr>
        <w:rPr>
          <w:rFonts w:hint="eastAsia" w:ascii="黑体" w:hAnsi="黑体" w:cs="黑体"/>
        </w:rPr>
      </w:pPr>
      <w:r>
        <w:t>详细技术要求</w:t>
      </w:r>
    </w:p>
    <w:p w14:paraId="077D1181">
      <w:pPr>
        <w:pStyle w:val="5"/>
        <w:widowControl/>
        <w:numPr>
          <w:ilvl w:val="0"/>
          <w:numId w:val="14"/>
        </w:numPr>
      </w:pPr>
      <w:r>
        <w:t>平台功能要求</w:t>
      </w:r>
    </w:p>
    <w:p w14:paraId="64154958">
      <w:pPr>
        <w:pStyle w:val="20"/>
        <w:widowControl/>
        <w:ind w:firstLine="480"/>
      </w:pPr>
      <w:r>
        <w:t>上海市学校校园餐信息管理子系统包含：（1）多级首页门户，为市级、区级、校级、供应商、家长五类用户主体提供对应的数据展示与操作入口；（2）基础信息管理，实现学校、食堂、从业人员、供应商、责任制落实等各类基础台账的统一数字化管理；（3）全流程业务管理，覆盖带量菜谱、食材采购、验收追溯、成品菜、陪餐、学校自查等校园餐全业务环节线上化处理；（4）多元监管，开展禁慎用品、采购价格、问题办理、不良清单等多维度监管工作；（5）数据赋能与风险预警，提供多维度业务统计报表、48个风险观察点动态核查及多场景分级风险预警处置；（6）信息公开，面向家长及膳食家委会实现分级分类的校园膳食信息公示；（7）智能分析应用，具备智能治理知识库、动态核查、动态评估、动态预警、动态决策等智能分析能力；（8）系统管理，支撑通知公告、角色权限、用户账号、工单等平台日常运维管理；（9）密码应用模块，具备多外部系统对接能力与商用密码应用安全保障；</w:t>
      </w:r>
    </w:p>
    <w:p w14:paraId="1FAB99C0">
      <w:pPr>
        <w:pStyle w:val="20"/>
        <w:widowControl/>
        <w:numPr>
          <w:ilvl w:val="0"/>
          <w:numId w:val="15"/>
        </w:numPr>
        <w:ind w:firstLineChars="0"/>
        <w:rPr>
          <w:b/>
        </w:rPr>
      </w:pPr>
      <w:r>
        <w:rPr>
          <w:b/>
        </w:rPr>
        <w:t>【首页】</w:t>
      </w:r>
    </w:p>
    <w:p w14:paraId="153619FE">
      <w:pPr>
        <w:pStyle w:val="20"/>
        <w:widowControl/>
        <w:numPr>
          <w:ilvl w:val="0"/>
          <w:numId w:val="16"/>
        </w:numPr>
        <w:ind w:firstLineChars="0"/>
        <w:rPr>
          <w:rFonts w:hint="eastAsia" w:ascii="宋体" w:hAnsi="宋体" w:cs="宋体"/>
          <w:b/>
        </w:rPr>
      </w:pPr>
      <w:r>
        <w:rPr>
          <w:b/>
        </w:rPr>
        <w:t>【市级首页】</w:t>
      </w:r>
    </w:p>
    <w:p w14:paraId="578FE470">
      <w:pPr>
        <w:pStyle w:val="20"/>
        <w:widowControl/>
        <w:ind w:firstLine="480"/>
      </w:pPr>
      <w:r>
        <w:t>需支持市级首页实现上海市“一张图”政务地图图层展示全市学校地理位置、动态呈现核心安全指标，展示告警级别、类型、截止时间、发起人/来源，展示近期发布的政策文件、活动、会议、培训等相关内容。</w:t>
      </w:r>
    </w:p>
    <w:p w14:paraId="463B7B3F">
      <w:pPr>
        <w:pStyle w:val="20"/>
        <w:widowControl/>
        <w:numPr>
          <w:ilvl w:val="0"/>
          <w:numId w:val="16"/>
        </w:numPr>
        <w:ind w:firstLineChars="0"/>
        <w:rPr>
          <w:rFonts w:hint="eastAsia" w:ascii="宋体" w:hAnsi="宋体" w:cs="宋体"/>
          <w:b/>
        </w:rPr>
      </w:pPr>
      <w:r>
        <w:rPr>
          <w:b/>
        </w:rPr>
        <w:t>【区级首页】</w:t>
      </w:r>
    </w:p>
    <w:p w14:paraId="72F40291">
      <w:pPr>
        <w:pStyle w:val="20"/>
        <w:widowControl/>
        <w:ind w:firstLine="480"/>
      </w:pPr>
      <w:r>
        <w:t>需支持展示区域内今日供餐总人次、本月/本学期全区平均验收合格率等关键指标，以列表或卡片形式展示区域最新风险观测状态及风险预警状态，滚动展示全区最新不合格验收记录。</w:t>
      </w:r>
    </w:p>
    <w:p w14:paraId="161356FC">
      <w:pPr>
        <w:pStyle w:val="20"/>
        <w:widowControl/>
        <w:numPr>
          <w:ilvl w:val="0"/>
          <w:numId w:val="16"/>
        </w:numPr>
        <w:ind w:firstLineChars="0"/>
        <w:rPr>
          <w:rFonts w:hint="eastAsia" w:ascii="宋体" w:hAnsi="宋体" w:cs="宋体"/>
          <w:b/>
        </w:rPr>
      </w:pPr>
      <w:r>
        <w:rPr>
          <w:b/>
        </w:rPr>
        <w:t>【校级首页】</w:t>
      </w:r>
    </w:p>
    <w:p w14:paraId="7EFCC102">
      <w:pPr>
        <w:pStyle w:val="20"/>
        <w:widowControl/>
        <w:ind w:firstLine="480"/>
      </w:pPr>
      <w:r>
        <w:t>需提供校级用户管理界面，实现日历、每日工作进度、风险预警、通知公告等功能展示。</w:t>
      </w:r>
    </w:p>
    <w:p w14:paraId="41856429">
      <w:pPr>
        <w:pStyle w:val="20"/>
        <w:widowControl/>
        <w:numPr>
          <w:ilvl w:val="0"/>
          <w:numId w:val="16"/>
        </w:numPr>
        <w:ind w:firstLineChars="0"/>
        <w:rPr>
          <w:rFonts w:hint="eastAsia" w:ascii="宋体" w:hAnsi="宋体" w:cs="宋体"/>
          <w:b/>
        </w:rPr>
      </w:pPr>
      <w:r>
        <w:rPr>
          <w:b/>
        </w:rPr>
        <w:t>【供应商首页】</w:t>
      </w:r>
    </w:p>
    <w:p w14:paraId="35604B3E">
      <w:pPr>
        <w:pStyle w:val="20"/>
        <w:widowControl/>
        <w:ind w:firstLine="480"/>
      </w:pPr>
      <w:r>
        <w:t>需提供供应商用户的操作界面，实现待处理订单、履约状态、质量反馈与预警等功能展示。</w:t>
      </w:r>
    </w:p>
    <w:p w14:paraId="4A3354E7">
      <w:pPr>
        <w:pStyle w:val="20"/>
        <w:widowControl/>
        <w:numPr>
          <w:ilvl w:val="0"/>
          <w:numId w:val="16"/>
        </w:numPr>
        <w:ind w:firstLineChars="0"/>
        <w:rPr>
          <w:rFonts w:hint="eastAsia" w:ascii="宋体" w:hAnsi="宋体" w:cs="宋体"/>
          <w:b/>
        </w:rPr>
      </w:pPr>
      <w:r>
        <w:rPr>
          <w:b/>
        </w:rPr>
        <w:t>【家长首页】</w:t>
      </w:r>
    </w:p>
    <w:p w14:paraId="2E4CF16B">
      <w:pPr>
        <w:pStyle w:val="20"/>
        <w:widowControl/>
        <w:ind w:firstLine="480"/>
      </w:pPr>
      <w:r>
        <w:t>需提供家长用户的操作界面，实现今日餐食、食材溯源、校园餐事、我的互动等功能展示。</w:t>
      </w:r>
    </w:p>
    <w:p w14:paraId="58D664FF">
      <w:pPr>
        <w:pStyle w:val="20"/>
        <w:widowControl/>
        <w:numPr>
          <w:ilvl w:val="0"/>
          <w:numId w:val="15"/>
        </w:numPr>
        <w:ind w:firstLineChars="0"/>
        <w:rPr>
          <w:b/>
        </w:rPr>
      </w:pPr>
      <w:r>
        <w:rPr>
          <w:b/>
        </w:rPr>
        <w:t>【基础信息】</w:t>
      </w:r>
    </w:p>
    <w:p w14:paraId="33ED5D49">
      <w:pPr>
        <w:pStyle w:val="20"/>
        <w:widowControl/>
        <w:numPr>
          <w:ilvl w:val="0"/>
          <w:numId w:val="17"/>
        </w:numPr>
        <w:ind w:firstLineChars="0"/>
        <w:rPr>
          <w:rFonts w:hint="eastAsia" w:ascii="宋体" w:hAnsi="宋体" w:cs="宋体"/>
          <w:b/>
        </w:rPr>
      </w:pPr>
      <w:r>
        <w:rPr>
          <w:b/>
        </w:rPr>
        <w:t>【学校基础信息】</w:t>
      </w:r>
    </w:p>
    <w:p w14:paraId="34207A69">
      <w:pPr>
        <w:pStyle w:val="20"/>
        <w:widowControl/>
        <w:ind w:firstLine="480"/>
      </w:pPr>
      <w:r>
        <w:t>需支持学校基础信息台账管理，可维护学校名称、地址、食堂配置、所属管辖区域、负责人及联系方式、办学性质、学制等基础资料，同时完成办学许可证统一社会信用代码、证照图片等相关信息的登记管理。</w:t>
      </w:r>
    </w:p>
    <w:p w14:paraId="5D04CD28">
      <w:pPr>
        <w:pStyle w:val="20"/>
        <w:widowControl/>
        <w:numPr>
          <w:ilvl w:val="0"/>
          <w:numId w:val="17"/>
        </w:numPr>
        <w:ind w:firstLineChars="0"/>
        <w:rPr>
          <w:rFonts w:hint="eastAsia" w:ascii="宋体" w:hAnsi="宋体" w:cs="宋体"/>
          <w:b/>
        </w:rPr>
      </w:pPr>
      <w:r>
        <w:rPr>
          <w:b/>
        </w:rPr>
        <w:t>【食堂管理领导小组】</w:t>
      </w:r>
    </w:p>
    <w:p w14:paraId="1C3F6E85">
      <w:pPr>
        <w:pStyle w:val="20"/>
        <w:widowControl/>
        <w:ind w:firstLine="480"/>
      </w:pPr>
      <w:r>
        <w:t>需支持食堂管理领导小组信息台账管理，可登记维护校长、食品安全总监、食品安全员等小组成员相关业务信息，实现人员资料的统一录入与管理。</w:t>
      </w:r>
    </w:p>
    <w:p w14:paraId="487FA8E0">
      <w:pPr>
        <w:pStyle w:val="20"/>
        <w:widowControl/>
        <w:numPr>
          <w:ilvl w:val="0"/>
          <w:numId w:val="17"/>
        </w:numPr>
        <w:ind w:firstLineChars="0"/>
        <w:rPr>
          <w:rFonts w:hint="eastAsia" w:ascii="宋体" w:hAnsi="宋体" w:cs="宋体"/>
          <w:b/>
        </w:rPr>
      </w:pPr>
      <w:r>
        <w:rPr>
          <w:b/>
        </w:rPr>
        <w:t>【责任制落实】</w:t>
      </w:r>
    </w:p>
    <w:p w14:paraId="647E7AEE">
      <w:pPr>
        <w:pStyle w:val="20"/>
        <w:widowControl/>
        <w:ind w:firstLine="480"/>
      </w:pPr>
      <w:r>
        <w:t>需支持食品安全制度资料与应急工作台账数字化管理，可录入、维护各类管理制度文件及应急演练记录信息，提供便捷的数据查询与资料下载功能，实现制度与演练资料规范化存档备查。</w:t>
      </w:r>
    </w:p>
    <w:p w14:paraId="633EE954">
      <w:pPr>
        <w:pStyle w:val="20"/>
        <w:widowControl/>
        <w:numPr>
          <w:ilvl w:val="0"/>
          <w:numId w:val="17"/>
        </w:numPr>
        <w:ind w:firstLineChars="0"/>
        <w:rPr>
          <w:rFonts w:hint="eastAsia" w:ascii="宋体" w:hAnsi="宋体" w:cs="宋体"/>
          <w:b/>
        </w:rPr>
      </w:pPr>
      <w:r>
        <w:rPr>
          <w:b/>
        </w:rPr>
        <w:t>【供餐信息】</w:t>
      </w:r>
    </w:p>
    <w:p w14:paraId="7F8A38CB">
      <w:pPr>
        <w:pStyle w:val="20"/>
        <w:widowControl/>
        <w:ind w:firstLine="480"/>
      </w:pPr>
      <w:r>
        <w:t>需支持膳食基础业务信息管理，可录入并维护餐标标准、供餐日程、就餐地点等核心数据，实现相关信息统一归档管理。</w:t>
      </w:r>
    </w:p>
    <w:p w14:paraId="74B1B88E">
      <w:pPr>
        <w:pStyle w:val="20"/>
        <w:widowControl/>
        <w:numPr>
          <w:ilvl w:val="0"/>
          <w:numId w:val="17"/>
        </w:numPr>
        <w:ind w:firstLineChars="0"/>
        <w:rPr>
          <w:rFonts w:hint="eastAsia" w:ascii="宋体" w:hAnsi="宋体" w:cs="宋体"/>
          <w:b/>
        </w:rPr>
      </w:pPr>
      <w:r>
        <w:rPr>
          <w:b/>
        </w:rPr>
        <w:t>【校园膳食监督家委会】</w:t>
      </w:r>
    </w:p>
    <w:p w14:paraId="610226AE">
      <w:pPr>
        <w:pStyle w:val="20"/>
        <w:widowControl/>
        <w:ind w:firstLine="480"/>
      </w:pPr>
      <w:r>
        <w:t>需支持校园膳食监督家委会信息数字化管理，可录入并维护家委会成员姓名、性别、证件号码、联系方式、健康证等基础资料，支持设置成员任职任期，可对在岗在任成员开放问题直送上报权限，实现家委会人员信息、任职周期及监督权限的规范化管控。</w:t>
      </w:r>
    </w:p>
    <w:p w14:paraId="2A92CE3C">
      <w:pPr>
        <w:pStyle w:val="20"/>
        <w:widowControl/>
        <w:numPr>
          <w:ilvl w:val="0"/>
          <w:numId w:val="17"/>
        </w:numPr>
        <w:ind w:firstLineChars="0"/>
        <w:rPr>
          <w:rFonts w:hint="eastAsia" w:ascii="宋体" w:hAnsi="宋体" w:cs="宋体"/>
          <w:b/>
        </w:rPr>
      </w:pPr>
      <w:r>
        <w:rPr>
          <w:b/>
        </w:rPr>
        <w:t>【食堂信息】</w:t>
      </w:r>
    </w:p>
    <w:p w14:paraId="5CFE9249">
      <w:pPr>
        <w:pStyle w:val="20"/>
        <w:widowControl/>
        <w:ind w:firstLine="480"/>
      </w:pPr>
      <w:r>
        <w:t>需支持食堂主体及从业人员信息一体化管理，可录入、维护食堂供餐模式、服务范围、就餐人员规模等基础信息，统一归档食品经营许可证名称、编号、经营项目等资质资料，同时支持食堂从业人员相关信息的录入与动态管理。</w:t>
      </w:r>
    </w:p>
    <w:p w14:paraId="2D3EE718">
      <w:pPr>
        <w:pStyle w:val="20"/>
        <w:widowControl/>
        <w:numPr>
          <w:ilvl w:val="0"/>
          <w:numId w:val="17"/>
        </w:numPr>
        <w:ind w:firstLineChars="0"/>
        <w:rPr>
          <w:rFonts w:hint="eastAsia" w:ascii="宋体" w:hAnsi="宋体" w:cs="宋体"/>
          <w:b/>
        </w:rPr>
      </w:pPr>
      <w:r>
        <w:rPr>
          <w:b/>
        </w:rPr>
        <w:t>【食堂经营管理】</w:t>
      </w:r>
    </w:p>
    <w:p w14:paraId="61343EC3">
      <w:pPr>
        <w:pStyle w:val="20"/>
        <w:widowControl/>
        <w:ind w:firstLine="480"/>
      </w:pPr>
      <w:r>
        <w:t>需支持食材供应商、校外配餐单位、食堂委托经营方等合作主体信息的统一录入与动态管理，可同步归档、维护各类合作主体对应的合同资料。</w:t>
      </w:r>
    </w:p>
    <w:p w14:paraId="2C589DC7">
      <w:pPr>
        <w:pStyle w:val="20"/>
        <w:widowControl/>
        <w:numPr>
          <w:ilvl w:val="0"/>
          <w:numId w:val="17"/>
        </w:numPr>
        <w:ind w:firstLineChars="0"/>
        <w:rPr>
          <w:rFonts w:hint="eastAsia" w:ascii="宋体" w:hAnsi="宋体" w:cs="宋体"/>
          <w:b/>
        </w:rPr>
      </w:pPr>
      <w:r>
        <w:rPr>
          <w:b/>
        </w:rPr>
        <w:t>【供应商管理机制】</w:t>
      </w:r>
    </w:p>
    <w:p w14:paraId="5EA99416">
      <w:pPr>
        <w:pStyle w:val="20"/>
        <w:widowControl/>
        <w:ind w:firstLine="480"/>
      </w:pPr>
      <w:r>
        <w:t>需支持供应商管理机制，配置准入与退出规则，管理供应商名录。</w:t>
      </w:r>
    </w:p>
    <w:p w14:paraId="2AA3040F">
      <w:pPr>
        <w:pStyle w:val="20"/>
        <w:widowControl/>
        <w:numPr>
          <w:ilvl w:val="0"/>
          <w:numId w:val="15"/>
        </w:numPr>
        <w:ind w:firstLineChars="0"/>
        <w:rPr>
          <w:b/>
        </w:rPr>
      </w:pPr>
      <w:r>
        <w:rPr>
          <w:b/>
        </w:rPr>
        <w:t>【业务工作】</w:t>
      </w:r>
    </w:p>
    <w:p w14:paraId="4ADF74C9">
      <w:pPr>
        <w:pStyle w:val="20"/>
        <w:widowControl/>
        <w:numPr>
          <w:ilvl w:val="0"/>
          <w:numId w:val="18"/>
        </w:numPr>
        <w:ind w:firstLineChars="0"/>
        <w:rPr>
          <w:rFonts w:hint="eastAsia" w:ascii="宋体" w:hAnsi="宋体" w:cs="宋体"/>
          <w:b/>
        </w:rPr>
      </w:pPr>
      <w:r>
        <w:rPr>
          <w:b/>
        </w:rPr>
        <w:t>【带量菜谱管理】</w:t>
      </w:r>
    </w:p>
    <w:p w14:paraId="79902BD7">
      <w:pPr>
        <w:pStyle w:val="20"/>
        <w:widowControl/>
        <w:ind w:firstLine="480"/>
      </w:pPr>
      <w:r>
        <w:t>提供适配中小幼不同学段的标准化周菜谱模板；可自动生成周推送内容，经管理员审核确认后对外推送；系统对接卫健委带量菜谱库，同时支持菜谱库内容的自主维护管理，具备菜谱库增删改查能力；支持多维度条件检索菜谱资源，并实现菜谱一键调用。</w:t>
      </w:r>
    </w:p>
    <w:p w14:paraId="2AEEDBBB">
      <w:pPr>
        <w:pStyle w:val="20"/>
        <w:widowControl/>
        <w:numPr>
          <w:ilvl w:val="0"/>
          <w:numId w:val="18"/>
        </w:numPr>
        <w:ind w:firstLineChars="0"/>
        <w:rPr>
          <w:rFonts w:hint="eastAsia" w:ascii="宋体" w:hAnsi="宋体" w:cs="宋体"/>
          <w:b/>
        </w:rPr>
      </w:pPr>
      <w:r>
        <w:rPr>
          <w:b/>
        </w:rPr>
        <w:t>【食材名录管理】</w:t>
      </w:r>
    </w:p>
    <w:p w14:paraId="28705BE4">
      <w:pPr>
        <w:pStyle w:val="20"/>
        <w:widowControl/>
        <w:ind w:firstLine="480"/>
      </w:pPr>
      <w:r>
        <w:t>需支持各类食材基础资料的维护管理，可完成食材信息的录入、更新，同时提供多条件查询与快速调用能力。</w:t>
      </w:r>
    </w:p>
    <w:p w14:paraId="79821430">
      <w:pPr>
        <w:pStyle w:val="20"/>
        <w:widowControl/>
        <w:numPr>
          <w:ilvl w:val="0"/>
          <w:numId w:val="18"/>
        </w:numPr>
        <w:ind w:firstLineChars="0"/>
        <w:rPr>
          <w:rFonts w:hint="eastAsia" w:ascii="宋体" w:hAnsi="宋体" w:cs="宋体"/>
          <w:b/>
        </w:rPr>
      </w:pPr>
      <w:r>
        <w:rPr>
          <w:b/>
        </w:rPr>
        <w:t>【索票索证管理】</w:t>
      </w:r>
    </w:p>
    <w:p w14:paraId="0E4D77E4">
      <w:pPr>
        <w:pStyle w:val="20"/>
        <w:widowControl/>
        <w:ind w:firstLine="480"/>
      </w:pPr>
      <w:r>
        <w:t>需支持在食材验收业务环节，实现相关票证的采集与资料上传归档管理。</w:t>
      </w:r>
    </w:p>
    <w:p w14:paraId="4CFD2272">
      <w:pPr>
        <w:pStyle w:val="20"/>
        <w:widowControl/>
        <w:numPr>
          <w:ilvl w:val="0"/>
          <w:numId w:val="18"/>
        </w:numPr>
        <w:ind w:firstLineChars="0"/>
        <w:rPr>
          <w:rFonts w:hint="eastAsia" w:ascii="宋体" w:hAnsi="宋体" w:cs="宋体"/>
          <w:b/>
        </w:rPr>
      </w:pPr>
      <w:r>
        <w:rPr>
          <w:b/>
        </w:rPr>
        <w:t>【供货管理】</w:t>
      </w:r>
    </w:p>
    <w:p w14:paraId="261F473B">
      <w:pPr>
        <w:pStyle w:val="20"/>
        <w:widowControl/>
        <w:ind w:firstLine="480"/>
      </w:pPr>
      <w:r>
        <w:t>需支持供货管理，供应商可完成供货单据编制并推送至相关食堂，可对供货单据进行维护处理，支持历史供货单据检索；学校端可开展进货单据编制工作，对已创建或退回的进货单据进行管理维护，同时具备历史进货单据查询能力。</w:t>
      </w:r>
    </w:p>
    <w:p w14:paraId="18FC77C8">
      <w:pPr>
        <w:pStyle w:val="20"/>
        <w:widowControl/>
        <w:numPr>
          <w:ilvl w:val="0"/>
          <w:numId w:val="18"/>
        </w:numPr>
        <w:ind w:firstLineChars="0"/>
        <w:rPr>
          <w:rFonts w:hint="eastAsia" w:ascii="宋体" w:hAnsi="宋体" w:cs="宋体"/>
          <w:b/>
        </w:rPr>
      </w:pPr>
      <w:r>
        <w:rPr>
          <w:b/>
        </w:rPr>
        <w:t>【采购管理】</w:t>
      </w:r>
    </w:p>
    <w:p w14:paraId="288BE2DD">
      <w:pPr>
        <w:pStyle w:val="20"/>
        <w:widowControl/>
        <w:ind w:firstLine="480"/>
      </w:pPr>
      <w:r>
        <w:t>需支持食材采购进货全流程数字化管理，支持学校自主创建学生餐、教师餐进货单据，可对已创建及退回的进货单据进行编辑、删除等维护操作；支持历史进货单据的检索查询。</w:t>
      </w:r>
    </w:p>
    <w:p w14:paraId="198AFC66">
      <w:pPr>
        <w:pStyle w:val="20"/>
        <w:widowControl/>
        <w:numPr>
          <w:ilvl w:val="0"/>
          <w:numId w:val="18"/>
        </w:numPr>
        <w:ind w:firstLineChars="0"/>
        <w:rPr>
          <w:rFonts w:hint="eastAsia" w:ascii="宋体" w:hAnsi="宋体" w:cs="宋体"/>
          <w:b/>
        </w:rPr>
      </w:pPr>
      <w:r>
        <w:rPr>
          <w:b/>
        </w:rPr>
        <w:t>【食源追溯管理】</w:t>
      </w:r>
    </w:p>
    <w:p w14:paraId="04018CCE">
      <w:pPr>
        <w:pStyle w:val="20"/>
        <w:widowControl/>
        <w:ind w:firstLine="480"/>
      </w:pPr>
      <w:r>
        <w:t>需支持食材全链路溯源管理，可对食材从产地、供应商直至供货学校的业务流转链条进行检索，实现食材流转全过程的追踪核查。</w:t>
      </w:r>
    </w:p>
    <w:p w14:paraId="4A8373B5">
      <w:pPr>
        <w:pStyle w:val="20"/>
        <w:widowControl/>
        <w:numPr>
          <w:ilvl w:val="0"/>
          <w:numId w:val="18"/>
        </w:numPr>
        <w:ind w:firstLineChars="0"/>
        <w:rPr>
          <w:rFonts w:hint="eastAsia" w:ascii="宋体" w:hAnsi="宋体" w:cs="宋体"/>
          <w:b/>
        </w:rPr>
      </w:pPr>
      <w:r>
        <w:rPr>
          <w:b/>
        </w:rPr>
        <w:t>【食材验收管理】</w:t>
      </w:r>
    </w:p>
    <w:p w14:paraId="2FFABB6D">
      <w:pPr>
        <w:pStyle w:val="20"/>
        <w:widowControl/>
        <w:ind w:firstLine="480"/>
      </w:pPr>
      <w:r>
        <w:t>需支持食材验收业务的闭环管控，系统可自动向相关验收人员下发当日食材验收任务，由验收人员按业务流程逐项开展核验确认，支持各批次食材现场拍照留存上传；完成验收结果提交后系统自动生成可溯源的电子验收编码，为后续溯源核查提供支撑。</w:t>
      </w:r>
    </w:p>
    <w:p w14:paraId="40F501D0">
      <w:pPr>
        <w:pStyle w:val="20"/>
        <w:widowControl/>
        <w:numPr>
          <w:ilvl w:val="0"/>
          <w:numId w:val="18"/>
        </w:numPr>
        <w:ind w:firstLineChars="0"/>
        <w:rPr>
          <w:rFonts w:hint="eastAsia" w:ascii="宋体" w:hAnsi="宋体" w:cs="宋体"/>
          <w:b/>
        </w:rPr>
      </w:pPr>
      <w:r>
        <w:rPr>
          <w:b/>
        </w:rPr>
        <w:t>【成品菜管理】</w:t>
      </w:r>
    </w:p>
    <w:p w14:paraId="125371C4">
      <w:pPr>
        <w:pStyle w:val="20"/>
        <w:widowControl/>
        <w:ind w:firstLine="480"/>
      </w:pPr>
      <w:r>
        <w:rPr>
          <w:rStyle w:val="171"/>
          <w:szCs w:val="24"/>
        </w:rPr>
        <w:t>需支持对食堂成品菜品开展现场拍照采集归档，同时具备相关内容对外推送公示</w:t>
      </w:r>
      <w:r>
        <w:t>的业务能力。</w:t>
      </w:r>
    </w:p>
    <w:p w14:paraId="26402094">
      <w:pPr>
        <w:pStyle w:val="20"/>
        <w:widowControl/>
        <w:numPr>
          <w:ilvl w:val="0"/>
          <w:numId w:val="18"/>
        </w:numPr>
        <w:ind w:firstLineChars="0"/>
        <w:rPr>
          <w:rFonts w:hint="eastAsia" w:ascii="宋体" w:hAnsi="宋体" w:cs="宋体"/>
          <w:b/>
        </w:rPr>
      </w:pPr>
      <w:r>
        <w:rPr>
          <w:b/>
        </w:rPr>
        <w:t>【陪餐管理】</w:t>
      </w:r>
    </w:p>
    <w:p w14:paraId="052EA656">
      <w:pPr>
        <w:pStyle w:val="20"/>
        <w:widowControl/>
        <w:ind w:firstLine="480"/>
      </w:pPr>
      <w:r>
        <w:t>需支持陪餐业务管理，可维护陪餐计划表，引导陪餐人员完成各环节陪餐情况的信息填报，同时提供陪餐过程中发现问题的线上反馈渠道。</w:t>
      </w:r>
    </w:p>
    <w:p w14:paraId="69AFD92D">
      <w:pPr>
        <w:pStyle w:val="20"/>
        <w:widowControl/>
        <w:numPr>
          <w:ilvl w:val="0"/>
          <w:numId w:val="18"/>
        </w:numPr>
        <w:ind w:firstLineChars="0"/>
        <w:rPr>
          <w:rFonts w:hint="eastAsia" w:ascii="宋体" w:hAnsi="宋体" w:cs="宋体"/>
          <w:b/>
        </w:rPr>
      </w:pPr>
      <w:r>
        <w:rPr>
          <w:b/>
        </w:rPr>
        <w:t>【满意度调查管理】</w:t>
      </w:r>
    </w:p>
    <w:p w14:paraId="1A2B8C6F">
      <w:pPr>
        <w:pStyle w:val="20"/>
        <w:widowControl/>
        <w:ind w:firstLine="480"/>
      </w:pPr>
      <w:r>
        <w:t>需支持膳食满意度调查结果的资料维护，系统具备对调查相关数据的检索查看功能。</w:t>
      </w:r>
    </w:p>
    <w:p w14:paraId="13B7462F">
      <w:pPr>
        <w:pStyle w:val="20"/>
        <w:widowControl/>
        <w:numPr>
          <w:ilvl w:val="0"/>
          <w:numId w:val="18"/>
        </w:numPr>
        <w:ind w:firstLineChars="0"/>
        <w:rPr>
          <w:rFonts w:hint="eastAsia" w:ascii="宋体" w:hAnsi="宋体" w:cs="宋体"/>
          <w:b/>
        </w:rPr>
      </w:pPr>
      <w:r>
        <w:rPr>
          <w:b/>
        </w:rPr>
        <w:t>【食堂员工管理】</w:t>
      </w:r>
    </w:p>
    <w:p w14:paraId="790C33F7">
      <w:pPr>
        <w:pStyle w:val="20"/>
        <w:widowControl/>
        <w:ind w:firstLine="480"/>
      </w:pPr>
      <w:r>
        <w:t>需支持食堂从业人员晨检情况，实现相关业务记录管理。</w:t>
      </w:r>
    </w:p>
    <w:p w14:paraId="64328217">
      <w:pPr>
        <w:pStyle w:val="20"/>
        <w:widowControl/>
        <w:numPr>
          <w:ilvl w:val="0"/>
          <w:numId w:val="18"/>
        </w:numPr>
        <w:ind w:firstLineChars="0"/>
        <w:rPr>
          <w:rFonts w:hint="eastAsia" w:ascii="宋体" w:hAnsi="宋体" w:cs="宋体"/>
          <w:b/>
        </w:rPr>
      </w:pPr>
      <w:r>
        <w:rPr>
          <w:b/>
        </w:rPr>
        <w:t>【学校自查管理】</w:t>
      </w:r>
    </w:p>
    <w:p w14:paraId="00B593D6">
      <w:pPr>
        <w:pStyle w:val="20"/>
        <w:widowControl/>
        <w:ind w:firstLine="480"/>
      </w:pPr>
      <w:r>
        <w:t>需支持学校多层级自查工作数字化管理，系统可自动生成日管控检查清单，清单在移动端任务模块展示，供检查人员逐项开展核查；按周期自动生成周排查、月调度工作台账，由学校结合实际业务完成内容填报。</w:t>
      </w:r>
    </w:p>
    <w:p w14:paraId="50F5264C">
      <w:pPr>
        <w:pStyle w:val="20"/>
        <w:widowControl/>
        <w:numPr>
          <w:ilvl w:val="0"/>
          <w:numId w:val="18"/>
        </w:numPr>
        <w:ind w:firstLineChars="0"/>
        <w:rPr>
          <w:rFonts w:hint="eastAsia" w:ascii="宋体" w:hAnsi="宋体" w:cs="宋体"/>
          <w:b/>
        </w:rPr>
      </w:pPr>
      <w:r>
        <w:rPr>
          <w:b/>
        </w:rPr>
        <w:t>【饮水机管理】</w:t>
      </w:r>
    </w:p>
    <w:p w14:paraId="67CB1C3B">
      <w:pPr>
        <w:pStyle w:val="20"/>
        <w:widowControl/>
        <w:ind w:firstLine="480"/>
      </w:pPr>
      <w:r>
        <w:t>需支持食堂饮水设备基础信息管理，可登记维护饮水机配置情况以及设备运行状态等相关业务资料。</w:t>
      </w:r>
    </w:p>
    <w:p w14:paraId="7606FAF1">
      <w:pPr>
        <w:pStyle w:val="20"/>
        <w:widowControl/>
        <w:numPr>
          <w:ilvl w:val="0"/>
          <w:numId w:val="15"/>
        </w:numPr>
        <w:ind w:firstLineChars="0"/>
        <w:rPr>
          <w:b/>
        </w:rPr>
      </w:pPr>
      <w:r>
        <w:rPr>
          <w:b/>
        </w:rPr>
        <w:t>【多元监管】</w:t>
      </w:r>
    </w:p>
    <w:p w14:paraId="04D5E4E4">
      <w:pPr>
        <w:pStyle w:val="20"/>
        <w:widowControl/>
        <w:numPr>
          <w:ilvl w:val="0"/>
          <w:numId w:val="19"/>
        </w:numPr>
        <w:ind w:firstLineChars="0"/>
        <w:rPr>
          <w:rFonts w:hint="eastAsia" w:ascii="宋体" w:hAnsi="宋体" w:cs="宋体"/>
          <w:b/>
        </w:rPr>
      </w:pPr>
      <w:r>
        <w:rPr>
          <w:b/>
        </w:rPr>
        <w:t>【禁、慎用品监管】</w:t>
      </w:r>
    </w:p>
    <w:p w14:paraId="1CBAC3B1">
      <w:pPr>
        <w:pStyle w:val="20"/>
        <w:widowControl/>
        <w:ind w:firstLine="480"/>
      </w:pPr>
      <w:r>
        <w:t>需支持禁限用食材合规监管，依据发改委、市场监管部门发布的禁、慎用品清单，对学校食材采购、验收等业务流程开展合规校验，识别业务流程中涉及相关产品的风险情形。</w:t>
      </w:r>
    </w:p>
    <w:p w14:paraId="43F20E01">
      <w:pPr>
        <w:pStyle w:val="20"/>
        <w:widowControl/>
        <w:numPr>
          <w:ilvl w:val="0"/>
          <w:numId w:val="19"/>
        </w:numPr>
        <w:ind w:firstLineChars="0"/>
        <w:rPr>
          <w:rFonts w:hint="eastAsia" w:ascii="宋体" w:hAnsi="宋体" w:cs="宋体"/>
          <w:b/>
        </w:rPr>
      </w:pPr>
      <w:r>
        <w:rPr>
          <w:b/>
        </w:rPr>
        <w:t>【价格监管】</w:t>
      </w:r>
    </w:p>
    <w:p w14:paraId="381018C0">
      <w:pPr>
        <w:pStyle w:val="20"/>
        <w:widowControl/>
        <w:ind w:firstLine="480"/>
      </w:pPr>
      <w:r>
        <w:t>需支持对接发改委价格数据，基于发改委发布的食材当日价格，监督学校食材采购价格偏离情况。</w:t>
      </w:r>
    </w:p>
    <w:p w14:paraId="5C92562A">
      <w:pPr>
        <w:pStyle w:val="20"/>
        <w:widowControl/>
        <w:numPr>
          <w:ilvl w:val="0"/>
          <w:numId w:val="19"/>
        </w:numPr>
        <w:ind w:firstLineChars="0"/>
        <w:rPr>
          <w:rFonts w:hint="eastAsia" w:ascii="宋体" w:hAnsi="宋体" w:cs="宋体"/>
          <w:b/>
        </w:rPr>
      </w:pPr>
      <w:r>
        <w:rPr>
          <w:b/>
        </w:rPr>
        <w:t>【问题办理进程监管】</w:t>
      </w:r>
    </w:p>
    <w:p w14:paraId="75006FFB">
      <w:pPr>
        <w:pStyle w:val="20"/>
        <w:widowControl/>
        <w:ind w:firstLine="480"/>
      </w:pPr>
      <w:r>
        <w:t>需支持扫描并监督“问题直送”工单的处置状态，生成一个动态的问题直送处置状态列表，包括问题标题、上报时间、责任单位、当前状态、剩余处理时间、超期天数、最新处理进展等。</w:t>
      </w:r>
    </w:p>
    <w:p w14:paraId="2CD4F183">
      <w:pPr>
        <w:pStyle w:val="20"/>
        <w:widowControl/>
        <w:numPr>
          <w:ilvl w:val="0"/>
          <w:numId w:val="19"/>
        </w:numPr>
        <w:ind w:firstLineChars="0"/>
        <w:rPr>
          <w:rFonts w:hint="eastAsia" w:ascii="宋体" w:hAnsi="宋体" w:cs="宋体"/>
          <w:b/>
        </w:rPr>
      </w:pPr>
      <w:r>
        <w:rPr>
          <w:b/>
        </w:rPr>
        <w:t>【不良清单管理】</w:t>
      </w:r>
    </w:p>
    <w:p w14:paraId="0041F5DA">
      <w:pPr>
        <w:pStyle w:val="20"/>
        <w:widowControl/>
        <w:ind w:firstLine="480"/>
      </w:pPr>
      <w:r>
        <w:t>需支持不良清单管理，可综合学校、承包经营单位、食材供应商的检查记录等业务数据，自动归集形成不良清单。</w:t>
      </w:r>
    </w:p>
    <w:p w14:paraId="7D8155B4">
      <w:pPr>
        <w:pStyle w:val="20"/>
        <w:widowControl/>
        <w:numPr>
          <w:ilvl w:val="0"/>
          <w:numId w:val="19"/>
        </w:numPr>
        <w:ind w:firstLineChars="0"/>
        <w:rPr>
          <w:rFonts w:hint="eastAsia" w:ascii="宋体" w:hAnsi="宋体" w:cs="宋体"/>
          <w:b/>
        </w:rPr>
      </w:pPr>
      <w:r>
        <w:rPr>
          <w:b/>
        </w:rPr>
        <w:t>【资源管理】</w:t>
      </w:r>
    </w:p>
    <w:p w14:paraId="65C1CC5B">
      <w:pPr>
        <w:pStyle w:val="20"/>
        <w:widowControl/>
        <w:ind w:firstLine="480"/>
      </w:pPr>
      <w:r>
        <w:t>需支持食品安全宣教培训资源库管理，可录入维护培训宣教资料、学校食品安全特色工作案例等相关资源，完成资源的统一管理归档，构建标准化业务资源库。</w:t>
      </w:r>
    </w:p>
    <w:p w14:paraId="56C9B1EC">
      <w:pPr>
        <w:pStyle w:val="20"/>
        <w:widowControl/>
        <w:numPr>
          <w:ilvl w:val="0"/>
          <w:numId w:val="19"/>
        </w:numPr>
        <w:ind w:firstLineChars="0"/>
        <w:rPr>
          <w:rFonts w:hint="eastAsia" w:ascii="宋体" w:hAnsi="宋体" w:cs="宋体"/>
          <w:b/>
        </w:rPr>
      </w:pPr>
      <w:r>
        <w:rPr>
          <w:b/>
        </w:rPr>
        <w:t>【信息栏】</w:t>
      </w:r>
    </w:p>
    <w:p w14:paraId="12BB9609">
      <w:pPr>
        <w:pStyle w:val="20"/>
        <w:widowControl/>
        <w:ind w:firstLine="480"/>
      </w:pPr>
      <w:r>
        <w:t>需支持全局通知与政策文件发布管理，可完成平台级公告、政策内容的发布维护，实现信息面向相关业务对象统一推送。</w:t>
      </w:r>
    </w:p>
    <w:p w14:paraId="41778EF1">
      <w:pPr>
        <w:pStyle w:val="20"/>
        <w:widowControl/>
        <w:numPr>
          <w:ilvl w:val="0"/>
          <w:numId w:val="15"/>
        </w:numPr>
        <w:ind w:firstLineChars="0"/>
        <w:rPr>
          <w:b/>
        </w:rPr>
      </w:pPr>
      <w:r>
        <w:rPr>
          <w:b/>
        </w:rPr>
        <w:t>【数据赋能】</w:t>
      </w:r>
    </w:p>
    <w:p w14:paraId="22B38BD2">
      <w:pPr>
        <w:pStyle w:val="20"/>
        <w:widowControl/>
        <w:numPr>
          <w:ilvl w:val="0"/>
          <w:numId w:val="20"/>
        </w:numPr>
        <w:ind w:firstLineChars="0"/>
        <w:rPr>
          <w:rFonts w:hint="eastAsia" w:ascii="宋体" w:hAnsi="宋体" w:cs="宋体"/>
          <w:b/>
        </w:rPr>
      </w:pPr>
      <w:r>
        <w:rPr>
          <w:b/>
        </w:rPr>
        <w:t>【数据报表】</w:t>
      </w:r>
    </w:p>
    <w:p w14:paraId="5D07A9B7">
      <w:pPr>
        <w:pStyle w:val="20"/>
        <w:widowControl/>
        <w:ind w:firstLine="480"/>
      </w:pPr>
      <w:r>
        <w:t>需支持输出每日/周/月报送、周期报表四大类不少于25种业务统计报表，涵盖就餐地点、家委会成员、从业人员、供餐单位、带量菜谱等基础台账报表，晨检、溯源验收、双验完成率、推送率等日常报送报表，以及问题直送、日管控、周排查、月调度、专项自查完成度等周期报表，满足多维度业务统计报表输出需求。</w:t>
      </w:r>
    </w:p>
    <w:p w14:paraId="0A06B4B0">
      <w:pPr>
        <w:pStyle w:val="20"/>
        <w:widowControl/>
        <w:numPr>
          <w:ilvl w:val="0"/>
          <w:numId w:val="20"/>
        </w:numPr>
        <w:ind w:firstLineChars="0"/>
        <w:rPr>
          <w:rFonts w:hint="eastAsia" w:ascii="宋体" w:hAnsi="宋体" w:cs="宋体"/>
          <w:b/>
        </w:rPr>
      </w:pPr>
      <w:r>
        <w:rPr>
          <w:b/>
        </w:rPr>
        <w:t>【观测点】</w:t>
      </w:r>
    </w:p>
    <w:p w14:paraId="3E4E8A4C">
      <w:pPr>
        <w:pStyle w:val="20"/>
        <w:widowControl/>
        <w:ind w:firstLine="480"/>
      </w:pPr>
      <w:r>
        <w:t>需支持从责任制落实、膳食家委会、食堂及从业人员资质、招投标合同合规、带量菜谱、食材追溯验收、采购价格、成品菜、陪餐、学校自查、满意度调查共12个维度，分48个风险观察点对校园食品安全开展多指标动态核查校验。</w:t>
      </w:r>
    </w:p>
    <w:p w14:paraId="4A7D5F5D">
      <w:pPr>
        <w:pStyle w:val="20"/>
        <w:widowControl/>
        <w:ind w:firstLine="480"/>
      </w:pPr>
      <w:r>
        <w:t>48个风险观察点如下：</w:t>
      </w:r>
    </w:p>
    <w:p w14:paraId="5CFDEF0F">
      <w:pPr>
        <w:pStyle w:val="20"/>
        <w:widowControl/>
        <w:numPr>
          <w:ilvl w:val="0"/>
          <w:numId w:val="21"/>
        </w:numPr>
        <w:ind w:firstLineChars="0"/>
      </w:pPr>
      <w:r>
        <w:t>领导小组成员是否齐全</w:t>
      </w:r>
    </w:p>
    <w:p w14:paraId="762CBF35">
      <w:pPr>
        <w:pStyle w:val="20"/>
        <w:widowControl/>
        <w:numPr>
          <w:ilvl w:val="0"/>
          <w:numId w:val="21"/>
        </w:numPr>
        <w:ind w:firstLineChars="0"/>
      </w:pPr>
      <w:r>
        <w:t>安全总监是否为副校长级别</w:t>
      </w:r>
    </w:p>
    <w:p w14:paraId="7A527082">
      <w:pPr>
        <w:pStyle w:val="20"/>
        <w:widowControl/>
        <w:numPr>
          <w:ilvl w:val="0"/>
          <w:numId w:val="21"/>
        </w:numPr>
        <w:ind w:firstLineChars="0"/>
      </w:pPr>
      <w:r>
        <w:t>管理制度是否齐全</w:t>
      </w:r>
    </w:p>
    <w:p w14:paraId="6D7C9C26">
      <w:pPr>
        <w:pStyle w:val="20"/>
        <w:widowControl/>
        <w:numPr>
          <w:ilvl w:val="0"/>
          <w:numId w:val="21"/>
        </w:numPr>
        <w:ind w:firstLineChars="0"/>
      </w:pPr>
      <w:r>
        <w:t>管理制度是否及时更新</w:t>
      </w:r>
    </w:p>
    <w:p w14:paraId="3E62ACD6">
      <w:pPr>
        <w:pStyle w:val="20"/>
        <w:widowControl/>
        <w:numPr>
          <w:ilvl w:val="0"/>
          <w:numId w:val="21"/>
        </w:numPr>
        <w:ind w:firstLineChars="0"/>
      </w:pPr>
      <w:r>
        <w:t>应急演练是否开展</w:t>
      </w:r>
    </w:p>
    <w:p w14:paraId="38059B21">
      <w:pPr>
        <w:pStyle w:val="20"/>
        <w:widowControl/>
        <w:numPr>
          <w:ilvl w:val="0"/>
          <w:numId w:val="21"/>
        </w:numPr>
        <w:ind w:firstLineChars="0"/>
      </w:pPr>
      <w:r>
        <w:t>“日排查、周管控、月调度”是否及时完成</w:t>
      </w:r>
    </w:p>
    <w:p w14:paraId="08964548">
      <w:pPr>
        <w:pStyle w:val="20"/>
        <w:widowControl/>
        <w:numPr>
          <w:ilvl w:val="0"/>
          <w:numId w:val="21"/>
        </w:numPr>
        <w:ind w:firstLineChars="0"/>
      </w:pPr>
      <w:r>
        <w:t>膳食家委会是否持有健康证</w:t>
      </w:r>
    </w:p>
    <w:p w14:paraId="365ADCBC">
      <w:pPr>
        <w:pStyle w:val="20"/>
        <w:widowControl/>
        <w:numPr>
          <w:ilvl w:val="0"/>
          <w:numId w:val="21"/>
        </w:numPr>
        <w:ind w:firstLineChars="0"/>
      </w:pPr>
      <w:r>
        <w:t>膳食家委会健康证是否在有效期内</w:t>
      </w:r>
    </w:p>
    <w:p w14:paraId="2F40079D">
      <w:pPr>
        <w:pStyle w:val="20"/>
        <w:widowControl/>
        <w:numPr>
          <w:ilvl w:val="0"/>
          <w:numId w:val="21"/>
        </w:numPr>
        <w:ind w:firstLineChars="0"/>
      </w:pPr>
      <w:r>
        <w:t>膳食家委会问题是否闭环</w:t>
      </w:r>
    </w:p>
    <w:p w14:paraId="123E0CE5">
      <w:pPr>
        <w:pStyle w:val="20"/>
        <w:widowControl/>
        <w:numPr>
          <w:ilvl w:val="0"/>
          <w:numId w:val="21"/>
        </w:numPr>
        <w:ind w:firstLineChars="0"/>
      </w:pPr>
      <w:r>
        <w:t>食堂食品经营许可证与实际食堂主体是否一致</w:t>
      </w:r>
    </w:p>
    <w:p w14:paraId="71C02AE0">
      <w:pPr>
        <w:pStyle w:val="20"/>
        <w:widowControl/>
        <w:numPr>
          <w:ilvl w:val="0"/>
          <w:numId w:val="21"/>
        </w:numPr>
        <w:ind w:firstLineChars="0"/>
      </w:pPr>
      <w:r>
        <w:t>供餐单位是否为区级供应商名录</w:t>
      </w:r>
    </w:p>
    <w:p w14:paraId="6625454F">
      <w:pPr>
        <w:pStyle w:val="20"/>
        <w:widowControl/>
        <w:numPr>
          <w:ilvl w:val="0"/>
          <w:numId w:val="21"/>
        </w:numPr>
        <w:ind w:firstLineChars="0"/>
      </w:pPr>
      <w:r>
        <w:t>食堂经营许可证是否在有效期内</w:t>
      </w:r>
    </w:p>
    <w:p w14:paraId="6E6286B6">
      <w:pPr>
        <w:pStyle w:val="20"/>
        <w:widowControl/>
        <w:numPr>
          <w:ilvl w:val="0"/>
          <w:numId w:val="21"/>
        </w:numPr>
        <w:ind w:firstLineChars="0"/>
      </w:pPr>
      <w:r>
        <w:t>食堂是否实现互联网+明厨亮灶</w:t>
      </w:r>
    </w:p>
    <w:p w14:paraId="079F8D86">
      <w:pPr>
        <w:pStyle w:val="20"/>
        <w:widowControl/>
        <w:numPr>
          <w:ilvl w:val="0"/>
          <w:numId w:val="21"/>
        </w:numPr>
        <w:ind w:firstLineChars="0"/>
      </w:pPr>
      <w:r>
        <w:t>供餐类型是否正确</w:t>
      </w:r>
    </w:p>
    <w:p w14:paraId="1719D79B">
      <w:pPr>
        <w:pStyle w:val="20"/>
        <w:widowControl/>
        <w:numPr>
          <w:ilvl w:val="0"/>
          <w:numId w:val="21"/>
        </w:numPr>
        <w:ind w:firstLineChars="0"/>
      </w:pPr>
      <w:r>
        <w:t>供餐单位类型是否正确</w:t>
      </w:r>
    </w:p>
    <w:p w14:paraId="5F45B97B">
      <w:pPr>
        <w:pStyle w:val="20"/>
        <w:widowControl/>
        <w:numPr>
          <w:ilvl w:val="0"/>
          <w:numId w:val="21"/>
        </w:numPr>
        <w:ind w:firstLineChars="0"/>
      </w:pPr>
      <w:r>
        <w:t>食堂从业人员配比率是否达标</w:t>
      </w:r>
    </w:p>
    <w:p w14:paraId="6D3B8134">
      <w:pPr>
        <w:pStyle w:val="20"/>
        <w:widowControl/>
        <w:numPr>
          <w:ilvl w:val="0"/>
          <w:numId w:val="21"/>
        </w:numPr>
        <w:ind w:firstLineChars="0"/>
      </w:pPr>
      <w:r>
        <w:t>从业人员是否持有健康证</w:t>
      </w:r>
    </w:p>
    <w:p w14:paraId="7409BD2F">
      <w:pPr>
        <w:pStyle w:val="20"/>
        <w:widowControl/>
        <w:numPr>
          <w:ilvl w:val="0"/>
          <w:numId w:val="21"/>
        </w:numPr>
        <w:ind w:firstLineChars="0"/>
      </w:pPr>
      <w:r>
        <w:t>从业人员健康证是否在有效期内</w:t>
      </w:r>
    </w:p>
    <w:p w14:paraId="74A91E86">
      <w:pPr>
        <w:pStyle w:val="20"/>
        <w:widowControl/>
        <w:numPr>
          <w:ilvl w:val="0"/>
          <w:numId w:val="21"/>
        </w:numPr>
        <w:ind w:firstLineChars="0"/>
      </w:pPr>
      <w:r>
        <w:t>食堂员工是否每天完成晨检</w:t>
      </w:r>
    </w:p>
    <w:p w14:paraId="1C2F3D42">
      <w:pPr>
        <w:pStyle w:val="20"/>
        <w:widowControl/>
        <w:numPr>
          <w:ilvl w:val="0"/>
          <w:numId w:val="21"/>
        </w:numPr>
        <w:ind w:firstLineChars="0"/>
      </w:pPr>
      <w:r>
        <w:t>中标单位满意度是否达到合同承诺数值</w:t>
      </w:r>
    </w:p>
    <w:p w14:paraId="7A6F76F6">
      <w:pPr>
        <w:pStyle w:val="20"/>
        <w:widowControl/>
        <w:numPr>
          <w:ilvl w:val="0"/>
          <w:numId w:val="21"/>
        </w:numPr>
        <w:ind w:firstLineChars="0"/>
      </w:pPr>
      <w:r>
        <w:t>供餐单位营业内容是否与营业执照经营范围一致</w:t>
      </w:r>
    </w:p>
    <w:p w14:paraId="508D65D2">
      <w:pPr>
        <w:pStyle w:val="20"/>
        <w:widowControl/>
        <w:numPr>
          <w:ilvl w:val="0"/>
          <w:numId w:val="21"/>
        </w:numPr>
        <w:ind w:firstLineChars="0"/>
      </w:pPr>
      <w:r>
        <w:t>委托经营方市、区市场占有率是否超标</w:t>
      </w:r>
    </w:p>
    <w:p w14:paraId="13565E38">
      <w:pPr>
        <w:pStyle w:val="20"/>
        <w:widowControl/>
        <w:numPr>
          <w:ilvl w:val="0"/>
          <w:numId w:val="21"/>
        </w:numPr>
        <w:ind w:firstLineChars="0"/>
      </w:pPr>
      <w:r>
        <w:t>委托经营方是否每年签约</w:t>
      </w:r>
    </w:p>
    <w:p w14:paraId="07C80EBF">
      <w:pPr>
        <w:pStyle w:val="20"/>
        <w:widowControl/>
        <w:numPr>
          <w:ilvl w:val="0"/>
          <w:numId w:val="21"/>
        </w:numPr>
        <w:ind w:firstLineChars="0"/>
      </w:pPr>
      <w:r>
        <w:t>带量菜谱是否按时上传并推送</w:t>
      </w:r>
    </w:p>
    <w:p w14:paraId="09A112D1">
      <w:pPr>
        <w:pStyle w:val="20"/>
        <w:widowControl/>
        <w:numPr>
          <w:ilvl w:val="0"/>
          <w:numId w:val="21"/>
        </w:numPr>
        <w:ind w:firstLineChars="0"/>
      </w:pPr>
      <w:r>
        <w:t>带量菜谱设置要素是否齐全</w:t>
      </w:r>
    </w:p>
    <w:p w14:paraId="5F076F08">
      <w:pPr>
        <w:pStyle w:val="20"/>
        <w:widowControl/>
        <w:numPr>
          <w:ilvl w:val="0"/>
          <w:numId w:val="21"/>
        </w:numPr>
        <w:ind w:firstLineChars="0"/>
      </w:pPr>
      <w:r>
        <w:t>中标单位配送原辅材料的占比是否达到合同承诺比例</w:t>
      </w:r>
    </w:p>
    <w:p w14:paraId="2C16CD0D">
      <w:pPr>
        <w:pStyle w:val="20"/>
        <w:widowControl/>
        <w:numPr>
          <w:ilvl w:val="0"/>
          <w:numId w:val="21"/>
        </w:numPr>
        <w:ind w:firstLineChars="0"/>
      </w:pPr>
      <w:r>
        <w:t>每月学生餐最受喜爱的菜谱排行</w:t>
      </w:r>
    </w:p>
    <w:p w14:paraId="3DC4B78F">
      <w:pPr>
        <w:pStyle w:val="20"/>
        <w:widowControl/>
        <w:numPr>
          <w:ilvl w:val="0"/>
          <w:numId w:val="21"/>
        </w:numPr>
        <w:ind w:firstLineChars="0"/>
      </w:pPr>
      <w:r>
        <w:t>食材名录输入是否规范</w:t>
      </w:r>
    </w:p>
    <w:p w14:paraId="65BEDCD0">
      <w:pPr>
        <w:pStyle w:val="20"/>
        <w:widowControl/>
        <w:numPr>
          <w:ilvl w:val="0"/>
          <w:numId w:val="21"/>
        </w:numPr>
        <w:ind w:firstLineChars="0"/>
      </w:pPr>
      <w:r>
        <w:t>肉类和进口产品索票索证是否齐全</w:t>
      </w:r>
    </w:p>
    <w:p w14:paraId="20AEAAA4">
      <w:pPr>
        <w:pStyle w:val="20"/>
        <w:widowControl/>
        <w:numPr>
          <w:ilvl w:val="0"/>
          <w:numId w:val="21"/>
        </w:numPr>
        <w:ind w:firstLineChars="0"/>
      </w:pPr>
      <w:r>
        <w:t>是否按照要求填报索票索证</w:t>
      </w:r>
    </w:p>
    <w:p w14:paraId="2B1C6B6E">
      <w:pPr>
        <w:pStyle w:val="20"/>
        <w:widowControl/>
        <w:numPr>
          <w:ilvl w:val="0"/>
          <w:numId w:val="21"/>
        </w:numPr>
        <w:ind w:firstLineChars="0"/>
      </w:pPr>
      <w:r>
        <w:t>学校进货单是否及时接收报送</w:t>
      </w:r>
    </w:p>
    <w:p w14:paraId="1E509B51">
      <w:pPr>
        <w:pStyle w:val="20"/>
        <w:widowControl/>
        <w:numPr>
          <w:ilvl w:val="0"/>
          <w:numId w:val="21"/>
        </w:numPr>
        <w:ind w:firstLineChars="0"/>
      </w:pPr>
      <w:r>
        <w:t>采购单是否使用慎用、禁用品</w:t>
      </w:r>
    </w:p>
    <w:p w14:paraId="2984DE7E">
      <w:pPr>
        <w:pStyle w:val="20"/>
        <w:widowControl/>
        <w:numPr>
          <w:ilvl w:val="0"/>
          <w:numId w:val="21"/>
        </w:numPr>
        <w:ind w:firstLineChars="0"/>
      </w:pPr>
      <w:r>
        <w:t>验收报送是否规范</w:t>
      </w:r>
    </w:p>
    <w:p w14:paraId="0EDA6CE4">
      <w:pPr>
        <w:pStyle w:val="20"/>
        <w:widowControl/>
        <w:numPr>
          <w:ilvl w:val="0"/>
          <w:numId w:val="21"/>
        </w:numPr>
        <w:ind w:firstLineChars="0"/>
      </w:pPr>
      <w:r>
        <w:t>验收是否完成双人双验</w:t>
      </w:r>
    </w:p>
    <w:p w14:paraId="66EB9CE5">
      <w:pPr>
        <w:pStyle w:val="20"/>
        <w:widowControl/>
        <w:numPr>
          <w:ilvl w:val="0"/>
          <w:numId w:val="21"/>
        </w:numPr>
        <w:ind w:firstLineChars="0"/>
      </w:pPr>
      <w:r>
        <w:t>校领导是否查阅核验验收环节</w:t>
      </w:r>
    </w:p>
    <w:p w14:paraId="7C83D91A">
      <w:pPr>
        <w:pStyle w:val="20"/>
        <w:widowControl/>
        <w:numPr>
          <w:ilvl w:val="0"/>
          <w:numId w:val="21"/>
        </w:numPr>
        <w:ind w:firstLineChars="0"/>
      </w:pPr>
      <w:r>
        <w:t>采购价格是否高于发改委价格</w:t>
      </w:r>
    </w:p>
    <w:p w14:paraId="784B99CC">
      <w:pPr>
        <w:pStyle w:val="20"/>
        <w:widowControl/>
        <w:numPr>
          <w:ilvl w:val="0"/>
          <w:numId w:val="21"/>
        </w:numPr>
        <w:ind w:firstLineChars="0"/>
      </w:pPr>
      <w:r>
        <w:t>食材类别占比统计</w:t>
      </w:r>
    </w:p>
    <w:p w14:paraId="0074C427">
      <w:pPr>
        <w:pStyle w:val="20"/>
        <w:widowControl/>
        <w:numPr>
          <w:ilvl w:val="0"/>
          <w:numId w:val="21"/>
        </w:numPr>
        <w:ind w:firstLineChars="0"/>
      </w:pPr>
      <w:r>
        <w:t>成品菜是否上传</w:t>
      </w:r>
    </w:p>
    <w:p w14:paraId="06935723">
      <w:pPr>
        <w:pStyle w:val="20"/>
        <w:widowControl/>
        <w:numPr>
          <w:ilvl w:val="0"/>
          <w:numId w:val="21"/>
        </w:numPr>
        <w:ind w:firstLineChars="0"/>
      </w:pPr>
      <w:r>
        <w:t>成品菜与菜谱是否一致</w:t>
      </w:r>
    </w:p>
    <w:p w14:paraId="4F3405D9">
      <w:pPr>
        <w:pStyle w:val="20"/>
        <w:widowControl/>
        <w:numPr>
          <w:ilvl w:val="0"/>
          <w:numId w:val="21"/>
        </w:numPr>
        <w:ind w:firstLineChars="0"/>
      </w:pPr>
      <w:r>
        <w:t>是否有公示陪餐计划</w:t>
      </w:r>
    </w:p>
    <w:p w14:paraId="47AE9C1B">
      <w:pPr>
        <w:pStyle w:val="20"/>
        <w:widowControl/>
        <w:numPr>
          <w:ilvl w:val="0"/>
          <w:numId w:val="21"/>
        </w:numPr>
        <w:ind w:firstLineChars="0"/>
      </w:pPr>
      <w:r>
        <w:t>是否每天有相关负责人陪餐</w:t>
      </w:r>
    </w:p>
    <w:p w14:paraId="0E0E194C">
      <w:pPr>
        <w:pStyle w:val="20"/>
        <w:widowControl/>
        <w:numPr>
          <w:ilvl w:val="0"/>
          <w:numId w:val="21"/>
        </w:numPr>
        <w:ind w:firstLineChars="0"/>
      </w:pPr>
      <w:r>
        <w:t>是否完成陪餐记录</w:t>
      </w:r>
    </w:p>
    <w:p w14:paraId="2920F162">
      <w:pPr>
        <w:pStyle w:val="20"/>
        <w:widowControl/>
        <w:numPr>
          <w:ilvl w:val="0"/>
          <w:numId w:val="21"/>
        </w:numPr>
        <w:ind w:firstLineChars="0"/>
      </w:pPr>
      <w:r>
        <w:t>陪餐问题反馈是否闭环</w:t>
      </w:r>
    </w:p>
    <w:p w14:paraId="5E11B7BA">
      <w:pPr>
        <w:pStyle w:val="20"/>
        <w:widowControl/>
        <w:numPr>
          <w:ilvl w:val="0"/>
          <w:numId w:val="21"/>
        </w:numPr>
        <w:ind w:firstLineChars="0"/>
      </w:pPr>
      <w:r>
        <w:t>学校自查是否完成填报</w:t>
      </w:r>
    </w:p>
    <w:p w14:paraId="79823660">
      <w:pPr>
        <w:pStyle w:val="20"/>
        <w:widowControl/>
        <w:numPr>
          <w:ilvl w:val="0"/>
          <w:numId w:val="21"/>
        </w:numPr>
        <w:ind w:firstLineChars="0"/>
      </w:pPr>
      <w:r>
        <w:t>专项自查清单发现问题是否闭环</w:t>
      </w:r>
    </w:p>
    <w:p w14:paraId="2E06368E">
      <w:pPr>
        <w:pStyle w:val="20"/>
        <w:widowControl/>
        <w:numPr>
          <w:ilvl w:val="0"/>
          <w:numId w:val="21"/>
        </w:numPr>
        <w:ind w:firstLineChars="0"/>
      </w:pPr>
      <w:r>
        <w:t>校领导使用平台频次</w:t>
      </w:r>
    </w:p>
    <w:p w14:paraId="0CD4517D">
      <w:pPr>
        <w:pStyle w:val="20"/>
        <w:widowControl/>
        <w:numPr>
          <w:ilvl w:val="0"/>
          <w:numId w:val="21"/>
        </w:numPr>
        <w:ind w:firstLineChars="0"/>
      </w:pPr>
      <w:r>
        <w:t>学校是否开展满意度调查</w:t>
      </w:r>
    </w:p>
    <w:p w14:paraId="094AEBFC">
      <w:pPr>
        <w:pStyle w:val="20"/>
        <w:widowControl/>
        <w:numPr>
          <w:ilvl w:val="0"/>
          <w:numId w:val="21"/>
        </w:numPr>
        <w:ind w:firstLineChars="0"/>
      </w:pPr>
      <w:r>
        <w:t>满意度低于全市平均数情况</w:t>
      </w:r>
    </w:p>
    <w:p w14:paraId="661C4E96">
      <w:pPr>
        <w:pStyle w:val="20"/>
        <w:widowControl/>
        <w:numPr>
          <w:ilvl w:val="0"/>
          <w:numId w:val="20"/>
        </w:numPr>
        <w:ind w:firstLineChars="0"/>
        <w:rPr>
          <w:rFonts w:hint="eastAsia" w:ascii="宋体" w:hAnsi="宋体" w:cs="宋体"/>
          <w:b/>
        </w:rPr>
      </w:pPr>
      <w:r>
        <w:rPr>
          <w:b/>
        </w:rPr>
        <w:t>【风险预警】</w:t>
      </w:r>
    </w:p>
    <w:p w14:paraId="66FFCD8C">
      <w:pPr>
        <w:pStyle w:val="20"/>
        <w:widowControl/>
        <w:ind w:firstLine="480"/>
      </w:pPr>
      <w:r>
        <w:t>需支持多场景食品安全风险预警处置，当学校采购食材命中禁、慎用品库时，触发可分级的风险预警；若合作供应商纳入不良记录台账，自动推送负面清单预警；在采购食材与监管部门公布的不合格产品信息匹配时，生成不合格产品溯源预警；膳食满意度调查结果低于设定阈值时，可触发预警；针对各类日常业务存在超期未报送情形，自动发出预警提示，支持分级预警以及多级消息报送机制。</w:t>
      </w:r>
    </w:p>
    <w:p w14:paraId="7E7D53C4">
      <w:pPr>
        <w:pStyle w:val="20"/>
        <w:widowControl/>
        <w:numPr>
          <w:ilvl w:val="0"/>
          <w:numId w:val="15"/>
        </w:numPr>
        <w:ind w:firstLineChars="0"/>
        <w:rPr>
          <w:b/>
        </w:rPr>
      </w:pPr>
      <w:r>
        <w:rPr>
          <w:b/>
        </w:rPr>
        <w:t>【信息公开】</w:t>
      </w:r>
    </w:p>
    <w:p w14:paraId="2903733A">
      <w:pPr>
        <w:pStyle w:val="20"/>
        <w:widowControl/>
        <w:ind w:firstLine="482"/>
        <w:rPr>
          <w:b/>
        </w:rPr>
      </w:pPr>
      <w:r>
        <w:rPr>
          <w:b/>
        </w:rPr>
        <w:t>（1）【信息公开】</w:t>
      </w:r>
    </w:p>
    <w:p w14:paraId="046836A4">
      <w:pPr>
        <w:pStyle w:val="20"/>
        <w:widowControl/>
        <w:ind w:firstLine="480"/>
      </w:pPr>
      <w:r>
        <w:t>需支持校园膳食信息分级分类公开公示管理，面向家长及膳食家委会公示食堂带量菜谱、成品菜品信息与校领导陪餐计划；面向膳食家委会开放食材验收记录、供餐单位信息的公示查询；同时支持陪餐人员个人陪餐记录的专属查阅，通过差异化公开权限，实现膳食信息透明化公示，强化校园膳食监督管理。</w:t>
      </w:r>
    </w:p>
    <w:p w14:paraId="2D04D864">
      <w:pPr>
        <w:pStyle w:val="20"/>
        <w:widowControl/>
        <w:numPr>
          <w:ilvl w:val="0"/>
          <w:numId w:val="15"/>
        </w:numPr>
        <w:ind w:firstLineChars="0"/>
        <w:rPr>
          <w:b/>
        </w:rPr>
      </w:pPr>
      <w:r>
        <w:rPr>
          <w:b/>
        </w:rPr>
        <w:t>【智能分析】</w:t>
      </w:r>
    </w:p>
    <w:p w14:paraId="2DEE519E">
      <w:pPr>
        <w:pStyle w:val="20"/>
        <w:widowControl/>
        <w:numPr>
          <w:ilvl w:val="0"/>
          <w:numId w:val="22"/>
        </w:numPr>
        <w:ind w:firstLineChars="0"/>
        <w:rPr>
          <w:rFonts w:hint="eastAsia" w:ascii="宋体" w:hAnsi="宋体" w:cs="宋体"/>
          <w:b/>
        </w:rPr>
      </w:pPr>
      <w:r>
        <w:rPr>
          <w:b/>
        </w:rPr>
        <w:t>【智能治理知识库】</w:t>
      </w:r>
    </w:p>
    <w:p w14:paraId="2ABDD358">
      <w:pPr>
        <w:pStyle w:val="20"/>
        <w:widowControl/>
        <w:ind w:firstLine="480"/>
      </w:pPr>
      <w:r>
        <w:t>需支持构建政策与制度知识库、业务规则与经验知识库、标准品名与分类知识库三类知识库，需支持条款拆解、适用匹配、版本管理、合规规则配置及食材品名智能匹配。</w:t>
      </w:r>
    </w:p>
    <w:p w14:paraId="4F61B29B">
      <w:pPr>
        <w:pStyle w:val="20"/>
        <w:widowControl/>
        <w:numPr>
          <w:ilvl w:val="0"/>
          <w:numId w:val="22"/>
        </w:numPr>
        <w:ind w:firstLineChars="0"/>
        <w:rPr>
          <w:rFonts w:hint="eastAsia" w:ascii="宋体" w:hAnsi="宋体" w:cs="宋体"/>
          <w:b/>
        </w:rPr>
      </w:pPr>
      <w:r>
        <w:rPr>
          <w:b/>
        </w:rPr>
        <w:t>【动态核查-分类管理资质合规核查】</w:t>
      </w:r>
    </w:p>
    <w:p w14:paraId="720DC3C4">
      <w:pPr>
        <w:pStyle w:val="20"/>
        <w:widowControl/>
        <w:ind w:firstLine="480"/>
      </w:pPr>
      <w:r>
        <w:t>需支持预置多字段组合业务规则库，自动扫描学校字段组合逻辑异常，检测用餐类型与菜谱不匹配、学生规模与人员配置不符等问题，输出逻辑异常清单。</w:t>
      </w:r>
    </w:p>
    <w:p w14:paraId="151C1FC8">
      <w:pPr>
        <w:pStyle w:val="20"/>
        <w:widowControl/>
        <w:numPr>
          <w:ilvl w:val="0"/>
          <w:numId w:val="22"/>
        </w:numPr>
        <w:ind w:firstLineChars="0"/>
        <w:rPr>
          <w:rFonts w:hint="eastAsia" w:ascii="宋体" w:hAnsi="宋体" w:cs="宋体"/>
          <w:b/>
        </w:rPr>
      </w:pPr>
      <w:r>
        <w:rPr>
          <w:b/>
        </w:rPr>
        <w:t>【动态核查-菜谱营养均衡与带量达标评估】</w:t>
      </w:r>
    </w:p>
    <w:p w14:paraId="72FBEC95">
      <w:pPr>
        <w:pStyle w:val="20"/>
        <w:widowControl/>
        <w:ind w:firstLine="480"/>
      </w:pPr>
      <w:r>
        <w:t>需支持按周统计食材种类与频次，对标各学段营养标准进行带量达标评估，检测菜品重复率及长期缺失品类，输出菜谱营养评估报告及改进建议。</w:t>
      </w:r>
    </w:p>
    <w:p w14:paraId="45B0016C">
      <w:pPr>
        <w:pStyle w:val="20"/>
        <w:widowControl/>
        <w:numPr>
          <w:ilvl w:val="0"/>
          <w:numId w:val="22"/>
        </w:numPr>
        <w:ind w:firstLineChars="0"/>
        <w:rPr>
          <w:rFonts w:hint="eastAsia" w:ascii="宋体" w:hAnsi="宋体" w:cs="宋体"/>
          <w:b/>
        </w:rPr>
      </w:pPr>
      <w:r>
        <w:rPr>
          <w:b/>
        </w:rPr>
        <w:t>【动态评估-菜谱与进货一致性检测（阴阳菜单）】</w:t>
      </w:r>
    </w:p>
    <w:p w14:paraId="0C33584A">
      <w:pPr>
        <w:pStyle w:val="20"/>
        <w:widowControl/>
        <w:ind w:firstLine="480"/>
      </w:pPr>
      <w:r>
        <w:t>需支持自动比对菜谱原料、进货单产品及成品菜图片三方数据，检测菜谱与进货不一致项，结合图像识别与陪餐记录交叉验证，输出阴阳菜单疑似清单及证据链。</w:t>
      </w:r>
    </w:p>
    <w:p w14:paraId="28CED05F">
      <w:pPr>
        <w:pStyle w:val="20"/>
        <w:widowControl/>
        <w:numPr>
          <w:ilvl w:val="0"/>
          <w:numId w:val="22"/>
        </w:numPr>
        <w:ind w:firstLineChars="0"/>
        <w:rPr>
          <w:rFonts w:hint="eastAsia" w:ascii="宋体" w:hAnsi="宋体" w:cs="宋体"/>
          <w:b/>
        </w:rPr>
      </w:pPr>
      <w:r>
        <w:rPr>
          <w:b/>
        </w:rPr>
        <w:t>【动态评估-教师、学生餐供货规范性分析】</w:t>
      </w:r>
    </w:p>
    <w:p w14:paraId="211C9CE9">
      <w:pPr>
        <w:pStyle w:val="20"/>
        <w:widowControl/>
        <w:ind w:firstLine="480"/>
      </w:pPr>
      <w:r>
        <w:t>需支持按用餐类型判断师生分餐执行情况，检测套餐制学校师生进货是否分开、幼儿园教师餐与幼儿餐是否混采，分析进货量与就餐人数匹配度，输出供货规范性异常清单。</w:t>
      </w:r>
    </w:p>
    <w:p w14:paraId="61BC6CA9">
      <w:pPr>
        <w:pStyle w:val="20"/>
        <w:widowControl/>
        <w:numPr>
          <w:ilvl w:val="0"/>
          <w:numId w:val="22"/>
        </w:numPr>
        <w:ind w:firstLineChars="0"/>
        <w:rPr>
          <w:rFonts w:hint="eastAsia" w:ascii="宋体" w:hAnsi="宋体" w:cs="宋体"/>
          <w:b/>
        </w:rPr>
      </w:pPr>
      <w:r>
        <w:rPr>
          <w:b/>
        </w:rPr>
        <w:t>【动态评估-校园餐入口率分析】</w:t>
      </w:r>
    </w:p>
    <w:p w14:paraId="14A17D51">
      <w:pPr>
        <w:pStyle w:val="20"/>
        <w:widowControl/>
        <w:ind w:firstLine="480"/>
      </w:pPr>
      <w:r>
        <w:t>需支持按进货价、带量菜谱理论成本、发改委市场价三种口径自动计算入口率，交叉对比识别异常学校，按自营/委托、区域、学段分组统计，输出入口率分析报告。</w:t>
      </w:r>
    </w:p>
    <w:p w14:paraId="125151D0">
      <w:pPr>
        <w:pStyle w:val="20"/>
        <w:widowControl/>
        <w:numPr>
          <w:ilvl w:val="0"/>
          <w:numId w:val="22"/>
        </w:numPr>
        <w:ind w:firstLineChars="0"/>
        <w:rPr>
          <w:rFonts w:hint="eastAsia" w:ascii="宋体" w:hAnsi="宋体" w:cs="宋体"/>
          <w:b/>
        </w:rPr>
      </w:pPr>
      <w:r>
        <w:rPr>
          <w:b/>
        </w:rPr>
        <w:t>【动态预警-进货真实性验证】</w:t>
      </w:r>
    </w:p>
    <w:p w14:paraId="54BC53AE">
      <w:pPr>
        <w:pStyle w:val="20"/>
        <w:widowControl/>
        <w:ind w:firstLine="480"/>
      </w:pPr>
      <w:r>
        <w:t>需支持自动提取索票索证中检疫证/检测报告日期，与进货单日期比对，按冷鲜/冷冻品类差异化检测，核查每日进货品类票证完整性，输出进货真实性异常清单。</w:t>
      </w:r>
    </w:p>
    <w:p w14:paraId="57E3201D">
      <w:pPr>
        <w:pStyle w:val="20"/>
        <w:widowControl/>
        <w:numPr>
          <w:ilvl w:val="0"/>
          <w:numId w:val="22"/>
        </w:numPr>
        <w:ind w:firstLineChars="0"/>
        <w:rPr>
          <w:rFonts w:hint="eastAsia" w:ascii="宋体" w:hAnsi="宋体" w:cs="宋体"/>
          <w:b/>
        </w:rPr>
      </w:pPr>
      <w:r>
        <w:rPr>
          <w:b/>
        </w:rPr>
        <w:t>【动态预警-满意度多维度关联分析】</w:t>
      </w:r>
    </w:p>
    <w:p w14:paraId="3F53D393">
      <w:pPr>
        <w:pStyle w:val="20"/>
        <w:widowControl/>
        <w:ind w:firstLine="480"/>
      </w:pPr>
      <w:r>
        <w:t>需支持将满意度数据与就餐场所、餐标、学段、办学性质、供餐方式、食材品牌产地、从业人员配置等多维度交叉分析，识别关键影响因子，输出满意度归因分析报告及改进建议。</w:t>
      </w:r>
    </w:p>
    <w:p w14:paraId="0DE87C7B">
      <w:pPr>
        <w:pStyle w:val="20"/>
        <w:widowControl/>
        <w:numPr>
          <w:ilvl w:val="0"/>
          <w:numId w:val="22"/>
        </w:numPr>
        <w:ind w:firstLineChars="0"/>
        <w:rPr>
          <w:rFonts w:hint="eastAsia" w:ascii="宋体" w:hAnsi="宋体" w:cs="宋体"/>
          <w:b/>
        </w:rPr>
      </w:pPr>
      <w:r>
        <w:rPr>
          <w:b/>
        </w:rPr>
        <w:t>【动态决策-网络讨论信息与外部风险关联排查】</w:t>
      </w:r>
    </w:p>
    <w:p w14:paraId="0F7F587F">
      <w:pPr>
        <w:pStyle w:val="20"/>
        <w:widowControl/>
        <w:ind w:firstLine="480"/>
      </w:pPr>
      <w:r>
        <w:t>需支持参照用户制定的网络讨论信息严重等级进行量化标准设定，标准维度包括：内容敏感、风险维度、主体影响力维度、传播热度维度等。需支持实时监测食品安全网络讨论信息，自动提取涉事供应商/产品/批次信息，与本地进货单及供应商名录关联比对，输出受影响学校清单及影响面评估，自动推送风险预警。需支持网络讨论信息检索任务是触发互联网全网即时检索，来保障网络讨论信息检索的及时性。</w:t>
      </w:r>
    </w:p>
    <w:p w14:paraId="1A72C5F0">
      <w:pPr>
        <w:pStyle w:val="20"/>
        <w:widowControl/>
        <w:ind w:firstLine="480"/>
      </w:pPr>
      <w:r>
        <w:t>需支持网络讨论信息检索会对输出结果，进行多个可靠信源的对比，以保证检索结果的准确性。</w:t>
      </w:r>
    </w:p>
    <w:p w14:paraId="29105AB9">
      <w:pPr>
        <w:pStyle w:val="20"/>
        <w:widowControl/>
        <w:numPr>
          <w:ilvl w:val="0"/>
          <w:numId w:val="15"/>
        </w:numPr>
        <w:ind w:firstLineChars="0"/>
        <w:rPr>
          <w:b/>
        </w:rPr>
      </w:pPr>
      <w:r>
        <w:rPr>
          <w:b/>
        </w:rPr>
        <w:t>【系统管理】</w:t>
      </w:r>
    </w:p>
    <w:p w14:paraId="737524F9">
      <w:pPr>
        <w:pStyle w:val="20"/>
        <w:widowControl/>
        <w:numPr>
          <w:ilvl w:val="0"/>
          <w:numId w:val="23"/>
        </w:numPr>
        <w:ind w:firstLineChars="0"/>
        <w:rPr>
          <w:rFonts w:hint="eastAsia" w:ascii="宋体" w:hAnsi="宋体" w:cs="宋体"/>
          <w:b/>
        </w:rPr>
      </w:pPr>
      <w:r>
        <w:rPr>
          <w:b/>
        </w:rPr>
        <w:t>【通知管理】</w:t>
      </w:r>
    </w:p>
    <w:p w14:paraId="70186661">
      <w:pPr>
        <w:pStyle w:val="20"/>
        <w:widowControl/>
        <w:ind w:firstLine="480"/>
      </w:pPr>
      <w:r>
        <w:t>需支持全平台通知公告统一管控，可实现通知公告的创建、编辑、发布与常态化管理。</w:t>
      </w:r>
    </w:p>
    <w:p w14:paraId="731C963D">
      <w:pPr>
        <w:pStyle w:val="20"/>
        <w:widowControl/>
        <w:numPr>
          <w:ilvl w:val="0"/>
          <w:numId w:val="23"/>
        </w:numPr>
        <w:ind w:firstLineChars="0"/>
        <w:rPr>
          <w:rFonts w:hint="eastAsia" w:ascii="宋体" w:hAnsi="宋体" w:cs="宋体"/>
          <w:b/>
        </w:rPr>
      </w:pPr>
      <w:r>
        <w:rPr>
          <w:b/>
        </w:rPr>
        <w:t>【角色管理】</w:t>
      </w:r>
    </w:p>
    <w:p w14:paraId="2ABC9DDE">
      <w:pPr>
        <w:pStyle w:val="20"/>
        <w:widowControl/>
        <w:ind w:firstLine="480"/>
      </w:pPr>
      <w:r>
        <w:t>需支持平台各类角色权限管控，可完成业务角色的创建与维护，能够针对不同角色配置对应的业务操作权限。</w:t>
      </w:r>
    </w:p>
    <w:p w14:paraId="5CC87668">
      <w:pPr>
        <w:pStyle w:val="20"/>
        <w:widowControl/>
        <w:ind w:firstLine="480"/>
      </w:pPr>
      <w:r>
        <w:t>小程序权限管理包含家长端、学校端和管理端，针对不同的角色分配给小程序端不同的功能项权限。</w:t>
      </w:r>
    </w:p>
    <w:p w14:paraId="2101234B">
      <w:pPr>
        <w:pStyle w:val="20"/>
        <w:widowControl/>
        <w:numPr>
          <w:ilvl w:val="0"/>
          <w:numId w:val="23"/>
        </w:numPr>
        <w:ind w:firstLineChars="0"/>
        <w:rPr>
          <w:rFonts w:hint="eastAsia" w:ascii="宋体" w:hAnsi="宋体" w:cs="宋体"/>
          <w:b/>
        </w:rPr>
      </w:pPr>
      <w:r>
        <w:rPr>
          <w:b/>
        </w:rPr>
        <w:t>【菜单管理】</w:t>
      </w:r>
    </w:p>
    <w:p w14:paraId="381267D1">
      <w:pPr>
        <w:pStyle w:val="20"/>
        <w:widowControl/>
        <w:ind w:firstLine="480"/>
      </w:pPr>
      <w:r>
        <w:t>需支持系统菜单配置，可对平台菜单进行调整与配置管理。</w:t>
      </w:r>
    </w:p>
    <w:p w14:paraId="61BFAD24">
      <w:pPr>
        <w:pStyle w:val="20"/>
        <w:widowControl/>
        <w:numPr>
          <w:ilvl w:val="0"/>
          <w:numId w:val="23"/>
        </w:numPr>
        <w:ind w:firstLineChars="0"/>
        <w:rPr>
          <w:rFonts w:hint="eastAsia" w:ascii="宋体" w:hAnsi="宋体" w:cs="宋体"/>
          <w:b/>
        </w:rPr>
      </w:pPr>
      <w:r>
        <w:rPr>
          <w:b/>
        </w:rPr>
        <w:t>【用户管理】</w:t>
      </w:r>
    </w:p>
    <w:p w14:paraId="71335ECF">
      <w:pPr>
        <w:pStyle w:val="20"/>
        <w:widowControl/>
        <w:ind w:firstLine="480"/>
      </w:pPr>
      <w:r>
        <w:rPr>
          <w:rStyle w:val="171"/>
          <w:szCs w:val="24"/>
        </w:rPr>
        <w:t>需支持平台管理及运维用户账号，可完成用户账号的创建以及账号信息的维护</w:t>
      </w:r>
      <w:r>
        <w:t>。</w:t>
      </w:r>
    </w:p>
    <w:p w14:paraId="7C19BA15">
      <w:pPr>
        <w:pStyle w:val="20"/>
        <w:widowControl/>
        <w:numPr>
          <w:ilvl w:val="0"/>
          <w:numId w:val="23"/>
        </w:numPr>
        <w:ind w:firstLineChars="0"/>
        <w:rPr>
          <w:rFonts w:hint="eastAsia" w:ascii="宋体" w:hAnsi="宋体" w:cs="宋体"/>
          <w:b/>
        </w:rPr>
      </w:pPr>
      <w:r>
        <w:rPr>
          <w:b/>
        </w:rPr>
        <w:t>【节假日管理】</w:t>
      </w:r>
    </w:p>
    <w:p w14:paraId="0204ACF9">
      <w:pPr>
        <w:pStyle w:val="20"/>
        <w:widowControl/>
        <w:ind w:firstLine="480"/>
      </w:pPr>
      <w:r>
        <w:t>需支持学校全年度节假日信息配置管理，可设置学校全年度节假日相关数据。</w:t>
      </w:r>
    </w:p>
    <w:p w14:paraId="086C6AF5">
      <w:pPr>
        <w:pStyle w:val="20"/>
        <w:widowControl/>
        <w:numPr>
          <w:ilvl w:val="0"/>
          <w:numId w:val="23"/>
        </w:numPr>
        <w:ind w:firstLineChars="0"/>
        <w:rPr>
          <w:rFonts w:hint="eastAsia" w:ascii="宋体" w:hAnsi="宋体" w:cs="宋体"/>
          <w:b/>
        </w:rPr>
      </w:pPr>
      <w:r>
        <w:rPr>
          <w:b/>
        </w:rPr>
        <w:t>【工作周期设置】</w:t>
      </w:r>
    </w:p>
    <w:p w14:paraId="424FE9B6">
      <w:pPr>
        <w:pStyle w:val="20"/>
        <w:widowControl/>
        <w:ind w:firstLine="480"/>
      </w:pPr>
      <w:r>
        <w:t>需支持系统业务时间参数配置，可配置上海市学年历。</w:t>
      </w:r>
    </w:p>
    <w:p w14:paraId="0EC5B823">
      <w:pPr>
        <w:pStyle w:val="20"/>
        <w:widowControl/>
        <w:numPr>
          <w:ilvl w:val="0"/>
          <w:numId w:val="23"/>
        </w:numPr>
        <w:ind w:firstLineChars="0"/>
        <w:rPr>
          <w:rFonts w:hint="eastAsia" w:ascii="宋体" w:hAnsi="宋体" w:cs="宋体"/>
          <w:b/>
        </w:rPr>
      </w:pPr>
      <w:r>
        <w:rPr>
          <w:b/>
        </w:rPr>
        <w:t>【常见问题】</w:t>
      </w:r>
    </w:p>
    <w:p w14:paraId="5235D6C7">
      <w:pPr>
        <w:pStyle w:val="20"/>
        <w:widowControl/>
        <w:ind w:firstLine="480"/>
      </w:pPr>
      <w:r>
        <w:t>需支持平台常见问题知识库管理，可发布系统运行、业务操作等场景下的问题及对应标准解答。</w:t>
      </w:r>
    </w:p>
    <w:p w14:paraId="767D75BE">
      <w:pPr>
        <w:pStyle w:val="20"/>
        <w:widowControl/>
        <w:numPr>
          <w:ilvl w:val="0"/>
          <w:numId w:val="23"/>
        </w:numPr>
        <w:ind w:firstLineChars="0"/>
        <w:rPr>
          <w:rFonts w:hint="eastAsia" w:ascii="宋体" w:hAnsi="宋体" w:cs="宋体"/>
          <w:b/>
        </w:rPr>
      </w:pPr>
      <w:r>
        <w:rPr>
          <w:b/>
        </w:rPr>
        <w:t>【工单管理】</w:t>
      </w:r>
    </w:p>
    <w:p w14:paraId="461AF7FA">
      <w:pPr>
        <w:pStyle w:val="20"/>
        <w:widowControl/>
        <w:ind w:firstLine="480"/>
      </w:pPr>
      <w:r>
        <w:t>需支持用户使用反馈工单全流程管理，可创建用户使用问题工单，对问题开展跟踪。</w:t>
      </w:r>
    </w:p>
    <w:p w14:paraId="13A818B3">
      <w:pPr>
        <w:pStyle w:val="20"/>
        <w:widowControl/>
        <w:numPr>
          <w:ilvl w:val="0"/>
          <w:numId w:val="23"/>
        </w:numPr>
        <w:ind w:firstLineChars="0"/>
        <w:rPr>
          <w:rFonts w:hint="eastAsia" w:ascii="宋体" w:hAnsi="宋体" w:cs="宋体"/>
          <w:b/>
        </w:rPr>
      </w:pPr>
      <w:r>
        <w:rPr>
          <w:b/>
        </w:rPr>
        <w:t>【接口系统】</w:t>
      </w:r>
    </w:p>
    <w:p w14:paraId="07E43ED0">
      <w:pPr>
        <w:pStyle w:val="20"/>
        <w:widowControl/>
        <w:ind w:firstLine="480"/>
      </w:pPr>
      <w:r>
        <w:t>需支持多外部系统接口对接能力，可对接市大数据中心获取食材每日价格、食堂从业人员健康证、企业及供应商证照等业务数据；对接市科艺中心数据交换系统，完成Web端单点登录与统一管理；对接微信开放平台，实现小程序端用户登录认证；对接终端设备采集食材验收环节计量数据；支持按申请向各区相关业务系统推送基础业务信息；对接市政务云MaaS中台，调用大模型相关能力，涵盖智能问答、文件解析、智能问数、分析报告生成、资料检索、共性知识库等接口服务。</w:t>
      </w:r>
    </w:p>
    <w:p w14:paraId="4954728A">
      <w:pPr>
        <w:pStyle w:val="20"/>
        <w:widowControl/>
        <w:numPr>
          <w:ilvl w:val="0"/>
          <w:numId w:val="15"/>
        </w:numPr>
        <w:ind w:firstLineChars="0"/>
        <w:rPr>
          <w:b/>
        </w:rPr>
      </w:pPr>
      <w:r>
        <w:rPr>
          <w:b/>
        </w:rPr>
        <w:t>【密码应用模块】</w:t>
      </w:r>
    </w:p>
    <w:p w14:paraId="47BB012F">
      <w:pPr>
        <w:pStyle w:val="20"/>
        <w:widowControl/>
        <w:ind w:firstLine="482"/>
        <w:rPr>
          <w:b/>
        </w:rPr>
      </w:pPr>
      <w:r>
        <w:rPr>
          <w:b/>
        </w:rPr>
        <w:t>（1）【密码应用模块】</w:t>
      </w:r>
    </w:p>
    <w:p w14:paraId="6C2934E0">
      <w:pPr>
        <w:pStyle w:val="20"/>
        <w:widowControl/>
        <w:ind w:firstLine="480"/>
      </w:pPr>
      <w:r>
        <w:t>需支持商用密码应用安全模块能力建设，遵循国家密码应用相关规范，支持系统用户身份鉴别、关键业务数据加密存储与传输保护，实现敏感信息防篡改、防泄露；具备密码安全校验、数据完整性防护及日志留存能力，保障平台账号登录、业务上报、数据交互、信息公示等全流程数据安全可信，满足等保及商用密码应用合规要求。</w:t>
      </w:r>
    </w:p>
    <w:p w14:paraId="74D077C3">
      <w:pPr>
        <w:pStyle w:val="5"/>
        <w:widowControl/>
        <w:numPr>
          <w:ilvl w:val="0"/>
          <w:numId w:val="14"/>
        </w:numPr>
      </w:pPr>
      <w:r>
        <w:t>平台性能要求</w:t>
      </w:r>
    </w:p>
    <w:p w14:paraId="7C8F7935">
      <w:pPr>
        <w:pStyle w:val="20"/>
        <w:widowControl/>
        <w:ind w:firstLine="480"/>
      </w:pPr>
      <w:bookmarkStart w:id="0" w:name="OLE_LINK39"/>
      <w:r>
        <w:t>本项目部署于政务云主机，要求系统在可靠性、易用性和可扩展性等方面，需满足以下要求：可靠性要满足系统7×24小时不间断服务的要求。系统可用率≥99.99%，即每年的不可用时间小于9小时。采用标准接口、界面友好、使用方便。支撑基础设施、软件结构、数据库等方面的设计能满足功能不断扩展，以及系统容量和用户数量不断增长的要求。</w:t>
      </w:r>
    </w:p>
    <w:p w14:paraId="2729F2BF">
      <w:pPr>
        <w:pStyle w:val="20"/>
        <w:widowControl/>
        <w:ind w:firstLine="480"/>
      </w:pPr>
      <w:r>
        <w:t>要求平台各业务模块最大支持同时在线1000人。要求采用通用性好、安全可靠的操作系统以及大型数据库系统，以保证系统良好的性能，响应时间：常规业务模块≤3s，关键业务模块≤2s。</w:t>
      </w:r>
      <w:bookmarkEnd w:id="0"/>
    </w:p>
    <w:p w14:paraId="0F52530B">
      <w:pPr>
        <w:pStyle w:val="5"/>
        <w:widowControl/>
        <w:numPr>
          <w:ilvl w:val="0"/>
          <w:numId w:val="14"/>
        </w:numPr>
      </w:pPr>
      <w:r>
        <w:t>平台其他要求</w:t>
      </w:r>
    </w:p>
    <w:p w14:paraId="250DEF59">
      <w:pPr>
        <w:pStyle w:val="6"/>
        <w:widowControl/>
        <w:numPr>
          <w:ilvl w:val="0"/>
          <w:numId w:val="24"/>
        </w:numPr>
        <w:rPr>
          <w:rFonts w:hint="eastAsia" w:ascii="黑体" w:hAnsi="黑体" w:cs="黑体"/>
        </w:rPr>
      </w:pPr>
      <w:r>
        <w:t>与上海随申办、科艺中心对接要求</w:t>
      </w:r>
    </w:p>
    <w:p w14:paraId="22A3F5E9">
      <w:pPr>
        <w:pStyle w:val="20"/>
        <w:widowControl/>
        <w:ind w:firstLine="480"/>
      </w:pPr>
      <w:r>
        <w:t>本项目系统需完成上海市科技艺术教育中心（以下简称科艺中心）官方平台与上海随申办政务服务平台双向标准化对接，依托科艺中心已完成的随申办基础对接能力，打通双平台身份认证、用户登录、数据同步、权限互通通道，实现科艺中心账号、随申办账号双渠道独立登录、互通兼容，满足政务服务规范化、用户访问便捷化建设要求，所有对接工作需完全符合上海市政务平台对接规范、科艺中心信息化平台接入标准。</w:t>
      </w:r>
    </w:p>
    <w:p w14:paraId="071DB78D">
      <w:pPr>
        <w:pStyle w:val="20"/>
        <w:widowControl/>
        <w:ind w:firstLine="480"/>
      </w:pPr>
      <w:r>
        <w:t>需完成系统适配改造，搭建双登录认证体系，依托科艺中心现有随申办对接接口，实现两套账号体系无缝兼容、独立可用，具体要求如下：</w:t>
      </w:r>
    </w:p>
    <w:p w14:paraId="1A174FC7">
      <w:pPr>
        <w:pStyle w:val="20"/>
        <w:widowControl/>
        <w:ind w:firstLine="480"/>
      </w:pPr>
      <w:r>
        <w:t>科艺中心账号登录：系统需全面适配科艺中心官方用户账号体系，支持科艺中心在册用户通过原有账号密码、统一身份认证方式直接登录本系统，同步复用科艺中心平台用户权限、角色信息，保障内部用户原有使用习惯不变，权限配置一致。</w:t>
      </w:r>
    </w:p>
    <w:p w14:paraId="0B5C3793">
      <w:pPr>
        <w:pStyle w:val="20"/>
        <w:widowControl/>
        <w:ind w:firstLine="480"/>
      </w:pPr>
      <w:r>
        <w:t>上海随申办账号登录：依托科艺中心已对接随申办的成熟接口能力，完成本系统随申办政务登录适配，支持市民、师生等外部用户通过随申办APP、随申办小程序、随申办政务统一登录入口，授权后直接免密登录本系统，无需额外注册账号，实现政务便民一键登录。</w:t>
      </w:r>
    </w:p>
    <w:p w14:paraId="6BCCB14E">
      <w:pPr>
        <w:pStyle w:val="20"/>
        <w:widowControl/>
        <w:ind w:firstLine="480"/>
      </w:pPr>
      <w:r>
        <w:t>双账号互通兼容：系统需实现双登录渠道并行可用、互不冲突，同一用户的科艺中心账号与随申办实名认证账号可完成关联绑定，用户可自由选择任意一种方式登录系统，登录后共享统一用户数据、操作权限、业务数据，确保双渠道登录状态、用户信息、业务数据实时同步一致。</w:t>
      </w:r>
    </w:p>
    <w:p w14:paraId="26BAF24D">
      <w:pPr>
        <w:pStyle w:val="6"/>
        <w:widowControl/>
        <w:numPr>
          <w:ilvl w:val="0"/>
          <w:numId w:val="24"/>
        </w:numPr>
        <w:rPr>
          <w:rFonts w:hint="eastAsia" w:ascii="黑体" w:hAnsi="黑体" w:cs="黑体"/>
        </w:rPr>
      </w:pPr>
      <w:r>
        <w:t>数据治理要求</w:t>
      </w:r>
    </w:p>
    <w:p w14:paraId="4585FBA4">
      <w:pPr>
        <w:pStyle w:val="20"/>
        <w:widowControl/>
        <w:ind w:firstLine="480"/>
      </w:pPr>
      <w:bookmarkStart w:id="1" w:name="OLE_LINK36"/>
      <w:r>
        <w:t>每年数据抽取、清洗、入库的成功记录不少于6000万条，提交符合政务云环境运行的数据集，字段类型适配改造；</w:t>
      </w:r>
    </w:p>
    <w:p w14:paraId="4CEE54D3">
      <w:pPr>
        <w:pStyle w:val="20"/>
        <w:widowControl/>
        <w:numPr>
          <w:ilvl w:val="0"/>
          <w:numId w:val="25"/>
        </w:numPr>
        <w:ind w:firstLineChars="0"/>
        <w:rPr>
          <w:rFonts w:hint="eastAsia" w:ascii="宋体" w:hAnsi="宋体" w:cs="宋体"/>
        </w:rPr>
      </w:pPr>
      <w:r>
        <w:t>字符集编码统一转换；</w:t>
      </w:r>
    </w:p>
    <w:p w14:paraId="1CCACD79">
      <w:pPr>
        <w:pStyle w:val="20"/>
        <w:widowControl/>
        <w:numPr>
          <w:ilvl w:val="0"/>
          <w:numId w:val="25"/>
        </w:numPr>
        <w:ind w:firstLineChars="0"/>
        <w:rPr>
          <w:rFonts w:hint="eastAsia" w:ascii="宋体" w:hAnsi="宋体" w:cs="宋体"/>
        </w:rPr>
      </w:pPr>
      <w:r>
        <w:t>事务逻辑验证与兼容性调整；</w:t>
      </w:r>
    </w:p>
    <w:p w14:paraId="50D9061E">
      <w:pPr>
        <w:pStyle w:val="20"/>
        <w:widowControl/>
        <w:numPr>
          <w:ilvl w:val="0"/>
          <w:numId w:val="25"/>
        </w:numPr>
        <w:ind w:firstLineChars="0"/>
        <w:rPr>
          <w:rFonts w:hint="eastAsia" w:ascii="宋体" w:hAnsi="宋体" w:cs="宋体"/>
        </w:rPr>
      </w:pPr>
      <w:r>
        <w:t>索引优化重建；</w:t>
      </w:r>
    </w:p>
    <w:p w14:paraId="6CEE3C47">
      <w:pPr>
        <w:pStyle w:val="20"/>
        <w:widowControl/>
        <w:numPr>
          <w:ilvl w:val="0"/>
          <w:numId w:val="25"/>
        </w:numPr>
        <w:ind w:firstLineChars="0"/>
        <w:rPr>
          <w:rFonts w:hint="eastAsia" w:ascii="宋体" w:hAnsi="宋体" w:cs="宋体"/>
        </w:rPr>
      </w:pPr>
      <w:r>
        <w:t>无效数据清理。</w:t>
      </w:r>
      <w:bookmarkEnd w:id="1"/>
    </w:p>
    <w:p w14:paraId="0A8B5480">
      <w:pPr>
        <w:pStyle w:val="5"/>
        <w:widowControl/>
        <w:numPr>
          <w:ilvl w:val="0"/>
          <w:numId w:val="14"/>
        </w:numPr>
      </w:pPr>
      <w:r>
        <w:t>平台接口要求</w:t>
      </w:r>
    </w:p>
    <w:p w14:paraId="6548C807">
      <w:pPr>
        <w:pStyle w:val="20"/>
        <w:widowControl/>
        <w:ind w:firstLine="480"/>
      </w:pPr>
      <w:r>
        <w:t>平台需建设统一API接口网关，实现内外系统的数据交互、身份认证、业务协同，接口全部遵循上海市政务数据共享交换相关技术规范，支持接口鉴权、限流、日志审计、版本管理，保障接口调用安全稳定。</w:t>
      </w:r>
    </w:p>
    <w:p w14:paraId="024DF138">
      <w:pPr>
        <w:pStyle w:val="6"/>
        <w:widowControl/>
        <w:numPr>
          <w:ilvl w:val="0"/>
          <w:numId w:val="26"/>
        </w:numPr>
        <w:rPr>
          <w:rFonts w:hint="eastAsia" w:ascii="黑体" w:hAnsi="黑体" w:cs="黑体"/>
        </w:rPr>
      </w:pPr>
      <w:r>
        <w:t>对接外部第三方系统</w:t>
      </w:r>
    </w:p>
    <w:p w14:paraId="4EBF0A95">
      <w:pPr>
        <w:pStyle w:val="20"/>
        <w:widowControl/>
        <w:numPr>
          <w:ilvl w:val="0"/>
          <w:numId w:val="27"/>
        </w:numPr>
        <w:ind w:firstLineChars="0"/>
        <w:rPr>
          <w:rFonts w:hint="eastAsia" w:ascii="宋体" w:hAnsi="宋体" w:cs="宋体"/>
        </w:rPr>
      </w:pPr>
      <w:r>
        <w:t>上海市科技艺术教育中心（科艺中心）数据交换系统：对接实现 Web 端单点登录，复用科艺中心账号体系，完成用户身份、角色权限同步互通。用户发起登录时实时调用接口，获取用户姓名、手机号、证件类型、证件号共 4 个字段信息。业务数据采用 T+1 模式每日进行推送，共计推送8类业务数据表，合计约120个业务字段。</w:t>
      </w:r>
    </w:p>
    <w:p w14:paraId="3D059676">
      <w:pPr>
        <w:pStyle w:val="20"/>
        <w:widowControl/>
        <w:numPr>
          <w:ilvl w:val="0"/>
          <w:numId w:val="27"/>
        </w:numPr>
        <w:ind w:firstLineChars="0"/>
        <w:rPr>
          <w:rFonts w:hint="eastAsia" w:ascii="宋体" w:hAnsi="宋体" w:cs="宋体"/>
        </w:rPr>
      </w:pPr>
      <w:r>
        <w:t>上海随申办平台：依托科艺中心现有随申办对接接口完成适配，实现随申办实名认证免密登录，支持市民、教师登录使用，同时支持科艺中心账号与随申办账号进行绑定关联。用户发起登录时实时触发接口调用，接口返回姓名、手机号、证件类型、证件号 4 个用户基础字段。</w:t>
      </w:r>
    </w:p>
    <w:p w14:paraId="1A6A146B">
      <w:pPr>
        <w:pStyle w:val="20"/>
        <w:widowControl/>
        <w:numPr>
          <w:ilvl w:val="0"/>
          <w:numId w:val="27"/>
        </w:numPr>
        <w:ind w:firstLineChars="0"/>
        <w:rPr>
          <w:rFonts w:hint="eastAsia" w:ascii="宋体" w:hAnsi="宋体" w:cs="宋体"/>
        </w:rPr>
      </w:pPr>
      <w:r>
        <w:t>上海市发改委：对接上海市发改委接口获取食材每日价格相关业务数据，每日执行一次数据获取，在每日下午 17 点至 21 点时间段拉取当日食材价格数据，传输食材价格相关全部业务字段。</w:t>
      </w:r>
    </w:p>
    <w:p w14:paraId="729DF9C0">
      <w:pPr>
        <w:pStyle w:val="20"/>
        <w:widowControl/>
        <w:numPr>
          <w:ilvl w:val="0"/>
          <w:numId w:val="27"/>
        </w:numPr>
        <w:ind w:firstLineChars="0"/>
        <w:rPr>
          <w:rFonts w:hint="eastAsia" w:ascii="宋体" w:hAnsi="宋体" w:cs="宋体"/>
        </w:rPr>
      </w:pPr>
      <w:r>
        <w:t>微信开放平台：对接微信开放平台完成小程序登录认证，支撑家长端、学校端、管理端小程序的用户身份核验，同时实现系统消息、风险预警消息推送能力。用户发起小程序登录时实时调用接口，获取姓名、手机号 2 个用户字段。</w:t>
      </w:r>
    </w:p>
    <w:p w14:paraId="31833363">
      <w:pPr>
        <w:pStyle w:val="20"/>
        <w:widowControl/>
        <w:numPr>
          <w:ilvl w:val="0"/>
          <w:numId w:val="27"/>
        </w:numPr>
        <w:ind w:firstLineChars="0"/>
        <w:rPr>
          <w:rFonts w:hint="eastAsia" w:ascii="宋体" w:hAnsi="宋体" w:cs="宋体"/>
        </w:rPr>
      </w:pPr>
      <w:r>
        <w:t>终端计量采集设备：可支持对接通用食材验收环节计量采集终端设备，并完成验收计量全量业务数据实时回传。</w:t>
      </w:r>
    </w:p>
    <w:p w14:paraId="11572187">
      <w:pPr>
        <w:pStyle w:val="20"/>
        <w:widowControl/>
        <w:numPr>
          <w:ilvl w:val="0"/>
          <w:numId w:val="27"/>
        </w:numPr>
        <w:ind w:firstLineChars="0"/>
        <w:rPr>
          <w:rFonts w:hint="eastAsia" w:ascii="宋体" w:hAnsi="宋体" w:cs="宋体"/>
        </w:rPr>
      </w:pPr>
      <w:r>
        <w:t>上海市市场监管局：对接上海市食品安全信息追溯平台接口以及企业追溯系统，本系统向市场监管局推送全市校园餐溯源数据。溯源数据采用 T+2 模式进行推送，正常供餐日完成推送完整溯源业务字段约16万条。</w:t>
      </w:r>
    </w:p>
    <w:p w14:paraId="56ADF33C">
      <w:pPr>
        <w:pStyle w:val="20"/>
        <w:widowControl/>
        <w:numPr>
          <w:ilvl w:val="0"/>
          <w:numId w:val="27"/>
        </w:numPr>
        <w:ind w:firstLineChars="0"/>
        <w:rPr>
          <w:rFonts w:hint="eastAsia" w:ascii="宋体" w:hAnsi="宋体" w:cs="宋体"/>
        </w:rPr>
      </w:pPr>
      <w:r>
        <w:t>市政务云MaaS中台：调用市政务云 MaaS 中台政务大模型接口，为系统提供智能问答、文件解析、智能问数、分析报告自动生成、资料检索、共性知识库等 AI 能力。接口采用按需调用模式，业务场景触发后才发起接口请求，根据实际业务场景动态传入对应的业务字段。</w:t>
      </w:r>
    </w:p>
    <w:p w14:paraId="5C0AFACD">
      <w:pPr>
        <w:pStyle w:val="20"/>
        <w:widowControl/>
        <w:numPr>
          <w:ilvl w:val="0"/>
          <w:numId w:val="27"/>
        </w:numPr>
        <w:ind w:firstLineChars="0"/>
        <w:rPr>
          <w:rFonts w:hint="eastAsia" w:ascii="宋体" w:hAnsi="宋体" w:cs="宋体"/>
        </w:rPr>
      </w:pPr>
      <w:r>
        <w:t>大宗食材系统：按照接口规范开展对接大宗食材系统，对接业务范围包含 Token 鉴权管理、产品信息新增、修改、删除，索票索证文件上传与删除、供货单批量上报等数据。</w:t>
      </w:r>
    </w:p>
    <w:p w14:paraId="6A5931AA">
      <w:pPr>
        <w:pStyle w:val="6"/>
        <w:widowControl/>
        <w:numPr>
          <w:ilvl w:val="0"/>
          <w:numId w:val="26"/>
        </w:numPr>
        <w:rPr>
          <w:rFonts w:hint="eastAsia" w:ascii="黑体" w:hAnsi="黑体" w:cs="黑体"/>
        </w:rPr>
      </w:pPr>
      <w:r>
        <w:t xml:space="preserve">数据共享与业务协同要求 </w:t>
      </w:r>
    </w:p>
    <w:p w14:paraId="7AD34409">
      <w:pPr>
        <w:pStyle w:val="20"/>
        <w:widowControl/>
        <w:numPr>
          <w:ilvl w:val="0"/>
          <w:numId w:val="28"/>
        </w:numPr>
        <w:ind w:firstLineChars="0"/>
        <w:rPr>
          <w:rFonts w:hint="eastAsia" w:ascii="宋体" w:hAnsi="宋体" w:cs="宋体"/>
        </w:rPr>
      </w:pPr>
      <w:r>
        <w:t>对各区数据反哺：支持通过科艺中心的交换中心平台按需向各区业务系统推送学校基础台账、供应商信息、带量菜谱信息、溯源信息、验菜信息、产品信息等业务数据，支持区平台获取属地校园餐业务数据，支撑区级本地化监管业务开展。</w:t>
      </w:r>
    </w:p>
    <w:p w14:paraId="15E60216">
      <w:pPr>
        <w:pStyle w:val="20"/>
        <w:widowControl/>
        <w:numPr>
          <w:ilvl w:val="0"/>
          <w:numId w:val="28"/>
        </w:numPr>
        <w:ind w:firstLineChars="0"/>
        <w:rPr>
          <w:rFonts w:hint="eastAsia" w:ascii="宋体" w:hAnsi="宋体" w:cs="宋体"/>
        </w:rPr>
      </w:pPr>
      <w:r>
        <w:t>接口业务闭环：接口交互全过程留存交互日志，记录调用方、调用时间、入参出参、调用结果；对接数据需做数据校验，对异常、缺失数据进行识别标记；支持双向数据同步，保障多系统之间业务数据一致性。</w:t>
      </w:r>
    </w:p>
    <w:p w14:paraId="07D756F2">
      <w:pPr>
        <w:pStyle w:val="5"/>
        <w:widowControl/>
        <w:numPr>
          <w:ilvl w:val="0"/>
          <w:numId w:val="14"/>
        </w:numPr>
      </w:pPr>
      <w:r>
        <w:t>数据服务方案</w:t>
      </w:r>
    </w:p>
    <w:p w14:paraId="424DFC26">
      <w:pPr>
        <w:pStyle w:val="20"/>
        <w:widowControl/>
        <w:ind w:firstLine="480"/>
      </w:pPr>
      <w:r>
        <w:t>系统支持与</w:t>
      </w:r>
      <w:r>
        <w:rPr>
          <w:rFonts w:hint="eastAsia"/>
        </w:rPr>
        <w:t>上述</w:t>
      </w:r>
      <w:r>
        <w:t>第三方系统数据对接，兼容业务数据格式，可完整完成数据接入、清洗、转换、入库工作，保障数据可完整展示、精准查询。</w:t>
      </w:r>
    </w:p>
    <w:p w14:paraId="33EAC05D">
      <w:pPr>
        <w:pStyle w:val="5"/>
        <w:widowControl/>
        <w:numPr>
          <w:ilvl w:val="0"/>
          <w:numId w:val="14"/>
        </w:numPr>
      </w:pPr>
      <w:r>
        <w:t>信息技术自主创新要求</w:t>
      </w:r>
    </w:p>
    <w:p w14:paraId="4FE2765E">
      <w:pPr>
        <w:pStyle w:val="20"/>
        <w:widowControl/>
        <w:ind w:firstLine="480"/>
      </w:pPr>
      <w:r>
        <w:t>本系统部署于市大数据中心政务云主机，全栈开展信息技术应用创新适配，所有基础软件、应用软件需完成国产化环境兼容适配，满足政务云建设相关规范。</w:t>
      </w:r>
    </w:p>
    <w:p w14:paraId="3DE3D209">
      <w:pPr>
        <w:pStyle w:val="20"/>
        <w:widowControl/>
        <w:ind w:firstLine="480"/>
      </w:pPr>
      <w:r>
        <w:t>操作系统适配：服务端完整适配支持不少于两类国产服务器操作系统。</w:t>
      </w:r>
    </w:p>
    <w:p w14:paraId="67FD6D99">
      <w:pPr>
        <w:pStyle w:val="20"/>
        <w:widowControl/>
        <w:ind w:firstLine="480"/>
      </w:pPr>
      <w:r>
        <w:t>中间件适配：全面兼容国产中间件产品，支持国产应用服务器、国产消息中间件、国产缓存中间件，完成服务部署、消息队列、缓存服务适配改造，保障业务正常运行。</w:t>
      </w:r>
    </w:p>
    <w:p w14:paraId="0062679E">
      <w:pPr>
        <w:pStyle w:val="20"/>
        <w:widowControl/>
        <w:ind w:firstLine="480"/>
      </w:pPr>
      <w:r>
        <w:t>数据库适配：业务数据库采用国产数据库，完成业务字段类型改造适配，字符集统一调整，完成存储过程、事务逻辑、索引适配优化；支持分库分表、数据备份恢复，具备每年数据抽取、清洗、入库的成功记录不少于6000万条的数据治理数据存储能力。</w:t>
      </w:r>
    </w:p>
    <w:p w14:paraId="5A2DD47D">
      <w:pPr>
        <w:pStyle w:val="20"/>
        <w:widowControl/>
        <w:ind w:firstLine="480"/>
      </w:pPr>
      <w:r>
        <w:t>运行环境适配：容器化组件、工具链均采用政务云环境兼容版本；系统可完整部署运行在政务云主机，不依赖闭源国外基础组件；输出可在政务云环境直接部署运行的完整业务程序、部署脚本、配置文档。</w:t>
      </w:r>
    </w:p>
    <w:p w14:paraId="790F9F8F">
      <w:pPr>
        <w:pStyle w:val="5"/>
        <w:widowControl/>
        <w:numPr>
          <w:ilvl w:val="0"/>
          <w:numId w:val="14"/>
        </w:numPr>
      </w:pPr>
      <w:r>
        <w:t>国密密码应用要求</w:t>
      </w:r>
    </w:p>
    <w:p w14:paraId="67692576">
      <w:pPr>
        <w:pStyle w:val="20"/>
        <w:widowControl/>
        <w:ind w:firstLine="480"/>
      </w:pPr>
      <w:r>
        <w:t>平台密码应用模块严格落实国家密码管理相关法规标准，对接政务云密码服务体系，实现业务全流程密码安全防护。</w:t>
      </w:r>
    </w:p>
    <w:p w14:paraId="47CF0B17">
      <w:pPr>
        <w:pStyle w:val="20"/>
        <w:widowControl/>
        <w:ind w:firstLine="482"/>
      </w:pPr>
      <w:r>
        <w:rPr>
          <w:b/>
        </w:rPr>
        <w:t>政务云密码体系对接：</w:t>
      </w:r>
      <w:r>
        <w:t>充分利用政务云提供的密码服务资源，调用云平台密码服务能力，不单独自建密码硬件设备；完成与政务云密码服务网关对接，实现密码服务调用、密钥托管，符合政务云密码基础设施接入规范。</w:t>
      </w:r>
    </w:p>
    <w:p w14:paraId="6CE9486B">
      <w:pPr>
        <w:pStyle w:val="20"/>
        <w:widowControl/>
        <w:ind w:firstLine="482"/>
      </w:pPr>
      <w:r>
        <w:rPr>
          <w:b/>
        </w:rPr>
        <w:t>密钥管理要求：</w:t>
      </w:r>
      <w:r>
        <w:t>密钥由政务云密码服务体系统一托管，密钥生成、分发、存储、更新、销毁全流程符合国密密钥管理规范；应用系统不直接明文保存密钥，密钥生命周期全程可审计，避免密钥泄漏风险。</w:t>
      </w:r>
    </w:p>
    <w:p w14:paraId="4C8C339F">
      <w:pPr>
        <w:pStyle w:val="5"/>
        <w:widowControl/>
      </w:pPr>
      <w:r>
        <w:t>业务密码防护场景</w:t>
      </w:r>
    </w:p>
    <w:p w14:paraId="39A53341">
      <w:pPr>
        <w:pStyle w:val="20"/>
        <w:widowControl/>
        <w:numPr>
          <w:ilvl w:val="0"/>
          <w:numId w:val="29"/>
        </w:numPr>
        <w:ind w:firstLineChars="0"/>
        <w:rPr>
          <w:rFonts w:hint="eastAsia" w:ascii="宋体" w:hAnsi="宋体" w:cs="宋体"/>
        </w:rPr>
      </w:pPr>
      <w:r>
        <w:t>用户身份鉴别：基于国密算法实现登录身份校验，关键操作实现签名验签；</w:t>
      </w:r>
    </w:p>
    <w:p w14:paraId="11AC0BF3">
      <w:pPr>
        <w:pStyle w:val="20"/>
        <w:widowControl/>
        <w:numPr>
          <w:ilvl w:val="0"/>
          <w:numId w:val="29"/>
        </w:numPr>
        <w:ind w:firstLineChars="0"/>
        <w:rPr>
          <w:rFonts w:hint="eastAsia" w:ascii="宋体" w:hAnsi="宋体" w:cs="宋体"/>
        </w:rPr>
      </w:pPr>
      <w:r>
        <w:t>传输安全：平台Web、小程序、接口通信链路使用国密TLS加密传输；</w:t>
      </w:r>
    </w:p>
    <w:p w14:paraId="3682ED0E">
      <w:pPr>
        <w:pStyle w:val="20"/>
        <w:widowControl/>
        <w:numPr>
          <w:ilvl w:val="0"/>
          <w:numId w:val="29"/>
        </w:numPr>
        <w:ind w:firstLineChars="0"/>
        <w:rPr>
          <w:rFonts w:hint="eastAsia" w:ascii="宋体" w:hAnsi="宋体" w:cs="宋体"/>
        </w:rPr>
      </w:pPr>
      <w:r>
        <w:t>存储安全：手机号、证件号等敏感隐私数据、关键业务记录采用国密加密存储；</w:t>
      </w:r>
    </w:p>
    <w:p w14:paraId="105319C2">
      <w:pPr>
        <w:pStyle w:val="20"/>
        <w:widowControl/>
        <w:numPr>
          <w:ilvl w:val="0"/>
          <w:numId w:val="29"/>
        </w:numPr>
        <w:ind w:firstLineChars="0"/>
        <w:rPr>
          <w:rFonts w:hint="eastAsia" w:ascii="宋体" w:hAnsi="宋体" w:cs="宋体"/>
        </w:rPr>
      </w:pPr>
      <w:r>
        <w:t>完整性保护：食材验收记录、自查台账、预警处置记录等不可篡改业务数据做完整性校验，防止数据被篡改；</w:t>
      </w:r>
    </w:p>
    <w:p w14:paraId="5F0FEEF5">
      <w:pPr>
        <w:pStyle w:val="20"/>
        <w:widowControl/>
        <w:numPr>
          <w:ilvl w:val="0"/>
          <w:numId w:val="29"/>
        </w:numPr>
        <w:ind w:firstLineChars="0"/>
        <w:rPr>
          <w:rFonts w:hint="eastAsia" w:ascii="宋体" w:hAnsi="宋体" w:cs="宋体"/>
        </w:rPr>
      </w:pPr>
      <w:r>
        <w:t>日志与合规：密码调用、密钥操作完整留存审计日志；项目建设完成后满足商用密码应用安全性评估相关要求，为密评工作提供完整材料。</w:t>
      </w:r>
    </w:p>
    <w:p w14:paraId="014F11C9">
      <w:pPr>
        <w:pStyle w:val="5"/>
        <w:widowControl/>
        <w:numPr>
          <w:ilvl w:val="0"/>
          <w:numId w:val="14"/>
        </w:numPr>
      </w:pPr>
      <w:r>
        <w:t>安全保护等级要求</w:t>
      </w:r>
    </w:p>
    <w:p w14:paraId="516A0B42">
      <w:pPr>
        <w:pStyle w:val="20"/>
        <w:widowControl/>
        <w:ind w:firstLine="482"/>
      </w:pPr>
      <w:r>
        <w:rPr>
          <w:b/>
        </w:rPr>
        <w:t>保护级别：</w:t>
      </w:r>
      <w:r>
        <w:t>本系统按照网络安全等级保护 2.0 三级进行规划、设计、开发、部署与运维。</w:t>
      </w:r>
    </w:p>
    <w:p w14:paraId="3BD9C8E5">
      <w:pPr>
        <w:pStyle w:val="20"/>
        <w:widowControl/>
        <w:ind w:firstLine="482"/>
        <w:rPr>
          <w:b/>
        </w:rPr>
      </w:pPr>
      <w:r>
        <w:rPr>
          <w:b/>
        </w:rPr>
        <w:t>测评过程中主要依据的标准：</w:t>
      </w:r>
    </w:p>
    <w:p w14:paraId="6C74BA84">
      <w:pPr>
        <w:pStyle w:val="20"/>
        <w:widowControl/>
        <w:ind w:firstLine="480"/>
        <w:rPr>
          <w:b w:val="0"/>
          <w:bCs/>
        </w:rPr>
      </w:pPr>
      <w:r>
        <w:rPr>
          <w:b w:val="0"/>
          <w:bCs/>
        </w:rPr>
        <w:t>GB/T 22239-2019</w:t>
      </w:r>
      <w:r>
        <w:rPr>
          <w:rFonts w:hint="eastAsia"/>
          <w:b w:val="0"/>
          <w:bCs/>
        </w:rPr>
        <w:t>《信息安全技术</w:t>
      </w:r>
      <w:r>
        <w:rPr>
          <w:b w:val="0"/>
          <w:bCs/>
        </w:rPr>
        <w:t xml:space="preserve"> </w:t>
      </w:r>
      <w:r>
        <w:rPr>
          <w:rFonts w:hint="eastAsia"/>
          <w:b w:val="0"/>
          <w:bCs/>
        </w:rPr>
        <w:t>网络安全等级保护基本要求》</w:t>
      </w:r>
    </w:p>
    <w:p w14:paraId="3EDADE3E">
      <w:pPr>
        <w:pStyle w:val="20"/>
        <w:widowControl/>
        <w:ind w:firstLine="480"/>
        <w:rPr>
          <w:b w:val="0"/>
          <w:bCs/>
        </w:rPr>
      </w:pPr>
      <w:r>
        <w:rPr>
          <w:b w:val="0"/>
          <w:bCs/>
        </w:rPr>
        <w:t>GB/T 28448-2019</w:t>
      </w:r>
      <w:r>
        <w:rPr>
          <w:rFonts w:hint="eastAsia"/>
          <w:b w:val="0"/>
          <w:bCs/>
        </w:rPr>
        <w:t>《信息安全技术</w:t>
      </w:r>
      <w:r>
        <w:rPr>
          <w:b w:val="0"/>
          <w:bCs/>
        </w:rPr>
        <w:t xml:space="preserve"> </w:t>
      </w:r>
      <w:r>
        <w:rPr>
          <w:rFonts w:hint="eastAsia"/>
          <w:b w:val="0"/>
          <w:bCs/>
        </w:rPr>
        <w:t>网络安全等级保护测评要求》</w:t>
      </w:r>
    </w:p>
    <w:p w14:paraId="18976664">
      <w:pPr>
        <w:pStyle w:val="20"/>
        <w:widowControl/>
        <w:ind w:firstLine="482"/>
        <w:rPr>
          <w:b/>
        </w:rPr>
      </w:pPr>
      <w:r>
        <w:rPr>
          <w:b/>
        </w:rPr>
        <w:t>测评过程中主要参考的标准：</w:t>
      </w:r>
    </w:p>
    <w:p w14:paraId="4B4A8FF4">
      <w:pPr>
        <w:pStyle w:val="20"/>
        <w:widowControl/>
        <w:ind w:firstLine="480"/>
        <w:rPr>
          <w:b w:val="0"/>
          <w:bCs/>
        </w:rPr>
      </w:pPr>
      <w:r>
        <w:rPr>
          <w:b w:val="0"/>
          <w:bCs/>
        </w:rPr>
        <w:t>GB 17859-1999</w:t>
      </w:r>
      <w:r>
        <w:rPr>
          <w:rFonts w:hint="eastAsia"/>
          <w:b w:val="0"/>
          <w:bCs/>
        </w:rPr>
        <w:t>《计算机信息系统安全保护等级划分准则》</w:t>
      </w:r>
    </w:p>
    <w:p w14:paraId="4495E8EC">
      <w:pPr>
        <w:pStyle w:val="20"/>
        <w:widowControl/>
        <w:ind w:firstLine="480"/>
        <w:rPr>
          <w:b w:val="0"/>
          <w:bCs/>
        </w:rPr>
      </w:pPr>
      <w:r>
        <w:rPr>
          <w:b w:val="0"/>
          <w:bCs/>
        </w:rPr>
        <w:t>GB/T 28449-2018</w:t>
      </w:r>
      <w:r>
        <w:rPr>
          <w:rFonts w:hint="eastAsia"/>
          <w:b w:val="0"/>
          <w:bCs/>
        </w:rPr>
        <w:t>《信息安全技术</w:t>
      </w:r>
      <w:r>
        <w:rPr>
          <w:b w:val="0"/>
          <w:bCs/>
        </w:rPr>
        <w:t xml:space="preserve"> </w:t>
      </w:r>
      <w:r>
        <w:rPr>
          <w:rFonts w:hint="eastAsia"/>
          <w:b w:val="0"/>
          <w:bCs/>
        </w:rPr>
        <w:t>网络安全等级保护测评过程指南》</w:t>
      </w:r>
    </w:p>
    <w:p w14:paraId="5E8C3BD2">
      <w:pPr>
        <w:pStyle w:val="20"/>
        <w:widowControl/>
        <w:ind w:firstLine="480"/>
        <w:rPr>
          <w:b w:val="0"/>
          <w:bCs/>
        </w:rPr>
      </w:pPr>
      <w:r>
        <w:rPr>
          <w:b w:val="0"/>
          <w:bCs/>
        </w:rPr>
        <w:t>GB/T 20984-2022</w:t>
      </w:r>
      <w:r>
        <w:rPr>
          <w:rFonts w:hint="eastAsia"/>
          <w:b w:val="0"/>
          <w:bCs/>
        </w:rPr>
        <w:t>《信息安全技术</w:t>
      </w:r>
      <w:r>
        <w:rPr>
          <w:b w:val="0"/>
          <w:bCs/>
        </w:rPr>
        <w:t xml:space="preserve"> </w:t>
      </w:r>
      <w:r>
        <w:rPr>
          <w:rFonts w:hint="eastAsia"/>
          <w:b w:val="0"/>
          <w:bCs/>
        </w:rPr>
        <w:t>信息安全风险评估方法》</w:t>
      </w:r>
    </w:p>
    <w:p w14:paraId="5BF36C11">
      <w:pPr>
        <w:pStyle w:val="20"/>
        <w:widowControl/>
        <w:ind w:firstLine="480"/>
        <w:rPr>
          <w:b w:val="0"/>
          <w:bCs/>
        </w:rPr>
      </w:pPr>
      <w:r>
        <w:rPr>
          <w:b w:val="0"/>
          <w:bCs/>
        </w:rPr>
        <w:t>GB/T 22240-2020</w:t>
      </w:r>
      <w:r>
        <w:rPr>
          <w:rFonts w:hint="eastAsia"/>
          <w:b w:val="0"/>
          <w:bCs/>
        </w:rPr>
        <w:t>《信息安全技术</w:t>
      </w:r>
      <w:r>
        <w:rPr>
          <w:b w:val="0"/>
          <w:bCs/>
        </w:rPr>
        <w:t xml:space="preserve"> </w:t>
      </w:r>
      <w:r>
        <w:rPr>
          <w:rFonts w:hint="eastAsia"/>
          <w:b w:val="0"/>
          <w:bCs/>
        </w:rPr>
        <w:t>网络安全等级保护定级指南》</w:t>
      </w:r>
    </w:p>
    <w:p w14:paraId="7F72CB5F">
      <w:pPr>
        <w:pStyle w:val="20"/>
        <w:widowControl/>
        <w:ind w:firstLine="480"/>
        <w:rPr>
          <w:b w:val="0"/>
          <w:bCs/>
        </w:rPr>
      </w:pPr>
      <w:r>
        <w:rPr>
          <w:rFonts w:hint="eastAsia"/>
          <w:b w:val="0"/>
          <w:bCs/>
        </w:rPr>
        <w:t>《网络安全等级保护测评高风险判定实施指引（试行）》</w:t>
      </w:r>
    </w:p>
    <w:p w14:paraId="3F9EE6E3">
      <w:pPr>
        <w:pStyle w:val="20"/>
        <w:widowControl/>
        <w:ind w:firstLine="482"/>
      </w:pPr>
      <w:r>
        <w:rPr>
          <w:b/>
        </w:rPr>
        <w:t>建设要求：</w:t>
      </w:r>
      <w:r>
        <w:t>系统在物理环境、网络通信、区域边界、计算环境、应用、数据、管理等各层面落实三级等保安全控制点；落实访问控制、安全审计、入侵防范、恶意代码防范、数据备份恢复、数据脱敏、权限管控等安全措施。</w:t>
      </w:r>
    </w:p>
    <w:p w14:paraId="4E0C6D34">
      <w:pPr>
        <w:pStyle w:val="20"/>
        <w:widowControl/>
        <w:ind w:firstLine="482"/>
      </w:pPr>
      <w:r>
        <w:rPr>
          <w:b/>
        </w:rPr>
        <w:t>测评要求：</w:t>
      </w:r>
      <w:r>
        <w:t>投标方需按照等保三级要求完成系统建设，配合建设单位开展等级保护测评工作，完成测评问题整改，保障系统满足等保三级测评相关技术要求。</w:t>
      </w:r>
    </w:p>
    <w:p w14:paraId="4DC63C75">
      <w:pPr>
        <w:pStyle w:val="5"/>
        <w:widowControl/>
        <w:numPr>
          <w:ilvl w:val="0"/>
          <w:numId w:val="14"/>
        </w:numPr>
      </w:pPr>
      <w:r>
        <w:t>项目资源申请要求</w:t>
      </w:r>
    </w:p>
    <w:p w14:paraId="490A22CE">
      <w:pPr>
        <w:pStyle w:val="20"/>
        <w:widowControl/>
        <w:ind w:firstLine="480"/>
      </w:pPr>
      <w:r>
        <w:t>基础运行环境提供方：本项目部署运行所需的服务器、存储、网络、密码服务等政务云基础资源，由建设单位（甲方）提供，部署载体为市大数据中心政务云主机。</w:t>
      </w:r>
    </w:p>
    <w:p w14:paraId="24E60B8F">
      <w:pPr>
        <w:pStyle w:val="5"/>
        <w:widowControl/>
        <w:numPr>
          <w:ilvl w:val="0"/>
          <w:numId w:val="12"/>
        </w:numPr>
        <w:rPr>
          <w:rFonts w:hint="eastAsia" w:ascii="黑体" w:hAnsi="黑体" w:cs="黑体"/>
        </w:rPr>
      </w:pPr>
      <w:r>
        <w:t>售后服务要求</w:t>
      </w:r>
    </w:p>
    <w:p w14:paraId="285634CF">
      <w:pPr>
        <w:pStyle w:val="20"/>
        <w:widowControl/>
        <w:numPr>
          <w:ilvl w:val="0"/>
          <w:numId w:val="30"/>
        </w:numPr>
        <w:ind w:firstLineChars="0"/>
        <w:rPr>
          <w:rFonts w:hint="eastAsia" w:ascii="宋体" w:hAnsi="宋体" w:cs="宋体"/>
        </w:rPr>
      </w:pPr>
      <w:r>
        <w:t>免费维保期限为项目验收</w:t>
      </w:r>
      <w:r>
        <w:rPr>
          <w:rFonts w:hint="eastAsia"/>
        </w:rPr>
        <w:t>通过</w:t>
      </w:r>
      <w:r>
        <w:t>后一年。</w:t>
      </w:r>
    </w:p>
    <w:p w14:paraId="0E34A419">
      <w:pPr>
        <w:pStyle w:val="20"/>
        <w:widowControl/>
        <w:numPr>
          <w:ilvl w:val="0"/>
          <w:numId w:val="30"/>
        </w:numPr>
        <w:ind w:firstLineChars="0"/>
        <w:rPr>
          <w:rFonts w:hint="eastAsia" w:ascii="宋体" w:hAnsi="宋体" w:cs="宋体"/>
        </w:rPr>
      </w:pPr>
      <w:r>
        <w:t>平台应具有完善的备份和恢复机制，在异常情况发生时，可以快速恢复，避免数据的丢失或将其影响降到最低限度。在数据治理过程中每一步处理流程要保留处理痕迹，确保处理后的数据可以溯源到原始数据，能够做到对每一层处理的数据及处理前的原始数据进行有效的数据备份。支持符合国家政务应用系统的信息安全要求。对关键数据提供审核日志，记录操作者及变更情况。敏感数据的传输和存储均应使用加密手段。提供多种方式的数据备份功能，全面保障系统的数据安全。</w:t>
      </w:r>
    </w:p>
    <w:p w14:paraId="401D3CE2">
      <w:pPr>
        <w:pStyle w:val="20"/>
        <w:widowControl/>
        <w:ind w:firstLine="480"/>
      </w:pPr>
      <w:r>
        <w:t>系统故障能够实时响应，若系统发生故障需要专业工程师到场，接到通知后30分钟内响应，专业工程师2小时内到达现场，特殊故障与客户沟通协商后，按照协商的方式制定解决方案并进行处理。</w:t>
      </w:r>
    </w:p>
    <w:p w14:paraId="3CB5770E">
      <w:pPr>
        <w:pStyle w:val="20"/>
        <w:widowControl/>
        <w:numPr>
          <w:ilvl w:val="0"/>
          <w:numId w:val="30"/>
        </w:numPr>
        <w:ind w:firstLineChars="0"/>
        <w:rPr>
          <w:rFonts w:hint="eastAsia" w:ascii="宋体" w:hAnsi="宋体" w:cs="宋体"/>
        </w:rPr>
      </w:pPr>
      <w:r>
        <w:t>服务期内免费提供的服务内容：漏洞修复、运行维护、技术咨询、兼容性更新等。</w:t>
      </w:r>
    </w:p>
    <w:p w14:paraId="18A51C78">
      <w:pPr>
        <w:pStyle w:val="5"/>
        <w:widowControl/>
        <w:numPr>
          <w:ilvl w:val="0"/>
          <w:numId w:val="12"/>
        </w:numPr>
        <w:rPr>
          <w:rFonts w:hint="eastAsia" w:ascii="黑体" w:hAnsi="黑体" w:cs="黑体"/>
        </w:rPr>
      </w:pPr>
      <w:r>
        <w:t>项目培训要求</w:t>
      </w:r>
    </w:p>
    <w:p w14:paraId="1141ECE8">
      <w:pPr>
        <w:pStyle w:val="20"/>
        <w:widowControl/>
        <w:numPr>
          <w:ilvl w:val="0"/>
          <w:numId w:val="31"/>
        </w:numPr>
        <w:ind w:firstLineChars="0"/>
        <w:rPr>
          <w:rFonts w:hint="eastAsia" w:ascii="宋体" w:hAnsi="宋体" w:cs="宋体"/>
        </w:rPr>
      </w:pPr>
      <w:r>
        <w:t>培训对象界定：区级管理员培训、学校操作人员培训、供应商培训等。</w:t>
      </w:r>
    </w:p>
    <w:p w14:paraId="292A346F">
      <w:pPr>
        <w:pStyle w:val="20"/>
        <w:widowControl/>
        <w:numPr>
          <w:ilvl w:val="0"/>
          <w:numId w:val="31"/>
        </w:numPr>
        <w:ind w:firstLineChars="0"/>
        <w:rPr>
          <w:rFonts w:hint="eastAsia" w:ascii="宋体" w:hAnsi="宋体" w:cs="宋体"/>
        </w:rPr>
      </w:pPr>
      <w:r>
        <w:t>需提供培训操作手册、培训视频等。</w:t>
      </w:r>
    </w:p>
    <w:p w14:paraId="18652336">
      <w:pPr>
        <w:pStyle w:val="5"/>
        <w:widowControl/>
        <w:numPr>
          <w:ilvl w:val="0"/>
          <w:numId w:val="12"/>
        </w:numPr>
        <w:rPr>
          <w:rFonts w:hint="eastAsia" w:ascii="黑体" w:hAnsi="黑体" w:cs="黑体"/>
        </w:rPr>
      </w:pPr>
      <w:r>
        <w:t>现场演示要求</w:t>
      </w:r>
    </w:p>
    <w:p w14:paraId="7B04A036">
      <w:pPr>
        <w:pStyle w:val="20"/>
        <w:widowControl/>
        <w:ind w:firstLine="480"/>
      </w:pPr>
      <w:r>
        <w:t>无演示要求。</w:t>
      </w:r>
    </w:p>
    <w:p w14:paraId="7B833066">
      <w:pPr>
        <w:pStyle w:val="5"/>
        <w:widowControl/>
        <w:numPr>
          <w:ilvl w:val="0"/>
          <w:numId w:val="12"/>
        </w:numPr>
        <w:rPr>
          <w:rFonts w:hint="eastAsia" w:ascii="黑体" w:hAnsi="黑体" w:cs="黑体"/>
        </w:rPr>
      </w:pPr>
      <w:r>
        <w:t>其他要求</w:t>
      </w:r>
    </w:p>
    <w:p w14:paraId="4510C2F0">
      <w:pPr>
        <w:pStyle w:val="20"/>
        <w:widowControl/>
        <w:ind w:firstLine="480"/>
      </w:pPr>
      <w:r>
        <w:t>项目团队人员资质要求：项目经</w:t>
      </w:r>
      <w:bookmarkStart w:id="3" w:name="_GoBack"/>
      <w:bookmarkEnd w:id="3"/>
      <w:r>
        <w:t>理、技术负责人、其他成员的证书与人数要求。</w:t>
      </w:r>
    </w:p>
    <w:p w14:paraId="4A26B1E8">
      <w:pPr>
        <w:pStyle w:val="20"/>
        <w:widowControl/>
        <w:ind w:firstLine="480"/>
      </w:pPr>
      <w:r>
        <w:rPr>
          <w:rFonts w:hint="eastAsia"/>
        </w:rPr>
        <w:t>本项目中人员岗位要求详见下表：</w:t>
      </w:r>
    </w:p>
    <w:tbl>
      <w:tblPr>
        <w:tblStyle w:val="36"/>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479"/>
        <w:gridCol w:w="1269"/>
        <w:gridCol w:w="5639"/>
      </w:tblGrid>
      <w:tr w14:paraId="52FD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9" w:type="dxa"/>
            <w:vAlign w:val="center"/>
          </w:tcPr>
          <w:p w14:paraId="21130CEB">
            <w:pPr>
              <w:snapToGrid w:val="0"/>
              <w:jc w:val="center"/>
              <w:rPr>
                <w:b/>
                <w:lang w:eastAsia="zh-CN"/>
              </w:rPr>
            </w:pPr>
            <w:r>
              <w:rPr>
                <w:b/>
                <w:lang w:eastAsia="zh-CN"/>
              </w:rPr>
              <w:t>序号</w:t>
            </w:r>
          </w:p>
        </w:tc>
        <w:tc>
          <w:tcPr>
            <w:tcW w:w="1479" w:type="dxa"/>
            <w:vAlign w:val="center"/>
          </w:tcPr>
          <w:p w14:paraId="357F0E46">
            <w:pPr>
              <w:snapToGrid w:val="0"/>
              <w:jc w:val="center"/>
              <w:rPr>
                <w:b/>
                <w:lang w:eastAsia="zh-CN"/>
              </w:rPr>
            </w:pPr>
            <w:r>
              <w:rPr>
                <w:b/>
                <w:lang w:eastAsia="zh-CN"/>
              </w:rPr>
              <w:t>岗位名称</w:t>
            </w:r>
          </w:p>
        </w:tc>
        <w:tc>
          <w:tcPr>
            <w:tcW w:w="1269" w:type="dxa"/>
            <w:vAlign w:val="center"/>
          </w:tcPr>
          <w:p w14:paraId="170EBE6C">
            <w:pPr>
              <w:snapToGrid w:val="0"/>
              <w:jc w:val="center"/>
              <w:rPr>
                <w:b/>
                <w:lang w:eastAsia="zh-CN"/>
              </w:rPr>
            </w:pPr>
            <w:r>
              <w:rPr>
                <w:b/>
                <w:lang w:eastAsia="zh-CN"/>
              </w:rPr>
              <w:t>人员数量</w:t>
            </w:r>
          </w:p>
        </w:tc>
        <w:tc>
          <w:tcPr>
            <w:tcW w:w="5638" w:type="dxa"/>
            <w:vAlign w:val="center"/>
          </w:tcPr>
          <w:p w14:paraId="4BDDCE79">
            <w:pPr>
              <w:snapToGrid w:val="0"/>
              <w:jc w:val="center"/>
              <w:rPr>
                <w:b/>
                <w:lang w:eastAsia="zh-CN"/>
              </w:rPr>
            </w:pPr>
            <w:r>
              <w:rPr>
                <w:b/>
                <w:lang w:eastAsia="zh-CN"/>
              </w:rPr>
              <w:t>基本要求</w:t>
            </w:r>
          </w:p>
        </w:tc>
      </w:tr>
      <w:tr w14:paraId="54CD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5524BBED">
            <w:pPr>
              <w:snapToGrid w:val="0"/>
              <w:jc w:val="center"/>
              <w:rPr>
                <w:lang w:eastAsia="zh-CN"/>
              </w:rPr>
            </w:pPr>
            <w:r>
              <w:rPr>
                <w:lang w:eastAsia="zh-CN"/>
              </w:rPr>
              <w:t>1</w:t>
            </w:r>
          </w:p>
        </w:tc>
        <w:tc>
          <w:tcPr>
            <w:tcW w:w="1479" w:type="dxa"/>
            <w:vAlign w:val="center"/>
          </w:tcPr>
          <w:p w14:paraId="187905E6">
            <w:pPr>
              <w:snapToGrid w:val="0"/>
              <w:jc w:val="center"/>
              <w:rPr>
                <w:lang w:eastAsia="zh-CN"/>
              </w:rPr>
            </w:pPr>
            <w:r>
              <w:rPr>
                <w:lang w:eastAsia="zh-CN"/>
              </w:rPr>
              <w:t>项目经理</w:t>
            </w:r>
          </w:p>
        </w:tc>
        <w:tc>
          <w:tcPr>
            <w:tcW w:w="1269" w:type="dxa"/>
            <w:vAlign w:val="center"/>
          </w:tcPr>
          <w:p w14:paraId="3357E119">
            <w:pPr>
              <w:snapToGrid w:val="0"/>
              <w:jc w:val="center"/>
              <w:rPr>
                <w:lang w:eastAsia="zh-CN"/>
              </w:rPr>
            </w:pPr>
            <w:r>
              <w:rPr>
                <w:lang w:eastAsia="zh-CN"/>
              </w:rPr>
              <w:t>1</w:t>
            </w:r>
          </w:p>
        </w:tc>
        <w:tc>
          <w:tcPr>
            <w:tcW w:w="5638" w:type="dxa"/>
            <w:vAlign w:val="center"/>
          </w:tcPr>
          <w:p w14:paraId="4029627F">
            <w:pPr>
              <w:snapToGrid w:val="0"/>
              <w:jc w:val="center"/>
              <w:rPr>
                <w:lang w:eastAsia="zh-CN"/>
              </w:rPr>
            </w:pPr>
            <w:r>
              <w:rPr>
                <w:lang w:eastAsia="zh-CN"/>
              </w:rPr>
              <w:t>具有信息系统项目管理师</w:t>
            </w:r>
            <w:r>
              <w:rPr>
                <w:rFonts w:hint="eastAsia"/>
                <w:lang w:eastAsia="zh-CN"/>
              </w:rPr>
              <w:t>（高级）证书（</w:t>
            </w:r>
            <w:r>
              <w:rPr>
                <w:rFonts w:hint="eastAsia" w:ascii="宋体" w:hAnsi="宋体" w:cs="宋体"/>
                <w:szCs w:val="21"/>
                <w:lang w:eastAsia="zh-CN" w:bidi="ar"/>
              </w:rPr>
              <w:t>工业和信息化部、人力资源社会保障部颁发</w:t>
            </w:r>
            <w:r>
              <w:rPr>
                <w:rFonts w:hint="eastAsia"/>
                <w:lang w:eastAsia="zh-CN"/>
              </w:rPr>
              <w:t>）</w:t>
            </w:r>
            <w:r>
              <w:rPr>
                <w:lang w:eastAsia="zh-CN"/>
              </w:rPr>
              <w:t>、计算机相关高级工程师职称</w:t>
            </w:r>
            <w:r>
              <w:rPr>
                <w:rFonts w:hint="eastAsia"/>
                <w:lang w:eastAsia="zh-CN"/>
              </w:rPr>
              <w:t>的优先考虑</w:t>
            </w:r>
            <w:r>
              <w:rPr>
                <w:lang w:eastAsia="zh-CN"/>
              </w:rPr>
              <w:t>，具有类似项目经验。</w:t>
            </w:r>
          </w:p>
        </w:tc>
      </w:tr>
      <w:tr w14:paraId="2352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43EBD445">
            <w:pPr>
              <w:snapToGrid w:val="0"/>
              <w:jc w:val="center"/>
              <w:rPr>
                <w:lang w:eastAsia="zh-CN"/>
              </w:rPr>
            </w:pPr>
            <w:r>
              <w:rPr>
                <w:lang w:eastAsia="zh-CN"/>
              </w:rPr>
              <w:t>2</w:t>
            </w:r>
          </w:p>
        </w:tc>
        <w:tc>
          <w:tcPr>
            <w:tcW w:w="1479" w:type="dxa"/>
            <w:vAlign w:val="center"/>
          </w:tcPr>
          <w:p w14:paraId="7971C493">
            <w:pPr>
              <w:snapToGrid w:val="0"/>
              <w:jc w:val="center"/>
              <w:rPr>
                <w:lang w:eastAsia="zh-CN"/>
              </w:rPr>
            </w:pPr>
            <w:r>
              <w:rPr>
                <w:rFonts w:hint="eastAsia"/>
                <w:lang w:eastAsia="zh-CN"/>
              </w:rPr>
              <w:t>技术负责人</w:t>
            </w:r>
          </w:p>
        </w:tc>
        <w:tc>
          <w:tcPr>
            <w:tcW w:w="1269" w:type="dxa"/>
            <w:vAlign w:val="center"/>
          </w:tcPr>
          <w:p w14:paraId="5443C0BA">
            <w:pPr>
              <w:snapToGrid w:val="0"/>
              <w:jc w:val="center"/>
              <w:rPr>
                <w:lang w:eastAsia="zh-CN"/>
              </w:rPr>
            </w:pPr>
            <w:r>
              <w:rPr>
                <w:rFonts w:hint="eastAsia"/>
                <w:lang w:eastAsia="zh-CN"/>
              </w:rPr>
              <w:t>1</w:t>
            </w:r>
          </w:p>
        </w:tc>
        <w:tc>
          <w:tcPr>
            <w:tcW w:w="5638" w:type="dxa"/>
            <w:vAlign w:val="center"/>
          </w:tcPr>
          <w:p w14:paraId="0B56571E">
            <w:pPr>
              <w:snapToGrid w:val="0"/>
              <w:jc w:val="center"/>
              <w:rPr>
                <w:lang w:eastAsia="zh-CN"/>
              </w:rPr>
            </w:pPr>
            <w:r>
              <w:rPr>
                <w:lang w:eastAsia="zh-CN"/>
              </w:rPr>
              <w:t>具有系统架构设计师</w:t>
            </w:r>
            <w:r>
              <w:rPr>
                <w:rFonts w:hint="eastAsia"/>
                <w:lang w:eastAsia="zh-CN"/>
              </w:rPr>
              <w:t>证书（</w:t>
            </w:r>
            <w:r>
              <w:rPr>
                <w:rFonts w:hint="eastAsia" w:ascii="宋体" w:hAnsi="宋体" w:cs="宋体"/>
                <w:szCs w:val="21"/>
                <w:lang w:eastAsia="zh-CN" w:bidi="ar"/>
              </w:rPr>
              <w:t>工业和信息化部、人力资源社会保障部颁发</w:t>
            </w:r>
            <w:r>
              <w:rPr>
                <w:rFonts w:hint="eastAsia"/>
                <w:lang w:eastAsia="zh-CN"/>
              </w:rPr>
              <w:t>）</w:t>
            </w:r>
            <w:r>
              <w:rPr>
                <w:lang w:eastAsia="zh-CN"/>
              </w:rPr>
              <w:t>、计算机相关中级及以上职称</w:t>
            </w:r>
            <w:r>
              <w:rPr>
                <w:rFonts w:hint="eastAsia"/>
                <w:lang w:eastAsia="zh-CN"/>
              </w:rPr>
              <w:t>的优先考虑</w:t>
            </w:r>
            <w:r>
              <w:rPr>
                <w:lang w:eastAsia="zh-CN"/>
              </w:rPr>
              <w:t>，具有类似项目经验。</w:t>
            </w:r>
          </w:p>
        </w:tc>
      </w:tr>
      <w:tr w14:paraId="7CD4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2194C6DE">
            <w:pPr>
              <w:snapToGrid w:val="0"/>
              <w:jc w:val="center"/>
              <w:rPr>
                <w:lang w:eastAsia="zh-CN"/>
              </w:rPr>
            </w:pPr>
            <w:r>
              <w:rPr>
                <w:lang w:eastAsia="zh-CN"/>
              </w:rPr>
              <w:t>3</w:t>
            </w:r>
          </w:p>
        </w:tc>
        <w:tc>
          <w:tcPr>
            <w:tcW w:w="1479" w:type="dxa"/>
            <w:vAlign w:val="center"/>
          </w:tcPr>
          <w:p w14:paraId="5C65FEE0">
            <w:pPr>
              <w:snapToGrid w:val="0"/>
              <w:jc w:val="center"/>
              <w:rPr>
                <w:lang w:eastAsia="zh-CN"/>
              </w:rPr>
            </w:pPr>
            <w:r>
              <w:rPr>
                <w:rFonts w:hint="eastAsia"/>
                <w:lang w:eastAsia="zh-CN"/>
              </w:rPr>
              <w:t>信息安全工程师</w:t>
            </w:r>
          </w:p>
        </w:tc>
        <w:tc>
          <w:tcPr>
            <w:tcW w:w="1269" w:type="dxa"/>
            <w:vAlign w:val="center"/>
          </w:tcPr>
          <w:p w14:paraId="17B7E32C">
            <w:pPr>
              <w:snapToGrid w:val="0"/>
              <w:jc w:val="center"/>
              <w:rPr>
                <w:lang w:eastAsia="zh-CN"/>
              </w:rPr>
            </w:pPr>
            <w:r>
              <w:rPr>
                <w:rFonts w:hint="eastAsia"/>
                <w:lang w:eastAsia="zh-CN"/>
              </w:rPr>
              <w:t>1</w:t>
            </w:r>
          </w:p>
        </w:tc>
        <w:tc>
          <w:tcPr>
            <w:tcW w:w="5638" w:type="dxa"/>
            <w:vAlign w:val="center"/>
          </w:tcPr>
          <w:p w14:paraId="044ACD8A">
            <w:pPr>
              <w:snapToGrid w:val="0"/>
              <w:jc w:val="center"/>
              <w:rPr>
                <w:lang w:eastAsia="zh-CN"/>
              </w:rPr>
            </w:pPr>
            <w:r>
              <w:rPr>
                <w:lang w:eastAsia="zh-CN"/>
              </w:rPr>
              <w:t>具有信息安全工程师</w:t>
            </w:r>
            <w:r>
              <w:rPr>
                <w:rFonts w:hint="eastAsia"/>
                <w:lang w:eastAsia="zh-CN"/>
              </w:rPr>
              <w:t>（中级）证书（</w:t>
            </w:r>
            <w:r>
              <w:rPr>
                <w:rFonts w:hint="eastAsia" w:ascii="宋体" w:hAnsi="宋体" w:cs="宋体"/>
                <w:szCs w:val="21"/>
                <w:lang w:eastAsia="zh-CN" w:bidi="ar"/>
              </w:rPr>
              <w:t>工业和信息化部、人力资源社会保障部颁发</w:t>
            </w:r>
            <w:r>
              <w:rPr>
                <w:rFonts w:hint="eastAsia"/>
                <w:lang w:eastAsia="zh-CN"/>
              </w:rPr>
              <w:t>）或CISP</w:t>
            </w:r>
            <w:r>
              <w:rPr>
                <w:lang w:eastAsia="zh-CN"/>
              </w:rPr>
              <w:t>注册信息安全专业人员</w:t>
            </w:r>
            <w:r>
              <w:rPr>
                <w:rFonts w:hint="eastAsia"/>
                <w:lang w:eastAsia="zh-CN"/>
              </w:rPr>
              <w:t>证书的优先考虑</w:t>
            </w:r>
            <w:r>
              <w:rPr>
                <w:lang w:eastAsia="zh-CN"/>
              </w:rPr>
              <w:t>，具有类似项目经验。</w:t>
            </w:r>
          </w:p>
        </w:tc>
      </w:tr>
      <w:tr w14:paraId="2ADD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4D1D5177">
            <w:pPr>
              <w:snapToGrid w:val="0"/>
              <w:jc w:val="center"/>
              <w:rPr>
                <w:lang w:eastAsia="zh-CN"/>
              </w:rPr>
            </w:pPr>
            <w:r>
              <w:rPr>
                <w:lang w:eastAsia="zh-CN"/>
              </w:rPr>
              <w:t>4</w:t>
            </w:r>
          </w:p>
        </w:tc>
        <w:tc>
          <w:tcPr>
            <w:tcW w:w="1479" w:type="dxa"/>
            <w:vAlign w:val="center"/>
          </w:tcPr>
          <w:p w14:paraId="68A55316">
            <w:pPr>
              <w:snapToGrid w:val="0"/>
              <w:jc w:val="center"/>
              <w:rPr>
                <w:lang w:eastAsia="zh-CN"/>
              </w:rPr>
            </w:pPr>
            <w:r>
              <w:rPr>
                <w:rFonts w:hint="eastAsia"/>
                <w:lang w:eastAsia="zh-CN"/>
              </w:rPr>
              <w:t>软件开发工程师</w:t>
            </w:r>
          </w:p>
        </w:tc>
        <w:tc>
          <w:tcPr>
            <w:tcW w:w="1269" w:type="dxa"/>
            <w:vMerge w:val="restart"/>
            <w:vAlign w:val="center"/>
          </w:tcPr>
          <w:p w14:paraId="52DDE21C">
            <w:pPr>
              <w:snapToGrid w:val="0"/>
              <w:jc w:val="center"/>
              <w:rPr>
                <w:lang w:eastAsia="zh-CN"/>
              </w:rPr>
            </w:pPr>
            <w:r>
              <w:rPr>
                <w:rFonts w:hint="eastAsia"/>
                <w:lang w:eastAsia="zh-CN"/>
              </w:rPr>
              <w:t>不少于12人</w:t>
            </w:r>
          </w:p>
        </w:tc>
        <w:tc>
          <w:tcPr>
            <w:tcW w:w="5638" w:type="dxa"/>
            <w:vMerge w:val="restart"/>
            <w:vAlign w:val="center"/>
          </w:tcPr>
          <w:p w14:paraId="4D98EB01">
            <w:pPr>
              <w:snapToGrid w:val="0"/>
              <w:jc w:val="center"/>
              <w:rPr>
                <w:lang w:eastAsia="zh-CN"/>
              </w:rPr>
            </w:pPr>
            <w:r>
              <w:rPr>
                <w:lang w:eastAsia="zh-CN"/>
              </w:rPr>
              <w:t>具备计算机相关专业中级或高级职称</w:t>
            </w:r>
            <w:r>
              <w:rPr>
                <w:rFonts w:hint="eastAsia"/>
                <w:lang w:eastAsia="zh-CN"/>
              </w:rPr>
              <w:t>的优先考虑</w:t>
            </w:r>
          </w:p>
        </w:tc>
      </w:tr>
      <w:tr w14:paraId="605C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1ADA57D6">
            <w:pPr>
              <w:snapToGrid w:val="0"/>
              <w:jc w:val="center"/>
              <w:rPr>
                <w:lang w:eastAsia="zh-CN"/>
              </w:rPr>
            </w:pPr>
            <w:r>
              <w:rPr>
                <w:lang w:eastAsia="zh-CN"/>
              </w:rPr>
              <w:t>5</w:t>
            </w:r>
          </w:p>
        </w:tc>
        <w:tc>
          <w:tcPr>
            <w:tcW w:w="1479" w:type="dxa"/>
            <w:vAlign w:val="center"/>
          </w:tcPr>
          <w:p w14:paraId="63BCA312">
            <w:pPr>
              <w:snapToGrid w:val="0"/>
              <w:jc w:val="center"/>
              <w:rPr>
                <w:lang w:eastAsia="zh-CN"/>
              </w:rPr>
            </w:pPr>
            <w:r>
              <w:rPr>
                <w:rFonts w:hint="eastAsia"/>
                <w:lang w:eastAsia="zh-CN"/>
              </w:rPr>
              <w:t>培训工程师</w:t>
            </w:r>
          </w:p>
        </w:tc>
        <w:tc>
          <w:tcPr>
            <w:tcW w:w="1269" w:type="dxa"/>
            <w:vMerge w:val="continue"/>
            <w:vAlign w:val="center"/>
          </w:tcPr>
          <w:p w14:paraId="7DF53B3A">
            <w:pPr>
              <w:snapToGrid w:val="0"/>
              <w:jc w:val="left"/>
            </w:pPr>
          </w:p>
        </w:tc>
        <w:tc>
          <w:tcPr>
            <w:tcW w:w="5638" w:type="dxa"/>
            <w:vMerge w:val="continue"/>
            <w:vAlign w:val="center"/>
          </w:tcPr>
          <w:p w14:paraId="47006934">
            <w:pPr>
              <w:snapToGrid w:val="0"/>
              <w:jc w:val="center"/>
            </w:pPr>
          </w:p>
        </w:tc>
      </w:tr>
      <w:tr w14:paraId="1E4A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14:paraId="120FFCC0">
            <w:pPr>
              <w:snapToGrid w:val="0"/>
              <w:jc w:val="center"/>
              <w:rPr>
                <w:lang w:eastAsia="zh-CN"/>
              </w:rPr>
            </w:pPr>
            <w:r>
              <w:rPr>
                <w:lang w:eastAsia="zh-CN"/>
              </w:rPr>
              <w:t>6</w:t>
            </w:r>
          </w:p>
        </w:tc>
        <w:tc>
          <w:tcPr>
            <w:tcW w:w="1479" w:type="dxa"/>
            <w:vAlign w:val="center"/>
          </w:tcPr>
          <w:p w14:paraId="244E31E4">
            <w:pPr>
              <w:snapToGrid w:val="0"/>
              <w:jc w:val="center"/>
              <w:rPr>
                <w:lang w:eastAsia="zh-CN"/>
              </w:rPr>
            </w:pPr>
            <w:r>
              <w:rPr>
                <w:lang w:eastAsia="zh-CN"/>
              </w:rPr>
              <w:t>售后运维工程师</w:t>
            </w:r>
          </w:p>
        </w:tc>
        <w:tc>
          <w:tcPr>
            <w:tcW w:w="1269" w:type="dxa"/>
            <w:vMerge w:val="continue"/>
            <w:vAlign w:val="center"/>
          </w:tcPr>
          <w:p w14:paraId="2B733331">
            <w:pPr>
              <w:snapToGrid w:val="0"/>
              <w:jc w:val="left"/>
            </w:pPr>
          </w:p>
        </w:tc>
        <w:tc>
          <w:tcPr>
            <w:tcW w:w="5638" w:type="dxa"/>
            <w:vMerge w:val="continue"/>
            <w:vAlign w:val="center"/>
          </w:tcPr>
          <w:p w14:paraId="0D0C298B">
            <w:pPr>
              <w:snapToGrid w:val="0"/>
              <w:jc w:val="center"/>
            </w:pPr>
          </w:p>
        </w:tc>
      </w:tr>
    </w:tbl>
    <w:p w14:paraId="7153351C">
      <w:pPr>
        <w:pStyle w:val="5"/>
        <w:widowControl/>
        <w:numPr>
          <w:ilvl w:val="0"/>
          <w:numId w:val="12"/>
        </w:numPr>
        <w:rPr>
          <w:rFonts w:hint="eastAsia" w:ascii="黑体" w:hAnsi="黑体" w:cs="黑体"/>
        </w:rPr>
      </w:pPr>
      <w:r>
        <w:t>项目验收要求</w:t>
      </w:r>
    </w:p>
    <w:p w14:paraId="714679AA">
      <w:pPr>
        <w:pStyle w:val="20"/>
        <w:widowControl/>
        <w:ind w:firstLine="480"/>
      </w:pPr>
      <w:r>
        <w:t>项目验收标准</w:t>
      </w:r>
    </w:p>
    <w:tbl>
      <w:tblPr>
        <w:tblStyle w:val="35"/>
        <w:tblW w:w="8472" w:type="dxa"/>
        <w:tblInd w:w="0" w:type="dxa"/>
        <w:tblLayout w:type="fixed"/>
        <w:tblCellMar>
          <w:top w:w="0" w:type="dxa"/>
          <w:left w:w="108" w:type="dxa"/>
          <w:bottom w:w="0" w:type="dxa"/>
          <w:right w:w="108" w:type="dxa"/>
        </w:tblCellMar>
      </w:tblPr>
      <w:tblGrid>
        <w:gridCol w:w="1460"/>
        <w:gridCol w:w="1600"/>
        <w:gridCol w:w="2577"/>
        <w:gridCol w:w="2835"/>
      </w:tblGrid>
      <w:tr w14:paraId="52C3C754">
        <w:tblPrEx>
          <w:tblCellMar>
            <w:top w:w="0" w:type="dxa"/>
            <w:left w:w="108" w:type="dxa"/>
            <w:bottom w:w="0" w:type="dxa"/>
            <w:right w:w="108" w:type="dxa"/>
          </w:tblCellMar>
        </w:tblPrEx>
        <w:trPr>
          <w:trHeight w:val="283" w:hRule="atLeast"/>
        </w:trPr>
        <w:tc>
          <w:tcPr>
            <w:tcW w:w="1460" w:type="dxa"/>
            <w:tcBorders>
              <w:top w:val="single" w:color="auto" w:sz="4" w:space="0"/>
              <w:left w:val="single" w:color="auto" w:sz="4" w:space="0"/>
              <w:bottom w:val="single" w:color="auto" w:sz="4" w:space="0"/>
              <w:right w:val="single" w:color="auto" w:sz="4" w:space="0"/>
              <w:tl2br w:val="nil"/>
              <w:tr2bl w:val="nil"/>
            </w:tcBorders>
            <w:vAlign w:val="center"/>
          </w:tcPr>
          <w:p w14:paraId="5A635A2F">
            <w:pPr>
              <w:pStyle w:val="176"/>
              <w:rPr>
                <w:rFonts w:hint="default"/>
              </w:rPr>
            </w:pPr>
            <w:r>
              <w:t>验收维度</w:t>
            </w:r>
          </w:p>
        </w:tc>
        <w:tc>
          <w:tcPr>
            <w:tcW w:w="1600" w:type="dxa"/>
            <w:tcBorders>
              <w:top w:val="single" w:color="auto" w:sz="4" w:space="0"/>
              <w:left w:val="nil"/>
              <w:bottom w:val="single" w:color="auto" w:sz="4" w:space="0"/>
              <w:right w:val="single" w:color="auto" w:sz="4" w:space="0"/>
              <w:tl2br w:val="nil"/>
              <w:tr2bl w:val="nil"/>
            </w:tcBorders>
            <w:vAlign w:val="center"/>
          </w:tcPr>
          <w:p w14:paraId="0C57802D">
            <w:pPr>
              <w:pStyle w:val="176"/>
              <w:rPr>
                <w:rFonts w:hint="default"/>
              </w:rPr>
            </w:pPr>
            <w:r>
              <w:t>具体指标</w:t>
            </w:r>
          </w:p>
        </w:tc>
        <w:tc>
          <w:tcPr>
            <w:tcW w:w="2577" w:type="dxa"/>
            <w:tcBorders>
              <w:top w:val="single" w:color="auto" w:sz="4" w:space="0"/>
              <w:left w:val="nil"/>
              <w:bottom w:val="single" w:color="auto" w:sz="4" w:space="0"/>
              <w:right w:val="single" w:color="auto" w:sz="4" w:space="0"/>
              <w:tl2br w:val="nil"/>
              <w:tr2bl w:val="nil"/>
            </w:tcBorders>
            <w:vAlign w:val="center"/>
          </w:tcPr>
          <w:p w14:paraId="2C7B13C0">
            <w:pPr>
              <w:pStyle w:val="176"/>
              <w:rPr>
                <w:rFonts w:hint="default"/>
              </w:rPr>
            </w:pPr>
            <w:r>
              <w:t>目标值</w:t>
            </w:r>
          </w:p>
        </w:tc>
        <w:tc>
          <w:tcPr>
            <w:tcW w:w="2835" w:type="dxa"/>
            <w:tcBorders>
              <w:top w:val="single" w:color="auto" w:sz="4" w:space="0"/>
              <w:left w:val="nil"/>
              <w:bottom w:val="single" w:color="auto" w:sz="4" w:space="0"/>
              <w:right w:val="single" w:color="auto" w:sz="4" w:space="0"/>
              <w:tl2br w:val="nil"/>
              <w:tr2bl w:val="nil"/>
            </w:tcBorders>
            <w:vAlign w:val="center"/>
          </w:tcPr>
          <w:p w14:paraId="39C3DBAE">
            <w:pPr>
              <w:pStyle w:val="176"/>
              <w:rPr>
                <w:rFonts w:hint="default"/>
              </w:rPr>
            </w:pPr>
            <w:r>
              <w:t>验收方式</w:t>
            </w:r>
          </w:p>
        </w:tc>
      </w:tr>
      <w:tr w14:paraId="70ED1317">
        <w:tblPrEx>
          <w:tblCellMar>
            <w:top w:w="0" w:type="dxa"/>
            <w:left w:w="108" w:type="dxa"/>
            <w:bottom w:w="0" w:type="dxa"/>
            <w:right w:w="108" w:type="dxa"/>
          </w:tblCellMar>
        </w:tblPrEx>
        <w:trPr>
          <w:trHeight w:val="566" w:hRule="atLeast"/>
        </w:trPr>
        <w:tc>
          <w:tcPr>
            <w:tcW w:w="1460" w:type="dxa"/>
            <w:vMerge w:val="restart"/>
            <w:tcBorders>
              <w:top w:val="nil"/>
              <w:left w:val="single" w:color="auto" w:sz="4" w:space="0"/>
              <w:bottom w:val="single" w:color="000000" w:sz="4" w:space="0"/>
              <w:right w:val="single" w:color="auto" w:sz="4" w:space="0"/>
              <w:tl2br w:val="nil"/>
              <w:tr2bl w:val="nil"/>
            </w:tcBorders>
            <w:vAlign w:val="center"/>
          </w:tcPr>
          <w:p w14:paraId="22043460">
            <w:pPr>
              <w:pStyle w:val="176"/>
              <w:rPr>
                <w:rFonts w:hint="default"/>
              </w:rPr>
            </w:pPr>
            <w:r>
              <w:t>功能符合性</w:t>
            </w:r>
          </w:p>
        </w:tc>
        <w:tc>
          <w:tcPr>
            <w:tcW w:w="1600" w:type="dxa"/>
            <w:tcBorders>
              <w:top w:val="nil"/>
              <w:left w:val="nil"/>
              <w:bottom w:val="single" w:color="auto" w:sz="4" w:space="0"/>
              <w:right w:val="single" w:color="auto" w:sz="4" w:space="0"/>
              <w:tl2br w:val="nil"/>
              <w:tr2bl w:val="nil"/>
            </w:tcBorders>
            <w:vAlign w:val="center"/>
          </w:tcPr>
          <w:p w14:paraId="47260EC4">
            <w:pPr>
              <w:pStyle w:val="176"/>
              <w:rPr>
                <w:rFonts w:hint="default"/>
              </w:rPr>
            </w:pPr>
            <w:r>
              <w:t>核心功能覆盖率</w:t>
            </w:r>
          </w:p>
        </w:tc>
        <w:tc>
          <w:tcPr>
            <w:tcW w:w="2577" w:type="dxa"/>
            <w:tcBorders>
              <w:top w:val="nil"/>
              <w:left w:val="nil"/>
              <w:bottom w:val="single" w:color="auto" w:sz="4" w:space="0"/>
              <w:right w:val="single" w:color="auto" w:sz="4" w:space="0"/>
              <w:tl2br w:val="nil"/>
              <w:tr2bl w:val="nil"/>
            </w:tcBorders>
            <w:vAlign w:val="center"/>
          </w:tcPr>
          <w:p w14:paraId="74DDF888">
            <w:pPr>
              <w:pStyle w:val="176"/>
              <w:rPr>
                <w:rFonts w:hint="default"/>
              </w:rPr>
            </w:pPr>
            <w:r>
              <w:t>100%</w:t>
            </w:r>
          </w:p>
        </w:tc>
        <w:tc>
          <w:tcPr>
            <w:tcW w:w="2835" w:type="dxa"/>
            <w:tcBorders>
              <w:top w:val="nil"/>
              <w:left w:val="nil"/>
              <w:bottom w:val="single" w:color="auto" w:sz="4" w:space="0"/>
              <w:right w:val="single" w:color="auto" w:sz="4" w:space="0"/>
              <w:tl2br w:val="nil"/>
              <w:tr2bl w:val="nil"/>
            </w:tcBorders>
            <w:vAlign w:val="center"/>
          </w:tcPr>
          <w:p w14:paraId="6A8E535B">
            <w:pPr>
              <w:pStyle w:val="176"/>
              <w:rPr>
                <w:rFonts w:hint="default"/>
              </w:rPr>
            </w:pPr>
            <w:r>
              <w:t>功能清单逐项测试</w:t>
            </w:r>
          </w:p>
        </w:tc>
      </w:tr>
      <w:tr w14:paraId="1B729EB9">
        <w:tblPrEx>
          <w:tblCellMar>
            <w:top w:w="0" w:type="dxa"/>
            <w:left w:w="108" w:type="dxa"/>
            <w:bottom w:w="0" w:type="dxa"/>
            <w:right w:w="108" w:type="dxa"/>
          </w:tblCellMar>
        </w:tblPrEx>
        <w:trPr>
          <w:trHeight w:val="566" w:hRule="atLeast"/>
        </w:trPr>
        <w:tc>
          <w:tcPr>
            <w:tcW w:w="1460" w:type="dxa"/>
            <w:vMerge w:val="continue"/>
            <w:tcBorders>
              <w:top w:val="nil"/>
              <w:left w:val="single" w:color="auto" w:sz="4" w:space="0"/>
              <w:bottom w:val="single" w:color="000000" w:sz="4" w:space="0"/>
              <w:right w:val="single" w:color="auto" w:sz="4" w:space="0"/>
              <w:tl2br w:val="nil"/>
              <w:tr2bl w:val="nil"/>
            </w:tcBorders>
            <w:vAlign w:val="center"/>
          </w:tcPr>
          <w:p w14:paraId="2FB5176A">
            <w:pPr>
              <w:pStyle w:val="176"/>
              <w:rPr>
                <w:rFonts w:hint="default"/>
              </w:rPr>
            </w:pPr>
          </w:p>
        </w:tc>
        <w:tc>
          <w:tcPr>
            <w:tcW w:w="1600" w:type="dxa"/>
            <w:tcBorders>
              <w:top w:val="nil"/>
              <w:left w:val="nil"/>
              <w:bottom w:val="single" w:color="auto" w:sz="4" w:space="0"/>
              <w:right w:val="single" w:color="auto" w:sz="4" w:space="0"/>
              <w:tl2br w:val="nil"/>
              <w:tr2bl w:val="nil"/>
            </w:tcBorders>
            <w:vAlign w:val="center"/>
          </w:tcPr>
          <w:p w14:paraId="028BCC23">
            <w:pPr>
              <w:pStyle w:val="176"/>
              <w:rPr>
                <w:rFonts w:hint="default"/>
              </w:rPr>
            </w:pPr>
            <w:r>
              <w:t>外部系统对接数量</w:t>
            </w:r>
          </w:p>
        </w:tc>
        <w:tc>
          <w:tcPr>
            <w:tcW w:w="2577" w:type="dxa"/>
            <w:tcBorders>
              <w:top w:val="nil"/>
              <w:left w:val="nil"/>
              <w:bottom w:val="single" w:color="auto" w:sz="4" w:space="0"/>
              <w:right w:val="single" w:color="auto" w:sz="4" w:space="0"/>
              <w:tl2br w:val="nil"/>
              <w:tr2bl w:val="nil"/>
            </w:tcBorders>
            <w:vAlign w:val="center"/>
          </w:tcPr>
          <w:p w14:paraId="3E7849C9">
            <w:pPr>
              <w:pStyle w:val="176"/>
              <w:rPr>
                <w:rFonts w:hint="default"/>
              </w:rPr>
            </w:pPr>
            <w:r>
              <w:t>≥</w:t>
            </w:r>
            <w:r>
              <w:rPr>
                <w:lang w:eastAsia="zh-CN"/>
              </w:rPr>
              <w:t>5</w:t>
            </w:r>
            <w:r>
              <w:t>个</w:t>
            </w:r>
          </w:p>
        </w:tc>
        <w:tc>
          <w:tcPr>
            <w:tcW w:w="2835" w:type="dxa"/>
            <w:tcBorders>
              <w:top w:val="nil"/>
              <w:left w:val="nil"/>
              <w:bottom w:val="single" w:color="auto" w:sz="4" w:space="0"/>
              <w:right w:val="single" w:color="auto" w:sz="4" w:space="0"/>
              <w:tl2br w:val="nil"/>
              <w:tr2bl w:val="nil"/>
            </w:tcBorders>
            <w:vAlign w:val="center"/>
          </w:tcPr>
          <w:p w14:paraId="6C14821C">
            <w:pPr>
              <w:pStyle w:val="176"/>
              <w:rPr>
                <w:rFonts w:hint="default"/>
              </w:rPr>
            </w:pPr>
            <w:r>
              <w:t>对接日志分析</w:t>
            </w:r>
          </w:p>
        </w:tc>
      </w:tr>
      <w:tr w14:paraId="10412110">
        <w:tblPrEx>
          <w:tblCellMar>
            <w:top w:w="0" w:type="dxa"/>
            <w:left w:w="108" w:type="dxa"/>
            <w:bottom w:w="0" w:type="dxa"/>
            <w:right w:w="108" w:type="dxa"/>
          </w:tblCellMar>
        </w:tblPrEx>
        <w:trPr>
          <w:trHeight w:val="283" w:hRule="atLeast"/>
        </w:trPr>
        <w:tc>
          <w:tcPr>
            <w:tcW w:w="1460" w:type="dxa"/>
            <w:vMerge w:val="continue"/>
            <w:tcBorders>
              <w:top w:val="nil"/>
              <w:left w:val="single" w:color="auto" w:sz="4" w:space="0"/>
              <w:bottom w:val="single" w:color="000000" w:sz="4" w:space="0"/>
              <w:right w:val="single" w:color="auto" w:sz="4" w:space="0"/>
              <w:tl2br w:val="nil"/>
              <w:tr2bl w:val="nil"/>
            </w:tcBorders>
            <w:vAlign w:val="center"/>
          </w:tcPr>
          <w:p w14:paraId="05F0E3B8">
            <w:pPr>
              <w:pStyle w:val="176"/>
              <w:rPr>
                <w:rFonts w:hint="default"/>
              </w:rPr>
            </w:pPr>
          </w:p>
        </w:tc>
        <w:tc>
          <w:tcPr>
            <w:tcW w:w="1600" w:type="dxa"/>
            <w:tcBorders>
              <w:top w:val="nil"/>
              <w:left w:val="nil"/>
              <w:bottom w:val="single" w:color="auto" w:sz="4" w:space="0"/>
              <w:right w:val="single" w:color="auto" w:sz="4" w:space="0"/>
              <w:tl2br w:val="nil"/>
              <w:tr2bl w:val="nil"/>
            </w:tcBorders>
            <w:vAlign w:val="center"/>
          </w:tcPr>
          <w:p w14:paraId="3771511C">
            <w:pPr>
              <w:pStyle w:val="176"/>
              <w:rPr>
                <w:rFonts w:hint="default"/>
              </w:rPr>
            </w:pPr>
            <w:r>
              <w:t>权限控制准确性</w:t>
            </w:r>
          </w:p>
        </w:tc>
        <w:tc>
          <w:tcPr>
            <w:tcW w:w="2577" w:type="dxa"/>
            <w:tcBorders>
              <w:top w:val="nil"/>
              <w:left w:val="nil"/>
              <w:bottom w:val="single" w:color="auto" w:sz="4" w:space="0"/>
              <w:right w:val="single" w:color="auto" w:sz="4" w:space="0"/>
              <w:tl2br w:val="nil"/>
              <w:tr2bl w:val="nil"/>
            </w:tcBorders>
            <w:vAlign w:val="center"/>
          </w:tcPr>
          <w:p w14:paraId="68A504B3">
            <w:pPr>
              <w:pStyle w:val="176"/>
              <w:rPr>
                <w:rFonts w:hint="default"/>
                <w:lang w:eastAsia="zh-CN"/>
              </w:rPr>
            </w:pPr>
            <w:r>
              <w:rPr>
                <w:lang w:eastAsia="zh-CN"/>
              </w:rPr>
              <w:t>100%（五级角色权限无越权）</w:t>
            </w:r>
          </w:p>
        </w:tc>
        <w:tc>
          <w:tcPr>
            <w:tcW w:w="2835" w:type="dxa"/>
            <w:tcBorders>
              <w:top w:val="nil"/>
              <w:left w:val="nil"/>
              <w:bottom w:val="single" w:color="auto" w:sz="4" w:space="0"/>
              <w:right w:val="single" w:color="auto" w:sz="4" w:space="0"/>
              <w:tl2br w:val="nil"/>
              <w:tr2bl w:val="nil"/>
            </w:tcBorders>
            <w:vAlign w:val="center"/>
          </w:tcPr>
          <w:p w14:paraId="02FC4210">
            <w:pPr>
              <w:pStyle w:val="176"/>
              <w:rPr>
                <w:rFonts w:hint="default"/>
              </w:rPr>
            </w:pPr>
            <w:r>
              <w:t>渗透测试+场景模拟</w:t>
            </w:r>
          </w:p>
        </w:tc>
      </w:tr>
      <w:tr w14:paraId="5C434B12">
        <w:tblPrEx>
          <w:tblCellMar>
            <w:top w:w="0" w:type="dxa"/>
            <w:left w:w="108" w:type="dxa"/>
            <w:bottom w:w="0" w:type="dxa"/>
            <w:right w:w="108" w:type="dxa"/>
          </w:tblCellMar>
        </w:tblPrEx>
        <w:trPr>
          <w:trHeight w:val="566" w:hRule="atLeast"/>
        </w:trPr>
        <w:tc>
          <w:tcPr>
            <w:tcW w:w="1460" w:type="dxa"/>
            <w:vMerge w:val="restart"/>
            <w:tcBorders>
              <w:top w:val="nil"/>
              <w:left w:val="single" w:color="auto" w:sz="4" w:space="0"/>
              <w:bottom w:val="single" w:color="000000" w:sz="4" w:space="0"/>
              <w:right w:val="single" w:color="auto" w:sz="4" w:space="0"/>
              <w:tl2br w:val="nil"/>
              <w:tr2bl w:val="nil"/>
            </w:tcBorders>
            <w:vAlign w:val="center"/>
          </w:tcPr>
          <w:p w14:paraId="369FB5FB">
            <w:pPr>
              <w:pStyle w:val="176"/>
              <w:rPr>
                <w:rFonts w:hint="default"/>
              </w:rPr>
            </w:pPr>
            <w:r>
              <w:t>性能达标性</w:t>
            </w:r>
          </w:p>
        </w:tc>
        <w:tc>
          <w:tcPr>
            <w:tcW w:w="1600" w:type="dxa"/>
            <w:tcBorders>
              <w:top w:val="nil"/>
              <w:left w:val="nil"/>
              <w:bottom w:val="single" w:color="auto" w:sz="4" w:space="0"/>
              <w:right w:val="single" w:color="auto" w:sz="4" w:space="0"/>
              <w:tl2br w:val="nil"/>
              <w:tr2bl w:val="nil"/>
            </w:tcBorders>
            <w:vAlign w:val="center"/>
          </w:tcPr>
          <w:p w14:paraId="6F44090B">
            <w:pPr>
              <w:pStyle w:val="176"/>
              <w:rPr>
                <w:rFonts w:hint="default"/>
              </w:rPr>
            </w:pPr>
            <w:r>
              <w:t>系统响应时间</w:t>
            </w:r>
          </w:p>
        </w:tc>
        <w:tc>
          <w:tcPr>
            <w:tcW w:w="2577" w:type="dxa"/>
            <w:tcBorders>
              <w:top w:val="nil"/>
              <w:left w:val="nil"/>
              <w:bottom w:val="single" w:color="auto" w:sz="4" w:space="0"/>
              <w:right w:val="single" w:color="auto" w:sz="4" w:space="0"/>
              <w:tl2br w:val="nil"/>
              <w:tr2bl w:val="nil"/>
            </w:tcBorders>
            <w:vAlign w:val="center"/>
          </w:tcPr>
          <w:p w14:paraId="4352D139">
            <w:pPr>
              <w:pStyle w:val="176"/>
              <w:rPr>
                <w:rFonts w:hint="default"/>
                <w:lang w:eastAsia="zh-CN"/>
              </w:rPr>
            </w:pPr>
            <w:r>
              <w:rPr>
                <w:lang w:eastAsia="zh-CN"/>
              </w:rPr>
              <w:t>≤3秒（常规业务模块）</w:t>
            </w:r>
          </w:p>
        </w:tc>
        <w:tc>
          <w:tcPr>
            <w:tcW w:w="2835" w:type="dxa"/>
            <w:tcBorders>
              <w:top w:val="nil"/>
              <w:left w:val="nil"/>
              <w:bottom w:val="single" w:color="auto" w:sz="4" w:space="0"/>
              <w:right w:val="single" w:color="auto" w:sz="4" w:space="0"/>
              <w:tl2br w:val="nil"/>
              <w:tr2bl w:val="nil"/>
            </w:tcBorders>
            <w:vAlign w:val="center"/>
          </w:tcPr>
          <w:p w14:paraId="5C441934">
            <w:pPr>
              <w:pStyle w:val="176"/>
              <w:rPr>
                <w:rFonts w:hint="default"/>
              </w:rPr>
            </w:pPr>
            <w:bookmarkStart w:id="2" w:name="OLE_LINK1"/>
            <w:r>
              <w:t>压力测试</w:t>
            </w:r>
            <w:bookmarkEnd w:id="2"/>
            <w:r>
              <w:t>（1000并发）</w:t>
            </w:r>
          </w:p>
        </w:tc>
      </w:tr>
      <w:tr w14:paraId="66FE7655">
        <w:tblPrEx>
          <w:tblCellMar>
            <w:top w:w="0" w:type="dxa"/>
            <w:left w:w="108" w:type="dxa"/>
            <w:bottom w:w="0" w:type="dxa"/>
            <w:right w:w="108" w:type="dxa"/>
          </w:tblCellMar>
        </w:tblPrEx>
        <w:trPr>
          <w:trHeight w:val="283" w:hRule="atLeast"/>
        </w:trPr>
        <w:tc>
          <w:tcPr>
            <w:tcW w:w="1460" w:type="dxa"/>
            <w:vMerge w:val="continue"/>
            <w:tcBorders>
              <w:top w:val="nil"/>
              <w:left w:val="single" w:color="auto" w:sz="4" w:space="0"/>
              <w:bottom w:val="single" w:color="000000" w:sz="4" w:space="0"/>
              <w:right w:val="single" w:color="auto" w:sz="4" w:space="0"/>
              <w:tl2br w:val="nil"/>
              <w:tr2bl w:val="nil"/>
            </w:tcBorders>
            <w:vAlign w:val="center"/>
          </w:tcPr>
          <w:p w14:paraId="53F8A3E6">
            <w:pPr>
              <w:pStyle w:val="176"/>
              <w:rPr>
                <w:rFonts w:hint="default"/>
              </w:rPr>
            </w:pPr>
          </w:p>
        </w:tc>
        <w:tc>
          <w:tcPr>
            <w:tcW w:w="1600" w:type="dxa"/>
            <w:tcBorders>
              <w:top w:val="nil"/>
              <w:left w:val="nil"/>
              <w:bottom w:val="single" w:color="auto" w:sz="4" w:space="0"/>
              <w:right w:val="single" w:color="auto" w:sz="4" w:space="0"/>
              <w:tl2br w:val="nil"/>
              <w:tr2bl w:val="nil"/>
            </w:tcBorders>
            <w:vAlign w:val="center"/>
          </w:tcPr>
          <w:p w14:paraId="076287F4">
            <w:pPr>
              <w:pStyle w:val="176"/>
              <w:rPr>
                <w:rFonts w:hint="default"/>
                <w:lang w:eastAsia="zh-CN"/>
              </w:rPr>
            </w:pPr>
            <w:r>
              <w:rPr>
                <w:lang w:eastAsia="zh-CN"/>
              </w:rPr>
              <w:t>最大并发用户数</w:t>
            </w:r>
          </w:p>
        </w:tc>
        <w:tc>
          <w:tcPr>
            <w:tcW w:w="2577" w:type="dxa"/>
            <w:tcBorders>
              <w:top w:val="nil"/>
              <w:left w:val="nil"/>
              <w:bottom w:val="single" w:color="auto" w:sz="4" w:space="0"/>
              <w:right w:val="single" w:color="auto" w:sz="4" w:space="0"/>
              <w:tl2br w:val="nil"/>
              <w:tr2bl w:val="nil"/>
            </w:tcBorders>
            <w:vAlign w:val="center"/>
          </w:tcPr>
          <w:p w14:paraId="763A112D">
            <w:pPr>
              <w:pStyle w:val="176"/>
              <w:rPr>
                <w:rFonts w:hint="default"/>
                <w:lang w:eastAsia="zh-CN"/>
              </w:rPr>
            </w:pPr>
            <w:r>
              <w:rPr>
                <w:lang w:eastAsia="zh-CN"/>
              </w:rPr>
              <w:t>≥1000</w:t>
            </w:r>
          </w:p>
        </w:tc>
        <w:tc>
          <w:tcPr>
            <w:tcW w:w="2835" w:type="dxa"/>
            <w:tcBorders>
              <w:top w:val="nil"/>
              <w:left w:val="nil"/>
              <w:bottom w:val="single" w:color="auto" w:sz="4" w:space="0"/>
              <w:right w:val="single" w:color="auto" w:sz="4" w:space="0"/>
              <w:tl2br w:val="nil"/>
              <w:tr2bl w:val="nil"/>
            </w:tcBorders>
            <w:vAlign w:val="center"/>
          </w:tcPr>
          <w:p w14:paraId="015E3E10">
            <w:pPr>
              <w:pStyle w:val="176"/>
              <w:rPr>
                <w:rFonts w:hint="default"/>
              </w:rPr>
            </w:pPr>
            <w:r>
              <w:t>压力测试</w:t>
            </w:r>
          </w:p>
        </w:tc>
      </w:tr>
      <w:tr w14:paraId="61312E02">
        <w:tblPrEx>
          <w:tblCellMar>
            <w:top w:w="0" w:type="dxa"/>
            <w:left w:w="108" w:type="dxa"/>
            <w:bottom w:w="0" w:type="dxa"/>
            <w:right w:w="108" w:type="dxa"/>
          </w:tblCellMar>
        </w:tblPrEx>
        <w:trPr>
          <w:trHeight w:val="566" w:hRule="atLeast"/>
        </w:trPr>
        <w:tc>
          <w:tcPr>
            <w:tcW w:w="1460" w:type="dxa"/>
            <w:vMerge w:val="continue"/>
            <w:tcBorders>
              <w:top w:val="nil"/>
              <w:left w:val="single" w:color="auto" w:sz="4" w:space="0"/>
              <w:bottom w:val="single" w:color="auto" w:sz="4" w:space="0"/>
              <w:right w:val="single" w:color="auto" w:sz="4" w:space="0"/>
              <w:tl2br w:val="nil"/>
              <w:tr2bl w:val="nil"/>
            </w:tcBorders>
            <w:vAlign w:val="center"/>
          </w:tcPr>
          <w:p w14:paraId="1D43D483">
            <w:pPr>
              <w:pStyle w:val="176"/>
              <w:rPr>
                <w:rFonts w:hint="default"/>
              </w:rPr>
            </w:pPr>
          </w:p>
        </w:tc>
        <w:tc>
          <w:tcPr>
            <w:tcW w:w="1600" w:type="dxa"/>
            <w:tcBorders>
              <w:top w:val="nil"/>
              <w:left w:val="nil"/>
              <w:bottom w:val="single" w:color="auto" w:sz="4" w:space="0"/>
              <w:right w:val="single" w:color="auto" w:sz="4" w:space="0"/>
              <w:tl2br w:val="nil"/>
              <w:tr2bl w:val="nil"/>
            </w:tcBorders>
            <w:vAlign w:val="center"/>
          </w:tcPr>
          <w:p w14:paraId="51511D89">
            <w:pPr>
              <w:pStyle w:val="176"/>
              <w:rPr>
                <w:rFonts w:hint="default"/>
                <w:lang w:eastAsia="zh-CN"/>
              </w:rPr>
            </w:pPr>
            <w:r>
              <w:rPr>
                <w:lang w:eastAsia="zh-CN"/>
              </w:rPr>
              <w:t>系统可用率</w:t>
            </w:r>
          </w:p>
        </w:tc>
        <w:tc>
          <w:tcPr>
            <w:tcW w:w="2577" w:type="dxa"/>
            <w:tcBorders>
              <w:top w:val="nil"/>
              <w:left w:val="nil"/>
              <w:bottom w:val="single" w:color="auto" w:sz="4" w:space="0"/>
              <w:right w:val="single" w:color="auto" w:sz="4" w:space="0"/>
              <w:tl2br w:val="nil"/>
              <w:tr2bl w:val="nil"/>
            </w:tcBorders>
            <w:vAlign w:val="center"/>
          </w:tcPr>
          <w:p w14:paraId="402655F3">
            <w:pPr>
              <w:pStyle w:val="176"/>
              <w:rPr>
                <w:rFonts w:hint="default"/>
              </w:rPr>
            </w:pPr>
            <w:r>
              <w:rPr>
                <w:lang w:eastAsia="zh-CN"/>
              </w:rPr>
              <w:t>≥</w:t>
            </w:r>
            <w:r>
              <w:t>99.99%</w:t>
            </w:r>
          </w:p>
        </w:tc>
        <w:tc>
          <w:tcPr>
            <w:tcW w:w="2835" w:type="dxa"/>
            <w:tcBorders>
              <w:top w:val="nil"/>
              <w:left w:val="nil"/>
              <w:bottom w:val="single" w:color="auto" w:sz="4" w:space="0"/>
              <w:right w:val="single" w:color="auto" w:sz="4" w:space="0"/>
              <w:tl2br w:val="nil"/>
              <w:tr2bl w:val="nil"/>
            </w:tcBorders>
            <w:vAlign w:val="center"/>
          </w:tcPr>
          <w:p w14:paraId="54F8FAA0">
            <w:pPr>
              <w:pStyle w:val="176"/>
              <w:rPr>
                <w:rFonts w:hint="default"/>
              </w:rPr>
            </w:pPr>
            <w:r>
              <w:rPr>
                <w:lang w:eastAsia="zh-CN"/>
              </w:rPr>
              <w:t>运行日志统计</w:t>
            </w:r>
          </w:p>
        </w:tc>
      </w:tr>
      <w:tr w14:paraId="33482954">
        <w:tblPrEx>
          <w:tblCellMar>
            <w:top w:w="0" w:type="dxa"/>
            <w:left w:w="108" w:type="dxa"/>
            <w:bottom w:w="0" w:type="dxa"/>
            <w:right w:w="108" w:type="dxa"/>
          </w:tblCellMar>
        </w:tblPrEx>
        <w:trPr>
          <w:trHeight w:val="566" w:hRule="atLeast"/>
        </w:trPr>
        <w:tc>
          <w:tcPr>
            <w:tcW w:w="1460" w:type="dxa"/>
            <w:vMerge w:val="restart"/>
            <w:tcBorders>
              <w:top w:val="single" w:color="auto" w:sz="4" w:space="0"/>
              <w:left w:val="single" w:color="auto" w:sz="4" w:space="0"/>
              <w:right w:val="single" w:color="auto" w:sz="4" w:space="0"/>
              <w:tl2br w:val="nil"/>
              <w:tr2bl w:val="nil"/>
            </w:tcBorders>
            <w:vAlign w:val="center"/>
          </w:tcPr>
          <w:p w14:paraId="630D5F9C">
            <w:pPr>
              <w:pStyle w:val="176"/>
              <w:rPr>
                <w:rFonts w:hint="default"/>
                <w:color w:val="auto"/>
              </w:rPr>
            </w:pPr>
            <w:r>
              <w:rPr>
                <w:color w:val="auto"/>
              </w:rPr>
              <w:t>业务实效性</w:t>
            </w:r>
          </w:p>
        </w:tc>
        <w:tc>
          <w:tcPr>
            <w:tcW w:w="1600" w:type="dxa"/>
            <w:tcBorders>
              <w:top w:val="nil"/>
              <w:left w:val="nil"/>
              <w:bottom w:val="single" w:color="auto" w:sz="4" w:space="0"/>
              <w:right w:val="single" w:color="auto" w:sz="4" w:space="0"/>
              <w:tl2br w:val="nil"/>
              <w:tr2bl w:val="nil"/>
            </w:tcBorders>
            <w:vAlign w:val="center"/>
          </w:tcPr>
          <w:p w14:paraId="2AA29CBE">
            <w:pPr>
              <w:pStyle w:val="176"/>
              <w:rPr>
                <w:rFonts w:hint="default"/>
                <w:color w:val="auto"/>
              </w:rPr>
            </w:pPr>
            <w:r>
              <w:rPr>
                <w:color w:val="auto"/>
              </w:rPr>
              <w:t>溯源报表生成率</w:t>
            </w:r>
          </w:p>
        </w:tc>
        <w:tc>
          <w:tcPr>
            <w:tcW w:w="2577" w:type="dxa"/>
            <w:tcBorders>
              <w:top w:val="nil"/>
              <w:left w:val="nil"/>
              <w:bottom w:val="single" w:color="auto" w:sz="4" w:space="0"/>
              <w:right w:val="single" w:color="auto" w:sz="4" w:space="0"/>
              <w:tl2br w:val="nil"/>
              <w:tr2bl w:val="nil"/>
            </w:tcBorders>
            <w:vAlign w:val="center"/>
          </w:tcPr>
          <w:p w14:paraId="20A343FD">
            <w:pPr>
              <w:pStyle w:val="176"/>
              <w:rPr>
                <w:rFonts w:hint="default"/>
                <w:color w:val="auto"/>
              </w:rPr>
            </w:pPr>
            <w:r>
              <w:rPr>
                <w:color w:val="auto"/>
              </w:rPr>
              <w:t>100%</w:t>
            </w:r>
          </w:p>
        </w:tc>
        <w:tc>
          <w:tcPr>
            <w:tcW w:w="2835" w:type="dxa"/>
            <w:tcBorders>
              <w:top w:val="nil"/>
              <w:left w:val="nil"/>
              <w:bottom w:val="single" w:color="auto" w:sz="4" w:space="0"/>
              <w:right w:val="single" w:color="auto" w:sz="4" w:space="0"/>
              <w:tl2br w:val="nil"/>
              <w:tr2bl w:val="nil"/>
            </w:tcBorders>
            <w:vAlign w:val="center"/>
          </w:tcPr>
          <w:p w14:paraId="4E174791">
            <w:pPr>
              <w:pStyle w:val="176"/>
              <w:rPr>
                <w:rFonts w:hint="default"/>
              </w:rPr>
            </w:pPr>
            <w:r>
              <w:t>平台数据统计</w:t>
            </w:r>
          </w:p>
        </w:tc>
      </w:tr>
      <w:tr w14:paraId="3231F189">
        <w:tblPrEx>
          <w:tblCellMar>
            <w:top w:w="0" w:type="dxa"/>
            <w:left w:w="108" w:type="dxa"/>
            <w:bottom w:w="0" w:type="dxa"/>
            <w:right w:w="108" w:type="dxa"/>
          </w:tblCellMar>
        </w:tblPrEx>
        <w:trPr>
          <w:trHeight w:val="566" w:hRule="atLeast"/>
        </w:trPr>
        <w:tc>
          <w:tcPr>
            <w:tcW w:w="1460" w:type="dxa"/>
            <w:vMerge w:val="continue"/>
            <w:tcBorders>
              <w:left w:val="single" w:color="auto" w:sz="4" w:space="0"/>
              <w:right w:val="single" w:color="auto" w:sz="4" w:space="0"/>
              <w:tl2br w:val="nil"/>
              <w:tr2bl w:val="nil"/>
            </w:tcBorders>
            <w:vAlign w:val="center"/>
          </w:tcPr>
          <w:p w14:paraId="4D5E9FD9">
            <w:pPr>
              <w:pStyle w:val="176"/>
              <w:rPr>
                <w:rFonts w:hint="default"/>
                <w:color w:val="auto"/>
              </w:rPr>
            </w:pPr>
          </w:p>
        </w:tc>
        <w:tc>
          <w:tcPr>
            <w:tcW w:w="1600" w:type="dxa"/>
            <w:tcBorders>
              <w:top w:val="nil"/>
              <w:left w:val="nil"/>
              <w:bottom w:val="single" w:color="auto" w:sz="4" w:space="0"/>
              <w:right w:val="single" w:color="auto" w:sz="4" w:space="0"/>
              <w:tl2br w:val="nil"/>
              <w:tr2bl w:val="nil"/>
            </w:tcBorders>
            <w:vAlign w:val="center"/>
          </w:tcPr>
          <w:p w14:paraId="4EFE8A27">
            <w:pPr>
              <w:pStyle w:val="176"/>
              <w:rPr>
                <w:rFonts w:hint="default"/>
                <w:color w:val="auto"/>
              </w:rPr>
            </w:pPr>
            <w:r>
              <w:rPr>
                <w:color w:val="auto"/>
              </w:rPr>
              <w:t>验收报表生成率</w:t>
            </w:r>
          </w:p>
        </w:tc>
        <w:tc>
          <w:tcPr>
            <w:tcW w:w="2577" w:type="dxa"/>
            <w:tcBorders>
              <w:top w:val="nil"/>
              <w:left w:val="nil"/>
              <w:bottom w:val="single" w:color="auto" w:sz="4" w:space="0"/>
              <w:right w:val="single" w:color="auto" w:sz="4" w:space="0"/>
              <w:tl2br w:val="nil"/>
              <w:tr2bl w:val="nil"/>
            </w:tcBorders>
            <w:vAlign w:val="center"/>
          </w:tcPr>
          <w:p w14:paraId="25A61DDA">
            <w:pPr>
              <w:pStyle w:val="176"/>
              <w:rPr>
                <w:rFonts w:hint="default"/>
                <w:color w:val="auto"/>
              </w:rPr>
            </w:pPr>
            <w:r>
              <w:rPr>
                <w:color w:val="auto"/>
              </w:rPr>
              <w:t>100%</w:t>
            </w:r>
          </w:p>
        </w:tc>
        <w:tc>
          <w:tcPr>
            <w:tcW w:w="2835" w:type="dxa"/>
            <w:tcBorders>
              <w:top w:val="nil"/>
              <w:left w:val="nil"/>
              <w:bottom w:val="single" w:color="auto" w:sz="4" w:space="0"/>
              <w:right w:val="single" w:color="auto" w:sz="4" w:space="0"/>
              <w:tl2br w:val="nil"/>
              <w:tr2bl w:val="nil"/>
            </w:tcBorders>
            <w:vAlign w:val="center"/>
          </w:tcPr>
          <w:p w14:paraId="34EFE6D4">
            <w:pPr>
              <w:pStyle w:val="176"/>
              <w:rPr>
                <w:rFonts w:hint="default"/>
              </w:rPr>
            </w:pPr>
            <w:r>
              <w:t>平台数据统计</w:t>
            </w:r>
          </w:p>
        </w:tc>
      </w:tr>
      <w:tr w14:paraId="5438BF7A">
        <w:tblPrEx>
          <w:tblCellMar>
            <w:top w:w="0" w:type="dxa"/>
            <w:left w:w="108" w:type="dxa"/>
            <w:bottom w:w="0" w:type="dxa"/>
            <w:right w:w="108" w:type="dxa"/>
          </w:tblCellMar>
        </w:tblPrEx>
        <w:trPr>
          <w:trHeight w:val="283" w:hRule="atLeast"/>
        </w:trPr>
        <w:tc>
          <w:tcPr>
            <w:tcW w:w="1460" w:type="dxa"/>
            <w:vMerge w:val="continue"/>
            <w:tcBorders>
              <w:left w:val="single" w:color="auto" w:sz="4" w:space="0"/>
              <w:right w:val="single" w:color="auto" w:sz="4" w:space="0"/>
              <w:tl2br w:val="nil"/>
              <w:tr2bl w:val="nil"/>
            </w:tcBorders>
            <w:vAlign w:val="center"/>
          </w:tcPr>
          <w:p w14:paraId="4B9BE352">
            <w:pPr>
              <w:pStyle w:val="176"/>
              <w:rPr>
                <w:rFonts w:hint="default"/>
                <w:color w:val="auto"/>
              </w:rPr>
            </w:pPr>
          </w:p>
        </w:tc>
        <w:tc>
          <w:tcPr>
            <w:tcW w:w="1600" w:type="dxa"/>
            <w:tcBorders>
              <w:top w:val="nil"/>
              <w:left w:val="nil"/>
              <w:bottom w:val="single" w:color="auto" w:sz="4" w:space="0"/>
              <w:right w:val="single" w:color="auto" w:sz="4" w:space="0"/>
              <w:tl2br w:val="nil"/>
              <w:tr2bl w:val="nil"/>
            </w:tcBorders>
            <w:vAlign w:val="center"/>
          </w:tcPr>
          <w:p w14:paraId="4DFDC76C">
            <w:pPr>
              <w:pStyle w:val="176"/>
              <w:rPr>
                <w:rFonts w:hint="default"/>
                <w:color w:val="auto"/>
              </w:rPr>
            </w:pPr>
            <w:r>
              <w:rPr>
                <w:color w:val="auto"/>
                <w:lang w:val="en-US" w:eastAsia="zh-CN"/>
              </w:rPr>
              <w:t>已填带量菜谱推送率</w:t>
            </w:r>
          </w:p>
        </w:tc>
        <w:tc>
          <w:tcPr>
            <w:tcW w:w="2577" w:type="dxa"/>
            <w:tcBorders>
              <w:top w:val="nil"/>
              <w:left w:val="nil"/>
              <w:bottom w:val="single" w:color="auto" w:sz="4" w:space="0"/>
              <w:right w:val="single" w:color="auto" w:sz="4" w:space="0"/>
              <w:tl2br w:val="nil"/>
              <w:tr2bl w:val="nil"/>
            </w:tcBorders>
            <w:vAlign w:val="center"/>
          </w:tcPr>
          <w:p w14:paraId="660BB4C9">
            <w:pPr>
              <w:pStyle w:val="176"/>
              <w:rPr>
                <w:rFonts w:hint="default"/>
                <w:color w:val="auto"/>
              </w:rPr>
            </w:pPr>
            <w:r>
              <w:rPr>
                <w:color w:val="auto"/>
                <w:lang w:val="en-US" w:eastAsia="zh-CN"/>
              </w:rPr>
              <w:t>10</w:t>
            </w:r>
            <w:r>
              <w:rPr>
                <w:color w:val="auto"/>
              </w:rPr>
              <w:t>0%</w:t>
            </w:r>
          </w:p>
        </w:tc>
        <w:tc>
          <w:tcPr>
            <w:tcW w:w="2835" w:type="dxa"/>
            <w:tcBorders>
              <w:top w:val="nil"/>
              <w:left w:val="nil"/>
              <w:bottom w:val="single" w:color="auto" w:sz="4" w:space="0"/>
              <w:right w:val="single" w:color="auto" w:sz="4" w:space="0"/>
              <w:tl2br w:val="nil"/>
              <w:tr2bl w:val="nil"/>
            </w:tcBorders>
            <w:vAlign w:val="center"/>
          </w:tcPr>
          <w:p w14:paraId="208B9F18">
            <w:pPr>
              <w:pStyle w:val="176"/>
              <w:rPr>
                <w:rFonts w:hint="default"/>
              </w:rPr>
            </w:pPr>
            <w:r>
              <w:t>平台数据统计</w:t>
            </w:r>
          </w:p>
        </w:tc>
      </w:tr>
      <w:tr w14:paraId="738DF4E1">
        <w:tblPrEx>
          <w:tblCellMar>
            <w:top w:w="0" w:type="dxa"/>
            <w:left w:w="108" w:type="dxa"/>
            <w:bottom w:w="0" w:type="dxa"/>
            <w:right w:w="108" w:type="dxa"/>
          </w:tblCellMar>
        </w:tblPrEx>
        <w:trPr>
          <w:trHeight w:val="283" w:hRule="atLeast"/>
        </w:trPr>
        <w:tc>
          <w:tcPr>
            <w:tcW w:w="1460" w:type="dxa"/>
            <w:vMerge w:val="continue"/>
            <w:tcBorders>
              <w:left w:val="single" w:color="auto" w:sz="4" w:space="0"/>
              <w:right w:val="single" w:color="auto" w:sz="4" w:space="0"/>
              <w:tl2br w:val="nil"/>
              <w:tr2bl w:val="nil"/>
            </w:tcBorders>
            <w:vAlign w:val="center"/>
          </w:tcPr>
          <w:p w14:paraId="40E86DE7">
            <w:pPr>
              <w:pStyle w:val="176"/>
              <w:rPr>
                <w:rFonts w:hint="default"/>
                <w:color w:val="auto"/>
              </w:rPr>
            </w:pPr>
          </w:p>
        </w:tc>
        <w:tc>
          <w:tcPr>
            <w:tcW w:w="1600" w:type="dxa"/>
            <w:tcBorders>
              <w:top w:val="nil"/>
              <w:left w:val="nil"/>
              <w:bottom w:val="single" w:color="auto" w:sz="4" w:space="0"/>
              <w:right w:val="single" w:color="auto" w:sz="4" w:space="0"/>
              <w:tl2br w:val="nil"/>
              <w:tr2bl w:val="nil"/>
            </w:tcBorders>
            <w:vAlign w:val="center"/>
          </w:tcPr>
          <w:p w14:paraId="3F2BCE69">
            <w:pPr>
              <w:pStyle w:val="176"/>
              <w:rPr>
                <w:rFonts w:hint="default"/>
                <w:color w:val="auto"/>
                <w:lang w:val="en-US" w:eastAsia="zh-CN"/>
              </w:rPr>
            </w:pPr>
            <w:r>
              <w:rPr>
                <w:color w:val="auto"/>
                <w:lang w:val="en-US" w:eastAsia="zh-CN"/>
              </w:rPr>
              <w:t>已填成品菜推送率</w:t>
            </w:r>
          </w:p>
        </w:tc>
        <w:tc>
          <w:tcPr>
            <w:tcW w:w="2577" w:type="dxa"/>
            <w:tcBorders>
              <w:top w:val="nil"/>
              <w:left w:val="nil"/>
              <w:bottom w:val="single" w:color="auto" w:sz="4" w:space="0"/>
              <w:right w:val="single" w:color="auto" w:sz="4" w:space="0"/>
              <w:tl2br w:val="nil"/>
              <w:tr2bl w:val="nil"/>
            </w:tcBorders>
            <w:vAlign w:val="center"/>
          </w:tcPr>
          <w:p w14:paraId="6E248E6E">
            <w:pPr>
              <w:pStyle w:val="176"/>
              <w:rPr>
                <w:rFonts w:hint="default"/>
                <w:color w:val="auto"/>
              </w:rPr>
            </w:pPr>
            <w:r>
              <w:rPr>
                <w:color w:val="auto"/>
                <w:lang w:val="en-US" w:eastAsia="zh-CN"/>
              </w:rPr>
              <w:t>10</w:t>
            </w:r>
            <w:r>
              <w:rPr>
                <w:color w:val="auto"/>
              </w:rPr>
              <w:t>0%</w:t>
            </w:r>
          </w:p>
        </w:tc>
        <w:tc>
          <w:tcPr>
            <w:tcW w:w="2835" w:type="dxa"/>
            <w:tcBorders>
              <w:top w:val="nil"/>
              <w:left w:val="nil"/>
              <w:bottom w:val="single" w:color="auto" w:sz="4" w:space="0"/>
              <w:right w:val="single" w:color="auto" w:sz="4" w:space="0"/>
              <w:tl2br w:val="nil"/>
              <w:tr2bl w:val="nil"/>
            </w:tcBorders>
            <w:vAlign w:val="center"/>
          </w:tcPr>
          <w:p w14:paraId="5155537F">
            <w:pPr>
              <w:pStyle w:val="176"/>
              <w:rPr>
                <w:rFonts w:hint="default"/>
              </w:rPr>
            </w:pPr>
            <w:r>
              <w:t>平台数据统计</w:t>
            </w:r>
          </w:p>
        </w:tc>
      </w:tr>
      <w:tr w14:paraId="407B360C">
        <w:tblPrEx>
          <w:tblCellMar>
            <w:top w:w="0" w:type="dxa"/>
            <w:left w:w="108" w:type="dxa"/>
            <w:bottom w:w="0" w:type="dxa"/>
            <w:right w:w="108" w:type="dxa"/>
          </w:tblCellMar>
        </w:tblPrEx>
        <w:trPr>
          <w:trHeight w:val="504" w:hRule="atLeast"/>
        </w:trPr>
        <w:tc>
          <w:tcPr>
            <w:tcW w:w="1460" w:type="dxa"/>
            <w:vMerge w:val="continue"/>
            <w:tcBorders>
              <w:left w:val="single" w:color="auto" w:sz="4" w:space="0"/>
              <w:right w:val="single" w:color="auto" w:sz="4" w:space="0"/>
              <w:tl2br w:val="nil"/>
              <w:tr2bl w:val="nil"/>
            </w:tcBorders>
            <w:vAlign w:val="center"/>
          </w:tcPr>
          <w:p w14:paraId="6C43844B">
            <w:pPr>
              <w:pStyle w:val="176"/>
              <w:rPr>
                <w:rFonts w:hint="default"/>
                <w:color w:val="auto"/>
              </w:rPr>
            </w:pPr>
          </w:p>
        </w:tc>
        <w:tc>
          <w:tcPr>
            <w:tcW w:w="1600" w:type="dxa"/>
            <w:tcBorders>
              <w:top w:val="nil"/>
              <w:left w:val="nil"/>
              <w:bottom w:val="single" w:color="auto" w:sz="4" w:space="0"/>
              <w:right w:val="single" w:color="auto" w:sz="4" w:space="0"/>
              <w:tl2br w:val="nil"/>
              <w:tr2bl w:val="nil"/>
            </w:tcBorders>
            <w:vAlign w:val="center"/>
          </w:tcPr>
          <w:p w14:paraId="7DEE7A08">
            <w:pPr>
              <w:pStyle w:val="176"/>
              <w:rPr>
                <w:rFonts w:hint="default"/>
                <w:color w:val="auto"/>
              </w:rPr>
            </w:pPr>
            <w:r>
              <w:rPr>
                <w:color w:val="auto"/>
                <w:lang w:val="en-US"/>
              </w:rPr>
              <w:t>已填陪餐推送率</w:t>
            </w:r>
          </w:p>
        </w:tc>
        <w:tc>
          <w:tcPr>
            <w:tcW w:w="2577" w:type="dxa"/>
            <w:tcBorders>
              <w:top w:val="nil"/>
              <w:left w:val="nil"/>
              <w:bottom w:val="single" w:color="auto" w:sz="4" w:space="0"/>
              <w:right w:val="single" w:color="auto" w:sz="4" w:space="0"/>
              <w:tl2br w:val="nil"/>
              <w:tr2bl w:val="nil"/>
            </w:tcBorders>
            <w:vAlign w:val="center"/>
          </w:tcPr>
          <w:p w14:paraId="3419B323">
            <w:pPr>
              <w:pStyle w:val="176"/>
              <w:rPr>
                <w:rFonts w:hint="default"/>
                <w:color w:val="auto"/>
              </w:rPr>
            </w:pPr>
            <w:r>
              <w:rPr>
                <w:color w:val="auto"/>
              </w:rPr>
              <w:t>100%</w:t>
            </w:r>
          </w:p>
        </w:tc>
        <w:tc>
          <w:tcPr>
            <w:tcW w:w="2835" w:type="dxa"/>
            <w:tcBorders>
              <w:top w:val="nil"/>
              <w:left w:val="nil"/>
              <w:bottom w:val="single" w:color="auto" w:sz="4" w:space="0"/>
              <w:right w:val="single" w:color="auto" w:sz="4" w:space="0"/>
              <w:tl2br w:val="nil"/>
              <w:tr2bl w:val="nil"/>
            </w:tcBorders>
            <w:vAlign w:val="center"/>
          </w:tcPr>
          <w:p w14:paraId="68CF5974">
            <w:pPr>
              <w:pStyle w:val="176"/>
              <w:rPr>
                <w:rFonts w:hint="default"/>
              </w:rPr>
            </w:pPr>
            <w:r>
              <w:t>平台数据统计</w:t>
            </w:r>
          </w:p>
        </w:tc>
      </w:tr>
      <w:tr w14:paraId="4FCE4A0F">
        <w:tblPrEx>
          <w:tblCellMar>
            <w:top w:w="0" w:type="dxa"/>
            <w:left w:w="108" w:type="dxa"/>
            <w:bottom w:w="0" w:type="dxa"/>
            <w:right w:w="108" w:type="dxa"/>
          </w:tblCellMar>
        </w:tblPrEx>
        <w:trPr>
          <w:trHeight w:val="283" w:hRule="atLeast"/>
        </w:trPr>
        <w:tc>
          <w:tcPr>
            <w:tcW w:w="1460" w:type="dxa"/>
            <w:vMerge w:val="continue"/>
            <w:tcBorders>
              <w:left w:val="single" w:color="auto" w:sz="4" w:space="0"/>
              <w:right w:val="single" w:color="auto" w:sz="4" w:space="0"/>
              <w:tl2br w:val="nil"/>
              <w:tr2bl w:val="nil"/>
            </w:tcBorders>
            <w:vAlign w:val="center"/>
          </w:tcPr>
          <w:p w14:paraId="04FEB491">
            <w:pPr>
              <w:pStyle w:val="176"/>
              <w:rPr>
                <w:rFonts w:hint="default"/>
                <w:color w:val="auto"/>
              </w:rPr>
            </w:pPr>
          </w:p>
        </w:tc>
        <w:tc>
          <w:tcPr>
            <w:tcW w:w="1600" w:type="dxa"/>
            <w:tcBorders>
              <w:top w:val="nil"/>
              <w:left w:val="nil"/>
              <w:bottom w:val="single" w:color="auto" w:sz="4" w:space="0"/>
              <w:right w:val="single" w:color="auto" w:sz="4" w:space="0"/>
              <w:tl2br w:val="nil"/>
              <w:tr2bl w:val="nil"/>
            </w:tcBorders>
            <w:vAlign w:val="center"/>
          </w:tcPr>
          <w:p w14:paraId="747484B9">
            <w:pPr>
              <w:pStyle w:val="176"/>
              <w:rPr>
                <w:rFonts w:hint="default"/>
                <w:color w:val="auto"/>
              </w:rPr>
            </w:pPr>
            <w:r>
              <w:rPr>
                <w:color w:val="auto"/>
                <w:lang w:val="en-US"/>
              </w:rPr>
              <w:t>风险预警准确率</w:t>
            </w:r>
          </w:p>
        </w:tc>
        <w:tc>
          <w:tcPr>
            <w:tcW w:w="2577" w:type="dxa"/>
            <w:tcBorders>
              <w:top w:val="nil"/>
              <w:left w:val="nil"/>
              <w:bottom w:val="single" w:color="auto" w:sz="4" w:space="0"/>
              <w:right w:val="single" w:color="auto" w:sz="4" w:space="0"/>
              <w:tl2br w:val="nil"/>
              <w:tr2bl w:val="nil"/>
            </w:tcBorders>
            <w:vAlign w:val="center"/>
          </w:tcPr>
          <w:p w14:paraId="02D071A9">
            <w:pPr>
              <w:pStyle w:val="176"/>
              <w:rPr>
                <w:rFonts w:hint="default"/>
                <w:color w:val="auto"/>
              </w:rPr>
            </w:pPr>
            <w:r>
              <w:rPr>
                <w:color w:val="auto"/>
              </w:rPr>
              <w:t>&gt;90%</w:t>
            </w:r>
          </w:p>
        </w:tc>
        <w:tc>
          <w:tcPr>
            <w:tcW w:w="2835" w:type="dxa"/>
            <w:tcBorders>
              <w:top w:val="nil"/>
              <w:left w:val="nil"/>
              <w:bottom w:val="single" w:color="auto" w:sz="4" w:space="0"/>
              <w:right w:val="single" w:color="auto" w:sz="4" w:space="0"/>
              <w:tl2br w:val="nil"/>
              <w:tr2bl w:val="nil"/>
            </w:tcBorders>
            <w:vAlign w:val="center"/>
          </w:tcPr>
          <w:p w14:paraId="38F0562B">
            <w:pPr>
              <w:pStyle w:val="176"/>
              <w:rPr>
                <w:rFonts w:hint="default"/>
              </w:rPr>
            </w:pPr>
            <w:r>
              <w:t>历史数据回测</w:t>
            </w:r>
          </w:p>
        </w:tc>
      </w:tr>
      <w:tr w14:paraId="7F895120">
        <w:tblPrEx>
          <w:tblCellMar>
            <w:top w:w="0" w:type="dxa"/>
            <w:left w:w="108" w:type="dxa"/>
            <w:bottom w:w="0" w:type="dxa"/>
            <w:right w:w="108" w:type="dxa"/>
          </w:tblCellMar>
        </w:tblPrEx>
        <w:trPr>
          <w:trHeight w:val="566" w:hRule="atLeast"/>
        </w:trPr>
        <w:tc>
          <w:tcPr>
            <w:tcW w:w="1460" w:type="dxa"/>
            <w:tcBorders>
              <w:top w:val="single" w:color="auto" w:sz="4" w:space="0"/>
              <w:left w:val="single" w:color="auto" w:sz="4" w:space="0"/>
              <w:bottom w:val="single" w:color="auto" w:sz="4" w:space="0"/>
              <w:right w:val="single" w:color="auto" w:sz="4" w:space="0"/>
              <w:tl2br w:val="nil"/>
              <w:tr2bl w:val="nil"/>
            </w:tcBorders>
            <w:vAlign w:val="center"/>
          </w:tcPr>
          <w:p w14:paraId="38802ECA">
            <w:pPr>
              <w:pStyle w:val="176"/>
              <w:rPr>
                <w:rFonts w:hint="default"/>
                <w:color w:val="auto"/>
              </w:rPr>
            </w:pPr>
            <w:r>
              <w:rPr>
                <w:color w:val="auto"/>
              </w:rPr>
              <w:t>用户满意度</w:t>
            </w:r>
          </w:p>
        </w:tc>
        <w:tc>
          <w:tcPr>
            <w:tcW w:w="1600" w:type="dxa"/>
            <w:tcBorders>
              <w:top w:val="nil"/>
              <w:left w:val="nil"/>
              <w:bottom w:val="single" w:color="auto" w:sz="4" w:space="0"/>
              <w:right w:val="single" w:color="auto" w:sz="4" w:space="0"/>
              <w:tl2br w:val="nil"/>
              <w:tr2bl w:val="nil"/>
            </w:tcBorders>
            <w:vAlign w:val="center"/>
          </w:tcPr>
          <w:p w14:paraId="2F69E953">
            <w:pPr>
              <w:pStyle w:val="176"/>
              <w:rPr>
                <w:rFonts w:hint="default"/>
                <w:color w:val="auto"/>
              </w:rPr>
            </w:pPr>
            <w:r>
              <w:rPr>
                <w:color w:val="auto"/>
              </w:rPr>
              <w:t>用户满意度</w:t>
            </w:r>
          </w:p>
        </w:tc>
        <w:tc>
          <w:tcPr>
            <w:tcW w:w="2577" w:type="dxa"/>
            <w:tcBorders>
              <w:top w:val="nil"/>
              <w:left w:val="nil"/>
              <w:bottom w:val="single" w:color="auto" w:sz="4" w:space="0"/>
              <w:right w:val="single" w:color="auto" w:sz="4" w:space="0"/>
              <w:tl2br w:val="nil"/>
              <w:tr2bl w:val="nil"/>
            </w:tcBorders>
            <w:vAlign w:val="center"/>
          </w:tcPr>
          <w:p w14:paraId="6C689352">
            <w:pPr>
              <w:pStyle w:val="176"/>
              <w:rPr>
                <w:rFonts w:hint="default"/>
                <w:color w:val="auto"/>
              </w:rPr>
            </w:pPr>
            <w:r>
              <w:rPr>
                <w:color w:val="auto"/>
              </w:rPr>
              <w:t>≥</w:t>
            </w:r>
            <w:r>
              <w:rPr>
                <w:rFonts w:hint="default"/>
                <w:color w:val="auto"/>
                <w:lang w:val="en-US" w:eastAsia="zh-CN"/>
              </w:rPr>
              <w:t>9</w:t>
            </w:r>
            <w:r>
              <w:rPr>
                <w:rFonts w:hint="default"/>
                <w:color w:val="auto"/>
              </w:rPr>
              <w:t>0%</w:t>
            </w:r>
          </w:p>
        </w:tc>
        <w:tc>
          <w:tcPr>
            <w:tcW w:w="2835" w:type="dxa"/>
            <w:tcBorders>
              <w:top w:val="nil"/>
              <w:left w:val="nil"/>
              <w:bottom w:val="single" w:color="auto" w:sz="4" w:space="0"/>
              <w:right w:val="single" w:color="auto" w:sz="4" w:space="0"/>
              <w:tl2br w:val="nil"/>
              <w:tr2bl w:val="nil"/>
            </w:tcBorders>
            <w:vAlign w:val="center"/>
          </w:tcPr>
          <w:p w14:paraId="1F87EA86">
            <w:pPr>
              <w:pStyle w:val="176"/>
              <w:rPr>
                <w:rFonts w:hint="default"/>
              </w:rPr>
            </w:pPr>
            <w:r>
              <w:rPr>
                <w:lang w:val="en-US" w:eastAsia="zh-CN"/>
              </w:rPr>
              <w:t>甲方</w:t>
            </w:r>
            <w:r>
              <w:t>用户报告</w:t>
            </w:r>
          </w:p>
        </w:tc>
      </w:tr>
    </w:tbl>
    <w:p w14:paraId="56EF3E93">
      <w:pPr>
        <w:pStyle w:val="5"/>
        <w:widowControl/>
        <w:numPr>
          <w:ilvl w:val="0"/>
          <w:numId w:val="7"/>
        </w:numPr>
        <w:rPr>
          <w:rFonts w:hint="eastAsia" w:ascii="黑体" w:hAnsi="黑体" w:cs="黑体"/>
        </w:rPr>
      </w:pPr>
      <w:r>
        <w:t>商务要求</w:t>
      </w:r>
    </w:p>
    <w:p w14:paraId="33405F60">
      <w:pPr>
        <w:pStyle w:val="5"/>
        <w:widowControl/>
        <w:numPr>
          <w:ilvl w:val="0"/>
          <w:numId w:val="32"/>
        </w:numPr>
        <w:rPr>
          <w:rFonts w:hint="eastAsia" w:ascii="黑体" w:hAnsi="黑体" w:cs="黑体"/>
        </w:rPr>
      </w:pPr>
      <w:r>
        <w:t>项目周期与交付要求</w:t>
      </w:r>
    </w:p>
    <w:p w14:paraId="4797B4C6">
      <w:pPr>
        <w:pStyle w:val="6"/>
        <w:widowControl/>
        <w:numPr>
          <w:ilvl w:val="0"/>
          <w:numId w:val="33"/>
        </w:numPr>
        <w:rPr>
          <w:rFonts w:hint="eastAsia" w:ascii="黑体" w:hAnsi="黑体" w:cs="黑体"/>
        </w:rPr>
      </w:pPr>
      <w:r>
        <w:t>项目总体周期</w:t>
      </w:r>
    </w:p>
    <w:p w14:paraId="52606CAD">
      <w:pPr>
        <w:pStyle w:val="20"/>
        <w:widowControl/>
        <w:ind w:firstLine="480"/>
      </w:pPr>
      <w:r>
        <w:t>项目须在合同签订之日起</w:t>
      </w:r>
      <w:r>
        <w:rPr>
          <w:rFonts w:hint="eastAsia"/>
          <w:lang w:val="en-US" w:eastAsia="zh-CN"/>
        </w:rPr>
        <w:t>5</w:t>
      </w:r>
      <w:r>
        <w:t>个月内完成</w:t>
      </w:r>
      <w:r>
        <w:rPr>
          <w:rFonts w:hint="eastAsia"/>
          <w:lang w:eastAsia="zh-CN"/>
        </w:rPr>
        <w:t>全部内容</w:t>
      </w:r>
      <w:r>
        <w:rPr>
          <w:rFonts w:hint="eastAsia"/>
        </w:rPr>
        <w:t>（</w:t>
      </w:r>
      <w:r>
        <w:rPr>
          <w:rFonts w:hint="eastAsia"/>
          <w:lang w:eastAsia="zh-CN"/>
        </w:rPr>
        <w:t>含</w:t>
      </w:r>
      <w:r>
        <w:rPr>
          <w:rFonts w:hint="eastAsia"/>
        </w:rPr>
        <w:t>不少于30天</w:t>
      </w:r>
      <w:r>
        <w:rPr>
          <w:rFonts w:hint="eastAsia"/>
          <w:lang w:eastAsia="zh-CN"/>
        </w:rPr>
        <w:t>的试运行期</w:t>
      </w:r>
      <w:r>
        <w:rPr>
          <w:rFonts w:hint="eastAsia"/>
        </w:rPr>
        <w:t>）</w:t>
      </w:r>
      <w:r>
        <w:t>。</w:t>
      </w:r>
    </w:p>
    <w:p w14:paraId="21FEF409">
      <w:pPr>
        <w:pStyle w:val="20"/>
        <w:widowControl/>
        <w:ind w:firstLine="480"/>
      </w:pPr>
      <w:r>
        <w:t>项目试运行前提以政务云资源交付时间为准：若合同签订后10日内完成政务云资源交付，项目需正式部署至政务云环境开展试运行；若政务云资源未能按期交付，可先行在临时试运行环境完成全功能试运行，待政务云资源到位后完成迁移部署。</w:t>
      </w:r>
    </w:p>
    <w:p w14:paraId="4CE4CA85">
      <w:pPr>
        <w:pStyle w:val="6"/>
        <w:widowControl/>
        <w:numPr>
          <w:ilvl w:val="0"/>
          <w:numId w:val="33"/>
        </w:numPr>
        <w:rPr>
          <w:rFonts w:hint="eastAsia" w:ascii="黑体" w:hAnsi="黑体" w:cs="黑体"/>
        </w:rPr>
      </w:pPr>
      <w:r>
        <w:t>交付物清单</w:t>
      </w:r>
    </w:p>
    <w:p w14:paraId="003A3493">
      <w:pPr>
        <w:pStyle w:val="20"/>
        <w:widowControl/>
        <w:ind w:firstLine="480"/>
      </w:pPr>
      <w:r>
        <w:t>最终交付物包含：源代码、可执行文件、部署脚本、技术文档、培训材料等。</w:t>
      </w:r>
    </w:p>
    <w:p w14:paraId="53FFA03A">
      <w:pPr>
        <w:pStyle w:val="5"/>
        <w:widowControl/>
        <w:numPr>
          <w:ilvl w:val="0"/>
          <w:numId w:val="32"/>
        </w:numPr>
        <w:rPr>
          <w:rFonts w:hint="eastAsia" w:ascii="黑体" w:hAnsi="黑体" w:cs="黑体"/>
        </w:rPr>
      </w:pPr>
      <w:r>
        <w:t>付款条件与方式</w:t>
      </w:r>
    </w:p>
    <w:p w14:paraId="20D4D0D7">
      <w:pPr>
        <w:pStyle w:val="20"/>
        <w:ind w:firstLine="480"/>
        <w:rPr>
          <w:rFonts w:hint="eastAsia"/>
        </w:rPr>
      </w:pPr>
      <w:r>
        <w:rPr>
          <w:rFonts w:hint="eastAsia"/>
        </w:rPr>
        <w:t>本项目采取一次性支付的付款方式：</w:t>
      </w:r>
    </w:p>
    <w:p w14:paraId="1F5C7F54">
      <w:pPr>
        <w:pStyle w:val="20"/>
        <w:ind w:firstLine="480"/>
        <w:rPr>
          <w:rFonts w:hint="eastAsia"/>
        </w:rPr>
      </w:pPr>
      <w:r>
        <w:rPr>
          <w:rFonts w:hint="eastAsia"/>
        </w:rPr>
        <w:t>1.合同签订，甲方在收到</w:t>
      </w:r>
      <w:r>
        <w:rPr>
          <w:rFonts w:hint="eastAsia"/>
          <w:lang w:eastAsia="zh-CN"/>
        </w:rPr>
        <w:t>乙方</w:t>
      </w:r>
      <w:r>
        <w:rPr>
          <w:rFonts w:hint="eastAsia"/>
        </w:rPr>
        <w:t>等额银行保函和等额发票后</w:t>
      </w:r>
      <w:r>
        <w:rPr>
          <w:rFonts w:hint="eastAsia"/>
          <w:lang w:val="en-US" w:eastAsia="zh-CN"/>
        </w:rPr>
        <w:t>10个工作日内</w:t>
      </w:r>
      <w:r>
        <w:rPr>
          <w:rFonts w:hint="eastAsia"/>
        </w:rPr>
        <w:t>，一次性向乙方支付全部合同费用。</w:t>
      </w:r>
    </w:p>
    <w:p w14:paraId="47E914C3">
      <w:pPr>
        <w:pStyle w:val="20"/>
        <w:widowControl/>
        <w:numPr>
          <w:ilvl w:val="0"/>
          <w:numId w:val="0"/>
        </w:numPr>
        <w:ind w:firstLine="480" w:firstLineChars="0"/>
        <w:rPr>
          <w:b/>
        </w:rPr>
      </w:pPr>
      <w:r>
        <w:rPr>
          <w:rFonts w:hint="eastAsia"/>
        </w:rPr>
        <w:t>2.项目通过最终竣工验收后，</w:t>
      </w:r>
      <w:r>
        <w:rPr>
          <w:rFonts w:hint="eastAsia"/>
          <w:lang w:eastAsia="zh-CN"/>
        </w:rPr>
        <w:t>甲方</w:t>
      </w:r>
      <w:r>
        <w:rPr>
          <w:rFonts w:hint="eastAsia"/>
        </w:rPr>
        <w:t>退还银行保函。</w:t>
      </w:r>
    </w:p>
    <w:p w14:paraId="632E3E73">
      <w:pPr>
        <w:pStyle w:val="20"/>
        <w:widowControl/>
        <w:numPr>
          <w:ilvl w:val="0"/>
          <w:numId w:val="0"/>
        </w:numPr>
        <w:ind w:firstLine="480" w:firstLineChars="0"/>
      </w:pPr>
    </w:p>
    <w:sectPr>
      <w:footerReference r:id="rId3" w:type="default"/>
      <w:pgSz w:w="11900" w:h="16840"/>
      <w:pgMar w:top="1440" w:right="1440" w:bottom="1440" w:left="144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国标宋体"/>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国标宋体">
    <w:panose1 w:val="02000500000000000000"/>
    <w:charset w:val="86"/>
    <w:family w:val="auto"/>
    <w:pitch w:val="default"/>
    <w:sig w:usb0="00000001" w:usb1="28000000" w:usb2="00000000" w:usb3="00000000" w:csb0="00060007" w:csb1="00000000"/>
  </w:font>
  <w:font w:name="方正黑体_GBK">
    <w:panose1 w:val="02000000000000000000"/>
    <w:charset w:val="86"/>
    <w:family w:val="auto"/>
    <w:pitch w:val="default"/>
    <w:sig w:usb0="00000001" w:usb1="08000000" w:usb2="00000000" w:usb3="00000000" w:csb0="00040000" w:csb1="00000000"/>
  </w:font>
  <w:font w:name="Courier">
    <w:altName w:val="Liberation Mono"/>
    <w:panose1 w:val="02070409020205020404"/>
    <w:charset w:val="00"/>
    <w:family w:val="auto"/>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ＭＳ 明朝">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Calibri Light">
    <w:altName w:val="Times New Roman"/>
    <w:panose1 w:val="020F0302020204030204"/>
    <w:charset w:val="00"/>
    <w:family w:val="swiss"/>
    <w:pitch w:val="default"/>
    <w:sig w:usb0="00000000" w:usb1="00000000" w:usb2="00000009" w:usb3="00000000" w:csb0="000001FF" w:csb1="00000000"/>
  </w:font>
  <w:font w:name="ＭＳ ゴシック">
    <w:altName w:val="C059"/>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5F7C3">
    <w:pPr>
      <w:pStyle w:val="25"/>
      <w:jc w:val="center"/>
      <w:rPr>
        <w:sz w:val="20"/>
        <w:szCs w:val="20"/>
      </w:rPr>
    </w:pPr>
    <w:r>
      <w:rPr>
        <w:rFonts w:hint="eastAsia"/>
        <w:sz w:val="20"/>
        <w:szCs w:val="20"/>
        <w:lang w:eastAsia="zh-CN"/>
      </w:rPr>
      <w:t>第</w:t>
    </w:r>
    <w:sdt>
      <w:sdtPr>
        <w:rPr>
          <w:sz w:val="20"/>
          <w:szCs w:val="20"/>
        </w:rPr>
        <w:id w:val="-1"/>
      </w:sdtPr>
      <w:sdtEndPr>
        <w:rPr>
          <w:sz w:val="20"/>
          <w:szCs w:val="20"/>
        </w:rPr>
      </w:sdtEndPr>
      <w:sdtContent>
        <w:r>
          <w:rPr>
            <w:sz w:val="20"/>
            <w:szCs w:val="20"/>
          </w:rPr>
          <w:fldChar w:fldCharType="begin"/>
        </w:r>
        <w:r>
          <w:rPr>
            <w:sz w:val="20"/>
            <w:szCs w:val="20"/>
          </w:rPr>
          <w:instrText xml:space="preserve">PAGE   \* MERGEFORMAT</w:instrText>
        </w:r>
        <w:r>
          <w:rPr>
            <w:sz w:val="20"/>
            <w:szCs w:val="20"/>
          </w:rPr>
          <w:fldChar w:fldCharType="separate"/>
        </w:r>
        <w:r>
          <w:rPr>
            <w:sz w:val="20"/>
            <w:szCs w:val="20"/>
            <w:lang w:val="zh-CN" w:eastAsia="zh-CN"/>
          </w:rPr>
          <w:t>2</w:t>
        </w:r>
        <w:r>
          <w:rPr>
            <w:sz w:val="20"/>
            <w:szCs w:val="20"/>
          </w:rPr>
          <w:fldChar w:fldCharType="end"/>
        </w:r>
        <w:r>
          <w:rPr>
            <w:rFonts w:hint="eastAsia"/>
            <w:sz w:val="20"/>
            <w:szCs w:val="20"/>
            <w:lang w:eastAsia="zh-CN"/>
          </w:rPr>
          <w:t>页</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55C35"/>
    <w:multiLevelType w:val="singleLevel"/>
    <w:tmpl w:val="8FE55C35"/>
    <w:lvl w:ilvl="0" w:tentative="0">
      <w:start w:val="1"/>
      <w:numFmt w:val="decimal"/>
      <w:suff w:val="nothing"/>
      <w:lvlText w:val="（%1）"/>
      <w:lvlJc w:val="left"/>
      <w:pPr>
        <w:ind w:left="0" w:firstLine="480"/>
      </w:pPr>
      <w:rPr>
        <w:rFonts w:hint="default"/>
      </w:rPr>
    </w:lvl>
  </w:abstractNum>
  <w:abstractNum w:abstractNumId="1">
    <w:nsid w:val="B77E37C7"/>
    <w:multiLevelType w:val="singleLevel"/>
    <w:tmpl w:val="B77E37C7"/>
    <w:lvl w:ilvl="0" w:tentative="0">
      <w:start w:val="1"/>
      <w:numFmt w:val="decimal"/>
      <w:suff w:val="nothing"/>
      <w:lvlText w:val="（%1）"/>
      <w:lvlJc w:val="left"/>
      <w:pPr>
        <w:ind w:left="0" w:firstLine="480"/>
      </w:pPr>
      <w:rPr>
        <w:rFonts w:hint="default"/>
      </w:rPr>
    </w:lvl>
  </w:abstractNum>
  <w:abstractNum w:abstractNumId="2">
    <w:nsid w:val="BAB7B7A7"/>
    <w:multiLevelType w:val="singleLevel"/>
    <w:tmpl w:val="BAB7B7A7"/>
    <w:lvl w:ilvl="0" w:tentative="0">
      <w:start w:val="1"/>
      <w:numFmt w:val="decimal"/>
      <w:suff w:val="space"/>
      <w:lvlText w:val="1.%1."/>
      <w:lvlJc w:val="left"/>
      <w:pPr>
        <w:ind w:left="0" w:firstLine="0"/>
      </w:pPr>
      <w:rPr>
        <w:rFonts w:hint="default"/>
      </w:rPr>
    </w:lvl>
  </w:abstractNum>
  <w:abstractNum w:abstractNumId="3">
    <w:nsid w:val="BDFE32AC"/>
    <w:multiLevelType w:val="singleLevel"/>
    <w:tmpl w:val="BDFE32AC"/>
    <w:lvl w:ilvl="0" w:tentative="0">
      <w:start w:val="1"/>
      <w:numFmt w:val="decimal"/>
      <w:suff w:val="space"/>
      <w:lvlText w:val="%1."/>
      <w:lvlJc w:val="left"/>
      <w:pPr>
        <w:ind w:left="0" w:firstLine="480"/>
      </w:pPr>
      <w:rPr>
        <w:rFonts w:hint="default"/>
      </w:rPr>
    </w:lvl>
  </w:abstractNum>
  <w:abstractNum w:abstractNumId="4">
    <w:nsid w:val="BFEF3707"/>
    <w:multiLevelType w:val="singleLevel"/>
    <w:tmpl w:val="BFEF3707"/>
    <w:lvl w:ilvl="0" w:tentative="0">
      <w:start w:val="1"/>
      <w:numFmt w:val="chineseCounting"/>
      <w:suff w:val="nothing"/>
      <w:lvlText w:val="（%1）"/>
      <w:lvlJc w:val="left"/>
      <w:pPr>
        <w:ind w:left="0" w:firstLine="0"/>
      </w:pPr>
      <w:rPr>
        <w:rFonts w:hint="eastAsia"/>
      </w:rPr>
    </w:lvl>
  </w:abstractNum>
  <w:abstractNum w:abstractNumId="5">
    <w:nsid w:val="D75F0F36"/>
    <w:multiLevelType w:val="singleLevel"/>
    <w:tmpl w:val="D75F0F36"/>
    <w:lvl w:ilvl="0" w:tentative="0">
      <w:start w:val="1"/>
      <w:numFmt w:val="decimal"/>
      <w:suff w:val="nothing"/>
      <w:lvlText w:val="（%1）"/>
      <w:lvlJc w:val="left"/>
      <w:pPr>
        <w:ind w:left="0" w:firstLine="0"/>
      </w:pPr>
      <w:rPr>
        <w:rFonts w:hint="default"/>
      </w:rPr>
    </w:lvl>
  </w:abstractNum>
  <w:abstractNum w:abstractNumId="6">
    <w:nsid w:val="D7B436E9"/>
    <w:multiLevelType w:val="singleLevel"/>
    <w:tmpl w:val="D7B436E9"/>
    <w:lvl w:ilvl="0" w:tentative="0">
      <w:start w:val="1"/>
      <w:numFmt w:val="decimal"/>
      <w:suff w:val="nothing"/>
      <w:lvlText w:val="（%1）"/>
      <w:lvlJc w:val="left"/>
      <w:pPr>
        <w:ind w:left="0" w:firstLine="0"/>
      </w:pPr>
      <w:rPr>
        <w:rFonts w:hint="default"/>
      </w:rPr>
    </w:lvl>
  </w:abstractNum>
  <w:abstractNum w:abstractNumId="7">
    <w:nsid w:val="D7BE46F1"/>
    <w:multiLevelType w:val="singleLevel"/>
    <w:tmpl w:val="D7BE46F1"/>
    <w:lvl w:ilvl="0" w:tentative="0">
      <w:start w:val="1"/>
      <w:numFmt w:val="decimal"/>
      <w:suff w:val="nothing"/>
      <w:lvlText w:val="%1）"/>
      <w:lvlJc w:val="left"/>
      <w:pPr>
        <w:ind w:left="0" w:firstLine="480"/>
      </w:pPr>
      <w:rPr>
        <w:rFonts w:hint="default"/>
      </w:rPr>
    </w:lvl>
  </w:abstractNum>
  <w:abstractNum w:abstractNumId="8">
    <w:nsid w:val="DF6F78F6"/>
    <w:multiLevelType w:val="singleLevel"/>
    <w:tmpl w:val="DF6F78F6"/>
    <w:lvl w:ilvl="0" w:tentative="0">
      <w:start w:val="1"/>
      <w:numFmt w:val="decimal"/>
      <w:suff w:val="nothing"/>
      <w:lvlText w:val="（%1）"/>
      <w:lvlJc w:val="left"/>
      <w:pPr>
        <w:ind w:left="0" w:firstLine="480"/>
      </w:pPr>
      <w:rPr>
        <w:rFonts w:hint="default"/>
      </w:rPr>
    </w:lvl>
  </w:abstractNum>
  <w:abstractNum w:abstractNumId="9">
    <w:nsid w:val="E6D7895E"/>
    <w:multiLevelType w:val="singleLevel"/>
    <w:tmpl w:val="E6D7895E"/>
    <w:lvl w:ilvl="0" w:tentative="0">
      <w:start w:val="1"/>
      <w:numFmt w:val="decimal"/>
      <w:suff w:val="space"/>
      <w:lvlText w:val="1.1.%1."/>
      <w:lvlJc w:val="left"/>
      <w:pPr>
        <w:ind w:left="0" w:firstLine="480"/>
      </w:pPr>
      <w:rPr>
        <w:rFonts w:hint="default"/>
      </w:rPr>
    </w:lvl>
  </w:abstractNum>
  <w:abstractNum w:abstractNumId="10">
    <w:nsid w:val="EEFBAC61"/>
    <w:multiLevelType w:val="singleLevel"/>
    <w:tmpl w:val="EEFBAC61"/>
    <w:lvl w:ilvl="0" w:tentative="0">
      <w:start w:val="1"/>
      <w:numFmt w:val="decimal"/>
      <w:suff w:val="nothing"/>
      <w:lvlText w:val="%1）"/>
      <w:lvlJc w:val="left"/>
      <w:pPr>
        <w:ind w:left="0" w:firstLine="480"/>
      </w:pPr>
      <w:rPr>
        <w:rFonts w:hint="default"/>
      </w:rPr>
    </w:lvl>
  </w:abstractNum>
  <w:abstractNum w:abstractNumId="11">
    <w:nsid w:val="F2742568"/>
    <w:multiLevelType w:val="singleLevel"/>
    <w:tmpl w:val="F2742568"/>
    <w:lvl w:ilvl="0" w:tentative="0">
      <w:start w:val="1"/>
      <w:numFmt w:val="decimal"/>
      <w:suff w:val="nothing"/>
      <w:lvlText w:val="（%1）"/>
      <w:lvlJc w:val="left"/>
      <w:pPr>
        <w:ind w:left="0" w:firstLine="480"/>
      </w:pPr>
      <w:rPr>
        <w:rFonts w:hint="default"/>
      </w:rPr>
    </w:lvl>
  </w:abstractNum>
  <w:abstractNum w:abstractNumId="12">
    <w:nsid w:val="F2D7C7A9"/>
    <w:multiLevelType w:val="singleLevel"/>
    <w:tmpl w:val="F2D7C7A9"/>
    <w:lvl w:ilvl="0" w:tentative="0">
      <w:start w:val="1"/>
      <w:numFmt w:val="chineseCounting"/>
      <w:suff w:val="nothing"/>
      <w:lvlText w:val="（%1）"/>
      <w:lvlJc w:val="left"/>
      <w:pPr>
        <w:ind w:left="0" w:firstLine="0"/>
      </w:pPr>
      <w:rPr>
        <w:rFonts w:hint="eastAsia"/>
      </w:rPr>
    </w:lvl>
  </w:abstractNum>
  <w:abstractNum w:abstractNumId="13">
    <w:nsid w:val="FA9FB6D8"/>
    <w:multiLevelType w:val="singleLevel"/>
    <w:tmpl w:val="FA9FB6D8"/>
    <w:lvl w:ilvl="0" w:tentative="0">
      <w:start w:val="1"/>
      <w:numFmt w:val="decimal"/>
      <w:suff w:val="nothing"/>
      <w:lvlText w:val="（%1）"/>
      <w:lvlJc w:val="left"/>
      <w:pPr>
        <w:ind w:left="0" w:firstLine="0"/>
      </w:pPr>
      <w:rPr>
        <w:rFonts w:hint="default"/>
      </w:rPr>
    </w:lvl>
  </w:abstractNum>
  <w:abstractNum w:abstractNumId="14">
    <w:nsid w:val="FD3F4CE5"/>
    <w:multiLevelType w:val="singleLevel"/>
    <w:tmpl w:val="FD3F4CE5"/>
    <w:lvl w:ilvl="0" w:tentative="0">
      <w:start w:val="1"/>
      <w:numFmt w:val="decimal"/>
      <w:suff w:val="nothing"/>
      <w:lvlText w:val="（%1）"/>
      <w:lvlJc w:val="left"/>
      <w:pPr>
        <w:ind w:left="0" w:firstLine="0"/>
      </w:pPr>
      <w:rPr>
        <w:rFonts w:hint="default"/>
      </w:rPr>
    </w:lvl>
  </w:abstractNum>
  <w:abstractNum w:abstractNumId="15">
    <w:nsid w:val="FEF94AB0"/>
    <w:multiLevelType w:val="singleLevel"/>
    <w:tmpl w:val="FEF94AB0"/>
    <w:lvl w:ilvl="0" w:tentative="0">
      <w:start w:val="1"/>
      <w:numFmt w:val="decimal"/>
      <w:suff w:val="nothing"/>
      <w:lvlText w:val="%1）"/>
      <w:lvlJc w:val="left"/>
      <w:pPr>
        <w:ind w:left="0" w:firstLine="480"/>
      </w:pPr>
      <w:rPr>
        <w:rFonts w:hint="default"/>
      </w:rPr>
    </w:lvl>
  </w:abstractNum>
  <w:abstractNum w:abstractNumId="16">
    <w:nsid w:val="FF473D5E"/>
    <w:multiLevelType w:val="singleLevel"/>
    <w:tmpl w:val="FF473D5E"/>
    <w:lvl w:ilvl="0" w:tentative="0">
      <w:start w:val="1"/>
      <w:numFmt w:val="chineseCounting"/>
      <w:suff w:val="nothing"/>
      <w:lvlText w:val="%1、"/>
      <w:lvlJc w:val="left"/>
      <w:pPr>
        <w:ind w:left="0" w:firstLine="0"/>
      </w:pPr>
      <w:rPr>
        <w:rFonts w:hint="eastAsia"/>
      </w:rPr>
    </w:lvl>
  </w:abstractNum>
  <w:abstractNum w:abstractNumId="17">
    <w:nsid w:val="FF500392"/>
    <w:multiLevelType w:val="singleLevel"/>
    <w:tmpl w:val="FF500392"/>
    <w:lvl w:ilvl="0" w:tentative="0">
      <w:start w:val="1"/>
      <w:numFmt w:val="decimal"/>
      <w:suff w:val="nothing"/>
      <w:lvlText w:val="（%1）"/>
      <w:lvlJc w:val="left"/>
      <w:pPr>
        <w:ind w:left="0" w:firstLine="0"/>
      </w:pPr>
      <w:rPr>
        <w:rFonts w:hint="default"/>
      </w:rPr>
    </w:lvl>
  </w:abstractNum>
  <w:abstractNum w:abstractNumId="18">
    <w:nsid w:val="FF9AE0A5"/>
    <w:multiLevelType w:val="singleLevel"/>
    <w:tmpl w:val="FF9AE0A5"/>
    <w:lvl w:ilvl="0" w:tentative="0">
      <w:start w:val="1"/>
      <w:numFmt w:val="decimal"/>
      <w:suff w:val="nothing"/>
      <w:lvlText w:val="（%1）"/>
      <w:lvlJc w:val="left"/>
      <w:pPr>
        <w:ind w:left="0" w:firstLine="0"/>
      </w:pPr>
      <w:rPr>
        <w:rFonts w:hint="default"/>
      </w:rPr>
    </w:lvl>
  </w:abstractNum>
  <w:abstractNum w:abstractNumId="19">
    <w:nsid w:val="FFB32A36"/>
    <w:multiLevelType w:val="singleLevel"/>
    <w:tmpl w:val="FFB32A36"/>
    <w:lvl w:ilvl="0" w:tentative="0">
      <w:start w:val="1"/>
      <w:numFmt w:val="decimal"/>
      <w:suff w:val="nothing"/>
      <w:lvlText w:val="（%1）"/>
      <w:lvlJc w:val="left"/>
      <w:pPr>
        <w:ind w:left="0" w:firstLine="480"/>
      </w:pPr>
      <w:rPr>
        <w:rFonts w:hint="default"/>
      </w:rPr>
    </w:lvl>
  </w:abstractNum>
  <w:abstractNum w:abstractNumId="20">
    <w:nsid w:val="FFB708CD"/>
    <w:multiLevelType w:val="singleLevel"/>
    <w:tmpl w:val="FFB708CD"/>
    <w:lvl w:ilvl="0" w:tentative="0">
      <w:start w:val="1"/>
      <w:numFmt w:val="decimal"/>
      <w:suff w:val="nothing"/>
      <w:lvlText w:val="（%1）"/>
      <w:lvlJc w:val="left"/>
      <w:pPr>
        <w:ind w:left="0" w:firstLine="480"/>
      </w:pPr>
      <w:rPr>
        <w:rFonts w:hint="default"/>
      </w:rPr>
    </w:lvl>
  </w:abstractNum>
  <w:abstractNum w:abstractNumId="21">
    <w:nsid w:val="FFE4E47A"/>
    <w:multiLevelType w:val="singleLevel"/>
    <w:tmpl w:val="FFE4E47A"/>
    <w:lvl w:ilvl="0" w:tentative="0">
      <w:start w:val="1"/>
      <w:numFmt w:val="decimal"/>
      <w:suff w:val="nothing"/>
      <w:lvlText w:val="%1）"/>
      <w:lvlJc w:val="left"/>
      <w:pPr>
        <w:ind w:left="0" w:firstLine="480"/>
      </w:pPr>
      <w:rPr>
        <w:rFonts w:hint="default"/>
      </w:rPr>
    </w:lvl>
  </w:abstractNum>
  <w:abstractNum w:abstractNumId="22">
    <w:nsid w:val="FFF17FBB"/>
    <w:multiLevelType w:val="singleLevel"/>
    <w:tmpl w:val="FFF17FBB"/>
    <w:lvl w:ilvl="0" w:tentative="0">
      <w:start w:val="1"/>
      <w:numFmt w:val="decimal"/>
      <w:suff w:val="nothing"/>
      <w:lvlText w:val="（%1）"/>
      <w:lvlJc w:val="left"/>
      <w:pPr>
        <w:ind w:left="0" w:firstLine="480"/>
      </w:pPr>
      <w:rPr>
        <w:rFonts w:hint="default"/>
      </w:rPr>
    </w:lvl>
  </w:abstractNum>
  <w:abstractNum w:abstractNumId="23">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4">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5">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26">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27">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28">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29">
    <w:nsid w:val="1FDE0619"/>
    <w:multiLevelType w:val="singleLevel"/>
    <w:tmpl w:val="1FDE0619"/>
    <w:lvl w:ilvl="0" w:tentative="0">
      <w:start w:val="1"/>
      <w:numFmt w:val="decimal"/>
      <w:suff w:val="nothing"/>
      <w:lvlText w:val="（%1）"/>
      <w:lvlJc w:val="left"/>
      <w:pPr>
        <w:ind w:left="0" w:firstLine="480"/>
      </w:pPr>
      <w:rPr>
        <w:rFonts w:hint="default"/>
      </w:rPr>
    </w:lvl>
  </w:abstractNum>
  <w:abstractNum w:abstractNumId="30">
    <w:nsid w:val="57FF4E00"/>
    <w:multiLevelType w:val="singleLevel"/>
    <w:tmpl w:val="57FF4E00"/>
    <w:lvl w:ilvl="0" w:tentative="0">
      <w:start w:val="1"/>
      <w:numFmt w:val="chineseCounting"/>
      <w:suff w:val="nothing"/>
      <w:lvlText w:val="（%1）"/>
      <w:lvlJc w:val="left"/>
      <w:pPr>
        <w:ind w:left="0" w:firstLine="0"/>
      </w:pPr>
      <w:rPr>
        <w:rFonts w:hint="eastAsia"/>
      </w:rPr>
    </w:lvl>
  </w:abstractNum>
  <w:abstractNum w:abstractNumId="31">
    <w:nsid w:val="76E7AE55"/>
    <w:multiLevelType w:val="singleLevel"/>
    <w:tmpl w:val="76E7AE55"/>
    <w:lvl w:ilvl="0" w:tentative="0">
      <w:start w:val="1"/>
      <w:numFmt w:val="decimal"/>
      <w:suff w:val="nothing"/>
      <w:lvlText w:val="（%1）"/>
      <w:lvlJc w:val="left"/>
      <w:pPr>
        <w:ind w:left="0" w:firstLine="480"/>
      </w:pPr>
      <w:rPr>
        <w:rFonts w:hint="default"/>
      </w:rPr>
    </w:lvl>
  </w:abstractNum>
  <w:abstractNum w:abstractNumId="32">
    <w:nsid w:val="781B66AB"/>
    <w:multiLevelType w:val="multilevel"/>
    <w:tmpl w:val="781B66A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24"/>
  </w:num>
  <w:num w:numId="2">
    <w:abstractNumId w:val="27"/>
  </w:num>
  <w:num w:numId="3">
    <w:abstractNumId w:val="28"/>
  </w:num>
  <w:num w:numId="4">
    <w:abstractNumId w:val="25"/>
  </w:num>
  <w:num w:numId="5">
    <w:abstractNumId w:val="23"/>
  </w:num>
  <w:num w:numId="6">
    <w:abstractNumId w:val="26"/>
  </w:num>
  <w:num w:numId="7">
    <w:abstractNumId w:val="16"/>
  </w:num>
  <w:num w:numId="8">
    <w:abstractNumId w:val="30"/>
  </w:num>
  <w:num w:numId="9">
    <w:abstractNumId w:val="17"/>
  </w:num>
  <w:num w:numId="10">
    <w:abstractNumId w:val="32"/>
  </w:num>
  <w:num w:numId="11">
    <w:abstractNumId w:val="6"/>
  </w:num>
  <w:num w:numId="12">
    <w:abstractNumId w:val="4"/>
  </w:num>
  <w:num w:numId="13">
    <w:abstractNumId w:val="18"/>
  </w:num>
  <w:num w:numId="14">
    <w:abstractNumId w:val="2"/>
  </w:num>
  <w:num w:numId="15">
    <w:abstractNumId w:val="9"/>
  </w:num>
  <w:num w:numId="16">
    <w:abstractNumId w:val="22"/>
  </w:num>
  <w:num w:numId="17">
    <w:abstractNumId w:val="20"/>
  </w:num>
  <w:num w:numId="18">
    <w:abstractNumId w:val="0"/>
  </w:num>
  <w:num w:numId="19">
    <w:abstractNumId w:val="31"/>
  </w:num>
  <w:num w:numId="20">
    <w:abstractNumId w:val="11"/>
  </w:num>
  <w:num w:numId="21">
    <w:abstractNumId w:val="3"/>
  </w:num>
  <w:num w:numId="22">
    <w:abstractNumId w:val="29"/>
  </w:num>
  <w:num w:numId="23">
    <w:abstractNumId w:val="8"/>
  </w:num>
  <w:num w:numId="24">
    <w:abstractNumId w:val="5"/>
  </w:num>
  <w:num w:numId="25">
    <w:abstractNumId w:val="7"/>
  </w:num>
  <w:num w:numId="26">
    <w:abstractNumId w:val="14"/>
  </w:num>
  <w:num w:numId="27">
    <w:abstractNumId w:val="15"/>
  </w:num>
  <w:num w:numId="28">
    <w:abstractNumId w:val="10"/>
  </w:num>
  <w:num w:numId="29">
    <w:abstractNumId w:val="21"/>
  </w:num>
  <w:num w:numId="30">
    <w:abstractNumId w:val="1"/>
  </w:num>
  <w:num w:numId="31">
    <w:abstractNumId w:val="19"/>
  </w:num>
  <w:num w:numId="32">
    <w:abstractNumId w:val="12"/>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72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0CD"/>
    <w:rsid w:val="000D2DA2"/>
    <w:rsid w:val="000F7AD1"/>
    <w:rsid w:val="00121021"/>
    <w:rsid w:val="00131CE5"/>
    <w:rsid w:val="001372C7"/>
    <w:rsid w:val="002C4B6B"/>
    <w:rsid w:val="00374FE3"/>
    <w:rsid w:val="00376361"/>
    <w:rsid w:val="003A38DA"/>
    <w:rsid w:val="00406D05"/>
    <w:rsid w:val="00483CD6"/>
    <w:rsid w:val="004B03EB"/>
    <w:rsid w:val="004C235E"/>
    <w:rsid w:val="00514AB0"/>
    <w:rsid w:val="005610CD"/>
    <w:rsid w:val="005B6946"/>
    <w:rsid w:val="005C1503"/>
    <w:rsid w:val="00624EFA"/>
    <w:rsid w:val="00652F56"/>
    <w:rsid w:val="00780439"/>
    <w:rsid w:val="00783261"/>
    <w:rsid w:val="007B7626"/>
    <w:rsid w:val="007E0B27"/>
    <w:rsid w:val="00930E29"/>
    <w:rsid w:val="00973865"/>
    <w:rsid w:val="009744E2"/>
    <w:rsid w:val="00AE258F"/>
    <w:rsid w:val="00B42FD7"/>
    <w:rsid w:val="00BA2FEC"/>
    <w:rsid w:val="00BF0C29"/>
    <w:rsid w:val="00D75D43"/>
    <w:rsid w:val="00F75626"/>
    <w:rsid w:val="1FD700A8"/>
    <w:rsid w:val="2E6F4DE6"/>
    <w:rsid w:val="4FFE0A64"/>
    <w:rsid w:val="563F32D5"/>
    <w:rsid w:val="5D35366E"/>
    <w:rsid w:val="6D1F963A"/>
    <w:rsid w:val="77E7F7C7"/>
    <w:rsid w:val="77FFC7F3"/>
    <w:rsid w:val="7FEF8354"/>
    <w:rsid w:val="7FFF7B36"/>
    <w:rsid w:val="BF774158"/>
    <w:rsid w:val="DE5D928A"/>
    <w:rsid w:val="DFFFE5ED"/>
    <w:rsid w:val="F9BAF394"/>
    <w:rsid w:val="FBFD9F68"/>
    <w:rsid w:val="FDFEFD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iPriority="99"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jc w:val="both"/>
    </w:pPr>
    <w:rPr>
      <w:rFonts w:ascii="Times New Roman" w:hAnsi="Times New Roman" w:eastAsia="宋体" w:cstheme="minorBidi"/>
      <w:sz w:val="21"/>
      <w:szCs w:val="22"/>
      <w:lang w:val="en-US" w:eastAsia="en-US" w:bidi="ar-SA"/>
    </w:rPr>
  </w:style>
  <w:style w:type="paragraph" w:styleId="3">
    <w:name w:val="heading 1"/>
    <w:next w:val="1"/>
    <w:link w:val="142"/>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val="en-US" w:eastAsia="zh-CN" w:bidi="ar-SA"/>
    </w:rPr>
  </w:style>
  <w:style w:type="paragraph" w:styleId="4">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val="en-US" w:eastAsia="zh-CN" w:bidi="ar-SA"/>
    </w:rPr>
  </w:style>
  <w:style w:type="paragraph" w:styleId="5">
    <w:name w:val="heading 3"/>
    <w:next w:val="1"/>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val="en-US" w:eastAsia="zh-CN" w:bidi="ar-SA"/>
    </w:rPr>
  </w:style>
  <w:style w:type="paragraph" w:styleId="6">
    <w:name w:val="heading 4"/>
    <w:next w:val="1"/>
    <w:link w:val="154"/>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val="en-US" w:eastAsia="zh-CN" w:bidi="ar-SA"/>
    </w:rPr>
  </w:style>
  <w:style w:type="paragraph" w:styleId="7">
    <w:name w:val="heading 5"/>
    <w:next w:val="1"/>
    <w:link w:val="155"/>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val="en-US" w:eastAsia="zh-CN" w:bidi="ar-SA"/>
    </w:rPr>
  </w:style>
  <w:style w:type="paragraph" w:styleId="8">
    <w:name w:val="heading 6"/>
    <w:next w:val="1"/>
    <w:link w:val="156"/>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val="en-US" w:eastAsia="zh-CN" w:bidi="ar-SA"/>
    </w:rPr>
  </w:style>
  <w:style w:type="paragraph" w:styleId="9">
    <w:name w:val="heading 7"/>
    <w:next w:val="1"/>
    <w:link w:val="157"/>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val="en-US" w:eastAsia="zh-CN" w:bidi="ar-SA"/>
    </w:rPr>
  </w:style>
  <w:style w:type="paragraph" w:styleId="10">
    <w:name w:val="heading 8"/>
    <w:next w:val="1"/>
    <w:link w:val="158"/>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val="en-US" w:eastAsia="zh-CN" w:bidi="ar-SA"/>
    </w:rPr>
  </w:style>
  <w:style w:type="paragraph" w:styleId="11">
    <w:name w:val="heading 9"/>
    <w:next w:val="1"/>
    <w:link w:val="159"/>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val="en-US" w:eastAsia="zh-CN" w:bidi="ar-SA"/>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rPr>
      <w:b/>
      <w:bCs/>
      <w:color w:val="4874CB"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89"/>
    <w:unhideWhenUsed/>
    <w:qFormat/>
    <w:uiPriority w:val="99"/>
    <w:pPr>
      <w:jc w:val="left"/>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unhideWhenUsed/>
    <w:qFormat/>
    <w:uiPriority w:val="99"/>
    <w:pPr>
      <w:widowControl w:val="0"/>
      <w:adjustRightInd w:val="0"/>
      <w:spacing w:before="100" w:after="100" w:line="300" w:lineRule="auto"/>
      <w:ind w:firstLine="1044" w:firstLineChars="200"/>
      <w:jc w:val="both"/>
    </w:pPr>
    <w:rPr>
      <w:rFonts w:ascii="Times New Roman" w:hAnsi="Times New Roman" w:eastAsia="宋体" w:cs="Times New Roman"/>
      <w:kern w:val="2"/>
      <w:sz w:val="24"/>
      <w:szCs w:val="24"/>
      <w:lang w:val="en-US" w:eastAsia="zh-CN" w:bidi="ar-SA"/>
    </w:r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40"/>
    <w:unhideWhenUsed/>
    <w:qFormat/>
    <w:uiPriority w:val="99"/>
    <w:pPr>
      <w:tabs>
        <w:tab w:val="center" w:pos="4680"/>
        <w:tab w:val="right" w:pos="9360"/>
      </w:tabs>
    </w:pPr>
  </w:style>
  <w:style w:type="paragraph" w:styleId="26">
    <w:name w:val="header"/>
    <w:basedOn w:val="1"/>
    <w:link w:val="139"/>
    <w:unhideWhenUsed/>
    <w:qFormat/>
    <w:uiPriority w:val="99"/>
    <w:pPr>
      <w:tabs>
        <w:tab w:val="center" w:pos="4680"/>
        <w:tab w:val="right" w:pos="9360"/>
      </w:tabs>
    </w:pPr>
  </w:style>
  <w:style w:type="paragraph" w:styleId="27">
    <w:name w:val="Subtitle"/>
    <w:next w:val="1"/>
    <w:qFormat/>
    <w:uiPriority w:val="11"/>
    <w:pPr>
      <w:widowControl w:val="0"/>
      <w:adjustRightInd w:val="0"/>
      <w:spacing w:before="100" w:after="100"/>
      <w:jc w:val="center"/>
    </w:pPr>
    <w:rPr>
      <w:rFonts w:ascii="Times New Roman" w:hAnsi="Times New Roman" w:eastAsia="黑体" w:cs="Times New Roman"/>
      <w:kern w:val="28"/>
      <w:sz w:val="32"/>
      <w:szCs w:val="24"/>
      <w:lang w:val="en-US" w:eastAsia="zh-CN" w:bidi="ar-SA"/>
    </w:rPr>
  </w:style>
  <w:style w:type="paragraph" w:styleId="28">
    <w:name w:val="List"/>
    <w:basedOn w:val="1"/>
    <w:unhideWhenUsed/>
    <w:qFormat/>
    <w:uiPriority w:val="99"/>
    <w:pPr>
      <w:ind w:left="360" w:hanging="360"/>
      <w:contextualSpacing/>
    </w:pPr>
  </w:style>
  <w:style w:type="paragraph" w:styleId="29">
    <w:name w:val="Body Text 2"/>
    <w:basedOn w:val="1"/>
    <w:link w:val="149"/>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unhideWhenUsed/>
    <w:qFormat/>
    <w:uiPriority w:val="99"/>
    <w:pPr>
      <w:spacing w:beforeAutospacing="1" w:afterAutospacing="1"/>
    </w:pPr>
    <w:rPr>
      <w:rFonts w:cs="Times New Roman"/>
      <w:sz w:val="24"/>
      <w:lang w:eastAsia="zh-CN"/>
    </w:rPr>
  </w:style>
  <w:style w:type="paragraph" w:styleId="32">
    <w:name w:val="List Continue 3"/>
    <w:basedOn w:val="1"/>
    <w:unhideWhenUsed/>
    <w:qFormat/>
    <w:uiPriority w:val="99"/>
    <w:pPr>
      <w:spacing w:after="120"/>
      <w:ind w:left="1080"/>
      <w:contextualSpacing/>
    </w:pPr>
  </w:style>
  <w:style w:type="paragraph" w:styleId="33">
    <w:name w:val="Title"/>
    <w:next w:val="1"/>
    <w:qFormat/>
    <w:uiPriority w:val="10"/>
    <w:pPr>
      <w:widowControl w:val="0"/>
      <w:adjustRightInd w:val="0"/>
      <w:spacing w:before="100" w:after="100"/>
      <w:jc w:val="center"/>
    </w:pPr>
    <w:rPr>
      <w:rFonts w:ascii="Times New Roman" w:hAnsi="Times New Roman" w:eastAsia="黑体" w:cs="Times New Roman"/>
      <w:kern w:val="2"/>
      <w:sz w:val="36"/>
      <w:szCs w:val="24"/>
      <w:lang w:val="en-US" w:eastAsia="zh-CN" w:bidi="ar-SA"/>
    </w:rPr>
  </w:style>
  <w:style w:type="paragraph" w:styleId="34">
    <w:name w:val="annotation subject"/>
    <w:basedOn w:val="17"/>
    <w:next w:val="17"/>
    <w:link w:val="190"/>
    <w:semiHidden/>
    <w:unhideWhenUsed/>
    <w:qFormat/>
    <w:uiPriority w:val="99"/>
    <w:rPr>
      <w:b/>
      <w:b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2E54A1" w:themeColor="accent1" w:themeShade="BF"/>
    </w:rPr>
    <w:tblPr>
      <w:tblBorders>
        <w:top w:val="single" w:color="4874CB" w:themeColor="accent1" w:sz="8" w:space="0"/>
        <w:bottom w:val="single" w:color="4874CB" w:themeColor="accent1" w:sz="8" w:space="0"/>
      </w:tblBorders>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9">
    <w:name w:val="Light Shading Accent 2"/>
    <w:basedOn w:val="35"/>
    <w:qFormat/>
    <w:uiPriority w:val="60"/>
    <w:rPr>
      <w:color w:val="C65F10" w:themeColor="accent2" w:themeShade="BF"/>
    </w:rPr>
    <w:tblPr>
      <w:tblBorders>
        <w:top w:val="single" w:color="EE822F" w:themeColor="accent2" w:sz="8" w:space="0"/>
        <w:bottom w:val="single" w:color="EE822F" w:themeColor="accent2" w:sz="8" w:space="0"/>
      </w:tblBorders>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40">
    <w:name w:val="Light Shading Accent 3"/>
    <w:basedOn w:val="35"/>
    <w:qFormat/>
    <w:uiPriority w:val="60"/>
    <w:rPr>
      <w:color w:val="B68C02" w:themeColor="accent3" w:themeShade="BF"/>
    </w:rPr>
    <w:tblPr>
      <w:tblBorders>
        <w:top w:val="single" w:color="F2BA02" w:themeColor="accent3" w:sz="8" w:space="0"/>
        <w:bottom w:val="single" w:color="F2BA02" w:themeColor="accent3" w:sz="8" w:space="0"/>
      </w:tblBorders>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41">
    <w:name w:val="Light Shading Accent 4"/>
    <w:basedOn w:val="35"/>
    <w:qFormat/>
    <w:uiPriority w:val="60"/>
    <w:rPr>
      <w:color w:val="588E32" w:themeColor="accent4" w:themeShade="BF"/>
    </w:rPr>
    <w:tblPr>
      <w:tblBorders>
        <w:top w:val="single" w:color="75BD42" w:themeColor="accent4" w:sz="8" w:space="0"/>
        <w:bottom w:val="single" w:color="75BD42" w:themeColor="accent4" w:sz="8" w:space="0"/>
      </w:tblBorders>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42">
    <w:name w:val="Light Shading Accent 5"/>
    <w:basedOn w:val="35"/>
    <w:qFormat/>
    <w:uiPriority w:val="60"/>
    <w:rPr>
      <w:color w:val="249087" w:themeColor="accent5" w:themeShade="BF"/>
    </w:rPr>
    <w:tblPr>
      <w:tblBorders>
        <w:top w:val="single" w:color="30C0B4" w:themeColor="accent5" w:sz="8" w:space="0"/>
        <w:bottom w:val="single" w:color="30C0B4" w:themeColor="accent5" w:sz="8" w:space="0"/>
      </w:tblBorders>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3">
    <w:name w:val="Light Shading Accent 6"/>
    <w:basedOn w:val="35"/>
    <w:qFormat/>
    <w:uiPriority w:val="60"/>
    <w:rPr>
      <w:color w:val="C81D31" w:themeColor="accent6" w:themeShade="BF"/>
    </w:rPr>
    <w:tblPr>
      <w:tblBorders>
        <w:top w:val="single" w:color="E54C5E" w:themeColor="accent6" w:sz="8" w:space="0"/>
        <w:bottom w:val="single" w:color="E54C5E" w:themeColor="accent6" w:sz="8" w:space="0"/>
      </w:tblBorders>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6">
    <w:name w:val="Light List Accent 2"/>
    <w:basedOn w:val="35"/>
    <w:qFormat/>
    <w:uiPriority w:val="61"/>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7">
    <w:name w:val="Light List Accent 3"/>
    <w:basedOn w:val="35"/>
    <w:qFormat/>
    <w:uiPriority w:val="61"/>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8">
    <w:name w:val="Light List Accent 4"/>
    <w:basedOn w:val="35"/>
    <w:qFormat/>
    <w:uiPriority w:val="61"/>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9">
    <w:name w:val="Light List Accent 5"/>
    <w:basedOn w:val="35"/>
    <w:qFormat/>
    <w:uiPriority w:val="61"/>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50">
    <w:name w:val="Light List Accent 6"/>
    <w:basedOn w:val="35"/>
    <w:qFormat/>
    <w:uiPriority w:val="61"/>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3">
    <w:name w:val="Light Grid Accent 2"/>
    <w:basedOn w:val="35"/>
    <w:qFormat/>
    <w:uiPriority w:val="62"/>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4">
    <w:name w:val="Light Grid Accent 3"/>
    <w:basedOn w:val="35"/>
    <w:qFormat/>
    <w:uiPriority w:val="62"/>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5">
    <w:name w:val="Light Grid Accent 4"/>
    <w:basedOn w:val="35"/>
    <w:qFormat/>
    <w:uiPriority w:val="62"/>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6">
    <w:name w:val="Light Grid Accent 5"/>
    <w:basedOn w:val="35"/>
    <w:qFormat/>
    <w:uiPriority w:val="62"/>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7">
    <w:name w:val="Light Grid Accent 6"/>
    <w:basedOn w:val="35"/>
    <w:qFormat/>
    <w:uiPriority w:val="62"/>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874CB" w:themeColor="accent1" w:sz="8" w:space="0"/>
        <w:bottom w:val="single" w:color="4874CB" w:themeColor="accent1" w:sz="8" w:space="0"/>
      </w:tblBorders>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EE822F" w:themeColor="accent2" w:sz="8" w:space="0"/>
        <w:bottom w:val="single" w:color="EE822F" w:themeColor="accent2" w:sz="8" w:space="0"/>
      </w:tblBorders>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F2BA02" w:themeColor="accent3" w:sz="8" w:space="0"/>
        <w:bottom w:val="single" w:color="F2BA02" w:themeColor="accent3" w:sz="8" w:space="0"/>
      </w:tblBorders>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75BD42" w:themeColor="accent4" w:sz="8" w:space="0"/>
        <w:bottom w:val="single" w:color="75BD42" w:themeColor="accent4" w:sz="8" w:space="0"/>
      </w:tblBorders>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30C0B4" w:themeColor="accent5" w:sz="8" w:space="0"/>
        <w:bottom w:val="single" w:color="30C0B4" w:themeColor="accent5" w:sz="8" w:space="0"/>
      </w:tblBorders>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E54C5E" w:themeColor="accent6" w:sz="8" w:space="0"/>
        <w:bottom w:val="single" w:color="E54C5E" w:themeColor="accent6" w:sz="8" w:space="0"/>
      </w:tblBorders>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8">
    <w:name w:val="Medium Grid 1 Accent 2"/>
    <w:basedOn w:val="35"/>
    <w:qFormat/>
    <w:uiPriority w:val="67"/>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9">
    <w:name w:val="Medium Grid 1 Accent 3"/>
    <w:basedOn w:val="35"/>
    <w:qFormat/>
    <w:uiPriority w:val="67"/>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90">
    <w:name w:val="Medium Grid 1 Accent 4"/>
    <w:basedOn w:val="35"/>
    <w:qFormat/>
    <w:uiPriority w:val="67"/>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91">
    <w:name w:val="Medium Grid 1 Accent 5"/>
    <w:basedOn w:val="35"/>
    <w:qFormat/>
    <w:uiPriority w:val="67"/>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92">
    <w:name w:val="Medium Grid 1 Accent 6"/>
    <w:basedOn w:val="35"/>
    <w:qFormat/>
    <w:uiPriority w:val="67"/>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StyleRowBandSize w:val="1"/>
      <w:tblStyleColBandSize w:val="1"/>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StyleRowBandSize w:val="1"/>
      <w:tblStyleColBandSize w:val="1"/>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StyleRowBandSize w:val="1"/>
      <w:tblStyleColBandSize w:val="1"/>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StyleRowBandSize w:val="1"/>
      <w:tblStyleColBandSize w:val="1"/>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StyleRowBandSize w:val="1"/>
      <w:tblStyleColBandSize w:val="1"/>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StyleRowBandSize w:val="1"/>
      <w:tblStyleColBandSize w:val="1"/>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StyleRowBandSize w:val="1"/>
      <w:tblStyleColBandSize w:val="1"/>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StyleRowBandSize w:val="1"/>
      <w:tblStyleColBandSize w:val="1"/>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StyleRowBandSize w:val="1"/>
      <w:tblStyleColBandSize w:val="1"/>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StyleRowBandSize w:val="1"/>
      <w:tblStyleColBandSize w:val="1"/>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StyleRowBandSize w:val="1"/>
      <w:tblStyleColBandSize w:val="1"/>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styleId="138">
    <w:name w:val="annotation reference"/>
    <w:basedOn w:val="135"/>
    <w:semiHidden/>
    <w:unhideWhenUsed/>
    <w:qFormat/>
    <w:uiPriority w:val="99"/>
    <w:rPr>
      <w:sz w:val="21"/>
      <w:szCs w:val="21"/>
    </w:rPr>
  </w:style>
  <w:style w:type="character" w:customStyle="1" w:styleId="139">
    <w:name w:val="页眉 字符"/>
    <w:basedOn w:val="135"/>
    <w:link w:val="26"/>
    <w:qFormat/>
    <w:uiPriority w:val="99"/>
  </w:style>
  <w:style w:type="character" w:customStyle="1" w:styleId="140">
    <w:name w:val="页脚 字符"/>
    <w:basedOn w:val="135"/>
    <w:link w:val="25"/>
    <w:qFormat/>
    <w:uiPriority w:val="99"/>
  </w:style>
  <w:style w:type="paragraph" w:customStyle="1" w:styleId="141">
    <w:name w:val="无间隔1"/>
    <w:qFormat/>
    <w:uiPriority w:val="1"/>
    <w:rPr>
      <w:rFonts w:asciiTheme="minorHAnsi" w:hAnsiTheme="minorHAnsi" w:eastAsiaTheme="minorEastAsia" w:cstheme="minorBidi"/>
      <w:sz w:val="22"/>
      <w:szCs w:val="22"/>
      <w:lang w:val="en-US" w:eastAsia="en-US" w:bidi="ar-SA"/>
    </w:rPr>
  </w:style>
  <w:style w:type="character" w:customStyle="1" w:styleId="142">
    <w:name w:val="标题 1 字符"/>
    <w:basedOn w:val="135"/>
    <w:link w:val="3"/>
    <w:qFormat/>
    <w:uiPriority w:val="9"/>
    <w:rPr>
      <w:rFonts w:ascii="Times New Roman" w:hAnsi="Times New Roman" w:eastAsia="黑体" w:cs="Times New Roman"/>
      <w:color w:val="000000"/>
      <w:kern w:val="44"/>
      <w:sz w:val="32"/>
      <w:szCs w:val="44"/>
    </w:rPr>
  </w:style>
  <w:style w:type="character" w:customStyle="1" w:styleId="143">
    <w:name w:val="标题 2 字符"/>
    <w:basedOn w:val="135"/>
    <w:qFormat/>
    <w:uiPriority w:val="9"/>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customStyle="1" w:styleId="144">
    <w:name w:val="标题 3 字符"/>
    <w:basedOn w:val="135"/>
    <w:qFormat/>
    <w:uiPriority w:val="9"/>
    <w:rPr>
      <w:rFonts w:asciiTheme="majorHAnsi" w:hAnsiTheme="majorHAnsi" w:eastAsiaTheme="majorEastAsia" w:cstheme="majorBidi"/>
      <w:b/>
      <w:bCs/>
      <w:color w:val="4874CB" w:themeColor="accent1"/>
      <w14:textFill>
        <w14:solidFill>
          <w14:schemeClr w14:val="accent1"/>
        </w14:solidFill>
      </w14:textFill>
    </w:rPr>
  </w:style>
  <w:style w:type="character" w:customStyle="1" w:styleId="145">
    <w:name w:val="标题 字符"/>
    <w:basedOn w:val="135"/>
    <w:qFormat/>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6">
    <w:name w:val="副标题 字符"/>
    <w:basedOn w:val="135"/>
    <w:qFormat/>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customStyle="1" w:styleId="147">
    <w:name w:val="列表段落1"/>
    <w:basedOn w:val="1"/>
    <w:qFormat/>
    <w:uiPriority w:val="34"/>
    <w:pPr>
      <w:ind w:left="720"/>
      <w:contextualSpacing/>
    </w:pPr>
  </w:style>
  <w:style w:type="character" w:customStyle="1" w:styleId="148">
    <w:name w:val="正文文本 字符"/>
    <w:basedOn w:val="135"/>
    <w:qFormat/>
    <w:uiPriority w:val="99"/>
  </w:style>
  <w:style w:type="character" w:customStyle="1" w:styleId="149">
    <w:name w:val="正文文本 2 字符"/>
    <w:basedOn w:val="135"/>
    <w:link w:val="29"/>
    <w:qFormat/>
    <w:uiPriority w:val="99"/>
  </w:style>
  <w:style w:type="character" w:customStyle="1" w:styleId="150">
    <w:name w:val="正文文本 3 字符"/>
    <w:basedOn w:val="135"/>
    <w:link w:val="18"/>
    <w:qFormat/>
    <w:uiPriority w:val="99"/>
    <w:rPr>
      <w:sz w:val="16"/>
      <w:szCs w:val="16"/>
    </w:rPr>
  </w:style>
  <w:style w:type="character" w:customStyle="1" w:styleId="151">
    <w:name w:val="宏文本 字符"/>
    <w:basedOn w:val="135"/>
    <w:link w:val="2"/>
    <w:qFormat/>
    <w:uiPriority w:val="99"/>
    <w:rPr>
      <w:rFonts w:ascii="Courier" w:hAnsi="Courier"/>
      <w:sz w:val="20"/>
      <w:szCs w:val="20"/>
    </w:rPr>
  </w:style>
  <w:style w:type="paragraph" w:customStyle="1" w:styleId="152">
    <w:name w:val="引用1"/>
    <w:basedOn w:val="1"/>
    <w:next w:val="1"/>
    <w:link w:val="153"/>
    <w:qFormat/>
    <w:uiPriority w:val="29"/>
    <w:rPr>
      <w:i/>
      <w:iCs/>
      <w:color w:val="000000" w:themeColor="text1"/>
      <w14:textFill>
        <w14:solidFill>
          <w14:schemeClr w14:val="tx1"/>
        </w14:solidFill>
      </w14:textFill>
    </w:rPr>
  </w:style>
  <w:style w:type="character" w:customStyle="1" w:styleId="153">
    <w:name w:val="引用 字符"/>
    <w:basedOn w:val="135"/>
    <w:link w:val="152"/>
    <w:qFormat/>
    <w:uiPriority w:val="29"/>
    <w:rPr>
      <w:i/>
      <w:iCs/>
      <w:color w:val="000000" w:themeColor="text1"/>
      <w14:textFill>
        <w14:solidFill>
          <w14:schemeClr w14:val="tx1"/>
        </w14:solidFill>
      </w14:textFill>
    </w:rPr>
  </w:style>
  <w:style w:type="character" w:customStyle="1" w:styleId="154">
    <w:name w:val="标题 4 字符"/>
    <w:basedOn w:val="135"/>
    <w:link w:val="6"/>
    <w:semiHidden/>
    <w:qFormat/>
    <w:uiPriority w:val="9"/>
    <w:rPr>
      <w:rFonts w:ascii="Times New Roman" w:hAnsi="Times New Roman" w:eastAsia="黑体" w:cs="Times New Roman"/>
      <w:bCs/>
      <w:kern w:val="2"/>
      <w:sz w:val="28"/>
      <w:szCs w:val="28"/>
    </w:rPr>
  </w:style>
  <w:style w:type="character" w:customStyle="1" w:styleId="155">
    <w:name w:val="标题 5 字符"/>
    <w:basedOn w:val="135"/>
    <w:link w:val="7"/>
    <w:semiHidden/>
    <w:qFormat/>
    <w:uiPriority w:val="9"/>
    <w:rPr>
      <w:rFonts w:ascii="Times New Roman" w:hAnsi="Times New Roman" w:eastAsia="黑体" w:cs="Times New Roman"/>
      <w:bCs/>
      <w:kern w:val="2"/>
      <w:sz w:val="28"/>
      <w:szCs w:val="28"/>
    </w:rPr>
  </w:style>
  <w:style w:type="character" w:customStyle="1" w:styleId="156">
    <w:name w:val="标题 6 字符"/>
    <w:basedOn w:val="135"/>
    <w:link w:val="8"/>
    <w:semiHidden/>
    <w:qFormat/>
    <w:uiPriority w:val="9"/>
    <w:rPr>
      <w:rFonts w:ascii="Times New Roman" w:hAnsi="Times New Roman" w:eastAsia="黑体" w:cs="Times New Roman"/>
      <w:bCs/>
      <w:kern w:val="2"/>
      <w:sz w:val="28"/>
      <w:szCs w:val="24"/>
    </w:rPr>
  </w:style>
  <w:style w:type="character" w:customStyle="1" w:styleId="157">
    <w:name w:val="标题 7 字符"/>
    <w:basedOn w:val="135"/>
    <w:link w:val="9"/>
    <w:semiHidden/>
    <w:qFormat/>
    <w:uiPriority w:val="9"/>
    <w:rPr>
      <w:rFonts w:ascii="Times New Roman" w:hAnsi="Times New Roman" w:eastAsia="黑体" w:cs="Times New Roman"/>
      <w:bCs/>
      <w:kern w:val="2"/>
      <w:sz w:val="24"/>
      <w:szCs w:val="24"/>
    </w:rPr>
  </w:style>
  <w:style w:type="character" w:customStyle="1" w:styleId="158">
    <w:name w:val="标题 8 字符"/>
    <w:basedOn w:val="135"/>
    <w:link w:val="10"/>
    <w:semiHidden/>
    <w:qFormat/>
    <w:uiPriority w:val="9"/>
    <w:rPr>
      <w:rFonts w:ascii="Times New Roman" w:hAnsi="Times New Roman" w:eastAsia="黑体" w:cs="Times New Roman"/>
      <w:kern w:val="2"/>
      <w:sz w:val="24"/>
      <w:szCs w:val="24"/>
    </w:rPr>
  </w:style>
  <w:style w:type="character" w:customStyle="1" w:styleId="159">
    <w:name w:val="标题 9 字符"/>
    <w:basedOn w:val="135"/>
    <w:link w:val="11"/>
    <w:semiHidden/>
    <w:qFormat/>
    <w:uiPriority w:val="9"/>
    <w:rPr>
      <w:rFonts w:ascii="Times New Roman" w:hAnsi="Times New Roman" w:eastAsia="黑体" w:cs="Times New Roman"/>
      <w:kern w:val="2"/>
      <w:sz w:val="21"/>
      <w:szCs w:val="21"/>
    </w:rPr>
  </w:style>
  <w:style w:type="paragraph" w:customStyle="1" w:styleId="160">
    <w:name w:val="明显引用1"/>
    <w:basedOn w:val="1"/>
    <w:next w:val="1"/>
    <w:link w:val="161"/>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161">
    <w:name w:val="明显引用 字符"/>
    <w:basedOn w:val="135"/>
    <w:link w:val="160"/>
    <w:qFormat/>
    <w:uiPriority w:val="30"/>
    <w:rPr>
      <w:b/>
      <w:bCs/>
      <w:i/>
      <w:iCs/>
      <w:color w:val="4874CB" w:themeColor="accent1"/>
      <w14:textFill>
        <w14:solidFill>
          <w14:schemeClr w14:val="accent1"/>
        </w14:solidFill>
      </w14:textFill>
    </w:rPr>
  </w:style>
  <w:style w:type="character" w:customStyle="1" w:styleId="162">
    <w:name w:val="不明显强调1"/>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明显强调1"/>
    <w:basedOn w:val="135"/>
    <w:qFormat/>
    <w:uiPriority w:val="21"/>
    <w:rPr>
      <w:b/>
      <w:bCs/>
      <w:i/>
      <w:iCs/>
      <w:color w:val="4874CB" w:themeColor="accent1"/>
      <w14:textFill>
        <w14:solidFill>
          <w14:schemeClr w14:val="accent1"/>
        </w14:solidFill>
      </w14:textFill>
    </w:rPr>
  </w:style>
  <w:style w:type="character" w:customStyle="1" w:styleId="164">
    <w:name w:val="不明显参考1"/>
    <w:basedOn w:val="135"/>
    <w:qFormat/>
    <w:uiPriority w:val="31"/>
    <w:rPr>
      <w:smallCaps/>
      <w:color w:val="EE822F" w:themeColor="accent2"/>
      <w:u w:val="single"/>
      <w14:textFill>
        <w14:solidFill>
          <w14:schemeClr w14:val="accent2"/>
        </w14:solidFill>
      </w14:textFill>
    </w:rPr>
  </w:style>
  <w:style w:type="character" w:customStyle="1" w:styleId="165">
    <w:name w:val="明显参考1"/>
    <w:basedOn w:val="135"/>
    <w:qFormat/>
    <w:uiPriority w:val="32"/>
    <w:rPr>
      <w:b/>
      <w:bCs/>
      <w:smallCaps/>
      <w:color w:val="EE822F" w:themeColor="accent2"/>
      <w:spacing w:val="5"/>
      <w:u w:val="single"/>
      <w14:textFill>
        <w14:solidFill>
          <w14:schemeClr w14:val="accent2"/>
        </w14:solidFill>
      </w14:textFill>
    </w:rPr>
  </w:style>
  <w:style w:type="character" w:customStyle="1" w:styleId="166">
    <w:name w:val="书籍标题1"/>
    <w:basedOn w:val="135"/>
    <w:qFormat/>
    <w:uiPriority w:val="33"/>
    <w:rPr>
      <w:b/>
      <w:bCs/>
      <w:smallCaps/>
      <w:spacing w:val="5"/>
    </w:rPr>
  </w:style>
  <w:style w:type="paragraph" w:customStyle="1" w:styleId="167">
    <w:name w:val="TOC 标题1"/>
    <w:basedOn w:val="3"/>
    <w:next w:val="1"/>
    <w:unhideWhenUsed/>
    <w:qFormat/>
    <w:uiPriority w:val="39"/>
    <w:pPr>
      <w:outlineLvl w:val="9"/>
    </w:pPr>
  </w:style>
  <w:style w:type="paragraph" w:customStyle="1" w:styleId="168">
    <w:name w:val="*正文"/>
    <w:basedOn w:val="1"/>
    <w:qFormat/>
    <w:uiPriority w:val="0"/>
    <w:pPr>
      <w:spacing w:line="360" w:lineRule="auto"/>
      <w:ind w:firstLine="200" w:firstLineChars="200"/>
    </w:pPr>
    <w:rPr>
      <w:rFonts w:ascii="仿宋_GB2312" w:eastAsia="仿宋_GB2312" w:cs="仿宋"/>
      <w:color w:val="000000"/>
      <w:sz w:val="28"/>
      <w:szCs w:val="24"/>
      <w:lang w:val="zh-CN"/>
    </w:rPr>
  </w:style>
  <w:style w:type="paragraph" w:customStyle="1" w:styleId="169">
    <w:name w:val="ZW1"/>
    <w:basedOn w:val="1"/>
    <w:link w:val="171"/>
    <w:qFormat/>
    <w:uiPriority w:val="0"/>
    <w:pPr>
      <w:spacing w:before="50" w:beforeLines="50" w:after="50" w:afterLines="50" w:line="360" w:lineRule="auto"/>
      <w:ind w:left="210" w:leftChars="100" w:firstLine="420" w:firstLineChars="200"/>
    </w:pPr>
    <w:rPr>
      <w:rFonts w:cs="Times New Roman"/>
      <w:sz w:val="24"/>
      <w:lang w:eastAsia="zh-CN"/>
    </w:rPr>
  </w:style>
  <w:style w:type="paragraph" w:customStyle="1" w:styleId="170">
    <w:name w:val="ZW3"/>
    <w:basedOn w:val="169"/>
    <w:link w:val="172"/>
    <w:qFormat/>
    <w:uiPriority w:val="0"/>
    <w:pPr>
      <w:spacing w:before="240" w:beforeLines="100" w:line="240" w:lineRule="auto"/>
      <w:ind w:firstLine="0" w:firstLineChars="0"/>
    </w:pPr>
    <w:rPr>
      <w:b/>
      <w:bCs/>
    </w:rPr>
  </w:style>
  <w:style w:type="character" w:customStyle="1" w:styleId="171">
    <w:name w:val="ZW1 字符"/>
    <w:basedOn w:val="135"/>
    <w:link w:val="169"/>
    <w:qFormat/>
    <w:uiPriority w:val="0"/>
    <w:rPr>
      <w:rFonts w:eastAsia="宋体"/>
      <w:sz w:val="24"/>
      <w:szCs w:val="22"/>
    </w:rPr>
  </w:style>
  <w:style w:type="character" w:customStyle="1" w:styleId="172">
    <w:name w:val="ZW3 字符"/>
    <w:basedOn w:val="171"/>
    <w:link w:val="170"/>
    <w:qFormat/>
    <w:uiPriority w:val="0"/>
    <w:rPr>
      <w:rFonts w:eastAsia="宋体"/>
      <w:b/>
      <w:bCs/>
      <w:sz w:val="21"/>
      <w:szCs w:val="22"/>
      <w:lang w:eastAsia="en-US"/>
    </w:rPr>
  </w:style>
  <w:style w:type="paragraph" w:customStyle="1" w:styleId="173">
    <w:name w:val="ZW2"/>
    <w:basedOn w:val="169"/>
    <w:link w:val="174"/>
    <w:qFormat/>
    <w:uiPriority w:val="0"/>
    <w:pPr>
      <w:ind w:firstLine="0" w:firstLineChars="0"/>
    </w:pPr>
  </w:style>
  <w:style w:type="character" w:customStyle="1" w:styleId="174">
    <w:name w:val="ZW2 字符"/>
    <w:basedOn w:val="171"/>
    <w:link w:val="173"/>
    <w:qFormat/>
    <w:uiPriority w:val="0"/>
    <w:rPr>
      <w:rFonts w:eastAsia="宋体"/>
      <w:sz w:val="21"/>
      <w:szCs w:val="22"/>
      <w:lang w:eastAsia="en-US"/>
    </w:rPr>
  </w:style>
  <w:style w:type="table" w:customStyle="1" w:styleId="175">
    <w:name w:val="网格型浅色1"/>
    <w:basedOn w:val="3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76">
    <w:name w:val="￥正文"/>
    <w:basedOn w:val="1"/>
    <w:unhideWhenUsed/>
    <w:qFormat/>
    <w:uiPriority w:val="0"/>
    <w:pPr>
      <w:spacing w:line="340" w:lineRule="exact"/>
      <w:jc w:val="left"/>
    </w:pPr>
    <w:rPr>
      <w:rFonts w:hint="eastAsia" w:ascii="仿宋_GB2312" w:eastAsia="仿宋_GB2312"/>
      <w:color w:val="000000"/>
      <w:sz w:val="24"/>
      <w:szCs w:val="20"/>
      <w:lang w:val="zh-CN"/>
    </w:rPr>
  </w:style>
  <w:style w:type="paragraph" w:customStyle="1" w:styleId="177">
    <w:name w:val="样式2"/>
    <w:basedOn w:val="1"/>
    <w:unhideWhenUsed/>
    <w:qFormat/>
    <w:uiPriority w:val="0"/>
    <w:pPr>
      <w:adjustRightInd w:val="0"/>
      <w:spacing w:line="360" w:lineRule="auto"/>
      <w:ind w:firstLine="480" w:firstLineChars="200"/>
    </w:pPr>
    <w:rPr>
      <w:rFonts w:hint="eastAsia" w:ascii="宋体" w:hAnsi="宋体"/>
      <w:sz w:val="24"/>
      <w:szCs w:val="24"/>
    </w:rPr>
  </w:style>
  <w:style w:type="paragraph" w:customStyle="1" w:styleId="178">
    <w:name w:val="pStyle"/>
    <w:qFormat/>
    <w:uiPriority w:val="0"/>
    <w:pPr>
      <w:jc w:val="center"/>
    </w:pPr>
    <w:rPr>
      <w:rFonts w:ascii="Arial" w:hAnsi="Arial" w:eastAsia="Arial" w:cs="Arial"/>
      <w:lang w:val="en-US" w:eastAsia="zh-CN" w:bidi="ar-SA"/>
    </w:rPr>
  </w:style>
  <w:style w:type="character" w:customStyle="1" w:styleId="179">
    <w:name w:val="rStyle"/>
    <w:qFormat/>
    <w:uiPriority w:val="0"/>
    <w:rPr>
      <w:b/>
      <w:sz w:val="32"/>
      <w:szCs w:val="32"/>
    </w:rPr>
  </w:style>
  <w:style w:type="table" w:customStyle="1" w:styleId="180">
    <w:name w:val="myOwnTableStyle155"/>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table" w:customStyle="1" w:styleId="181">
    <w:name w:val="myOwnTableStyle231"/>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table" w:customStyle="1" w:styleId="182">
    <w:name w:val="myOwnTableStyle91"/>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table" w:customStyle="1" w:styleId="183">
    <w:name w:val="myOwnTableStyle103"/>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table" w:customStyle="1" w:styleId="184">
    <w:name w:val="myOwnTableStyle216"/>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table" w:customStyle="1" w:styleId="185">
    <w:name w:val="myOwnTableStyle210"/>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table" w:customStyle="1" w:styleId="186">
    <w:name w:val="myOwnTableStyle24"/>
    <w:qFormat/>
    <w:uiPriority w:val="99"/>
    <w:tblPr>
      <w:tblBorders>
        <w:top w:val="single" w:color="006699" w:sz="6" w:space="0"/>
        <w:left w:val="single" w:color="006699" w:sz="6" w:space="0"/>
        <w:bottom w:val="single" w:color="006699" w:sz="6" w:space="0"/>
        <w:right w:val="single" w:color="006699" w:sz="6" w:space="0"/>
        <w:insideH w:val="single" w:color="006699" w:sz="6" w:space="0"/>
        <w:insideV w:val="single" w:color="006699" w:sz="6" w:space="0"/>
      </w:tblBorders>
      <w:tblCellMar>
        <w:top w:w="80" w:type="dxa"/>
        <w:left w:w="80" w:type="dxa"/>
        <w:bottom w:w="80" w:type="dxa"/>
        <w:right w:w="80" w:type="dxa"/>
      </w:tblCellMar>
    </w:tblPr>
  </w:style>
  <w:style w:type="paragraph" w:styleId="187">
    <w:name w:val="List Paragraph"/>
    <w:basedOn w:val="1"/>
    <w:unhideWhenUsed/>
    <w:qFormat/>
    <w:uiPriority w:val="99"/>
    <w:pPr>
      <w:ind w:firstLine="420" w:firstLineChars="200"/>
    </w:pPr>
  </w:style>
  <w:style w:type="paragraph" w:customStyle="1" w:styleId="188">
    <w:name w:val="Revision"/>
    <w:hidden/>
    <w:unhideWhenUsed/>
    <w:qFormat/>
    <w:uiPriority w:val="99"/>
    <w:rPr>
      <w:rFonts w:ascii="Times New Roman" w:hAnsi="Times New Roman" w:eastAsia="宋体" w:cstheme="minorBidi"/>
      <w:sz w:val="21"/>
      <w:szCs w:val="22"/>
      <w:lang w:val="en-US" w:eastAsia="en-US" w:bidi="ar-SA"/>
    </w:rPr>
  </w:style>
  <w:style w:type="character" w:customStyle="1" w:styleId="189">
    <w:name w:val="批注文字 字符"/>
    <w:basedOn w:val="135"/>
    <w:link w:val="17"/>
    <w:qFormat/>
    <w:uiPriority w:val="99"/>
    <w:rPr>
      <w:rFonts w:cstheme="minorBidi"/>
      <w:sz w:val="21"/>
      <w:szCs w:val="22"/>
      <w:lang w:eastAsia="en-US"/>
    </w:rPr>
  </w:style>
  <w:style w:type="character" w:customStyle="1" w:styleId="190">
    <w:name w:val="批注主题 字符"/>
    <w:basedOn w:val="189"/>
    <w:link w:val="34"/>
    <w:semiHidden/>
    <w:qFormat/>
    <w:uiPriority w:val="99"/>
    <w:rPr>
      <w:rFonts w:cstheme="minorBidi"/>
      <w:b/>
      <w:bCs/>
      <w:sz w:val="21"/>
      <w:szCs w:val="2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86ED534-9632-4009-BC05-5EE3FD871930}">
  <ds:schemaRefs/>
</ds:datastoreItem>
</file>

<file path=docProps/app.xml><?xml version="1.0" encoding="utf-8"?>
<Properties xmlns="http://schemas.openxmlformats.org/officeDocument/2006/extended-properties" xmlns:vt="http://schemas.openxmlformats.org/officeDocument/2006/docPropsVTypes">
  <Template>Normal</Template>
  <Pages>23</Pages>
  <Words>2680</Words>
  <Characters>15278</Characters>
  <Lines>127</Lines>
  <Paragraphs>35</Paragraphs>
  <TotalTime>150</TotalTime>
  <ScaleCrop>false</ScaleCrop>
  <LinksUpToDate>false</LinksUpToDate>
  <CharactersWithSpaces>17923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2026-09-12T16:59:00Z</dcterms:created>
  <dc:creator>python-docx</dc:creator>
  <dc:description>generated by python-docx</dc:description>
  <cp:lastModifiedBy>王婉婷</cp:lastModifiedBy>
  <dcterms:modified xsi:type="dcterms:W3CDTF">2026-11-02T16:12:17Z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5BA416A7F69C81FE2F5DE16AAE760AEB_43</vt:lpwstr>
  </property>
  <property fmtid="{D5CDD505-2E9C-101B-9397-08002B2CF9AE}" pid="4" name="KSOTemplateDocerSaveRecord">
    <vt:lpwstr>eyJoZGlkIjoiZGE2Mjg2YTZkZTMyMTYwY2M1OTQ5YzJlN2MyYmRjOGEiLCJ1c2VySWQiOiIxMDQ3MzM0NDUxIn0=</vt:lpwstr>
  </property>
</Properties>
</file>