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9DB1" w14:textId="77777777" w:rsidR="005845AA" w:rsidRDefault="00000000">
      <w:pPr>
        <w:pStyle w:val="aa"/>
        <w:spacing w:line="540" w:lineRule="exact"/>
        <w:ind w:left="640" w:firstLineChars="0" w:firstLine="0"/>
        <w:rPr>
          <w:rFonts w:ascii="黑体" w:eastAsia="黑体" w:hAnsi="黑体" w:hint="eastAsia"/>
          <w:sz w:val="32"/>
          <w:szCs w:val="32"/>
        </w:rPr>
      </w:pPr>
      <w:r>
        <w:rPr>
          <w:rFonts w:ascii="黑体" w:eastAsia="黑体" w:hAnsi="黑体" w:hint="eastAsia"/>
          <w:sz w:val="32"/>
          <w:szCs w:val="32"/>
        </w:rPr>
        <w:t>一、</w:t>
      </w:r>
      <w:r>
        <w:rPr>
          <w:rFonts w:ascii="黑体" w:eastAsia="黑体" w:hAnsi="黑体"/>
          <w:sz w:val="32"/>
          <w:szCs w:val="32"/>
        </w:rPr>
        <w:t>企业资质</w:t>
      </w:r>
    </w:p>
    <w:p w14:paraId="6705519C"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1.满足《中华人民共和国政府采购法》第二十二条规定；</w:t>
      </w:r>
    </w:p>
    <w:p w14:paraId="5218C45C"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2.落实政府采购政策需满足的资格要求：本项目面向大、中、小、微型等各类供应商采购。</w:t>
      </w:r>
    </w:p>
    <w:p w14:paraId="1B31CC79"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3.本项目的特定资格要求：1、符合《中华人民共和国政府采购法》第二十二条的规定；2、未被“信用中国”（www.creditchina.gov.cn）、中国政府采购网（www.ccgp.gov.cn）列入失信被执行人、重大税收违法案件当事人名单、政府采购严重违法失信行为记录名单；3、本项目不接受联合体投标。4、具有《网络安全服务认证中心等级保护测评服务认证》资质。</w:t>
      </w:r>
    </w:p>
    <w:p w14:paraId="607E09A2" w14:textId="77777777" w:rsidR="005845AA" w:rsidRDefault="00000000">
      <w:pPr>
        <w:pStyle w:val="aa"/>
        <w:spacing w:line="540" w:lineRule="exact"/>
        <w:ind w:left="640" w:firstLineChars="0" w:firstLine="0"/>
        <w:rPr>
          <w:rFonts w:ascii="黑体" w:eastAsia="黑体" w:hAnsi="黑体" w:hint="eastAsia"/>
          <w:sz w:val="32"/>
          <w:szCs w:val="32"/>
        </w:rPr>
      </w:pPr>
      <w:r>
        <w:rPr>
          <w:rFonts w:ascii="黑体" w:eastAsia="黑体" w:hAnsi="黑体" w:hint="eastAsia"/>
          <w:sz w:val="32"/>
          <w:szCs w:val="32"/>
        </w:rPr>
        <w:t>二、采购内容</w:t>
      </w:r>
    </w:p>
    <w:p w14:paraId="5E447739"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根据《上海市市级数字化项目支出预算管理暂行办法》（沪经信推【2022】535号）文件要求，落实年度市级数字化运维项目的网络安全等级保护测评工作。</w:t>
      </w:r>
    </w:p>
    <w:p w14:paraId="039EAAB7"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1、</w:t>
      </w:r>
      <w:r>
        <w:rPr>
          <w:rFonts w:ascii="仿宋_GB2312" w:eastAsia="仿宋_GB2312" w:hAnsi="宋体" w:cs="Times New Roman"/>
          <w:b w:val="0"/>
          <w:spacing w:val="0"/>
        </w:rPr>
        <w:t>依据GB/T 22239-20</w:t>
      </w:r>
      <w:r>
        <w:rPr>
          <w:rFonts w:ascii="仿宋_GB2312" w:eastAsia="仿宋_GB2312" w:hAnsi="宋体" w:cs="Times New Roman" w:hint="eastAsia"/>
          <w:b w:val="0"/>
          <w:spacing w:val="0"/>
        </w:rPr>
        <w:t>19</w:t>
      </w:r>
      <w:r>
        <w:rPr>
          <w:rFonts w:ascii="仿宋_GB2312" w:eastAsia="仿宋_GB2312" w:hAnsi="宋体" w:cs="Times New Roman"/>
          <w:b w:val="0"/>
          <w:spacing w:val="0"/>
        </w:rPr>
        <w:t>《信息</w:t>
      </w:r>
      <w:r>
        <w:rPr>
          <w:rFonts w:ascii="仿宋_GB2312" w:eastAsia="仿宋_GB2312" w:hAnsi="宋体" w:cs="Times New Roman" w:hint="eastAsia"/>
          <w:b w:val="0"/>
          <w:spacing w:val="0"/>
        </w:rPr>
        <w:t>安全技术网络安全</w:t>
      </w:r>
      <w:r>
        <w:rPr>
          <w:rFonts w:ascii="仿宋_GB2312" w:eastAsia="仿宋_GB2312" w:hAnsi="宋体" w:cs="Times New Roman"/>
          <w:b w:val="0"/>
          <w:spacing w:val="0"/>
        </w:rPr>
        <w:t>等级保护基本要求》安全标准中</w:t>
      </w:r>
      <w:r>
        <w:rPr>
          <w:rFonts w:ascii="仿宋_GB2312" w:eastAsia="仿宋_GB2312" w:hAnsi="宋体" w:cs="Times New Roman" w:hint="eastAsia"/>
          <w:b w:val="0"/>
          <w:spacing w:val="0"/>
        </w:rPr>
        <w:t>三</w:t>
      </w:r>
      <w:r>
        <w:rPr>
          <w:rFonts w:ascii="仿宋_GB2312" w:eastAsia="仿宋_GB2312" w:hAnsi="宋体" w:cs="Times New Roman"/>
          <w:b w:val="0"/>
          <w:spacing w:val="0"/>
        </w:rPr>
        <w:t>级</w:t>
      </w:r>
      <w:r>
        <w:rPr>
          <w:rFonts w:ascii="仿宋_GB2312" w:eastAsia="仿宋_GB2312" w:hAnsi="宋体" w:cs="Times New Roman" w:hint="eastAsia"/>
          <w:b w:val="0"/>
          <w:spacing w:val="0"/>
        </w:rPr>
        <w:t>安全保障要求以及《上海市疾病预防控制中心数据管理工作制度》</w:t>
      </w:r>
      <w:r>
        <w:rPr>
          <w:rFonts w:ascii="仿宋_GB2312" w:eastAsia="仿宋_GB2312" w:hAnsi="宋体" w:cs="Times New Roman"/>
          <w:b w:val="0"/>
          <w:spacing w:val="0"/>
        </w:rPr>
        <w:t>，</w:t>
      </w:r>
      <w:r>
        <w:rPr>
          <w:rFonts w:ascii="仿宋_GB2312" w:eastAsia="仿宋_GB2312" w:hAnsi="宋体" w:cs="Times New Roman" w:hint="eastAsia"/>
          <w:b w:val="0"/>
          <w:spacing w:val="0"/>
        </w:rPr>
        <w:t>对以下14个市级数字化运维项目</w:t>
      </w:r>
      <w:r>
        <w:rPr>
          <w:rFonts w:ascii="仿宋_GB2312" w:eastAsia="仿宋_GB2312" w:hAnsi="宋体" w:cs="Times New Roman"/>
          <w:b w:val="0"/>
          <w:spacing w:val="0"/>
        </w:rPr>
        <w:t>进行公正、科学、客观的</w:t>
      </w:r>
      <w:r>
        <w:rPr>
          <w:rFonts w:ascii="仿宋_GB2312" w:eastAsia="仿宋_GB2312" w:hAnsi="宋体" w:cs="Times New Roman" w:hint="eastAsia"/>
          <w:b w:val="0"/>
          <w:spacing w:val="0"/>
        </w:rPr>
        <w:t>网络</w:t>
      </w:r>
      <w:r>
        <w:rPr>
          <w:rFonts w:ascii="仿宋_GB2312" w:eastAsia="仿宋_GB2312" w:hAnsi="宋体" w:cs="Times New Roman"/>
          <w:b w:val="0"/>
          <w:spacing w:val="0"/>
        </w:rPr>
        <w:t>安全等级</w:t>
      </w:r>
      <w:r>
        <w:rPr>
          <w:rFonts w:ascii="仿宋_GB2312" w:eastAsia="仿宋_GB2312" w:hAnsi="宋体" w:cs="Times New Roman" w:hint="eastAsia"/>
          <w:b w:val="0"/>
          <w:spacing w:val="0"/>
        </w:rPr>
        <w:t>保护</w:t>
      </w:r>
      <w:r>
        <w:rPr>
          <w:rFonts w:ascii="仿宋_GB2312" w:eastAsia="仿宋_GB2312" w:hAnsi="宋体" w:cs="Times New Roman"/>
          <w:b w:val="0"/>
          <w:spacing w:val="0"/>
        </w:rPr>
        <w:t>测评。</w:t>
      </w:r>
    </w:p>
    <w:tbl>
      <w:tblPr>
        <w:tblW w:w="0" w:type="auto"/>
        <w:jc w:val="center"/>
        <w:tblLook w:val="04A0" w:firstRow="1" w:lastRow="0" w:firstColumn="1" w:lastColumn="0" w:noHBand="0" w:noVBand="1"/>
      </w:tblPr>
      <w:tblGrid>
        <w:gridCol w:w="558"/>
        <w:gridCol w:w="1251"/>
        <w:gridCol w:w="2127"/>
        <w:gridCol w:w="4586"/>
      </w:tblGrid>
      <w:tr w:rsidR="005845AA" w14:paraId="319A3E75" w14:textId="77777777" w:rsidTr="00FC725F">
        <w:trPr>
          <w:trHeight w:val="510"/>
          <w:jc w:val="center"/>
        </w:trPr>
        <w:tc>
          <w:tcPr>
            <w:tcW w:w="0" w:type="auto"/>
            <w:tcBorders>
              <w:top w:val="single" w:sz="4" w:space="0" w:color="auto"/>
              <w:left w:val="single" w:sz="4" w:space="0" w:color="auto"/>
              <w:bottom w:val="single" w:sz="4" w:space="0" w:color="auto"/>
              <w:right w:val="single" w:sz="4" w:space="0" w:color="auto"/>
            </w:tcBorders>
          </w:tcPr>
          <w:p w14:paraId="7907DC42" w14:textId="77777777" w:rsidR="005845AA" w:rsidRDefault="00000000">
            <w:pPr>
              <w:widowControl/>
              <w:jc w:val="left"/>
              <w:rPr>
                <w:rFonts w:ascii="宋体" w:hAnsi="宋体" w:cs="宋体" w:hint="eastAsia"/>
                <w:kern w:val="0"/>
                <w:sz w:val="20"/>
                <w:szCs w:val="20"/>
              </w:rPr>
            </w:pPr>
            <w:r>
              <w:rPr>
                <w:rFonts w:ascii="宋体" w:hAnsi="宋体" w:cs="宋体" w:hint="eastAsia"/>
                <w:kern w:val="0"/>
                <w:sz w:val="20"/>
                <w:szCs w:val="20"/>
              </w:rPr>
              <w:t>序号</w:t>
            </w:r>
          </w:p>
        </w:tc>
        <w:tc>
          <w:tcPr>
            <w:tcW w:w="1251" w:type="dxa"/>
            <w:tcBorders>
              <w:top w:val="single" w:sz="4" w:space="0" w:color="auto"/>
              <w:left w:val="single" w:sz="4" w:space="0" w:color="auto"/>
              <w:bottom w:val="single" w:sz="4" w:space="0" w:color="auto"/>
              <w:right w:val="single" w:sz="4" w:space="0" w:color="auto"/>
            </w:tcBorders>
          </w:tcPr>
          <w:p w14:paraId="3D99CF81" w14:textId="77777777" w:rsidR="005845AA" w:rsidRDefault="00000000">
            <w:pPr>
              <w:widowControl/>
              <w:jc w:val="left"/>
              <w:rPr>
                <w:rFonts w:ascii="宋体" w:hAnsi="宋体" w:cs="宋体" w:hint="eastAsia"/>
                <w:kern w:val="0"/>
                <w:sz w:val="20"/>
                <w:szCs w:val="20"/>
              </w:rPr>
            </w:pPr>
            <w:r>
              <w:rPr>
                <w:rFonts w:ascii="宋体" w:hAnsi="宋体" w:cs="宋体" w:hint="eastAsia"/>
                <w:kern w:val="0"/>
                <w:sz w:val="20"/>
                <w:szCs w:val="20"/>
              </w:rPr>
              <w:t>一级项目名称</w:t>
            </w:r>
          </w:p>
        </w:tc>
        <w:tc>
          <w:tcPr>
            <w:tcW w:w="2127" w:type="dxa"/>
            <w:tcBorders>
              <w:top w:val="single" w:sz="4" w:space="0" w:color="auto"/>
              <w:left w:val="single" w:sz="4" w:space="0" w:color="auto"/>
              <w:bottom w:val="single" w:sz="4" w:space="0" w:color="auto"/>
              <w:right w:val="single" w:sz="4" w:space="0" w:color="auto"/>
            </w:tcBorders>
            <w:vAlign w:val="bottom"/>
          </w:tcPr>
          <w:p w14:paraId="50BA67B2" w14:textId="77777777" w:rsidR="005845AA" w:rsidRDefault="00000000">
            <w:pPr>
              <w:widowControl/>
              <w:jc w:val="left"/>
              <w:rPr>
                <w:rFonts w:ascii="宋体" w:hAnsi="宋体" w:cs="宋体" w:hint="eastAsia"/>
                <w:kern w:val="0"/>
                <w:sz w:val="20"/>
                <w:szCs w:val="20"/>
              </w:rPr>
            </w:pPr>
            <w:r>
              <w:rPr>
                <w:rFonts w:ascii="宋体" w:hAnsi="宋体" w:cs="宋体" w:hint="eastAsia"/>
                <w:kern w:val="0"/>
                <w:sz w:val="20"/>
                <w:szCs w:val="20"/>
              </w:rPr>
              <w:t>二级项目名称</w:t>
            </w:r>
          </w:p>
        </w:tc>
        <w:tc>
          <w:tcPr>
            <w:tcW w:w="4586" w:type="dxa"/>
            <w:tcBorders>
              <w:top w:val="single" w:sz="4" w:space="0" w:color="auto"/>
              <w:left w:val="single" w:sz="4" w:space="0" w:color="auto"/>
              <w:bottom w:val="single" w:sz="4" w:space="0" w:color="auto"/>
              <w:right w:val="single" w:sz="4" w:space="0" w:color="auto"/>
            </w:tcBorders>
          </w:tcPr>
          <w:p w14:paraId="1A28FDB8" w14:textId="77777777" w:rsidR="005845AA" w:rsidRDefault="00000000">
            <w:pPr>
              <w:widowControl/>
              <w:jc w:val="left"/>
              <w:rPr>
                <w:rFonts w:ascii="宋体" w:hAnsi="宋体" w:cs="宋体" w:hint="eastAsia"/>
                <w:kern w:val="0"/>
                <w:sz w:val="20"/>
                <w:szCs w:val="20"/>
              </w:rPr>
            </w:pPr>
            <w:r>
              <w:rPr>
                <w:rFonts w:ascii="宋体" w:hAnsi="宋体" w:cs="宋体" w:hint="eastAsia"/>
                <w:kern w:val="0"/>
                <w:sz w:val="20"/>
                <w:szCs w:val="20"/>
              </w:rPr>
              <w:t>项目内容</w:t>
            </w:r>
          </w:p>
        </w:tc>
      </w:tr>
      <w:tr w:rsidR="005845AA" w14:paraId="2046C706"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055AD457"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1</w:t>
            </w:r>
          </w:p>
        </w:tc>
        <w:tc>
          <w:tcPr>
            <w:tcW w:w="1251" w:type="dxa"/>
            <w:vMerge w:val="restart"/>
            <w:tcBorders>
              <w:top w:val="nil"/>
              <w:left w:val="single" w:sz="4" w:space="0" w:color="auto"/>
              <w:right w:val="single" w:sz="4" w:space="0" w:color="auto"/>
            </w:tcBorders>
          </w:tcPr>
          <w:p w14:paraId="0890CC2D" w14:textId="77777777" w:rsidR="005845AA" w:rsidRDefault="00000000">
            <w:pPr>
              <w:jc w:val="center"/>
              <w:rPr>
                <w:rFonts w:ascii="宋体" w:hAnsi="宋体" w:cs="Arial" w:hint="eastAsia"/>
                <w:kern w:val="0"/>
                <w:sz w:val="20"/>
                <w:szCs w:val="20"/>
              </w:rPr>
            </w:pPr>
            <w:r>
              <w:rPr>
                <w:rFonts w:ascii="宋体" w:hAnsi="宋体" w:cs="Arial" w:hint="eastAsia"/>
                <w:kern w:val="0"/>
                <w:sz w:val="20"/>
                <w:szCs w:val="20"/>
              </w:rPr>
              <w:t>市级财政-信息化运维项目</w:t>
            </w:r>
          </w:p>
        </w:tc>
        <w:tc>
          <w:tcPr>
            <w:tcW w:w="2127" w:type="dxa"/>
            <w:tcBorders>
              <w:top w:val="nil"/>
              <w:left w:val="single" w:sz="4" w:space="0" w:color="auto"/>
              <w:bottom w:val="single" w:sz="4" w:space="0" w:color="000000"/>
              <w:right w:val="single" w:sz="4" w:space="0" w:color="auto"/>
            </w:tcBorders>
          </w:tcPr>
          <w:p w14:paraId="35F58129" w14:textId="77777777" w:rsidR="005845AA" w:rsidRDefault="00000000">
            <w:pPr>
              <w:widowControl/>
              <w:jc w:val="center"/>
              <w:rPr>
                <w:rFonts w:ascii="Arial" w:hAnsi="Arial" w:cs="Arial"/>
                <w:kern w:val="0"/>
                <w:sz w:val="20"/>
                <w:szCs w:val="20"/>
              </w:rPr>
            </w:pPr>
            <w:r>
              <w:rPr>
                <w:rFonts w:ascii="宋体" w:hAnsi="宋体" w:cs="Arial" w:hint="eastAsia"/>
                <w:kern w:val="0"/>
                <w:sz w:val="20"/>
                <w:szCs w:val="20"/>
              </w:rPr>
              <w:t>上海市疾病预防控制网络管理平台项目</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2668DF2F"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是承载上海市疾病预防控制中心业务应用的基础网络支撑平台，主要承担支撑市疾控的内部局域网用户网络接入准入控制、联网计算机上网行为统一安全管理、隔离内网通用服务管理系统等信息服务平台。</w:t>
            </w:r>
          </w:p>
        </w:tc>
      </w:tr>
      <w:tr w:rsidR="005845AA" w14:paraId="34FFC4B6"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564DE674"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2</w:t>
            </w:r>
          </w:p>
        </w:tc>
        <w:tc>
          <w:tcPr>
            <w:tcW w:w="1251" w:type="dxa"/>
            <w:vMerge/>
            <w:tcBorders>
              <w:left w:val="single" w:sz="4" w:space="0" w:color="auto"/>
              <w:right w:val="single" w:sz="4" w:space="0" w:color="auto"/>
            </w:tcBorders>
          </w:tcPr>
          <w:p w14:paraId="058ECF9A" w14:textId="77777777" w:rsidR="005845AA" w:rsidRDefault="005845AA">
            <w:pPr>
              <w:jc w:val="center"/>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52BF0A28"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上海市病媒生物监测信息系统</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05F577C0"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提供病媒生物监测、带毒率监测、抗药性监测、应用支撑等功能</w:t>
            </w:r>
          </w:p>
        </w:tc>
      </w:tr>
      <w:tr w:rsidR="005845AA" w14:paraId="27BDE61E"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532A4A4A"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lastRenderedPageBreak/>
              <w:t>3</w:t>
            </w:r>
          </w:p>
        </w:tc>
        <w:tc>
          <w:tcPr>
            <w:tcW w:w="1251" w:type="dxa"/>
            <w:vMerge/>
            <w:tcBorders>
              <w:left w:val="single" w:sz="4" w:space="0" w:color="auto"/>
              <w:right w:val="single" w:sz="4" w:space="0" w:color="auto"/>
            </w:tcBorders>
          </w:tcPr>
          <w:p w14:paraId="1870E05D" w14:textId="77777777" w:rsidR="005845AA" w:rsidRDefault="005845AA">
            <w:pPr>
              <w:jc w:val="center"/>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3D5BFD58"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上海市儿童、青少年健康信息资源管理系统</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0D12DD3B"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学校卫生监测管理、学生健康信息管理、知识库管理。</w:t>
            </w:r>
          </w:p>
        </w:tc>
      </w:tr>
      <w:tr w:rsidR="005845AA" w14:paraId="7A27C1F9"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3B31E3E4"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4</w:t>
            </w:r>
          </w:p>
        </w:tc>
        <w:tc>
          <w:tcPr>
            <w:tcW w:w="1251" w:type="dxa"/>
            <w:vMerge/>
            <w:tcBorders>
              <w:left w:val="single" w:sz="4" w:space="0" w:color="auto"/>
              <w:right w:val="single" w:sz="4" w:space="0" w:color="auto"/>
            </w:tcBorders>
          </w:tcPr>
          <w:p w14:paraId="04007740" w14:textId="77777777" w:rsidR="005845AA" w:rsidRDefault="005845AA">
            <w:pPr>
              <w:jc w:val="center"/>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20EB886D"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上海市疾病预防控制中心GRP资源管理平台——财务管理系统</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06DD7D97"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个人事务、基础数据管理、预算编报管理、预算调整管理、预算指标管理、经费申请、财务报销、合同管理、采购管理、综合分析、通知公告、日程管理通讯录</w:t>
            </w:r>
          </w:p>
        </w:tc>
      </w:tr>
      <w:tr w:rsidR="005845AA" w14:paraId="70BADCE5"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62496F88"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5</w:t>
            </w:r>
          </w:p>
        </w:tc>
        <w:tc>
          <w:tcPr>
            <w:tcW w:w="1251" w:type="dxa"/>
            <w:vMerge/>
            <w:tcBorders>
              <w:left w:val="single" w:sz="4" w:space="0" w:color="auto"/>
              <w:right w:val="single" w:sz="4" w:space="0" w:color="auto"/>
            </w:tcBorders>
          </w:tcPr>
          <w:p w14:paraId="36489AD6" w14:textId="77777777" w:rsidR="005845AA" w:rsidRDefault="005845AA">
            <w:pPr>
              <w:widowControl/>
              <w:jc w:val="center"/>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1A68C2D6"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上海市健康期望寿命应用支撑信息系统</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40073CF8"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健康期望寿命相关数据申报登记、目录资源管理、数据资源操作管理、数据分析管理、系统运维监控管理、权限管理、运营服务质量管理、日志审计管理、报告管理、统计指标管理、专题分析</w:t>
            </w:r>
          </w:p>
        </w:tc>
      </w:tr>
      <w:tr w:rsidR="005845AA" w14:paraId="5EDB8048"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4BB91F1F"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6</w:t>
            </w:r>
          </w:p>
        </w:tc>
        <w:tc>
          <w:tcPr>
            <w:tcW w:w="1251" w:type="dxa"/>
            <w:vMerge/>
            <w:tcBorders>
              <w:left w:val="single" w:sz="4" w:space="0" w:color="auto"/>
              <w:right w:val="single" w:sz="4" w:space="0" w:color="auto"/>
            </w:tcBorders>
            <w:vAlign w:val="center"/>
          </w:tcPr>
          <w:p w14:paraId="17EBD1B0"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4CD81638"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全民健康保障信息化工程中国疾病预防控制信息系统</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18D92E8C"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提供全市访问全民健康保障信息化工程中国疾病预防控制信息系统链路和与国家数据交换</w:t>
            </w:r>
          </w:p>
        </w:tc>
      </w:tr>
      <w:tr w:rsidR="005845AA" w14:paraId="519D5C98"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25D538AD"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7</w:t>
            </w:r>
          </w:p>
        </w:tc>
        <w:tc>
          <w:tcPr>
            <w:tcW w:w="1251" w:type="dxa"/>
            <w:vMerge/>
            <w:tcBorders>
              <w:left w:val="single" w:sz="4" w:space="0" w:color="auto"/>
              <w:right w:val="single" w:sz="4" w:space="0" w:color="auto"/>
            </w:tcBorders>
            <w:vAlign w:val="center"/>
          </w:tcPr>
          <w:p w14:paraId="7FEC1B9C"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1FEC3CEA"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基于多源数据的传染病综合监测预警和应急处置信息平台</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44E99F9E"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症候群监测登记、症候群监测病例管理、重点呼吸道传染病监测、重点肠道传染病监测、其他相关信息监测、事件监测、报表统计、实验室信息管理、自助分析、打印管理、相关管理等</w:t>
            </w:r>
          </w:p>
        </w:tc>
      </w:tr>
      <w:tr w:rsidR="005845AA" w14:paraId="2AD2838F"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1CF61826"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8</w:t>
            </w:r>
          </w:p>
        </w:tc>
        <w:tc>
          <w:tcPr>
            <w:tcW w:w="1251" w:type="dxa"/>
            <w:vMerge/>
            <w:tcBorders>
              <w:left w:val="single" w:sz="4" w:space="0" w:color="auto"/>
              <w:right w:val="single" w:sz="4" w:space="0" w:color="auto"/>
            </w:tcBorders>
            <w:vAlign w:val="center"/>
          </w:tcPr>
          <w:p w14:paraId="280936FC"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048F1879"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慢性病多因素风险综合监测与评估应用支撑信息系统</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00AA92E8"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慢病多因素专题管理、慢病多因素抽样管理、慢病多因素调查管理、慢病多因素实验室管理、慢病多因素质控管理、慢病多因素日常管理、慢病多因素居民评估、慢病多因素个人评估、问卷设置、决策分析、肿瘤统计信息</w:t>
            </w:r>
          </w:p>
        </w:tc>
      </w:tr>
      <w:tr w:rsidR="005845AA" w14:paraId="48601F81"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690DBE0B"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9</w:t>
            </w:r>
          </w:p>
        </w:tc>
        <w:tc>
          <w:tcPr>
            <w:tcW w:w="1251" w:type="dxa"/>
            <w:vMerge/>
            <w:tcBorders>
              <w:left w:val="single" w:sz="4" w:space="0" w:color="auto"/>
              <w:right w:val="single" w:sz="4" w:space="0" w:color="auto"/>
            </w:tcBorders>
            <w:vAlign w:val="center"/>
          </w:tcPr>
          <w:p w14:paraId="4F40A112"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7D701570"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上海市公共卫生网络实验室病原体基因序列溯源决策系统信息化项目</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4FF36B17"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主要为市区各实验室的数据采集、数据预处理、数据存储和数据共享提供标准的统一管理。</w:t>
            </w:r>
          </w:p>
        </w:tc>
      </w:tr>
      <w:tr w:rsidR="005845AA" w14:paraId="6DC7E4E3"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2AA58303"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10</w:t>
            </w:r>
          </w:p>
        </w:tc>
        <w:tc>
          <w:tcPr>
            <w:tcW w:w="1251" w:type="dxa"/>
            <w:vMerge/>
            <w:tcBorders>
              <w:left w:val="single" w:sz="4" w:space="0" w:color="auto"/>
              <w:right w:val="single" w:sz="4" w:space="0" w:color="auto"/>
            </w:tcBorders>
            <w:vAlign w:val="center"/>
          </w:tcPr>
          <w:p w14:paraId="2A9FDA31"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518243F2"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公共卫生监督技术服务质控信息平台</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0D7572F5"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主要为在线备案登记、监督/社会委托项目、质控考核、信用评价、业务资讯、继续教育、统计分析等相关质控业务。</w:t>
            </w:r>
          </w:p>
        </w:tc>
      </w:tr>
      <w:tr w:rsidR="005845AA" w14:paraId="58C78B96"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28A4C809"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11</w:t>
            </w:r>
          </w:p>
        </w:tc>
        <w:tc>
          <w:tcPr>
            <w:tcW w:w="1251" w:type="dxa"/>
            <w:vMerge/>
            <w:tcBorders>
              <w:left w:val="single" w:sz="4" w:space="0" w:color="auto"/>
              <w:right w:val="single" w:sz="4" w:space="0" w:color="auto"/>
            </w:tcBorders>
            <w:vAlign w:val="center"/>
          </w:tcPr>
          <w:p w14:paraId="549AC694"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50C0F647"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上海市公共卫生医师规范化培训教学管理</w:t>
            </w:r>
            <w:r>
              <w:rPr>
                <w:rFonts w:ascii="宋体" w:hAnsi="宋体" w:cs="Arial" w:hint="eastAsia"/>
                <w:kern w:val="0"/>
                <w:sz w:val="20"/>
                <w:szCs w:val="20"/>
              </w:rPr>
              <w:lastRenderedPageBreak/>
              <w:t>平台</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15B4EBD2"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lastRenderedPageBreak/>
              <w:t>主要用于管理规培生教学活动</w:t>
            </w:r>
          </w:p>
        </w:tc>
      </w:tr>
      <w:tr w:rsidR="005845AA" w14:paraId="499F1C4D"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7A42F173"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12</w:t>
            </w:r>
          </w:p>
        </w:tc>
        <w:tc>
          <w:tcPr>
            <w:tcW w:w="1251" w:type="dxa"/>
            <w:vMerge/>
            <w:tcBorders>
              <w:left w:val="single" w:sz="4" w:space="0" w:color="auto"/>
              <w:right w:val="single" w:sz="4" w:space="0" w:color="auto"/>
            </w:tcBorders>
            <w:vAlign w:val="center"/>
          </w:tcPr>
          <w:p w14:paraId="7535C18F"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2A4F83A9"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上海市环境健康危害因素及事件智能化监测与预警技术平台</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000000"/>
              <w:right w:val="single" w:sz="4" w:space="0" w:color="auto"/>
            </w:tcBorders>
          </w:tcPr>
          <w:p w14:paraId="477AB5D9"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本项目以环境健康、职业安全、放射卫生与膳食健康监测技术为业务基础，建立以物联网、人工智能和大数据处理技术等现代信息技术为依托的环境健康危害因素及事件智能化监测与预警技术平台，实现对重点健康危害因素、场所和人员开展长期、持续、精确的公共卫生监测；与外部数据平台互联互通，构建以工业互联网为特征的监测体系，建立相关健康危害因素对人群健康影响的风险评估体系和预测预警技术，为政府采取有效干预措施、指导公众健康防护及提升突发公共卫生事件应急处置水平提供技术支撑。</w:t>
            </w:r>
          </w:p>
        </w:tc>
      </w:tr>
      <w:tr w:rsidR="005845AA" w14:paraId="59DCD473" w14:textId="77777777" w:rsidTr="00FC725F">
        <w:trPr>
          <w:trHeight w:val="270"/>
          <w:jc w:val="center"/>
        </w:trPr>
        <w:tc>
          <w:tcPr>
            <w:tcW w:w="0" w:type="auto"/>
            <w:tcBorders>
              <w:top w:val="nil"/>
              <w:left w:val="single" w:sz="4" w:space="0" w:color="auto"/>
              <w:bottom w:val="single" w:sz="4" w:space="0" w:color="000000"/>
              <w:right w:val="single" w:sz="4" w:space="0" w:color="auto"/>
            </w:tcBorders>
          </w:tcPr>
          <w:p w14:paraId="780D80F9"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13</w:t>
            </w:r>
          </w:p>
        </w:tc>
        <w:tc>
          <w:tcPr>
            <w:tcW w:w="1251" w:type="dxa"/>
            <w:vMerge/>
            <w:tcBorders>
              <w:left w:val="single" w:sz="4" w:space="0" w:color="auto"/>
              <w:right w:val="single" w:sz="4" w:space="0" w:color="auto"/>
            </w:tcBorders>
            <w:vAlign w:val="center"/>
          </w:tcPr>
          <w:p w14:paraId="3919C9D7"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000000"/>
              <w:right w:val="single" w:sz="4" w:space="0" w:color="auto"/>
            </w:tcBorders>
          </w:tcPr>
          <w:p w14:paraId="2D6120D6" w14:textId="77777777" w:rsidR="005845AA" w:rsidRDefault="00000000">
            <w:pPr>
              <w:widowControl/>
              <w:jc w:val="center"/>
              <w:rPr>
                <w:rFonts w:ascii="Arial" w:hAnsi="Arial" w:cs="Arial"/>
                <w:kern w:val="0"/>
                <w:sz w:val="20"/>
                <w:szCs w:val="20"/>
              </w:rPr>
            </w:pPr>
            <w:r>
              <w:rPr>
                <w:rFonts w:ascii="Arial" w:hAnsi="Arial" w:cs="Arial" w:hint="eastAsia"/>
                <w:kern w:val="0"/>
                <w:sz w:val="20"/>
                <w:szCs w:val="20"/>
              </w:rPr>
              <w:t>上海市疾病预防控制中心门户网站（</w:t>
            </w:r>
            <w:r>
              <w:rPr>
                <w:rFonts w:ascii="Arial" w:hAnsi="Arial" w:cs="Arial" w:hint="eastAsia"/>
                <w:kern w:val="0"/>
                <w:sz w:val="20"/>
                <w:szCs w:val="20"/>
              </w:rPr>
              <w:t>2026</w:t>
            </w:r>
            <w:r>
              <w:rPr>
                <w:rFonts w:ascii="Arial" w:hAnsi="Arial" w:cs="Arial" w:hint="eastAsia"/>
                <w:kern w:val="0"/>
                <w:sz w:val="20"/>
                <w:szCs w:val="20"/>
              </w:rPr>
              <w:t>年运维项目）</w:t>
            </w:r>
          </w:p>
        </w:tc>
        <w:tc>
          <w:tcPr>
            <w:tcW w:w="4586" w:type="dxa"/>
            <w:tcBorders>
              <w:top w:val="nil"/>
              <w:left w:val="single" w:sz="4" w:space="0" w:color="auto"/>
              <w:bottom w:val="single" w:sz="4" w:space="0" w:color="000000"/>
              <w:right w:val="single" w:sz="4" w:space="0" w:color="auto"/>
            </w:tcBorders>
          </w:tcPr>
          <w:p w14:paraId="02358285" w14:textId="77777777" w:rsidR="005845AA" w:rsidRDefault="00000000">
            <w:pPr>
              <w:widowControl/>
              <w:jc w:val="center"/>
              <w:rPr>
                <w:rFonts w:ascii="Arial" w:hAnsi="Arial" w:cs="Arial"/>
                <w:kern w:val="0"/>
                <w:sz w:val="20"/>
                <w:szCs w:val="20"/>
              </w:rPr>
            </w:pPr>
            <w:r>
              <w:rPr>
                <w:rFonts w:ascii="Arial" w:hAnsi="Arial" w:cs="Arial" w:hint="eastAsia"/>
                <w:kern w:val="0"/>
                <w:sz w:val="20"/>
                <w:szCs w:val="20"/>
              </w:rPr>
              <w:t>上海市疾病预防控制中心门户网站系统业务栏目包括：机构信息、疾病防控、科学研究、合作培训、党群工作和便民服务，用于上海市疾病预防控制中心对外信息展示。</w:t>
            </w:r>
          </w:p>
        </w:tc>
      </w:tr>
      <w:tr w:rsidR="005845AA" w14:paraId="6C95155B" w14:textId="77777777" w:rsidTr="00FC725F">
        <w:trPr>
          <w:trHeight w:val="270"/>
          <w:jc w:val="center"/>
        </w:trPr>
        <w:tc>
          <w:tcPr>
            <w:tcW w:w="0" w:type="auto"/>
            <w:tcBorders>
              <w:top w:val="nil"/>
              <w:left w:val="single" w:sz="4" w:space="0" w:color="auto"/>
              <w:bottom w:val="single" w:sz="4" w:space="0" w:color="auto"/>
              <w:right w:val="single" w:sz="4" w:space="0" w:color="auto"/>
            </w:tcBorders>
          </w:tcPr>
          <w:p w14:paraId="07CF1919" w14:textId="77777777" w:rsidR="005845AA" w:rsidRDefault="00000000">
            <w:pPr>
              <w:widowControl/>
              <w:jc w:val="left"/>
              <w:rPr>
                <w:rFonts w:ascii="宋体" w:hAnsi="宋体" w:cs="Arial" w:hint="eastAsia"/>
                <w:kern w:val="0"/>
                <w:sz w:val="20"/>
                <w:szCs w:val="20"/>
              </w:rPr>
            </w:pPr>
            <w:r>
              <w:rPr>
                <w:rFonts w:ascii="宋体" w:hAnsi="宋体" w:cs="Arial" w:hint="eastAsia"/>
                <w:kern w:val="0"/>
                <w:sz w:val="20"/>
                <w:szCs w:val="20"/>
              </w:rPr>
              <w:t>14</w:t>
            </w:r>
          </w:p>
        </w:tc>
        <w:tc>
          <w:tcPr>
            <w:tcW w:w="1251" w:type="dxa"/>
            <w:vMerge/>
            <w:tcBorders>
              <w:left w:val="single" w:sz="4" w:space="0" w:color="auto"/>
              <w:bottom w:val="single" w:sz="4" w:space="0" w:color="auto"/>
              <w:right w:val="single" w:sz="4" w:space="0" w:color="auto"/>
            </w:tcBorders>
            <w:vAlign w:val="center"/>
          </w:tcPr>
          <w:p w14:paraId="2F028BFB" w14:textId="77777777" w:rsidR="005845AA" w:rsidRDefault="005845AA">
            <w:pPr>
              <w:widowControl/>
              <w:jc w:val="left"/>
              <w:rPr>
                <w:rFonts w:ascii="宋体" w:hAnsi="宋体" w:cs="Arial" w:hint="eastAsia"/>
                <w:kern w:val="0"/>
                <w:sz w:val="20"/>
                <w:szCs w:val="20"/>
              </w:rPr>
            </w:pPr>
          </w:p>
        </w:tc>
        <w:tc>
          <w:tcPr>
            <w:tcW w:w="2127" w:type="dxa"/>
            <w:tcBorders>
              <w:top w:val="nil"/>
              <w:left w:val="single" w:sz="4" w:space="0" w:color="auto"/>
              <w:bottom w:val="single" w:sz="4" w:space="0" w:color="auto"/>
              <w:right w:val="single" w:sz="4" w:space="0" w:color="auto"/>
            </w:tcBorders>
          </w:tcPr>
          <w:p w14:paraId="0FC0E2FE" w14:textId="77777777" w:rsidR="005845AA" w:rsidRDefault="00000000">
            <w:pPr>
              <w:widowControl/>
              <w:jc w:val="center"/>
              <w:rPr>
                <w:rFonts w:ascii="Arial" w:hAnsi="Arial" w:cs="Arial"/>
                <w:kern w:val="0"/>
                <w:sz w:val="20"/>
                <w:szCs w:val="20"/>
              </w:rPr>
            </w:pPr>
            <w:r>
              <w:rPr>
                <w:rFonts w:ascii="宋体" w:hAnsi="宋体" w:cs="Arial" w:hint="eastAsia"/>
                <w:kern w:val="0"/>
                <w:sz w:val="20"/>
                <w:szCs w:val="20"/>
              </w:rPr>
              <w:t>上海市疾病报告和管理信息系统</w:t>
            </w:r>
            <w:r>
              <w:rPr>
                <w:rFonts w:ascii="Arial" w:hAnsi="Arial" w:cs="Arial"/>
                <w:kern w:val="0"/>
                <w:sz w:val="20"/>
                <w:szCs w:val="20"/>
              </w:rPr>
              <w:t>(</w:t>
            </w:r>
            <w:r>
              <w:rPr>
                <w:rFonts w:ascii="Arial" w:hAnsi="Arial" w:cs="Arial" w:hint="eastAsia"/>
                <w:kern w:val="0"/>
                <w:sz w:val="20"/>
                <w:szCs w:val="20"/>
              </w:rPr>
              <w:t>2026</w:t>
            </w:r>
            <w:r>
              <w:rPr>
                <w:rFonts w:ascii="Arial" w:hAnsi="Arial" w:cs="Arial" w:hint="eastAsia"/>
                <w:kern w:val="0"/>
                <w:sz w:val="20"/>
                <w:szCs w:val="20"/>
              </w:rPr>
              <w:t>年</w:t>
            </w:r>
            <w:r>
              <w:rPr>
                <w:rFonts w:ascii="宋体" w:hAnsi="宋体" w:cs="Arial" w:hint="eastAsia"/>
                <w:kern w:val="0"/>
                <w:sz w:val="20"/>
                <w:szCs w:val="20"/>
              </w:rPr>
              <w:t>运维项目</w:t>
            </w:r>
            <w:r>
              <w:rPr>
                <w:rFonts w:ascii="Arial" w:hAnsi="Arial" w:cs="Arial"/>
                <w:kern w:val="0"/>
                <w:sz w:val="20"/>
                <w:szCs w:val="20"/>
              </w:rPr>
              <w:t>)</w:t>
            </w:r>
          </w:p>
        </w:tc>
        <w:tc>
          <w:tcPr>
            <w:tcW w:w="4586" w:type="dxa"/>
            <w:tcBorders>
              <w:top w:val="nil"/>
              <w:left w:val="single" w:sz="4" w:space="0" w:color="auto"/>
              <w:bottom w:val="single" w:sz="4" w:space="0" w:color="auto"/>
              <w:right w:val="single" w:sz="4" w:space="0" w:color="auto"/>
            </w:tcBorders>
          </w:tcPr>
          <w:p w14:paraId="75D0F6B3" w14:textId="77777777" w:rsidR="005845AA" w:rsidRDefault="00000000">
            <w:pPr>
              <w:widowControl/>
              <w:jc w:val="center"/>
              <w:rPr>
                <w:rFonts w:ascii="宋体" w:hAnsi="宋体" w:cs="Arial" w:hint="eastAsia"/>
                <w:kern w:val="0"/>
                <w:sz w:val="20"/>
                <w:szCs w:val="20"/>
              </w:rPr>
            </w:pPr>
            <w:r>
              <w:rPr>
                <w:rFonts w:ascii="宋体" w:hAnsi="宋体" w:cs="Arial" w:hint="eastAsia"/>
                <w:kern w:val="0"/>
                <w:sz w:val="20"/>
                <w:szCs w:val="20"/>
              </w:rPr>
              <w:t>该信息系统对本市疾病预防控制系统涉及的各类疾病报告信息数据提供采集、存储、处理、数据共享交互以及业务应用管理等功能，涉及疾病监测与管理、健康相关因素追踪与控制、公共卫生服务等。主要包括上海市疫苗综合管理和预防接种服务信息系统、基于医院电子病历直推的传染病疫情报告与管理信息系统：传染病疫情报告与管理、上海市疾病预防控制业务综合管理系统、上海市放射卫生综合监测管理信息系统、上海市职业卫生管理平台、上海市食品安全风险监测评估系统等</w:t>
            </w:r>
          </w:p>
        </w:tc>
      </w:tr>
    </w:tbl>
    <w:p w14:paraId="2E61264A"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2、测评内容将主要包括对安全物理环境、安全通信网络、安全区域边界、安全计算环境、安全管理中心、安全管理制度、安全管理机构、安全管理人员、安全建设管理及安全运维管理的测试与评估。</w:t>
      </w:r>
    </w:p>
    <w:p w14:paraId="6006C3D1"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（1）安全物理环境</w:t>
      </w:r>
    </w:p>
    <w:p w14:paraId="7E930815"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lastRenderedPageBreak/>
        <w:t>安全物理环境评估将通过访谈、文档审查和实地察看的方式评估信息系统的安全物理环境保障情况。主要涉及机房。</w:t>
      </w:r>
    </w:p>
    <w:p w14:paraId="69AA01B1"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（2）安全通信网络</w:t>
      </w:r>
    </w:p>
    <w:p w14:paraId="3A0FCB14"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安全通信网络评估将通过访谈、检查和测试的方式评估信息系统的安全通信网络保障情况。主要涉及对象为：主要涉及网络互联设备与安全设备。</w:t>
      </w:r>
    </w:p>
    <w:p w14:paraId="0AEE87B3"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（3）安全区域边界</w:t>
      </w:r>
    </w:p>
    <w:p w14:paraId="7BD891CD"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安全区域边界评估将通过访谈、检查和测试的方式评估信息系统的安全区域边界安全保障情况。主要涉及对象为：主要涉及网络互联设备与安全设备。</w:t>
      </w:r>
    </w:p>
    <w:p w14:paraId="3E5E5305"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（4）安全计算环境</w:t>
      </w:r>
    </w:p>
    <w:p w14:paraId="43A3AFDF"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安全计算环境评估将通过访谈、检查和测试的方式评估信息系统的主机和应用安全保障情况。主要涉及主机（存储操作系统）和数据库管理系统、应用系统。</w:t>
      </w:r>
    </w:p>
    <w:p w14:paraId="799EDBAB"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（5）安全管理中心</w:t>
      </w:r>
    </w:p>
    <w:p w14:paraId="5E5E3145"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安全管理中心评估将通过访谈、检查和测试的方式评估信息系统的各类安全管理情况。主要涉及对象为：应用系统鉴别数据、业务数据等系统关键数据。</w:t>
      </w:r>
    </w:p>
    <w:p w14:paraId="5E951189"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（6）安全管理制度</w:t>
      </w:r>
    </w:p>
    <w:p w14:paraId="17CE9D13"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安全管理制度评估将通过访谈和检查的方式评估信息系统的安全管理制度建立情况。主要涉及对象为：信息安全管理体系、日常安全管理制度、重要操作规程及相关执行记录等。</w:t>
      </w:r>
    </w:p>
    <w:p w14:paraId="6C6C8F62"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（7）安全管理机构</w:t>
      </w:r>
    </w:p>
    <w:p w14:paraId="1BC58642"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安全管理机构评估将通过访谈和检查的方式评估信息系统的安全管理机构建立情况。主要涉及对象为：安全管理机构设立文档、信息安全小组名单、岗位说明书、等文档及执行记录。</w:t>
      </w:r>
    </w:p>
    <w:p w14:paraId="03BC5BEF"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lastRenderedPageBreak/>
        <w:t>（8）安全管理人员</w:t>
      </w:r>
    </w:p>
    <w:p w14:paraId="6C1F9E03"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安全管理人员评估将通过访谈和检查的方式评估信息系统的安全管理人员方面情况。主要涉及对象为：人事管理制度、外部人员访问要求等安全管理制度及执行记录。</w:t>
      </w:r>
    </w:p>
    <w:p w14:paraId="13FDD027"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（9）安全建设管理</w:t>
      </w:r>
    </w:p>
    <w:p w14:paraId="0B2733C6"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建设管理评估将通过访谈和检查的方式评估信息系统的安全建设管理方面情况。主要涉及对象为：系统建设过程中涉及的相关文档，如：系统定级报告、安全设计方案、测试验收报告等文档及软件开发、工程实施等方面的安全管理制度及执行记录。</w:t>
      </w:r>
    </w:p>
    <w:p w14:paraId="79F9F0F8"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（10）安全运维管理</w:t>
      </w:r>
    </w:p>
    <w:p w14:paraId="049E4339"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安全运维管理评估将通过访谈和检查的方式评估信息系统的安全运维管理方面情况。主要涉及对象为：系统运维过程中涉及的安全管理制度及执行记录。</w:t>
      </w:r>
    </w:p>
    <w:p w14:paraId="46858F30" w14:textId="7B9495BB"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其中应用系统部署于市大数据中心政务云、</w:t>
      </w:r>
      <w:r w:rsidR="00181082">
        <w:rPr>
          <w:rFonts w:ascii="仿宋_GB2312" w:eastAsia="仿宋_GB2312" w:hAnsi="宋体" w:cs="Times New Roman" w:hint="eastAsia"/>
          <w:b w:val="0"/>
          <w:spacing w:val="0"/>
        </w:rPr>
        <w:t>XinChuang</w:t>
      </w:r>
      <w:r>
        <w:rPr>
          <w:rFonts w:ascii="仿宋_GB2312" w:eastAsia="仿宋_GB2312" w:hAnsi="宋体" w:cs="Times New Roman" w:hint="eastAsia"/>
          <w:b w:val="0"/>
          <w:spacing w:val="0"/>
        </w:rPr>
        <w:t>云以及中心机房。需对中心新址机房及相关基础设施系统同步进行测评。</w:t>
      </w:r>
    </w:p>
    <w:p w14:paraId="0CD30818"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3、支持疾控信息系统备案定级工作。</w:t>
      </w:r>
    </w:p>
    <w:p w14:paraId="16EA4A87"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4、对重要系统进行不少于一次的渗透测试相关服务。</w:t>
      </w:r>
    </w:p>
    <w:p w14:paraId="3539CD4C"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5、根据信息技术应用创新相关工作文件要求对市疾控已完成改造的系统操作系统、中间件、数据库进行核查。</w:t>
      </w:r>
    </w:p>
    <w:p w14:paraId="0585B58E"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（二）</w:t>
      </w:r>
      <w:r>
        <w:rPr>
          <w:rFonts w:ascii="仿宋_GB2312" w:eastAsia="仿宋_GB2312" w:hAnsi="宋体" w:cs="Times New Roman" w:hint="eastAsia"/>
          <w:b w:val="0"/>
          <w:spacing w:val="0"/>
        </w:rPr>
        <w:tab/>
        <w:t>服务要求和交付</w:t>
      </w:r>
    </w:p>
    <w:p w14:paraId="7592AD00"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1、深刻理解本项目实施的背景，了解原项目备案情况，同时密切结合该项目的实际情况，开展行业及业务背景情况调研，提交测评实施方案和计划，在以便充分保障本项目按期完成；</w:t>
      </w:r>
    </w:p>
    <w:p w14:paraId="1703BD7B"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lastRenderedPageBreak/>
        <w:t>2、</w:t>
      </w:r>
      <w:r>
        <w:rPr>
          <w:rFonts w:ascii="仿宋_GB2312" w:eastAsia="仿宋_GB2312" w:hAnsi="宋体" w:cs="Times New Roman" w:hint="eastAsia"/>
          <w:b w:val="0"/>
          <w:spacing w:val="0"/>
        </w:rPr>
        <w:tab/>
        <w:t>供应商不得将该测评项目进行分包或转包，应根据被测项目的测评需求与规模，安排适当的人员形成测评团队，并制定出相应的测评工作计划表，建立并明确相应工作管理、奖惩机制和人员职责。</w:t>
      </w:r>
    </w:p>
    <w:p w14:paraId="0588E17E"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3、</w:t>
      </w:r>
      <w:r>
        <w:rPr>
          <w:rFonts w:ascii="仿宋_GB2312" w:eastAsia="仿宋_GB2312" w:hAnsi="宋体" w:cs="Times New Roman" w:hint="eastAsia"/>
          <w:b w:val="0"/>
          <w:spacing w:val="0"/>
        </w:rPr>
        <w:tab/>
        <w:t>供应商配备必要的车辆、办公设备相应的仪器设备、工具。此项配置费用包括在此总费用内，采购人不再另行付费或提供任何形式的保障。</w:t>
      </w:r>
    </w:p>
    <w:p w14:paraId="6F3F4F06"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4、</w:t>
      </w:r>
      <w:r>
        <w:rPr>
          <w:rFonts w:ascii="仿宋_GB2312" w:eastAsia="仿宋_GB2312" w:hAnsi="宋体" w:cs="Times New Roman" w:hint="eastAsia"/>
          <w:b w:val="0"/>
          <w:spacing w:val="0"/>
        </w:rPr>
        <w:tab/>
        <w:t>供应商应有详细质量保证措施，质量保证措施涉及测评方法的确认、测评方案的有效性、测评工作的规范化、测评人员的能力确认、测评设备的有效运行、测评过程记录的完备准备、测评结果和报告的规范化等环节。</w:t>
      </w:r>
    </w:p>
    <w:p w14:paraId="6AC7987B"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5、</w:t>
      </w:r>
      <w:r>
        <w:rPr>
          <w:rFonts w:ascii="仿宋_GB2312" w:eastAsia="仿宋_GB2312" w:hAnsi="宋体" w:cs="Times New Roman" w:hint="eastAsia"/>
          <w:b w:val="0"/>
          <w:spacing w:val="0"/>
        </w:rPr>
        <w:tab/>
        <w:t>项目测评工作中，提供测评中产生问题汇总表、整改意见表等过程文件，以便配合采购方进行问题整改，在采购方完成整改后安排进行复核测评。</w:t>
      </w:r>
    </w:p>
    <w:p w14:paraId="063197E7"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1)</w:t>
      </w:r>
      <w:r>
        <w:rPr>
          <w:rFonts w:ascii="仿宋_GB2312" w:eastAsia="仿宋_GB2312" w:hAnsi="宋体" w:cs="Times New Roman" w:hint="eastAsia"/>
          <w:b w:val="0"/>
          <w:spacing w:val="0"/>
        </w:rPr>
        <w:tab/>
        <w:t>现场测评前，提交安全等级测评工作计划及测评方案。</w:t>
      </w:r>
    </w:p>
    <w:p w14:paraId="379D3E14"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2)</w:t>
      </w:r>
      <w:r>
        <w:rPr>
          <w:rFonts w:ascii="仿宋_GB2312" w:eastAsia="仿宋_GB2312" w:hAnsi="宋体" w:cs="Times New Roman" w:hint="eastAsia"/>
          <w:b w:val="0"/>
          <w:spacing w:val="0"/>
        </w:rPr>
        <w:tab/>
        <w:t>在安全测评工作中发现安全风险问题汇总后及时反馈用户单位，同时督促其实施问题整改。</w:t>
      </w:r>
    </w:p>
    <w:p w14:paraId="266351D8"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3)</w:t>
      </w:r>
      <w:r>
        <w:rPr>
          <w:rFonts w:ascii="仿宋_GB2312" w:eastAsia="仿宋_GB2312" w:hAnsi="宋体" w:cs="Times New Roman" w:hint="eastAsia"/>
          <w:b w:val="0"/>
          <w:spacing w:val="0"/>
        </w:rPr>
        <w:tab/>
        <w:t>待完成整改后，须对整改情况进行复核，以保证其系统的安全性方面满足等级保护标准的要求。</w:t>
      </w:r>
    </w:p>
    <w:p w14:paraId="4B47975F"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4)</w:t>
      </w:r>
      <w:r>
        <w:rPr>
          <w:rFonts w:ascii="仿宋_GB2312" w:eastAsia="仿宋_GB2312" w:hAnsi="宋体" w:cs="Times New Roman" w:hint="eastAsia"/>
          <w:b w:val="0"/>
          <w:spacing w:val="0"/>
        </w:rPr>
        <w:tab/>
        <w:t>全部测评工作完成后，须分别出具《安全等级测评报告》。</w:t>
      </w:r>
    </w:p>
    <w:p w14:paraId="1486F16E"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6、合同签订后5个工作日内可安排人员到场。在现场测评初测工作结束后，5个工作日内进行安全问题汇总。被测系统通过测评后的两周内出具符合《网络安全等级保护测评报告》电子版，2026年10月30日前出具纸质报告。</w:t>
      </w:r>
    </w:p>
    <w:p w14:paraId="17E8BB3E"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（三）人员要求</w:t>
      </w:r>
    </w:p>
    <w:p w14:paraId="5663E86D"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1、投标人应充分理解本项目的技术及实施复杂度，组建技术服务团队，参与本项目的各类人员应具备相应的技术能力，且为投标单位在职员工，不得使用</w:t>
      </w:r>
      <w:r>
        <w:rPr>
          <w:rFonts w:ascii="仿宋_GB2312" w:eastAsia="仿宋_GB2312" w:hAnsi="宋体" w:cs="Times New Roman" w:hint="eastAsia"/>
          <w:b w:val="0"/>
          <w:spacing w:val="0"/>
        </w:rPr>
        <w:lastRenderedPageBreak/>
        <w:t>外协外聘、实习见习人员。需签订保密协议。在服务期内，投标人不得随意更换项目组技术人员，若因特殊情况需要更换服务人员时，需经招标人同意后，方可更换技术能力、资格条件相同或更高的技术人员。</w:t>
      </w:r>
    </w:p>
    <w:p w14:paraId="51D8928F"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2、本项目应指定项目组进场实施，不少于10人（含项目经理）。项目经理不少于一名，渗透测试工程师不少于2名。项目相关人员满足下列条件优先考虑：</w:t>
      </w:r>
    </w:p>
    <w:p w14:paraId="2B035795" w14:textId="3A43AD8B" w:rsidR="00FC725F" w:rsidRDefault="00000000">
      <w:pPr>
        <w:pStyle w:val="1"/>
        <w:tabs>
          <w:tab w:val="left" w:pos="612"/>
        </w:tabs>
        <w:spacing w:beforeLines="50" w:before="156" w:line="540" w:lineRule="exact"/>
        <w:ind w:left="0" w:firstLineChars="200" w:firstLine="482"/>
        <w:outlineLvl w:val="9"/>
        <w:rPr>
          <w:rFonts w:ascii="仿宋_GB2312" w:eastAsia="仿宋_GB2312" w:hAnsi="宋体" w:cs="Times New Roman" w:hint="eastAsia"/>
          <w:b w:val="0"/>
          <w:spacing w:val="0"/>
        </w:rPr>
      </w:pPr>
      <w:r w:rsidRPr="00FC725F">
        <w:rPr>
          <w:rFonts w:ascii="仿宋_GB2312" w:eastAsia="仿宋_GB2312" w:hAnsi="宋体" w:cs="Times New Roman" w:hint="eastAsia"/>
          <w:bCs/>
          <w:spacing w:val="0"/>
        </w:rPr>
        <w:t>项目经理：</w:t>
      </w:r>
      <w:bookmarkStart w:id="0" w:name="OLE_LINK1"/>
      <w:r w:rsidR="00FC725F" w:rsidRPr="00FC725F">
        <w:rPr>
          <w:rFonts w:ascii="仿宋_GB2312" w:eastAsia="仿宋_GB2312" w:hAnsi="宋体" w:cs="Times New Roman"/>
          <w:b w:val="0"/>
          <w:spacing w:val="0"/>
        </w:rPr>
        <w:t>具有网络安全等级测评师（高级）资质证书及高级工程师职称，具备中国信息安全测评中心颁发的注册信息安全人员证书</w:t>
      </w:r>
      <w:r w:rsidR="00FC725F">
        <w:rPr>
          <w:rFonts w:ascii="仿宋_GB2312" w:eastAsia="仿宋_GB2312" w:hAnsi="宋体" w:cs="Times New Roman" w:hint="eastAsia"/>
          <w:b w:val="0"/>
          <w:spacing w:val="0"/>
        </w:rPr>
        <w:t>。</w:t>
      </w:r>
    </w:p>
    <w:p w14:paraId="7C7B668A" w14:textId="62567CEC"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有10年以上相关从业经验</w:t>
      </w:r>
      <w:bookmarkEnd w:id="0"/>
      <w:r>
        <w:rPr>
          <w:rFonts w:ascii="仿宋_GB2312" w:eastAsia="仿宋_GB2312" w:hAnsi="宋体" w:cs="Times New Roman" w:hint="eastAsia"/>
          <w:b w:val="0"/>
          <w:spacing w:val="0"/>
        </w:rPr>
        <w:t>，熟悉信息安全相关法规、医疗卫生行业信息安全相关制度，</w:t>
      </w:r>
      <w:bookmarkStart w:id="1" w:name="OLE_LINK2"/>
      <w:r>
        <w:rPr>
          <w:rFonts w:ascii="仿宋_GB2312" w:eastAsia="仿宋_GB2312" w:hAnsi="宋体" w:cs="Times New Roman" w:hint="eastAsia"/>
          <w:b w:val="0"/>
          <w:spacing w:val="0"/>
        </w:rPr>
        <w:t>具备网络安全等级测评师（高级）资质证书和高级工程师职称</w:t>
      </w:r>
      <w:bookmarkEnd w:id="1"/>
      <w:r>
        <w:rPr>
          <w:rFonts w:ascii="仿宋_GB2312" w:eastAsia="仿宋_GB2312" w:hAnsi="宋体" w:cs="Times New Roman" w:hint="eastAsia"/>
          <w:b w:val="0"/>
          <w:spacing w:val="0"/>
        </w:rPr>
        <w:t>，负责项目整体项目实施及进度把控。负责具体测评活动实施。负责项目全面管理，包括制定计划并监督计划执行情况、控制项目进度、监督测评过程、评审阶段性成果及协调解决疑难问题、报告审核等。</w:t>
      </w:r>
    </w:p>
    <w:p w14:paraId="2519C03C" w14:textId="00A621BA" w:rsidR="005845AA" w:rsidRDefault="00000000">
      <w:pPr>
        <w:pStyle w:val="1"/>
        <w:tabs>
          <w:tab w:val="left" w:pos="612"/>
        </w:tabs>
        <w:spacing w:beforeLines="50" w:before="156" w:line="540" w:lineRule="exact"/>
        <w:ind w:left="0" w:firstLineChars="200" w:firstLine="482"/>
        <w:outlineLvl w:val="9"/>
        <w:rPr>
          <w:rFonts w:ascii="仿宋_GB2312" w:eastAsia="仿宋_GB2312" w:hAnsi="宋体" w:cs="Times New Roman" w:hint="eastAsia"/>
          <w:b w:val="0"/>
          <w:spacing w:val="0"/>
        </w:rPr>
      </w:pPr>
      <w:r w:rsidRPr="00FC725F">
        <w:rPr>
          <w:rFonts w:ascii="仿宋_GB2312" w:eastAsia="仿宋_GB2312" w:hAnsi="宋体" w:cs="Times New Roman" w:hint="eastAsia"/>
          <w:bCs/>
          <w:spacing w:val="0"/>
        </w:rPr>
        <w:t>测试工程师：</w:t>
      </w:r>
      <w:r>
        <w:rPr>
          <w:rFonts w:ascii="仿宋_GB2312" w:eastAsia="仿宋_GB2312" w:hAnsi="宋体" w:cs="Times New Roman" w:hint="eastAsia"/>
          <w:b w:val="0"/>
          <w:spacing w:val="0"/>
        </w:rPr>
        <w:t>熟悉信息安全相关法规、医疗卫生行业信息安全相关制度，具备网络安全等级测评师资质证书（中级）、中级或以上工程师资质，能够提供信息安全技术服务的能力。负责测评系统的安全物理环境、安全通信网络、安全区域边界、安全计算环境、安全管理中心等方面的测评工作，包括实施安全功能验证、安全配置检查测评，完成安全测评报告中的技术部分内容。其中渗透测试工程师需具备</w:t>
      </w:r>
      <w:r w:rsidR="002D52CA">
        <w:rPr>
          <w:rFonts w:ascii="仿宋_GB2312" w:eastAsia="仿宋_GB2312" w:hAnsi="宋体" w:cs="Times New Roman" w:hint="eastAsia"/>
          <w:b w:val="0"/>
          <w:spacing w:val="0"/>
        </w:rPr>
        <w:t>注册信息安全专业人员（CISP）证书</w:t>
      </w:r>
      <w:r w:rsidR="002D52CA" w:rsidRPr="002D52CA">
        <w:rPr>
          <w:rFonts w:ascii="仿宋_GB2312" w:eastAsia="仿宋_GB2312" w:hAnsi="宋体" w:cs="Times New Roman"/>
          <w:b w:val="0"/>
          <w:spacing w:val="0"/>
        </w:rPr>
        <w:t>及网络安全等级测评师资质证书</w:t>
      </w:r>
      <w:r>
        <w:rPr>
          <w:rFonts w:ascii="仿宋_GB2312" w:eastAsia="仿宋_GB2312" w:hAnsi="宋体" w:cs="Times New Roman" w:hint="eastAsia"/>
          <w:b w:val="0"/>
          <w:spacing w:val="0"/>
        </w:rPr>
        <w:t>优先。</w:t>
      </w:r>
    </w:p>
    <w:p w14:paraId="67F07A43" w14:textId="77777777"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（四）供应商能力要求</w:t>
      </w:r>
    </w:p>
    <w:p w14:paraId="0F8F4C96" w14:textId="56C858C6" w:rsidR="005845AA" w:rsidRDefault="00000000">
      <w:pPr>
        <w:pStyle w:val="1"/>
        <w:tabs>
          <w:tab w:val="left" w:pos="612"/>
        </w:tabs>
        <w:spacing w:beforeLines="50" w:before="156" w:line="540" w:lineRule="exact"/>
        <w:ind w:left="0" w:firstLineChars="200" w:firstLine="480"/>
        <w:outlineLvl w:val="9"/>
        <w:rPr>
          <w:rFonts w:ascii="仿宋_GB2312" w:eastAsia="仿宋_GB2312" w:hAnsi="宋体" w:cs="Times New Roman" w:hint="eastAsia"/>
          <w:b w:val="0"/>
          <w:spacing w:val="0"/>
        </w:rPr>
      </w:pPr>
      <w:r>
        <w:rPr>
          <w:rFonts w:ascii="仿宋_GB2312" w:eastAsia="仿宋_GB2312" w:hAnsi="宋体" w:cs="Times New Roman" w:hint="eastAsia"/>
          <w:b w:val="0"/>
          <w:spacing w:val="0"/>
        </w:rPr>
        <w:t>供应商具有CCRC信息安全服务资质认证证书（风险评估服务资质认证）</w:t>
      </w:r>
      <w:r w:rsidR="00FC725F">
        <w:rPr>
          <w:rFonts w:ascii="仿宋_GB2312" w:eastAsia="仿宋_GB2312" w:hAnsi="宋体" w:cs="Times New Roman" w:hint="eastAsia"/>
          <w:b w:val="0"/>
          <w:spacing w:val="0"/>
        </w:rPr>
        <w:t>，且具有</w:t>
      </w:r>
      <w:r w:rsidR="00FC725F" w:rsidRPr="00FC725F">
        <w:rPr>
          <w:rFonts w:ascii="仿宋_GB2312" w:eastAsia="仿宋_GB2312" w:hAnsi="宋体" w:cs="Times New Roman"/>
          <w:b w:val="0"/>
          <w:spacing w:val="0"/>
        </w:rPr>
        <w:t>网络安全测评有关的检测工具</w:t>
      </w:r>
      <w:r w:rsidR="00FC725F">
        <w:rPr>
          <w:rFonts w:ascii="仿宋_GB2312" w:eastAsia="仿宋_GB2312" w:hAnsi="宋体" w:cs="Times New Roman" w:hint="eastAsia"/>
          <w:b w:val="0"/>
          <w:spacing w:val="0"/>
        </w:rPr>
        <w:t>的软件著作权或专利/专有技术证明材料的</w:t>
      </w:r>
      <w:r>
        <w:rPr>
          <w:rFonts w:ascii="仿宋_GB2312" w:eastAsia="仿宋_GB2312" w:hAnsi="宋体" w:cs="Times New Roman" w:hint="eastAsia"/>
          <w:b w:val="0"/>
          <w:spacing w:val="0"/>
        </w:rPr>
        <w:t>优先考虑。</w:t>
      </w:r>
    </w:p>
    <w:p w14:paraId="0779CDB8" w14:textId="77777777" w:rsidR="005845AA" w:rsidRDefault="00000000">
      <w:pPr>
        <w:pStyle w:val="aa"/>
        <w:spacing w:line="540" w:lineRule="exact"/>
        <w:ind w:firstLine="640"/>
        <w:rPr>
          <w:rFonts w:ascii="黑体" w:eastAsia="黑体" w:hAnsi="黑体" w:hint="eastAsia"/>
          <w:sz w:val="32"/>
          <w:szCs w:val="32"/>
        </w:rPr>
      </w:pPr>
      <w:r>
        <w:rPr>
          <w:rFonts w:ascii="黑体" w:eastAsia="黑体" w:hAnsi="黑体" w:hint="eastAsia"/>
          <w:sz w:val="32"/>
          <w:szCs w:val="32"/>
        </w:rPr>
        <w:lastRenderedPageBreak/>
        <w:t>四</w:t>
      </w:r>
      <w:r>
        <w:rPr>
          <w:rFonts w:ascii="黑体" w:eastAsia="黑体" w:hAnsi="黑体"/>
          <w:sz w:val="32"/>
          <w:szCs w:val="32"/>
        </w:rPr>
        <w:t>、售后服务</w:t>
      </w:r>
    </w:p>
    <w:p w14:paraId="66D5BA4C" w14:textId="77777777" w:rsidR="005845AA" w:rsidRDefault="00000000">
      <w:pPr>
        <w:snapToGrid w:val="0"/>
        <w:spacing w:line="540" w:lineRule="exact"/>
        <w:ind w:firstLineChars="135" w:firstLine="324"/>
        <w:rPr>
          <w:rFonts w:ascii="仿宋_GB2312" w:eastAsia="仿宋_GB2312" w:hAnsi="宋体" w:hint="eastAsia"/>
          <w:sz w:val="24"/>
        </w:rPr>
      </w:pPr>
      <w:r>
        <w:rPr>
          <w:rFonts w:ascii="仿宋_GB2312" w:eastAsia="仿宋_GB2312" w:hAnsi="宋体" w:hint="eastAsia"/>
          <w:sz w:val="24"/>
        </w:rPr>
        <w:t>1、测评整改技术支持服务</w:t>
      </w:r>
    </w:p>
    <w:p w14:paraId="3058E721" w14:textId="77777777" w:rsidR="005845AA" w:rsidRDefault="00000000">
      <w:pPr>
        <w:snapToGrid w:val="0"/>
        <w:spacing w:line="540" w:lineRule="exact"/>
        <w:ind w:firstLineChars="135" w:firstLine="324"/>
        <w:rPr>
          <w:rFonts w:ascii="仿宋_GB2312" w:eastAsia="仿宋_GB2312" w:hAnsi="宋体" w:hint="eastAsia"/>
          <w:sz w:val="24"/>
        </w:rPr>
      </w:pPr>
      <w:r>
        <w:rPr>
          <w:rFonts w:ascii="仿宋_GB2312" w:eastAsia="仿宋_GB2312" w:hAnsi="宋体" w:hint="eastAsia"/>
          <w:sz w:val="24"/>
        </w:rPr>
        <w:t>整改方案定制：根据测评发现的问题（如网络架构缺陷、权限管理混乱、日志审计缺失等），结合客户业务系统实际情况，输出可落地的整改实施方案，明确整改步骤、技术选型、成本预估和时间节点。</w:t>
      </w:r>
    </w:p>
    <w:p w14:paraId="5DA79795" w14:textId="77777777" w:rsidR="005845AA" w:rsidRDefault="00000000">
      <w:pPr>
        <w:snapToGrid w:val="0"/>
        <w:spacing w:line="540" w:lineRule="exact"/>
        <w:ind w:firstLineChars="135" w:firstLine="324"/>
        <w:rPr>
          <w:rFonts w:ascii="仿宋_GB2312" w:eastAsia="仿宋_GB2312" w:hAnsi="宋体" w:hint="eastAsia"/>
          <w:sz w:val="24"/>
        </w:rPr>
      </w:pPr>
      <w:r>
        <w:rPr>
          <w:rFonts w:ascii="仿宋_GB2312" w:eastAsia="仿宋_GB2312" w:hAnsi="宋体" w:hint="eastAsia"/>
          <w:sz w:val="24"/>
        </w:rPr>
        <w:t>整改过程技术指导：针对整改中的技术难点（如等保 2.0 要求的入侵防御部署、数据备份与恢复机制搭建、等级保护标识配置等），提供远程或现场技术咨询，协助采购人解决设备配置、策略优化、工具部署等问题。</w:t>
      </w:r>
    </w:p>
    <w:p w14:paraId="016F0A9F" w14:textId="77777777" w:rsidR="005845AA" w:rsidRDefault="00000000">
      <w:pPr>
        <w:snapToGrid w:val="0"/>
        <w:spacing w:line="540" w:lineRule="exact"/>
        <w:ind w:firstLineChars="135" w:firstLine="324"/>
        <w:rPr>
          <w:rFonts w:ascii="仿宋_GB2312" w:eastAsia="仿宋_GB2312" w:hAnsi="宋体" w:hint="eastAsia"/>
          <w:sz w:val="24"/>
        </w:rPr>
      </w:pPr>
      <w:r>
        <w:rPr>
          <w:rFonts w:ascii="仿宋_GB2312" w:eastAsia="仿宋_GB2312" w:hAnsi="宋体" w:hint="eastAsia"/>
          <w:sz w:val="24"/>
        </w:rPr>
        <w:t>整改效果验证：整改完成后，提供复测服务，验证不合规项是否整改到位，确保满足对应等级的等保要求。</w:t>
      </w:r>
    </w:p>
    <w:p w14:paraId="1BF720EC" w14:textId="77777777" w:rsidR="005845AA" w:rsidRDefault="00000000">
      <w:pPr>
        <w:snapToGrid w:val="0"/>
        <w:spacing w:line="540" w:lineRule="exact"/>
        <w:ind w:firstLineChars="135" w:firstLine="324"/>
        <w:rPr>
          <w:rFonts w:ascii="仿宋_GB2312" w:eastAsia="仿宋_GB2312" w:hAnsi="宋体" w:hint="eastAsia"/>
          <w:sz w:val="24"/>
        </w:rPr>
      </w:pPr>
      <w:r>
        <w:rPr>
          <w:rFonts w:ascii="仿宋_GB2312" w:eastAsia="仿宋_GB2312" w:hAnsi="宋体" w:hint="eastAsia"/>
          <w:sz w:val="24"/>
        </w:rPr>
        <w:t>2、等保合规持续咨询服务</w:t>
      </w:r>
    </w:p>
    <w:p w14:paraId="72B6C930" w14:textId="77777777" w:rsidR="005845AA" w:rsidRDefault="00000000">
      <w:pPr>
        <w:snapToGrid w:val="0"/>
        <w:spacing w:line="540" w:lineRule="exact"/>
        <w:ind w:firstLineChars="135" w:firstLine="324"/>
        <w:rPr>
          <w:rFonts w:ascii="仿宋_GB2312" w:eastAsia="仿宋_GB2312" w:hAnsi="宋体" w:hint="eastAsia"/>
          <w:sz w:val="24"/>
        </w:rPr>
      </w:pPr>
      <w:r>
        <w:rPr>
          <w:rFonts w:ascii="仿宋_GB2312" w:eastAsia="仿宋_GB2312" w:hAnsi="宋体"/>
          <w:sz w:val="24"/>
        </w:rPr>
        <w:t>合规政策解读与更新：及时向客户同步国家、行业等保相关政策文件（如《网络安全等级保护条例》《关键信息基础设施安全保护条例》）的修订内容，解读新规对系统的影响，提供应对建议。</w:t>
      </w:r>
    </w:p>
    <w:p w14:paraId="69511867" w14:textId="77777777" w:rsidR="005845AA" w:rsidRDefault="00000000">
      <w:pPr>
        <w:snapToGrid w:val="0"/>
        <w:spacing w:line="540" w:lineRule="exact"/>
        <w:ind w:firstLineChars="135" w:firstLine="324"/>
        <w:rPr>
          <w:rFonts w:ascii="仿宋_GB2312" w:eastAsia="仿宋_GB2312" w:hAnsi="宋体" w:hint="eastAsia"/>
          <w:sz w:val="24"/>
        </w:rPr>
      </w:pPr>
      <w:r>
        <w:rPr>
          <w:rFonts w:ascii="仿宋_GB2312" w:eastAsia="仿宋_GB2312" w:hAnsi="宋体"/>
          <w:sz w:val="24"/>
        </w:rPr>
        <w:t>年度合规规划指导：协助</w:t>
      </w:r>
      <w:r>
        <w:rPr>
          <w:rFonts w:ascii="仿宋_GB2312" w:eastAsia="仿宋_GB2312" w:hAnsi="宋体" w:hint="eastAsia"/>
          <w:sz w:val="24"/>
        </w:rPr>
        <w:t>采购人</w:t>
      </w:r>
      <w:r>
        <w:rPr>
          <w:rFonts w:ascii="仿宋_GB2312" w:eastAsia="仿宋_GB2312" w:hAnsi="宋体"/>
          <w:sz w:val="24"/>
        </w:rPr>
        <w:t>制定年度等保合规工作计划。</w:t>
      </w:r>
    </w:p>
    <w:p w14:paraId="67222778" w14:textId="77777777" w:rsidR="005845AA" w:rsidRDefault="00000000">
      <w:pPr>
        <w:spacing w:line="540" w:lineRule="exact"/>
        <w:rPr>
          <w:rFonts w:ascii="仿宋_GB2312" w:eastAsia="仿宋_GB2312" w:hAnsi="宋体" w:hint="eastAsia"/>
          <w:sz w:val="24"/>
        </w:rPr>
      </w:pPr>
      <w:r>
        <w:rPr>
          <w:rFonts w:ascii="仿宋_GB2312" w:eastAsia="仿宋_GB2312" w:hAnsi="宋体"/>
          <w:sz w:val="24"/>
        </w:rPr>
        <w:t>新增系统 / 业务等保咨询：</w:t>
      </w:r>
      <w:r>
        <w:rPr>
          <w:rFonts w:ascii="仿宋_GB2312" w:eastAsia="仿宋_GB2312" w:hAnsi="宋体" w:hint="eastAsia"/>
          <w:sz w:val="24"/>
        </w:rPr>
        <w:t>采购人</w:t>
      </w:r>
      <w:r>
        <w:rPr>
          <w:rFonts w:ascii="仿宋_GB2312" w:eastAsia="仿宋_GB2312" w:hAnsi="宋体"/>
          <w:sz w:val="24"/>
        </w:rPr>
        <w:t>新增业务系统、拓展业务范围时，提供定级建议、备案指导、测评前置检查等服务，避免新增系统出现合规漏洞。</w:t>
      </w:r>
    </w:p>
    <w:p w14:paraId="245110B2" w14:textId="77777777" w:rsidR="005845AA" w:rsidRDefault="005845AA">
      <w:pPr>
        <w:snapToGrid w:val="0"/>
        <w:spacing w:line="400" w:lineRule="exact"/>
        <w:ind w:firstLineChars="135" w:firstLine="283"/>
        <w:rPr>
          <w:rFonts w:eastAsia="仿宋_GB2312"/>
          <w:snapToGrid w:val="0"/>
          <w:color w:val="000000"/>
          <w:kern w:val="0"/>
          <w:szCs w:val="21"/>
        </w:rPr>
      </w:pPr>
    </w:p>
    <w:p w14:paraId="51CB9677" w14:textId="5F0291ED" w:rsidR="005845AA" w:rsidRDefault="005845AA">
      <w:pPr>
        <w:snapToGrid w:val="0"/>
        <w:spacing w:line="400" w:lineRule="exact"/>
        <w:ind w:firstLineChars="1500" w:firstLine="3162"/>
        <w:rPr>
          <w:rFonts w:ascii="仿宋_GB2312" w:eastAsia="仿宋_GB2312"/>
          <w:b/>
          <w:szCs w:val="21"/>
        </w:rPr>
      </w:pPr>
    </w:p>
    <w:sectPr w:rsidR="005845A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4D84" w14:textId="77777777" w:rsidR="006033D9" w:rsidRDefault="006033D9">
      <w:pPr>
        <w:spacing w:after="0" w:line="240" w:lineRule="auto"/>
      </w:pPr>
      <w:r>
        <w:separator/>
      </w:r>
    </w:p>
  </w:endnote>
  <w:endnote w:type="continuationSeparator" w:id="0">
    <w:p w14:paraId="3F2900CE" w14:textId="77777777" w:rsidR="006033D9" w:rsidRDefault="0060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49027"/>
    </w:sdtPr>
    <w:sdtContent>
      <w:sdt>
        <w:sdtPr>
          <w:id w:val="1728636285"/>
        </w:sdtPr>
        <w:sdtContent>
          <w:p w14:paraId="00042D94" w14:textId="77777777" w:rsidR="005845AA"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D542" w14:textId="77777777" w:rsidR="006033D9" w:rsidRDefault="006033D9">
      <w:pPr>
        <w:spacing w:after="0" w:line="240" w:lineRule="auto"/>
      </w:pPr>
      <w:r>
        <w:separator/>
      </w:r>
    </w:p>
  </w:footnote>
  <w:footnote w:type="continuationSeparator" w:id="0">
    <w:p w14:paraId="2A98554C" w14:textId="77777777" w:rsidR="006033D9" w:rsidRDefault="00603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2C0"/>
    <w:rsid w:val="000301F3"/>
    <w:rsid w:val="00057479"/>
    <w:rsid w:val="0008490A"/>
    <w:rsid w:val="000D0974"/>
    <w:rsid w:val="000E1838"/>
    <w:rsid w:val="000F0F98"/>
    <w:rsid w:val="00175B5B"/>
    <w:rsid w:val="00181082"/>
    <w:rsid w:val="001A2FA3"/>
    <w:rsid w:val="00215962"/>
    <w:rsid w:val="00221F8C"/>
    <w:rsid w:val="00275F4D"/>
    <w:rsid w:val="00283B70"/>
    <w:rsid w:val="002852CF"/>
    <w:rsid w:val="002B7A9F"/>
    <w:rsid w:val="002D52CA"/>
    <w:rsid w:val="002F291A"/>
    <w:rsid w:val="00364998"/>
    <w:rsid w:val="00400859"/>
    <w:rsid w:val="00436AC8"/>
    <w:rsid w:val="004426BB"/>
    <w:rsid w:val="004B6B41"/>
    <w:rsid w:val="00514BD4"/>
    <w:rsid w:val="00557097"/>
    <w:rsid w:val="005845AA"/>
    <w:rsid w:val="005917D4"/>
    <w:rsid w:val="005B3356"/>
    <w:rsid w:val="005B404B"/>
    <w:rsid w:val="006033D9"/>
    <w:rsid w:val="00637563"/>
    <w:rsid w:val="006F106C"/>
    <w:rsid w:val="006F4F99"/>
    <w:rsid w:val="007C0507"/>
    <w:rsid w:val="007D5787"/>
    <w:rsid w:val="008164A9"/>
    <w:rsid w:val="00825A1F"/>
    <w:rsid w:val="008760BA"/>
    <w:rsid w:val="008A6192"/>
    <w:rsid w:val="008C79FC"/>
    <w:rsid w:val="0093033F"/>
    <w:rsid w:val="009C02C0"/>
    <w:rsid w:val="00A72DCF"/>
    <w:rsid w:val="00B00086"/>
    <w:rsid w:val="00B04814"/>
    <w:rsid w:val="00B32A48"/>
    <w:rsid w:val="00B434DF"/>
    <w:rsid w:val="00BC0831"/>
    <w:rsid w:val="00C17986"/>
    <w:rsid w:val="00C9097A"/>
    <w:rsid w:val="00CA424E"/>
    <w:rsid w:val="00D01A66"/>
    <w:rsid w:val="00D105C7"/>
    <w:rsid w:val="00DE43F5"/>
    <w:rsid w:val="00E55F28"/>
    <w:rsid w:val="00E71ECB"/>
    <w:rsid w:val="00EB026A"/>
    <w:rsid w:val="00F05B01"/>
    <w:rsid w:val="00F13FAB"/>
    <w:rsid w:val="00F279A8"/>
    <w:rsid w:val="00F60CA6"/>
    <w:rsid w:val="00F773A9"/>
    <w:rsid w:val="00F82DD7"/>
    <w:rsid w:val="00F93029"/>
    <w:rsid w:val="00F930C3"/>
    <w:rsid w:val="00FB75B4"/>
    <w:rsid w:val="00FC725F"/>
    <w:rsid w:val="1E0D5462"/>
    <w:rsid w:val="4EC72940"/>
    <w:rsid w:val="6A6B0F5F"/>
    <w:rsid w:val="7BEB63E6"/>
    <w:rsid w:val="F5749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D78EF"/>
  <w15:docId w15:val="{B6E542FD-505E-415A-81CC-CDD293B8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Char">
    <w:name w:val="标1 Char Char"/>
    <w:link w:val="1"/>
    <w:qFormat/>
    <w:rPr>
      <w:rFonts w:ascii="Arial Narrow" w:eastAsia="仿宋" w:hAnsi="Arial Narrow"/>
      <w:b/>
      <w:spacing w:val="20"/>
      <w:sz w:val="24"/>
      <w:szCs w:val="24"/>
    </w:rPr>
  </w:style>
  <w:style w:type="paragraph" w:customStyle="1" w:styleId="1">
    <w:name w:val="标1"/>
    <w:basedOn w:val="a"/>
    <w:link w:val="1CharChar"/>
    <w:qFormat/>
    <w:pPr>
      <w:widowControl/>
      <w:tabs>
        <w:tab w:val="left" w:pos="1140"/>
      </w:tabs>
      <w:adjustRightInd w:val="0"/>
      <w:snapToGrid w:val="0"/>
      <w:spacing w:beforeLines="100" w:line="360" w:lineRule="auto"/>
      <w:ind w:left="1140" w:hanging="720"/>
      <w:jc w:val="left"/>
      <w:outlineLvl w:val="0"/>
    </w:pPr>
    <w:rPr>
      <w:rFonts w:ascii="Arial Narrow" w:eastAsia="仿宋" w:hAnsi="Arial Narrow" w:cstheme="minorBidi"/>
      <w:b/>
      <w:spacing w:val="20"/>
      <w:sz w:val="24"/>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table" w:customStyle="1" w:styleId="10">
    <w:name w:val="网格型1"/>
    <w:basedOn w:val="a1"/>
    <w:qFormat/>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762</Words>
  <Characters>4347</Characters>
  <Application>Microsoft Office Word</Application>
  <DocSecurity>0</DocSecurity>
  <Lines>36</Lines>
  <Paragraphs>10</Paragraphs>
  <ScaleCrop>false</ScaleCrop>
  <Company>scdc</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Auricle</dc:creator>
  <cp:lastModifiedBy>晋一民</cp:lastModifiedBy>
  <cp:revision>12</cp:revision>
  <cp:lastPrinted>2017-12-04T18:08:00Z</cp:lastPrinted>
  <dcterms:created xsi:type="dcterms:W3CDTF">2023-12-28T23:57:00Z</dcterms:created>
  <dcterms:modified xsi:type="dcterms:W3CDTF">2026-04-30T06:02:00Z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eyJoZGlkIjoiZjBiNTQzNTM0ZjI5NTAwZTE3ODM2NTk4NjQ1MTUwNTYiLCJ1c2VySWQiOiIxMTIwMzY5NzkyIn0=</vt:lpwstr>
  </property>
  <property fmtid="{D5CDD505-2E9C-101B-9397-08002B2CF9AE}" pid="3" name="KSOProductBuildVer">
    <vt:lpwstr>2052-11.8.2.10125</vt:lpwstr>
  </property>
  <property fmtid="{D5CDD505-2E9C-101B-9397-08002B2CF9AE}" pid="4" name="ICV">
    <vt:lpwstr>82F750B63E8C46838AC3BC9288A97FF7_12</vt:lpwstr>
  </property>
</Properties>
</file>