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30"/>
        </w:rPr>
      </w:pPr>
      <w:r>
        <w:rPr>
          <w:rFonts w:hint="eastAsia"/>
          <w:b/>
          <w:sz w:val="30"/>
          <w:szCs w:val="30"/>
        </w:rPr>
        <w:t>中国福利会儿童艺术剧院物业管理服务</w:t>
      </w:r>
      <w:r>
        <w:rPr>
          <w:rFonts w:hint="eastAsia"/>
          <w:b/>
          <w:sz w:val="30"/>
          <w:szCs w:val="30"/>
          <w:lang w:eastAsia="zh-CN"/>
        </w:rPr>
        <w:t>采购</w:t>
      </w:r>
      <w:r>
        <w:rPr>
          <w:rFonts w:hint="eastAsia"/>
          <w:b/>
          <w:sz w:val="30"/>
          <w:szCs w:val="30"/>
        </w:rPr>
        <w:t>需求</w:t>
      </w:r>
    </w:p>
    <w:p>
      <w:pPr>
        <w:rPr>
          <w:sz w:val="24"/>
          <w:szCs w:val="24"/>
        </w:rPr>
      </w:pPr>
    </w:p>
    <w:p>
      <w:pPr>
        <w:spacing w:line="360" w:lineRule="auto"/>
        <w:jc w:val="left"/>
        <w:rPr>
          <w:rFonts w:ascii="宋体"/>
          <w:b/>
          <w:sz w:val="28"/>
          <w:szCs w:val="28"/>
        </w:rPr>
      </w:pPr>
      <w:r>
        <w:rPr>
          <w:rFonts w:hint="eastAsia" w:ascii="宋体"/>
          <w:b/>
          <w:sz w:val="28"/>
          <w:szCs w:val="28"/>
        </w:rPr>
        <w:t>一．委托管理服务的物业概况</w:t>
      </w:r>
    </w:p>
    <w:p>
      <w:pPr>
        <w:spacing w:line="360" w:lineRule="auto"/>
        <w:rPr>
          <w:rFonts w:ascii="宋体"/>
        </w:rPr>
      </w:pPr>
      <w:r>
        <w:rPr>
          <w:rFonts w:hint="eastAsia" w:ascii="宋体"/>
        </w:rPr>
        <w:t>（一）物业基本情况</w:t>
      </w:r>
    </w:p>
    <w:p>
      <w:pPr>
        <w:spacing w:line="360" w:lineRule="auto"/>
        <w:ind w:firstLine="420" w:firstLineChars="200"/>
        <w:rPr>
          <w:rFonts w:ascii="宋体"/>
        </w:rPr>
      </w:pPr>
      <w:r>
        <w:rPr>
          <w:rFonts w:hint="eastAsia" w:ascii="宋体"/>
        </w:rPr>
        <w:t>物业名称：2026-2028年中国福利会儿童艺术剧院物业管理项目</w:t>
      </w:r>
    </w:p>
    <w:p>
      <w:pPr>
        <w:spacing w:line="360" w:lineRule="auto"/>
        <w:ind w:firstLine="420" w:firstLineChars="200"/>
        <w:rPr>
          <w:rFonts w:ascii="宋体"/>
        </w:rPr>
      </w:pPr>
      <w:r>
        <w:rPr>
          <w:rFonts w:hint="eastAsia" w:ascii="宋体"/>
        </w:rPr>
        <w:t>坐落位置：</w:t>
      </w:r>
      <w:r>
        <w:rPr>
          <w:rFonts w:hint="eastAsia" w:ascii="宋体"/>
          <w:u w:val="single"/>
        </w:rPr>
        <w:t>上海</w:t>
      </w:r>
      <w:r>
        <w:rPr>
          <w:rFonts w:hint="eastAsia" w:ascii="宋体"/>
        </w:rPr>
        <w:t>市</w:t>
      </w:r>
      <w:r>
        <w:rPr>
          <w:rFonts w:hint="eastAsia" w:ascii="宋体"/>
          <w:u w:val="single"/>
        </w:rPr>
        <w:t>静安</w:t>
      </w:r>
      <w:r>
        <w:rPr>
          <w:rFonts w:hint="eastAsia" w:ascii="宋体"/>
        </w:rPr>
        <w:t>区</w:t>
      </w:r>
      <w:r>
        <w:rPr>
          <w:rFonts w:hint="eastAsia" w:ascii="宋体"/>
          <w:u w:val="single"/>
        </w:rPr>
        <w:t>静安寺</w:t>
      </w:r>
      <w:r>
        <w:rPr>
          <w:rFonts w:hint="eastAsia" w:ascii="宋体"/>
        </w:rPr>
        <w:t>（街道）华山路</w:t>
      </w:r>
      <w:r>
        <w:rPr>
          <w:rFonts w:hint="eastAsia" w:ascii="宋体"/>
          <w:u w:val="single"/>
        </w:rPr>
        <w:t>643/639</w:t>
      </w:r>
      <w:r>
        <w:rPr>
          <w:rFonts w:hint="eastAsia" w:ascii="宋体"/>
        </w:rPr>
        <w:t>号</w:t>
      </w:r>
    </w:p>
    <w:p>
      <w:pPr>
        <w:spacing w:line="360" w:lineRule="auto"/>
        <w:ind w:firstLine="420" w:firstLineChars="200"/>
        <w:rPr>
          <w:rFonts w:ascii="宋体"/>
          <w:u w:val="single"/>
        </w:rPr>
      </w:pPr>
      <w:r>
        <w:rPr>
          <w:rFonts w:hint="eastAsia" w:ascii="宋体"/>
        </w:rPr>
        <w:t>四面边界至：东</w:t>
      </w:r>
      <w:r>
        <w:rPr>
          <w:rFonts w:hint="eastAsia" w:ascii="宋体"/>
          <w:u w:val="single"/>
        </w:rPr>
        <w:t xml:space="preserve">乌鲁木齐中路 </w:t>
      </w:r>
      <w:r>
        <w:rPr>
          <w:rFonts w:hint="eastAsia" w:ascii="宋体"/>
        </w:rPr>
        <w:t>南</w:t>
      </w:r>
      <w:r>
        <w:rPr>
          <w:rFonts w:hint="eastAsia" w:ascii="宋体"/>
          <w:u w:val="single"/>
        </w:rPr>
        <w:t xml:space="preserve">长乐路 </w:t>
      </w:r>
      <w:r>
        <w:rPr>
          <w:rFonts w:hint="eastAsia" w:ascii="宋体"/>
        </w:rPr>
        <w:t>西</w:t>
      </w:r>
      <w:r>
        <w:rPr>
          <w:rFonts w:hint="eastAsia" w:ascii="宋体"/>
          <w:u w:val="single"/>
        </w:rPr>
        <w:t xml:space="preserve">镇宁路 </w:t>
      </w:r>
      <w:r>
        <w:rPr>
          <w:rFonts w:hint="eastAsia" w:ascii="宋体"/>
        </w:rPr>
        <w:t>北</w:t>
      </w:r>
      <w:r>
        <w:rPr>
          <w:rFonts w:hint="eastAsia" w:ascii="宋体"/>
          <w:u w:val="single"/>
        </w:rPr>
        <w:t>延安中路</w:t>
      </w:r>
    </w:p>
    <w:p>
      <w:pPr>
        <w:spacing w:line="360" w:lineRule="auto"/>
        <w:ind w:firstLine="420" w:firstLineChars="200"/>
        <w:rPr>
          <w:rFonts w:ascii="宋体"/>
        </w:rPr>
      </w:pPr>
      <w:r>
        <w:rPr>
          <w:rFonts w:hint="eastAsia" w:ascii="宋体"/>
        </w:rPr>
        <w:t>占地面积：</w:t>
      </w:r>
      <w:r>
        <w:rPr>
          <w:rFonts w:hint="eastAsia" w:ascii="宋体"/>
          <w:u w:val="single"/>
        </w:rPr>
        <w:t>14232平</w:t>
      </w:r>
      <w:r>
        <w:rPr>
          <w:rFonts w:hint="eastAsia" w:ascii="宋体"/>
        </w:rPr>
        <w:t>方米，其中绿地面积</w:t>
      </w:r>
      <w:r>
        <w:rPr>
          <w:rFonts w:hint="eastAsia" w:ascii="宋体"/>
          <w:u w:val="single"/>
        </w:rPr>
        <w:t>3542.05</w:t>
      </w:r>
      <w:r>
        <w:rPr>
          <w:rFonts w:hint="eastAsia" w:ascii="宋体"/>
        </w:rPr>
        <w:t>平方米。</w:t>
      </w:r>
    </w:p>
    <w:p>
      <w:pPr>
        <w:spacing w:line="360" w:lineRule="auto"/>
        <w:ind w:firstLine="420" w:firstLineChars="200"/>
        <w:rPr>
          <w:rFonts w:ascii="宋体"/>
        </w:rPr>
      </w:pPr>
      <w:r>
        <w:rPr>
          <w:rFonts w:hint="eastAsia" w:ascii="宋体"/>
        </w:rPr>
        <w:t>建筑面积：</w:t>
      </w:r>
      <w:r>
        <w:rPr>
          <w:rFonts w:hint="eastAsia" w:ascii="宋体"/>
          <w:u w:val="single"/>
        </w:rPr>
        <w:t>10689.95</w:t>
      </w:r>
      <w:r>
        <w:rPr>
          <w:rFonts w:hint="eastAsia" w:ascii="宋体"/>
        </w:rPr>
        <w:t>平方米，</w:t>
      </w:r>
    </w:p>
    <w:p>
      <w:pPr>
        <w:spacing w:line="360" w:lineRule="auto"/>
        <w:ind w:firstLine="420" w:firstLineChars="200"/>
        <w:rPr>
          <w:rFonts w:ascii="宋体"/>
        </w:rPr>
      </w:pPr>
      <w:r>
        <w:rPr>
          <w:rFonts w:hint="eastAsia" w:ascii="宋体"/>
        </w:rPr>
        <w:t>其中:办公楼</w:t>
      </w:r>
      <w:r>
        <w:rPr>
          <w:rFonts w:hint="eastAsia" w:ascii="宋体"/>
          <w:u w:val="single"/>
        </w:rPr>
        <w:t>3043</w:t>
      </w:r>
      <w:r>
        <w:rPr>
          <w:rFonts w:hint="eastAsia" w:ascii="宋体"/>
        </w:rPr>
        <w:t>平方米（多层</w:t>
      </w:r>
      <w:r>
        <w:rPr>
          <w:rFonts w:hint="eastAsia" w:ascii="宋体"/>
          <w:u w:val="single"/>
        </w:rPr>
        <w:t>3</w:t>
      </w:r>
      <w:r>
        <w:rPr>
          <w:rFonts w:hint="eastAsia" w:ascii="宋体"/>
        </w:rPr>
        <w:t>，高层</w:t>
      </w:r>
      <w:r>
        <w:rPr>
          <w:rFonts w:hint="eastAsia" w:ascii="宋体"/>
          <w:u w:val="single"/>
        </w:rPr>
        <w:t>/ ，其中地下 /</w:t>
      </w:r>
      <w:r>
        <w:rPr>
          <w:rFonts w:hint="eastAsia" w:ascii="宋体"/>
        </w:rPr>
        <w:t>）；</w:t>
      </w:r>
    </w:p>
    <w:p>
      <w:pPr>
        <w:spacing w:line="360" w:lineRule="auto"/>
        <w:ind w:firstLine="420" w:firstLineChars="200"/>
        <w:rPr>
          <w:rFonts w:ascii="宋体"/>
        </w:rPr>
      </w:pPr>
      <w:r>
        <w:rPr>
          <w:rFonts w:hint="eastAsia" w:ascii="宋体"/>
        </w:rPr>
        <w:t>剧场</w:t>
      </w:r>
      <w:r>
        <w:rPr>
          <w:rFonts w:hint="eastAsia" w:ascii="宋体"/>
          <w:u w:val="single"/>
        </w:rPr>
        <w:t>2880.31</w:t>
      </w:r>
      <w:r>
        <w:rPr>
          <w:rFonts w:hint="eastAsia" w:ascii="宋体"/>
        </w:rPr>
        <w:t>平方米（多层</w:t>
      </w:r>
      <w:r>
        <w:rPr>
          <w:rFonts w:hint="eastAsia" w:ascii="宋体"/>
          <w:u w:val="single"/>
        </w:rPr>
        <w:t>4</w:t>
      </w:r>
      <w:r>
        <w:rPr>
          <w:rFonts w:hint="eastAsia" w:ascii="宋体"/>
        </w:rPr>
        <w:t>，其中：</w:t>
      </w:r>
      <w:r>
        <w:rPr>
          <w:rFonts w:hint="eastAsia" w:ascii="宋体"/>
          <w:u w:val="single"/>
        </w:rPr>
        <w:t>地上3层，地下1层</w:t>
      </w:r>
      <w:r>
        <w:rPr>
          <w:rFonts w:hint="eastAsia" w:ascii="宋体"/>
        </w:rPr>
        <w:t>）；其他</w:t>
      </w:r>
      <w:r>
        <w:rPr>
          <w:rFonts w:hint="eastAsia" w:ascii="宋体"/>
          <w:u w:val="single"/>
        </w:rPr>
        <w:t>/</w:t>
      </w:r>
      <w:r>
        <w:rPr>
          <w:rFonts w:hint="eastAsia" w:ascii="宋体"/>
        </w:rPr>
        <w:t>平方米（多层</w:t>
      </w:r>
      <w:r>
        <w:rPr>
          <w:rFonts w:hint="eastAsia" w:ascii="宋体"/>
          <w:u w:val="single"/>
        </w:rPr>
        <w:t>/</w:t>
      </w:r>
      <w:r>
        <w:rPr>
          <w:rFonts w:hint="eastAsia" w:ascii="宋体"/>
        </w:rPr>
        <w:t>，高层</w:t>
      </w:r>
      <w:r>
        <w:rPr>
          <w:rFonts w:hint="eastAsia" w:ascii="宋体"/>
          <w:u w:val="single"/>
        </w:rPr>
        <w:t>/</w:t>
      </w:r>
      <w:r>
        <w:rPr>
          <w:rFonts w:hint="eastAsia" w:ascii="宋体"/>
        </w:rPr>
        <w:t>）；</w:t>
      </w:r>
    </w:p>
    <w:p>
      <w:pPr>
        <w:spacing w:line="360" w:lineRule="auto"/>
        <w:ind w:firstLine="420" w:firstLineChars="200"/>
        <w:rPr>
          <w:rFonts w:ascii="宋体"/>
        </w:rPr>
      </w:pPr>
      <w:r>
        <w:rPr>
          <w:rFonts w:hint="eastAsia" w:ascii="宋体"/>
        </w:rPr>
        <w:t>花花艺术商店122平方米（多层</w:t>
      </w:r>
      <w:r>
        <w:rPr>
          <w:rFonts w:ascii="宋体"/>
          <w:u w:val="single"/>
        </w:rPr>
        <w:t>2</w:t>
      </w:r>
      <w:r>
        <w:rPr>
          <w:rFonts w:hint="eastAsia" w:ascii="宋体"/>
        </w:rPr>
        <w:t>，高层</w:t>
      </w:r>
      <w:r>
        <w:rPr>
          <w:rFonts w:hint="eastAsia" w:ascii="宋体"/>
          <w:u w:val="single"/>
        </w:rPr>
        <w:t>/ ，其中地下 /</w:t>
      </w:r>
      <w:r>
        <w:rPr>
          <w:rFonts w:hint="eastAsia" w:ascii="宋体"/>
        </w:rPr>
        <w:t>）；</w:t>
      </w:r>
    </w:p>
    <w:p>
      <w:pPr>
        <w:spacing w:line="360" w:lineRule="auto"/>
        <w:ind w:firstLine="420" w:firstLineChars="200"/>
        <w:rPr>
          <w:rFonts w:ascii="宋体"/>
        </w:rPr>
      </w:pPr>
      <w:r>
        <w:rPr>
          <w:rFonts w:hint="eastAsia" w:ascii="宋体"/>
        </w:rPr>
        <w:t>公用设施、设备及公共场所（地）情况：</w:t>
      </w:r>
    </w:p>
    <w:p>
      <w:pPr>
        <w:spacing w:line="360" w:lineRule="auto"/>
        <w:ind w:firstLine="420" w:firstLineChars="200"/>
        <w:rPr>
          <w:rFonts w:ascii="宋体"/>
        </w:rPr>
      </w:pPr>
      <w:r>
        <w:rPr>
          <w:rFonts w:hint="eastAsia" w:ascii="宋体"/>
        </w:rPr>
        <w:t>1、院区车辆出入口</w:t>
      </w:r>
      <w:r>
        <w:rPr>
          <w:rFonts w:hint="eastAsia" w:ascii="宋体"/>
          <w:u w:val="single"/>
        </w:rPr>
        <w:t>3</w:t>
      </w:r>
      <w:r>
        <w:rPr>
          <w:rFonts w:hint="eastAsia" w:ascii="宋体"/>
        </w:rPr>
        <w:t>个，人行出入口</w:t>
      </w:r>
      <w:r>
        <w:rPr>
          <w:rFonts w:hint="eastAsia" w:ascii="宋体"/>
          <w:u w:val="single"/>
        </w:rPr>
        <w:t>2</w:t>
      </w:r>
      <w:r>
        <w:rPr>
          <w:rFonts w:hint="eastAsia" w:ascii="宋体"/>
        </w:rPr>
        <w:t>个；</w:t>
      </w:r>
    </w:p>
    <w:p>
      <w:pPr>
        <w:spacing w:line="360" w:lineRule="auto"/>
        <w:ind w:firstLine="420" w:firstLineChars="200"/>
        <w:rPr>
          <w:rFonts w:ascii="宋体"/>
        </w:rPr>
      </w:pPr>
      <w:r>
        <w:rPr>
          <w:rFonts w:hint="eastAsia" w:ascii="宋体"/>
        </w:rPr>
        <w:t>2、道路、车行道</w:t>
      </w:r>
      <w:r>
        <w:rPr>
          <w:rFonts w:ascii="宋体"/>
          <w:u w:val="single"/>
        </w:rPr>
        <w:t>/</w:t>
      </w:r>
      <w:r>
        <w:rPr>
          <w:rFonts w:hint="eastAsia" w:ascii="宋体"/>
        </w:rPr>
        <w:t>平方米，人行道</w:t>
      </w:r>
      <w:r>
        <w:rPr>
          <w:rFonts w:ascii="宋体"/>
          <w:u w:val="single"/>
        </w:rPr>
        <w:t>/</w:t>
      </w:r>
      <w:r>
        <w:rPr>
          <w:rFonts w:hint="eastAsia" w:ascii="宋体"/>
        </w:rPr>
        <w:t>平方米；</w:t>
      </w:r>
    </w:p>
    <w:p>
      <w:pPr>
        <w:spacing w:line="360" w:lineRule="auto"/>
        <w:ind w:firstLine="420" w:firstLineChars="200"/>
        <w:rPr>
          <w:rFonts w:ascii="宋体"/>
        </w:rPr>
      </w:pPr>
      <w:r>
        <w:rPr>
          <w:rFonts w:hint="eastAsia" w:ascii="宋体"/>
        </w:rPr>
        <w:t>3、绿化面积3542.05平方米，园林建筑小品座，水域平方米；</w:t>
      </w:r>
    </w:p>
    <w:p>
      <w:pPr>
        <w:spacing w:line="360" w:lineRule="auto"/>
        <w:ind w:firstLine="420" w:firstLineChars="200"/>
        <w:rPr>
          <w:rFonts w:ascii="宋体"/>
        </w:rPr>
      </w:pPr>
      <w:r>
        <w:rPr>
          <w:rFonts w:hint="eastAsia" w:ascii="宋体"/>
        </w:rPr>
        <w:t>4、污水管长</w:t>
      </w:r>
      <w:r>
        <w:rPr>
          <w:rFonts w:ascii="宋体"/>
          <w:u w:val="single"/>
        </w:rPr>
        <w:t>/</w:t>
      </w:r>
      <w:r>
        <w:rPr>
          <w:rFonts w:hint="eastAsia" w:ascii="宋体"/>
        </w:rPr>
        <w:t>米，污水检查井</w:t>
      </w:r>
      <w:r>
        <w:rPr>
          <w:rFonts w:hint="eastAsia" w:ascii="宋体"/>
          <w:u w:val="single"/>
        </w:rPr>
        <w:t>48</w:t>
      </w:r>
      <w:r>
        <w:rPr>
          <w:rFonts w:hint="eastAsia" w:ascii="宋体"/>
        </w:rPr>
        <w:t>座；雨水管长</w:t>
      </w:r>
      <w:r>
        <w:rPr>
          <w:rFonts w:hint="eastAsia" w:ascii="宋体"/>
          <w:u w:val="single"/>
        </w:rPr>
        <w:t>/</w:t>
      </w:r>
      <w:r>
        <w:rPr>
          <w:rFonts w:hint="eastAsia" w:ascii="宋体"/>
        </w:rPr>
        <w:t>米，雨水检查井</w:t>
      </w:r>
      <w:r>
        <w:rPr>
          <w:rFonts w:hint="eastAsia" w:ascii="宋体"/>
          <w:u w:val="single"/>
        </w:rPr>
        <w:t>28</w:t>
      </w:r>
      <w:r>
        <w:rPr>
          <w:rFonts w:hint="eastAsia" w:ascii="宋体"/>
        </w:rPr>
        <w:t>座，雨水进水井</w:t>
      </w:r>
      <w:r>
        <w:rPr>
          <w:rFonts w:hint="eastAsia" w:ascii="宋体"/>
          <w:u w:val="single"/>
        </w:rPr>
        <w:t>/</w:t>
      </w:r>
      <w:r>
        <w:rPr>
          <w:rFonts w:hint="eastAsia" w:ascii="宋体"/>
        </w:rPr>
        <w:t>座，化粪池</w:t>
      </w:r>
      <w:r>
        <w:rPr>
          <w:rFonts w:hint="eastAsia" w:ascii="宋体"/>
          <w:u w:val="single"/>
        </w:rPr>
        <w:t>10</w:t>
      </w:r>
      <w:r>
        <w:rPr>
          <w:rFonts w:hint="eastAsia" w:ascii="宋体"/>
        </w:rPr>
        <w:t>座；</w:t>
      </w:r>
    </w:p>
    <w:p>
      <w:pPr>
        <w:spacing w:line="360" w:lineRule="auto"/>
        <w:ind w:firstLine="420" w:firstLineChars="200"/>
        <w:rPr>
          <w:rFonts w:ascii="宋体"/>
        </w:rPr>
      </w:pPr>
      <w:r>
        <w:rPr>
          <w:rFonts w:hint="eastAsia" w:ascii="宋体"/>
        </w:rPr>
        <w:t>5、路灯</w:t>
      </w:r>
      <w:r>
        <w:rPr>
          <w:rFonts w:hint="eastAsia" w:ascii="宋体"/>
          <w:u w:val="single"/>
        </w:rPr>
        <w:t>/</w:t>
      </w:r>
      <w:r>
        <w:rPr>
          <w:rFonts w:hint="eastAsia" w:ascii="宋体"/>
        </w:rPr>
        <w:t>盏，地灯</w:t>
      </w:r>
      <w:r>
        <w:rPr>
          <w:rFonts w:hint="eastAsia" w:ascii="宋体"/>
          <w:u w:val="single"/>
        </w:rPr>
        <w:t>/</w:t>
      </w:r>
      <w:r>
        <w:rPr>
          <w:rFonts w:hint="eastAsia" w:ascii="宋体"/>
        </w:rPr>
        <w:t>盏，草坪灯</w:t>
      </w:r>
      <w:r>
        <w:rPr>
          <w:rFonts w:hint="eastAsia" w:ascii="宋体"/>
          <w:u w:val="single"/>
        </w:rPr>
        <w:t>/</w:t>
      </w:r>
      <w:r>
        <w:rPr>
          <w:rFonts w:hint="eastAsia" w:ascii="宋体"/>
        </w:rPr>
        <w:t xml:space="preserve">盏，其他照明设施  </w:t>
      </w:r>
      <w:r>
        <w:rPr>
          <w:rFonts w:hint="eastAsia" w:ascii="宋体"/>
          <w:u w:val="single"/>
        </w:rPr>
        <w:t>建筑环境灯</w:t>
      </w:r>
      <w:r>
        <w:rPr>
          <w:rFonts w:hint="eastAsia" w:ascii="宋体"/>
        </w:rPr>
        <w:t>；</w:t>
      </w:r>
    </w:p>
    <w:p>
      <w:pPr>
        <w:spacing w:line="360" w:lineRule="auto"/>
        <w:ind w:firstLine="420" w:firstLineChars="200"/>
        <w:rPr>
          <w:rFonts w:ascii="宋体"/>
        </w:rPr>
      </w:pPr>
      <w:r>
        <w:rPr>
          <w:rFonts w:hint="eastAsia" w:ascii="宋体"/>
        </w:rPr>
        <w:t>6、垃圾箱</w:t>
      </w:r>
      <w:r>
        <w:rPr>
          <w:rFonts w:hint="eastAsia" w:ascii="宋体"/>
          <w:u w:val="single"/>
        </w:rPr>
        <w:t>8</w:t>
      </w:r>
      <w:r>
        <w:rPr>
          <w:rFonts w:hint="eastAsia" w:ascii="宋体"/>
        </w:rPr>
        <w:t>个，果皮箱</w:t>
      </w:r>
      <w:r>
        <w:rPr>
          <w:rFonts w:hint="eastAsia" w:ascii="宋体"/>
          <w:u w:val="single"/>
        </w:rPr>
        <w:t>/</w:t>
      </w:r>
      <w:r>
        <w:rPr>
          <w:rFonts w:hint="eastAsia" w:ascii="宋体"/>
        </w:rPr>
        <w:t>个，垃圾房（或垃圾中转站）建筑面积</w:t>
      </w:r>
      <w:r>
        <w:rPr>
          <w:rFonts w:hint="eastAsia" w:ascii="宋体"/>
          <w:u w:val="single"/>
        </w:rPr>
        <w:t>6</w:t>
      </w:r>
      <w:r>
        <w:rPr>
          <w:rFonts w:hint="eastAsia" w:ascii="宋体"/>
        </w:rPr>
        <w:t>平方米；</w:t>
      </w:r>
    </w:p>
    <w:p>
      <w:pPr>
        <w:spacing w:line="360" w:lineRule="auto"/>
        <w:ind w:firstLine="420" w:firstLineChars="200"/>
        <w:rPr>
          <w:rFonts w:ascii="宋体"/>
        </w:rPr>
      </w:pPr>
      <w:r>
        <w:rPr>
          <w:rFonts w:hint="eastAsia" w:ascii="宋体"/>
        </w:rPr>
        <w:t>7、体育设施</w:t>
      </w:r>
      <w:r>
        <w:rPr>
          <w:rFonts w:hint="eastAsia" w:ascii="宋体"/>
          <w:u w:val="single"/>
        </w:rPr>
        <w:t>/</w:t>
      </w:r>
      <w:r>
        <w:rPr>
          <w:rFonts w:hint="eastAsia" w:ascii="宋体"/>
        </w:rPr>
        <w:t>；</w:t>
      </w:r>
    </w:p>
    <w:p>
      <w:pPr>
        <w:spacing w:line="360" w:lineRule="auto"/>
        <w:ind w:firstLine="420" w:firstLineChars="200"/>
        <w:rPr>
          <w:rFonts w:ascii="宋体"/>
        </w:rPr>
      </w:pPr>
      <w:r>
        <w:rPr>
          <w:rFonts w:hint="eastAsia" w:ascii="宋体"/>
        </w:rPr>
        <w:t>8、休闲设施</w:t>
      </w:r>
      <w:r>
        <w:rPr>
          <w:rFonts w:hint="eastAsia" w:ascii="宋体"/>
          <w:u w:val="single"/>
        </w:rPr>
        <w:t>/</w:t>
      </w:r>
      <w:r>
        <w:rPr>
          <w:rFonts w:hint="eastAsia" w:ascii="宋体"/>
        </w:rPr>
        <w:t>；</w:t>
      </w:r>
    </w:p>
    <w:p>
      <w:pPr>
        <w:spacing w:line="360" w:lineRule="auto"/>
        <w:ind w:firstLine="420" w:firstLineChars="200"/>
        <w:rPr>
          <w:rFonts w:ascii="宋体"/>
        </w:rPr>
      </w:pPr>
      <w:r>
        <w:rPr>
          <w:rFonts w:hint="eastAsia" w:ascii="宋体"/>
        </w:rPr>
        <w:t>9、停车场：室内停车场</w:t>
      </w:r>
      <w:r>
        <w:rPr>
          <w:rFonts w:hint="eastAsia" w:ascii="宋体"/>
          <w:u w:val="single"/>
        </w:rPr>
        <w:t>/</w:t>
      </w:r>
      <w:r>
        <w:rPr>
          <w:rFonts w:hint="eastAsia" w:ascii="宋体"/>
        </w:rPr>
        <w:t>个，面积共</w:t>
      </w:r>
      <w:r>
        <w:rPr>
          <w:rFonts w:hint="eastAsia" w:ascii="宋体"/>
          <w:u w:val="single"/>
        </w:rPr>
        <w:t>/</w:t>
      </w:r>
      <w:r>
        <w:rPr>
          <w:rFonts w:hint="eastAsia" w:ascii="宋体"/>
        </w:rPr>
        <w:t>平方米，停车位</w:t>
      </w:r>
      <w:r>
        <w:rPr>
          <w:rFonts w:hint="eastAsia" w:ascii="宋体"/>
          <w:u w:val="single"/>
        </w:rPr>
        <w:t>/</w:t>
      </w:r>
      <w:r>
        <w:rPr>
          <w:rFonts w:hint="eastAsia" w:ascii="宋体"/>
        </w:rPr>
        <w:t>个；露天专用停车场</w:t>
      </w:r>
      <w:r>
        <w:rPr>
          <w:rFonts w:hint="eastAsia" w:ascii="宋体"/>
          <w:u w:val="single"/>
        </w:rPr>
        <w:t>/</w:t>
      </w:r>
      <w:r>
        <w:rPr>
          <w:rFonts w:hint="eastAsia" w:ascii="宋体"/>
        </w:rPr>
        <w:t>个，占地面积共平方米，停车位位，露天零散停车位</w:t>
      </w:r>
      <w:r>
        <w:rPr>
          <w:rFonts w:hint="eastAsia" w:ascii="宋体"/>
          <w:u w:val="single"/>
        </w:rPr>
        <w:t>21</w:t>
      </w:r>
      <w:r>
        <w:rPr>
          <w:rFonts w:hint="eastAsia" w:ascii="宋体"/>
        </w:rPr>
        <w:t>个；电动车停车位：</w:t>
      </w:r>
      <w:r>
        <w:rPr>
          <w:rFonts w:hint="eastAsia" w:ascii="宋体"/>
          <w:u w:val="single"/>
        </w:rPr>
        <w:t xml:space="preserve"> 26</w:t>
      </w:r>
      <w:r>
        <w:rPr>
          <w:rFonts w:hint="eastAsia" w:ascii="宋体"/>
        </w:rPr>
        <w:t>停放设在院内</w:t>
      </w:r>
      <w:r>
        <w:rPr>
          <w:rFonts w:hint="eastAsia" w:ascii="宋体"/>
          <w:u w:val="single"/>
        </w:rPr>
        <w:t>西南方靠近枕流公寓</w:t>
      </w:r>
      <w:r>
        <w:rPr>
          <w:rFonts w:hint="eastAsia" w:ascii="宋体"/>
        </w:rPr>
        <w:t>。</w:t>
      </w:r>
    </w:p>
    <w:p>
      <w:pPr>
        <w:spacing w:line="360" w:lineRule="auto"/>
        <w:ind w:firstLine="420" w:firstLineChars="200"/>
        <w:rPr>
          <w:rFonts w:ascii="宋体"/>
        </w:rPr>
      </w:pPr>
      <w:r>
        <w:rPr>
          <w:rFonts w:hint="eastAsia" w:ascii="宋体"/>
        </w:rPr>
        <w:t>10、电梯</w:t>
      </w:r>
      <w:r>
        <w:rPr>
          <w:rFonts w:hint="eastAsia" w:ascii="宋体"/>
          <w:u w:val="single"/>
        </w:rPr>
        <w:t>/</w:t>
      </w:r>
      <w:r>
        <w:rPr>
          <w:rFonts w:hint="eastAsia" w:ascii="宋体"/>
        </w:rPr>
        <w:t>台，功率</w:t>
      </w:r>
      <w:r>
        <w:rPr>
          <w:rFonts w:hint="eastAsia" w:ascii="宋体"/>
          <w:u w:val="single"/>
        </w:rPr>
        <w:t>/</w:t>
      </w:r>
      <w:r>
        <w:rPr>
          <w:rFonts w:hint="eastAsia" w:ascii="宋体"/>
        </w:rPr>
        <w:t>千瓦，品牌型号</w:t>
      </w:r>
      <w:r>
        <w:rPr>
          <w:rFonts w:hint="eastAsia" w:ascii="宋体"/>
          <w:u w:val="single"/>
        </w:rPr>
        <w:t>/</w:t>
      </w:r>
      <w:r>
        <w:rPr>
          <w:rFonts w:hint="eastAsia" w:ascii="宋体"/>
        </w:rPr>
        <w:t>，启用时间</w:t>
      </w:r>
      <w:r>
        <w:rPr>
          <w:rFonts w:hint="eastAsia" w:ascii="宋体"/>
          <w:u w:val="single"/>
        </w:rPr>
        <w:t>/</w:t>
      </w:r>
      <w:r>
        <w:rPr>
          <w:rFonts w:hint="eastAsia" w:ascii="宋体"/>
        </w:rPr>
        <w:t>；</w:t>
      </w:r>
    </w:p>
    <w:p>
      <w:pPr>
        <w:spacing w:line="360" w:lineRule="auto"/>
        <w:ind w:firstLine="420" w:firstLineChars="200"/>
        <w:rPr>
          <w:rFonts w:ascii="宋体"/>
        </w:rPr>
      </w:pPr>
      <w:r>
        <w:rPr>
          <w:rFonts w:hint="eastAsia" w:ascii="宋体"/>
        </w:rPr>
        <w:t>11、配电房变压器</w:t>
      </w:r>
      <w:r>
        <w:rPr>
          <w:rFonts w:hint="eastAsia" w:ascii="宋体"/>
          <w:u w:val="single"/>
        </w:rPr>
        <w:t>2</w:t>
      </w:r>
      <w:r>
        <w:rPr>
          <w:rFonts w:hint="eastAsia" w:ascii="宋体"/>
        </w:rPr>
        <w:t>台，容量共</w:t>
      </w:r>
      <w:r>
        <w:rPr>
          <w:rFonts w:hint="eastAsia" w:ascii="宋体"/>
          <w:u w:val="single"/>
        </w:rPr>
        <w:t>500KVA</w:t>
      </w:r>
      <w:r>
        <w:rPr>
          <w:rFonts w:hint="eastAsia" w:ascii="宋体"/>
        </w:rPr>
        <w:t>千瓦，品牌型号</w:t>
      </w:r>
      <w:r>
        <w:rPr>
          <w:rFonts w:hint="eastAsia" w:ascii="宋体"/>
          <w:u w:val="single"/>
        </w:rPr>
        <w:t>福州天宇F83401</w:t>
      </w:r>
      <w:r>
        <w:rPr>
          <w:rFonts w:hint="eastAsia" w:ascii="宋体"/>
        </w:rPr>
        <w:t>，启用时间</w:t>
      </w:r>
      <w:r>
        <w:rPr>
          <w:rFonts w:hint="eastAsia" w:ascii="宋体"/>
          <w:u w:val="single"/>
        </w:rPr>
        <w:t>2006年</w:t>
      </w:r>
      <w:r>
        <w:rPr>
          <w:rFonts w:hint="eastAsia" w:ascii="宋体"/>
        </w:rPr>
        <w:t>；发电机组功率</w:t>
      </w:r>
      <w:r>
        <w:rPr>
          <w:rFonts w:hint="eastAsia" w:ascii="宋体"/>
          <w:u w:val="single"/>
        </w:rPr>
        <w:t>/</w:t>
      </w:r>
      <w:r>
        <w:rPr>
          <w:rFonts w:hint="eastAsia" w:ascii="宋体"/>
        </w:rPr>
        <w:t>千瓦，品牌型号</w:t>
      </w:r>
      <w:r>
        <w:rPr>
          <w:rFonts w:hint="eastAsia" w:ascii="宋体"/>
          <w:u w:val="single"/>
        </w:rPr>
        <w:t>/</w:t>
      </w:r>
      <w:r>
        <w:rPr>
          <w:rFonts w:hint="eastAsia" w:ascii="宋体"/>
        </w:rPr>
        <w:t>；启用时间</w:t>
      </w:r>
      <w:r>
        <w:rPr>
          <w:rFonts w:hint="eastAsia" w:ascii="宋体"/>
          <w:u w:val="single"/>
        </w:rPr>
        <w:t>/</w:t>
      </w:r>
      <w:r>
        <w:rPr>
          <w:rFonts w:hint="eastAsia" w:ascii="宋体"/>
        </w:rPr>
        <w:t>；</w:t>
      </w:r>
    </w:p>
    <w:p>
      <w:pPr>
        <w:spacing w:line="360" w:lineRule="auto"/>
        <w:ind w:firstLine="420" w:firstLineChars="200"/>
        <w:rPr>
          <w:rFonts w:ascii="宋体"/>
        </w:rPr>
      </w:pPr>
      <w:r>
        <w:rPr>
          <w:rFonts w:hint="eastAsia" w:ascii="宋体"/>
        </w:rPr>
        <w:t>12、生活蓄水池</w:t>
      </w:r>
      <w:r>
        <w:rPr>
          <w:rFonts w:hint="eastAsia" w:ascii="宋体"/>
          <w:u w:val="single"/>
        </w:rPr>
        <w:t>/</w:t>
      </w:r>
      <w:r>
        <w:rPr>
          <w:rFonts w:hint="eastAsia" w:ascii="宋体"/>
        </w:rPr>
        <w:t>立方米，消防水池</w:t>
      </w:r>
      <w:r>
        <w:rPr>
          <w:rFonts w:hint="eastAsia" w:ascii="宋体"/>
          <w:u w:val="single"/>
        </w:rPr>
        <w:t>/</w:t>
      </w:r>
      <w:r>
        <w:rPr>
          <w:rFonts w:hint="eastAsia" w:ascii="宋体"/>
        </w:rPr>
        <w:t>立方米，消防水箱</w:t>
      </w:r>
      <w:r>
        <w:rPr>
          <w:rFonts w:hint="eastAsia" w:ascii="宋体"/>
          <w:u w:val="single"/>
        </w:rPr>
        <w:t>/</w:t>
      </w:r>
      <w:r>
        <w:rPr>
          <w:rFonts w:hint="eastAsia" w:ascii="宋体"/>
        </w:rPr>
        <w:t>立方米；生活水泵</w:t>
      </w:r>
      <w:r>
        <w:rPr>
          <w:rFonts w:hint="eastAsia" w:ascii="宋体"/>
          <w:u w:val="single"/>
        </w:rPr>
        <w:t>/</w:t>
      </w:r>
      <w:r>
        <w:rPr>
          <w:rFonts w:hint="eastAsia" w:ascii="宋体"/>
        </w:rPr>
        <w:t>台，功率为/千瓦/台，启用时间</w:t>
      </w:r>
      <w:r>
        <w:rPr>
          <w:rFonts w:hint="eastAsia" w:ascii="宋体"/>
          <w:u w:val="single"/>
        </w:rPr>
        <w:t>/</w:t>
      </w:r>
      <w:r>
        <w:rPr>
          <w:rFonts w:hint="eastAsia" w:ascii="宋体"/>
        </w:rPr>
        <w:t>；排污水泵</w:t>
      </w:r>
      <w:r>
        <w:rPr>
          <w:rFonts w:hint="eastAsia" w:ascii="宋体"/>
          <w:u w:val="single"/>
        </w:rPr>
        <w:t>3</w:t>
      </w:r>
      <w:r>
        <w:rPr>
          <w:rFonts w:hint="eastAsia" w:ascii="宋体"/>
        </w:rPr>
        <w:t>台，功率为</w:t>
      </w:r>
      <w:r>
        <w:rPr>
          <w:rFonts w:hint="eastAsia" w:ascii="宋体"/>
          <w:u w:val="single"/>
        </w:rPr>
        <w:t>5000</w:t>
      </w:r>
      <w:r>
        <w:rPr>
          <w:rFonts w:hint="eastAsia" w:ascii="宋体"/>
        </w:rPr>
        <w:t>千瓦/台，启用时间</w:t>
      </w:r>
      <w:r>
        <w:rPr>
          <w:rFonts w:hint="eastAsia" w:ascii="宋体"/>
          <w:u w:val="single"/>
        </w:rPr>
        <w:t>2006</w:t>
      </w:r>
      <w:r>
        <w:rPr>
          <w:rFonts w:hint="eastAsia" w:ascii="宋体"/>
        </w:rPr>
        <w:t>，消防水泵</w:t>
      </w:r>
      <w:r>
        <w:rPr>
          <w:rFonts w:hint="eastAsia" w:ascii="宋体"/>
          <w:u w:val="single"/>
        </w:rPr>
        <w:t>12</w:t>
      </w:r>
      <w:r>
        <w:rPr>
          <w:rFonts w:hint="eastAsia" w:ascii="宋体"/>
        </w:rPr>
        <w:t>台，功率为</w:t>
      </w:r>
      <w:r>
        <w:rPr>
          <w:rFonts w:hint="eastAsia" w:ascii="宋体"/>
          <w:u w:val="single"/>
        </w:rPr>
        <w:t>15</w:t>
      </w:r>
      <w:r>
        <w:rPr>
          <w:rFonts w:hint="eastAsia" w:ascii="宋体"/>
        </w:rPr>
        <w:t>千瓦/台，启用时间</w:t>
      </w:r>
      <w:r>
        <w:rPr>
          <w:rFonts w:hint="eastAsia" w:ascii="宋体"/>
          <w:u w:val="single"/>
        </w:rPr>
        <w:t>2005</w:t>
      </w:r>
      <w:r>
        <w:rPr>
          <w:rFonts w:hint="eastAsia" w:ascii="宋体"/>
        </w:rPr>
        <w:t>；</w:t>
      </w:r>
      <w:r>
        <w:rPr>
          <w:rFonts w:hint="eastAsia" w:ascii="宋体"/>
          <w:bCs/>
          <w:u w:val="single"/>
        </w:rPr>
        <w:t>消防水泵6台设：1撞楼（历保楼1层/设备间</w:t>
      </w:r>
      <w:r>
        <w:rPr>
          <w:rFonts w:hint="eastAsia" w:ascii="宋体"/>
          <w:bCs/>
        </w:rPr>
        <w:t>，</w:t>
      </w:r>
      <w:r>
        <w:rPr>
          <w:rFonts w:hint="eastAsia" w:ascii="宋体"/>
          <w:bCs/>
          <w:u w:val="single"/>
        </w:rPr>
        <w:t>其余6台设：11幢楼马兰花剧场</w:t>
      </w:r>
      <w:r>
        <w:rPr>
          <w:rFonts w:ascii="宋体"/>
          <w:bCs/>
          <w:u w:val="single"/>
        </w:rPr>
        <w:t>-</w:t>
      </w:r>
      <w:r>
        <w:rPr>
          <w:rFonts w:hint="eastAsia" w:ascii="宋体"/>
          <w:bCs/>
          <w:u w:val="single"/>
        </w:rPr>
        <w:t>1</w:t>
      </w:r>
      <w:r>
        <w:rPr>
          <w:rFonts w:ascii="宋体"/>
          <w:bCs/>
          <w:u w:val="single"/>
        </w:rPr>
        <w:t>F</w:t>
      </w:r>
      <w:r>
        <w:rPr>
          <w:rFonts w:hint="eastAsia" w:ascii="宋体"/>
          <w:bCs/>
          <w:u w:val="single"/>
        </w:rPr>
        <w:t>地下室/设备间</w:t>
      </w:r>
      <w:r>
        <w:rPr>
          <w:rFonts w:hint="eastAsia" w:ascii="宋体"/>
          <w:bCs/>
        </w:rPr>
        <w:t>。</w:t>
      </w:r>
    </w:p>
    <w:p>
      <w:pPr>
        <w:spacing w:line="360" w:lineRule="auto"/>
        <w:ind w:firstLine="420" w:firstLineChars="200"/>
        <w:rPr>
          <w:rFonts w:ascii="宋体"/>
        </w:rPr>
      </w:pPr>
      <w:r>
        <w:rPr>
          <w:rFonts w:hint="eastAsia" w:ascii="宋体"/>
        </w:rPr>
        <w:t>13、消防自动报警系统情况及消防灭火器配备情况</w:t>
      </w:r>
      <w:r>
        <w:rPr>
          <w:rFonts w:hint="eastAsia" w:ascii="宋体"/>
          <w:lang w:val="en-US" w:eastAsia="zh-CN"/>
        </w:rPr>
        <w:t xml:space="preserve"> </w:t>
      </w:r>
      <w:r>
        <w:rPr>
          <w:rFonts w:hint="eastAsia" w:ascii="宋体"/>
          <w:u w:val="single"/>
        </w:rPr>
        <w:t>烟感、手报、消火栓报警按钮、声光广播、消防电话、全院配备干粉灭火器5KG</w:t>
      </w:r>
      <w:r>
        <w:rPr>
          <w:rFonts w:hint="eastAsia" w:ascii="宋体"/>
        </w:rPr>
        <w:t>；</w:t>
      </w:r>
    </w:p>
    <w:p>
      <w:pPr>
        <w:spacing w:line="360" w:lineRule="auto"/>
        <w:ind w:firstLine="420" w:firstLineChars="200"/>
        <w:rPr>
          <w:rFonts w:hint="eastAsia" w:ascii="宋体"/>
        </w:rPr>
      </w:pPr>
      <w:r>
        <w:rPr>
          <w:rFonts w:hint="eastAsia" w:ascii="宋体"/>
        </w:rPr>
        <w:t>14、智能化系统</w:t>
      </w:r>
      <w:r>
        <w:rPr>
          <w:rFonts w:hint="eastAsia" w:ascii="宋体"/>
          <w:lang w:val="en-US" w:eastAsia="zh-CN"/>
        </w:rPr>
        <w:t xml:space="preserve"> </w:t>
      </w:r>
      <w:r>
        <w:rPr>
          <w:rFonts w:hint="eastAsia" w:ascii="宋体"/>
          <w:u w:val="single"/>
        </w:rPr>
        <w:t>城市联网报警系统、自动火灾报警系统、电气火灾报警系统</w:t>
      </w:r>
      <w:r>
        <w:rPr>
          <w:rFonts w:hint="eastAsia" w:ascii="宋体"/>
        </w:rPr>
        <w:t>；</w:t>
      </w:r>
    </w:p>
    <w:p>
      <w:pPr>
        <w:spacing w:line="360" w:lineRule="auto"/>
        <w:ind w:firstLine="420" w:firstLineChars="200"/>
        <w:rPr>
          <w:rFonts w:ascii="宋体"/>
        </w:rPr>
      </w:pPr>
      <w:r>
        <w:rPr>
          <w:rFonts w:hint="eastAsia" w:ascii="宋体"/>
        </w:rPr>
        <w:t>15、其他设施设备情况</w:t>
      </w:r>
      <w:r>
        <w:rPr>
          <w:rFonts w:hint="eastAsia" w:ascii="宋体"/>
          <w:u w:val="single"/>
        </w:rPr>
        <w:t>/</w:t>
      </w:r>
      <w:r>
        <w:rPr>
          <w:rFonts w:hint="eastAsia" w:ascii="宋体"/>
        </w:rPr>
        <w:t>。</w:t>
      </w:r>
    </w:p>
    <w:p>
      <w:pPr>
        <w:spacing w:line="360" w:lineRule="auto"/>
        <w:ind w:firstLine="360"/>
        <w:rPr>
          <w:rFonts w:ascii="宋体"/>
        </w:rPr>
      </w:pPr>
    </w:p>
    <w:p>
      <w:pPr>
        <w:spacing w:line="360" w:lineRule="auto"/>
        <w:rPr>
          <w:rFonts w:ascii="宋体"/>
        </w:rPr>
      </w:pPr>
      <w:r>
        <w:rPr>
          <w:rFonts w:hint="eastAsia" w:ascii="宋体"/>
          <w:b/>
        </w:rPr>
        <w:t>（二）各楼宇各层功能分布情况</w:t>
      </w:r>
    </w:p>
    <w:p>
      <w:pPr>
        <w:spacing w:line="360" w:lineRule="auto"/>
        <w:rPr>
          <w:rFonts w:ascii="宋体"/>
        </w:rPr>
      </w:pPr>
      <w:r>
        <w:rPr>
          <w:rFonts w:hint="eastAsia" w:ascii="宋体"/>
        </w:rPr>
        <w:t>1、1幢楼（历保楼）</w:t>
      </w:r>
    </w:p>
    <w:p>
      <w:pPr>
        <w:spacing w:line="360" w:lineRule="auto"/>
        <w:ind w:firstLine="420"/>
        <w:rPr>
          <w:rFonts w:ascii="宋体"/>
        </w:rPr>
      </w:pPr>
      <w:r>
        <w:rPr>
          <w:rFonts w:hint="eastAsia" w:ascii="宋体"/>
        </w:rPr>
        <w:t>1F、公共区间（大厅、102/103/104教室 消防泵方设备间、配电间机房、消防水泵间、排练厅、服装间、多功能厅、戏剧空间、卫生间、茶水间、保安室、票务中心等）</w:t>
      </w:r>
    </w:p>
    <w:p>
      <w:pPr>
        <w:spacing w:line="360" w:lineRule="auto"/>
        <w:ind w:firstLine="420"/>
        <w:rPr>
          <w:rFonts w:ascii="宋体"/>
        </w:rPr>
      </w:pPr>
      <w:r>
        <w:rPr>
          <w:rFonts w:hint="eastAsia" w:ascii="宋体"/>
        </w:rPr>
        <w:t>2F、公共区间（楼梯、过道、办公室、会议室、接待室、阅览室、排练厅、贵宾室、卫生间、弱电机房、茶水间等）</w:t>
      </w:r>
    </w:p>
    <w:p>
      <w:pPr>
        <w:spacing w:line="360" w:lineRule="auto"/>
        <w:ind w:firstLine="420"/>
        <w:rPr>
          <w:rFonts w:ascii="宋体"/>
        </w:rPr>
      </w:pPr>
      <w:r>
        <w:rPr>
          <w:rFonts w:hint="eastAsia" w:ascii="宋体"/>
        </w:rPr>
        <w:t>3F、公共区间（楼梯、过道、办公室、天台、排练厅、卫生间、档案室、弱电机房等）</w:t>
      </w:r>
    </w:p>
    <w:p>
      <w:pPr>
        <w:spacing w:line="360" w:lineRule="auto"/>
        <w:rPr>
          <w:rFonts w:ascii="宋体"/>
        </w:rPr>
      </w:pPr>
      <w:r>
        <w:rPr>
          <w:rFonts w:hint="eastAsia" w:ascii="宋体"/>
        </w:rPr>
        <w:t>2、3幢楼（花花商店）</w:t>
      </w:r>
    </w:p>
    <w:p>
      <w:pPr>
        <w:spacing w:line="360" w:lineRule="auto"/>
        <w:ind w:firstLine="420"/>
        <w:rPr>
          <w:rFonts w:ascii="宋体"/>
        </w:rPr>
      </w:pPr>
      <w:r>
        <w:rPr>
          <w:rFonts w:hint="eastAsia" w:ascii="宋体"/>
        </w:rPr>
        <w:t>1F、公共区间（大厅、吧台、过道、库房等）</w:t>
      </w:r>
    </w:p>
    <w:p>
      <w:pPr>
        <w:spacing w:line="360" w:lineRule="auto"/>
        <w:ind w:firstLine="420"/>
        <w:rPr>
          <w:rFonts w:ascii="宋体"/>
        </w:rPr>
      </w:pPr>
      <w:r>
        <w:rPr>
          <w:rFonts w:hint="eastAsia" w:ascii="宋体"/>
        </w:rPr>
        <w:t>2F、公共区间（楼梯、过道、图书区、库房等）</w:t>
      </w:r>
    </w:p>
    <w:p>
      <w:pPr>
        <w:spacing w:line="360" w:lineRule="auto"/>
        <w:rPr>
          <w:rFonts w:ascii="宋体"/>
        </w:rPr>
      </w:pPr>
      <w:r>
        <w:rPr>
          <w:rFonts w:hint="eastAsia" w:ascii="宋体"/>
        </w:rPr>
        <w:t>3、11幢楼（马兰花剧场及微剧场）</w:t>
      </w:r>
    </w:p>
    <w:p>
      <w:pPr>
        <w:spacing w:line="360" w:lineRule="auto"/>
        <w:ind w:firstLine="420"/>
        <w:rPr>
          <w:rFonts w:ascii="宋体"/>
        </w:rPr>
      </w:pPr>
      <w:r>
        <w:rPr>
          <w:rFonts w:hint="eastAsia" w:ascii="宋体"/>
        </w:rPr>
        <w:t>1F、公共区间（大厅、楼梯、过道、卫生间、库房、剧场观众席、舞台、控制室、消防排烟机房等）</w:t>
      </w:r>
    </w:p>
    <w:p>
      <w:pPr>
        <w:spacing w:line="360" w:lineRule="auto"/>
        <w:ind w:firstLine="420"/>
        <w:rPr>
          <w:rFonts w:ascii="宋体"/>
        </w:rPr>
      </w:pPr>
      <w:r>
        <w:rPr>
          <w:rFonts w:hint="eastAsia" w:ascii="宋体"/>
        </w:rPr>
        <w:t>2</w:t>
      </w:r>
      <w:r>
        <w:rPr>
          <w:rFonts w:ascii="宋体"/>
        </w:rPr>
        <w:t>F</w:t>
      </w:r>
      <w:r>
        <w:rPr>
          <w:rFonts w:hint="eastAsia" w:ascii="宋体"/>
        </w:rPr>
        <w:t>、公共区间 （楼梯、过道、剧场观众席、卫生间、办公室等）</w:t>
      </w:r>
    </w:p>
    <w:p>
      <w:pPr>
        <w:spacing w:line="360" w:lineRule="auto"/>
        <w:ind w:firstLine="420"/>
        <w:rPr>
          <w:rFonts w:ascii="宋体"/>
        </w:rPr>
      </w:pPr>
      <w:r>
        <w:rPr>
          <w:rFonts w:hint="eastAsia" w:ascii="宋体"/>
        </w:rPr>
        <w:t>3</w:t>
      </w:r>
      <w:r>
        <w:rPr>
          <w:rFonts w:ascii="宋体"/>
        </w:rPr>
        <w:t>F</w:t>
      </w:r>
      <w:r>
        <w:rPr>
          <w:rFonts w:hint="eastAsia" w:ascii="宋体"/>
        </w:rPr>
        <w:t>、公共区间 （楼梯、过道、空调机房、设备机房、库房等）</w:t>
      </w:r>
    </w:p>
    <w:p>
      <w:pPr>
        <w:spacing w:line="360" w:lineRule="auto"/>
        <w:ind w:firstLine="420" w:firstLineChars="200"/>
        <w:rPr>
          <w:rFonts w:ascii="宋体"/>
        </w:rPr>
      </w:pPr>
      <w:r>
        <w:rPr>
          <w:rFonts w:ascii="宋体"/>
        </w:rPr>
        <w:t>-</w:t>
      </w:r>
      <w:r>
        <w:rPr>
          <w:rFonts w:hint="eastAsia" w:ascii="宋体"/>
        </w:rPr>
        <w:t xml:space="preserve">1F地下室：设备用房及办公室（高压配电间、消防水泵房、排烟风机房、舞美制作间、仓储库房、化妆间、服装间、卫生间、物业办公室）公共区间：（走道、楼梯） </w:t>
      </w:r>
    </w:p>
    <w:p>
      <w:pPr>
        <w:spacing w:line="360" w:lineRule="auto"/>
        <w:rPr>
          <w:rFonts w:ascii="宋体"/>
          <w:b/>
          <w:szCs w:val="21"/>
        </w:rPr>
      </w:pPr>
      <w:r>
        <w:rPr>
          <w:rFonts w:hint="eastAsia" w:ascii="宋体"/>
          <w:b/>
        </w:rPr>
        <w:t>（三）</w:t>
      </w:r>
      <w:r>
        <w:rPr>
          <w:rFonts w:hint="eastAsia" w:ascii="宋体"/>
          <w:b/>
          <w:lang w:eastAsia="zh-CN"/>
        </w:rPr>
        <w:t>采购人</w:t>
      </w:r>
      <w:r>
        <w:rPr>
          <w:rFonts w:hint="eastAsia" w:ascii="宋体"/>
          <w:b/>
          <w:szCs w:val="21"/>
        </w:rPr>
        <w:t>为物业服务企业提供的物业管理服务用房情况</w:t>
      </w:r>
    </w:p>
    <w:p>
      <w:pPr>
        <w:spacing w:line="360" w:lineRule="auto"/>
        <w:ind w:firstLine="420" w:firstLineChars="200"/>
        <w:rPr>
          <w:rFonts w:ascii="宋体"/>
        </w:rPr>
      </w:pPr>
      <w:r>
        <w:rPr>
          <w:rFonts w:hint="eastAsia" w:ascii="宋体"/>
          <w:lang w:eastAsia="zh-CN"/>
        </w:rPr>
        <w:t>采购人</w:t>
      </w:r>
      <w:r>
        <w:rPr>
          <w:rFonts w:hint="eastAsia" w:ascii="宋体"/>
        </w:rPr>
        <w:t>提供物业管理用房面积</w:t>
      </w:r>
      <w:r>
        <w:rPr>
          <w:rFonts w:hint="eastAsia" w:ascii="宋体"/>
          <w:u w:val="single"/>
        </w:rPr>
        <w:t>12</w:t>
      </w:r>
      <w:r>
        <w:rPr>
          <w:rFonts w:hint="eastAsia" w:ascii="宋体"/>
        </w:rPr>
        <w:t>平方米，其中办公房</w:t>
      </w:r>
      <w:r>
        <w:rPr>
          <w:rFonts w:hint="eastAsia" w:ascii="宋体"/>
          <w:u w:val="single"/>
        </w:rPr>
        <w:t>1 间</w:t>
      </w:r>
      <w:r>
        <w:rPr>
          <w:rFonts w:hint="eastAsia" w:ascii="宋体"/>
        </w:rPr>
        <w:t xml:space="preserve">；工作间 </w:t>
      </w:r>
      <w:r>
        <w:rPr>
          <w:rFonts w:hint="eastAsia" w:ascii="宋体"/>
          <w:u w:val="single"/>
        </w:rPr>
        <w:t xml:space="preserve"> /</w:t>
      </w:r>
      <w:r>
        <w:rPr>
          <w:rFonts w:hint="eastAsia" w:ascii="宋体"/>
        </w:rPr>
        <w:t xml:space="preserve"> 间；仓库</w:t>
      </w:r>
      <w:r>
        <w:rPr>
          <w:rFonts w:hint="eastAsia" w:ascii="宋体"/>
          <w:u w:val="single"/>
        </w:rPr>
        <w:t>/</w:t>
      </w:r>
      <w:r>
        <w:rPr>
          <w:rFonts w:hint="eastAsia" w:ascii="宋体"/>
        </w:rPr>
        <w:t>间。</w:t>
      </w:r>
    </w:p>
    <w:p>
      <w:pPr>
        <w:pStyle w:val="3"/>
        <w:spacing w:line="360" w:lineRule="auto"/>
        <w:rPr>
          <w:sz w:val="28"/>
          <w:szCs w:val="28"/>
        </w:rPr>
      </w:pPr>
    </w:p>
    <w:p>
      <w:pPr>
        <w:pStyle w:val="3"/>
        <w:spacing w:line="360" w:lineRule="auto"/>
        <w:rPr>
          <w:b/>
          <w:sz w:val="28"/>
          <w:szCs w:val="28"/>
        </w:rPr>
      </w:pPr>
      <w:r>
        <w:rPr>
          <w:rFonts w:hint="eastAsia"/>
          <w:sz w:val="28"/>
          <w:szCs w:val="28"/>
        </w:rPr>
        <w:t>二、</w:t>
      </w:r>
      <w:r>
        <w:rPr>
          <w:rFonts w:hint="eastAsia"/>
          <w:b/>
          <w:sz w:val="28"/>
          <w:szCs w:val="28"/>
        </w:rPr>
        <w:t>物业管理服务要求</w:t>
      </w:r>
    </w:p>
    <w:p>
      <w:pPr>
        <w:widowControl/>
        <w:spacing w:before="100" w:beforeAutospacing="1" w:after="100" w:afterAutospacing="1"/>
        <w:jc w:val="left"/>
        <w:rPr>
          <w:rFonts w:ascii="宋体" w:cs="宋体"/>
          <w:kern w:val="0"/>
          <w:szCs w:val="21"/>
        </w:rPr>
      </w:pPr>
      <w:r>
        <w:rPr>
          <w:rFonts w:hint="eastAsia" w:cs="宋体"/>
          <w:b/>
          <w:bCs/>
          <w:kern w:val="0"/>
          <w:szCs w:val="21"/>
        </w:rPr>
        <w:t>（一）一般要求</w:t>
      </w:r>
    </w:p>
    <w:p>
      <w:pPr>
        <w:spacing w:line="360" w:lineRule="auto"/>
        <w:ind w:left="-2" w:leftChars="-1"/>
      </w:pPr>
      <w:r>
        <w:rPr>
          <w:rFonts w:hint="eastAsia"/>
        </w:rPr>
        <w:t>1、项目经理受</w:t>
      </w:r>
      <w:r>
        <w:rPr>
          <w:rFonts w:hint="eastAsia"/>
          <w:lang w:eastAsia="zh-CN"/>
        </w:rPr>
        <w:t>采购人</w:t>
      </w:r>
      <w:r>
        <w:rPr>
          <w:rFonts w:hint="eastAsia"/>
        </w:rPr>
        <w:t>委托，代表</w:t>
      </w:r>
      <w:r>
        <w:rPr>
          <w:rFonts w:hint="eastAsia"/>
          <w:lang w:eastAsia="zh-CN"/>
        </w:rPr>
        <w:t>采购人</w:t>
      </w:r>
      <w:r>
        <w:rPr>
          <w:rFonts w:hint="eastAsia"/>
        </w:rPr>
        <w:t>，依据服务合同和约定，对内管理整个物业，组织专业化的服务；对外先行承担与物业管理相关的责任，履行相关义务，代表</w:t>
      </w:r>
      <w:r>
        <w:rPr>
          <w:rFonts w:hint="eastAsia"/>
          <w:lang w:eastAsia="zh-CN"/>
        </w:rPr>
        <w:t>采购人</w:t>
      </w:r>
      <w:r>
        <w:rPr>
          <w:rFonts w:hint="eastAsia"/>
        </w:rPr>
        <w:t>与物业管理所涉及的各有关方面交涉，维护</w:t>
      </w:r>
      <w:r>
        <w:rPr>
          <w:rFonts w:hint="eastAsia"/>
          <w:lang w:eastAsia="zh-CN"/>
        </w:rPr>
        <w:t>采购人</w:t>
      </w:r>
      <w:r>
        <w:rPr>
          <w:rFonts w:hint="eastAsia"/>
        </w:rPr>
        <w:t>的合法权益，并提醒</w:t>
      </w:r>
      <w:r>
        <w:rPr>
          <w:rFonts w:hint="eastAsia"/>
          <w:lang w:eastAsia="zh-CN"/>
        </w:rPr>
        <w:t>采购人</w:t>
      </w:r>
      <w:r>
        <w:rPr>
          <w:rFonts w:hint="eastAsia"/>
        </w:rPr>
        <w:t>遵守与物业管理有关的法规政策，履行应尽的责任和义务。由于剧场有外国剧团的演出安排，故项目经理有英语四六级证书优先考虑。</w:t>
      </w:r>
    </w:p>
    <w:p>
      <w:pPr>
        <w:spacing w:line="360" w:lineRule="auto"/>
        <w:ind w:left="-2" w:leftChars="-1"/>
      </w:pPr>
      <w:r>
        <w:rPr>
          <w:rFonts w:hint="eastAsia"/>
        </w:rPr>
        <w:t>2、项目经理应加强与</w:t>
      </w:r>
      <w:r>
        <w:rPr>
          <w:rFonts w:hint="eastAsia"/>
          <w:lang w:eastAsia="zh-CN"/>
        </w:rPr>
        <w:t>采购人</w:t>
      </w:r>
      <w:r>
        <w:rPr>
          <w:rFonts w:hint="eastAsia"/>
        </w:rPr>
        <w:t>沟通，如协商同意，可决定为</w:t>
      </w:r>
      <w:r>
        <w:rPr>
          <w:rFonts w:hint="eastAsia"/>
          <w:lang w:eastAsia="zh-CN"/>
        </w:rPr>
        <w:t>采购人</w:t>
      </w:r>
      <w:r>
        <w:rPr>
          <w:rFonts w:hint="eastAsia"/>
        </w:rPr>
        <w:t>提供力所能及的附加服务，费用另结。</w:t>
      </w:r>
    </w:p>
    <w:p>
      <w:pPr>
        <w:spacing w:line="360" w:lineRule="auto"/>
        <w:ind w:left="-2" w:leftChars="-1"/>
      </w:pPr>
      <w:r>
        <w:rPr>
          <w:rFonts w:hint="eastAsia"/>
        </w:rPr>
        <w:t>3、物业管理服务人员应经过培训并按国家行政主管部门规定持证上岗，遵纪守法，严禁违章作业，项目执行情况应有完整的日志和台账，季度小结和年度总结，项目参与者应遵守</w:t>
      </w:r>
      <w:r>
        <w:rPr>
          <w:rFonts w:hint="eastAsia"/>
          <w:lang w:eastAsia="zh-CN"/>
        </w:rPr>
        <w:t>采购人</w:t>
      </w:r>
      <w:r>
        <w:rPr>
          <w:rFonts w:hint="eastAsia"/>
        </w:rPr>
        <w:t>的规章制度，不可泄露</w:t>
      </w:r>
      <w:r>
        <w:rPr>
          <w:rFonts w:hint="eastAsia"/>
          <w:lang w:eastAsia="zh-CN"/>
        </w:rPr>
        <w:t>采购人</w:t>
      </w:r>
      <w:r>
        <w:rPr>
          <w:rFonts w:hint="eastAsia"/>
        </w:rPr>
        <w:t>的秘密，其工作同时接受</w:t>
      </w:r>
      <w:r>
        <w:rPr>
          <w:rFonts w:hint="eastAsia"/>
          <w:lang w:eastAsia="zh-CN"/>
        </w:rPr>
        <w:t>采购人</w:t>
      </w:r>
      <w:r>
        <w:rPr>
          <w:rFonts w:hint="eastAsia"/>
        </w:rPr>
        <w:t>的监督考核。</w:t>
      </w:r>
    </w:p>
    <w:p>
      <w:pPr>
        <w:spacing w:line="360" w:lineRule="auto"/>
        <w:ind w:left="-2" w:leftChars="-1"/>
      </w:pPr>
      <w:r>
        <w:rPr>
          <w:rFonts w:hint="eastAsia"/>
        </w:rPr>
        <w:t>4、各类服务相互协调；人员调派和作业时间安排不得违反劳动法和行政部门的资质规定。在一视同仁，不予歧视和排斥的前提下，兼顾岗位对人员的特殊要求。</w:t>
      </w:r>
    </w:p>
    <w:p>
      <w:pPr>
        <w:spacing w:line="360" w:lineRule="auto"/>
        <w:ind w:left="-2" w:leftChars="-1"/>
      </w:pPr>
      <w:r>
        <w:rPr>
          <w:rFonts w:hint="eastAsia"/>
        </w:rPr>
        <w:t>5、对</w:t>
      </w:r>
      <w:r>
        <w:rPr>
          <w:rFonts w:hint="eastAsia"/>
          <w:lang w:eastAsia="zh-CN"/>
        </w:rPr>
        <w:t>采购人</w:t>
      </w:r>
      <w:r>
        <w:rPr>
          <w:rFonts w:hint="eastAsia"/>
        </w:rPr>
        <w:t>日常业务所需资源和相关设备设施、包括施工和服务安排专人巡视、检查，发现问题，及时处理，将一切可能发生的故障隐患消灭在萌芽中。</w:t>
      </w:r>
    </w:p>
    <w:p>
      <w:pPr>
        <w:spacing w:line="360" w:lineRule="auto"/>
        <w:ind w:left="-2" w:leftChars="-1"/>
      </w:pPr>
      <w:r>
        <w:rPr>
          <w:rFonts w:hint="eastAsia"/>
        </w:rPr>
        <w:t>6、执行重大事项报告制度，遇到险情和重大事故，或对违规行为劝阻无效时，立即向上级和当地行政主管部门报告，并及时通知</w:t>
      </w:r>
      <w:r>
        <w:rPr>
          <w:rFonts w:hint="eastAsia"/>
          <w:lang w:eastAsia="zh-CN"/>
        </w:rPr>
        <w:t>采购人</w:t>
      </w:r>
      <w:r>
        <w:rPr>
          <w:rFonts w:hint="eastAsia"/>
        </w:rPr>
        <w:t>。</w:t>
      </w:r>
    </w:p>
    <w:p>
      <w:pPr>
        <w:spacing w:line="360" w:lineRule="auto"/>
      </w:pPr>
      <w:r>
        <w:rPr>
          <w:rFonts w:hint="eastAsia"/>
        </w:rPr>
        <w:t>7、对外包服务和外来施工的监管：</w:t>
      </w:r>
    </w:p>
    <w:p>
      <w:pPr>
        <w:spacing w:line="360" w:lineRule="auto"/>
      </w:pPr>
      <w:r>
        <w:rPr>
          <w:rFonts w:hint="eastAsia"/>
        </w:rPr>
        <w:t>（1）查验登记相关资质和证明或批准文件；</w:t>
      </w:r>
    </w:p>
    <w:p>
      <w:pPr>
        <w:spacing w:line="360" w:lineRule="auto"/>
      </w:pPr>
      <w:r>
        <w:rPr>
          <w:rFonts w:hint="eastAsia"/>
        </w:rPr>
        <w:t>（2）有关作业计划、方案和图纸等存档备案；</w:t>
      </w:r>
    </w:p>
    <w:p>
      <w:pPr>
        <w:spacing w:line="360" w:lineRule="auto"/>
      </w:pPr>
      <w:r>
        <w:rPr>
          <w:rFonts w:hint="eastAsia"/>
        </w:rPr>
        <w:t>（3）告知相关注意事项；</w:t>
      </w:r>
    </w:p>
    <w:p>
      <w:pPr>
        <w:spacing w:line="360" w:lineRule="auto"/>
        <w:ind w:left="-2" w:leftChars="-1"/>
      </w:pPr>
      <w:r>
        <w:rPr>
          <w:rFonts w:hint="eastAsia"/>
        </w:rPr>
        <w:t>（4）巡视或监督及配合作业过程，维修作业留下作业前后影像资料、在隐蔽工程结束前留下影像资料存档；</w:t>
      </w:r>
    </w:p>
    <w:p>
      <w:pPr>
        <w:spacing w:line="360" w:lineRule="auto"/>
        <w:ind w:left="-2" w:leftChars="-1"/>
      </w:pPr>
      <w:r>
        <w:rPr>
          <w:rFonts w:hint="eastAsia"/>
        </w:rPr>
        <w:t>（5）及时向</w:t>
      </w:r>
      <w:r>
        <w:rPr>
          <w:rFonts w:hint="eastAsia"/>
          <w:lang w:eastAsia="zh-CN"/>
        </w:rPr>
        <w:t>采购人</w:t>
      </w:r>
      <w:r>
        <w:rPr>
          <w:rFonts w:hint="eastAsia"/>
        </w:rPr>
        <w:t>和有关部门报告异常情况、劝阻违规作业并取证、发生事故时保护现场；</w:t>
      </w:r>
    </w:p>
    <w:p>
      <w:pPr>
        <w:spacing w:line="360" w:lineRule="auto"/>
      </w:pPr>
      <w:r>
        <w:rPr>
          <w:rFonts w:hint="eastAsia"/>
        </w:rPr>
        <w:t>（6）作业结束参与验收，并做好记录。</w:t>
      </w:r>
    </w:p>
    <w:p>
      <w:pPr>
        <w:pStyle w:val="3"/>
        <w:spacing w:line="360" w:lineRule="auto"/>
        <w:rPr>
          <w:sz w:val="24"/>
          <w:szCs w:val="24"/>
        </w:rPr>
      </w:pPr>
    </w:p>
    <w:p>
      <w:pPr>
        <w:pStyle w:val="3"/>
        <w:spacing w:line="360" w:lineRule="auto"/>
        <w:rPr>
          <w:b/>
          <w:bCs/>
        </w:rPr>
      </w:pPr>
      <w:r>
        <w:rPr>
          <w:rFonts w:hint="eastAsia"/>
          <w:b/>
        </w:rPr>
        <w:t>（</w:t>
      </w:r>
      <w:r>
        <w:rPr>
          <w:rFonts w:hint="eastAsia"/>
          <w:b/>
          <w:bCs/>
        </w:rPr>
        <w:t>二）保安管理要求与服务标准</w:t>
      </w:r>
    </w:p>
    <w:p>
      <w:pPr>
        <w:pStyle w:val="3"/>
        <w:spacing w:line="360" w:lineRule="auto"/>
        <w:ind w:firstLine="480"/>
      </w:pPr>
      <w:r>
        <w:rPr>
          <w:rFonts w:hint="eastAsia"/>
        </w:rPr>
        <w:t>提供保安服务的单位和从业人员必须符合《保安服务管理条例》相关要求，并在其规定的权限内提供服务。具体内容如下：</w:t>
      </w:r>
    </w:p>
    <w:p>
      <w:pPr>
        <w:pStyle w:val="3"/>
        <w:spacing w:line="360" w:lineRule="auto"/>
        <w:rPr>
          <w:b/>
          <w:bCs/>
        </w:rPr>
      </w:pPr>
      <w:r>
        <w:rPr>
          <w:rFonts w:hint="eastAsia"/>
          <w:b/>
          <w:bCs/>
        </w:rPr>
        <w:t>1、巡逻、监控及消防管理</w:t>
      </w:r>
    </w:p>
    <w:p>
      <w:pPr>
        <w:pStyle w:val="3"/>
        <w:spacing w:line="360" w:lineRule="auto"/>
      </w:pPr>
      <w:r>
        <w:rPr>
          <w:rFonts w:hint="eastAsia"/>
        </w:rPr>
        <w:t>（1）全天候负责区域内正门、边门、区域通道、围墙、办公区域、马兰花剧场和微剧场、大小广场、草坪及公共走道交通及</w:t>
      </w:r>
      <w:r>
        <w:t>24</w:t>
      </w:r>
      <w:r>
        <w:rPr>
          <w:rFonts w:hint="eastAsia"/>
        </w:rPr>
        <w:t>小时保安、巡逻、值勤。</w:t>
      </w:r>
    </w:p>
    <w:p>
      <w:pPr>
        <w:pStyle w:val="3"/>
        <w:spacing w:line="360" w:lineRule="auto"/>
      </w:pPr>
      <w:r>
        <w:rPr>
          <w:rFonts w:hint="eastAsia"/>
        </w:rPr>
        <w:t>（2）办公楼（区域）来人来访人员通报、登记、证件检查等。</w:t>
      </w:r>
    </w:p>
    <w:p>
      <w:pPr>
        <w:pStyle w:val="3"/>
        <w:spacing w:line="360" w:lineRule="auto"/>
      </w:pPr>
      <w:r>
        <w:rPr>
          <w:rFonts w:hint="eastAsia"/>
        </w:rPr>
        <w:t>（3）积极配合公安部门工作，完善监控室管理制度。</w:t>
      </w:r>
    </w:p>
    <w:p>
      <w:pPr>
        <w:pStyle w:val="3"/>
        <w:spacing w:line="360" w:lineRule="auto"/>
      </w:pPr>
      <w:r>
        <w:rPr>
          <w:rFonts w:hint="eastAsia"/>
        </w:rPr>
        <w:t>（4）贯彻执行公安部门关于保安保卫工作方针、政策和有关条例。</w:t>
      </w:r>
    </w:p>
    <w:p>
      <w:pPr>
        <w:pStyle w:val="3"/>
        <w:spacing w:line="360" w:lineRule="auto"/>
      </w:pPr>
      <w:r>
        <w:rPr>
          <w:rFonts w:hint="eastAsia"/>
        </w:rPr>
        <w:t>（5）坚决制止物业管理区域内的不文明及违法行为。因业主单位为未成年人开放区域，保安人员应态度温和，注意管理的方式方法。</w:t>
      </w:r>
    </w:p>
    <w:p>
      <w:pPr>
        <w:pStyle w:val="3"/>
        <w:spacing w:line="360" w:lineRule="auto"/>
      </w:pPr>
      <w:r>
        <w:rPr>
          <w:rFonts w:hint="eastAsia"/>
        </w:rPr>
        <w:t>（6）积极开展防盗、防火宣传，定期组织防火演练或培训。</w:t>
      </w:r>
    </w:p>
    <w:p>
      <w:pPr>
        <w:pStyle w:val="3"/>
        <w:spacing w:line="360" w:lineRule="auto"/>
      </w:pPr>
      <w:r>
        <w:rPr>
          <w:rFonts w:hint="eastAsia"/>
        </w:rPr>
        <w:t>（7）保安巡逻范围包括区域的公共道路、绿地带、和各办公楼的各楼层。</w:t>
      </w:r>
    </w:p>
    <w:p>
      <w:pPr>
        <w:pStyle w:val="3"/>
        <w:spacing w:line="360" w:lineRule="auto"/>
      </w:pPr>
      <w:r>
        <w:rPr>
          <w:rFonts w:hint="eastAsia"/>
        </w:rPr>
        <w:t>（8）协助业主安全办处理各种突发应急、特殊天气引发的安全事件，并予以记录并报告。</w:t>
      </w:r>
    </w:p>
    <w:p>
      <w:pPr>
        <w:pStyle w:val="3"/>
        <w:spacing w:line="360" w:lineRule="auto"/>
      </w:pPr>
      <w:r>
        <w:rPr>
          <w:rFonts w:hint="eastAsia"/>
        </w:rPr>
        <w:t>（9）实施三级防火责任制和岗位责任制，建立健全防火制度和安全操作制度。</w:t>
      </w:r>
    </w:p>
    <w:p>
      <w:pPr>
        <w:pStyle w:val="3"/>
        <w:spacing w:line="360" w:lineRule="auto"/>
      </w:pPr>
      <w:r>
        <w:rPr>
          <w:rFonts w:hint="eastAsia"/>
        </w:rPr>
        <w:t>（10）定期巡视、试验、配合甲方消防维保单位维修、更新消防器材和设备，协助消防维保单位有关人员负责保养、维修和管理。</w:t>
      </w:r>
    </w:p>
    <w:p>
      <w:pPr>
        <w:pStyle w:val="3"/>
        <w:spacing w:line="360" w:lineRule="auto"/>
      </w:pPr>
      <w:r>
        <w:rPr>
          <w:rFonts w:hint="eastAsia"/>
        </w:rPr>
        <w:t>（11）建筑物内严禁焚烧物品。建筑物内的走道、楼梯、出口等部位，保持畅通，严禁堆放物品。</w:t>
      </w:r>
    </w:p>
    <w:p>
      <w:pPr>
        <w:pStyle w:val="3"/>
        <w:spacing w:line="360" w:lineRule="auto"/>
      </w:pPr>
      <w:r>
        <w:rPr>
          <w:rFonts w:hint="eastAsia"/>
        </w:rPr>
        <w:t>（12）保安人员上班时着统一的制服，配戴工作证。执勤人员佩带对讲机、警棒、电筒、防护盾等装备，定期组织防护演练或培训。</w:t>
      </w:r>
    </w:p>
    <w:p>
      <w:pPr>
        <w:pStyle w:val="3"/>
        <w:spacing w:line="360" w:lineRule="auto"/>
        <w:ind w:firstLine="420"/>
      </w:pPr>
      <w:r>
        <w:rPr>
          <w:rFonts w:hint="eastAsia"/>
        </w:rPr>
        <w:t>服务标准：建立办公楼（区域）传达、保安、公共秩序等管理制度并认真落实，确保办公楼（区域）安全和正常的工作环境，严格证件登记，杜绝闲杂人员进入办公楼（区域）。环境秩序良好，维护和保证防盗、防火报警、监控设备的正常运行。对办公区域安全状况进行</w:t>
      </w:r>
      <w:r>
        <w:t>24</w:t>
      </w:r>
      <w:r>
        <w:rPr>
          <w:rFonts w:hint="eastAsia"/>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t>1</w:t>
      </w:r>
      <w:r>
        <w:rPr>
          <w:rFonts w:hint="eastAsia"/>
        </w:rPr>
        <w:t>次，发现违法违章行为应及时制止。</w:t>
      </w:r>
    </w:p>
    <w:p>
      <w:pPr>
        <w:pStyle w:val="3"/>
        <w:spacing w:line="360" w:lineRule="auto"/>
        <w:rPr>
          <w:b/>
          <w:bCs/>
        </w:rPr>
      </w:pPr>
      <w:r>
        <w:rPr>
          <w:rFonts w:hint="eastAsia"/>
          <w:b/>
          <w:bCs/>
        </w:rPr>
        <w:t>2、车辆管理</w:t>
      </w:r>
    </w:p>
    <w:p>
      <w:pPr>
        <w:pStyle w:val="3"/>
        <w:spacing w:line="360" w:lineRule="auto"/>
      </w:pPr>
      <w:r>
        <w:rPr>
          <w:rFonts w:hint="eastAsia"/>
        </w:rPr>
        <w:t>（1）制定停车使用条例，停车管理规定。</w:t>
      </w:r>
    </w:p>
    <w:p>
      <w:pPr>
        <w:pStyle w:val="3"/>
        <w:spacing w:line="360" w:lineRule="auto"/>
      </w:pPr>
      <w:r>
        <w:rPr>
          <w:rFonts w:hint="eastAsia"/>
        </w:rPr>
        <w:t>（2）外来车辆进出辖区办理登记手续、记录车牌号码、进出时间。</w:t>
      </w:r>
    </w:p>
    <w:p>
      <w:pPr>
        <w:pStyle w:val="3"/>
        <w:spacing w:line="360" w:lineRule="auto"/>
      </w:pPr>
      <w:r>
        <w:rPr>
          <w:rFonts w:hint="eastAsia"/>
        </w:rPr>
        <w:t>（3）进入辖区停放的车辆，必须停放在划定的车位、车棚内。行车通道、消防通道及非停车位禁止停车。</w:t>
      </w:r>
    </w:p>
    <w:p>
      <w:pPr>
        <w:pStyle w:val="3"/>
        <w:spacing w:line="360" w:lineRule="auto"/>
      </w:pPr>
      <w:r>
        <w:rPr>
          <w:rFonts w:hint="eastAsia"/>
        </w:rPr>
        <w:t>（4）进入辖区的车辆应注意汽车的清洁，严禁鸣笛，限速</w:t>
      </w:r>
      <w:r>
        <w:t>5</w:t>
      </w:r>
      <w:r>
        <w:rPr>
          <w:rFonts w:hint="eastAsia"/>
        </w:rPr>
        <w:t>公里／小时行驶。</w:t>
      </w:r>
    </w:p>
    <w:p>
      <w:pPr>
        <w:pStyle w:val="3"/>
        <w:spacing w:line="360" w:lineRule="auto"/>
      </w:pPr>
      <w:r>
        <w:rPr>
          <w:rFonts w:hint="eastAsia"/>
        </w:rPr>
        <w:t>（5）保安队员严格执行车辆出入规定。</w:t>
      </w:r>
    </w:p>
    <w:p>
      <w:pPr>
        <w:pStyle w:val="3"/>
        <w:spacing w:line="360" w:lineRule="auto"/>
      </w:pPr>
      <w:r>
        <w:rPr>
          <w:rFonts w:hint="eastAsia"/>
        </w:rPr>
        <w:t>（6）保安队员若发现车辆门、窗没关好，速找车主提醒注意。</w:t>
      </w:r>
    </w:p>
    <w:p>
      <w:pPr>
        <w:pStyle w:val="3"/>
        <w:spacing w:line="360" w:lineRule="auto"/>
        <w:ind w:firstLine="315" w:firstLineChars="150"/>
      </w:pPr>
      <w:r>
        <w:rPr>
          <w:rFonts w:hint="eastAsia"/>
        </w:rPr>
        <w:t>服务标准：确保车辆进出有记录、停放进出井然有序、车道通畅。凡装有易燃、易爆、剧毒物品或有污染性物品的车辆及其他来历不明车辆严禁驶入管理区内。车辆有油污、泥沙遗留的，及时提醒车主及保洁清理。</w:t>
      </w:r>
    </w:p>
    <w:p>
      <w:pPr>
        <w:pStyle w:val="3"/>
        <w:spacing w:line="360" w:lineRule="auto"/>
        <w:rPr>
          <w:sz w:val="24"/>
          <w:szCs w:val="24"/>
        </w:rPr>
      </w:pPr>
    </w:p>
    <w:p>
      <w:pPr>
        <w:pStyle w:val="3"/>
        <w:spacing w:line="360" w:lineRule="auto"/>
        <w:rPr>
          <w:b/>
          <w:bCs/>
        </w:rPr>
      </w:pPr>
      <w:r>
        <w:rPr>
          <w:rFonts w:hint="eastAsia"/>
        </w:rPr>
        <w:t>（</w:t>
      </w:r>
      <w:r>
        <w:rPr>
          <w:rFonts w:hint="eastAsia"/>
          <w:b/>
          <w:bCs/>
        </w:rPr>
        <w:t>三）环境卫生与保洁管理</w:t>
      </w:r>
    </w:p>
    <w:p>
      <w:pPr>
        <w:pStyle w:val="3"/>
        <w:spacing w:line="360" w:lineRule="auto"/>
      </w:pPr>
      <w:r>
        <w:rPr>
          <w:rFonts w:hint="eastAsia"/>
          <w:b/>
          <w:bCs/>
        </w:rPr>
        <w:t>1、基础保洁</w:t>
      </w:r>
    </w:p>
    <w:p>
      <w:pPr>
        <w:pStyle w:val="3"/>
        <w:spacing w:line="360" w:lineRule="auto"/>
      </w:pPr>
      <w:r>
        <w:rPr>
          <w:rFonts w:hint="eastAsia"/>
        </w:rPr>
        <w:t>（1）请专业清洁人员组建公共卫生清洁班，每天打扫公共部分做到杂物、废弃物立即清理。</w:t>
      </w:r>
    </w:p>
    <w:p>
      <w:pPr>
        <w:pStyle w:val="3"/>
        <w:spacing w:line="360" w:lineRule="auto"/>
      </w:pPr>
      <w:r>
        <w:rPr>
          <w:rFonts w:hint="eastAsia"/>
        </w:rPr>
        <w:t>（2）楼（区域）内垃圾实行袋装化，在各楼层公共部位设立公共垃圾箱，在露天公共部位设立杂物箱，由清洁工清运、处理（包括联系环卫部门运出处理目前保洁日常干湿垃圾做到日清日运送至隔壁639号垃圾房）。</w:t>
      </w:r>
    </w:p>
    <w:p>
      <w:pPr>
        <w:pStyle w:val="3"/>
        <w:spacing w:line="360" w:lineRule="auto"/>
      </w:pPr>
      <w:r>
        <w:rPr>
          <w:rFonts w:hint="eastAsia"/>
        </w:rPr>
        <w:t>（3）区域垃圾实行分类收集（干垃圾、湿垃圾、可回收垃圾），从而达到更高层次的环保效果。</w:t>
      </w:r>
    </w:p>
    <w:p>
      <w:pPr>
        <w:pStyle w:val="3"/>
        <w:spacing w:line="360" w:lineRule="auto"/>
      </w:pPr>
      <w:r>
        <w:rPr>
          <w:rFonts w:hint="eastAsia"/>
        </w:rPr>
        <w:t>（4）及时清扫大区域地面积水、垃圾、烟头等，使地面保持干净、无杂物、无积水等。</w:t>
      </w:r>
    </w:p>
    <w:p>
      <w:pPr>
        <w:pStyle w:val="3"/>
        <w:spacing w:line="360" w:lineRule="auto"/>
      </w:pPr>
      <w:r>
        <w:rPr>
          <w:rFonts w:hint="eastAsia"/>
        </w:rPr>
        <w:t>（5）对公共道路上之汽车道闸、垃圾筒等定期清洁或清洗，停车场、地面道路定期高压冲洗。</w:t>
      </w:r>
    </w:p>
    <w:p>
      <w:pPr>
        <w:pStyle w:val="3"/>
        <w:spacing w:line="360" w:lineRule="auto"/>
      </w:pPr>
      <w:r>
        <w:rPr>
          <w:rFonts w:hint="eastAsia"/>
        </w:rPr>
        <w:t>（6）对设备、设施的表面进行清洁、抹净处理，保持洁净。</w:t>
      </w:r>
    </w:p>
    <w:p>
      <w:pPr>
        <w:pStyle w:val="3"/>
        <w:spacing w:line="360" w:lineRule="auto"/>
      </w:pPr>
      <w:r>
        <w:rPr>
          <w:rFonts w:hint="eastAsia"/>
        </w:rPr>
        <w:t>（8）将楼层的垃圾清运、处理，对楼内公共（区域）进行擦抹保洁。</w:t>
      </w:r>
    </w:p>
    <w:p>
      <w:pPr>
        <w:pStyle w:val="3"/>
        <w:spacing w:line="360" w:lineRule="auto"/>
      </w:pPr>
      <w:r>
        <w:rPr>
          <w:rFonts w:hint="eastAsia"/>
        </w:rPr>
        <w:t>（9）对人员出入频繁之地，进行不间断的走动保洁。</w:t>
      </w:r>
    </w:p>
    <w:p>
      <w:pPr>
        <w:pStyle w:val="3"/>
        <w:spacing w:line="360" w:lineRule="auto"/>
      </w:pPr>
      <w:r>
        <w:rPr>
          <w:rFonts w:hint="eastAsia"/>
        </w:rPr>
        <w:t>（10）清扫、拖洗属于公共区域室内外的地面。</w:t>
      </w:r>
    </w:p>
    <w:p>
      <w:pPr>
        <w:pStyle w:val="3"/>
        <w:spacing w:line="360" w:lineRule="auto"/>
      </w:pPr>
      <w:r>
        <w:rPr>
          <w:rFonts w:hint="eastAsia"/>
        </w:rPr>
        <w:t>（11）擦净、抹净各楼层内会议室、接待室、图书馆、休息室、餐厅等内的桌、椅台面、文件柜等家具（外表）。</w:t>
      </w:r>
    </w:p>
    <w:p>
      <w:pPr>
        <w:pStyle w:val="3"/>
        <w:spacing w:line="360" w:lineRule="auto"/>
      </w:pPr>
      <w:r>
        <w:rPr>
          <w:rFonts w:hint="eastAsia"/>
        </w:rPr>
        <w:t>（12）定期清扫各楼天台、平台、天沟、地沟(机房由工程部自行打扫，外来人员不入内)。</w:t>
      </w:r>
    </w:p>
    <w:p>
      <w:pPr>
        <w:pStyle w:val="3"/>
        <w:spacing w:line="360" w:lineRule="auto"/>
      </w:pPr>
      <w:r>
        <w:rPr>
          <w:rFonts w:hint="eastAsia"/>
        </w:rPr>
        <w:t>（13）清洗及保洁各楼层的洗手间、更换卫生纸、洗手液、洁瓷精。抹净各类洁具等工作。</w:t>
      </w:r>
    </w:p>
    <w:p>
      <w:pPr>
        <w:pStyle w:val="3"/>
        <w:spacing w:line="360" w:lineRule="auto"/>
      </w:pPr>
      <w:r>
        <w:rPr>
          <w:rFonts w:hint="eastAsia"/>
        </w:rPr>
        <w:t>（14）定时收集各楼层内之生活垃圾，并更换垃圾袋，定期清洁垃圾筒等，保持洁净。</w:t>
      </w:r>
    </w:p>
    <w:p>
      <w:pPr>
        <w:pStyle w:val="3"/>
        <w:spacing w:line="360" w:lineRule="auto"/>
      </w:pPr>
      <w:r>
        <w:rPr>
          <w:rFonts w:hint="eastAsia"/>
        </w:rPr>
        <w:t>（15）定期、定点、定计划使用专业消毒、杀虫害等药剂进行环保消杀工作。</w:t>
      </w:r>
    </w:p>
    <w:p>
      <w:pPr>
        <w:pStyle w:val="3"/>
        <w:spacing w:line="360" w:lineRule="auto"/>
      </w:pPr>
      <w:r>
        <w:rPr>
          <w:rFonts w:hint="eastAsia"/>
        </w:rPr>
        <w:t>（16）按时清运、处理垃圾、定时高压冲洗收集站内外墙壁及地面、定期进行灭虫、消毒。</w:t>
      </w:r>
    </w:p>
    <w:p>
      <w:pPr>
        <w:pStyle w:val="3"/>
        <w:spacing w:line="360" w:lineRule="auto"/>
      </w:pPr>
      <w:r>
        <w:rPr>
          <w:rFonts w:hint="eastAsia"/>
        </w:rPr>
        <w:t>（17）保持大楼原有的建筑风貌，如院方有清洗外墙的需求，</w:t>
      </w:r>
      <w:r>
        <w:rPr>
          <w:rFonts w:hint="eastAsia"/>
          <w:lang w:eastAsia="zh-CN"/>
        </w:rPr>
        <w:t>供应商</w:t>
      </w:r>
      <w:r>
        <w:rPr>
          <w:rFonts w:hint="eastAsia"/>
        </w:rPr>
        <w:t>可以有偿提供，费用需另结，使物业持久如新。</w:t>
      </w:r>
    </w:p>
    <w:p>
      <w:pPr>
        <w:pStyle w:val="3"/>
        <w:spacing w:line="360" w:lineRule="auto"/>
      </w:pPr>
      <w:r>
        <w:rPr>
          <w:rFonts w:hint="eastAsia"/>
        </w:rPr>
        <w:t>（18）办公室的保洁。</w:t>
      </w:r>
    </w:p>
    <w:p>
      <w:pPr>
        <w:pStyle w:val="3"/>
        <w:spacing w:line="360" w:lineRule="auto"/>
      </w:pPr>
      <w:r>
        <w:rPr>
          <w:rFonts w:hint="eastAsia"/>
        </w:rPr>
        <w:t>（19）清理花坛、草坪、喷水池中的落叶、垃圾，广场地面保持干净，无明显污渍。</w:t>
      </w:r>
    </w:p>
    <w:p>
      <w:pPr>
        <w:spacing w:line="360" w:lineRule="auto"/>
        <w:ind w:firstLine="420" w:firstLineChars="200"/>
      </w:pPr>
      <w:r>
        <w:rPr>
          <w:rFonts w:hint="eastAsia"/>
        </w:rPr>
        <w:t>服务标准：建立办公楼（区域）、剧场环境管理制度并认真落实，环卫设施齐备，实行标准化清扫保洁，由专人负责检查监督，清洁率</w:t>
      </w:r>
      <w:r>
        <w:t>100%</w:t>
      </w:r>
      <w:r>
        <w:rPr>
          <w:rFonts w:hint="eastAsia"/>
        </w:rPr>
        <w:t>。具体区域标准要求如下：</w:t>
      </w:r>
    </w:p>
    <w:p>
      <w:pPr>
        <w:spacing w:line="360" w:lineRule="auto"/>
      </w:pPr>
      <w:r>
        <w:rPr>
          <w:rFonts w:hint="eastAsia"/>
        </w:rPr>
        <w:t>外围及周边道路地面干净无杂物、无积水，无明显污迹、油渍；明沟、窨井内无杂物、无异味；各种标示标牌表面干净无积尘、无水印；路灯表面干净无污渍。</w:t>
      </w:r>
    </w:p>
    <w:p>
      <w:pPr>
        <w:spacing w:line="360" w:lineRule="auto"/>
      </w:pPr>
      <w:r>
        <w:t>草坪、</w:t>
      </w:r>
      <w:r>
        <w:rPr>
          <w:rFonts w:hint="eastAsia"/>
        </w:rPr>
        <w:t>绿化带及水池绿地内无杂物，花台表面干净无污渍，水池内水质清澈，池内无漂浮物，池壁无青苔等污垢，水池无异味。</w:t>
      </w:r>
    </w:p>
    <w:p>
      <w:pPr>
        <w:spacing w:line="360" w:lineRule="auto"/>
        <w:ind w:firstLine="420" w:firstLineChars="200"/>
      </w:pPr>
      <w:r>
        <w:rPr>
          <w:rFonts w:hint="eastAsia"/>
        </w:rPr>
        <w:t>剧场、大厅、楼内，公共通道地面干净、无污渍，有光泽，保持地面材质原貌；门框、窗框、窗台、金属件表面光亮、无灰尘、无污渍；门窗玻璃干净无尘，透光性好，无明显印迹；金属件表面干净，无污渍，有金属光泽；门把手干净、无印迹、定时消毒；天花板干净，无污渍、无蛛网；灯具干净无积尘，中央空调风口干净，无污迹，进出口地垫摆放整齐，表面干净无杂物，盆栽植物无积尘。</w:t>
      </w:r>
    </w:p>
    <w:p>
      <w:pPr>
        <w:spacing w:line="360" w:lineRule="auto"/>
        <w:ind w:firstLine="420" w:firstLineChars="200"/>
      </w:pPr>
      <w:r>
        <w:rPr>
          <w:rFonts w:hint="eastAsia"/>
        </w:rPr>
        <w:t>会议室、接待室地面、墙面、干净，无灰尘、污渍；天花板、风口目视无灰尘、污渍；</w:t>
      </w:r>
    </w:p>
    <w:p>
      <w:pPr>
        <w:spacing w:line="360" w:lineRule="auto"/>
      </w:pPr>
      <w:r>
        <w:rPr>
          <w:rFonts w:hint="eastAsia"/>
        </w:rPr>
        <w:t>桌椅干净，物品摆放整齐、有序。</w:t>
      </w:r>
    </w:p>
    <w:p>
      <w:pPr>
        <w:spacing w:line="360" w:lineRule="auto"/>
        <w:ind w:firstLine="420" w:firstLineChars="200"/>
      </w:pPr>
      <w:r>
        <w:rPr>
          <w:rFonts w:hint="eastAsia"/>
        </w:rPr>
        <w:t>楼梯及楼梯间梯步表面干净无污渍，防滑条</w:t>
      </w:r>
      <w:r>
        <w:t>(</w:t>
      </w:r>
      <w:r>
        <w:rPr>
          <w:rFonts w:hint="eastAsia"/>
        </w:rPr>
        <w:t>缝</w:t>
      </w:r>
      <w:r>
        <w:t>)</w:t>
      </w:r>
      <w:r>
        <w:rPr>
          <w:rFonts w:hint="eastAsia"/>
        </w:rPr>
        <w:t>干净，扶手栏杆表面干净无灰尘，防火门及闭门器表面干净无污渍，墙面、天花板无积尘、蛛网。</w:t>
      </w:r>
    </w:p>
    <w:p>
      <w:pPr>
        <w:spacing w:line="360" w:lineRule="auto"/>
        <w:ind w:firstLine="420" w:firstLineChars="200"/>
      </w:pPr>
      <w:r>
        <w:rPr>
          <w:rFonts w:hint="eastAsia"/>
        </w:rPr>
        <w:t>公共卫生间地面干净，无污渍、无积水，大小便器表面干净，无污渍，有光泽；各种隔断表面干净，无乱写乱画，金属饰件表面干净，无污迹，有金属光泽；墙壁表面干净。露天停车场地面干净，无杂物，无明显油渍、污渍；顶部各种管网、灯具表面干净无积尘、蛛网；墙面干净无积尘，各种指示牌表面干净有光泽；消防器材表面干净，摆放整齐；减速</w:t>
      </w:r>
    </w:p>
    <w:p>
      <w:pPr>
        <w:spacing w:line="360" w:lineRule="auto"/>
      </w:pPr>
      <w:r>
        <w:rPr>
          <w:rFonts w:hint="eastAsia"/>
        </w:rPr>
        <w:t>带表面干净无明显污迹，各种道闸表面无灰尘。</w:t>
      </w:r>
    </w:p>
    <w:p>
      <w:pPr>
        <w:spacing w:line="360" w:lineRule="auto"/>
        <w:ind w:firstLine="420" w:firstLineChars="200"/>
      </w:pPr>
      <w:r>
        <w:rPr>
          <w:rFonts w:hint="eastAsia"/>
        </w:rPr>
        <w:t>开水间及清洁间地面干净，无杂物、无积水，地垫摆放整齐干净，天花板干净无蛛网，</w:t>
      </w:r>
    </w:p>
    <w:p>
      <w:pPr>
        <w:spacing w:line="360" w:lineRule="auto"/>
      </w:pPr>
      <w:r>
        <w:rPr>
          <w:rFonts w:hint="eastAsia"/>
        </w:rPr>
        <w:t>灯罩表面无积尘、蛛网，墙面干净无污渍，各种物品表面干净无渍，清洁工具摆放整齐有序，</w:t>
      </w:r>
    </w:p>
    <w:p>
      <w:pPr>
        <w:spacing w:line="360" w:lineRule="auto"/>
      </w:pPr>
      <w:r>
        <w:rPr>
          <w:rFonts w:hint="eastAsia"/>
        </w:rPr>
        <w:t>室内无明显异味。</w:t>
      </w:r>
    </w:p>
    <w:p>
      <w:pPr>
        <w:spacing w:line="360" w:lineRule="auto"/>
        <w:ind w:firstLine="420" w:firstLineChars="200"/>
      </w:pPr>
      <w:r>
        <w:rPr>
          <w:rFonts w:hint="eastAsia"/>
        </w:rPr>
        <w:t>灯泡、灯管、灯罩无积尘、无污迹。装饰件无积尘、无污迹；开关、插座、配电箱无积尘、无明显污迹。</w:t>
      </w:r>
    </w:p>
    <w:p>
      <w:pPr>
        <w:spacing w:line="360" w:lineRule="auto"/>
        <w:ind w:firstLine="420" w:firstLineChars="200"/>
      </w:pPr>
      <w:r>
        <w:rPr>
          <w:rFonts w:hint="eastAsia"/>
        </w:rPr>
        <w:t>垃圾桶及果皮桶、箱按指定位置摆放，桶身表面干净无污渍无痰迹；烟灰缸内烟头不应超过</w:t>
      </w:r>
      <w:r>
        <w:t>3</w:t>
      </w:r>
      <w:r>
        <w:rPr>
          <w:rFonts w:hint="eastAsia"/>
        </w:rPr>
        <w:t>个，垃圾不应超过</w:t>
      </w:r>
      <w:r>
        <w:t>2</w:t>
      </w:r>
      <w:r>
        <w:rPr>
          <w:rFonts w:hint="eastAsia"/>
        </w:rPr>
        <w:t>／</w:t>
      </w:r>
      <w:r>
        <w:t>3</w:t>
      </w:r>
      <w:r>
        <w:rPr>
          <w:rFonts w:hint="eastAsia"/>
        </w:rPr>
        <w:t>，内胆应定期清洁、消毒。</w:t>
      </w:r>
    </w:p>
    <w:p>
      <w:pPr>
        <w:spacing w:line="360" w:lineRule="auto"/>
        <w:ind w:firstLine="420" w:firstLineChars="200"/>
      </w:pPr>
      <w:r>
        <w:rPr>
          <w:rFonts w:hint="eastAsia"/>
        </w:rPr>
        <w:t>消防栓、消防箱，公共设施保持表面干净，无灰尘、无污渍。报警器、火警通讯电话</w:t>
      </w:r>
    </w:p>
    <w:p>
      <w:pPr>
        <w:spacing w:line="360" w:lineRule="auto"/>
      </w:pPr>
      <w:r>
        <w:rPr>
          <w:rFonts w:hint="eastAsia"/>
        </w:rPr>
        <w:t>插座、灭火器表面光亮、无积尘、无污迹；喷淋盖、烟感器、扬声器无积尘、无污渍。监控</w:t>
      </w:r>
    </w:p>
    <w:p>
      <w:pPr>
        <w:spacing w:line="360" w:lineRule="auto"/>
      </w:pPr>
      <w:r>
        <w:rPr>
          <w:rFonts w:hint="eastAsia"/>
        </w:rPr>
        <w:t>摄像头、门警器表面光亮、无积尘、无斑点；消防栓外表面光亮、无印迹、无积尘，内侧无</w:t>
      </w:r>
    </w:p>
    <w:p>
      <w:pPr>
        <w:spacing w:line="360" w:lineRule="auto"/>
      </w:pPr>
      <w:r>
        <w:rPr>
          <w:rFonts w:hint="eastAsia"/>
        </w:rPr>
        <w:t>积尘、无污迹。</w:t>
      </w:r>
    </w:p>
    <w:p>
      <w:pPr>
        <w:spacing w:line="360" w:lineRule="auto"/>
        <w:ind w:firstLine="420" w:firstLineChars="200"/>
      </w:pPr>
      <w:r>
        <w:rPr>
          <w:rFonts w:hint="eastAsia"/>
        </w:rPr>
        <w:t>垃圾中转房应专人管理定时开放，袋装垃圾摆放整齐，地面无明显垃圾，无污水外溢，房内应无明显异味，垃圾日产日清。</w:t>
      </w:r>
    </w:p>
    <w:p>
      <w:pPr>
        <w:spacing w:line="360" w:lineRule="auto"/>
        <w:ind w:firstLine="420" w:firstLineChars="200"/>
        <w:rPr>
          <w:sz w:val="24"/>
          <w:szCs w:val="24"/>
        </w:rPr>
      </w:pPr>
      <w:r>
        <w:rPr>
          <w:rFonts w:hint="eastAsia"/>
        </w:rPr>
        <w:t>指示牌无卫生死角、无垃圾堆积，无积尘、目视无蜘蛛网、无明显无污渍、无水渍；指示牌、广告牌无灰尘、无污迹，金属件表面光亮，无痕迹。</w:t>
      </w:r>
    </w:p>
    <w:p>
      <w:pPr>
        <w:pStyle w:val="3"/>
        <w:spacing w:line="360" w:lineRule="auto"/>
        <w:rPr>
          <w:b/>
          <w:bCs/>
        </w:rPr>
      </w:pPr>
      <w:r>
        <w:rPr>
          <w:rFonts w:hint="eastAsia"/>
        </w:rPr>
        <w:t>2、</w:t>
      </w:r>
      <w:r>
        <w:rPr>
          <w:rFonts w:hint="eastAsia"/>
          <w:b/>
          <w:bCs/>
        </w:rPr>
        <w:t>垃圾清运、处理</w:t>
      </w:r>
    </w:p>
    <w:p>
      <w:pPr>
        <w:pStyle w:val="3"/>
        <w:spacing w:line="360" w:lineRule="auto"/>
      </w:pPr>
      <w:r>
        <w:rPr>
          <w:rFonts w:hint="eastAsia"/>
        </w:rPr>
        <w:t>（1）垃圾清运、处理分为：生活垃圾（有机、无机、有害垃圾）清运处理、督促装修队伍装修垃圾清运处理和废纸及可再生废物的回收。所有垃圾清运处理应符合上海市有关法律、法规规定。</w:t>
      </w:r>
    </w:p>
    <w:p>
      <w:pPr>
        <w:pStyle w:val="3"/>
        <w:spacing w:line="360" w:lineRule="auto"/>
      </w:pPr>
      <w:r>
        <w:rPr>
          <w:rFonts w:hint="eastAsia"/>
        </w:rPr>
        <w:t>（2）垃圾清运、处理的范围分为：办公楼之日常办公垃圾，办公楼之日常生活垃圾，餐厅等之日常垃圾，建筑垃圾，公共部位上通道、园林、道路等之综合垃圾。</w:t>
      </w:r>
    </w:p>
    <w:p>
      <w:pPr>
        <w:pStyle w:val="3"/>
        <w:spacing w:line="360" w:lineRule="auto"/>
      </w:pPr>
      <w:r>
        <w:rPr>
          <w:rFonts w:hint="eastAsia"/>
        </w:rPr>
        <w:t>（3）垃圾清运、处理工作分为：每天定时清运、处理</w:t>
      </w:r>
      <w:r>
        <w:t>2</w:t>
      </w:r>
      <w:r>
        <w:rPr>
          <w:rFonts w:hint="eastAsia"/>
        </w:rPr>
        <w:t>次，并将物业项目内所有桶内垃圾清理干净封好胶袋口。</w:t>
      </w:r>
    </w:p>
    <w:p>
      <w:pPr>
        <w:pStyle w:val="3"/>
        <w:spacing w:line="360" w:lineRule="auto"/>
      </w:pPr>
      <w:r>
        <w:rPr>
          <w:rFonts w:hint="eastAsia"/>
        </w:rPr>
        <w:t>服务标准：垃圾的清运、处理，由</w:t>
      </w:r>
      <w:r>
        <w:rPr>
          <w:rFonts w:hint="eastAsia"/>
          <w:lang w:eastAsia="zh-CN"/>
        </w:rPr>
        <w:t>供应商</w:t>
      </w:r>
      <w:r>
        <w:rPr>
          <w:rFonts w:hint="eastAsia"/>
        </w:rPr>
        <w:t>监督，四周必须无散积垃圾、无异味，必须经常喷洒药水，防止发生虫害。所有垃圾必须日产日清，清洁人员每天定时到各点收集废纸及可再生废弃物进行回收、处理。</w:t>
      </w:r>
    </w:p>
    <w:p>
      <w:pPr>
        <w:pStyle w:val="3"/>
        <w:spacing w:line="360" w:lineRule="auto"/>
        <w:rPr>
          <w:b/>
          <w:bCs/>
        </w:rPr>
      </w:pPr>
      <w:r>
        <w:rPr>
          <w:rFonts w:hint="eastAsia"/>
          <w:b/>
          <w:bCs/>
        </w:rPr>
        <w:t>3、污水管理</w:t>
      </w:r>
    </w:p>
    <w:p>
      <w:pPr>
        <w:pStyle w:val="3"/>
        <w:spacing w:line="360" w:lineRule="auto"/>
      </w:pPr>
      <w:r>
        <w:rPr>
          <w:rFonts w:hint="eastAsia"/>
        </w:rPr>
        <w:t>（1）区域内生活污水经污水管道集中排放处理。</w:t>
      </w:r>
    </w:p>
    <w:p>
      <w:pPr>
        <w:pStyle w:val="3"/>
        <w:spacing w:line="360" w:lineRule="auto"/>
      </w:pPr>
      <w:r>
        <w:rPr>
          <w:rFonts w:hint="eastAsia"/>
        </w:rPr>
        <w:t>（2）为保持污水管通畅，保洁员每月对排水沟清扫一次。</w:t>
      </w:r>
      <w:r>
        <w:t>(</w:t>
      </w:r>
      <w:r>
        <w:rPr>
          <w:rFonts w:hint="eastAsia"/>
        </w:rPr>
        <w:t>明沟每周一次，暗沟每月一次</w:t>
      </w:r>
      <w:r>
        <w:t>)</w:t>
      </w:r>
      <w:r>
        <w:rPr>
          <w:rFonts w:hint="eastAsia"/>
        </w:rPr>
        <w:t>。其他卫生间台盆排水管道每月检查1次，如有堵塞应随时处理、无法疏通需及时上报业主维修。</w:t>
      </w:r>
    </w:p>
    <w:p>
      <w:pPr>
        <w:spacing w:line="360" w:lineRule="auto"/>
        <w:ind w:firstLine="420"/>
      </w:pPr>
      <w:r>
        <w:rPr>
          <w:rFonts w:hint="eastAsia"/>
        </w:rPr>
        <w:t>服务标准：每日一次对卫生间台盆排水系统进行检查巡视，定期对排水管进行清通、养护及清除污垢，保证室内外排水系统畅通，保证汛期道路、地下室、设备间无积水和浸泡的现象发生楼面落水管落水口等保持完好，定期检查，如有开裂、破损等及时报告；</w:t>
      </w:r>
    </w:p>
    <w:p>
      <w:pPr>
        <w:pStyle w:val="3"/>
        <w:spacing w:line="360" w:lineRule="auto"/>
        <w:rPr>
          <w:b/>
          <w:bCs/>
        </w:rPr>
      </w:pPr>
      <w:r>
        <w:rPr>
          <w:rFonts w:hint="eastAsia"/>
        </w:rPr>
        <w:t>4、</w:t>
      </w:r>
      <w:r>
        <w:rPr>
          <w:rFonts w:hint="eastAsia"/>
          <w:b/>
          <w:bCs/>
        </w:rPr>
        <w:t>卫生管理</w:t>
      </w:r>
    </w:p>
    <w:p>
      <w:pPr>
        <w:pStyle w:val="3"/>
        <w:tabs>
          <w:tab w:val="left" w:pos="885"/>
        </w:tabs>
        <w:spacing w:line="360" w:lineRule="auto"/>
      </w:pPr>
      <w:r>
        <w:rPr>
          <w:rFonts w:hint="eastAsia"/>
        </w:rPr>
        <w:t>（1）灭鼠、灭蚊、灭苍蝇、灭蟑螂。</w:t>
      </w:r>
    </w:p>
    <w:p>
      <w:pPr>
        <w:pStyle w:val="3"/>
        <w:tabs>
          <w:tab w:val="left" w:pos="885"/>
        </w:tabs>
        <w:spacing w:line="360" w:lineRule="auto"/>
      </w:pPr>
      <w:r>
        <w:rPr>
          <w:rFonts w:hint="eastAsia"/>
        </w:rPr>
        <w:t>（2）科学有效地进行卫生消毒。</w:t>
      </w:r>
    </w:p>
    <w:p>
      <w:pPr>
        <w:pStyle w:val="3"/>
        <w:spacing w:line="360" w:lineRule="auto"/>
      </w:pPr>
      <w:r>
        <w:rPr>
          <w:rFonts w:hint="eastAsia"/>
        </w:rPr>
        <w:t>服务标准：灭鼠、灭蚊、灭苍蝇、灭蟑螂达到全国爱国卫生运动委员会及上海市爱国卫生运动委员会规定的标准；（配合街道灭四害人员上门喷药等）定期科学有效地对办公区进行卫生消毒。在化学防治中注重科学合理用药，不使用国家禁用药品。</w:t>
      </w:r>
    </w:p>
    <w:p>
      <w:pPr>
        <w:pStyle w:val="3"/>
        <w:spacing w:line="360" w:lineRule="auto"/>
      </w:pPr>
    </w:p>
    <w:p>
      <w:pPr>
        <w:pStyle w:val="3"/>
        <w:spacing w:line="360" w:lineRule="auto"/>
        <w:rPr>
          <w:b/>
          <w:bCs/>
        </w:rPr>
      </w:pPr>
      <w:r>
        <w:rPr>
          <w:rFonts w:hint="eastAsia"/>
        </w:rPr>
        <w:t>（</w:t>
      </w:r>
      <w:r>
        <w:rPr>
          <w:rFonts w:hint="eastAsia"/>
          <w:b/>
          <w:bCs/>
        </w:rPr>
        <w:t>四）</w:t>
      </w:r>
      <w:r>
        <w:rPr>
          <w:rFonts w:hint="eastAsia"/>
          <w:b/>
          <w:bCs/>
          <w:kern w:val="0"/>
        </w:rPr>
        <w:t>公共绿地和室内绿化、摆花的养护和管理</w:t>
      </w:r>
    </w:p>
    <w:p>
      <w:pPr>
        <w:pStyle w:val="3"/>
        <w:spacing w:line="360" w:lineRule="auto"/>
      </w:pPr>
      <w:r>
        <w:t>l</w:t>
      </w:r>
      <w:r>
        <w:rPr>
          <w:rFonts w:hint="eastAsia"/>
        </w:rPr>
        <w:t>、专业的绿化管理，每周至少一次浇水，擦叶，除枯枝行使正常的养护和管理工作。</w:t>
      </w:r>
    </w:p>
    <w:p>
      <w:pPr>
        <w:pStyle w:val="3"/>
        <w:spacing w:line="360" w:lineRule="auto"/>
      </w:pPr>
      <w:r>
        <w:t>2</w:t>
      </w:r>
      <w:r>
        <w:rPr>
          <w:rFonts w:hint="eastAsia"/>
        </w:rPr>
        <w:t>、浇水、修剪的范围包括院内办公楼、公共通道、草坪的盆花和树木，定期做养护草木工作。</w:t>
      </w:r>
    </w:p>
    <w:p>
      <w:pPr>
        <w:pStyle w:val="3"/>
        <w:spacing w:line="360" w:lineRule="auto"/>
      </w:pPr>
      <w:r>
        <w:t>3</w:t>
      </w:r>
      <w:r>
        <w:rPr>
          <w:rFonts w:hint="eastAsia"/>
        </w:rPr>
        <w:t>、提供时花、苗木、盆栽及室内绿化、摆花等服务（应列出时花、苗木、盆栽及室内摆花等要求与数量）。</w:t>
      </w:r>
    </w:p>
    <w:p>
      <w:pPr>
        <w:pStyle w:val="3"/>
        <w:spacing w:line="360" w:lineRule="auto"/>
      </w:pPr>
      <w:r>
        <w:rPr>
          <w:rFonts w:hint="eastAsia"/>
        </w:rPr>
        <w:t>4、草坪：</w:t>
      </w:r>
    </w:p>
    <w:p>
      <w:pPr>
        <w:pStyle w:val="3"/>
        <w:spacing w:line="360" w:lineRule="auto"/>
      </w:pPr>
      <w:r>
        <w:t xml:space="preserve">(1) </w:t>
      </w:r>
      <w:r>
        <w:rPr>
          <w:rFonts w:hint="eastAsia"/>
        </w:rPr>
        <w:t>春、夏两季每两个月对草坪进行一次修剪，秋、冬两季根据实际情况进行修剪，必要时进行撒籽补种。</w:t>
      </w:r>
    </w:p>
    <w:p>
      <w:pPr>
        <w:pStyle w:val="3"/>
        <w:spacing w:line="360" w:lineRule="auto"/>
      </w:pPr>
      <w:r>
        <w:t>(2)</w:t>
      </w:r>
      <w:r>
        <w:rPr>
          <w:rFonts w:hint="eastAsia"/>
        </w:rPr>
        <w:t xml:space="preserve"> 基本保证草皮不长于</w:t>
      </w:r>
      <w:r>
        <w:t>5</w:t>
      </w:r>
      <w:r>
        <w:rPr>
          <w:rFonts w:hint="eastAsia"/>
        </w:rPr>
        <w:t>厘米。</w:t>
      </w:r>
    </w:p>
    <w:p>
      <w:pPr>
        <w:pStyle w:val="3"/>
        <w:spacing w:line="360" w:lineRule="auto"/>
      </w:pPr>
      <w:r>
        <w:t xml:space="preserve">(3) </w:t>
      </w:r>
      <w:r>
        <w:rPr>
          <w:rFonts w:hint="eastAsia"/>
        </w:rPr>
        <w:t>每次修剪后对草皮施肥一次，以氮肥为主，结合磷、钾肥等有机肥，保持草坪全年常绿（肥料费用应当包含在报价中）。</w:t>
      </w:r>
    </w:p>
    <w:p>
      <w:pPr>
        <w:pStyle w:val="3"/>
        <w:spacing w:line="360" w:lineRule="auto"/>
      </w:pPr>
      <w:r>
        <w:t xml:space="preserve">(4) </w:t>
      </w:r>
      <w:r>
        <w:rPr>
          <w:rFonts w:hint="eastAsia"/>
        </w:rPr>
        <w:t>草皮杂草每两周巡查拔除，做到每平方米不多于</w:t>
      </w:r>
      <w:r>
        <w:t>5</w:t>
      </w:r>
      <w:r>
        <w:rPr>
          <w:rFonts w:hint="eastAsia"/>
        </w:rPr>
        <w:t>颗杂草。</w:t>
      </w:r>
    </w:p>
    <w:p>
      <w:pPr>
        <w:pStyle w:val="3"/>
        <w:spacing w:line="360" w:lineRule="auto"/>
      </w:pPr>
      <w:r>
        <w:t xml:space="preserve">(5) </w:t>
      </w:r>
      <w:r>
        <w:rPr>
          <w:rFonts w:hint="eastAsia"/>
        </w:rPr>
        <w:t>拾除草坪、花丛内纸屑、果皮等杂物。（6）每年4次对草坪草花进行更换，草花应选用颜色相对鲜艳的品种，避免低俗的色彩搭配。</w:t>
      </w:r>
    </w:p>
    <w:p>
      <w:pPr>
        <w:pStyle w:val="3"/>
        <w:spacing w:line="360" w:lineRule="auto"/>
      </w:pPr>
      <w:r>
        <w:rPr>
          <w:rFonts w:hint="eastAsia"/>
        </w:rPr>
        <w:t>5、绿篱、树木</w:t>
      </w:r>
    </w:p>
    <w:p>
      <w:pPr>
        <w:pStyle w:val="3"/>
        <w:spacing w:line="360" w:lineRule="auto"/>
      </w:pPr>
      <w:r>
        <w:t xml:space="preserve">(1) </w:t>
      </w:r>
      <w:r>
        <w:rPr>
          <w:rFonts w:hint="eastAsia"/>
        </w:rPr>
        <w:t>修剪绿篱做到平整圆滑，造型优美，修剪下的枝叶应立即清除。</w:t>
      </w:r>
    </w:p>
    <w:p>
      <w:pPr>
        <w:pStyle w:val="3"/>
        <w:spacing w:line="360" w:lineRule="auto"/>
      </w:pPr>
      <w:r>
        <w:t xml:space="preserve">(2) </w:t>
      </w:r>
      <w:r>
        <w:rPr>
          <w:rFonts w:hint="eastAsia"/>
        </w:rPr>
        <w:t>绿篱、树木春、夏两季每两个月施肥一次，秋冬两季每</w:t>
      </w:r>
      <w:r>
        <w:t>3</w:t>
      </w:r>
      <w:r>
        <w:rPr>
          <w:rFonts w:hint="eastAsia"/>
        </w:rPr>
        <w:t>个月施肥一次，使用复合肥保征长势旺盛。</w:t>
      </w:r>
    </w:p>
    <w:p>
      <w:pPr>
        <w:pStyle w:val="3"/>
        <w:spacing w:line="360" w:lineRule="auto"/>
      </w:pPr>
      <w:r>
        <w:rPr>
          <w:rFonts w:hint="eastAsia"/>
        </w:rPr>
        <w:t>6、乔灌木、花卉</w:t>
      </w:r>
    </w:p>
    <w:p>
      <w:pPr>
        <w:pStyle w:val="3"/>
        <w:spacing w:line="360" w:lineRule="auto"/>
      </w:pPr>
      <w:r>
        <w:t xml:space="preserve">(1) </w:t>
      </w:r>
      <w:r>
        <w:rPr>
          <w:rFonts w:hint="eastAsia"/>
        </w:rPr>
        <w:t>每月巡查，及时修剪枯枝、病虫枝、下垂妨碍观瞻和活动的枝条，修剪下的枝叶要立即清除。</w:t>
      </w:r>
    </w:p>
    <w:p>
      <w:pPr>
        <w:pStyle w:val="3"/>
        <w:spacing w:line="360" w:lineRule="auto"/>
      </w:pPr>
      <w:r>
        <w:t xml:space="preserve">(2) </w:t>
      </w:r>
      <w:r>
        <w:rPr>
          <w:rFonts w:hint="eastAsia"/>
        </w:rPr>
        <w:t>每</w:t>
      </w:r>
      <w:r>
        <w:t>3</w:t>
      </w:r>
      <w:r>
        <w:rPr>
          <w:rFonts w:hint="eastAsia"/>
        </w:rPr>
        <w:t>个月施肥一次，施用复合肥料，保证长势旺盛。</w:t>
      </w:r>
    </w:p>
    <w:p>
      <w:pPr>
        <w:pStyle w:val="3"/>
        <w:spacing w:line="360" w:lineRule="auto"/>
      </w:pPr>
      <w:r>
        <w:rPr>
          <w:rFonts w:hint="eastAsia"/>
        </w:rPr>
        <w:t>7、室内盆栽</w:t>
      </w:r>
    </w:p>
    <w:p>
      <w:pPr>
        <w:pStyle w:val="3"/>
        <w:spacing w:line="360" w:lineRule="auto"/>
      </w:pPr>
      <w:r>
        <w:rPr>
          <w:rFonts w:hint="eastAsia"/>
        </w:rPr>
        <w:t>及时修剪枯枝、残技，保持室内盆栽常绿不败，每年年前对室内植物进行换新，春节前夕应更新色彩鲜艳的盆花，及时对室内盆栽引起的蚊虫进行处理。</w:t>
      </w:r>
    </w:p>
    <w:p>
      <w:pPr>
        <w:pStyle w:val="3"/>
        <w:spacing w:line="360" w:lineRule="auto"/>
      </w:pPr>
      <w:r>
        <w:t>9</w:t>
      </w:r>
      <w:r>
        <w:rPr>
          <w:rFonts w:hint="eastAsia"/>
        </w:rPr>
        <w:t>、植保</w:t>
      </w:r>
    </w:p>
    <w:p>
      <w:pPr>
        <w:pStyle w:val="3"/>
        <w:spacing w:line="360" w:lineRule="auto"/>
      </w:pPr>
      <w:r>
        <w:t xml:space="preserve">(1) </w:t>
      </w:r>
      <w:r>
        <w:rPr>
          <w:rFonts w:hint="eastAsia"/>
        </w:rPr>
        <w:t>提倡生化物防治、人工防治，使用农药必须以不伤害人体健康为前提，尽量使用高效低毒的农药。</w:t>
      </w:r>
    </w:p>
    <w:p>
      <w:pPr>
        <w:pStyle w:val="3"/>
        <w:spacing w:line="360" w:lineRule="auto"/>
      </w:pPr>
      <w:r>
        <w:t xml:space="preserve">(2) </w:t>
      </w:r>
      <w:r>
        <w:rPr>
          <w:rFonts w:hint="eastAsia"/>
        </w:rPr>
        <w:t>在使用农药时，必须提前向业主报备并做好人员保护措施，必须在晴朗无风的天气一次完成，喷药后</w:t>
      </w:r>
      <w:r>
        <w:t>4</w:t>
      </w:r>
      <w:r>
        <w:rPr>
          <w:rFonts w:hint="eastAsia"/>
        </w:rPr>
        <w:t>小时内下雨的，则待天晴后重喷（农药费用应当包含在报价中）。原则上不在接待日、演出日进行大规模花草种植和喷洒农药等活动。</w:t>
      </w:r>
    </w:p>
    <w:p>
      <w:pPr>
        <w:pStyle w:val="3"/>
        <w:spacing w:line="360" w:lineRule="auto"/>
      </w:pPr>
      <w:r>
        <w:t xml:space="preserve">(3) </w:t>
      </w:r>
      <w:r>
        <w:rPr>
          <w:rFonts w:hint="eastAsia"/>
        </w:rPr>
        <w:t>使用小型喷雾器或手动喷雾器，避免药液扩散，影响他人健康。</w:t>
      </w:r>
    </w:p>
    <w:p>
      <w:pPr>
        <w:pStyle w:val="3"/>
        <w:spacing w:line="360" w:lineRule="auto"/>
      </w:pPr>
      <w:r>
        <w:t xml:space="preserve">(4) </w:t>
      </w:r>
      <w:r>
        <w:rPr>
          <w:rFonts w:hint="eastAsia"/>
        </w:rPr>
        <w:t>上述工作每次完成后，应即时予以记录备案。</w:t>
      </w:r>
    </w:p>
    <w:p>
      <w:pPr>
        <w:pStyle w:val="3"/>
        <w:spacing w:line="360" w:lineRule="auto"/>
      </w:pPr>
      <w:r>
        <w:t>1</w:t>
      </w:r>
      <w:r>
        <w:rPr>
          <w:rFonts w:hint="eastAsia"/>
        </w:rPr>
        <w:t>0、院内大型活动中所需的临时性盆栽摆放。</w:t>
      </w:r>
    </w:p>
    <w:p>
      <w:pPr>
        <w:spacing w:line="360" w:lineRule="auto"/>
        <w:ind w:firstLine="630" w:firstLineChars="300"/>
      </w:pPr>
      <w:r>
        <w:rPr>
          <w:rFonts w:hint="eastAsia"/>
        </w:rPr>
        <w:t>服务标准：花草树木生长茂盛，色彩艳丽，修剪及时，叶面干净，具有光泽，无积尘，无枯枝败叶，无病虫害，无杂草；盆器及托盘完好干净，托盘无积土。室外绿化养护应达到绿地及花坛内各种植物存活率</w:t>
      </w:r>
      <w:r>
        <w:t>100</w:t>
      </w:r>
      <w:r>
        <w:rPr>
          <w:rFonts w:hint="eastAsia"/>
        </w:rPr>
        <w:t>％。绿地设施及硬质景观完好无损。植物群落完整，层次丰富，黄土不外露，有整体的观赏效果。植物季相分明，生长茂盛；草坪保持平整，修剪后高度不超过</w:t>
      </w:r>
      <w:r>
        <w:t>5</w:t>
      </w:r>
      <w:r>
        <w:rPr>
          <w:rFonts w:hint="eastAsia"/>
        </w:rPr>
        <w:t>厘米，草屑及时清理；乔木修剪科学合理，剪口光滑整齐，树冠完整美观，无徒长枝、下垂枝、枯枝，内膛不乱，通风透光；绿篱修剪整齐有型，保持观赏面枝叶丰满。花灌木修剪及时，无残花；绿地内立视应无明显杂草，土壤疏松通透；草皮无病斑，植物枝叶无虫害咬口、排泄物、无悬挂或依附在植物上的虫茧、休眠虫体及越冬虫蛹；绿地内无垃圾，乔木无树挂；绿地无破坏、践踏及随意占用现象。室内时花、苗木、盆栽及室内摆花等应按时浇水养护，清理、擦拭，保证其鲜亮、造型美观、无枯枝败叶。有专业或资质要求的工作岗位，其从业人员必须符合国家与上海市相关要求。妥善收纳绿化工具，及时清理残余泥土、残叶，户外作业时，注意冲洗地面以防踩踏带入室内。</w:t>
      </w:r>
    </w:p>
    <w:p>
      <w:pPr>
        <w:pStyle w:val="3"/>
      </w:pPr>
    </w:p>
    <w:p>
      <w:pPr>
        <w:pStyle w:val="3"/>
        <w:spacing w:line="360" w:lineRule="auto"/>
        <w:rPr>
          <w:b/>
          <w:bCs/>
        </w:rPr>
      </w:pPr>
      <w:r>
        <w:rPr>
          <w:rFonts w:hint="eastAsia"/>
          <w:b/>
          <w:bCs/>
        </w:rPr>
        <w:t>（五）礼宾服务</w:t>
      </w:r>
    </w:p>
    <w:p>
      <w:pPr>
        <w:pStyle w:val="3"/>
        <w:spacing w:line="360" w:lineRule="auto"/>
      </w:pPr>
      <w:r>
        <w:t>l</w:t>
      </w:r>
      <w:r>
        <w:rPr>
          <w:rFonts w:hint="eastAsia"/>
        </w:rPr>
        <w:t>、为院内举办的各类会议、活动提供服务</w:t>
      </w:r>
    </w:p>
    <w:p>
      <w:pPr>
        <w:pStyle w:val="3"/>
        <w:spacing w:line="360" w:lineRule="auto"/>
      </w:pPr>
      <w:r>
        <w:t xml:space="preserve">(1) </w:t>
      </w:r>
      <w:r>
        <w:rPr>
          <w:rFonts w:hint="eastAsia"/>
        </w:rPr>
        <w:t>会场布置、与会人员登记、会议礼仪接待、茶水服务、引导服务等。</w:t>
      </w:r>
    </w:p>
    <w:p>
      <w:pPr>
        <w:pStyle w:val="3"/>
        <w:spacing w:line="360" w:lineRule="auto"/>
      </w:pPr>
      <w:r>
        <w:t>(</w:t>
      </w:r>
      <w:r>
        <w:rPr>
          <w:rFonts w:hint="eastAsia"/>
        </w:rPr>
        <w:t>2</w:t>
      </w:r>
      <w:r>
        <w:t xml:space="preserve">) </w:t>
      </w:r>
      <w:r>
        <w:rPr>
          <w:rFonts w:hint="eastAsia"/>
        </w:rPr>
        <w:t>会议期间续水供应（每半小时1次）及相关服务</w:t>
      </w:r>
    </w:p>
    <w:p>
      <w:pPr>
        <w:pStyle w:val="3"/>
        <w:spacing w:line="360" w:lineRule="auto"/>
      </w:pPr>
      <w:r>
        <w:rPr>
          <w:rFonts w:hint="eastAsia"/>
        </w:rPr>
        <w:t>（3）会议后送客、会场茶水收拾、保洁服务</w:t>
      </w:r>
    </w:p>
    <w:p>
      <w:pPr>
        <w:pStyle w:val="3"/>
        <w:spacing w:line="360" w:lineRule="auto"/>
      </w:pPr>
      <w:r>
        <w:rPr>
          <w:rFonts w:hint="eastAsia"/>
        </w:rPr>
        <w:t>2、为剧院演出提供检票、引位、剧场秩序维护等服务。</w:t>
      </w:r>
    </w:p>
    <w:p>
      <w:pPr>
        <w:pStyle w:val="3"/>
        <w:spacing w:line="360" w:lineRule="auto"/>
      </w:pPr>
      <w:r>
        <w:rPr>
          <w:rFonts w:hint="eastAsia"/>
        </w:rPr>
        <w:t>（1）演出前剧场巡视，检查</w:t>
      </w:r>
    </w:p>
    <w:p>
      <w:pPr>
        <w:pStyle w:val="3"/>
        <w:spacing w:line="360" w:lineRule="auto"/>
      </w:pPr>
      <w:r>
        <w:rPr>
          <w:rFonts w:hint="eastAsia"/>
        </w:rPr>
        <w:t>（2）观众入场时检票、寄存物品引导、推车、雨伞等放置、引位入座等。</w:t>
      </w:r>
    </w:p>
    <w:p>
      <w:pPr>
        <w:pStyle w:val="3"/>
        <w:spacing w:line="360" w:lineRule="auto"/>
      </w:pPr>
      <w:r>
        <w:rPr>
          <w:rFonts w:hint="eastAsia"/>
        </w:rPr>
        <w:t>（3）演出开始时场内控场、喧哗、拍照等现场维护。</w:t>
      </w:r>
    </w:p>
    <w:p>
      <w:pPr>
        <w:pStyle w:val="3"/>
        <w:spacing w:line="360" w:lineRule="auto"/>
      </w:pPr>
      <w:r>
        <w:rPr>
          <w:rFonts w:hint="eastAsia"/>
        </w:rPr>
        <w:t>（4）演出结束时送客、巡视等，及时复盘，整理现场客诉，提交相关部门提高服务能级。</w:t>
      </w:r>
    </w:p>
    <w:p>
      <w:pPr>
        <w:pStyle w:val="3"/>
        <w:spacing w:line="360" w:lineRule="auto"/>
      </w:pPr>
      <w:r>
        <w:rPr>
          <w:rFonts w:hint="eastAsia"/>
        </w:rPr>
        <w:t>3、为花花艺术商店、戏剧空间提供礼宾等相关服务。</w:t>
      </w:r>
    </w:p>
    <w:p>
      <w:pPr>
        <w:pStyle w:val="3"/>
        <w:spacing w:line="360" w:lineRule="auto"/>
      </w:pPr>
      <w:r>
        <w:rPr>
          <w:rFonts w:hint="eastAsia"/>
        </w:rPr>
        <w:t>非会务和演出期间，协助花花艺术商店和戏剧空间负责人进行商品售卖、礼宾讲解、秩序维护等工作。</w:t>
      </w:r>
    </w:p>
    <w:p>
      <w:pPr>
        <w:pStyle w:val="3"/>
        <w:spacing w:line="360" w:lineRule="auto"/>
      </w:pPr>
      <w:r>
        <w:rPr>
          <w:rFonts w:hint="eastAsia"/>
        </w:rPr>
        <w:t>4、业主和物业经理安排的其他与和礼宾服务相关的工作。</w:t>
      </w:r>
    </w:p>
    <w:p>
      <w:pPr>
        <w:pStyle w:val="3"/>
        <w:spacing w:line="360" w:lineRule="auto"/>
        <w:ind w:firstLine="420" w:firstLineChars="200"/>
      </w:pPr>
      <w:r>
        <w:rPr>
          <w:rFonts w:hint="eastAsia"/>
        </w:rPr>
        <w:t>服务标准：提供专业形象的礼仪服务、主动热情，灵活应变，有处理突发事件的应变能力。统一着装，并佩戴名牌，礼仪接待周到、规范。保证会议期间茶水供应并定时续水，会前会后打扫室内卫生，保持室内整洁，会场布置及时。礼宾服务人员需严守隐私，不泄露客人的个人信息和活动图安排，确保客人的权益和隐私不受侵犯。</w:t>
      </w:r>
    </w:p>
    <w:p>
      <w:pPr>
        <w:pStyle w:val="3"/>
        <w:spacing w:line="360" w:lineRule="auto"/>
        <w:ind w:firstLine="210" w:firstLineChars="100"/>
      </w:pPr>
    </w:p>
    <w:p>
      <w:pPr>
        <w:pStyle w:val="3"/>
        <w:spacing w:line="360" w:lineRule="auto"/>
        <w:rPr>
          <w:b/>
          <w:bCs/>
        </w:rPr>
      </w:pPr>
      <w:r>
        <w:rPr>
          <w:rFonts w:hint="eastAsia"/>
        </w:rPr>
        <w:t>（</w:t>
      </w:r>
      <w:r>
        <w:rPr>
          <w:rFonts w:hint="eastAsia"/>
          <w:b/>
          <w:bCs/>
        </w:rPr>
        <w:t>六）公共关系管理</w:t>
      </w:r>
    </w:p>
    <w:p>
      <w:pPr>
        <w:pStyle w:val="3"/>
        <w:spacing w:line="360" w:lineRule="auto"/>
        <w:ind w:firstLine="420" w:firstLineChars="200"/>
      </w:pPr>
      <w:r>
        <w:rPr>
          <w:rFonts w:hint="eastAsia"/>
        </w:rPr>
        <w:t>服务标准：对外与各相关部门建立良好联系，在有事情况下能够获得及时支持与帮助。对内定期了解和满足业主需求，提高服务管理水准。</w:t>
      </w:r>
    </w:p>
    <w:p>
      <w:pPr>
        <w:pStyle w:val="3"/>
        <w:spacing w:line="360" w:lineRule="auto"/>
      </w:pPr>
    </w:p>
    <w:p>
      <w:pPr>
        <w:pStyle w:val="3"/>
        <w:spacing w:line="360" w:lineRule="auto"/>
        <w:rPr>
          <w:b/>
          <w:bCs/>
        </w:rPr>
      </w:pPr>
      <w:r>
        <w:rPr>
          <w:rFonts w:hint="eastAsia"/>
        </w:rPr>
        <w:t>（</w:t>
      </w:r>
      <w:r>
        <w:rPr>
          <w:rFonts w:hint="eastAsia"/>
          <w:b/>
          <w:bCs/>
        </w:rPr>
        <w:t>七）前期介入</w:t>
      </w:r>
    </w:p>
    <w:p>
      <w:pPr>
        <w:pStyle w:val="3"/>
        <w:spacing w:line="360" w:lineRule="auto"/>
      </w:pPr>
      <w:r>
        <w:t>l</w:t>
      </w:r>
      <w:r>
        <w:rPr>
          <w:rFonts w:hint="eastAsia"/>
        </w:rPr>
        <w:t>、详细审阅、熟悉所有办公楼（区）的设计图纸，并从物业管理及用户角度对物业管理提出专业管理意见、改进方案。</w:t>
      </w:r>
    </w:p>
    <w:p>
      <w:pPr>
        <w:pStyle w:val="3"/>
        <w:spacing w:line="360" w:lineRule="auto"/>
      </w:pPr>
      <w:r>
        <w:rPr>
          <w:rFonts w:hint="eastAsia"/>
        </w:rPr>
        <w:t>2、详细了解业主的目前物业状况，并从物业管理及用户角度提出专业意见和改进方案。</w:t>
      </w:r>
    </w:p>
    <w:p>
      <w:pPr>
        <w:pStyle w:val="3"/>
        <w:spacing w:line="360" w:lineRule="auto"/>
        <w:ind w:firstLine="420"/>
      </w:pPr>
      <w:r>
        <w:rPr>
          <w:rFonts w:hint="eastAsia"/>
        </w:rPr>
        <w:t>服务标准：迅速熟悉管理区域情况，一旦入驻即能立刻提供业主所要求的管理与服务，处理各类日常事务和应急事务。</w:t>
      </w:r>
    </w:p>
    <w:p>
      <w:pPr>
        <w:pStyle w:val="3"/>
        <w:spacing w:line="360" w:lineRule="auto"/>
      </w:pPr>
    </w:p>
    <w:p>
      <w:pPr>
        <w:pStyle w:val="3"/>
        <w:spacing w:line="360" w:lineRule="auto"/>
        <w:rPr>
          <w:b/>
          <w:bCs/>
        </w:rPr>
      </w:pPr>
      <w:r>
        <w:rPr>
          <w:rFonts w:hint="eastAsia"/>
        </w:rPr>
        <w:t>（</w:t>
      </w:r>
      <w:r>
        <w:rPr>
          <w:rFonts w:hint="eastAsia"/>
          <w:b/>
          <w:bCs/>
        </w:rPr>
        <w:t>八）档案管理</w:t>
      </w:r>
    </w:p>
    <w:p>
      <w:pPr>
        <w:pStyle w:val="3"/>
        <w:spacing w:line="360" w:lineRule="auto"/>
      </w:pPr>
      <w:r>
        <w:t>l</w:t>
      </w:r>
      <w:r>
        <w:rPr>
          <w:rFonts w:hint="eastAsia"/>
        </w:rPr>
        <w:t>、建立物业有关的管理人员人事档案和各类行政文件、合同的存档工作。</w:t>
      </w:r>
    </w:p>
    <w:p>
      <w:pPr>
        <w:pStyle w:val="3"/>
        <w:spacing w:line="360" w:lineRule="auto"/>
      </w:pPr>
      <w:r>
        <w:rPr>
          <w:rFonts w:hint="eastAsia"/>
        </w:rPr>
        <w:t>2、建立设备、设施、保安、保洁、车辆等日常运作管理档案。</w:t>
      </w:r>
    </w:p>
    <w:p>
      <w:pPr>
        <w:pStyle w:val="3"/>
        <w:spacing w:line="360" w:lineRule="auto"/>
      </w:pPr>
      <w:r>
        <w:rPr>
          <w:rFonts w:hint="eastAsia"/>
        </w:rPr>
        <w:t>3、所有资料及管理资料分为图、档、卡、册四类，安放于防火、防潮、防蛀之专用档案箱内。</w:t>
      </w:r>
    </w:p>
    <w:p>
      <w:pPr>
        <w:pStyle w:val="3"/>
        <w:spacing w:line="360" w:lineRule="auto"/>
        <w:ind w:firstLine="420" w:firstLineChars="200"/>
      </w:pPr>
      <w:r>
        <w:rPr>
          <w:rFonts w:hint="eastAsia"/>
        </w:rPr>
        <w:t>服务标准：所有有关办公区域管理档案资料，必须保证完整、完好，撤离时全部移交办公区域方。</w:t>
      </w:r>
    </w:p>
    <w:p>
      <w:pPr>
        <w:widowControl/>
        <w:jc w:val="left"/>
        <w:rPr>
          <w:b/>
          <w:sz w:val="28"/>
          <w:szCs w:val="28"/>
        </w:rPr>
      </w:pPr>
      <w:r>
        <w:rPr>
          <w:b/>
          <w:sz w:val="28"/>
          <w:szCs w:val="28"/>
        </w:rPr>
        <w:br w:type="page"/>
      </w:r>
    </w:p>
    <w:p>
      <w:pPr>
        <w:pStyle w:val="7"/>
        <w:spacing w:line="360" w:lineRule="auto"/>
        <w:ind w:left="0" w:firstLine="562" w:firstLineChars="200"/>
        <w:rPr>
          <w:rFonts w:ascii="宋体"/>
          <w:szCs w:val="20"/>
        </w:rPr>
      </w:pPr>
      <w:r>
        <w:rPr>
          <w:rFonts w:hint="eastAsia"/>
          <w:b/>
          <w:sz w:val="28"/>
          <w:szCs w:val="28"/>
        </w:rPr>
        <w:t>三、物业管理服务人员设置需求</w:t>
      </w:r>
    </w:p>
    <w:tbl>
      <w:tblPr>
        <w:tblStyle w:val="9"/>
        <w:tblW w:w="5258" w:type="pct"/>
        <w:tblInd w:w="0" w:type="dxa"/>
        <w:tblLayout w:type="autofit"/>
        <w:tblCellMar>
          <w:top w:w="0" w:type="dxa"/>
          <w:left w:w="108" w:type="dxa"/>
          <w:bottom w:w="0" w:type="dxa"/>
          <w:right w:w="108" w:type="dxa"/>
        </w:tblCellMar>
      </w:tblPr>
      <w:tblGrid>
        <w:gridCol w:w="1137"/>
        <w:gridCol w:w="1154"/>
        <w:gridCol w:w="1252"/>
        <w:gridCol w:w="1164"/>
        <w:gridCol w:w="4255"/>
      </w:tblGrid>
      <w:tr>
        <w:tblPrEx>
          <w:tblCellMar>
            <w:top w:w="0" w:type="dxa"/>
            <w:left w:w="108" w:type="dxa"/>
            <w:bottom w:w="0" w:type="dxa"/>
            <w:right w:w="108" w:type="dxa"/>
          </w:tblCellMar>
        </w:tblPrEx>
        <w:trPr>
          <w:trHeight w:val="760" w:hRule="atLeast"/>
        </w:trPr>
        <w:tc>
          <w:tcPr>
            <w:tcW w:w="11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Cs w:val="21"/>
              </w:rPr>
            </w:pPr>
            <w:r>
              <w:rPr>
                <w:rFonts w:hint="eastAsia" w:ascii="宋体" w:cs="宋体"/>
                <w:kern w:val="0"/>
                <w:szCs w:val="21"/>
              </w:rPr>
              <w:t>部门</w:t>
            </w:r>
          </w:p>
        </w:tc>
        <w:tc>
          <w:tcPr>
            <w:tcW w:w="115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szCs w:val="21"/>
              </w:rPr>
            </w:pPr>
            <w:r>
              <w:rPr>
                <w:rFonts w:hint="eastAsia" w:ascii="宋体" w:cs="宋体"/>
                <w:kern w:val="0"/>
                <w:szCs w:val="21"/>
              </w:rPr>
              <w:t>岗位</w:t>
            </w:r>
          </w:p>
        </w:tc>
        <w:tc>
          <w:tcPr>
            <w:tcW w:w="12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Cs w:val="21"/>
              </w:rPr>
            </w:pPr>
            <w:r>
              <w:rPr>
                <w:rFonts w:hint="eastAsia" w:ascii="宋体" w:cs="宋体"/>
                <w:kern w:val="0"/>
                <w:szCs w:val="21"/>
              </w:rPr>
              <w:t>岗位编制</w:t>
            </w:r>
          </w:p>
        </w:tc>
        <w:tc>
          <w:tcPr>
            <w:tcW w:w="116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Cs w:val="21"/>
              </w:rPr>
            </w:pPr>
            <w:r>
              <w:rPr>
                <w:rFonts w:hint="eastAsia" w:ascii="宋体" w:cs="宋体"/>
                <w:kern w:val="0"/>
                <w:szCs w:val="21"/>
              </w:rPr>
              <w:t>岗位人力配置数量</w:t>
            </w:r>
          </w:p>
        </w:tc>
        <w:tc>
          <w:tcPr>
            <w:tcW w:w="4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Cs w:val="21"/>
              </w:rPr>
            </w:pPr>
            <w:r>
              <w:rPr>
                <w:rFonts w:hint="eastAsia" w:ascii="宋体" w:cs="宋体"/>
                <w:kern w:val="0"/>
                <w:szCs w:val="21"/>
              </w:rPr>
              <w:t>备注</w:t>
            </w:r>
          </w:p>
        </w:tc>
      </w:tr>
      <w:tr>
        <w:tblPrEx>
          <w:tblCellMar>
            <w:top w:w="0" w:type="dxa"/>
            <w:left w:w="108" w:type="dxa"/>
            <w:bottom w:w="0" w:type="dxa"/>
            <w:right w:w="108" w:type="dxa"/>
          </w:tblCellMar>
        </w:tblPrEx>
        <w:trPr>
          <w:trHeight w:val="312" w:hRule="atLeast"/>
        </w:trPr>
        <w:tc>
          <w:tcPr>
            <w:tcW w:w="1137" w:type="dxa"/>
            <w:vMerge w:val="continue"/>
            <w:tcBorders>
              <w:top w:val="single" w:color="000000" w:sz="4" w:space="0"/>
              <w:left w:val="single" w:color="000000" w:sz="4" w:space="0"/>
              <w:bottom w:val="single" w:color="000000" w:sz="4" w:space="0"/>
              <w:right w:val="single" w:color="000000" w:sz="4" w:space="0"/>
            </w:tcBorders>
            <w:vAlign w:val="center"/>
          </w:tcPr>
          <w:p/>
        </w:tc>
        <w:tc>
          <w:tcPr>
            <w:tcW w:w="1154" w:type="dxa"/>
            <w:vMerge w:val="continue"/>
            <w:tcBorders>
              <w:top w:val="single" w:color="000000" w:sz="4" w:space="0"/>
              <w:left w:val="single" w:color="000000" w:sz="4" w:space="0"/>
              <w:bottom w:val="single" w:color="000000" w:sz="4" w:space="0"/>
              <w:right w:val="single" w:color="000000" w:sz="4" w:space="0"/>
            </w:tcBorders>
            <w:vAlign w:val="center"/>
          </w:tcPr>
          <w:p/>
        </w:tc>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164"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255" w:type="dxa"/>
            <w:vMerge w:val="continue"/>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270" w:hRule="atLeast"/>
        </w:trPr>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Cs w:val="21"/>
              </w:rPr>
            </w:pPr>
            <w:r>
              <w:rPr>
                <w:rFonts w:hint="eastAsia" w:ascii="宋体" w:cs="宋体"/>
                <w:kern w:val="0"/>
                <w:szCs w:val="21"/>
              </w:rPr>
              <w:t>服务中心</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项目经理</w:t>
            </w:r>
          </w:p>
        </w:tc>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1</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1</w:t>
            </w:r>
          </w:p>
        </w:tc>
        <w:tc>
          <w:tcPr>
            <w:tcW w:w="42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lang w:eastAsia="zh-CN"/>
              </w:rPr>
              <w:t>大专及以上学历，通过大学英语四级及以上考试，具有</w:t>
            </w:r>
            <w:r>
              <w:rPr>
                <w:rFonts w:hint="eastAsia" w:ascii="宋体" w:eastAsia="宋体" w:cs="宋体"/>
                <w:kern w:val="0"/>
                <w:szCs w:val="21"/>
              </w:rPr>
              <w:t>3年</w:t>
            </w:r>
            <w:r>
              <w:rPr>
                <w:rFonts w:hint="eastAsia" w:ascii="宋体" w:eastAsia="宋体" w:cs="宋体"/>
                <w:kern w:val="0"/>
                <w:szCs w:val="21"/>
                <w:lang w:eastAsia="zh-CN"/>
              </w:rPr>
              <w:t>及</w:t>
            </w:r>
            <w:r>
              <w:rPr>
                <w:rFonts w:hint="eastAsia" w:ascii="宋体" w:eastAsia="宋体" w:cs="宋体"/>
                <w:kern w:val="0"/>
                <w:szCs w:val="21"/>
              </w:rPr>
              <w:t>以上</w:t>
            </w:r>
            <w:r>
              <w:rPr>
                <w:rFonts w:hint="eastAsia" w:ascii="宋体"/>
                <w:szCs w:val="21"/>
              </w:rPr>
              <w:t>公共文化场馆物业管理</w:t>
            </w:r>
            <w:r>
              <w:rPr>
                <w:rFonts w:hint="eastAsia" w:ascii="宋体" w:eastAsia="宋体" w:cs="宋体"/>
                <w:kern w:val="0"/>
                <w:szCs w:val="21"/>
              </w:rPr>
              <w:t>经验</w:t>
            </w:r>
          </w:p>
        </w:tc>
      </w:tr>
      <w:tr>
        <w:tblPrEx>
          <w:tblCellMar>
            <w:top w:w="0" w:type="dxa"/>
            <w:left w:w="108" w:type="dxa"/>
            <w:bottom w:w="0" w:type="dxa"/>
            <w:right w:w="108" w:type="dxa"/>
          </w:tblCellMar>
        </w:tblPrEx>
        <w:trPr>
          <w:trHeight w:val="270" w:hRule="atLeast"/>
        </w:trPr>
        <w:tc>
          <w:tcPr>
            <w:tcW w:w="1137" w:type="dxa"/>
            <w:vMerge w:val="restart"/>
            <w:tcBorders>
              <w:top w:val="single" w:color="000000" w:sz="4" w:space="0"/>
              <w:left w:val="single" w:color="000000" w:sz="4" w:space="0"/>
              <w:bottom w:val="single" w:color="000000" w:sz="4" w:space="0"/>
              <w:right w:val="single" w:color="000000" w:sz="4" w:space="0"/>
            </w:tcBorders>
            <w:vAlign w:val="center"/>
          </w:tcPr>
          <w:p>
            <w:r>
              <w:rPr>
                <w:rFonts w:hint="eastAsia"/>
              </w:rPr>
              <w:t>保安部</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门岗</w:t>
            </w:r>
          </w:p>
        </w:tc>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4</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4</w:t>
            </w:r>
          </w:p>
        </w:tc>
        <w:tc>
          <w:tcPr>
            <w:tcW w:w="42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lang w:eastAsia="zh-CN"/>
              </w:rPr>
            </w:pPr>
            <w:r>
              <w:rPr>
                <w:rFonts w:hint="eastAsia" w:ascii="宋体" w:eastAsia="宋体" w:cs="宋体"/>
                <w:kern w:val="0"/>
                <w:szCs w:val="21"/>
                <w:lang w:eastAsia="zh-CN"/>
              </w:rPr>
              <w:t>持有保安员上岗证</w:t>
            </w:r>
          </w:p>
        </w:tc>
      </w:tr>
      <w:tr>
        <w:tblPrEx>
          <w:tblCellMar>
            <w:top w:w="0" w:type="dxa"/>
            <w:left w:w="108" w:type="dxa"/>
            <w:bottom w:w="0" w:type="dxa"/>
            <w:right w:w="108" w:type="dxa"/>
          </w:tblCellMar>
        </w:tblPrEx>
        <w:trPr>
          <w:trHeight w:val="270" w:hRule="atLeast"/>
        </w:trPr>
        <w:tc>
          <w:tcPr>
            <w:tcW w:w="1137" w:type="dxa"/>
            <w:vMerge w:val="continue"/>
            <w:tcBorders>
              <w:top w:val="single" w:color="000000" w:sz="4" w:space="0"/>
              <w:left w:val="single" w:color="000000" w:sz="4" w:space="0"/>
              <w:bottom w:val="single" w:color="000000" w:sz="4" w:space="0"/>
              <w:right w:val="single" w:color="000000" w:sz="4" w:space="0"/>
            </w:tcBorders>
            <w:vAlign w:val="center"/>
          </w:tcP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消控岗</w:t>
            </w:r>
          </w:p>
        </w:tc>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2</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2</w:t>
            </w:r>
          </w:p>
        </w:tc>
        <w:tc>
          <w:tcPr>
            <w:tcW w:w="42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lang w:eastAsia="zh-CN"/>
              </w:rPr>
            </w:pPr>
            <w:r>
              <w:rPr>
                <w:rFonts w:hint="eastAsia" w:ascii="宋体" w:eastAsia="宋体" w:cs="宋体"/>
                <w:kern w:val="0"/>
                <w:szCs w:val="21"/>
                <w:lang w:eastAsia="zh-CN"/>
              </w:rPr>
              <w:t>持有四级及以上</w:t>
            </w:r>
            <w:r>
              <w:rPr>
                <w:rFonts w:hint="eastAsia" w:ascii="宋体" w:hAnsi="宋体" w:cs="宋体"/>
                <w:color w:val="auto"/>
                <w:kern w:val="0"/>
                <w:sz w:val="21"/>
                <w:szCs w:val="21"/>
                <w:highlight w:val="none"/>
                <w:vertAlign w:val="baseline"/>
                <w:lang w:bidi="ar"/>
              </w:rPr>
              <w:t>消防设施操作员</w:t>
            </w:r>
            <w:r>
              <w:rPr>
                <w:rFonts w:hint="eastAsia" w:ascii="宋体" w:eastAsia="宋体" w:cs="宋体"/>
                <w:kern w:val="0"/>
                <w:szCs w:val="21"/>
                <w:lang w:eastAsia="zh-CN"/>
              </w:rPr>
              <w:t>证书</w:t>
            </w:r>
          </w:p>
        </w:tc>
      </w:tr>
      <w:tr>
        <w:tblPrEx>
          <w:tblCellMar>
            <w:top w:w="0" w:type="dxa"/>
            <w:left w:w="108" w:type="dxa"/>
            <w:bottom w:w="0" w:type="dxa"/>
            <w:right w:w="108" w:type="dxa"/>
          </w:tblCellMar>
        </w:tblPrEx>
        <w:trPr>
          <w:trHeight w:val="270" w:hRule="atLeast"/>
        </w:trPr>
        <w:tc>
          <w:tcPr>
            <w:tcW w:w="1137" w:type="dxa"/>
            <w:vMerge w:val="continue"/>
            <w:tcBorders>
              <w:top w:val="single" w:color="000000" w:sz="4" w:space="0"/>
              <w:left w:val="single" w:color="000000" w:sz="4" w:space="0"/>
              <w:bottom w:val="single" w:color="000000" w:sz="4" w:space="0"/>
              <w:right w:val="single" w:color="000000" w:sz="4" w:space="0"/>
            </w:tcBorders>
            <w:vAlign w:val="center"/>
          </w:tcP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巡逻岗</w:t>
            </w:r>
          </w:p>
        </w:tc>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2</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2</w:t>
            </w:r>
          </w:p>
        </w:tc>
        <w:tc>
          <w:tcPr>
            <w:tcW w:w="42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lang w:eastAsia="zh-CN"/>
              </w:rPr>
              <w:t>持有保安员上岗证</w:t>
            </w:r>
          </w:p>
        </w:tc>
      </w:tr>
      <w:tr>
        <w:tblPrEx>
          <w:tblCellMar>
            <w:top w:w="0" w:type="dxa"/>
            <w:left w:w="108" w:type="dxa"/>
            <w:bottom w:w="0" w:type="dxa"/>
            <w:right w:w="108" w:type="dxa"/>
          </w:tblCellMar>
        </w:tblPrEx>
        <w:trPr>
          <w:trHeight w:val="314" w:hRule="atLeast"/>
        </w:trPr>
        <w:tc>
          <w:tcPr>
            <w:tcW w:w="1137" w:type="dxa"/>
            <w:vMerge w:val="continue"/>
            <w:tcBorders>
              <w:top w:val="single" w:color="000000" w:sz="4" w:space="0"/>
              <w:left w:val="single" w:color="000000" w:sz="4" w:space="0"/>
              <w:bottom w:val="single" w:color="000000" w:sz="4" w:space="0"/>
              <w:right w:val="single" w:color="000000" w:sz="4" w:space="0"/>
            </w:tcBorders>
            <w:vAlign w:val="center"/>
          </w:tcP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车管岗</w:t>
            </w:r>
          </w:p>
        </w:tc>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2</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2</w:t>
            </w:r>
          </w:p>
        </w:tc>
        <w:tc>
          <w:tcPr>
            <w:tcW w:w="42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lang w:eastAsia="zh-CN"/>
              </w:rPr>
              <w:t>持有保安员上岗证</w:t>
            </w:r>
          </w:p>
        </w:tc>
      </w:tr>
      <w:tr>
        <w:tblPrEx>
          <w:tblCellMar>
            <w:top w:w="0" w:type="dxa"/>
            <w:left w:w="108" w:type="dxa"/>
            <w:bottom w:w="0" w:type="dxa"/>
            <w:right w:w="108" w:type="dxa"/>
          </w:tblCellMar>
        </w:tblPrEx>
        <w:trPr>
          <w:trHeight w:val="270" w:hRule="atLeast"/>
        </w:trPr>
        <w:tc>
          <w:tcPr>
            <w:tcW w:w="113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cs="宋体"/>
                <w:szCs w:val="21"/>
              </w:rPr>
            </w:pPr>
            <w:r>
              <w:rPr>
                <w:rFonts w:hint="eastAsia" w:ascii="宋体" w:cs="宋体"/>
                <w:kern w:val="0"/>
                <w:szCs w:val="21"/>
              </w:rPr>
              <w:t>保洁绿化部</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领班</w:t>
            </w:r>
          </w:p>
        </w:tc>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1</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1</w:t>
            </w:r>
          </w:p>
        </w:tc>
        <w:tc>
          <w:tcPr>
            <w:tcW w:w="42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lang w:val="en-US" w:eastAsia="zh-CN"/>
              </w:rPr>
            </w:pPr>
            <w:r>
              <w:rPr>
                <w:rFonts w:hint="eastAsia" w:ascii="宋体" w:eastAsia="宋体" w:cs="宋体"/>
                <w:kern w:val="0"/>
                <w:szCs w:val="21"/>
                <w:lang w:val="en-US" w:eastAsia="zh-CN"/>
              </w:rPr>
              <w:t>/</w:t>
            </w:r>
          </w:p>
        </w:tc>
      </w:tr>
      <w:tr>
        <w:tblPrEx>
          <w:tblCellMar>
            <w:top w:w="0" w:type="dxa"/>
            <w:left w:w="108" w:type="dxa"/>
            <w:bottom w:w="0" w:type="dxa"/>
            <w:right w:w="108" w:type="dxa"/>
          </w:tblCellMar>
        </w:tblPrEx>
        <w:trPr>
          <w:trHeight w:val="510" w:hRule="atLeast"/>
        </w:trPr>
        <w:tc>
          <w:tcPr>
            <w:tcW w:w="1137" w:type="dxa"/>
            <w:vMerge w:val="continue"/>
            <w:tcBorders>
              <w:left w:val="single" w:color="000000" w:sz="4" w:space="0"/>
              <w:right w:val="single" w:color="000000" w:sz="4" w:space="0"/>
            </w:tcBorders>
            <w:vAlign w:val="center"/>
          </w:tcP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保洁员</w:t>
            </w:r>
          </w:p>
        </w:tc>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3</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3</w:t>
            </w:r>
          </w:p>
        </w:tc>
        <w:tc>
          <w:tcPr>
            <w:tcW w:w="42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lang w:val="en-US" w:eastAsia="zh-CN"/>
              </w:rPr>
            </w:pPr>
            <w:r>
              <w:rPr>
                <w:rFonts w:hint="eastAsia" w:ascii="宋体" w:eastAsia="宋体" w:cs="宋体"/>
                <w:kern w:val="0"/>
                <w:szCs w:val="21"/>
                <w:lang w:val="en-US" w:eastAsia="zh-CN"/>
              </w:rPr>
              <w:t>/</w:t>
            </w:r>
          </w:p>
        </w:tc>
      </w:tr>
      <w:tr>
        <w:tblPrEx>
          <w:tblCellMar>
            <w:top w:w="0" w:type="dxa"/>
            <w:left w:w="108" w:type="dxa"/>
            <w:bottom w:w="0" w:type="dxa"/>
            <w:right w:w="108" w:type="dxa"/>
          </w:tblCellMar>
        </w:tblPrEx>
        <w:trPr>
          <w:trHeight w:val="510" w:hRule="atLeast"/>
        </w:trPr>
        <w:tc>
          <w:tcPr>
            <w:tcW w:w="1137" w:type="dxa"/>
            <w:vMerge w:val="continue"/>
            <w:tcBorders>
              <w:left w:val="single" w:color="000000" w:sz="4" w:space="0"/>
              <w:bottom w:val="single" w:color="000000" w:sz="4" w:space="0"/>
              <w:right w:val="single" w:color="000000" w:sz="4" w:space="0"/>
            </w:tcBorders>
            <w:vAlign w:val="center"/>
          </w:tcP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垃圾清运工</w:t>
            </w:r>
          </w:p>
        </w:tc>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1</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1</w:t>
            </w:r>
          </w:p>
        </w:tc>
        <w:tc>
          <w:tcPr>
            <w:tcW w:w="42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lang w:val="en-US" w:eastAsia="zh-CN"/>
              </w:rPr>
            </w:pPr>
            <w:r>
              <w:rPr>
                <w:rFonts w:hint="eastAsia" w:ascii="宋体" w:eastAsia="宋体" w:cs="宋体"/>
                <w:kern w:val="0"/>
                <w:szCs w:val="21"/>
                <w:lang w:val="en-US" w:eastAsia="zh-CN"/>
              </w:rPr>
              <w:t>/</w:t>
            </w:r>
          </w:p>
        </w:tc>
      </w:tr>
      <w:tr>
        <w:tblPrEx>
          <w:tblCellMar>
            <w:top w:w="0" w:type="dxa"/>
            <w:left w:w="108" w:type="dxa"/>
            <w:bottom w:w="0" w:type="dxa"/>
            <w:right w:w="108" w:type="dxa"/>
          </w:tblCellMar>
        </w:tblPrEx>
        <w:trPr>
          <w:trHeight w:val="270" w:hRule="atLeast"/>
        </w:trPr>
        <w:tc>
          <w:tcPr>
            <w:tcW w:w="1137" w:type="dxa"/>
            <w:tcBorders>
              <w:top w:val="single" w:color="000000" w:sz="4" w:space="0"/>
              <w:left w:val="single" w:color="000000" w:sz="4" w:space="0"/>
              <w:bottom w:val="single" w:color="000000" w:sz="4" w:space="0"/>
              <w:right w:val="single" w:color="000000" w:sz="4" w:space="0"/>
            </w:tcBorders>
            <w:vAlign w:val="center"/>
          </w:tcPr>
          <w:p>
            <w:r>
              <w:rPr>
                <w:rFonts w:hint="eastAsia"/>
              </w:rPr>
              <w:t>会务</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会务</w:t>
            </w:r>
          </w:p>
        </w:tc>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2</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2</w:t>
            </w:r>
          </w:p>
        </w:tc>
        <w:tc>
          <w:tcPr>
            <w:tcW w:w="425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eastAsia="宋体" w:cs="宋体"/>
                <w:kern w:val="0"/>
                <w:szCs w:val="21"/>
                <w:lang w:eastAsia="zh-CN"/>
              </w:rPr>
            </w:pPr>
            <w:r>
              <w:rPr>
                <w:rFonts w:hint="eastAsia" w:ascii="宋体" w:eastAsia="宋体" w:cs="宋体"/>
                <w:kern w:val="0"/>
                <w:szCs w:val="21"/>
                <w:lang w:eastAsia="zh-CN"/>
              </w:rPr>
              <w:t>男女礼宾各1名，年龄20-35周岁，全日制专科及以上学历，</w:t>
            </w:r>
            <w:r>
              <w:rPr>
                <w:rFonts w:hint="eastAsia" w:ascii="宋体" w:cs="宋体"/>
                <w:kern w:val="0"/>
                <w:szCs w:val="21"/>
                <w:lang w:eastAsia="zh-CN"/>
              </w:rPr>
              <w:t>具有</w:t>
            </w:r>
            <w:r>
              <w:rPr>
                <w:rFonts w:hint="eastAsia" w:ascii="宋体" w:cs="宋体"/>
                <w:kern w:val="0"/>
                <w:szCs w:val="21"/>
                <w:lang w:val="en-US" w:eastAsia="zh-CN"/>
              </w:rPr>
              <w:t>1年以上剧场服务经历的优先考虑</w:t>
            </w:r>
            <w:bookmarkStart w:id="0" w:name="_GoBack"/>
            <w:bookmarkEnd w:id="0"/>
            <w:r>
              <w:rPr>
                <w:rFonts w:hint="eastAsia" w:ascii="宋体" w:eastAsia="宋体" w:cs="宋体"/>
                <w:kern w:val="0"/>
                <w:szCs w:val="21"/>
                <w:lang w:eastAsia="zh-CN"/>
              </w:rPr>
              <w:t>。</w:t>
            </w:r>
          </w:p>
          <w:p>
            <w:pPr>
              <w:spacing w:line="360" w:lineRule="auto"/>
              <w:rPr>
                <w:rFonts w:hint="eastAsia" w:ascii="宋体" w:eastAsia="宋体" w:cs="宋体"/>
                <w:kern w:val="0"/>
                <w:szCs w:val="21"/>
                <w:lang w:val="en-US" w:eastAsia="zh-CN"/>
              </w:rPr>
            </w:pPr>
            <w:r>
              <w:rPr>
                <w:rFonts w:hint="eastAsia" w:ascii="宋体" w:eastAsia="宋体" w:cs="宋体"/>
                <w:kern w:val="0"/>
                <w:sz w:val="16"/>
                <w:szCs w:val="16"/>
                <w:lang w:eastAsia="zh-CN"/>
              </w:rPr>
              <w:t>（女：身高165CM-170CM，体态匀称、五官端正、亲和力强、无不良嗜好、工作时盘发，舒适淡妆，不美甲，不戴框架眼镜；男：身高175CM-185CM体态匀称、五官端正、亲和力强、无不良嗜好、不蓄发蓄胡）</w:t>
            </w:r>
          </w:p>
        </w:tc>
      </w:tr>
      <w:tr>
        <w:tblPrEx>
          <w:tblCellMar>
            <w:top w:w="0" w:type="dxa"/>
            <w:left w:w="108" w:type="dxa"/>
            <w:bottom w:w="0" w:type="dxa"/>
            <w:right w:w="108" w:type="dxa"/>
          </w:tblCellMar>
        </w:tblPrEx>
        <w:trPr>
          <w:trHeight w:val="270" w:hRule="atLeast"/>
        </w:trPr>
        <w:tc>
          <w:tcPr>
            <w:tcW w:w="1137" w:type="dxa"/>
            <w:tcBorders>
              <w:top w:val="single" w:color="000000" w:sz="4" w:space="0"/>
              <w:left w:val="single" w:color="000000" w:sz="4" w:space="0"/>
              <w:bottom w:val="single" w:color="000000" w:sz="4" w:space="0"/>
              <w:right w:val="single" w:color="000000" w:sz="4" w:space="0"/>
            </w:tcBorders>
            <w:vAlign w:val="center"/>
          </w:tcP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合计</w:t>
            </w:r>
          </w:p>
        </w:tc>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18</w:t>
            </w: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r>
              <w:rPr>
                <w:rFonts w:hint="eastAsia" w:ascii="宋体" w:eastAsia="宋体" w:cs="宋体"/>
                <w:kern w:val="0"/>
                <w:szCs w:val="21"/>
              </w:rPr>
              <w:t>18</w:t>
            </w:r>
          </w:p>
        </w:tc>
        <w:tc>
          <w:tcPr>
            <w:tcW w:w="42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kern w:val="0"/>
                <w:szCs w:val="21"/>
              </w:rPr>
            </w:pPr>
          </w:p>
        </w:tc>
      </w:tr>
    </w:tbl>
    <w:p>
      <w:pPr>
        <w:pStyle w:val="7"/>
        <w:spacing w:line="360" w:lineRule="auto"/>
        <w:ind w:left="0" w:firstLine="210" w:firstLineChars="100"/>
        <w:rPr>
          <w:rFonts w:hint="eastAsia" w:ascii="宋体" w:hAnsi="Times New Roman" w:eastAsia="宋体" w:cs="Times New Roman"/>
          <w:kern w:val="2"/>
          <w:sz w:val="21"/>
          <w:szCs w:val="20"/>
          <w:lang w:val="en-US" w:eastAsia="zh-CN" w:bidi="ar-SA"/>
        </w:rPr>
      </w:pPr>
    </w:p>
    <w:p>
      <w:pPr>
        <w:pStyle w:val="7"/>
        <w:spacing w:line="360" w:lineRule="auto"/>
        <w:ind w:left="0" w:firstLine="210" w:firstLineChars="100"/>
        <w:rPr>
          <w:rFonts w:hint="eastAsia" w:ascii="宋体" w:hAnsi="Times New Roman" w:eastAsia="宋体" w:cs="Times New Roman"/>
          <w:kern w:val="2"/>
          <w:sz w:val="21"/>
          <w:szCs w:val="20"/>
          <w:lang w:val="en-US" w:eastAsia="zh-CN" w:bidi="ar-SA"/>
        </w:rPr>
      </w:pPr>
      <w:r>
        <w:rPr>
          <w:rFonts w:hint="eastAsia" w:ascii="宋体" w:hAnsi="Times New Roman" w:eastAsia="宋体" w:cs="Times New Roman"/>
          <w:kern w:val="2"/>
          <w:sz w:val="21"/>
          <w:szCs w:val="20"/>
          <w:lang w:val="en-US" w:eastAsia="zh-CN" w:bidi="ar-SA"/>
        </w:rPr>
        <w:t>★本项目物业服务人员配置数不得少于18人。</w:t>
      </w:r>
    </w:p>
    <w:p>
      <w:pPr>
        <w:pStyle w:val="7"/>
        <w:spacing w:line="360" w:lineRule="auto"/>
        <w:ind w:left="0" w:firstLine="210" w:firstLineChars="100"/>
        <w:rPr>
          <w:rFonts w:hint="eastAsia" w:ascii="宋体" w:hAnsi="Times New Roman" w:eastAsia="宋体" w:cs="Times New Roman"/>
          <w:kern w:val="2"/>
          <w:sz w:val="21"/>
          <w:szCs w:val="20"/>
          <w:lang w:val="en-US" w:eastAsia="zh-CN" w:bidi="ar-SA"/>
        </w:rPr>
      </w:pPr>
      <w:r>
        <w:rPr>
          <w:rFonts w:hint="eastAsia" w:ascii="宋体" w:hAnsi="Times New Roman" w:eastAsia="宋体" w:cs="Times New Roman"/>
          <w:kern w:val="2"/>
          <w:sz w:val="21"/>
          <w:szCs w:val="20"/>
          <w:lang w:val="en-US" w:eastAsia="zh-CN" w:bidi="ar-SA"/>
        </w:rPr>
        <w:t>注：</w:t>
      </w:r>
      <w:r>
        <w:rPr>
          <w:rFonts w:hint="eastAsia" w:ascii="宋体" w:eastAsia="宋体" w:cs="Times New Roman"/>
          <w:kern w:val="2"/>
          <w:sz w:val="21"/>
          <w:szCs w:val="20"/>
          <w:lang w:val="en-US" w:eastAsia="zh-CN" w:bidi="ar-SA"/>
        </w:rPr>
        <w:t>所有物业服务</w:t>
      </w:r>
      <w:r>
        <w:rPr>
          <w:rFonts w:hint="eastAsia" w:ascii="宋体" w:hAnsi="Times New Roman" w:eastAsia="宋体" w:cs="Times New Roman"/>
          <w:kern w:val="2"/>
          <w:sz w:val="21"/>
          <w:szCs w:val="20"/>
          <w:lang w:val="en-US" w:eastAsia="zh-CN" w:bidi="ar-SA"/>
        </w:rPr>
        <w:t>人员均能接受周末无双休，休周中，偶有临时加班的工作性质。</w:t>
      </w:r>
    </w:p>
    <w:p>
      <w:pPr>
        <w:spacing w:line="360" w:lineRule="auto"/>
        <w:ind w:firstLine="420" w:firstLineChars="200"/>
        <w:rPr>
          <w:rFonts w:hint="eastAsia" w:ascii="宋体"/>
          <w:color w:val="FF0000"/>
          <w:szCs w:val="20"/>
          <w:lang w:eastAsia="zh-CN"/>
        </w:rPr>
      </w:pPr>
    </w:p>
    <w:p>
      <w:pPr>
        <w:spacing w:line="360" w:lineRule="auto"/>
        <w:ind w:firstLine="420" w:firstLineChars="200"/>
        <w:rPr>
          <w:rFonts w:hint="eastAsia" w:ascii="宋体" w:eastAsia="宋体"/>
          <w:color w:val="FF0000"/>
          <w:szCs w:val="20"/>
          <w:lang w:eastAsia="zh-CN"/>
        </w:rPr>
      </w:pPr>
    </w:p>
    <w:p>
      <w:pPr>
        <w:pStyle w:val="3"/>
        <w:spacing w:line="360" w:lineRule="auto"/>
        <w:rPr>
          <w:color w:val="FF0000"/>
        </w:rPr>
      </w:pPr>
    </w:p>
    <w:p>
      <w:pPr>
        <w:pStyle w:val="7"/>
        <w:spacing w:line="360" w:lineRule="auto"/>
        <w:ind w:left="0" w:firstLine="210" w:firstLineChars="100"/>
        <w:rPr>
          <w:rFonts w:hint="eastAsia" w:ascii="宋体" w:hAnsi="Times New Roman" w:eastAsia="宋体" w:cs="Times New Roman"/>
          <w:kern w:val="2"/>
          <w:sz w:val="21"/>
          <w:szCs w:val="20"/>
          <w:lang w:val="en-US" w:eastAsia="zh-CN" w:bidi="ar-SA"/>
        </w:rPr>
      </w:pPr>
    </w:p>
    <w:p>
      <w:pPr>
        <w:pStyle w:val="7"/>
        <w:spacing w:line="360" w:lineRule="auto"/>
        <w:ind w:left="0" w:firstLine="210" w:firstLineChars="100"/>
        <w:rPr>
          <w:rFonts w:hint="eastAsia" w:ascii="宋体" w:hAnsi="Times New Roman" w:eastAsia="宋体" w:cs="Times New Roman"/>
          <w:kern w:val="2"/>
          <w:sz w:val="21"/>
          <w:szCs w:val="20"/>
          <w:lang w:val="en-US" w:eastAsia="zh-CN" w:bidi="ar-SA"/>
        </w:rPr>
      </w:pPr>
    </w:p>
    <w:p>
      <w:pPr>
        <w:rPr>
          <w:rFonts w:hint="eastAsia"/>
          <w:b/>
          <w:sz w:val="28"/>
          <w:szCs w:val="28"/>
        </w:rPr>
      </w:pPr>
      <w:r>
        <w:rPr>
          <w:rFonts w:hint="eastAsia"/>
          <w:b/>
          <w:sz w:val="28"/>
          <w:szCs w:val="28"/>
        </w:rPr>
        <w:br w:type="page"/>
      </w:r>
    </w:p>
    <w:p>
      <w:pPr>
        <w:widowControl/>
        <w:spacing w:beforeLines="50" w:line="360" w:lineRule="auto"/>
        <w:jc w:val="left"/>
        <w:outlineLvl w:val="1"/>
        <w:rPr>
          <w:b/>
          <w:sz w:val="28"/>
          <w:szCs w:val="28"/>
        </w:rPr>
      </w:pPr>
      <w:r>
        <w:rPr>
          <w:rFonts w:hint="eastAsia"/>
          <w:b/>
          <w:sz w:val="28"/>
          <w:szCs w:val="28"/>
        </w:rPr>
        <w:t>四、物业管理服务费用明细</w:t>
      </w:r>
    </w:p>
    <w:p>
      <w:pPr>
        <w:spacing w:line="360" w:lineRule="auto"/>
        <w:ind w:firstLine="420" w:firstLineChars="200"/>
        <w:rPr>
          <w:rFonts w:ascii="宋体"/>
          <w:szCs w:val="21"/>
        </w:rPr>
      </w:pPr>
      <w:r>
        <w:rPr>
          <w:rFonts w:hint="eastAsia" w:ascii="宋体"/>
          <w:szCs w:val="21"/>
        </w:rPr>
        <w:t>（一）</w:t>
      </w:r>
      <w:r>
        <w:rPr>
          <w:rFonts w:ascii="宋体"/>
          <w:szCs w:val="21"/>
        </w:rPr>
        <w:t>物业</w:t>
      </w:r>
      <w:r>
        <w:rPr>
          <w:rFonts w:hint="eastAsia" w:ascii="宋体"/>
          <w:szCs w:val="21"/>
        </w:rPr>
        <w:t>管理服务</w:t>
      </w:r>
      <w:r>
        <w:rPr>
          <w:rFonts w:ascii="宋体"/>
          <w:szCs w:val="21"/>
        </w:rPr>
        <w:t>费内容包括：</w:t>
      </w:r>
    </w:p>
    <w:p>
      <w:pPr>
        <w:spacing w:line="360" w:lineRule="auto"/>
        <w:ind w:firstLine="420" w:firstLineChars="200"/>
        <w:rPr>
          <w:rFonts w:ascii="宋体"/>
          <w:szCs w:val="21"/>
        </w:rPr>
      </w:pPr>
      <w:r>
        <w:rPr>
          <w:rFonts w:hint="eastAsia" w:ascii="宋体"/>
          <w:szCs w:val="21"/>
        </w:rPr>
        <w:t>1、</w:t>
      </w:r>
      <w:r>
        <w:rPr>
          <w:rFonts w:ascii="宋体"/>
          <w:szCs w:val="21"/>
        </w:rPr>
        <w:t>员工人工工资</w:t>
      </w:r>
      <w:r>
        <w:rPr>
          <w:rFonts w:hint="eastAsia" w:ascii="宋体"/>
          <w:szCs w:val="21"/>
        </w:rPr>
        <w:t>（含周末双休、国定节假日正常工作时间</w:t>
      </w:r>
      <w:r>
        <w:rPr>
          <w:rFonts w:ascii="宋体"/>
          <w:szCs w:val="21"/>
        </w:rPr>
        <w:t>段内</w:t>
      </w:r>
      <w:r>
        <w:rPr>
          <w:rFonts w:hint="eastAsia" w:ascii="宋体"/>
          <w:szCs w:val="21"/>
        </w:rPr>
        <w:t>的人员工资）</w:t>
      </w:r>
    </w:p>
    <w:p>
      <w:pPr>
        <w:spacing w:line="360" w:lineRule="auto"/>
        <w:ind w:firstLine="420" w:firstLineChars="200"/>
        <w:rPr>
          <w:rFonts w:ascii="宋体"/>
          <w:szCs w:val="21"/>
        </w:rPr>
      </w:pPr>
      <w:r>
        <w:rPr>
          <w:rFonts w:hint="eastAsia" w:ascii="宋体"/>
          <w:szCs w:val="21"/>
        </w:rPr>
        <w:t>2、</w:t>
      </w:r>
      <w:r>
        <w:rPr>
          <w:rFonts w:ascii="宋体"/>
          <w:szCs w:val="21"/>
        </w:rPr>
        <w:t>员工社保基金、福利费用</w:t>
      </w:r>
    </w:p>
    <w:p>
      <w:pPr>
        <w:spacing w:line="360" w:lineRule="auto"/>
        <w:ind w:firstLine="420" w:firstLineChars="200"/>
        <w:rPr>
          <w:rFonts w:ascii="宋体"/>
          <w:szCs w:val="21"/>
        </w:rPr>
      </w:pPr>
      <w:r>
        <w:rPr>
          <w:rFonts w:hint="eastAsia" w:ascii="宋体"/>
          <w:szCs w:val="21"/>
        </w:rPr>
        <w:t>3、</w:t>
      </w:r>
      <w:r>
        <w:rPr>
          <w:rFonts w:ascii="宋体"/>
          <w:szCs w:val="21"/>
        </w:rPr>
        <w:t>年终奖金</w:t>
      </w:r>
    </w:p>
    <w:p>
      <w:pPr>
        <w:spacing w:line="360" w:lineRule="auto"/>
        <w:ind w:firstLine="420" w:firstLineChars="200"/>
        <w:rPr>
          <w:rFonts w:ascii="宋体"/>
          <w:szCs w:val="21"/>
        </w:rPr>
      </w:pPr>
      <w:r>
        <w:rPr>
          <w:rFonts w:hint="eastAsia" w:ascii="宋体"/>
          <w:szCs w:val="21"/>
        </w:rPr>
        <w:t>4、</w:t>
      </w:r>
      <w:r>
        <w:rPr>
          <w:rFonts w:ascii="宋体"/>
          <w:szCs w:val="21"/>
        </w:rPr>
        <w:t>固定加班费</w:t>
      </w:r>
    </w:p>
    <w:p>
      <w:pPr>
        <w:spacing w:line="360" w:lineRule="auto"/>
        <w:ind w:firstLine="420" w:firstLineChars="200"/>
        <w:rPr>
          <w:rFonts w:ascii="宋体"/>
          <w:szCs w:val="21"/>
        </w:rPr>
      </w:pPr>
      <w:r>
        <w:rPr>
          <w:rFonts w:hint="eastAsia" w:ascii="宋体"/>
          <w:szCs w:val="21"/>
        </w:rPr>
        <w:t>5、</w:t>
      </w:r>
      <w:r>
        <w:rPr>
          <w:rFonts w:ascii="宋体"/>
          <w:szCs w:val="21"/>
        </w:rPr>
        <w:t>离职补偿金</w:t>
      </w:r>
    </w:p>
    <w:p>
      <w:pPr>
        <w:spacing w:line="360" w:lineRule="auto"/>
        <w:ind w:firstLine="420" w:firstLineChars="200"/>
        <w:rPr>
          <w:rFonts w:ascii="宋体"/>
          <w:szCs w:val="21"/>
        </w:rPr>
      </w:pPr>
      <w:r>
        <w:rPr>
          <w:rFonts w:hint="eastAsia" w:ascii="宋体"/>
          <w:szCs w:val="21"/>
        </w:rPr>
        <w:t>6、除礼宾制服以外的物业人员</w:t>
      </w:r>
      <w:r>
        <w:rPr>
          <w:rFonts w:ascii="宋体"/>
          <w:szCs w:val="21"/>
        </w:rPr>
        <w:t>服装费</w:t>
      </w:r>
    </w:p>
    <w:p>
      <w:pPr>
        <w:spacing w:line="360" w:lineRule="auto"/>
        <w:ind w:firstLine="420" w:firstLineChars="200"/>
        <w:rPr>
          <w:rFonts w:ascii="宋体"/>
          <w:szCs w:val="21"/>
        </w:rPr>
      </w:pPr>
      <w:r>
        <w:rPr>
          <w:rFonts w:hint="eastAsia" w:ascii="宋体"/>
          <w:szCs w:val="21"/>
        </w:rPr>
        <w:t>7、</w:t>
      </w:r>
      <w:r>
        <w:rPr>
          <w:rFonts w:ascii="宋体"/>
          <w:szCs w:val="21"/>
        </w:rPr>
        <w:t>教育培训费</w:t>
      </w:r>
    </w:p>
    <w:p>
      <w:pPr>
        <w:spacing w:line="360" w:lineRule="auto"/>
        <w:ind w:firstLine="420" w:firstLineChars="200"/>
        <w:rPr>
          <w:rFonts w:ascii="宋体"/>
          <w:szCs w:val="21"/>
        </w:rPr>
      </w:pPr>
      <w:r>
        <w:rPr>
          <w:rFonts w:hint="eastAsia" w:ascii="宋体"/>
          <w:szCs w:val="21"/>
        </w:rPr>
        <w:t>8、</w:t>
      </w:r>
      <w:r>
        <w:rPr>
          <w:rFonts w:ascii="宋体"/>
          <w:szCs w:val="21"/>
        </w:rPr>
        <w:t>办公费用</w:t>
      </w:r>
    </w:p>
    <w:p>
      <w:pPr>
        <w:spacing w:line="360" w:lineRule="auto"/>
        <w:ind w:firstLine="420" w:firstLineChars="200"/>
        <w:rPr>
          <w:rFonts w:ascii="宋体"/>
          <w:szCs w:val="21"/>
        </w:rPr>
      </w:pPr>
      <w:r>
        <w:rPr>
          <w:rFonts w:hint="eastAsia" w:ascii="宋体"/>
          <w:szCs w:val="21"/>
        </w:rPr>
        <w:t>9、</w:t>
      </w:r>
      <w:r>
        <w:rPr>
          <w:rFonts w:ascii="宋体"/>
          <w:szCs w:val="21"/>
        </w:rPr>
        <w:t>保险费</w:t>
      </w:r>
    </w:p>
    <w:p>
      <w:pPr>
        <w:spacing w:line="360" w:lineRule="auto"/>
        <w:ind w:firstLine="420" w:firstLineChars="200"/>
        <w:rPr>
          <w:rFonts w:ascii="宋体"/>
          <w:szCs w:val="21"/>
        </w:rPr>
      </w:pPr>
      <w:r>
        <w:rPr>
          <w:rFonts w:hint="eastAsia" w:ascii="宋体"/>
          <w:szCs w:val="21"/>
        </w:rPr>
        <w:t>10、</w:t>
      </w:r>
      <w:r>
        <w:rPr>
          <w:rFonts w:ascii="宋体"/>
          <w:szCs w:val="21"/>
        </w:rPr>
        <w:t>公司管理费及酬金</w:t>
      </w:r>
      <w:r>
        <w:rPr>
          <w:rFonts w:hint="eastAsia" w:ascii="宋体"/>
          <w:szCs w:val="21"/>
        </w:rPr>
        <w:t>、</w:t>
      </w:r>
    </w:p>
    <w:p>
      <w:pPr>
        <w:spacing w:line="360" w:lineRule="auto"/>
        <w:ind w:firstLine="420" w:firstLineChars="200"/>
        <w:rPr>
          <w:rFonts w:ascii="宋体"/>
          <w:szCs w:val="21"/>
        </w:rPr>
      </w:pPr>
      <w:r>
        <w:rPr>
          <w:rFonts w:hint="eastAsia" w:ascii="宋体"/>
          <w:szCs w:val="21"/>
        </w:rPr>
        <w:t>11、</w:t>
      </w:r>
      <w:r>
        <w:rPr>
          <w:rFonts w:ascii="宋体"/>
          <w:szCs w:val="21"/>
        </w:rPr>
        <w:t>税金</w:t>
      </w:r>
    </w:p>
    <w:p>
      <w:pPr>
        <w:spacing w:line="360" w:lineRule="auto"/>
        <w:ind w:firstLine="420" w:firstLineChars="200"/>
        <w:rPr>
          <w:rFonts w:ascii="宋体"/>
          <w:szCs w:val="21"/>
        </w:rPr>
      </w:pPr>
      <w:r>
        <w:rPr>
          <w:rFonts w:hint="eastAsia" w:ascii="宋体"/>
          <w:szCs w:val="21"/>
        </w:rPr>
        <w:t>12、绿化相关花材、工具及运输费</w:t>
      </w:r>
    </w:p>
    <w:p>
      <w:pPr>
        <w:spacing w:line="360" w:lineRule="auto"/>
        <w:ind w:firstLine="420" w:firstLineChars="200"/>
        <w:rPr>
          <w:rFonts w:ascii="宋体"/>
          <w:szCs w:val="21"/>
        </w:rPr>
      </w:pPr>
      <w:r>
        <w:rPr>
          <w:rFonts w:hint="eastAsia" w:ascii="宋体"/>
          <w:szCs w:val="21"/>
        </w:rPr>
        <w:t>13、定期灭虫害相关材料费、人工费等</w:t>
      </w:r>
    </w:p>
    <w:p>
      <w:pPr>
        <w:spacing w:line="360" w:lineRule="auto"/>
        <w:ind w:firstLine="420" w:firstLineChars="200"/>
        <w:rPr>
          <w:rFonts w:ascii="宋体"/>
          <w:szCs w:val="21"/>
        </w:rPr>
      </w:pPr>
      <w:r>
        <w:rPr>
          <w:rFonts w:hint="eastAsia" w:ascii="宋体"/>
          <w:szCs w:val="21"/>
        </w:rPr>
        <w:t>（二）</w:t>
      </w:r>
      <w:r>
        <w:rPr>
          <w:rFonts w:ascii="宋体"/>
          <w:szCs w:val="21"/>
        </w:rPr>
        <w:t>采购</w:t>
      </w:r>
      <w:r>
        <w:rPr>
          <w:rFonts w:hint="eastAsia" w:ascii="宋体"/>
          <w:szCs w:val="21"/>
        </w:rPr>
        <w:t>单位</w:t>
      </w:r>
      <w:r>
        <w:rPr>
          <w:rFonts w:ascii="宋体"/>
          <w:szCs w:val="21"/>
        </w:rPr>
        <w:t>自理费用项目：</w:t>
      </w:r>
    </w:p>
    <w:p>
      <w:pPr>
        <w:spacing w:line="360" w:lineRule="auto"/>
        <w:ind w:firstLine="420" w:firstLineChars="200"/>
        <w:rPr>
          <w:rFonts w:ascii="宋体"/>
          <w:szCs w:val="21"/>
        </w:rPr>
      </w:pPr>
      <w:r>
        <w:rPr>
          <w:rFonts w:ascii="宋体"/>
          <w:szCs w:val="21"/>
        </w:rPr>
        <w:t>1</w:t>
      </w:r>
      <w:r>
        <w:rPr>
          <w:rFonts w:hint="eastAsia" w:ascii="宋体"/>
          <w:szCs w:val="21"/>
        </w:rPr>
        <w:t>、</w:t>
      </w:r>
      <w:r>
        <w:rPr>
          <w:rFonts w:ascii="宋体"/>
          <w:szCs w:val="21"/>
        </w:rPr>
        <w:t>水、电、煤等能源消耗费。</w:t>
      </w:r>
    </w:p>
    <w:p>
      <w:pPr>
        <w:spacing w:line="360" w:lineRule="auto"/>
        <w:ind w:firstLine="420" w:firstLineChars="200"/>
        <w:rPr>
          <w:rFonts w:ascii="宋体"/>
          <w:szCs w:val="21"/>
        </w:rPr>
      </w:pPr>
      <w:r>
        <w:rPr>
          <w:rFonts w:hint="eastAsia" w:ascii="宋体"/>
          <w:szCs w:val="21"/>
        </w:rPr>
        <w:t>2、</w:t>
      </w:r>
      <w:r>
        <w:rPr>
          <w:rFonts w:ascii="宋体"/>
          <w:szCs w:val="21"/>
        </w:rPr>
        <w:t>日常性办公用品、耗材等维护、维修、配件费用。</w:t>
      </w:r>
    </w:p>
    <w:p>
      <w:pPr>
        <w:spacing w:line="360" w:lineRule="auto"/>
        <w:ind w:firstLine="420" w:firstLineChars="200"/>
        <w:rPr>
          <w:rFonts w:ascii="宋体"/>
          <w:szCs w:val="21"/>
        </w:rPr>
      </w:pPr>
      <w:r>
        <w:rPr>
          <w:rFonts w:hint="eastAsia" w:ascii="宋体"/>
          <w:szCs w:val="21"/>
        </w:rPr>
        <w:t>3、</w:t>
      </w:r>
      <w:r>
        <w:rPr>
          <w:rFonts w:ascii="宋体"/>
          <w:szCs w:val="21"/>
        </w:rPr>
        <w:t>专用设备、设施、变配电设备、给排水设备、污水处理设备、消防设施、中央空调、分体空调、电梯、机械车库、监控安全技防设施、计算机房、通讯设备、安检设备、移动门等维护、维修、配件费用，委托专业公司维护保养或维修费用。</w:t>
      </w:r>
    </w:p>
    <w:p>
      <w:pPr>
        <w:spacing w:line="360" w:lineRule="auto"/>
        <w:ind w:firstLine="420" w:firstLineChars="200"/>
        <w:rPr>
          <w:rFonts w:ascii="宋体"/>
          <w:szCs w:val="21"/>
        </w:rPr>
      </w:pPr>
      <w:r>
        <w:rPr>
          <w:rFonts w:ascii="宋体"/>
          <w:szCs w:val="21"/>
        </w:rPr>
        <w:t>5</w:t>
      </w:r>
      <w:r>
        <w:rPr>
          <w:rFonts w:hint="eastAsia" w:ascii="宋体"/>
          <w:szCs w:val="21"/>
        </w:rPr>
        <w:t>、</w:t>
      </w:r>
      <w:r>
        <w:rPr>
          <w:rFonts w:ascii="宋体"/>
          <w:szCs w:val="21"/>
        </w:rPr>
        <w:t>特种设备年检费、高压电试检测费用。</w:t>
      </w:r>
    </w:p>
    <w:p>
      <w:pPr>
        <w:spacing w:line="360" w:lineRule="auto"/>
        <w:ind w:firstLine="420" w:firstLineChars="200"/>
        <w:rPr>
          <w:rFonts w:ascii="宋体"/>
          <w:szCs w:val="21"/>
        </w:rPr>
      </w:pPr>
      <w:r>
        <w:rPr>
          <w:rFonts w:ascii="宋体"/>
          <w:szCs w:val="21"/>
        </w:rPr>
        <w:t>6</w:t>
      </w:r>
      <w:r>
        <w:rPr>
          <w:rFonts w:hint="eastAsia" w:ascii="宋体"/>
          <w:szCs w:val="21"/>
        </w:rPr>
        <w:t>、</w:t>
      </w:r>
      <w:r>
        <w:rPr>
          <w:rFonts w:ascii="宋体"/>
          <w:szCs w:val="21"/>
        </w:rPr>
        <w:t>日常维修中更换配件所需材料，由中标方向采购方申领。</w:t>
      </w:r>
    </w:p>
    <w:p>
      <w:pPr>
        <w:spacing w:line="360" w:lineRule="auto"/>
        <w:ind w:firstLine="420" w:firstLineChars="200"/>
        <w:rPr>
          <w:rFonts w:ascii="宋体"/>
          <w:szCs w:val="21"/>
        </w:rPr>
      </w:pPr>
      <w:r>
        <w:rPr>
          <w:rFonts w:ascii="宋体"/>
          <w:szCs w:val="21"/>
        </w:rPr>
        <w:t>7</w:t>
      </w:r>
      <w:r>
        <w:rPr>
          <w:rFonts w:hint="eastAsia" w:ascii="宋体"/>
          <w:szCs w:val="21"/>
        </w:rPr>
        <w:t>、</w:t>
      </w:r>
      <w:r>
        <w:rPr>
          <w:rFonts w:ascii="宋体"/>
          <w:szCs w:val="21"/>
        </w:rPr>
        <w:t>日常保洁耗材、洗手间耗材及工具更新费用。</w:t>
      </w:r>
    </w:p>
    <w:p>
      <w:pPr>
        <w:spacing w:line="360" w:lineRule="auto"/>
        <w:ind w:firstLine="420" w:firstLineChars="200"/>
        <w:rPr>
          <w:rFonts w:ascii="宋体"/>
          <w:szCs w:val="21"/>
        </w:rPr>
      </w:pPr>
      <w:r>
        <w:rPr>
          <w:rFonts w:ascii="宋体"/>
          <w:szCs w:val="21"/>
        </w:rPr>
        <w:t>8</w:t>
      </w:r>
      <w:r>
        <w:rPr>
          <w:rFonts w:hint="eastAsia" w:ascii="宋体"/>
          <w:szCs w:val="21"/>
        </w:rPr>
        <w:t>、</w:t>
      </w:r>
      <w:r>
        <w:rPr>
          <w:rFonts w:ascii="宋体"/>
          <w:szCs w:val="21"/>
        </w:rPr>
        <w:t>安保专用设备、器材材料费、维修及更新费。</w:t>
      </w:r>
    </w:p>
    <w:p>
      <w:pPr>
        <w:spacing w:line="360" w:lineRule="auto"/>
        <w:ind w:firstLine="420" w:firstLineChars="200"/>
        <w:rPr>
          <w:rFonts w:ascii="宋体"/>
          <w:szCs w:val="21"/>
        </w:rPr>
      </w:pPr>
      <w:r>
        <w:rPr>
          <w:rFonts w:ascii="宋体"/>
          <w:szCs w:val="21"/>
        </w:rPr>
        <w:t>9</w:t>
      </w:r>
      <w:r>
        <w:rPr>
          <w:rFonts w:hint="eastAsia" w:ascii="宋体"/>
          <w:szCs w:val="21"/>
        </w:rPr>
        <w:t>、</w:t>
      </w:r>
      <w:r>
        <w:rPr>
          <w:rFonts w:ascii="宋体"/>
          <w:szCs w:val="21"/>
        </w:rPr>
        <w:t>会务保障材料费，如所需的徽标制作，鲜花、席卡、茶水、饮品、水果、茶具、器具及相关设备等。</w:t>
      </w:r>
    </w:p>
    <w:p>
      <w:pPr>
        <w:spacing w:line="360" w:lineRule="auto"/>
        <w:ind w:firstLine="420" w:firstLineChars="200"/>
        <w:rPr>
          <w:rFonts w:ascii="宋体"/>
          <w:szCs w:val="21"/>
        </w:rPr>
      </w:pPr>
      <w:r>
        <w:rPr>
          <w:rFonts w:ascii="宋体"/>
          <w:szCs w:val="21"/>
        </w:rPr>
        <w:t>10</w:t>
      </w:r>
      <w:r>
        <w:rPr>
          <w:rFonts w:hint="eastAsia" w:ascii="宋体"/>
          <w:szCs w:val="21"/>
        </w:rPr>
        <w:t>、</w:t>
      </w:r>
      <w:r>
        <w:rPr>
          <w:rFonts w:ascii="宋体"/>
          <w:szCs w:val="21"/>
        </w:rPr>
        <w:t>垃圾清运费。</w:t>
      </w:r>
    </w:p>
    <w:p>
      <w:pPr>
        <w:widowControl/>
        <w:spacing w:line="360" w:lineRule="auto"/>
        <w:ind w:firstLine="420" w:firstLineChars="200"/>
        <w:jc w:val="left"/>
        <w:rPr>
          <w:rFonts w:ascii="宋体"/>
          <w:szCs w:val="21"/>
        </w:rPr>
      </w:pPr>
      <w:r>
        <w:rPr>
          <w:rFonts w:ascii="宋体"/>
          <w:szCs w:val="21"/>
        </w:rPr>
        <w:t>11</w:t>
      </w:r>
      <w:r>
        <w:rPr>
          <w:rFonts w:hint="eastAsia" w:ascii="宋体"/>
          <w:szCs w:val="21"/>
        </w:rPr>
        <w:t>、</w:t>
      </w:r>
      <w:r>
        <w:rPr>
          <w:rFonts w:ascii="宋体"/>
          <w:szCs w:val="21"/>
        </w:rPr>
        <w:t>除物业服务管理费约定以外的费用。</w:t>
      </w:r>
    </w:p>
    <w:p>
      <w:pPr>
        <w:widowControl/>
        <w:jc w:val="left"/>
        <w:rPr>
          <w:rFonts w:ascii="宋体"/>
          <w:szCs w:val="21"/>
        </w:rPr>
      </w:pPr>
      <w:r>
        <w:rPr>
          <w:rFonts w:ascii="宋体"/>
          <w:szCs w:val="21"/>
        </w:rPr>
        <w:br w:type="page"/>
      </w:r>
    </w:p>
    <w:p>
      <w:pPr>
        <w:widowControl/>
        <w:spacing w:beforeLines="50" w:line="360" w:lineRule="auto"/>
        <w:ind w:firstLine="562" w:firstLineChars="200"/>
        <w:jc w:val="left"/>
        <w:outlineLvl w:val="1"/>
        <w:rPr>
          <w:b/>
          <w:sz w:val="28"/>
          <w:szCs w:val="28"/>
        </w:rPr>
      </w:pPr>
      <w:r>
        <w:rPr>
          <w:rFonts w:hint="eastAsia"/>
          <w:b/>
          <w:sz w:val="28"/>
          <w:szCs w:val="28"/>
        </w:rPr>
        <w:t>五、其他要求</w:t>
      </w:r>
    </w:p>
    <w:p>
      <w:pPr>
        <w:widowControl/>
        <w:spacing w:line="360" w:lineRule="auto"/>
        <w:ind w:firstLine="420"/>
        <w:jc w:val="left"/>
        <w:rPr>
          <w:rFonts w:ascii="宋体"/>
          <w:szCs w:val="21"/>
        </w:rPr>
      </w:pPr>
      <w:r>
        <w:rPr>
          <w:rFonts w:hint="eastAsia" w:ascii="宋体"/>
          <w:szCs w:val="21"/>
        </w:rPr>
        <w:t>（1）</w:t>
      </w:r>
      <w:r>
        <w:rPr>
          <w:rFonts w:hint="eastAsia" w:ascii="宋体"/>
          <w:szCs w:val="21"/>
          <w:lang w:eastAsia="zh-CN"/>
        </w:rPr>
        <w:t>供应商</w:t>
      </w:r>
      <w:r>
        <w:rPr>
          <w:rFonts w:hint="eastAsia" w:ascii="宋体"/>
          <w:szCs w:val="21"/>
        </w:rPr>
        <w:t>具有质量管理体系认证（GB/T 19001认证）、职业健康安全管理体系认证（GB/T 45001认证），环境管理体系认证（GB/T 24001认证），并在认证有效期内的优先考虑。</w:t>
      </w:r>
    </w:p>
    <w:p>
      <w:pPr>
        <w:widowControl/>
        <w:spacing w:line="360" w:lineRule="auto"/>
        <w:ind w:firstLine="420"/>
        <w:jc w:val="left"/>
        <w:rPr>
          <w:rFonts w:ascii="宋体"/>
          <w:szCs w:val="21"/>
        </w:rPr>
      </w:pPr>
      <w:r>
        <w:rPr>
          <w:rFonts w:hint="eastAsia" w:ascii="宋体"/>
          <w:szCs w:val="21"/>
        </w:rPr>
        <w:t>（</w:t>
      </w:r>
      <w:r>
        <w:rPr>
          <w:rFonts w:hint="eastAsia" w:ascii="宋体"/>
          <w:szCs w:val="21"/>
          <w:lang w:val="en-US" w:eastAsia="zh-CN"/>
        </w:rPr>
        <w:t>2</w:t>
      </w:r>
      <w:r>
        <w:rPr>
          <w:rFonts w:hint="eastAsia" w:ascii="宋体"/>
          <w:szCs w:val="21"/>
        </w:rPr>
        <w:t>）所有派遣从业人员不配合甲方日常工作的，</w:t>
      </w:r>
      <w:r>
        <w:rPr>
          <w:rFonts w:hint="eastAsia" w:ascii="宋体"/>
          <w:szCs w:val="21"/>
          <w:lang w:eastAsia="zh-CN"/>
        </w:rPr>
        <w:t>采购人</w:t>
      </w:r>
      <w:r>
        <w:rPr>
          <w:rFonts w:hint="eastAsia" w:ascii="宋体"/>
          <w:szCs w:val="21"/>
        </w:rPr>
        <w:t>有权要求物业方撤换，不撤换的，将按照违约处理，情况严重者，</w:t>
      </w:r>
      <w:r>
        <w:rPr>
          <w:rFonts w:hint="eastAsia" w:ascii="宋体"/>
          <w:szCs w:val="21"/>
          <w:lang w:eastAsia="zh-CN"/>
        </w:rPr>
        <w:t>采购人</w:t>
      </w:r>
      <w:r>
        <w:rPr>
          <w:rFonts w:hint="eastAsia" w:ascii="宋体"/>
          <w:szCs w:val="21"/>
        </w:rPr>
        <w:t>有权终止合同。</w:t>
      </w:r>
    </w:p>
    <w:p>
      <w:pPr>
        <w:widowControl/>
        <w:spacing w:line="360" w:lineRule="auto"/>
        <w:ind w:firstLine="420" w:firstLineChars="200"/>
        <w:jc w:val="left"/>
        <w:rPr>
          <w:rFonts w:hint="eastAsia" w:ascii="宋体"/>
          <w:szCs w:val="21"/>
        </w:rPr>
      </w:pPr>
      <w:r>
        <w:rPr>
          <w:rFonts w:hint="eastAsia" w:ascii="宋体"/>
          <w:szCs w:val="21"/>
        </w:rPr>
        <w:t>（</w:t>
      </w:r>
      <w:r>
        <w:rPr>
          <w:rFonts w:hint="eastAsia" w:ascii="宋体"/>
          <w:szCs w:val="21"/>
          <w:lang w:val="en-US" w:eastAsia="zh-CN"/>
        </w:rPr>
        <w:t>3</w:t>
      </w:r>
      <w:r>
        <w:rPr>
          <w:rFonts w:hint="eastAsia" w:ascii="宋体"/>
          <w:szCs w:val="21"/>
        </w:rPr>
        <w:t>）根据</w:t>
      </w:r>
      <w:r>
        <w:rPr>
          <w:rFonts w:hint="eastAsia" w:ascii="宋体"/>
          <w:szCs w:val="21"/>
          <w:lang w:eastAsia="zh-CN"/>
        </w:rPr>
        <w:t>供应商</w:t>
      </w:r>
      <w:r>
        <w:rPr>
          <w:rFonts w:hint="eastAsia" w:ascii="宋体"/>
          <w:szCs w:val="21"/>
        </w:rPr>
        <w:t>实际工作要求和用人需求，合同期内如需增加或减少人员，应保持投标时人员综合单价不变，数量按实结算。特殊情况需超时工作，双方协商确定。</w:t>
      </w:r>
    </w:p>
    <w:p>
      <w:pPr>
        <w:widowControl/>
        <w:spacing w:line="360" w:lineRule="auto"/>
        <w:ind w:firstLine="420" w:firstLineChars="200"/>
        <w:jc w:val="left"/>
        <w:rPr>
          <w:rFonts w:hint="eastAsia" w:ascii="宋体"/>
          <w:szCs w:val="21"/>
          <w:lang w:eastAsia="zh-CN"/>
        </w:rPr>
      </w:pPr>
      <w:r>
        <w:rPr>
          <w:rFonts w:hint="eastAsia" w:ascii="宋体"/>
          <w:szCs w:val="21"/>
          <w:lang w:eastAsia="zh-CN"/>
        </w:rPr>
        <w:t>（</w:t>
      </w:r>
      <w:r>
        <w:rPr>
          <w:rFonts w:hint="eastAsia" w:ascii="宋体"/>
          <w:szCs w:val="21"/>
          <w:lang w:val="en-US" w:eastAsia="zh-CN"/>
        </w:rPr>
        <w:t>4</w:t>
      </w:r>
      <w:r>
        <w:rPr>
          <w:rFonts w:hint="eastAsia" w:ascii="宋体"/>
          <w:szCs w:val="21"/>
          <w:lang w:eastAsia="zh-CN"/>
        </w:rPr>
        <w:t>）考核办法</w:t>
      </w:r>
    </w:p>
    <w:p>
      <w:pPr>
        <w:widowControl/>
        <w:spacing w:line="360" w:lineRule="auto"/>
        <w:ind w:firstLine="420" w:firstLineChars="200"/>
        <w:jc w:val="left"/>
        <w:rPr>
          <w:rFonts w:hint="eastAsia" w:ascii="宋体"/>
          <w:szCs w:val="21"/>
          <w:lang w:eastAsia="zh-CN"/>
        </w:rPr>
      </w:pPr>
      <w:r>
        <w:rPr>
          <w:rFonts w:hint="eastAsia" w:ascii="宋体"/>
          <w:szCs w:val="21"/>
          <w:lang w:eastAsia="zh-CN"/>
        </w:rPr>
        <w:t>1）考核依据</w:t>
      </w:r>
    </w:p>
    <w:p>
      <w:pPr>
        <w:widowControl/>
        <w:spacing w:line="360" w:lineRule="auto"/>
        <w:ind w:firstLine="420" w:firstLineChars="200"/>
        <w:jc w:val="left"/>
        <w:rPr>
          <w:rFonts w:hint="eastAsia" w:ascii="宋体"/>
          <w:szCs w:val="21"/>
          <w:lang w:eastAsia="zh-CN"/>
        </w:rPr>
      </w:pPr>
      <w:r>
        <w:rPr>
          <w:rFonts w:hint="eastAsia" w:ascii="宋体"/>
          <w:szCs w:val="21"/>
          <w:lang w:eastAsia="zh-CN"/>
        </w:rPr>
        <w:t>物业服务合同、招标文件所委托的物业管理服务范围、服务内容、服务要求（标准）和投标文件。</w:t>
      </w:r>
    </w:p>
    <w:p>
      <w:pPr>
        <w:widowControl/>
        <w:spacing w:line="360" w:lineRule="auto"/>
        <w:ind w:firstLine="420" w:firstLineChars="200"/>
        <w:jc w:val="left"/>
        <w:rPr>
          <w:rFonts w:hint="eastAsia" w:ascii="宋体"/>
          <w:szCs w:val="21"/>
          <w:lang w:eastAsia="zh-CN"/>
        </w:rPr>
      </w:pPr>
      <w:r>
        <w:rPr>
          <w:rFonts w:hint="eastAsia" w:ascii="宋体"/>
          <w:szCs w:val="21"/>
          <w:lang w:eastAsia="zh-CN"/>
        </w:rPr>
        <w:t>2）考核评分评价</w:t>
      </w:r>
    </w:p>
    <w:p>
      <w:pPr>
        <w:widowControl/>
        <w:spacing w:line="360" w:lineRule="auto"/>
        <w:ind w:firstLine="420" w:firstLineChars="200"/>
        <w:jc w:val="left"/>
        <w:rPr>
          <w:rFonts w:hint="eastAsia" w:ascii="宋体"/>
          <w:szCs w:val="21"/>
          <w:lang w:eastAsia="zh-CN"/>
        </w:rPr>
      </w:pPr>
      <w:r>
        <w:rPr>
          <w:rFonts w:hint="eastAsia" w:ascii="宋体"/>
          <w:szCs w:val="21"/>
          <w:lang w:eastAsia="zh-CN"/>
        </w:rPr>
        <w:t>2.1 考核评分在90分及以上，考核评价为优秀。</w:t>
      </w:r>
    </w:p>
    <w:p>
      <w:pPr>
        <w:widowControl/>
        <w:spacing w:line="360" w:lineRule="auto"/>
        <w:ind w:firstLine="420" w:firstLineChars="200"/>
        <w:jc w:val="left"/>
        <w:rPr>
          <w:rFonts w:hint="eastAsia" w:ascii="宋体"/>
          <w:szCs w:val="21"/>
          <w:lang w:eastAsia="zh-CN"/>
        </w:rPr>
      </w:pPr>
      <w:r>
        <w:rPr>
          <w:rFonts w:hint="eastAsia" w:ascii="宋体"/>
          <w:szCs w:val="21"/>
          <w:lang w:eastAsia="zh-CN"/>
        </w:rPr>
        <w:t>2.2 考核评分在60分（含60分）至90分区间，考核评价为合格。</w:t>
      </w:r>
    </w:p>
    <w:p>
      <w:pPr>
        <w:widowControl/>
        <w:spacing w:line="360" w:lineRule="auto"/>
        <w:ind w:firstLine="420" w:firstLineChars="200"/>
        <w:jc w:val="left"/>
        <w:rPr>
          <w:rFonts w:hint="eastAsia" w:ascii="宋体"/>
          <w:szCs w:val="21"/>
          <w:lang w:eastAsia="zh-CN"/>
        </w:rPr>
      </w:pPr>
      <w:r>
        <w:rPr>
          <w:rFonts w:hint="eastAsia" w:ascii="宋体"/>
          <w:szCs w:val="21"/>
          <w:lang w:eastAsia="zh-CN"/>
        </w:rPr>
        <w:t>2.3 考核评分60分以下，考核评价为不合格。</w:t>
      </w:r>
    </w:p>
    <w:p>
      <w:pPr>
        <w:widowControl/>
        <w:spacing w:line="360" w:lineRule="auto"/>
        <w:ind w:firstLine="420" w:firstLineChars="200"/>
        <w:jc w:val="left"/>
        <w:rPr>
          <w:rFonts w:hint="eastAsia" w:ascii="宋体"/>
          <w:szCs w:val="21"/>
          <w:lang w:eastAsia="zh-CN"/>
        </w:rPr>
      </w:pPr>
      <w:r>
        <w:rPr>
          <w:rFonts w:hint="eastAsia" w:ascii="宋体"/>
          <w:szCs w:val="21"/>
          <w:lang w:eastAsia="zh-CN"/>
        </w:rPr>
        <w:t>3）考核结果应用</w:t>
      </w:r>
    </w:p>
    <w:p>
      <w:pPr>
        <w:widowControl/>
        <w:spacing w:line="360" w:lineRule="auto"/>
        <w:ind w:firstLine="420" w:firstLineChars="200"/>
        <w:jc w:val="left"/>
        <w:rPr>
          <w:rFonts w:ascii="宋体"/>
          <w:szCs w:val="21"/>
        </w:rPr>
      </w:pPr>
      <w:r>
        <w:rPr>
          <w:rFonts w:hint="eastAsia" w:ascii="宋体"/>
          <w:szCs w:val="21"/>
          <w:lang w:eastAsia="zh-CN"/>
        </w:rPr>
        <w:t>物业方的各项工作未达到物业管理、服务所承诺的标准和要求，考核结果为不合格的，须整改达标后才能支付当期的物业管理费用。限期整改不到位的，将按照违约处理，情况严重者（2次整改不到位的），业主方有权终止合同。</w:t>
      </w:r>
    </w:p>
    <w:p>
      <w:pPr>
        <w:widowControl/>
        <w:spacing w:line="360" w:lineRule="auto"/>
        <w:ind w:firstLine="420"/>
        <w:jc w:val="left"/>
        <w:rPr>
          <w:rFonts w:cs="宋体"/>
          <w:kern w:val="0"/>
          <w:szCs w:val="21"/>
        </w:rPr>
        <w:sectPr>
          <w:pgSz w:w="11906" w:h="16838"/>
          <w:pgMar w:top="1440" w:right="1800" w:bottom="1440" w:left="1800" w:header="851" w:footer="992" w:gutter="0"/>
          <w:cols w:space="425" w:num="1"/>
          <w:docGrid w:type="lines" w:linePitch="312" w:charSpace="0"/>
        </w:sectPr>
      </w:pPr>
    </w:p>
    <w:p>
      <w:pPr>
        <w:pStyle w:val="3"/>
        <w:spacing w:line="360" w:lineRule="auto"/>
        <w:rPr>
          <w:b/>
          <w:sz w:val="24"/>
        </w:rPr>
      </w:pPr>
      <w:r>
        <w:rPr>
          <w:rFonts w:hint="eastAsia" w:ascii="宋体"/>
          <w:szCs w:val="21"/>
        </w:rPr>
        <w:t>（5）</w:t>
      </w:r>
      <w:r>
        <w:rPr>
          <w:rFonts w:hint="eastAsia"/>
          <w:b/>
          <w:sz w:val="24"/>
        </w:rPr>
        <w:t>附件：</w:t>
      </w:r>
    </w:p>
    <w:tbl>
      <w:tblPr>
        <w:tblStyle w:val="9"/>
        <w:tblW w:w="14200" w:type="dxa"/>
        <w:tblInd w:w="93" w:type="dxa"/>
        <w:tblLayout w:type="autofit"/>
        <w:tblCellMar>
          <w:top w:w="0" w:type="dxa"/>
          <w:left w:w="108" w:type="dxa"/>
          <w:bottom w:w="0" w:type="dxa"/>
          <w:right w:w="108" w:type="dxa"/>
        </w:tblCellMar>
      </w:tblPr>
      <w:tblGrid>
        <w:gridCol w:w="1840"/>
        <w:gridCol w:w="1340"/>
        <w:gridCol w:w="1340"/>
        <w:gridCol w:w="1340"/>
        <w:gridCol w:w="1340"/>
        <w:gridCol w:w="1340"/>
        <w:gridCol w:w="1340"/>
        <w:gridCol w:w="1340"/>
        <w:gridCol w:w="1340"/>
        <w:gridCol w:w="1640"/>
      </w:tblGrid>
      <w:tr>
        <w:tblPrEx>
          <w:tblCellMar>
            <w:top w:w="0" w:type="dxa"/>
            <w:left w:w="108" w:type="dxa"/>
            <w:bottom w:w="0" w:type="dxa"/>
            <w:right w:w="108" w:type="dxa"/>
          </w:tblCellMar>
        </w:tblPrEx>
        <w:trPr>
          <w:trHeight w:val="645" w:hRule="atLeast"/>
        </w:trPr>
        <w:tc>
          <w:tcPr>
            <w:tcW w:w="14200" w:type="dxa"/>
            <w:gridSpan w:val="10"/>
            <w:tcBorders>
              <w:top w:val="nil"/>
              <w:left w:val="nil"/>
              <w:bottom w:val="nil"/>
              <w:right w:val="nil"/>
            </w:tcBorders>
            <w:shd w:val="clear" w:color="auto" w:fill="auto"/>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物业管理服务工作质量季度考核表</w:t>
            </w:r>
          </w:p>
        </w:tc>
      </w:tr>
      <w:tr>
        <w:tblPrEx>
          <w:tblCellMar>
            <w:top w:w="0" w:type="dxa"/>
            <w:left w:w="108" w:type="dxa"/>
            <w:bottom w:w="0" w:type="dxa"/>
            <w:right w:w="108" w:type="dxa"/>
          </w:tblCellMar>
        </w:tblPrEx>
        <w:trPr>
          <w:trHeight w:val="420" w:hRule="atLeast"/>
        </w:trPr>
        <w:tc>
          <w:tcPr>
            <w:tcW w:w="14200" w:type="dxa"/>
            <w:gridSpan w:val="10"/>
            <w:tcBorders>
              <w:top w:val="nil"/>
              <w:left w:val="nil"/>
              <w:bottom w:val="nil"/>
              <w:right w:val="nil"/>
            </w:tcBorders>
            <w:shd w:val="clear" w:color="auto" w:fill="auto"/>
            <w:noWrap/>
            <w:vAlign w:val="center"/>
          </w:tcPr>
          <w:p>
            <w:pPr>
              <w:widowControl/>
              <w:jc w:val="center"/>
              <w:rPr>
                <w:rFonts w:ascii="黑体" w:hAnsi="黑体" w:eastAsia="黑体" w:cs="宋体"/>
                <w:kern w:val="0"/>
                <w:sz w:val="22"/>
              </w:rPr>
            </w:pPr>
            <w:r>
              <w:rPr>
                <w:rFonts w:hint="eastAsia" w:ascii="黑体" w:hAnsi="黑体" w:eastAsia="黑体" w:cs="宋体"/>
                <w:kern w:val="0"/>
                <w:sz w:val="22"/>
              </w:rPr>
              <w:t>2026年  月-  月</w:t>
            </w:r>
          </w:p>
        </w:tc>
      </w:tr>
      <w:tr>
        <w:tblPrEx>
          <w:tblCellMar>
            <w:top w:w="0" w:type="dxa"/>
            <w:left w:w="108" w:type="dxa"/>
            <w:bottom w:w="0" w:type="dxa"/>
            <w:right w:w="108" w:type="dxa"/>
          </w:tblCellMar>
        </w:tblPrEx>
        <w:trPr>
          <w:trHeight w:val="420" w:hRule="atLeast"/>
        </w:trPr>
        <w:tc>
          <w:tcPr>
            <w:tcW w:w="1840"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项目</w:t>
            </w:r>
          </w:p>
        </w:tc>
        <w:tc>
          <w:tcPr>
            <w:tcW w:w="2680"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人员考勤（5分）</w:t>
            </w:r>
          </w:p>
        </w:tc>
        <w:tc>
          <w:tcPr>
            <w:tcW w:w="2680"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现场服务（5分）</w:t>
            </w:r>
          </w:p>
        </w:tc>
        <w:tc>
          <w:tcPr>
            <w:tcW w:w="2680"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培训开展（5分）</w:t>
            </w:r>
          </w:p>
        </w:tc>
        <w:tc>
          <w:tcPr>
            <w:tcW w:w="2680"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投诉监督（5分）</w:t>
            </w:r>
          </w:p>
        </w:tc>
        <w:tc>
          <w:tcPr>
            <w:tcW w:w="1640"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综合评估/备注</w:t>
            </w:r>
          </w:p>
        </w:tc>
      </w:tr>
      <w:tr>
        <w:tblPrEx>
          <w:tblCellMar>
            <w:top w:w="0" w:type="dxa"/>
            <w:left w:w="108" w:type="dxa"/>
            <w:bottom w:w="0" w:type="dxa"/>
            <w:right w:w="108" w:type="dxa"/>
          </w:tblCellMar>
        </w:tblPrEx>
        <w:trPr>
          <w:trHeight w:val="885" w:hRule="atLeast"/>
        </w:trPr>
        <w:tc>
          <w:tcPr>
            <w:tcW w:w="184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考核标准</w:t>
            </w:r>
          </w:p>
        </w:tc>
        <w:tc>
          <w:tcPr>
            <w:tcW w:w="26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人员缺岗或不符合岗位要求每次/每人扣1分</w:t>
            </w:r>
          </w:p>
        </w:tc>
        <w:tc>
          <w:tcPr>
            <w:tcW w:w="26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服务未按标准执行，出现1次扣1分</w:t>
            </w:r>
          </w:p>
        </w:tc>
        <w:tc>
          <w:tcPr>
            <w:tcW w:w="26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每月开展安全、防疫、消防、服务、业务五项培训至少1次，完成得5分</w:t>
            </w:r>
          </w:p>
        </w:tc>
        <w:tc>
          <w:tcPr>
            <w:tcW w:w="26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出现有效客户投诉扣1分；出现安全隐患扣1分；出现重大安全隐患扣5分</w:t>
            </w:r>
          </w:p>
        </w:tc>
        <w:tc>
          <w:tcPr>
            <w:tcW w:w="164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20" w:hRule="atLeast"/>
        </w:trPr>
        <w:tc>
          <w:tcPr>
            <w:tcW w:w="184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评分</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自评分</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业主评分</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自评分</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业主评分</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自评分</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业主评分</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自评分</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业主评分</w:t>
            </w:r>
          </w:p>
        </w:tc>
        <w:tc>
          <w:tcPr>
            <w:tcW w:w="164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20" w:hRule="atLeast"/>
        </w:trPr>
        <w:tc>
          <w:tcPr>
            <w:tcW w:w="184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环境卫生服务</w:t>
            </w:r>
          </w:p>
        </w:tc>
        <w:tc>
          <w:tcPr>
            <w:tcW w:w="1340"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13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xml:space="preserve">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64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20" w:hRule="atLeast"/>
        </w:trPr>
        <w:tc>
          <w:tcPr>
            <w:tcW w:w="184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保安管理服务</w:t>
            </w:r>
          </w:p>
        </w:tc>
        <w:tc>
          <w:tcPr>
            <w:tcW w:w="1340"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13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64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20" w:hRule="atLeast"/>
        </w:trPr>
        <w:tc>
          <w:tcPr>
            <w:tcW w:w="184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礼宾礼仪服务</w:t>
            </w:r>
          </w:p>
        </w:tc>
        <w:tc>
          <w:tcPr>
            <w:tcW w:w="1340"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13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64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20" w:hRule="atLeast"/>
        </w:trPr>
        <w:tc>
          <w:tcPr>
            <w:tcW w:w="184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绿化维护服务</w:t>
            </w:r>
          </w:p>
        </w:tc>
        <w:tc>
          <w:tcPr>
            <w:tcW w:w="1340"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13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64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20" w:hRule="atLeast"/>
        </w:trPr>
        <w:tc>
          <w:tcPr>
            <w:tcW w:w="184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配合消防服务</w:t>
            </w:r>
          </w:p>
        </w:tc>
        <w:tc>
          <w:tcPr>
            <w:tcW w:w="1340"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13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64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20" w:hRule="atLeast"/>
        </w:trPr>
        <w:tc>
          <w:tcPr>
            <w:tcW w:w="184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小计</w:t>
            </w:r>
          </w:p>
        </w:tc>
        <w:tc>
          <w:tcPr>
            <w:tcW w:w="1340"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13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64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20" w:hRule="atLeast"/>
        </w:trPr>
        <w:tc>
          <w:tcPr>
            <w:tcW w:w="1840" w:type="dxa"/>
            <w:tcBorders>
              <w:top w:val="nil"/>
              <w:left w:val="single" w:color="auto" w:sz="8" w:space="0"/>
              <w:bottom w:val="nil"/>
              <w:right w:val="nil"/>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自评总分</w:t>
            </w:r>
          </w:p>
        </w:tc>
        <w:tc>
          <w:tcPr>
            <w:tcW w:w="536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业主总分</w:t>
            </w:r>
          </w:p>
        </w:tc>
        <w:tc>
          <w:tcPr>
            <w:tcW w:w="5660" w:type="dxa"/>
            <w:gridSpan w:val="4"/>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20" w:hRule="atLeast"/>
        </w:trPr>
        <w:tc>
          <w:tcPr>
            <w:tcW w:w="14200" w:type="dxa"/>
            <w:gridSpan w:val="10"/>
            <w:tcBorders>
              <w:top w:val="single" w:color="auto" w:sz="4" w:space="0"/>
              <w:left w:val="single" w:color="auto" w:sz="8" w:space="0"/>
              <w:bottom w:val="nil"/>
              <w:right w:val="single" w:color="000000" w:sz="8"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业主审核意见：</w:t>
            </w:r>
          </w:p>
        </w:tc>
      </w:tr>
      <w:tr>
        <w:tblPrEx>
          <w:tblCellMar>
            <w:top w:w="0" w:type="dxa"/>
            <w:left w:w="108" w:type="dxa"/>
            <w:bottom w:w="0" w:type="dxa"/>
            <w:right w:w="108" w:type="dxa"/>
          </w:tblCellMar>
        </w:tblPrEx>
        <w:trPr>
          <w:trHeight w:val="420" w:hRule="atLeast"/>
        </w:trPr>
        <w:tc>
          <w:tcPr>
            <w:tcW w:w="14200" w:type="dxa"/>
            <w:gridSpan w:val="10"/>
            <w:tcBorders>
              <w:top w:val="nil"/>
              <w:left w:val="single" w:color="auto" w:sz="8" w:space="0"/>
              <w:bottom w:val="nil"/>
              <w:right w:val="single" w:color="000000"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20" w:hRule="atLeast"/>
        </w:trPr>
        <w:tc>
          <w:tcPr>
            <w:tcW w:w="4520" w:type="dxa"/>
            <w:gridSpan w:val="3"/>
            <w:tcBorders>
              <w:top w:val="nil"/>
              <w:left w:val="single" w:color="auto" w:sz="8" w:space="0"/>
              <w:bottom w:val="nil"/>
              <w:right w:val="nil"/>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9680" w:type="dxa"/>
            <w:gridSpan w:val="7"/>
            <w:tcBorders>
              <w:top w:val="nil"/>
              <w:left w:val="nil"/>
              <w:bottom w:val="nil"/>
              <w:right w:val="single" w:color="000000"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xml:space="preserve">中国福利会儿童艺术剧院（马兰花剧场）（盖章）              </w:t>
            </w:r>
          </w:p>
        </w:tc>
      </w:tr>
      <w:tr>
        <w:tblPrEx>
          <w:tblCellMar>
            <w:top w:w="0" w:type="dxa"/>
            <w:left w:w="108" w:type="dxa"/>
            <w:bottom w:w="0" w:type="dxa"/>
            <w:right w:w="108" w:type="dxa"/>
          </w:tblCellMar>
        </w:tblPrEx>
        <w:trPr>
          <w:trHeight w:val="420" w:hRule="atLeast"/>
        </w:trPr>
        <w:tc>
          <w:tcPr>
            <w:tcW w:w="4520" w:type="dxa"/>
            <w:gridSpan w:val="3"/>
            <w:tcBorders>
              <w:top w:val="nil"/>
              <w:left w:val="single" w:color="auto" w:sz="8" w:space="0"/>
              <w:bottom w:val="nil"/>
              <w:right w:val="nil"/>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9680" w:type="dxa"/>
            <w:gridSpan w:val="7"/>
            <w:tcBorders>
              <w:top w:val="nil"/>
              <w:left w:val="nil"/>
              <w:bottom w:val="nil"/>
              <w:right w:val="single" w:color="000000"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日期：</w:t>
            </w:r>
          </w:p>
        </w:tc>
      </w:tr>
      <w:tr>
        <w:tblPrEx>
          <w:tblCellMar>
            <w:top w:w="0" w:type="dxa"/>
            <w:left w:w="108" w:type="dxa"/>
            <w:bottom w:w="0" w:type="dxa"/>
            <w:right w:w="108" w:type="dxa"/>
          </w:tblCellMar>
        </w:tblPrEx>
        <w:trPr>
          <w:trHeight w:val="420" w:hRule="atLeast"/>
        </w:trPr>
        <w:tc>
          <w:tcPr>
            <w:tcW w:w="14200" w:type="dxa"/>
            <w:gridSpan w:val="10"/>
            <w:tcBorders>
              <w:top w:val="single" w:color="auto" w:sz="4" w:space="0"/>
              <w:left w:val="single" w:color="auto" w:sz="8" w:space="0"/>
              <w:bottom w:val="nil"/>
              <w:right w:val="single" w:color="000000" w:sz="8"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xml:space="preserve">物业管理公司确认：          </w:t>
            </w:r>
          </w:p>
        </w:tc>
      </w:tr>
      <w:tr>
        <w:tblPrEx>
          <w:tblCellMar>
            <w:top w:w="0" w:type="dxa"/>
            <w:left w:w="108" w:type="dxa"/>
            <w:bottom w:w="0" w:type="dxa"/>
            <w:right w:w="108" w:type="dxa"/>
          </w:tblCellMar>
        </w:tblPrEx>
        <w:trPr>
          <w:trHeight w:val="420" w:hRule="atLeast"/>
        </w:trPr>
        <w:tc>
          <w:tcPr>
            <w:tcW w:w="4520" w:type="dxa"/>
            <w:gridSpan w:val="3"/>
            <w:tcBorders>
              <w:top w:val="nil"/>
              <w:left w:val="single" w:color="auto" w:sz="8" w:space="0"/>
              <w:bottom w:val="nil"/>
              <w:right w:val="nil"/>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9680" w:type="dxa"/>
            <w:gridSpan w:val="7"/>
            <w:tcBorders>
              <w:top w:val="nil"/>
              <w:left w:val="nil"/>
              <w:bottom w:val="nil"/>
              <w:right w:val="single" w:color="000000"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**物业有限公司（盖章）</w:t>
            </w:r>
          </w:p>
        </w:tc>
      </w:tr>
      <w:tr>
        <w:tblPrEx>
          <w:tblCellMar>
            <w:top w:w="0" w:type="dxa"/>
            <w:left w:w="108" w:type="dxa"/>
            <w:bottom w:w="0" w:type="dxa"/>
            <w:right w:w="108" w:type="dxa"/>
          </w:tblCellMar>
        </w:tblPrEx>
        <w:trPr>
          <w:trHeight w:val="420" w:hRule="atLeast"/>
        </w:trPr>
        <w:tc>
          <w:tcPr>
            <w:tcW w:w="4520" w:type="dxa"/>
            <w:gridSpan w:val="3"/>
            <w:tcBorders>
              <w:top w:val="nil"/>
              <w:left w:val="single" w:color="auto" w:sz="8" w:space="0"/>
              <w:bottom w:val="single" w:color="auto" w:sz="8" w:space="0"/>
              <w:right w:val="nil"/>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9680" w:type="dxa"/>
            <w:gridSpan w:val="7"/>
            <w:tcBorders>
              <w:top w:val="nil"/>
              <w:left w:val="nil"/>
              <w:bottom w:val="single" w:color="auto" w:sz="8" w:space="0"/>
              <w:right w:val="single" w:color="000000"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日期：</w:t>
            </w:r>
          </w:p>
        </w:tc>
      </w:tr>
    </w:tbl>
    <w:p>
      <w:pPr>
        <w:pStyle w:val="3"/>
        <w:spacing w:line="360" w:lineRule="auto"/>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C6E0F"/>
    <w:rsid w:val="00033DC8"/>
    <w:rsid w:val="00034FAC"/>
    <w:rsid w:val="00036F36"/>
    <w:rsid w:val="00050473"/>
    <w:rsid w:val="000716D9"/>
    <w:rsid w:val="000759D1"/>
    <w:rsid w:val="00096206"/>
    <w:rsid w:val="000A3030"/>
    <w:rsid w:val="000A4B3A"/>
    <w:rsid w:val="000C142D"/>
    <w:rsid w:val="000F6957"/>
    <w:rsid w:val="001120F0"/>
    <w:rsid w:val="00113B2A"/>
    <w:rsid w:val="001217A4"/>
    <w:rsid w:val="00132AFC"/>
    <w:rsid w:val="0014714A"/>
    <w:rsid w:val="00161C98"/>
    <w:rsid w:val="00170796"/>
    <w:rsid w:val="00173CA5"/>
    <w:rsid w:val="00176856"/>
    <w:rsid w:val="0019445F"/>
    <w:rsid w:val="00195CA4"/>
    <w:rsid w:val="001A5D8A"/>
    <w:rsid w:val="001B0750"/>
    <w:rsid w:val="001E307B"/>
    <w:rsid w:val="001E7574"/>
    <w:rsid w:val="00284CEE"/>
    <w:rsid w:val="00287442"/>
    <w:rsid w:val="00290BD2"/>
    <w:rsid w:val="00295254"/>
    <w:rsid w:val="002A3077"/>
    <w:rsid w:val="002D3962"/>
    <w:rsid w:val="002E0987"/>
    <w:rsid w:val="002E650E"/>
    <w:rsid w:val="00305559"/>
    <w:rsid w:val="0031739A"/>
    <w:rsid w:val="003259FE"/>
    <w:rsid w:val="00346DA7"/>
    <w:rsid w:val="00371DE8"/>
    <w:rsid w:val="00371F95"/>
    <w:rsid w:val="003A3E2D"/>
    <w:rsid w:val="003B3A6E"/>
    <w:rsid w:val="003B3CE7"/>
    <w:rsid w:val="003D2890"/>
    <w:rsid w:val="00421505"/>
    <w:rsid w:val="004222CB"/>
    <w:rsid w:val="00436A16"/>
    <w:rsid w:val="0044351F"/>
    <w:rsid w:val="00445402"/>
    <w:rsid w:val="004A6022"/>
    <w:rsid w:val="004A725E"/>
    <w:rsid w:val="004C6E0F"/>
    <w:rsid w:val="004E6B1D"/>
    <w:rsid w:val="004F3239"/>
    <w:rsid w:val="00501D18"/>
    <w:rsid w:val="00520BAA"/>
    <w:rsid w:val="0052237F"/>
    <w:rsid w:val="00536540"/>
    <w:rsid w:val="0054488E"/>
    <w:rsid w:val="00547F06"/>
    <w:rsid w:val="0056684C"/>
    <w:rsid w:val="00567475"/>
    <w:rsid w:val="00570302"/>
    <w:rsid w:val="0057630D"/>
    <w:rsid w:val="00587EC6"/>
    <w:rsid w:val="0059101C"/>
    <w:rsid w:val="005974DC"/>
    <w:rsid w:val="005D27D7"/>
    <w:rsid w:val="005E4185"/>
    <w:rsid w:val="005E46C6"/>
    <w:rsid w:val="005E5859"/>
    <w:rsid w:val="005F18E6"/>
    <w:rsid w:val="00601CF5"/>
    <w:rsid w:val="0064465A"/>
    <w:rsid w:val="00657D93"/>
    <w:rsid w:val="00682C12"/>
    <w:rsid w:val="006C00AA"/>
    <w:rsid w:val="006E1440"/>
    <w:rsid w:val="006E1625"/>
    <w:rsid w:val="00701ED8"/>
    <w:rsid w:val="00703A94"/>
    <w:rsid w:val="00742441"/>
    <w:rsid w:val="00742837"/>
    <w:rsid w:val="00753379"/>
    <w:rsid w:val="00753E4D"/>
    <w:rsid w:val="00754167"/>
    <w:rsid w:val="00763009"/>
    <w:rsid w:val="00782D34"/>
    <w:rsid w:val="007B4D9F"/>
    <w:rsid w:val="007C1411"/>
    <w:rsid w:val="007C58E1"/>
    <w:rsid w:val="007F52B6"/>
    <w:rsid w:val="00802B7C"/>
    <w:rsid w:val="00810D4F"/>
    <w:rsid w:val="0085111C"/>
    <w:rsid w:val="008535B7"/>
    <w:rsid w:val="00856A1F"/>
    <w:rsid w:val="00866145"/>
    <w:rsid w:val="00871CDA"/>
    <w:rsid w:val="00883542"/>
    <w:rsid w:val="00890564"/>
    <w:rsid w:val="00892647"/>
    <w:rsid w:val="009119B7"/>
    <w:rsid w:val="00913207"/>
    <w:rsid w:val="0091789E"/>
    <w:rsid w:val="00935990"/>
    <w:rsid w:val="009505AE"/>
    <w:rsid w:val="00955AF5"/>
    <w:rsid w:val="009760EA"/>
    <w:rsid w:val="009835CA"/>
    <w:rsid w:val="00990AE6"/>
    <w:rsid w:val="009D1267"/>
    <w:rsid w:val="009D2454"/>
    <w:rsid w:val="009E3E05"/>
    <w:rsid w:val="009E7C78"/>
    <w:rsid w:val="00A50BD2"/>
    <w:rsid w:val="00A529F3"/>
    <w:rsid w:val="00A5528C"/>
    <w:rsid w:val="00A55594"/>
    <w:rsid w:val="00A95863"/>
    <w:rsid w:val="00AD5590"/>
    <w:rsid w:val="00B322F8"/>
    <w:rsid w:val="00B32623"/>
    <w:rsid w:val="00BA2631"/>
    <w:rsid w:val="00BA4122"/>
    <w:rsid w:val="00BA48AA"/>
    <w:rsid w:val="00BA725A"/>
    <w:rsid w:val="00BD4412"/>
    <w:rsid w:val="00BE6F28"/>
    <w:rsid w:val="00BF21BA"/>
    <w:rsid w:val="00C001B0"/>
    <w:rsid w:val="00C36EDA"/>
    <w:rsid w:val="00C4057D"/>
    <w:rsid w:val="00C4427D"/>
    <w:rsid w:val="00C75080"/>
    <w:rsid w:val="00C766F6"/>
    <w:rsid w:val="00C82C4A"/>
    <w:rsid w:val="00C87108"/>
    <w:rsid w:val="00CA6C71"/>
    <w:rsid w:val="00CC27FE"/>
    <w:rsid w:val="00CE6784"/>
    <w:rsid w:val="00CF6DDB"/>
    <w:rsid w:val="00D24984"/>
    <w:rsid w:val="00D277AA"/>
    <w:rsid w:val="00D37AFB"/>
    <w:rsid w:val="00D74819"/>
    <w:rsid w:val="00D8062C"/>
    <w:rsid w:val="00D8317D"/>
    <w:rsid w:val="00DA0359"/>
    <w:rsid w:val="00DC6D16"/>
    <w:rsid w:val="00DD19F2"/>
    <w:rsid w:val="00DD7479"/>
    <w:rsid w:val="00E0527F"/>
    <w:rsid w:val="00E270DE"/>
    <w:rsid w:val="00E37C38"/>
    <w:rsid w:val="00E47875"/>
    <w:rsid w:val="00E63929"/>
    <w:rsid w:val="00E71A26"/>
    <w:rsid w:val="00E726A9"/>
    <w:rsid w:val="00E74E8F"/>
    <w:rsid w:val="00EC572F"/>
    <w:rsid w:val="00ED1D8E"/>
    <w:rsid w:val="00ED22F1"/>
    <w:rsid w:val="00EF0B70"/>
    <w:rsid w:val="00EF3707"/>
    <w:rsid w:val="00F1368F"/>
    <w:rsid w:val="00F3492B"/>
    <w:rsid w:val="00F4555C"/>
    <w:rsid w:val="00F5613C"/>
    <w:rsid w:val="00F87D05"/>
    <w:rsid w:val="00F90D2A"/>
    <w:rsid w:val="00F9448D"/>
    <w:rsid w:val="00FA23A9"/>
    <w:rsid w:val="00FC0976"/>
    <w:rsid w:val="00FC0D18"/>
    <w:rsid w:val="00FC3B0E"/>
    <w:rsid w:val="00FC7AE0"/>
    <w:rsid w:val="00FD291B"/>
    <w:rsid w:val="5B7B7C17"/>
    <w:rsid w:val="5BFB8943"/>
    <w:rsid w:val="FFFC35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Plain Text"/>
    <w:basedOn w:val="1"/>
    <w:link w:val="12"/>
    <w:qFormat/>
    <w:uiPriority w:val="0"/>
    <w:rPr>
      <w:rFonts w:ascii="宋体"/>
      <w:szCs w:val="20"/>
    </w:rPr>
  </w:style>
  <w:style w:type="paragraph" w:styleId="4">
    <w:name w:val="Balloon Text"/>
    <w:basedOn w:val="1"/>
    <w:link w:val="18"/>
    <w:semiHidden/>
    <w:unhideWhenUsed/>
    <w:qFormat/>
    <w:uiPriority w:val="99"/>
    <w:rPr>
      <w:sz w:val="18"/>
      <w:szCs w:val="18"/>
    </w:rPr>
  </w:style>
  <w:style w:type="paragraph" w:styleId="5">
    <w:name w:val="footer"/>
    <w:basedOn w:val="1"/>
    <w:link w:val="16"/>
    <w:semiHidden/>
    <w:unhideWhenUsed/>
    <w:qFormat/>
    <w:uiPriority w:val="99"/>
    <w:pPr>
      <w:tabs>
        <w:tab w:val="center" w:pos="4153"/>
        <w:tab w:val="right" w:pos="8306"/>
      </w:tabs>
      <w:snapToGrid w:val="0"/>
      <w:jc w:val="left"/>
    </w:pPr>
    <w:rPr>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qFormat/>
    <w:uiPriority w:val="0"/>
    <w:pPr>
      <w:ind w:left="200" w:hanging="200" w:hangingChars="200"/>
    </w:pPr>
    <w:rPr>
      <w:szCs w:val="24"/>
    </w:rPr>
  </w:style>
  <w:style w:type="paragraph" w:styleId="8">
    <w:name w:val="annotation subject"/>
    <w:basedOn w:val="2"/>
    <w:next w:val="2"/>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纯文本 Char"/>
    <w:basedOn w:val="10"/>
    <w:link w:val="3"/>
    <w:qFormat/>
    <w:uiPriority w:val="0"/>
    <w:rPr>
      <w:rFonts w:ascii="宋体" w:hAnsi="Times New Roman" w:eastAsia="宋体" w:cs="Times New Roman"/>
      <w:szCs w:val="20"/>
    </w:rPr>
  </w:style>
  <w:style w:type="character" w:customStyle="1" w:styleId="13">
    <w:name w:val="批注文字 Char"/>
    <w:basedOn w:val="10"/>
    <w:link w:val="2"/>
    <w:qFormat/>
    <w:uiPriority w:val="0"/>
    <w:rPr>
      <w:rFonts w:ascii="Times New Roman" w:hAnsi="Times New Roman" w:eastAsia="宋体" w:cs="Times New Roman"/>
    </w:rPr>
  </w:style>
  <w:style w:type="character" w:customStyle="1" w:styleId="14">
    <w:name w:val="font31"/>
    <w:qFormat/>
    <w:uiPriority w:val="0"/>
    <w:rPr>
      <w:rFonts w:ascii="宋体" w:eastAsia="宋体" w:cs="宋体"/>
      <w:color w:val="000000"/>
      <w:sz w:val="21"/>
      <w:szCs w:val="21"/>
      <w:u w:val="none"/>
      <w:lang w:bidi="ar-SA"/>
    </w:rPr>
  </w:style>
  <w:style w:type="character" w:customStyle="1" w:styleId="15">
    <w:name w:val="页眉 Char"/>
    <w:basedOn w:val="10"/>
    <w:link w:val="6"/>
    <w:semiHidden/>
    <w:qFormat/>
    <w:uiPriority w:val="99"/>
    <w:rPr>
      <w:rFonts w:ascii="Times New Roman" w:hAnsi="Times New Roman" w:eastAsia="宋体" w:cs="Times New Roman"/>
      <w:sz w:val="18"/>
      <w:szCs w:val="18"/>
    </w:rPr>
  </w:style>
  <w:style w:type="character" w:customStyle="1" w:styleId="16">
    <w:name w:val="页脚 Char"/>
    <w:basedOn w:val="10"/>
    <w:link w:val="5"/>
    <w:semiHidden/>
    <w:qFormat/>
    <w:uiPriority w:val="99"/>
    <w:rPr>
      <w:rFonts w:ascii="Times New Roman" w:hAnsi="Times New Roman" w:eastAsia="宋体" w:cs="Times New Roman"/>
      <w:sz w:val="18"/>
      <w:szCs w:val="18"/>
    </w:rPr>
  </w:style>
  <w:style w:type="character" w:customStyle="1" w:styleId="17">
    <w:name w:val="批注主题 Char"/>
    <w:basedOn w:val="13"/>
    <w:link w:val="8"/>
    <w:semiHidden/>
    <w:qFormat/>
    <w:uiPriority w:val="99"/>
    <w:rPr>
      <w:rFonts w:ascii="Times New Roman" w:hAnsi="Times New Roman" w:eastAsia="宋体" w:cs="Times New Roman"/>
      <w:b/>
      <w:bCs/>
    </w:rPr>
  </w:style>
  <w:style w:type="character" w:customStyle="1" w:styleId="18">
    <w:name w:val="批注框文本 Char"/>
    <w:basedOn w:val="10"/>
    <w:link w:val="4"/>
    <w:semiHidden/>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F43C91D-F938-4DA7-B623-853E6A6D512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1520</Words>
  <Characters>8668</Characters>
  <Lines>72</Lines>
  <Paragraphs>20</Paragraphs>
  <TotalTime>0</TotalTime>
  <ScaleCrop>false</ScaleCrop>
  <LinksUpToDate>false</LinksUpToDate>
  <CharactersWithSpaces>10168</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2026-01-16T01:28:00Z</dcterms:created>
  <dc:creator>微软用户</dc:creator>
  <cp:lastModifiedBy>user</cp:lastModifiedBy>
  <dcterms:modified xsi:type="dcterms:W3CDTF">2026-01-21T11:22:05Z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6C5DF955EE409DC6F1376F699A156928_42</vt:lpwstr>
  </property>
</Properties>
</file>