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B3716">
      <w:pPr>
        <w:jc w:val="center"/>
        <w:rPr>
          <w:rFonts w:ascii="宋体" w:hAnsi="宋体"/>
          <w:b/>
          <w:sz w:val="24"/>
        </w:rPr>
      </w:pPr>
      <w:r>
        <w:rPr>
          <w:rFonts w:hint="eastAsia" w:ascii="宋体" w:hAnsi="宋体"/>
          <w:b/>
          <w:sz w:val="24"/>
        </w:rPr>
        <w:t>上海市老龄事业发展促进中心</w:t>
      </w:r>
    </w:p>
    <w:p w14:paraId="4CCD227B">
      <w:pPr>
        <w:jc w:val="center"/>
        <w:rPr>
          <w:rFonts w:ascii="宋体" w:hAnsi="宋体"/>
          <w:b/>
          <w:sz w:val="24"/>
        </w:rPr>
      </w:pPr>
      <w:r>
        <w:rPr>
          <w:rFonts w:hint="eastAsia" w:ascii="宋体" w:hAnsi="宋体"/>
          <w:b/>
          <w:sz w:val="24"/>
        </w:rPr>
        <w:t>202</w:t>
      </w:r>
      <w:r>
        <w:rPr>
          <w:rFonts w:hint="eastAsia" w:ascii="宋体" w:hAnsi="宋体"/>
          <w:b/>
          <w:sz w:val="24"/>
          <w:lang w:val="en-US" w:eastAsia="zh-CN"/>
        </w:rPr>
        <w:t>6</w:t>
      </w:r>
      <w:r>
        <w:rPr>
          <w:rFonts w:hint="eastAsia" w:ascii="宋体" w:hAnsi="宋体"/>
          <w:b/>
          <w:sz w:val="24"/>
        </w:rPr>
        <w:t>年“银发无忧”老年人意外伤害保险</w:t>
      </w:r>
    </w:p>
    <w:p w14:paraId="74B09A34">
      <w:pPr>
        <w:jc w:val="center"/>
        <w:rPr>
          <w:rFonts w:ascii="宋体" w:hAnsi="宋体"/>
          <w:b/>
          <w:sz w:val="24"/>
        </w:rPr>
      </w:pPr>
      <w:r>
        <w:rPr>
          <w:rFonts w:hint="eastAsia" w:ascii="宋体" w:hAnsi="宋体"/>
          <w:b/>
          <w:sz w:val="24"/>
        </w:rPr>
        <w:t>采购需求</w:t>
      </w:r>
    </w:p>
    <w:p w14:paraId="3618AEB5">
      <w:pPr>
        <w:spacing w:line="500" w:lineRule="exact"/>
        <w:ind w:firstLine="420" w:firstLineChars="200"/>
        <w:rPr>
          <w:rFonts w:ascii="宋体" w:hAnsi="宋体"/>
          <w:b/>
          <w:szCs w:val="21"/>
        </w:rPr>
      </w:pPr>
      <w:r>
        <w:rPr>
          <w:rFonts w:hint="eastAsia" w:ascii="宋体" w:hAnsi="宋体"/>
          <w:b/>
          <w:szCs w:val="21"/>
        </w:rPr>
        <w:t>一、项目概况</w:t>
      </w:r>
    </w:p>
    <w:p w14:paraId="6BF32C4B">
      <w:pPr>
        <w:spacing w:line="500" w:lineRule="exact"/>
        <w:ind w:firstLine="526" w:firstLineChars="250"/>
        <w:rPr>
          <w:rFonts w:ascii="宋体" w:hAnsi="宋体"/>
          <w:szCs w:val="21"/>
        </w:rPr>
      </w:pPr>
      <w:bookmarkStart w:id="0" w:name="_Toc83428603"/>
      <w:bookmarkStart w:id="1" w:name="_Toc83905691"/>
      <w:bookmarkStart w:id="2" w:name="_Toc83900509"/>
      <w:bookmarkStart w:id="3" w:name="_Toc85188742"/>
      <w:bookmarkStart w:id="4" w:name="_Toc83917011"/>
      <w:bookmarkStart w:id="5" w:name="_Toc73551045"/>
      <w:r>
        <w:rPr>
          <w:rFonts w:hint="eastAsia" w:ascii="宋体" w:hAnsi="宋体"/>
          <w:b/>
          <w:szCs w:val="21"/>
        </w:rPr>
        <w:t>项目名称</w:t>
      </w:r>
      <w:bookmarkEnd w:id="0"/>
      <w:bookmarkEnd w:id="1"/>
      <w:bookmarkEnd w:id="2"/>
      <w:bookmarkEnd w:id="3"/>
      <w:bookmarkEnd w:id="4"/>
      <w:r>
        <w:rPr>
          <w:rFonts w:hint="eastAsia" w:ascii="宋体" w:hAnsi="宋体"/>
          <w:b/>
          <w:szCs w:val="21"/>
        </w:rPr>
        <w:t>：</w:t>
      </w:r>
      <w:bookmarkEnd w:id="5"/>
      <w:r>
        <w:rPr>
          <w:rFonts w:hint="eastAsia" w:ascii="宋体" w:hAnsi="宋体"/>
          <w:b/>
          <w:sz w:val="24"/>
        </w:rPr>
        <w:t>“银发无忧”老年人意外伤害保险</w:t>
      </w:r>
    </w:p>
    <w:p w14:paraId="6AF73194">
      <w:pPr>
        <w:spacing w:line="360" w:lineRule="auto"/>
        <w:ind w:firstLine="555"/>
        <w:jc w:val="left"/>
        <w:rPr>
          <w:rFonts w:ascii="宋体" w:hAnsi="宋体"/>
          <w:szCs w:val="21"/>
        </w:rPr>
      </w:pPr>
      <w:r>
        <w:rPr>
          <w:rFonts w:hint="eastAsia" w:ascii="宋体" w:hAnsi="宋体"/>
          <w:b/>
          <w:szCs w:val="21"/>
        </w:rPr>
        <w:t>项目背景：</w:t>
      </w:r>
      <w:r>
        <w:rPr>
          <w:rFonts w:hint="eastAsia" w:ascii="宋体" w:hAnsi="宋体" w:cs="宋体"/>
          <w:kern w:val="0"/>
          <w:szCs w:val="21"/>
        </w:rPr>
        <w:t>“银发无忧”作为上海市民政及养老工作实事项目之一，“银发无忧”是2005年由市老龄办牵头，市老龄事业发展中心联合相关保险公司推出为上海老年人提供人身意外伤害保障的爱心工程，坚持“政府指导、企业让利、市场化运作”原则，旨在有效保障老年人的人身安全，使老年人的晚年生活更加幸福安康，并积极探索防范老年人意外伤害综合保障机制，至今已经成功运作20年。</w:t>
      </w:r>
      <w:r>
        <w:rPr>
          <w:rFonts w:hint="eastAsia" w:ascii="宋体" w:hAnsi="宋体" w:cs="宋体"/>
          <w:kern w:val="0"/>
          <w:szCs w:val="21"/>
          <w:lang w:val="en-US" w:eastAsia="zh-CN"/>
        </w:rPr>
        <w:t>市级爱心赠送部分的</w:t>
      </w:r>
      <w:r>
        <w:rPr>
          <w:rFonts w:hint="eastAsia" w:ascii="宋体" w:hAnsi="宋体" w:cs="宋体"/>
          <w:kern w:val="0"/>
          <w:szCs w:val="21"/>
        </w:rPr>
        <w:t>保障内容包括意外身故、伤残、骨折</w:t>
      </w:r>
      <w:r>
        <w:rPr>
          <w:rFonts w:hint="eastAsia" w:ascii="宋体" w:hAnsi="宋体"/>
          <w:szCs w:val="21"/>
        </w:rPr>
        <w:t>等。保费为20元</w:t>
      </w:r>
      <w:r>
        <w:rPr>
          <w:rFonts w:hint="eastAsia" w:ascii="宋体" w:hAnsi="宋体"/>
          <w:szCs w:val="21"/>
          <w:lang w:val="en-US" w:eastAsia="zh-CN"/>
        </w:rPr>
        <w:t>/人/年</w:t>
      </w:r>
      <w:r>
        <w:rPr>
          <w:rFonts w:hint="eastAsia" w:ascii="宋体" w:hAnsi="宋体"/>
          <w:szCs w:val="21"/>
        </w:rPr>
        <w:t>，保障期限为一年，自当年10月1日至次年9月30日。</w:t>
      </w:r>
    </w:p>
    <w:p w14:paraId="2835F02E">
      <w:pPr>
        <w:spacing w:line="500" w:lineRule="exact"/>
        <w:ind w:firstLine="526" w:firstLineChars="250"/>
        <w:rPr>
          <w:rFonts w:ascii="宋体" w:hAnsi="宋体"/>
          <w:szCs w:val="21"/>
        </w:rPr>
      </w:pPr>
      <w:r>
        <w:rPr>
          <w:rFonts w:hint="eastAsia" w:ascii="宋体" w:hAnsi="宋体"/>
          <w:b/>
          <w:szCs w:val="21"/>
        </w:rPr>
        <w:t>项目目标：</w:t>
      </w:r>
      <w:r>
        <w:rPr>
          <w:rFonts w:hint="eastAsia" w:ascii="宋体" w:hAnsi="宋体" w:cs="宋体"/>
          <w:kern w:val="0"/>
          <w:szCs w:val="21"/>
        </w:rPr>
        <w:t>老年人由于受自身身体机能退化的影响而成为意外伤害事故的高发人群，“银发无忧”老年人意外伤害保障计划的推出，有效保障了老年人的人身安全，使老年人的晚年生活更加幸福安康。为困难家庭老人、参与“老伙伴”计划的老年志愿者和80周岁以上劳模（市级以上）赠送“银发无忧”，不仅能有效保障这部分老年人的人身安全，弥补他们在遭受意外伤害后的损失，同时，也为他们送去了一份关爱，让他们真切体会到党和政府以及社会对他们的关心和帮助，这将有利于社会的和谐和进步。</w:t>
      </w:r>
    </w:p>
    <w:p w14:paraId="384BE077">
      <w:pPr>
        <w:spacing w:line="500" w:lineRule="exact"/>
        <w:ind w:firstLine="420" w:firstLineChars="200"/>
        <w:rPr>
          <w:rFonts w:ascii="宋体" w:hAnsi="宋体"/>
          <w:b/>
          <w:szCs w:val="21"/>
        </w:rPr>
      </w:pPr>
      <w:r>
        <w:rPr>
          <w:rFonts w:hint="eastAsia" w:ascii="宋体" w:hAnsi="宋体"/>
          <w:b/>
          <w:szCs w:val="21"/>
        </w:rPr>
        <w:t>二、立项依据：</w:t>
      </w:r>
    </w:p>
    <w:p w14:paraId="51EF0135">
      <w:pPr>
        <w:spacing w:line="500" w:lineRule="exact"/>
        <w:ind w:firstLine="420" w:firstLineChars="200"/>
        <w:rPr>
          <w:rFonts w:ascii="宋体" w:hAnsi="宋体" w:cs="宋体"/>
          <w:kern w:val="0"/>
          <w:szCs w:val="21"/>
        </w:rPr>
      </w:pPr>
      <w:r>
        <w:rPr>
          <w:rFonts w:hint="eastAsia" w:ascii="宋体" w:hAnsi="宋体" w:cs="宋体"/>
          <w:kern w:val="0"/>
          <w:szCs w:val="21"/>
        </w:rPr>
        <w:t>根据老龄工作总体安排工作要求。</w:t>
      </w:r>
    </w:p>
    <w:p w14:paraId="590E2F23">
      <w:pPr>
        <w:spacing w:line="500" w:lineRule="exact"/>
        <w:ind w:firstLine="420" w:firstLineChars="200"/>
        <w:rPr>
          <w:rFonts w:ascii="宋体" w:hAnsi="宋体"/>
          <w:b/>
          <w:szCs w:val="21"/>
        </w:rPr>
      </w:pPr>
      <w:r>
        <w:rPr>
          <w:rFonts w:hint="eastAsia" w:ascii="宋体" w:hAnsi="宋体"/>
          <w:b/>
          <w:szCs w:val="21"/>
        </w:rPr>
        <w:t>三、项目内容</w:t>
      </w:r>
    </w:p>
    <w:p w14:paraId="1033263D">
      <w:pPr>
        <w:spacing w:line="500" w:lineRule="exact"/>
        <w:ind w:firstLine="420" w:firstLineChars="200"/>
        <w:rPr>
          <w:rFonts w:ascii="宋体" w:hAnsi="宋体"/>
          <w:b/>
          <w:szCs w:val="21"/>
        </w:rPr>
      </w:pPr>
      <w:r>
        <w:rPr>
          <w:rFonts w:hint="eastAsia" w:ascii="宋体" w:hAnsi="宋体"/>
          <w:b/>
          <w:szCs w:val="21"/>
        </w:rPr>
        <w:t>（一）投保人：</w:t>
      </w:r>
    </w:p>
    <w:p w14:paraId="154EA171">
      <w:pPr>
        <w:spacing w:line="500" w:lineRule="exact"/>
        <w:ind w:firstLine="420" w:firstLineChars="200"/>
        <w:rPr>
          <w:rFonts w:ascii="宋体" w:hAnsi="宋体"/>
          <w:szCs w:val="21"/>
        </w:rPr>
      </w:pPr>
      <w:r>
        <w:rPr>
          <w:rFonts w:hint="eastAsia" w:ascii="宋体" w:hAnsi="宋体"/>
          <w:szCs w:val="21"/>
        </w:rPr>
        <w:t>上海市老龄事业发展促进中心。</w:t>
      </w:r>
    </w:p>
    <w:p w14:paraId="04943722">
      <w:pPr>
        <w:spacing w:line="500" w:lineRule="exact"/>
        <w:ind w:firstLine="420" w:firstLineChars="200"/>
        <w:rPr>
          <w:rFonts w:ascii="宋体" w:hAnsi="宋体"/>
          <w:b/>
          <w:szCs w:val="21"/>
        </w:rPr>
      </w:pPr>
      <w:r>
        <w:rPr>
          <w:rFonts w:hint="eastAsia" w:ascii="宋体" w:hAnsi="宋体"/>
          <w:b/>
          <w:szCs w:val="21"/>
        </w:rPr>
        <w:t>（二）投保范围：</w:t>
      </w:r>
    </w:p>
    <w:p w14:paraId="4513C6FA">
      <w:pPr>
        <w:spacing w:line="500" w:lineRule="exact"/>
        <w:ind w:firstLine="525" w:firstLineChars="250"/>
        <w:rPr>
          <w:rFonts w:ascii="宋体" w:hAnsi="宋体"/>
          <w:color w:val="auto"/>
          <w:szCs w:val="21"/>
          <w:highlight w:val="none"/>
        </w:rPr>
      </w:pPr>
      <w:r>
        <w:rPr>
          <w:rFonts w:hint="eastAsia" w:ascii="宋体" w:hAnsi="宋体"/>
          <w:color w:val="auto"/>
          <w:szCs w:val="21"/>
        </w:rPr>
        <w:t>被保险人：</w:t>
      </w:r>
      <w:r>
        <w:rPr>
          <w:rFonts w:hint="eastAsia" w:ascii="宋体" w:hAnsi="宋体" w:cs="宋体"/>
          <w:color w:val="auto"/>
          <w:kern w:val="0"/>
          <w:szCs w:val="21"/>
        </w:rPr>
        <w:t>本市60周岁及以上、4级</w:t>
      </w:r>
      <w:r>
        <w:rPr>
          <w:rFonts w:hint="eastAsia" w:ascii="宋体" w:hAnsi="宋体" w:cs="宋体"/>
          <w:color w:val="auto"/>
          <w:kern w:val="0"/>
          <w:szCs w:val="21"/>
          <w:highlight w:val="none"/>
        </w:rPr>
        <w:t>及以下、享受养老服务补贴的困难老人；全市50-75周岁的老伙伴计划志愿者；80周岁及以上的市级以上劳模等三类老年群体。</w:t>
      </w:r>
    </w:p>
    <w:p w14:paraId="22C5446E">
      <w:pPr>
        <w:spacing w:line="500" w:lineRule="exact"/>
        <w:ind w:firstLine="420" w:firstLineChars="200"/>
        <w:rPr>
          <w:rFonts w:ascii="宋体" w:hAnsi="宋体"/>
          <w:color w:val="auto"/>
          <w:szCs w:val="21"/>
        </w:rPr>
      </w:pPr>
      <w:r>
        <w:rPr>
          <w:rFonts w:hint="eastAsia" w:ascii="宋体" w:hAnsi="宋体"/>
          <w:color w:val="auto"/>
          <w:szCs w:val="21"/>
          <w:highlight w:val="none"/>
        </w:rPr>
        <w:t>投保人数：202</w:t>
      </w:r>
      <w:r>
        <w:rPr>
          <w:rFonts w:hint="eastAsia" w:ascii="宋体" w:hAnsi="宋体"/>
          <w:color w:val="auto"/>
          <w:szCs w:val="21"/>
          <w:highlight w:val="none"/>
          <w:lang w:val="en-US" w:eastAsia="zh-CN"/>
        </w:rPr>
        <w:t>6</w:t>
      </w:r>
      <w:r>
        <w:rPr>
          <w:rFonts w:hint="eastAsia" w:ascii="宋体" w:hAnsi="宋体"/>
          <w:color w:val="auto"/>
          <w:szCs w:val="21"/>
          <w:highlight w:val="none"/>
        </w:rPr>
        <w:t>年</w:t>
      </w:r>
      <w:r>
        <w:rPr>
          <w:rFonts w:hint="eastAsia" w:ascii="宋体" w:hAnsi="宋体"/>
          <w:color w:val="auto"/>
          <w:szCs w:val="21"/>
          <w:highlight w:val="none"/>
          <w:lang w:eastAsia="zh-CN"/>
        </w:rPr>
        <w:t>预计投保人数</w:t>
      </w:r>
      <w:r>
        <w:rPr>
          <w:rFonts w:hint="eastAsia" w:ascii="宋体" w:hAnsi="宋体"/>
          <w:color w:val="auto"/>
          <w:szCs w:val="21"/>
          <w:highlight w:val="none"/>
        </w:rPr>
        <w:t>为1</w:t>
      </w:r>
      <w:r>
        <w:rPr>
          <w:rFonts w:hint="eastAsia" w:ascii="宋体" w:hAnsi="宋体"/>
          <w:color w:val="auto"/>
          <w:szCs w:val="21"/>
          <w:highlight w:val="none"/>
          <w:lang w:val="en-US" w:eastAsia="zh-CN"/>
        </w:rPr>
        <w:t>2</w:t>
      </w:r>
      <w:r>
        <w:rPr>
          <w:rFonts w:hint="eastAsia" w:ascii="宋体" w:hAnsi="宋体"/>
          <w:color w:val="auto"/>
          <w:szCs w:val="21"/>
          <w:highlight w:val="none"/>
        </w:rPr>
        <w:t>万人</w:t>
      </w:r>
      <w:r>
        <w:rPr>
          <w:rFonts w:hint="eastAsia" w:ascii="宋体" w:hAnsi="宋体"/>
          <w:color w:val="auto"/>
          <w:szCs w:val="21"/>
        </w:rPr>
        <w:t>。</w:t>
      </w:r>
    </w:p>
    <w:p w14:paraId="7A3A5E25">
      <w:pPr>
        <w:spacing w:line="500" w:lineRule="exact"/>
        <w:ind w:firstLine="420" w:firstLineChars="200"/>
        <w:rPr>
          <w:rFonts w:ascii="宋体" w:hAnsi="宋体"/>
          <w:b/>
          <w:szCs w:val="21"/>
        </w:rPr>
      </w:pPr>
      <w:r>
        <w:rPr>
          <w:rFonts w:hint="eastAsia" w:ascii="宋体" w:hAnsi="宋体"/>
          <w:b/>
          <w:szCs w:val="21"/>
        </w:rPr>
        <w:t>（三）保险期限：</w:t>
      </w:r>
    </w:p>
    <w:p w14:paraId="3DC77621">
      <w:pPr>
        <w:spacing w:line="500" w:lineRule="exact"/>
        <w:ind w:firstLine="420" w:firstLineChars="200"/>
        <w:rPr>
          <w:rFonts w:hint="eastAsia" w:ascii="宋体" w:hAnsi="宋体"/>
          <w:szCs w:val="21"/>
        </w:rPr>
      </w:pPr>
      <w:r>
        <w:rPr>
          <w:rFonts w:hint="eastAsia" w:ascii="宋体" w:hAnsi="宋体"/>
          <w:szCs w:val="21"/>
        </w:rPr>
        <w:t>202</w:t>
      </w:r>
      <w:r>
        <w:rPr>
          <w:rFonts w:hint="eastAsia" w:ascii="宋体" w:hAnsi="宋体"/>
          <w:szCs w:val="21"/>
          <w:lang w:val="en-US" w:eastAsia="zh-CN"/>
        </w:rPr>
        <w:t>6</w:t>
      </w:r>
      <w:r>
        <w:rPr>
          <w:rFonts w:hint="eastAsia" w:ascii="宋体" w:hAnsi="宋体"/>
          <w:szCs w:val="21"/>
        </w:rPr>
        <w:t>年10月1日至202</w:t>
      </w:r>
      <w:r>
        <w:rPr>
          <w:rFonts w:hint="eastAsia" w:ascii="宋体" w:hAnsi="宋体"/>
          <w:szCs w:val="21"/>
          <w:lang w:val="en-US" w:eastAsia="zh-CN"/>
        </w:rPr>
        <w:t>7</w:t>
      </w:r>
      <w:r>
        <w:rPr>
          <w:rFonts w:hint="eastAsia" w:ascii="宋体" w:hAnsi="宋体"/>
          <w:szCs w:val="21"/>
        </w:rPr>
        <w:t>年9月30日。</w:t>
      </w:r>
    </w:p>
    <w:p w14:paraId="5F933D28">
      <w:pPr>
        <w:spacing w:line="500" w:lineRule="exact"/>
        <w:ind w:firstLine="420" w:firstLineChars="200"/>
        <w:rPr>
          <w:rFonts w:ascii="宋体" w:hAnsi="宋体"/>
          <w:b/>
          <w:szCs w:val="21"/>
        </w:rPr>
      </w:pPr>
      <w:r>
        <w:rPr>
          <w:rFonts w:hint="eastAsia" w:ascii="宋体" w:hAnsi="宋体"/>
          <w:b/>
          <w:szCs w:val="21"/>
        </w:rPr>
        <w:t>（四）保费限额</w:t>
      </w:r>
    </w:p>
    <w:tbl>
      <w:tblPr>
        <w:tblStyle w:val="5"/>
        <w:tblW w:w="6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0"/>
        <w:gridCol w:w="2677"/>
      </w:tblGrid>
      <w:tr w14:paraId="0EF7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0" w:type="dxa"/>
            <w:vAlign w:val="center"/>
          </w:tcPr>
          <w:p w14:paraId="2E9E1321">
            <w:pPr>
              <w:spacing w:line="360" w:lineRule="auto"/>
              <w:ind w:firstLine="1365" w:firstLineChars="650"/>
              <w:rPr>
                <w:rFonts w:ascii="宋体" w:hAnsi="宋体"/>
                <w:szCs w:val="21"/>
              </w:rPr>
            </w:pPr>
            <w:r>
              <w:rPr>
                <w:rFonts w:hint="eastAsia" w:ascii="宋体" w:hAnsi="宋体"/>
                <w:szCs w:val="21"/>
              </w:rPr>
              <w:t>险种</w:t>
            </w:r>
          </w:p>
        </w:tc>
        <w:tc>
          <w:tcPr>
            <w:tcW w:w="2677" w:type="dxa"/>
            <w:vAlign w:val="center"/>
          </w:tcPr>
          <w:p w14:paraId="0150AC8A">
            <w:pPr>
              <w:spacing w:line="360" w:lineRule="auto"/>
              <w:jc w:val="center"/>
              <w:rPr>
                <w:rFonts w:ascii="宋体" w:hAnsi="宋体"/>
                <w:szCs w:val="21"/>
              </w:rPr>
            </w:pPr>
            <w:r>
              <w:rPr>
                <w:rFonts w:hint="eastAsia" w:ascii="宋体" w:hAnsi="宋体"/>
                <w:szCs w:val="21"/>
              </w:rPr>
              <w:t>保费最高限额</w:t>
            </w:r>
          </w:p>
        </w:tc>
      </w:tr>
      <w:tr w14:paraId="249C2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0" w:type="dxa"/>
            <w:vAlign w:val="center"/>
          </w:tcPr>
          <w:p w14:paraId="5348BA83">
            <w:pPr>
              <w:spacing w:line="360" w:lineRule="auto"/>
              <w:jc w:val="center"/>
              <w:rPr>
                <w:rFonts w:ascii="宋体" w:hAnsi="宋体"/>
                <w:szCs w:val="21"/>
              </w:rPr>
            </w:pPr>
            <w:r>
              <w:rPr>
                <w:rFonts w:hint="eastAsia" w:ascii="宋体" w:hAnsi="宋体"/>
                <w:szCs w:val="21"/>
              </w:rPr>
              <w:t>“银发无忧”老年人意外伤害保险</w:t>
            </w:r>
          </w:p>
        </w:tc>
        <w:tc>
          <w:tcPr>
            <w:tcW w:w="2677" w:type="dxa"/>
            <w:vAlign w:val="center"/>
          </w:tcPr>
          <w:p w14:paraId="28281436">
            <w:pPr>
              <w:spacing w:line="360" w:lineRule="auto"/>
              <w:jc w:val="center"/>
              <w:rPr>
                <w:rFonts w:ascii="宋体" w:hAnsi="宋体"/>
                <w:color w:val="FF0000"/>
                <w:szCs w:val="21"/>
              </w:rPr>
            </w:pPr>
            <w:r>
              <w:rPr>
                <w:rFonts w:hint="eastAsia" w:ascii="宋体" w:hAnsi="宋体"/>
                <w:szCs w:val="21"/>
              </w:rPr>
              <w:t>20元/人/年</w:t>
            </w:r>
          </w:p>
        </w:tc>
      </w:tr>
    </w:tbl>
    <w:p w14:paraId="5164824B">
      <w:pPr>
        <w:spacing w:line="500" w:lineRule="exact"/>
        <w:ind w:firstLine="420" w:firstLineChars="200"/>
        <w:rPr>
          <w:rFonts w:ascii="宋体" w:hAnsi="宋体"/>
          <w:b/>
          <w:szCs w:val="21"/>
        </w:rPr>
      </w:pPr>
      <w:r>
        <w:rPr>
          <w:rFonts w:hint="eastAsia" w:ascii="宋体" w:hAnsi="宋体"/>
          <w:b/>
          <w:szCs w:val="21"/>
        </w:rPr>
        <w:t>四、保险责任</w:t>
      </w:r>
    </w:p>
    <w:p w14:paraId="17E76731">
      <w:pPr>
        <w:spacing w:line="500" w:lineRule="exact"/>
        <w:ind w:firstLine="420" w:firstLineChars="200"/>
        <w:rPr>
          <w:rFonts w:ascii="宋体" w:hAnsi="宋体"/>
          <w:b/>
          <w:szCs w:val="21"/>
        </w:rPr>
      </w:pPr>
      <w:r>
        <w:rPr>
          <w:rFonts w:hint="eastAsia" w:ascii="宋体" w:hAnsi="宋体"/>
          <w:b/>
          <w:szCs w:val="21"/>
        </w:rPr>
        <w:t>（一）基本责任</w:t>
      </w:r>
    </w:p>
    <w:p w14:paraId="236E8484">
      <w:pPr>
        <w:ind w:firstLine="555"/>
        <w:jc w:val="left"/>
        <w:rPr>
          <w:rFonts w:ascii="宋体" w:hAnsi="宋体"/>
          <w:szCs w:val="21"/>
        </w:rPr>
      </w:pPr>
      <w:r>
        <w:rPr>
          <w:rFonts w:hint="eastAsia" w:ascii="宋体" w:hAnsi="宋体"/>
          <w:szCs w:val="21"/>
        </w:rPr>
        <w:t>基本保障内容</w:t>
      </w:r>
    </w:p>
    <w:tbl>
      <w:tblPr>
        <w:tblStyle w:val="5"/>
        <w:tblW w:w="819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2800"/>
        <w:gridCol w:w="4740"/>
      </w:tblGrid>
      <w:tr w14:paraId="16E5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trPr>
        <w:tc>
          <w:tcPr>
            <w:tcW w:w="654" w:type="dxa"/>
            <w:vAlign w:val="center"/>
          </w:tcPr>
          <w:p w14:paraId="566AD4D7">
            <w:pPr>
              <w:snapToGrid w:val="0"/>
              <w:spacing w:line="360" w:lineRule="auto"/>
              <w:jc w:val="center"/>
              <w:rPr>
                <w:rFonts w:hint="eastAsia" w:ascii="宋体" w:hAnsi="宋体" w:eastAsia="宋体"/>
                <w:b/>
                <w:bCs/>
                <w:szCs w:val="21"/>
                <w:lang w:eastAsia="zh-CN"/>
              </w:rPr>
            </w:pPr>
            <w:r>
              <w:rPr>
                <w:rFonts w:hint="eastAsia" w:ascii="宋体" w:hAnsi="宋体"/>
                <w:b/>
                <w:bCs/>
                <w:szCs w:val="21"/>
                <w:lang w:eastAsia="zh-CN"/>
              </w:rPr>
              <w:t>序号</w:t>
            </w:r>
          </w:p>
        </w:tc>
        <w:tc>
          <w:tcPr>
            <w:tcW w:w="2800" w:type="dxa"/>
            <w:vAlign w:val="center"/>
          </w:tcPr>
          <w:p w14:paraId="61DE7AE4">
            <w:pPr>
              <w:snapToGrid w:val="0"/>
              <w:spacing w:line="360" w:lineRule="auto"/>
              <w:jc w:val="center"/>
              <w:rPr>
                <w:rFonts w:ascii="宋体" w:hAnsi="宋体"/>
                <w:b/>
                <w:bCs/>
                <w:szCs w:val="21"/>
              </w:rPr>
            </w:pPr>
            <w:r>
              <w:rPr>
                <w:rFonts w:hint="eastAsia" w:ascii="宋体" w:hAnsi="宋体"/>
                <w:b/>
                <w:bCs/>
                <w:szCs w:val="21"/>
              </w:rPr>
              <w:t>保险项目</w:t>
            </w:r>
          </w:p>
        </w:tc>
        <w:tc>
          <w:tcPr>
            <w:tcW w:w="4740" w:type="dxa"/>
            <w:vAlign w:val="center"/>
          </w:tcPr>
          <w:p w14:paraId="2F1D6CD9">
            <w:pPr>
              <w:snapToGrid w:val="0"/>
              <w:spacing w:line="360" w:lineRule="auto"/>
              <w:jc w:val="center"/>
              <w:rPr>
                <w:rFonts w:hint="eastAsia" w:ascii="宋体" w:hAnsi="宋体" w:eastAsia="宋体"/>
                <w:szCs w:val="21"/>
                <w:lang w:eastAsia="zh-CN"/>
              </w:rPr>
            </w:pPr>
            <w:r>
              <w:rPr>
                <w:rFonts w:hint="eastAsia" w:ascii="宋体" w:hAnsi="宋体"/>
                <w:b/>
                <w:bCs/>
                <w:szCs w:val="21"/>
              </w:rPr>
              <w:t>赔偿限额</w:t>
            </w:r>
          </w:p>
        </w:tc>
      </w:tr>
      <w:tr w14:paraId="10A2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trPr>
        <w:tc>
          <w:tcPr>
            <w:tcW w:w="654" w:type="dxa"/>
            <w:tcBorders>
              <w:bottom w:val="single" w:color="auto" w:sz="4" w:space="0"/>
            </w:tcBorders>
            <w:vAlign w:val="center"/>
          </w:tcPr>
          <w:p w14:paraId="6BCC1F63">
            <w:pPr>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1</w:t>
            </w:r>
          </w:p>
        </w:tc>
        <w:tc>
          <w:tcPr>
            <w:tcW w:w="2800" w:type="dxa"/>
            <w:tcBorders>
              <w:bottom w:val="single" w:color="auto" w:sz="4" w:space="0"/>
            </w:tcBorders>
            <w:vAlign w:val="center"/>
          </w:tcPr>
          <w:p w14:paraId="7ED947C5">
            <w:pPr>
              <w:snapToGrid w:val="0"/>
              <w:spacing w:line="360" w:lineRule="auto"/>
              <w:jc w:val="center"/>
              <w:rPr>
                <w:rFonts w:ascii="宋体" w:hAnsi="宋体"/>
                <w:szCs w:val="21"/>
              </w:rPr>
            </w:pPr>
            <w:r>
              <w:rPr>
                <w:rFonts w:hint="eastAsia" w:ascii="宋体" w:hAnsi="宋体"/>
                <w:szCs w:val="21"/>
              </w:rPr>
              <w:t>一般意外伤害身故</w:t>
            </w:r>
          </w:p>
          <w:p w14:paraId="70A340F5">
            <w:pPr>
              <w:snapToGrid w:val="0"/>
              <w:spacing w:line="360" w:lineRule="auto"/>
              <w:jc w:val="center"/>
              <w:rPr>
                <w:rFonts w:ascii="宋体" w:hAnsi="宋体"/>
                <w:szCs w:val="21"/>
              </w:rPr>
            </w:pPr>
            <w:r>
              <w:rPr>
                <w:rFonts w:hint="eastAsia" w:ascii="宋体" w:hAnsi="宋体"/>
                <w:szCs w:val="21"/>
              </w:rPr>
              <w:t>保险</w:t>
            </w:r>
          </w:p>
        </w:tc>
        <w:tc>
          <w:tcPr>
            <w:tcW w:w="4740" w:type="dxa"/>
            <w:vAlign w:val="center"/>
          </w:tcPr>
          <w:p w14:paraId="41FFE287">
            <w:pPr>
              <w:snapToGrid w:val="0"/>
              <w:spacing w:line="360" w:lineRule="auto"/>
              <w:jc w:val="center"/>
              <w:rPr>
                <w:rFonts w:ascii="宋体" w:hAnsi="宋体"/>
                <w:szCs w:val="21"/>
              </w:rPr>
            </w:pPr>
            <w:r>
              <w:rPr>
                <w:rFonts w:hint="eastAsia" w:ascii="宋体" w:hAnsi="宋体"/>
                <w:szCs w:val="21"/>
              </w:rPr>
              <w:t>2</w:t>
            </w:r>
            <w:r>
              <w:rPr>
                <w:rFonts w:ascii="宋体" w:hAnsi="宋体"/>
                <w:szCs w:val="21"/>
              </w:rPr>
              <w:t>0,000</w:t>
            </w:r>
            <w:r>
              <w:rPr>
                <w:rFonts w:hint="eastAsia" w:ascii="宋体" w:hAnsi="宋体"/>
                <w:szCs w:val="21"/>
              </w:rPr>
              <w:t>元</w:t>
            </w:r>
          </w:p>
        </w:tc>
      </w:tr>
      <w:tr w14:paraId="55C79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6" w:hRule="atLeast"/>
        </w:trPr>
        <w:tc>
          <w:tcPr>
            <w:tcW w:w="654" w:type="dxa"/>
            <w:vAlign w:val="center"/>
          </w:tcPr>
          <w:p w14:paraId="256EEB44">
            <w:pPr>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2</w:t>
            </w:r>
          </w:p>
        </w:tc>
        <w:tc>
          <w:tcPr>
            <w:tcW w:w="2800" w:type="dxa"/>
            <w:vAlign w:val="center"/>
          </w:tcPr>
          <w:p w14:paraId="36F37C89">
            <w:pPr>
              <w:snapToGrid w:val="0"/>
              <w:spacing w:line="360" w:lineRule="auto"/>
              <w:jc w:val="center"/>
              <w:rPr>
                <w:rFonts w:ascii="宋体" w:hAnsi="宋体"/>
                <w:szCs w:val="21"/>
              </w:rPr>
            </w:pPr>
            <w:r>
              <w:rPr>
                <w:rFonts w:hint="eastAsia" w:ascii="宋体" w:hAnsi="宋体"/>
                <w:szCs w:val="21"/>
              </w:rPr>
              <w:t>一般意外伤害残疾保险</w:t>
            </w:r>
          </w:p>
        </w:tc>
        <w:tc>
          <w:tcPr>
            <w:tcW w:w="4740" w:type="dxa"/>
            <w:vAlign w:val="center"/>
          </w:tcPr>
          <w:p w14:paraId="35FD6990">
            <w:pPr>
              <w:snapToGrid w:val="0"/>
              <w:spacing w:line="360" w:lineRule="auto"/>
              <w:jc w:val="center"/>
              <w:rPr>
                <w:rFonts w:ascii="宋体" w:hAnsi="宋体"/>
                <w:szCs w:val="21"/>
              </w:rPr>
            </w:pPr>
            <w:r>
              <w:rPr>
                <w:rFonts w:hint="eastAsia" w:ascii="宋体" w:hAnsi="宋体"/>
                <w:szCs w:val="21"/>
              </w:rPr>
              <w:t>2</w:t>
            </w:r>
            <w:r>
              <w:rPr>
                <w:rFonts w:ascii="宋体" w:hAnsi="宋体"/>
                <w:szCs w:val="21"/>
              </w:rPr>
              <w:t>0,000</w:t>
            </w:r>
            <w:r>
              <w:rPr>
                <w:rFonts w:hint="eastAsia" w:ascii="宋体" w:hAnsi="宋体"/>
                <w:szCs w:val="21"/>
              </w:rPr>
              <w:t>元</w:t>
            </w:r>
          </w:p>
        </w:tc>
      </w:tr>
      <w:tr w14:paraId="4BEE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trPr>
        <w:tc>
          <w:tcPr>
            <w:tcW w:w="654" w:type="dxa"/>
            <w:vAlign w:val="center"/>
          </w:tcPr>
          <w:p w14:paraId="6AFA9D55">
            <w:pPr>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3</w:t>
            </w:r>
          </w:p>
        </w:tc>
        <w:tc>
          <w:tcPr>
            <w:tcW w:w="2800" w:type="dxa"/>
            <w:vAlign w:val="center"/>
          </w:tcPr>
          <w:p w14:paraId="64457243">
            <w:pPr>
              <w:snapToGrid w:val="0"/>
              <w:spacing w:line="360" w:lineRule="auto"/>
              <w:jc w:val="center"/>
              <w:rPr>
                <w:rFonts w:ascii="宋体" w:hAnsi="宋体"/>
                <w:szCs w:val="21"/>
              </w:rPr>
            </w:pPr>
            <w:r>
              <w:rPr>
                <w:rFonts w:hint="eastAsia" w:ascii="宋体" w:hAnsi="宋体"/>
                <w:szCs w:val="21"/>
              </w:rPr>
              <w:t>意外伤害住院医疗保险</w:t>
            </w:r>
          </w:p>
        </w:tc>
        <w:tc>
          <w:tcPr>
            <w:tcW w:w="4740" w:type="dxa"/>
            <w:vAlign w:val="center"/>
          </w:tcPr>
          <w:p w14:paraId="573D54B2">
            <w:pPr>
              <w:snapToGrid w:val="0"/>
              <w:spacing w:line="360" w:lineRule="auto"/>
              <w:jc w:val="center"/>
              <w:rPr>
                <w:rFonts w:ascii="宋体" w:hAnsi="宋体"/>
                <w:szCs w:val="21"/>
              </w:rPr>
            </w:pPr>
            <w:r>
              <w:rPr>
                <w:rFonts w:hint="eastAsia" w:ascii="宋体" w:hAnsi="宋体"/>
                <w:szCs w:val="21"/>
              </w:rPr>
              <w:t>意外伤害住院护理津贴80元</w:t>
            </w:r>
            <w:r>
              <w:rPr>
                <w:rFonts w:ascii="宋体" w:hAnsi="宋体"/>
                <w:szCs w:val="21"/>
              </w:rPr>
              <w:t>/</w:t>
            </w:r>
            <w:r>
              <w:rPr>
                <w:rFonts w:hint="eastAsia" w:ascii="宋体" w:hAnsi="宋体"/>
                <w:szCs w:val="21"/>
              </w:rPr>
              <w:t>天</w:t>
            </w:r>
          </w:p>
          <w:p w14:paraId="66E72121">
            <w:pPr>
              <w:snapToGrid w:val="0"/>
              <w:spacing w:line="360" w:lineRule="auto"/>
              <w:jc w:val="center"/>
              <w:rPr>
                <w:rFonts w:ascii="宋体" w:hAnsi="宋体"/>
                <w:szCs w:val="21"/>
              </w:rPr>
            </w:pPr>
            <w:r>
              <w:rPr>
                <w:rFonts w:hint="eastAsia" w:ascii="宋体" w:hAnsi="宋体"/>
                <w:szCs w:val="21"/>
              </w:rPr>
              <w:t>（每一被保险人在保险期间内，每次意外事故住院护理津贴累计给付天数不超过</w:t>
            </w:r>
            <w:r>
              <w:rPr>
                <w:rFonts w:ascii="宋体" w:hAnsi="宋体"/>
                <w:szCs w:val="21"/>
              </w:rPr>
              <w:t>30</w:t>
            </w:r>
            <w:r>
              <w:rPr>
                <w:rFonts w:hint="eastAsia" w:ascii="宋体" w:hAnsi="宋体"/>
                <w:szCs w:val="21"/>
              </w:rPr>
              <w:t>天，在保障责任限额内住院护理津贴累计给付天数不超过</w:t>
            </w:r>
            <w:r>
              <w:rPr>
                <w:rFonts w:ascii="宋体" w:hAnsi="宋体"/>
                <w:szCs w:val="21"/>
              </w:rPr>
              <w:t>180</w:t>
            </w:r>
            <w:r>
              <w:rPr>
                <w:rFonts w:hint="eastAsia" w:ascii="宋体" w:hAnsi="宋体"/>
                <w:szCs w:val="21"/>
              </w:rPr>
              <w:t>天。无等待期）</w:t>
            </w:r>
          </w:p>
        </w:tc>
      </w:tr>
      <w:tr w14:paraId="128B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654" w:type="dxa"/>
            <w:vAlign w:val="center"/>
          </w:tcPr>
          <w:p w14:paraId="6C28EE63">
            <w:pPr>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4</w:t>
            </w:r>
          </w:p>
        </w:tc>
        <w:tc>
          <w:tcPr>
            <w:tcW w:w="2800" w:type="dxa"/>
            <w:vAlign w:val="center"/>
          </w:tcPr>
          <w:p w14:paraId="264CF424">
            <w:pPr>
              <w:snapToGrid w:val="0"/>
              <w:spacing w:line="360" w:lineRule="auto"/>
              <w:jc w:val="center"/>
              <w:rPr>
                <w:rFonts w:ascii="宋体" w:hAnsi="宋体"/>
                <w:szCs w:val="21"/>
              </w:rPr>
            </w:pPr>
            <w:r>
              <w:rPr>
                <w:rFonts w:hint="eastAsia" w:ascii="宋体" w:hAnsi="宋体"/>
                <w:szCs w:val="21"/>
              </w:rPr>
              <w:t>意外伤害骨折保险</w:t>
            </w:r>
          </w:p>
        </w:tc>
        <w:tc>
          <w:tcPr>
            <w:tcW w:w="4740" w:type="dxa"/>
            <w:vAlign w:val="center"/>
          </w:tcPr>
          <w:p w14:paraId="713ED55A">
            <w:pPr>
              <w:snapToGrid w:val="0"/>
              <w:spacing w:line="360" w:lineRule="auto"/>
              <w:jc w:val="center"/>
              <w:rPr>
                <w:rFonts w:ascii="宋体" w:hAnsi="宋体"/>
                <w:szCs w:val="21"/>
              </w:rPr>
            </w:pPr>
            <w:r>
              <w:rPr>
                <w:rFonts w:hint="eastAsia" w:ascii="宋体" w:hAnsi="宋体"/>
                <w:szCs w:val="21"/>
              </w:rPr>
              <w:t>800元</w:t>
            </w:r>
          </w:p>
        </w:tc>
      </w:tr>
      <w:tr w14:paraId="1CF19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trPr>
        <w:tc>
          <w:tcPr>
            <w:tcW w:w="654" w:type="dxa"/>
            <w:vAlign w:val="center"/>
          </w:tcPr>
          <w:p w14:paraId="06397CBF">
            <w:pPr>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5</w:t>
            </w:r>
          </w:p>
        </w:tc>
        <w:tc>
          <w:tcPr>
            <w:tcW w:w="2800" w:type="dxa"/>
            <w:vAlign w:val="center"/>
          </w:tcPr>
          <w:p w14:paraId="1A485841">
            <w:pPr>
              <w:snapToGrid w:val="0"/>
              <w:spacing w:line="360" w:lineRule="auto"/>
              <w:jc w:val="center"/>
              <w:rPr>
                <w:rFonts w:ascii="宋体" w:hAnsi="宋体"/>
                <w:szCs w:val="21"/>
              </w:rPr>
            </w:pPr>
            <w:r>
              <w:rPr>
                <w:rFonts w:hint="eastAsia" w:ascii="宋体" w:hAnsi="宋体"/>
                <w:szCs w:val="21"/>
              </w:rPr>
              <w:t>旅游意外伤害身故</w:t>
            </w:r>
          </w:p>
          <w:p w14:paraId="646E6D5C">
            <w:pPr>
              <w:snapToGrid w:val="0"/>
              <w:spacing w:line="360" w:lineRule="auto"/>
              <w:jc w:val="center"/>
              <w:rPr>
                <w:rFonts w:ascii="宋体" w:hAnsi="宋体"/>
                <w:szCs w:val="21"/>
              </w:rPr>
            </w:pPr>
            <w:r>
              <w:rPr>
                <w:rFonts w:hint="eastAsia" w:ascii="宋体" w:hAnsi="宋体"/>
                <w:szCs w:val="21"/>
              </w:rPr>
              <w:t>保险</w:t>
            </w:r>
          </w:p>
        </w:tc>
        <w:tc>
          <w:tcPr>
            <w:tcW w:w="4740" w:type="dxa"/>
            <w:vAlign w:val="center"/>
          </w:tcPr>
          <w:p w14:paraId="7B6641A7">
            <w:pPr>
              <w:snapToGrid w:val="0"/>
              <w:spacing w:line="360" w:lineRule="auto"/>
              <w:ind w:firstLine="0" w:firstLineChars="0"/>
              <w:jc w:val="center"/>
              <w:rPr>
                <w:rFonts w:ascii="宋体" w:hAnsi="宋体"/>
                <w:szCs w:val="21"/>
              </w:rPr>
            </w:pPr>
            <w:r>
              <w:rPr>
                <w:rFonts w:hint="eastAsia" w:ascii="宋体" w:hAnsi="宋体"/>
                <w:szCs w:val="21"/>
              </w:rPr>
              <w:t>3</w:t>
            </w:r>
            <w:r>
              <w:rPr>
                <w:rFonts w:ascii="宋体" w:hAnsi="宋体"/>
                <w:szCs w:val="21"/>
              </w:rPr>
              <w:t>0,000</w:t>
            </w:r>
            <w:r>
              <w:rPr>
                <w:rFonts w:hint="eastAsia" w:ascii="宋体" w:hAnsi="宋体"/>
                <w:szCs w:val="21"/>
              </w:rPr>
              <w:t>元</w:t>
            </w:r>
          </w:p>
        </w:tc>
      </w:tr>
      <w:tr w14:paraId="2CB3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trPr>
        <w:tc>
          <w:tcPr>
            <w:tcW w:w="654" w:type="dxa"/>
            <w:vAlign w:val="center"/>
          </w:tcPr>
          <w:p w14:paraId="1F4A8923">
            <w:pPr>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6</w:t>
            </w:r>
          </w:p>
        </w:tc>
        <w:tc>
          <w:tcPr>
            <w:tcW w:w="2800" w:type="dxa"/>
            <w:vAlign w:val="center"/>
          </w:tcPr>
          <w:p w14:paraId="7C621CC1">
            <w:pPr>
              <w:snapToGrid w:val="0"/>
              <w:spacing w:line="360" w:lineRule="auto"/>
              <w:jc w:val="center"/>
              <w:rPr>
                <w:rFonts w:ascii="宋体" w:hAnsi="宋体"/>
                <w:szCs w:val="21"/>
              </w:rPr>
            </w:pPr>
            <w:r>
              <w:rPr>
                <w:rFonts w:hint="eastAsia" w:ascii="宋体" w:hAnsi="宋体"/>
                <w:szCs w:val="21"/>
              </w:rPr>
              <w:t>航空意外身故保险</w:t>
            </w:r>
          </w:p>
        </w:tc>
        <w:tc>
          <w:tcPr>
            <w:tcW w:w="4740" w:type="dxa"/>
            <w:vAlign w:val="center"/>
          </w:tcPr>
          <w:p w14:paraId="5AF60F3F">
            <w:pPr>
              <w:snapToGrid w:val="0"/>
              <w:spacing w:line="360" w:lineRule="auto"/>
              <w:jc w:val="center"/>
              <w:rPr>
                <w:rFonts w:ascii="宋体" w:hAnsi="宋体"/>
                <w:szCs w:val="21"/>
              </w:rPr>
            </w:pPr>
            <w:r>
              <w:rPr>
                <w:rFonts w:hint="eastAsia" w:ascii="宋体" w:hAnsi="宋体"/>
                <w:szCs w:val="21"/>
              </w:rPr>
              <w:t>200,000元</w:t>
            </w:r>
          </w:p>
        </w:tc>
      </w:tr>
      <w:tr w14:paraId="1639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trPr>
        <w:tc>
          <w:tcPr>
            <w:tcW w:w="654" w:type="dxa"/>
            <w:vAlign w:val="center"/>
          </w:tcPr>
          <w:p w14:paraId="65F71DB2">
            <w:pPr>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7</w:t>
            </w:r>
          </w:p>
        </w:tc>
        <w:tc>
          <w:tcPr>
            <w:tcW w:w="2800" w:type="dxa"/>
            <w:vAlign w:val="center"/>
          </w:tcPr>
          <w:p w14:paraId="0B2E2472">
            <w:pPr>
              <w:snapToGrid w:val="0"/>
              <w:spacing w:line="360" w:lineRule="auto"/>
              <w:jc w:val="center"/>
              <w:rPr>
                <w:rFonts w:ascii="宋体" w:hAnsi="宋体"/>
                <w:szCs w:val="21"/>
              </w:rPr>
            </w:pPr>
            <w:r>
              <w:rPr>
                <w:rFonts w:hint="eastAsia" w:ascii="宋体" w:hAnsi="宋体"/>
                <w:szCs w:val="21"/>
              </w:rPr>
              <w:t>火车、轮船意外身故保险</w:t>
            </w:r>
          </w:p>
        </w:tc>
        <w:tc>
          <w:tcPr>
            <w:tcW w:w="4740" w:type="dxa"/>
            <w:vAlign w:val="center"/>
          </w:tcPr>
          <w:p w14:paraId="0438E86F">
            <w:pPr>
              <w:snapToGrid w:val="0"/>
              <w:spacing w:line="360" w:lineRule="auto"/>
              <w:jc w:val="center"/>
              <w:rPr>
                <w:rFonts w:ascii="宋体" w:hAnsi="宋体"/>
                <w:szCs w:val="21"/>
              </w:rPr>
            </w:pPr>
            <w:r>
              <w:rPr>
                <w:rFonts w:hint="eastAsia" w:ascii="宋体" w:hAnsi="宋体"/>
                <w:szCs w:val="21"/>
              </w:rPr>
              <w:t>50,000元</w:t>
            </w:r>
          </w:p>
        </w:tc>
      </w:tr>
      <w:tr w14:paraId="5EE1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trPr>
        <w:tc>
          <w:tcPr>
            <w:tcW w:w="654" w:type="dxa"/>
            <w:vAlign w:val="center"/>
          </w:tcPr>
          <w:p w14:paraId="4705128B">
            <w:pPr>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8</w:t>
            </w:r>
          </w:p>
        </w:tc>
        <w:tc>
          <w:tcPr>
            <w:tcW w:w="2800" w:type="dxa"/>
            <w:vAlign w:val="center"/>
          </w:tcPr>
          <w:p w14:paraId="3A06030D">
            <w:pPr>
              <w:snapToGrid w:val="0"/>
              <w:spacing w:line="360" w:lineRule="auto"/>
              <w:jc w:val="center"/>
              <w:rPr>
                <w:rFonts w:ascii="宋体" w:hAnsi="宋体"/>
                <w:szCs w:val="21"/>
              </w:rPr>
            </w:pPr>
            <w:r>
              <w:rPr>
                <w:rFonts w:hint="eastAsia" w:ascii="宋体" w:hAnsi="宋体"/>
                <w:szCs w:val="21"/>
              </w:rPr>
              <w:t>食物中毒身故保险</w:t>
            </w:r>
          </w:p>
        </w:tc>
        <w:tc>
          <w:tcPr>
            <w:tcW w:w="4740" w:type="dxa"/>
            <w:vAlign w:val="center"/>
          </w:tcPr>
          <w:p w14:paraId="13AFEB48">
            <w:pPr>
              <w:snapToGrid w:val="0"/>
              <w:spacing w:line="360" w:lineRule="auto"/>
              <w:jc w:val="center"/>
              <w:rPr>
                <w:rFonts w:ascii="宋体" w:hAnsi="宋体"/>
                <w:szCs w:val="21"/>
              </w:rPr>
            </w:pPr>
            <w:r>
              <w:rPr>
                <w:rFonts w:ascii="宋体" w:hAnsi="宋体"/>
                <w:szCs w:val="21"/>
              </w:rPr>
              <w:t>30,000</w:t>
            </w:r>
            <w:r>
              <w:rPr>
                <w:rFonts w:hint="eastAsia" w:ascii="宋体" w:hAnsi="宋体"/>
                <w:szCs w:val="21"/>
              </w:rPr>
              <w:t>元</w:t>
            </w:r>
          </w:p>
        </w:tc>
      </w:tr>
      <w:tr w14:paraId="5C32A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trPr>
        <w:tc>
          <w:tcPr>
            <w:tcW w:w="654" w:type="dxa"/>
            <w:vAlign w:val="center"/>
          </w:tcPr>
          <w:p w14:paraId="3F0A7BDE">
            <w:pPr>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9</w:t>
            </w:r>
          </w:p>
        </w:tc>
        <w:tc>
          <w:tcPr>
            <w:tcW w:w="2800" w:type="dxa"/>
            <w:vAlign w:val="center"/>
          </w:tcPr>
          <w:p w14:paraId="1CB423AD">
            <w:pPr>
              <w:snapToGrid w:val="0"/>
              <w:spacing w:line="360" w:lineRule="auto"/>
              <w:jc w:val="center"/>
              <w:rPr>
                <w:rFonts w:ascii="宋体" w:hAnsi="宋体"/>
                <w:szCs w:val="21"/>
              </w:rPr>
            </w:pPr>
            <w:r>
              <w:rPr>
                <w:rFonts w:hint="eastAsia" w:ascii="宋体" w:hAnsi="宋体"/>
                <w:szCs w:val="21"/>
              </w:rPr>
              <w:t>食物中毒医疗保险</w:t>
            </w:r>
          </w:p>
        </w:tc>
        <w:tc>
          <w:tcPr>
            <w:tcW w:w="4740" w:type="dxa"/>
            <w:vAlign w:val="center"/>
          </w:tcPr>
          <w:p w14:paraId="45C9724C">
            <w:pPr>
              <w:snapToGrid w:val="0"/>
              <w:spacing w:line="360" w:lineRule="auto"/>
              <w:jc w:val="center"/>
              <w:rPr>
                <w:rFonts w:ascii="宋体" w:hAnsi="宋体"/>
                <w:szCs w:val="21"/>
              </w:rPr>
            </w:pPr>
            <w:r>
              <w:rPr>
                <w:rFonts w:ascii="宋体" w:hAnsi="宋体"/>
                <w:szCs w:val="21"/>
              </w:rPr>
              <w:t>1</w:t>
            </w:r>
            <w:r>
              <w:rPr>
                <w:rFonts w:hint="eastAsia" w:ascii="宋体" w:hAnsi="宋体"/>
                <w:szCs w:val="21"/>
              </w:rPr>
              <w:t>，</w:t>
            </w:r>
            <w:r>
              <w:rPr>
                <w:rFonts w:ascii="宋体" w:hAnsi="宋体"/>
                <w:szCs w:val="21"/>
              </w:rPr>
              <w:t>000</w:t>
            </w:r>
            <w:r>
              <w:rPr>
                <w:rFonts w:hint="eastAsia" w:ascii="宋体" w:hAnsi="宋体"/>
                <w:szCs w:val="21"/>
              </w:rPr>
              <w:t>元</w:t>
            </w:r>
          </w:p>
        </w:tc>
      </w:tr>
      <w:tr w14:paraId="121A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3454" w:type="dxa"/>
            <w:gridSpan w:val="2"/>
            <w:tcBorders>
              <w:bottom w:val="single" w:color="auto" w:sz="4" w:space="0"/>
            </w:tcBorders>
            <w:vAlign w:val="center"/>
          </w:tcPr>
          <w:p w14:paraId="1F544CAF">
            <w:pPr>
              <w:snapToGrid w:val="0"/>
              <w:spacing w:line="360" w:lineRule="auto"/>
              <w:jc w:val="center"/>
              <w:rPr>
                <w:rFonts w:ascii="宋体" w:hAnsi="宋体"/>
                <w:szCs w:val="21"/>
              </w:rPr>
            </w:pPr>
            <w:r>
              <w:rPr>
                <w:rFonts w:hint="eastAsia" w:ascii="宋体" w:hAnsi="宋体"/>
                <w:szCs w:val="21"/>
              </w:rPr>
              <w:t>备注</w:t>
            </w:r>
          </w:p>
        </w:tc>
        <w:tc>
          <w:tcPr>
            <w:tcW w:w="4740" w:type="dxa"/>
            <w:tcBorders>
              <w:bottom w:val="single" w:color="auto" w:sz="4" w:space="0"/>
            </w:tcBorders>
            <w:vAlign w:val="center"/>
          </w:tcPr>
          <w:p w14:paraId="000E9139">
            <w:pPr>
              <w:numPr>
                <w:ilvl w:val="0"/>
                <w:numId w:val="1"/>
              </w:numPr>
              <w:snapToGrid w:val="0"/>
              <w:spacing w:line="360" w:lineRule="auto"/>
              <w:jc w:val="left"/>
              <w:rPr>
                <w:rFonts w:ascii="宋体" w:hAnsi="宋体"/>
                <w:szCs w:val="21"/>
              </w:rPr>
            </w:pPr>
            <w:r>
              <w:rPr>
                <w:rFonts w:hint="eastAsia" w:ascii="宋体" w:hAnsi="宋体"/>
                <w:szCs w:val="21"/>
              </w:rPr>
              <w:t>投标人应按上述赔偿限额要求进行保费报价；</w:t>
            </w:r>
          </w:p>
          <w:p w14:paraId="6AEC624C">
            <w:pPr>
              <w:numPr>
                <w:ilvl w:val="0"/>
                <w:numId w:val="1"/>
              </w:numPr>
              <w:snapToGrid w:val="0"/>
              <w:spacing w:line="360" w:lineRule="auto"/>
              <w:jc w:val="left"/>
              <w:rPr>
                <w:rFonts w:ascii="宋体" w:hAnsi="宋体"/>
                <w:szCs w:val="21"/>
              </w:rPr>
            </w:pPr>
            <w:r>
              <w:rPr>
                <w:rFonts w:hint="eastAsia" w:ascii="宋体" w:hAnsi="宋体"/>
                <w:szCs w:val="21"/>
              </w:rPr>
              <w:t>投标人对已确定的基本保障内容，可提高赔偿限额；也可以在此基础上，酌情增加</w:t>
            </w:r>
            <w:r>
              <w:rPr>
                <w:rFonts w:hint="eastAsia" w:ascii="宋体" w:hAnsi="宋体"/>
                <w:szCs w:val="21"/>
                <w:lang w:eastAsia="zh-CN"/>
              </w:rPr>
              <w:t>特约</w:t>
            </w:r>
            <w:r>
              <w:rPr>
                <w:rFonts w:hint="eastAsia" w:ascii="宋体" w:hAnsi="宋体"/>
                <w:szCs w:val="21"/>
              </w:rPr>
              <w:t>保险</w:t>
            </w:r>
            <w:r>
              <w:rPr>
                <w:rFonts w:hint="eastAsia" w:ascii="宋体" w:hAnsi="宋体"/>
                <w:szCs w:val="21"/>
                <w:lang w:eastAsia="zh-CN"/>
              </w:rPr>
              <w:t>责任</w:t>
            </w:r>
            <w:r>
              <w:rPr>
                <w:rFonts w:hint="eastAsia" w:ascii="宋体" w:hAnsi="宋体"/>
                <w:szCs w:val="21"/>
              </w:rPr>
              <w:t>项目并配套填写赔偿限额</w:t>
            </w:r>
            <w:r>
              <w:rPr>
                <w:rFonts w:hint="eastAsia" w:ascii="宋体" w:hAnsi="宋体"/>
                <w:szCs w:val="21"/>
                <w:lang w:eastAsia="zh-CN"/>
              </w:rPr>
              <w:t>；</w:t>
            </w:r>
          </w:p>
          <w:p w14:paraId="00FCC7B3">
            <w:pPr>
              <w:numPr>
                <w:ilvl w:val="0"/>
                <w:numId w:val="1"/>
              </w:numPr>
              <w:snapToGrid w:val="0"/>
              <w:spacing w:line="360" w:lineRule="auto"/>
              <w:jc w:val="left"/>
              <w:rPr>
                <w:rFonts w:ascii="宋体" w:hAnsi="宋体"/>
                <w:szCs w:val="21"/>
              </w:rPr>
            </w:pPr>
            <w:r>
              <w:rPr>
                <w:rFonts w:hint="eastAsia" w:ascii="宋体" w:hAnsi="宋体"/>
                <w:szCs w:val="21"/>
              </w:rPr>
              <w:t>投标人需出具相应说明材料以便告知被保险人的保险权利，包括但不限于保险责任、赔付规则等。</w:t>
            </w:r>
          </w:p>
        </w:tc>
      </w:tr>
    </w:tbl>
    <w:p w14:paraId="2ABD4498">
      <w:pPr>
        <w:spacing w:line="500" w:lineRule="exact"/>
        <w:ind w:firstLine="315" w:firstLineChars="150"/>
        <w:rPr>
          <w:rFonts w:ascii="宋体" w:hAnsi="宋体"/>
          <w:b/>
          <w:szCs w:val="21"/>
        </w:rPr>
      </w:pPr>
      <w:r>
        <w:rPr>
          <w:rFonts w:hint="eastAsia" w:ascii="宋体" w:hAnsi="宋体"/>
          <w:b/>
          <w:szCs w:val="21"/>
        </w:rPr>
        <w:t>（</w:t>
      </w:r>
      <w:r>
        <w:rPr>
          <w:rFonts w:hint="eastAsia" w:ascii="宋体" w:hAnsi="宋体"/>
          <w:b/>
          <w:szCs w:val="21"/>
          <w:lang w:eastAsia="zh-CN"/>
        </w:rPr>
        <w:t>二</w:t>
      </w:r>
      <w:r>
        <w:rPr>
          <w:rFonts w:hint="eastAsia" w:ascii="宋体" w:hAnsi="宋体"/>
          <w:b/>
          <w:szCs w:val="21"/>
        </w:rPr>
        <w:t>）拓展服务</w:t>
      </w:r>
    </w:p>
    <w:p w14:paraId="39FD48FF">
      <w:pPr>
        <w:adjustRightInd w:val="0"/>
        <w:snapToGrid w:val="0"/>
        <w:spacing w:line="360" w:lineRule="auto"/>
        <w:ind w:firstLine="420" w:firstLineChars="200"/>
        <w:rPr>
          <w:rFonts w:ascii="宋体" w:hAnsi="宋体"/>
          <w:szCs w:val="21"/>
        </w:rPr>
      </w:pPr>
      <w:r>
        <w:rPr>
          <w:rFonts w:hint="eastAsia" w:ascii="宋体" w:hAnsi="宋体"/>
          <w:szCs w:val="21"/>
        </w:rPr>
        <w:t>为了能够体现人身意外伤害保险服务于招标人的特点，投标人应充分了解招标人的现状及风险状况，并在基础服务项目上增加以下服务内容：</w:t>
      </w:r>
    </w:p>
    <w:p w14:paraId="44E626F1">
      <w:pPr>
        <w:adjustRightInd w:val="0"/>
        <w:snapToGrid w:val="0"/>
        <w:spacing w:line="360" w:lineRule="auto"/>
        <w:ind w:firstLine="420" w:firstLineChars="200"/>
        <w:rPr>
          <w:rFonts w:ascii="宋体" w:hAnsi="宋体"/>
          <w:szCs w:val="21"/>
        </w:rPr>
      </w:pPr>
      <w:r>
        <w:rPr>
          <w:rFonts w:hint="eastAsia" w:ascii="宋体" w:hAnsi="宋体"/>
          <w:szCs w:val="21"/>
        </w:rPr>
        <w:t>（1）给予人性化赔付</w:t>
      </w:r>
    </w:p>
    <w:p w14:paraId="4C70D041">
      <w:pPr>
        <w:adjustRightInd w:val="0"/>
        <w:snapToGrid w:val="0"/>
        <w:spacing w:line="360" w:lineRule="auto"/>
        <w:ind w:firstLine="420" w:firstLineChars="200"/>
        <w:rPr>
          <w:rFonts w:ascii="宋体" w:hAnsi="宋体"/>
          <w:szCs w:val="21"/>
        </w:rPr>
      </w:pPr>
      <w:r>
        <w:rPr>
          <w:rFonts w:hint="eastAsia" w:ascii="宋体" w:hAnsi="宋体"/>
          <w:szCs w:val="21"/>
        </w:rPr>
        <w:t>对难以准确界定保险责任和赔偿金额，但案情具有特殊的社会意义，投标人应能制定出专门针对此类理赔案件的解决方案，方案要切实可行，充分考虑人身意外伤害保险风险的特殊性和理赔案件的个性特点，为被保险人提供人性化的解决方案。</w:t>
      </w:r>
    </w:p>
    <w:p w14:paraId="1EF22C40">
      <w:pPr>
        <w:widowControl/>
        <w:adjustRightInd w:val="0"/>
        <w:snapToGrid w:val="0"/>
        <w:spacing w:line="360" w:lineRule="auto"/>
        <w:ind w:firstLine="420" w:firstLineChars="200"/>
        <w:jc w:val="left"/>
        <w:textAlignment w:val="baseline"/>
        <w:rPr>
          <w:rFonts w:ascii="宋体" w:hAnsi="宋体"/>
          <w:szCs w:val="21"/>
        </w:rPr>
      </w:pPr>
      <w:r>
        <w:rPr>
          <w:rFonts w:hint="eastAsia" w:ascii="宋体" w:hAnsi="宋体"/>
          <w:szCs w:val="21"/>
        </w:rPr>
        <w:t>（2）设专职服务部门</w:t>
      </w:r>
    </w:p>
    <w:p w14:paraId="4B985689">
      <w:pPr>
        <w:adjustRightInd w:val="0"/>
        <w:snapToGrid w:val="0"/>
        <w:spacing w:line="360" w:lineRule="auto"/>
        <w:ind w:firstLine="120"/>
        <w:rPr>
          <w:rFonts w:ascii="宋体" w:hAnsi="宋体"/>
          <w:szCs w:val="21"/>
        </w:rPr>
      </w:pPr>
      <w:r>
        <w:rPr>
          <w:rFonts w:hint="eastAsia" w:ascii="宋体" w:hAnsi="宋体"/>
          <w:szCs w:val="21"/>
        </w:rPr>
        <w:t xml:space="preserve">   投标人应当成立专门的保险理赔服务团队，由有经验的专业理赔人员负责理赔服务工作，并配备相应的办公设备，设立热线电话，负责受理老年人人身意外伤害保险的事故报案、咨询、疑难解答和投诉处理。</w:t>
      </w:r>
    </w:p>
    <w:p w14:paraId="2E3CA3F5">
      <w:pPr>
        <w:adjustRightInd w:val="0"/>
        <w:snapToGrid w:val="0"/>
        <w:spacing w:line="360" w:lineRule="auto"/>
        <w:ind w:firstLine="120"/>
        <w:rPr>
          <w:rFonts w:ascii="宋体" w:hAnsi="宋体"/>
          <w:szCs w:val="21"/>
        </w:rPr>
      </w:pPr>
      <w:r>
        <w:rPr>
          <w:rFonts w:hint="eastAsia" w:ascii="宋体" w:hAnsi="宋体"/>
          <w:szCs w:val="21"/>
        </w:rPr>
        <w:t xml:space="preserve">    (3）专享理赔服务</w:t>
      </w:r>
    </w:p>
    <w:p w14:paraId="676AADD7">
      <w:pPr>
        <w:adjustRightInd w:val="0"/>
        <w:snapToGrid w:val="0"/>
        <w:spacing w:line="360" w:lineRule="auto"/>
        <w:ind w:firstLine="420" w:firstLineChars="200"/>
        <w:rPr>
          <w:rFonts w:ascii="宋体" w:hAnsi="宋体"/>
          <w:szCs w:val="21"/>
        </w:rPr>
      </w:pPr>
      <w:r>
        <w:rPr>
          <w:rFonts w:hint="eastAsia" w:ascii="宋体" w:hAnsi="宋体"/>
          <w:szCs w:val="21"/>
        </w:rPr>
        <w:t>当老人发生意外进入理赔程序后，投标人可提供理赔上门服务、限时赔付、理赔绿色通道、理赔网络信息支持等专享服务。</w:t>
      </w:r>
    </w:p>
    <w:p w14:paraId="029C0805">
      <w:pPr>
        <w:adjustRightInd w:val="0"/>
        <w:snapToGrid w:val="0"/>
        <w:spacing w:line="360" w:lineRule="auto"/>
        <w:ind w:firstLine="420" w:firstLineChars="200"/>
        <w:rPr>
          <w:rFonts w:ascii="宋体" w:hAnsi="宋体"/>
          <w:szCs w:val="21"/>
        </w:rPr>
      </w:pPr>
      <w:r>
        <w:rPr>
          <w:rFonts w:hint="eastAsia" w:ascii="宋体" w:hAnsi="宋体"/>
          <w:szCs w:val="21"/>
        </w:rPr>
        <w:t>（4）设法律援助</w:t>
      </w:r>
    </w:p>
    <w:p w14:paraId="36EC6569">
      <w:pPr>
        <w:adjustRightInd w:val="0"/>
        <w:snapToGrid w:val="0"/>
        <w:spacing w:line="360" w:lineRule="auto"/>
        <w:jc w:val="left"/>
        <w:rPr>
          <w:rFonts w:ascii="宋体" w:hAnsi="宋体"/>
          <w:szCs w:val="21"/>
        </w:rPr>
      </w:pPr>
      <w:r>
        <w:rPr>
          <w:rFonts w:hint="eastAsia" w:ascii="宋体" w:hAnsi="宋体"/>
          <w:szCs w:val="21"/>
        </w:rPr>
        <w:t xml:space="preserve">     投标人应当成立专门的法律服务小组，处理因理赔纠纷引起的相关法务问题，并妥善处理善后事宜，尽最大可能杜绝或降低社会负面影响。</w:t>
      </w:r>
    </w:p>
    <w:p w14:paraId="25FB2C77">
      <w:pPr>
        <w:adjustRightInd w:val="0"/>
        <w:snapToGrid w:val="0"/>
        <w:spacing w:line="360" w:lineRule="auto"/>
        <w:ind w:firstLine="420" w:firstLineChars="200"/>
        <w:rPr>
          <w:rFonts w:ascii="宋体" w:hAnsi="宋体"/>
          <w:b/>
          <w:szCs w:val="21"/>
        </w:rPr>
      </w:pPr>
      <w:r>
        <w:rPr>
          <w:rFonts w:hint="eastAsia" w:ascii="宋体" w:hAnsi="宋体"/>
          <w:b/>
          <w:szCs w:val="21"/>
        </w:rPr>
        <w:t>五、承保要求</w:t>
      </w:r>
    </w:p>
    <w:p w14:paraId="2FE58801">
      <w:pPr>
        <w:adjustRightInd w:val="0"/>
        <w:snapToGrid w:val="0"/>
        <w:spacing w:line="360" w:lineRule="auto"/>
        <w:ind w:firstLine="420" w:firstLineChars="200"/>
        <w:rPr>
          <w:rFonts w:ascii="宋体" w:hAnsi="宋体"/>
          <w:szCs w:val="21"/>
        </w:rPr>
      </w:pPr>
      <w:r>
        <w:rPr>
          <w:rFonts w:hint="eastAsia" w:ascii="宋体" w:hAnsi="宋体"/>
          <w:szCs w:val="21"/>
        </w:rPr>
        <w:t>1.投标主体须独立自行实施保险理赔及相关业务，不得转包或委托经纪（中介）公司承保。</w:t>
      </w:r>
    </w:p>
    <w:p w14:paraId="139F5FBD">
      <w:pPr>
        <w:adjustRightInd w:val="0"/>
        <w:snapToGrid w:val="0"/>
        <w:spacing w:line="360" w:lineRule="auto"/>
        <w:ind w:firstLine="420" w:firstLineChars="200"/>
        <w:rPr>
          <w:rFonts w:ascii="宋体" w:hAnsi="宋体"/>
          <w:color w:val="auto"/>
          <w:szCs w:val="21"/>
        </w:rPr>
      </w:pPr>
      <w:r>
        <w:rPr>
          <w:rFonts w:hint="eastAsia" w:ascii="宋体" w:hAnsi="宋体"/>
          <w:szCs w:val="21"/>
        </w:rPr>
        <w:t>2.投标主体须有较高的服务网点覆盖率，应保证在接到报案后24小时内赶到现场参与处置。</w:t>
      </w:r>
    </w:p>
    <w:p w14:paraId="6428932D">
      <w:pPr>
        <w:spacing w:line="500" w:lineRule="exact"/>
        <w:ind w:firstLine="420" w:firstLineChars="200"/>
        <w:rPr>
          <w:rFonts w:ascii="宋体" w:hAnsi="宋体"/>
          <w:color w:val="auto"/>
          <w:szCs w:val="21"/>
        </w:rPr>
      </w:pPr>
      <w:r>
        <w:rPr>
          <w:rFonts w:hint="eastAsia" w:ascii="宋体" w:hAnsi="宋体"/>
          <w:color w:val="auto"/>
          <w:szCs w:val="21"/>
        </w:rPr>
        <w:t>3.投标主体须设有专门的服务团队，团队中有老年人意外伤害保险服务经验从业经验的专业人员。</w:t>
      </w:r>
    </w:p>
    <w:p w14:paraId="03A30410">
      <w:pPr>
        <w:spacing w:line="500" w:lineRule="exact"/>
        <w:ind w:firstLine="420" w:firstLineChars="200"/>
        <w:rPr>
          <w:rFonts w:ascii="宋体" w:hAnsi="宋体"/>
          <w:color w:val="auto"/>
          <w:szCs w:val="21"/>
        </w:rPr>
      </w:pPr>
      <w:r>
        <w:rPr>
          <w:rFonts w:hint="eastAsia" w:ascii="宋体" w:hAnsi="宋体"/>
          <w:color w:val="auto"/>
          <w:szCs w:val="21"/>
        </w:rPr>
        <w:t>4.投标主体须定期对理赔情况进行数据</w:t>
      </w:r>
      <w:bookmarkStart w:id="6" w:name="_GoBack"/>
      <w:bookmarkEnd w:id="6"/>
      <w:r>
        <w:rPr>
          <w:rFonts w:hint="eastAsia" w:ascii="宋体" w:hAnsi="宋体"/>
          <w:color w:val="auto"/>
          <w:szCs w:val="21"/>
        </w:rPr>
        <w:t>分析汇总并出具书面报告。</w:t>
      </w:r>
    </w:p>
    <w:p w14:paraId="1FDF7DB5">
      <w:pPr>
        <w:spacing w:line="500" w:lineRule="exact"/>
        <w:ind w:firstLine="420" w:firstLineChars="200"/>
        <w:rPr>
          <w:rFonts w:ascii="宋体" w:hAnsi="宋体"/>
          <w:color w:val="auto"/>
          <w:szCs w:val="21"/>
        </w:rPr>
      </w:pPr>
      <w:r>
        <w:rPr>
          <w:rFonts w:hint="eastAsia" w:ascii="宋体" w:hAnsi="宋体"/>
          <w:color w:val="auto"/>
          <w:szCs w:val="21"/>
        </w:rPr>
        <w:t>5.投标主体提供的服务内容丰富、合理，投保理赔程序清晰、简便、迅速，能够根据投保人意见及时改进服务质量。</w:t>
      </w:r>
    </w:p>
    <w:p w14:paraId="76AC8A2F"/>
    <w:sectPr>
      <w:footerReference r:id="rId3" w:type="default"/>
      <w:footerReference r:id="rId4" w:type="even"/>
      <w:pgSz w:w="11906" w:h="16838"/>
      <w:pgMar w:top="1418" w:right="1797" w:bottom="1361"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国标宋体"/>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国标宋体">
    <w:panose1 w:val="02000500000000000000"/>
    <w:charset w:val="86"/>
    <w:family w:val="auto"/>
    <w:pitch w:val="default"/>
    <w:sig w:usb0="00000001" w:usb1="28000000" w:usb2="00000000" w:usb3="00000000" w:csb0="00060007"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46E4C">
    <w:pPr>
      <w:pStyle w:val="3"/>
      <w:framePr w:wrap="around" w:vAnchor="text" w:hAnchor="margin" w:xAlign="center" w:y="1"/>
      <w:rPr>
        <w:rStyle w:val="7"/>
      </w:rPr>
    </w:pPr>
    <w:r>
      <w:fldChar w:fldCharType="begin"/>
    </w:r>
    <w:r>
      <w:rPr>
        <w:rStyle w:val="7"/>
        <w:sz w:val="21"/>
        <w:szCs w:val="24"/>
      </w:rPr>
      <w:instrText xml:space="preserve">PAGE  </w:instrText>
    </w:r>
    <w:r>
      <w:fldChar w:fldCharType="separate"/>
    </w:r>
    <w:r>
      <w:rPr>
        <w:rStyle w:val="7"/>
        <w:sz w:val="21"/>
        <w:szCs w:val="24"/>
      </w:rPr>
      <w:t>1</w:t>
    </w:r>
    <w:r>
      <w:fldChar w:fldCharType="end"/>
    </w:r>
  </w:p>
  <w:p w14:paraId="619832C6">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6DED8">
    <w:pPr>
      <w:pStyle w:val="3"/>
      <w:framePr w:wrap="around" w:vAnchor="text" w:hAnchor="margin" w:xAlign="center" w:y="1"/>
      <w:rPr>
        <w:rStyle w:val="7"/>
      </w:rPr>
    </w:pPr>
    <w:r>
      <w:fldChar w:fldCharType="begin"/>
    </w:r>
    <w:r>
      <w:rPr>
        <w:rStyle w:val="7"/>
        <w:sz w:val="21"/>
        <w:szCs w:val="24"/>
      </w:rPr>
      <w:instrText xml:space="preserve">PAGE  </w:instrText>
    </w:r>
    <w:r>
      <w:fldChar w:fldCharType="end"/>
    </w:r>
  </w:p>
  <w:p w14:paraId="757FC97A">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052BB2"/>
    <w:multiLevelType w:val="multilevel"/>
    <w:tmpl w:val="1C052BB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1A6DE3"/>
    <w:rsid w:val="00054BFC"/>
    <w:rsid w:val="004D6D2A"/>
    <w:rsid w:val="004F7386"/>
    <w:rsid w:val="00633B28"/>
    <w:rsid w:val="00656163"/>
    <w:rsid w:val="008E5977"/>
    <w:rsid w:val="00A868CE"/>
    <w:rsid w:val="00BC22A8"/>
    <w:rsid w:val="00D5073A"/>
    <w:rsid w:val="00EB45C4"/>
    <w:rsid w:val="07BC033E"/>
    <w:rsid w:val="148A4569"/>
    <w:rsid w:val="1CF8633A"/>
    <w:rsid w:val="1DD77A6F"/>
    <w:rsid w:val="2FFD3C50"/>
    <w:rsid w:val="400711FF"/>
    <w:rsid w:val="40D02E54"/>
    <w:rsid w:val="4A680E86"/>
    <w:rsid w:val="5980120A"/>
    <w:rsid w:val="5FB930E5"/>
    <w:rsid w:val="5FFF945C"/>
    <w:rsid w:val="6A020544"/>
    <w:rsid w:val="74397124"/>
    <w:rsid w:val="761A6DE3"/>
    <w:rsid w:val="7DD2D0D5"/>
    <w:rsid w:val="7F77AA8C"/>
    <w:rsid w:val="7F7FF6F7"/>
    <w:rsid w:val="7F9F5502"/>
    <w:rsid w:val="BFFF5ED2"/>
    <w:rsid w:val="D9E77372"/>
    <w:rsid w:val="DEF3C7A2"/>
    <w:rsid w:val="E9EA1290"/>
    <w:rsid w:val="EE7D9921"/>
    <w:rsid w:val="F7BF26E0"/>
    <w:rsid w:val="FAFBE090"/>
    <w:rsid w:val="FFEF5347"/>
    <w:rsid w:val="FFF52C4B"/>
    <w:rsid w:val="FFFBC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unhideWhenUsed/>
    <w:qFormat/>
    <w:uiPriority w:val="99"/>
    <w:pPr>
      <w:widowControl w:val="0"/>
    </w:pPr>
    <w:rPr>
      <w:rFonts w:ascii="Times New Roman" w:hAnsi="Times New Roman" w:eastAsia="宋体" w:cs="Times New Roman"/>
      <w:kern w:val="2"/>
      <w:sz w:val="21"/>
      <w:szCs w:val="24"/>
      <w:lang w:val="en-US" w:eastAsia="zh-CN" w:bidi="ar-SA"/>
    </w:rPr>
  </w:style>
  <w:style w:type="paragraph" w:styleId="3">
    <w:name w:val="footer"/>
    <w:qFormat/>
    <w:uiPriority w:val="0"/>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 w:type="character" w:styleId="8">
    <w:name w:val="annotation reference"/>
    <w:unhideWhenUsed/>
    <w:qFormat/>
    <w:uiPriority w:val="99"/>
    <w:rPr>
      <w:sz w:val="21"/>
      <w:szCs w:val="21"/>
    </w:rPr>
  </w:style>
  <w:style w:type="character" w:customStyle="1" w:styleId="9">
    <w:name w:val="页眉 字符"/>
    <w:basedOn w:val="6"/>
    <w:link w:val="4"/>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1099</Words>
  <Characters>1168</Characters>
  <Lines>14</Lines>
  <Paragraphs>4</Paragraphs>
  <TotalTime>1053</TotalTime>
  <ScaleCrop>false</ScaleCrop>
  <LinksUpToDate>false</LinksUpToDate>
  <CharactersWithSpaces>1168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2025-06-27T02:38:00Z</dcterms:created>
  <dc:creator>Lhy</dc:creator>
  <cp:lastModifiedBy>魏允晗</cp:lastModifiedBy>
  <cp:lastPrinted>2026-08-04T18:02:00Z</cp:lastPrinted>
  <dcterms:modified xsi:type="dcterms:W3CDTF">2026-08-11T09:35:12Z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A2036B0300A243828A78D8E62F8084B3_13</vt:lpwstr>
  </property>
  <property fmtid="{D5CDD505-2E9C-101B-9397-08002B2CF9AE}" pid="4" name="KSOTemplateDocerSaveRecord">
    <vt:lpwstr>eyJoZGlkIjoiZGFiZDkzMGI0OTI2MDBhYTBkYjJjMDJjYjNlMjhkMTUiLCJ1c2VySWQiOiIyODEyNDM3MDgifQ==</vt:lpwstr>
  </property>
</Properties>
</file>