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FBDB">
      <w:pPr>
        <w:pStyle w:val="2"/>
        <w:numPr>
          <w:ilvl w:val="0"/>
          <w:numId w:val="0"/>
        </w:numPr>
        <w:ind w:left="425"/>
        <w:jc w:val="center"/>
      </w:pPr>
      <w:bookmarkStart w:id="0" w:name="_Toc63785461"/>
      <w:r>
        <w:rPr>
          <w:rFonts w:hint="eastAsia"/>
        </w:rPr>
        <w:t>上海市临床检验质控管理平台建设项目</w:t>
      </w:r>
      <w:r>
        <w:t>(2026年升级改造)</w:t>
      </w:r>
      <w:r>
        <w:rPr>
          <w:rFonts w:hint="eastAsia"/>
        </w:rPr>
        <w:t>信息化项目采购需求</w:t>
      </w:r>
    </w:p>
    <w:p w14:paraId="1406583C">
      <w:pPr>
        <w:pStyle w:val="2"/>
      </w:pPr>
      <w:r>
        <w:rPr>
          <w:rFonts w:hint="eastAsia"/>
        </w:rPr>
        <w:t>项目概况</w:t>
      </w:r>
      <w:bookmarkEnd w:id="0"/>
    </w:p>
    <w:p w14:paraId="1C55D610">
      <w:pPr>
        <w:spacing w:line="560" w:lineRule="exact"/>
      </w:pPr>
      <w:r>
        <w:rPr>
          <w:rFonts w:hint="eastAsia"/>
        </w:rPr>
        <w:t>从</w:t>
      </w:r>
      <w:r>
        <w:t>SARS到新冠疫情，从临床诊疗到突发公共卫生事件，上海市作为一座超大型城市，其医疗系统无时无刻不面临巨大的挑战。临床检验作为诊断的重要一环，高响应能效、高质量运行、数字化管理是保障医疗系统持续、精确、稳定运行的关键。也是降低重复检查提升患者就诊体验、提高医疗检验系统数字化管理水平、降低医疗费用节约医保基金的有效策略。</w:t>
      </w:r>
    </w:p>
    <w:p w14:paraId="7548C73B">
      <w:pPr>
        <w:spacing w:line="560" w:lineRule="exact"/>
      </w:pPr>
      <w:r>
        <w:rPr>
          <w:rFonts w:hint="eastAsia"/>
        </w:rPr>
        <w:t>临床检验多源数据的融合和分析是在应对突发公共卫生事件的高响应的重要保障。在临床检测领域，各类检测数据来源广、类型复杂、规模庞大，检测技术和方法更新迭代，机构类型错综复杂，多场景下临床检验数据采集覆盖面和处理效率是应对日常诊疗和突发疫情的必要支持手段。</w:t>
      </w:r>
      <w:r>
        <w:t>2020年初新冠疫情席卷全球，时至今日也未能完全平息，随着国内外贸易往来、人员流动的逐渐恢复，及时、准确的核酸检测能力和信息反馈系统就是必不可缺的一环，检验质量和能力能否跟上人员流动的频率，关系的不仅仅是医疗圈内的事情，而是整个社会民生社稷的大事。因此，借助信息</w:t>
      </w:r>
      <w:r>
        <w:rPr>
          <w:rFonts w:hint="eastAsia"/>
        </w:rPr>
        <w:t>化建设开展实验室临床检验质量控制和评价尤为重要。</w:t>
      </w:r>
    </w:p>
    <w:p w14:paraId="2995160C">
      <w:pPr>
        <w:spacing w:line="560" w:lineRule="exact"/>
      </w:pPr>
      <w:r>
        <w:rPr>
          <w:rFonts w:hint="eastAsia"/>
        </w:rPr>
        <w:t>检验高质量运行关系到公众健康、经济民生。医学实验室检验技术的飞速发展及其与临床医学的不断契合，促使现代检验医学的成果深度应用进了临床当中。如今，大量临床医生对疾病的诊治依赖于临床检验实验室出具的临床检验检查结果，并有愈来愈明显的趋势。这意味着实验室所出具的检查结果将直接影响患者的医疗决策，错误的结果会导致医生诊断偏差、患者住院时间延长、治疗成本增加等问题，甚至会危害到患者的生命安全。因此，科学、客观、全面地评价实验室出具的临床检验结果的质量，是保障患者生命安全，维护患者切身利益的基础，重要且必要。</w:t>
      </w:r>
    </w:p>
    <w:p w14:paraId="70582F35">
      <w:pPr>
        <w:spacing w:line="560" w:lineRule="exact"/>
      </w:pPr>
      <w:r>
        <w:rPr>
          <w:rFonts w:hint="eastAsia"/>
        </w:rPr>
        <w:t>室间质控是上海市临床检验中心的核心业务，中心每年向各实验室定期发出质控物（已知菌株或模拟标本），在各实验室不知质控物正确结果的情况下，要求各实验室在指定时间回报结果．包括检验检测数值、阴阳性、基因突变点位、细菌鉴定，药敏试验结果等。其目的是检测和控制本实验室常规工作的精密度，并检测其准确度的改变，以提高本实验室常规工作中批间和日间标本检测的一致性。</w:t>
      </w:r>
    </w:p>
    <w:p w14:paraId="682FFE60">
      <w:pPr>
        <w:spacing w:line="560" w:lineRule="exact"/>
      </w:pPr>
      <w:r>
        <w:rPr>
          <w:rFonts w:hint="eastAsia"/>
        </w:rPr>
        <w:t>上海市临床检验质控管理平台自</w:t>
      </w:r>
      <w:r>
        <w:t>2012年投入使用以来，经过2017年和2022年共两次升级改造，其业务功能已无法满足当前业务需要，同时由于初次建设时间较为久远，系统架构不符合</w:t>
      </w:r>
      <w:r>
        <w:rPr>
          <w:rFonts w:hint="eastAsia"/>
          <w:lang w:eastAsia="zh-CN"/>
        </w:rPr>
        <w:t>深化信息技术应用创新</w:t>
      </w:r>
      <w:r>
        <w:t>要求，数据处理方式和算法效率低，安全性和密码应用也面临较大挑战。亟需通过系统全面整体改造升级，解决相关问题，同时为将来借助大数据分析处理技术提升检验质控数据的利用效率做好准备，在保证平时工作饱和度的同时留有冗余，面对大规模突发检测需求的时候有承载力。</w:t>
      </w:r>
    </w:p>
    <w:p w14:paraId="1DB3956C">
      <w:pPr>
        <w:spacing w:line="560" w:lineRule="exact"/>
        <w:rPr>
          <w:color w:val="FF0000"/>
        </w:rPr>
      </w:pPr>
      <w:r>
        <w:rPr>
          <w:rFonts w:hint="eastAsia"/>
        </w:rPr>
        <w:t>本项目严格按照</w:t>
      </w:r>
      <w:r>
        <w:rPr>
          <w:rFonts w:hint="eastAsia"/>
          <w:lang w:eastAsia="zh-CN"/>
        </w:rPr>
        <w:t>深化信息技术应用创新</w:t>
      </w:r>
      <w:r>
        <w:rPr>
          <w:rFonts w:hint="eastAsia"/>
        </w:rPr>
        <w:t>要求进行建设。</w:t>
      </w:r>
    </w:p>
    <w:p w14:paraId="2E66C74C">
      <w:pPr>
        <w:pStyle w:val="2"/>
      </w:pPr>
      <w:bookmarkStart w:id="1" w:name="_Toc47532255"/>
      <w:bookmarkEnd w:id="1"/>
      <w:bookmarkStart w:id="2" w:name="_Toc47537134"/>
      <w:bookmarkEnd w:id="2"/>
      <w:bookmarkStart w:id="3" w:name="_Toc47536272"/>
      <w:bookmarkEnd w:id="3"/>
      <w:bookmarkStart w:id="4" w:name="_Toc47531634"/>
      <w:bookmarkEnd w:id="4"/>
      <w:bookmarkStart w:id="5" w:name="_Toc47536644"/>
      <w:bookmarkEnd w:id="5"/>
      <w:bookmarkStart w:id="6" w:name="_Toc47533256"/>
      <w:bookmarkEnd w:id="6"/>
      <w:bookmarkStart w:id="7" w:name="_Toc47539070"/>
      <w:bookmarkEnd w:id="7"/>
      <w:bookmarkStart w:id="8" w:name="_Toc47532891"/>
      <w:bookmarkEnd w:id="8"/>
      <w:bookmarkStart w:id="9" w:name="_Toc63785463"/>
      <w:bookmarkStart w:id="10" w:name="_Toc48223882"/>
      <w:r>
        <w:rPr>
          <w:rFonts w:hint="eastAsia"/>
        </w:rPr>
        <w:t>建设目标</w:t>
      </w:r>
      <w:bookmarkEnd w:id="9"/>
      <w:bookmarkEnd w:id="10"/>
    </w:p>
    <w:p w14:paraId="11B4524F">
      <w:pPr>
        <w:rPr>
          <w:bCs/>
        </w:rPr>
      </w:pPr>
      <w:r>
        <w:rPr>
          <w:rFonts w:hint="eastAsia"/>
          <w:bCs/>
        </w:rPr>
        <w:t>上海市临床检验质控管理平台自</w:t>
      </w:r>
      <w:r>
        <w:rPr>
          <w:bCs/>
        </w:rPr>
        <w:t>2012年投入使用以来，经过2017年和2022年共两次升级改造，为本市和长三角的公立医院、民营医院和第三方医学检验实验室提供稳定服务，有效保障了临床检验室间质控工作的正常开展。</w:t>
      </w:r>
    </w:p>
    <w:p w14:paraId="772F038D">
      <w:pPr>
        <w:rPr>
          <w:bCs/>
        </w:rPr>
      </w:pPr>
      <w:r>
        <w:rPr>
          <w:rFonts w:hint="eastAsia"/>
          <w:bCs/>
        </w:rPr>
        <w:t>但由于业务和系统使用场景的不断演进，系统也面临较大挑战。首先，随着检验项目、检验方法的升级和改进，尤其是新冠疫情以来分子生物学（</w:t>
      </w:r>
      <w:r>
        <w:rPr>
          <w:bCs/>
        </w:rPr>
        <w:t>PCR）学科的发展，系统原有的统计分析方法已不能完全满足目前实际工作的需要，部分统计分析工作不得不采取手动的方式完成。其次，本系统用户包含本市和长三角的公立医院、民营医院和第三方检验实验室总数已接近2000家规模，在业务高发时段会遇到接入瓶颈。再次，由于初次建设时间较为久远，系统架构也不符合</w:t>
      </w:r>
      <w:r>
        <w:rPr>
          <w:rFonts w:hint="eastAsia"/>
          <w:bCs/>
          <w:lang w:eastAsia="zh-CN"/>
        </w:rPr>
        <w:t>深化信息技术应用创新</w:t>
      </w:r>
      <w:r>
        <w:rPr>
          <w:bCs/>
        </w:rPr>
        <w:t>要求，安全性和密码应用也面临较大挑战。最后，系统目前还在沿用10多年前的数据标准和结构，</w:t>
      </w:r>
      <w:r>
        <w:rPr>
          <w:rFonts w:hint="eastAsia"/>
          <w:bCs/>
        </w:rPr>
        <w:t>数据质量不理想，部分数据处理方式和算法效率低，系统累计了近</w:t>
      </w:r>
      <w:r>
        <w:rPr>
          <w:bCs/>
        </w:rPr>
        <w:t>10年的数据，由于缺乏有效的融合和分析处理，不能充分发挥数据在临床医疗、疫情防控等方面的作用。</w:t>
      </w:r>
    </w:p>
    <w:p w14:paraId="1B5550A5">
      <w:pPr>
        <w:rPr>
          <w:bCs/>
        </w:rPr>
      </w:pPr>
      <w:r>
        <w:rPr>
          <w:rFonts w:hint="eastAsia"/>
          <w:bCs/>
        </w:rPr>
        <w:t>通过对上海市临床检验质控管理平台进行全面再造和升级，不仅要解决系统的不足和问题，还要通过对临床医疗机构的日常质控数据的实时动态分析、挖掘、利用、共享，实现动态化、全面化的临床检验质量监管，完善临床实验室检验网络和信息系统，平战结合，医防结合，提升我市应对重大疫情和公共卫生安全事件的能力，推进城市治理体系和治理能力现代化。</w:t>
      </w:r>
    </w:p>
    <w:p w14:paraId="7FC87AB3">
      <w:pPr>
        <w:rPr>
          <w:bCs/>
          <w:color w:val="000000"/>
        </w:rPr>
      </w:pPr>
      <w:r>
        <w:rPr>
          <w:bCs/>
          <w:color w:val="000000"/>
        </w:rPr>
        <w:t>1、业务绩效考核目标</w:t>
      </w:r>
    </w:p>
    <w:p w14:paraId="7F470FE8">
      <w:pPr>
        <w:rPr>
          <w:bCs/>
          <w:color w:val="000000"/>
        </w:rPr>
      </w:pPr>
      <w:r>
        <w:rPr>
          <w:rFonts w:hint="eastAsia"/>
          <w:bCs/>
          <w:color w:val="000000"/>
        </w:rPr>
        <w:t>三年内系统注册各类医疗机构实验室超过家，用户系统登录次数超过</w:t>
      </w:r>
      <w:r>
        <w:rPr>
          <w:bCs/>
          <w:color w:val="000000"/>
        </w:rPr>
        <w:t>10万次/年。质控业务方面开展室间质控项目1000项以上，每年开展质量控制活动6次以上、累计收取业务数据超过600万条/年，每年生成报表不低于20万份，大数据数据归集年共享数据不低于5万条。</w:t>
      </w:r>
    </w:p>
    <w:p w14:paraId="0D63ED36">
      <w:pPr>
        <w:rPr>
          <w:bCs/>
          <w:color w:val="000000"/>
        </w:rPr>
      </w:pPr>
      <w:r>
        <w:rPr>
          <w:bCs/>
          <w:color w:val="000000"/>
        </w:rPr>
        <w:t>2、技术绩效考核目标</w:t>
      </w:r>
    </w:p>
    <w:p w14:paraId="65076CEF">
      <w:pPr>
        <w:rPr>
          <w:bCs/>
          <w:color w:val="000000"/>
        </w:rPr>
      </w:pPr>
      <w:r>
        <w:rPr>
          <w:rFonts w:hint="eastAsia"/>
          <w:bCs/>
          <w:color w:val="000000"/>
        </w:rPr>
        <w:t>系统功能完整度</w:t>
      </w:r>
      <w:r>
        <w:rPr>
          <w:bCs/>
          <w:color w:val="000000"/>
        </w:rPr>
        <w:t>100%，设计架构符合先进性与实用性原则、标准化与开放性原则、安全性与可靠性及保密性原则、兼容性与共享性原则、完整性与实时性原则、可维护性与可扩展性原则、经济性原则。</w:t>
      </w:r>
    </w:p>
    <w:p w14:paraId="36295E04">
      <w:pPr>
        <w:rPr>
          <w:bCs/>
          <w:color w:val="000000"/>
        </w:rPr>
      </w:pPr>
      <w:r>
        <w:rPr>
          <w:rFonts w:hint="eastAsia"/>
          <w:bCs/>
          <w:color w:val="000000"/>
        </w:rPr>
        <w:t>项目的实施过程符合相关管理规定，并且遵守相关法律法规。在项目管理过程中，项目调整及支出调整手续完备；项目合同书、验收报告等齐全并及时归档；过程中，项目实施的人员条件及管理、场地设备、信息支撑均落实到位。</w:t>
      </w:r>
    </w:p>
    <w:p w14:paraId="14ED1B5F">
      <w:pPr>
        <w:rPr>
          <w:bCs/>
        </w:rPr>
      </w:pPr>
    </w:p>
    <w:p w14:paraId="295FA3D4">
      <w:pPr>
        <w:pStyle w:val="2"/>
      </w:pPr>
      <w:bookmarkStart w:id="11" w:name="_Toc47536676"/>
      <w:bookmarkEnd w:id="11"/>
      <w:bookmarkStart w:id="12" w:name="_Toc47533288"/>
      <w:bookmarkEnd w:id="12"/>
      <w:bookmarkStart w:id="13" w:name="_Toc47532923"/>
      <w:bookmarkEnd w:id="13"/>
      <w:bookmarkStart w:id="14" w:name="_Toc47537166"/>
      <w:bookmarkEnd w:id="14"/>
      <w:bookmarkStart w:id="15" w:name="_Toc47536304"/>
      <w:bookmarkEnd w:id="15"/>
      <w:bookmarkStart w:id="16" w:name="_Toc47539102"/>
      <w:bookmarkEnd w:id="16"/>
      <w:r>
        <w:rPr>
          <w:rFonts w:hint="eastAsia"/>
        </w:rPr>
        <w:t>项目建设内容</w:t>
      </w:r>
    </w:p>
    <w:p w14:paraId="04E0FCD7">
      <w:r>
        <w:rPr>
          <w:rFonts w:hint="eastAsia"/>
        </w:rPr>
        <w:t>本项目技术框架采用开放开源自主可控的组件，软件体系采用了松耦合、服务可复用的</w:t>
      </w:r>
      <w:r>
        <w:t>SOA架构；未来进行功能升级时不需要修改技术框架，只需增加应用功能即可在原有技术框架上进行升级。</w:t>
      </w:r>
    </w:p>
    <w:p w14:paraId="414DB795">
      <w:r>
        <w:rPr>
          <w:rFonts w:hint="eastAsia"/>
        </w:rPr>
        <w:t>本项目涉及的技术复杂，需要根据不同的建设内容，选择合适的技术策略。技术路线的确定以实现系统相关功能为目标，充分利用元数据管理、数据挖掘、室间质量控制分析等技术，进行系统的规划设计。</w:t>
      </w:r>
    </w:p>
    <w:p w14:paraId="4381AED1">
      <w:r>
        <w:rPr>
          <w:rFonts w:hint="eastAsia"/>
        </w:rPr>
        <w:t>本系统实施升级改造期间，原有功能需保持正常使用。</w:t>
      </w:r>
    </w:p>
    <w:p w14:paraId="3B4E1054">
      <w:r>
        <w:rPr>
          <w:rFonts w:hint="eastAsia"/>
        </w:rPr>
        <w:t>本系统应支持</w:t>
      </w:r>
      <w:r>
        <w:t>Chrome或Firefox等至少两种主流浏览器版本的正常访问。</w:t>
      </w:r>
    </w:p>
    <w:p w14:paraId="6F279EA6">
      <w:r>
        <w:rPr>
          <w:rFonts w:hint="eastAsia"/>
        </w:rPr>
        <w:t>本系统软件性能要求如下：</w:t>
      </w:r>
    </w:p>
    <w:p w14:paraId="7891243B">
      <w:r>
        <w:rPr>
          <w:rFonts w:hint="eastAsia"/>
        </w:rPr>
        <w:t>系统应支持至少</w:t>
      </w:r>
      <w:r>
        <w:t>2000用户的同时在线</w:t>
      </w:r>
    </w:p>
    <w:p w14:paraId="363B6636">
      <w:r>
        <w:rPr>
          <w:rFonts w:hint="eastAsia"/>
        </w:rPr>
        <w:t>系统应支持至少</w:t>
      </w:r>
      <w:r>
        <w:t>300用户并发操作</w:t>
      </w:r>
    </w:p>
    <w:p w14:paraId="373709F8">
      <w:r>
        <w:rPr>
          <w:rFonts w:hint="eastAsia"/>
        </w:rPr>
        <w:t>系统最大单表记录数至少支持</w:t>
      </w:r>
      <w:r>
        <w:t>1000万条</w:t>
      </w:r>
    </w:p>
    <w:p w14:paraId="2FB7F019">
      <w:r>
        <w:rPr>
          <w:rFonts w:hint="eastAsia"/>
        </w:rPr>
        <w:t>结构化性数据保存、修改、删除等操作的相应反馈速度最大不应超过</w:t>
      </w:r>
      <w:r>
        <w:t>2秒。</w:t>
      </w:r>
    </w:p>
    <w:p w14:paraId="42C10A9A">
      <w:r>
        <w:rPr>
          <w:rFonts w:hint="eastAsia"/>
        </w:rPr>
        <w:t>一般</w:t>
      </w:r>
      <w:r>
        <w:t>1万条数据的简单查询及统计不应超过1秒。复杂综合性跨模块查询及统计不应超过1分钟。</w:t>
      </w:r>
    </w:p>
    <w:p w14:paraId="1BB6C8B8">
      <w:pPr>
        <w:rPr>
          <w:rFonts w:hint="eastAsia"/>
        </w:rPr>
      </w:pPr>
      <w:r>
        <w:rPr>
          <w:rFonts w:hint="eastAsia"/>
        </w:rPr>
        <w:t>根据项目批复，系统改造与新建内容如下：</w:t>
      </w:r>
    </w:p>
    <w:p w14:paraId="6308FE2A">
      <w:pPr>
        <w:ind w:firstLine="482"/>
        <w:rPr>
          <w:b/>
        </w:rPr>
      </w:pPr>
      <w:r>
        <w:rPr>
          <w:rFonts w:hint="eastAsia"/>
          <w:b/>
        </w:rPr>
        <w:t>1、软件开发清单：</w:t>
      </w:r>
    </w:p>
    <w:tbl>
      <w:tblPr>
        <w:tblStyle w:val="6"/>
        <w:tblW w:w="5122" w:type="pct"/>
        <w:jc w:val="center"/>
        <w:tblLayout w:type="fixed"/>
        <w:tblCellMar>
          <w:top w:w="0" w:type="dxa"/>
          <w:left w:w="108" w:type="dxa"/>
          <w:bottom w:w="0" w:type="dxa"/>
          <w:right w:w="108" w:type="dxa"/>
        </w:tblCellMar>
      </w:tblPr>
      <w:tblGrid>
        <w:gridCol w:w="657"/>
        <w:gridCol w:w="1043"/>
        <w:gridCol w:w="1062"/>
        <w:gridCol w:w="5974"/>
      </w:tblGrid>
      <w:tr w14:paraId="17D6669D">
        <w:tblPrEx>
          <w:tblCellMar>
            <w:top w:w="0" w:type="dxa"/>
            <w:left w:w="108" w:type="dxa"/>
            <w:bottom w:w="0" w:type="dxa"/>
            <w:right w:w="108" w:type="dxa"/>
          </w:tblCellMar>
        </w:tblPrEx>
        <w:trPr>
          <w:trHeight w:val="270" w:hRule="atLeast"/>
          <w:jc w:val="center"/>
        </w:trPr>
        <w:tc>
          <w:tcPr>
            <w:tcW w:w="37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20AA792B">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序号</w:t>
            </w:r>
          </w:p>
        </w:tc>
        <w:tc>
          <w:tcPr>
            <w:tcW w:w="597" w:type="pct"/>
            <w:tcBorders>
              <w:top w:val="single" w:color="auto" w:sz="4" w:space="0"/>
              <w:left w:val="nil"/>
              <w:bottom w:val="single" w:color="auto" w:sz="4" w:space="0"/>
              <w:right w:val="single" w:color="auto" w:sz="4" w:space="0"/>
            </w:tcBorders>
            <w:shd w:val="clear" w:color="000000" w:fill="F3F8FC"/>
            <w:noWrap/>
            <w:vAlign w:val="center"/>
          </w:tcPr>
          <w:p w14:paraId="0983E23F">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应用系统名称</w:t>
            </w:r>
          </w:p>
        </w:tc>
        <w:tc>
          <w:tcPr>
            <w:tcW w:w="608" w:type="pct"/>
            <w:tcBorders>
              <w:top w:val="single" w:color="auto" w:sz="4" w:space="0"/>
              <w:left w:val="nil"/>
              <w:bottom w:val="single" w:color="auto" w:sz="4" w:space="0"/>
              <w:right w:val="single" w:color="auto" w:sz="4" w:space="0"/>
            </w:tcBorders>
            <w:shd w:val="clear" w:color="000000" w:fill="F3F8FC"/>
            <w:noWrap/>
            <w:vAlign w:val="center"/>
          </w:tcPr>
          <w:p w14:paraId="30BC731E">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模块名称</w:t>
            </w:r>
          </w:p>
        </w:tc>
        <w:tc>
          <w:tcPr>
            <w:tcW w:w="3419" w:type="pct"/>
            <w:tcBorders>
              <w:top w:val="single" w:color="auto" w:sz="4" w:space="0"/>
              <w:left w:val="nil"/>
              <w:bottom w:val="single" w:color="auto" w:sz="4" w:space="0"/>
              <w:right w:val="single" w:color="auto" w:sz="4" w:space="0"/>
            </w:tcBorders>
            <w:shd w:val="clear" w:color="000000" w:fill="F3F8FC"/>
          </w:tcPr>
          <w:p w14:paraId="5F54221C">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模块描述</w:t>
            </w:r>
          </w:p>
        </w:tc>
      </w:tr>
      <w:tr w14:paraId="6BBA9152">
        <w:tblPrEx>
          <w:tblCellMar>
            <w:top w:w="0" w:type="dxa"/>
            <w:left w:w="108" w:type="dxa"/>
            <w:bottom w:w="0" w:type="dxa"/>
            <w:right w:w="108" w:type="dxa"/>
          </w:tblCellMar>
        </w:tblPrEx>
        <w:trPr>
          <w:trHeight w:val="114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0E112BC">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FF255C5">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用户信息管理模块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90A4">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在线注册</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3B9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新增在线注册功能，原业务流程开启新账号由线下联系系统管理员后台建立账号，现改为用户自注册，支持用户在线提交证明文档（医疗机构许可证、营业执照或其他能够证明单位类型的资质文件）；用户填写其他配套信息如医院类型、医院级别、医务处联络人、科室联络人等信息后进行在线注册申请。</w:t>
            </w:r>
          </w:p>
        </w:tc>
      </w:tr>
      <w:tr w14:paraId="1FE774FE">
        <w:tblPrEx>
          <w:tblCellMar>
            <w:top w:w="0" w:type="dxa"/>
            <w:left w:w="108" w:type="dxa"/>
            <w:bottom w:w="0" w:type="dxa"/>
            <w:right w:w="108" w:type="dxa"/>
          </w:tblCellMar>
        </w:tblPrEx>
        <w:trPr>
          <w:trHeight w:val="114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177A2B6">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E0578D5">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用户信息管理模块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E9B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登录</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4E95">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新增登录功能，从原有的一家医院为角色的登录模式修改为一家医院对应多个科室的以科室为单位的登录模式；增加登录验证码、提供登录安全性。</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展示科室列表时，可根据后台配置状态，提示用户（已关停）、（已禁用）状态，以便用户了解自身已注册科室状态。</w:t>
            </w:r>
          </w:p>
        </w:tc>
      </w:tr>
      <w:tr w14:paraId="1DEE079A">
        <w:tblPrEx>
          <w:tblCellMar>
            <w:top w:w="0" w:type="dxa"/>
            <w:left w:w="108" w:type="dxa"/>
            <w:bottom w:w="0" w:type="dxa"/>
            <w:right w:w="108" w:type="dxa"/>
          </w:tblCellMar>
        </w:tblPrEx>
        <w:trPr>
          <w:trHeight w:val="114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62C25F2">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2C342B6">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用户信息管理模块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BBB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密码重置</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C2A5">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新增密码重置功能，原业务流程重置密码由线下联系系统管理员后台重置，现改为用户在线自行重置，通过邮件与短信两种途径，自动发动验证码后提供用户自行在线重置密码的功能。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如用户已登录信息不全，如缺失手机或缺失电子邮箱等情况无法发送验证码，提供用户用户找回文档下载并指导用户盖章寄送至中心审阅后，进行后台手工密码重置。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密码重置过程，需符合密码复杂度规则校验（8位以上长度、英文和数字混合应用），后台手工重置过程中采用强制密码规则进行自动重置（随机英文数字4位+医院编号+科室编号）。</w:t>
            </w:r>
          </w:p>
        </w:tc>
      </w:tr>
      <w:tr w14:paraId="79267535">
        <w:tblPrEx>
          <w:tblCellMar>
            <w:top w:w="0" w:type="dxa"/>
            <w:left w:w="108" w:type="dxa"/>
            <w:bottom w:w="0" w:type="dxa"/>
            <w:right w:w="108" w:type="dxa"/>
          </w:tblCellMar>
        </w:tblPrEx>
        <w:trPr>
          <w:trHeight w:val="114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077A147">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95EFB7D">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用户信息管理模块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738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医院科室资料维护</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BE44">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对原医院科室资料维护功能进行升级开发，支持登陆网上申报系统后可以修改本单位及科室基础资料。</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修改过程中，医院名称无法进行修改，同时需校验修改的手机号码与电子邮件地址是否符合各种逻辑标准（如手机号码需11位等）。</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因存在业务逻辑升级，针对历史用户，系统需进行自动校验逻辑，如登录用户自动判断是否已上传过医院资质证明文件。如未上传后，弹出提示用户进行上传资质文件。但为不影响用户业务，用户点击确定后，可以关闭当前提示，但每次登录后，均会提示用户进行上传。</w:t>
            </w:r>
          </w:p>
        </w:tc>
      </w:tr>
      <w:tr w14:paraId="30E6A986">
        <w:tblPrEx>
          <w:tblCellMar>
            <w:top w:w="0" w:type="dxa"/>
            <w:left w:w="108" w:type="dxa"/>
            <w:bottom w:w="0" w:type="dxa"/>
            <w:right w:w="108" w:type="dxa"/>
          </w:tblCellMar>
        </w:tblPrEx>
        <w:trPr>
          <w:trHeight w:val="114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F7EACD7">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CE666C8">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用户信息管理模块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8AA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自动通知设置</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D725">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对自动通知设置功能进行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改造（2022年批复，工作量1人·月），可配置是否接受邮件/短信通知 根据类别配置接受通知的消息类型</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后台管理员可根据已内置的业务类型，分别独立设置不同业务下，是否发送短信及邮件的开关，开关启用后实时起效。</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相关通知内容，需有日志记录模块，用以后台管理员进行发送情况的简单查阅。</w:t>
            </w:r>
          </w:p>
        </w:tc>
      </w:tr>
      <w:tr w14:paraId="02726391">
        <w:tblPrEx>
          <w:tblCellMar>
            <w:top w:w="0" w:type="dxa"/>
            <w:left w:w="108" w:type="dxa"/>
            <w:bottom w:w="0" w:type="dxa"/>
            <w:right w:w="108" w:type="dxa"/>
          </w:tblCellMar>
        </w:tblPrEx>
        <w:trPr>
          <w:trHeight w:val="29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AE5E6D4">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221F566">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通知管理模块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7E38">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信息公示</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FF7059A">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新增信息公示功能，支持质控计划申报或在线培训方面的重要通知公告在网站上进行发布，支持对发布信息进行增删改查等管理动作。</w:t>
            </w:r>
          </w:p>
        </w:tc>
      </w:tr>
      <w:tr w14:paraId="01951E66">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DB23845">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521542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通知管理模块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06B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整改报告公示</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251E03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新增整改报告的公示功能，根据后台发布的整改要求，进行整改告知及并提供整改报告文件。</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针对报告发布管理员需提供报告文件包上传功能，管理员只需将报告打包为ZIP压缩包通过后台上传至系统，系统支持自动解压缩，并根据文件名匹配至系统内医院编号。匹配成功则自动计入一条整改通知，并于前台自动展示相关内容。</w:t>
            </w:r>
          </w:p>
        </w:tc>
      </w:tr>
      <w:tr w14:paraId="31F7BC63">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A209AC3">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76521A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通知管理模块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4D4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欠费通知</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828AFE8">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新增欠费通知功能，根据后台定义的欠费情况登记、进行欠费情况的通知及自动生成催款通知单。</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管理员可针对指定的订购计划结合财务的收款登记情况进行扫描，统计费用未缴清的医院欠费清单。欠费医院直接联动前台欠费通知，支持根据中心模板自动生成缴费通知单。用户可于通知栏目内知晓本科室的欠费情况。</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该欠费清单可后台进行二次处理，管理员可进行删除名单操作。该通知内欠费还需联动报告下载模块，如出现欠费，则不允许下载欠费年度的一切回报报告。</w:t>
            </w:r>
          </w:p>
        </w:tc>
      </w:tr>
      <w:tr w14:paraId="76B5887F">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A707A9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8A9834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质控计划申请及申购模块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5AC4">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计划选择</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C296577">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对原计划选择功能进行升级开发，支持根据中心端设定的年度、年中、季度计划来选择需要执行的质控计划。</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计划内需直观显示计划名称、计划开始时间、结束时间、用户该计划得提交情况等信息以便用户进行选择。</w:t>
            </w:r>
          </w:p>
        </w:tc>
      </w:tr>
      <w:tr w14:paraId="261AAE0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D8DFE5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DA391A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质控计划申请及申购模块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B45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计划申报（室内、室间）</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3F186E0">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计划申报功能进行升级开发，支持按计划对室间质评项目和室内质控品需求进行网上申报；新增质控品信息说明、ISO服务类型说明、费用实时结算、超时未保存自动清理、清理后数据辅助填入等5项新功能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1：新增质控品信息说明，针对在列表中得质控品提供说明信息展示，以便用户了解质控品的特性以更好的选择合适的质控品。</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2：根据后台对于室间计划的ISO标志，于用户选择时进行蓝色粗体展示，以便用户了解参与的室间计划的标准类型。</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3：费用实时结算，于用户进行选择完成后，即刻根据用户的角色类型，预先计算总费用计算及订购项目结算，以防漏订少订情况的发生。</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超时删除+辅助补填机制：因用户计划申报存在需二次确认的业务流程，由于非常多的用户仅进行保存流程，而不进行二次确定，造成中心后台管理员在时限范围内无法准确预估订购量的情况，故需要新增定时删除+辅助补充填报机制。</w:t>
            </w:r>
          </w:p>
        </w:tc>
      </w:tr>
      <w:tr w14:paraId="25D04F53">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C8DF1F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940671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质控计划申请及申购模块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FCF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报表下载打印</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6D81297">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对原计划申报功能进行升级开发，支持对各医疗机构所申请的的室间质评项目和质控品费用清单进行下载打印；根据业务要求，针对本市医院新增标准合同文档自动生成及在线下载功能。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可自动根据不同的申请内容、金额、申请内容清单、计划年份、计划名称、用户信息等内容，结合合同由中心提供的经法务审核后的PDF模板文件，将信息自动嵌入模板PDF的相应位置，并需保证文字内容的清晰性及准确定。同时生成标准合同文件以供用户下载，合同生成完后不再次变更，以防合同模板调整后的历史文档也造成影响。</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后台管理员可通过手工删除指定文件的方式，触发合同文档的重新自动生成。</w:t>
            </w:r>
          </w:p>
        </w:tc>
      </w:tr>
      <w:tr w14:paraId="4C1CDEFE">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EEEFBB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10B4F5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质控计划申请及申购模块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297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“营改增”处理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D130ED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对原“营改增”处理功能进行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改造（2017年批复，工作量2人·月），支持医院选择“普通发票”及“增值税发票”，同时对选择使用“增值税发票”的医院进行税务信息登记、审核、发票存放处理及后台的查询审核功能。</w:t>
            </w:r>
          </w:p>
        </w:tc>
      </w:tr>
      <w:tr w14:paraId="1C6AA40E">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029A62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BF044A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质控计划申请及申购模块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6D4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历史申请情况下载</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434E8C3">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新增历史申请情况下载功能，提供用户对已经关闭的计划进行历史合同文档或历史申请确认表文件的下载；提供已经关闭的室间质评活动中的历史数据确认表的浏览于查询。</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需提供独立的入口模块，与计划申请模块区分。默认仅提供一年以内的申请计划内容查看。用户也可根据日期选择控件进行筛选。系统根据各个计划的类型及登录医院的角色类型，展示确认单或合同文件并提供下载链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针对合同文件，系统还需提供后台合同流转状态的查询，根据后台流转及登记情况的不同，区分为未收件、已收件、已送审、已盖章、已寄回等几种状态。</w:t>
            </w:r>
          </w:p>
        </w:tc>
      </w:tr>
      <w:tr w14:paraId="6E52DE8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9A4D2C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C1D680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质控计划申请及申购模块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F1D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反确认在线申请</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9B0F23B">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新增反确认在线申请功能，原有计划申请中、用户确认锁定后，如需解锁重新申请。需线下联系中心管理部分，后台手工解锁。现增加在线反确认申请，直接在线审核处理。</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用户可通过系统中的反确认申请连接，通过填写联系人、联络方式、反确认原因等信息，进行反确认申请。后台管理员可直接于后台相应模块中实时浏览申请并通过许可/否决按钮进行一键操作。</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在线反确认申请均需留下相关日志、如申请人、申请原因、审批人、审批结果、审批时间以防出现纠纷时查阅。</w:t>
            </w:r>
          </w:p>
        </w:tc>
      </w:tr>
      <w:tr w14:paraId="7823B2C2">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E31AA1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4DEF73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CD75">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数据采集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DF9B934">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对原“数据采集功能进</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改造（2022年批复，工作量1人·月），移增加位点是否允许测试和结果报告文件上传2项功能点。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 目前业务流程，本次改造一并进行合理规划。</w:t>
            </w:r>
          </w:p>
        </w:tc>
      </w:tr>
      <w:tr w14:paraId="68488295">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865388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A8EF08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C72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培训功能</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F3D883F">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对原培训功能进行升级开发及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改造，支持血涂片质量及染色评价、白细胞外周血涂片计数、血小板数量估计及形态观察、寄生虫识别、诊断结果方面的判断依据分析；原有的以个人为角色的考核模式改为统一的以单位为角色的考试模式。</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原有软件功能内，如进行切片图像的展示、切片图像的标注、在线生成样本、用户进行图像结果的提示及回答等业务核心功能均按最新业务标准优化。</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部分重复的业务场景、通过改造融合，如培训样本和现有系统的质评样本进行整合。原独立类型的细胞形态信息与现有系统中的细胞形态信息进行整合。评分过程进行整合并采用统一的结果得分标准格式进行输出。培训内容专业等信息与现有系统中的培训内容及专业信息进行整合。</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 目前业务流程，本次改造一并进行合理规划。</w:t>
            </w:r>
          </w:p>
        </w:tc>
      </w:tr>
      <w:tr w14:paraId="2B6B36C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4C7F69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19613D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C34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实验室检测结果在线填报</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680BD6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新增实验室检测结果在线填报功能，支持普通数据上报模式，支持定量、定性项目的数据上报；支持微生物细菌鉴定及药敏模式；支持正确度验证模式；支持用户锁定已提交数据。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1：普通数据上报模式，支持定量、定性项目的数据上报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应用于对普通检测仪器的结果内容上报模块，支持数值型，或者文本型结果内容（例：设备可直接输出数值型或文本型结果的均可在该模块下进行填报）。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数值型结果需根据后台设置进行自动小数位数的约位处理、文本型结果可由后台管理员自定义选择清单后，于清单范围内进行选择填报。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2：微生物细菌鉴定及药敏模式：</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应用于微生物学科下的鉴定+药敏双业务系统的结果内容上报模块。后台管理员可指定样本是否检测药敏。如无需检测药敏，则系统仅要求用户进行微生物鉴定的结果填报。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鉴定结果需支持复合菌填报，既一个样本中可能存在多个检测结果的情况。</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如后台用户指定需进行药敏检测，系统根据用户提交的鉴定结果，自动跳转至药敏结果回报页面，用户于该界面进行药敏结果的填写。</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药敏结果可支持套餐填写等辅助填写模式，如出现后台表型检测清单中出现的表型检测，自动展示可供提交的表型并提示用户进行表型结果的填报。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3：正确度验证模式：</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应用于正确度验证计划下的结果内容上报模式、业务类型与普通业务类型类似，但仅限于定量数据的提交。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后台用户通过设定X天X次的样本属性，由前台自动进行填报组织转换，提示用户需进行X天X次的测试，并将每次的检测结果，填写入相应的表格内容中。</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后台需支持自动取均值，进行数据计算的业务流程。取均值的过程中，原有的业务数据需进行保留以备查验。</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4：细胞形态学模式：</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应用于形态学识别方面的，针对于图像识别的结果内容提交。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后台管理员通过在样本下上传图片，用户进行图片阅读后在提供的答案清单中，进行结果内容回答的业务模式。</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符合该业务形态的，均可通过该模块进行数据填报，不仅限于临检细胞形态，微生物等需要图片识别的业务均可采用该模块进行业务数据上报。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填报过程，需对用户的填报过程提供各类辅助自动化处理，如自动填充设备清单、如读取上一次填充的辅助内容等工作。</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后台管理员可对填报过程进行各种后台约束、如必填项目、如结果允许范围、如参数一致性约束等。</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所有填报业务下，均需支持用户锁定已提交数据。如用户已锁定数据，则可支持打印数据确认表。</w:t>
            </w:r>
          </w:p>
        </w:tc>
      </w:tr>
      <w:tr w14:paraId="09DB19F5">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C430AD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5A1253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35A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实验室填报结果确认表</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9A7259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新增实验室填报结果确认表功能，生成已填写结果的数据确认表，支持预览和下载供医院备份。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结果确认表中需明确展示用户参与的活动名称、用户医院名称、用户质控编号、用户科室名称。并以表格形式，对用户已经填写的核心内容进行展示，如各样本下的测试项目的结果、药敏结果、形态识别的结果等信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确认表最后部分需对用户历史填报的次数和时间进行展示，以提供用户对于历史填报情况的查询。</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该确认表仅以在线形式展示，无需进行PDF导出。</w:t>
            </w:r>
          </w:p>
        </w:tc>
      </w:tr>
      <w:tr w14:paraId="26D54C74">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F32849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1</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3647D5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E4E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实验室检测数据重置</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E653F4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新增实验室检测数据重置功能，支持用户自行重置所有已提交检测数据并清理提交痕迹。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如用户出现误交等情况，可通过一键重置的功能，自动将当前业务完全还原回未提交的状态。联动后台业务系统，自动删除数据库中的已入库数据。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数据重置过程，均留下业务记录，以备查验。</w:t>
            </w:r>
          </w:p>
        </w:tc>
      </w:tr>
      <w:tr w14:paraId="392D1042">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947185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A18CBA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281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在线数据解锁申请</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6B11759">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新增在线申请数据解锁功能，用户可自行进行申请，由后台审核执行数据在线解锁。</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可通过点击数据已确认链接，通过填写联系人、联系电话、结果原因等信息后进行在线数据解锁申请。后台管理员可于系统中实时查阅业务数据结果申请，并选择通过/不通过的方式进行审核。如确认通过则自动解锁用户前台数据，用户可自行修改。</w:t>
            </w:r>
          </w:p>
        </w:tc>
      </w:tr>
      <w:tr w14:paraId="1A4A7B7D">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288FD6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61EF1B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1D1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不参与测试情况登记</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BA7E37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新增不参与测试情况登记功能，登记用户因特殊原因无法参加室间质控活动的情况说明。如未完整登记不开展情况，无法下载室间质评报告。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需增加用户不参与室间质评活动的登记机制，原先流程下，用户不申请了室间质评后，如不参与，放弃填写数据即可。现在需要针对于这部分用户，建立用户不参与登记机制，说明不参与原因，用以为后续实验室督察活动，提供检查依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系统提供主动登记和被动登记两个环节，用户可在中心开展室间质评的数据上报过程中，进行不参与填写。</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如不进行填写，系统将在用户进行相关报告下载，相关能力验证报告下载的业务环节中，要求用户一次性补齐已申请但未参与数据提交的原因。</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用户提交的原因，将联动显示于业务功能中的“未提交医院清单”中的原因显示，以供后台管理人员进行管理。</w:t>
            </w:r>
          </w:p>
        </w:tc>
      </w:tr>
      <w:tr w14:paraId="1F784CD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676E97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A31976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室间质量评价活动模块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D5B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辅助输入及信息辅助展示</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980D443">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辅助输入及信息辅助展示功能，在计划填写界面新增各项信息展示，为用户上报提供辅助支持，包括计划结束时间展示、已完成填报项目数量展示、是否开展项目选择、科学计数法转换；支持按计划发布支持文档（如说明书、病例资料等）。</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围绕中心业务发展，需增加部分辅助性功能。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1：计划的开始时间和结束室间提示。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2：已完成填报的测试项目总数提示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3：新增是否开展项目的勾选功能，用以区分该项目在实验室中是无法开展，还是未开展。同时通过是否开展项目的勾选，可联动后台设定关联项目开展锁定，既开展A项目测试，必</w:t>
            </w:r>
            <w:r>
              <w:rPr>
                <w:rFonts w:hint="eastAsia" w:ascii="Tahoma" w:hAnsi="Tahoma" w:cs="Tahoma"/>
                <w:color w:val="000000"/>
                <w:kern w:val="0"/>
                <w:sz w:val="22"/>
                <w:szCs w:val="22"/>
                <w:lang w:eastAsia="zh-CN"/>
              </w:rPr>
              <w:t>需</w:t>
            </w:r>
            <w:r>
              <w:rPr>
                <w:rFonts w:hint="eastAsia" w:ascii="Tahoma" w:hAnsi="Tahoma" w:cs="Tahoma"/>
                <w:color w:val="000000"/>
                <w:kern w:val="0"/>
                <w:sz w:val="22"/>
                <w:szCs w:val="22"/>
              </w:rPr>
              <w:t>填写B项目的结果，否则无法提交。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4：科学计数法前台和后台转换。前台通过用户是否输入E来实现LOG10的科学计数法前台换算。后台可设置项目转换类型，用户数据提交完成时，自动进行科学计数法转换。两种转换方式可由用户自行设定。</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5：发布说明书或病人资料文档，可通过后台上传样本测试说明书的电子文档，或上传病人情况一览，有助于实验室更好的对室间质评结果提交内容进行辅助确认</w:t>
            </w:r>
          </w:p>
        </w:tc>
      </w:tr>
      <w:tr w14:paraId="569B3E1B">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522375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F603479">
            <w:pPr>
              <w:widowControl/>
              <w:spacing w:line="240" w:lineRule="auto"/>
              <w:ind w:firstLine="0" w:firstLineChars="0"/>
              <w:jc w:val="center"/>
              <w:rPr>
                <w:rFonts w:hint="eastAsia" w:ascii="Tahoma" w:hAnsi="Tahoma" w:cs="Tahoma"/>
                <w:color w:val="000000"/>
                <w:kern w:val="0"/>
                <w:sz w:val="22"/>
                <w:szCs w:val="22"/>
              </w:rPr>
            </w:pPr>
            <w:r>
              <w:rPr>
                <w:rFonts w:hint="eastAsia" w:ascii="仿宋" w:hAnsi="仿宋" w:eastAsia="仿宋" w:cs="宋体"/>
                <w:kern w:val="0"/>
              </w:rPr>
              <w:t>质控结果查询模块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B120">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质控结果查询</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6295820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对原质控结果查询功能进行升级开发，支持医疗机构对中心审核过的各类质控结果进行查询。</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系统可于专门的业务模块中，进行质控结果的批量查询，系统根据用户参与的业务活动清单，整体展示结果情况并提供相关报告的下载。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 目前业务流程，本次改造一并进行合理规划。</w:t>
            </w:r>
          </w:p>
        </w:tc>
      </w:tr>
      <w:tr w14:paraId="7D297302">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067650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B6CCE4F">
            <w:pPr>
              <w:widowControl/>
              <w:spacing w:line="240" w:lineRule="auto"/>
              <w:ind w:firstLine="0" w:firstLineChars="0"/>
              <w:jc w:val="center"/>
              <w:rPr>
                <w:rFonts w:hint="eastAsia" w:ascii="Tahoma" w:hAnsi="Tahoma" w:cs="Tahoma"/>
                <w:color w:val="000000"/>
                <w:kern w:val="0"/>
                <w:sz w:val="22"/>
                <w:szCs w:val="22"/>
              </w:rPr>
            </w:pPr>
            <w:r>
              <w:rPr>
                <w:rFonts w:hint="eastAsia" w:ascii="仿宋" w:hAnsi="仿宋" w:eastAsia="仿宋" w:cs="宋体"/>
                <w:kern w:val="0"/>
              </w:rPr>
              <w:t>质控结果查询模块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5F1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质控结果反馈</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7EC3D63">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对原质控结果反馈功能进行升级开发及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改造，支持将质控结果进行发布，医疗机构登陆后可以查询下载结果</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 目前业务流程，本次改造一并进行合理规划。</w:t>
            </w:r>
          </w:p>
        </w:tc>
      </w:tr>
      <w:tr w14:paraId="0D08D38B">
        <w:tblPrEx>
          <w:tblCellMar>
            <w:top w:w="0" w:type="dxa"/>
            <w:left w:w="108" w:type="dxa"/>
            <w:bottom w:w="0" w:type="dxa"/>
            <w:right w:w="108" w:type="dxa"/>
          </w:tblCellMar>
        </w:tblPrEx>
        <w:trPr>
          <w:trHeight w:val="402"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B35A63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1A409E9">
            <w:pPr>
              <w:widowControl/>
              <w:spacing w:line="240" w:lineRule="auto"/>
              <w:ind w:firstLine="0" w:firstLineChars="0"/>
              <w:jc w:val="center"/>
              <w:rPr>
                <w:rFonts w:hint="eastAsia" w:ascii="Tahoma" w:hAnsi="Tahoma" w:cs="Tahoma"/>
                <w:color w:val="000000"/>
                <w:kern w:val="0"/>
                <w:sz w:val="22"/>
                <w:szCs w:val="22"/>
              </w:rPr>
            </w:pPr>
            <w:r>
              <w:rPr>
                <w:rFonts w:hint="eastAsia" w:ascii="仿宋" w:hAnsi="仿宋" w:eastAsia="仿宋" w:cs="宋体"/>
                <w:kern w:val="0"/>
              </w:rPr>
              <w:t>质控结果查询模块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5F0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质控活动统计反馈</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FA65642">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新增质控活动统计反馈功能，参考国家卫生部质控活动统计反馈内容，将本次活动内的所有数据，根据仪器、试剂、方法学的不同。进行分类统计与展示。该业务活动中的分类为强制分类统计。</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参考卫生部临检中心的相关板块，对全局大数据进行分类分析后的数据展示服务。</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按仪器、试剂、方法学分类展示，本模块统计融合在室间质评活动的分析下，用户无需进行任何操作，在对室间质评计划成绩进行打分时，自动按室间约定好的各个分类进行自动运算，并保存。</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医院用户与前台相关模块中，即可对指定活动下的各种统计信息进行浏览分析，系统支持统计数据导出为EXCEL文件留档。</w:t>
            </w:r>
          </w:p>
        </w:tc>
      </w:tr>
      <w:tr w14:paraId="4BC553A7">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D15097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16C96BB">
            <w:pPr>
              <w:widowControl/>
              <w:spacing w:line="240" w:lineRule="auto"/>
              <w:ind w:firstLine="0" w:firstLineChars="0"/>
              <w:jc w:val="center"/>
              <w:rPr>
                <w:rFonts w:hint="eastAsia" w:ascii="Tahoma" w:hAnsi="Tahoma" w:cs="Tahoma"/>
                <w:color w:val="000000"/>
                <w:kern w:val="0"/>
                <w:sz w:val="22"/>
                <w:szCs w:val="22"/>
              </w:rPr>
            </w:pPr>
            <w:r>
              <w:rPr>
                <w:rFonts w:hint="eastAsia" w:ascii="仿宋" w:hAnsi="仿宋" w:eastAsia="仿宋" w:cs="宋体"/>
                <w:kern w:val="0"/>
              </w:rPr>
              <w:t>质控结果查询模块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0E9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样本发放查询</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58635E7">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新增样本发放查询功能，支持对室间质评活动的样本发放内容与数量、发放时间、发放人的情况查询。</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用户可针对收到的样本快递中的纸质单据，配合系统中的发样情况表进行比对，从而确认发样是否准确，是否存在漏发，少发等情况。</w:t>
            </w:r>
          </w:p>
        </w:tc>
      </w:tr>
      <w:tr w14:paraId="441A7C13">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68180E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FDC8CB8">
            <w:pPr>
              <w:widowControl/>
              <w:spacing w:line="240" w:lineRule="auto"/>
              <w:ind w:firstLine="0" w:firstLineChars="0"/>
              <w:jc w:val="center"/>
              <w:rPr>
                <w:rFonts w:hint="eastAsia" w:ascii="Tahoma" w:hAnsi="Tahoma" w:cs="Tahoma"/>
                <w:color w:val="000000"/>
                <w:kern w:val="0"/>
                <w:sz w:val="22"/>
                <w:szCs w:val="22"/>
              </w:rPr>
            </w:pPr>
            <w:r>
              <w:rPr>
                <w:rFonts w:hint="eastAsia" w:ascii="仿宋" w:hAnsi="仿宋" w:eastAsia="仿宋" w:cs="宋体"/>
                <w:kern w:val="0"/>
              </w:rPr>
              <w:t>质控结果查询模块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B73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其他报告反馈</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5F58555">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新增其他报告反馈功能，包括能力验证报告反馈、历史结果报告反馈、附属报告反馈、测量审核报告反馈和督察成绩报告反馈。</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1：历史情况报告需自动生成，具体内容为用户某一室间质评计划下，近三次的成绩汇总情况，报告模板请参阅：</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2：能力验证报告反馈，格式请参考中心标准能力验证报告。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3：订制化回报，即为专业科室发布的配套说明文件，无固定格式，由专业科室自行提供，软件仅提供上传接口即可。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4：督察报告内容：即后台手工上传的督察结果报告，类型区分为成绩报告与整改报告两类。同时提供上传整改措施文档接口。</w:t>
            </w:r>
          </w:p>
        </w:tc>
      </w:tr>
      <w:tr w14:paraId="6220B57D">
        <w:tblPrEx>
          <w:tblCellMar>
            <w:top w:w="0" w:type="dxa"/>
            <w:left w:w="108" w:type="dxa"/>
            <w:bottom w:w="0" w:type="dxa"/>
            <w:right w:w="108" w:type="dxa"/>
          </w:tblCellMar>
        </w:tblPrEx>
        <w:trPr>
          <w:trHeight w:val="142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B0F12C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5FF919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证书下载模块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3627">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证书及年终督查回报发布系统及其他专业回报表升级处理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6AB1D8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对原证书及年终督查回报发布系统及其他专业回报表升级处理功能进行升级开发及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改造，新增各医疗机构年度质控证书以及每年年终督查回报单的制作和发布功能；对室间质量评价医院回报单表进行优化处理，提供更详细的质量控制信息。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证书需根据当年的业务计划，进行自动生成。证书格式根据业务类型、分为普通证书和正确度验证证书两类。</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 目前业务流程，本次改造一并进行合理规划。</w:t>
            </w:r>
          </w:p>
        </w:tc>
      </w:tr>
      <w:tr w14:paraId="4C75E1B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5F8195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2</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BC8F52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证书下载模块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B01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时间戳不可否认性</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4C7AF84">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新增时间戳不可否认性功能，调用密码支撑平台提供的时间戳服务接口，实现系统内证书签发的不可否认性。</w:t>
            </w:r>
          </w:p>
        </w:tc>
      </w:tr>
      <w:tr w14:paraId="509A905D">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10F5A6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1ACEED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797E">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全年及年中计划维护</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6F46309">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对全年及年中计划维护功能进行升级开发及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对年度计划、计划科室、室间计划、室间小类计划、室内计划等计划设置；新增根据EXCEL文件导入设置、复制历史设置，计划新增收费时限、测试次数等属性，用以进行费用自动计算、原有的单一价格设定拆分为成本价+服务价模式。</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04FF5E55">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E9C106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BB827E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294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基础资料维护</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EF19AEA">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对基础资料维护功能进行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改造（2012年批复，工作量1.5人·月），支持对专业信息、室间质评项目、室内质控品、基本量编码、基本量设置、医院及科室信息、科室分组等基础资料的管理维护。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2DDE777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621438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A51436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C2A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数据字典</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4EF26FF">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对数据字典功能进行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改造（2012年批复，工作量0.5人·月），支持对系统中常用的、需要扩展的数据项进行统一管理。</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72552F96">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76383C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0B0BCB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C27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角色管理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B97DE2C">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新增角色管理功能，支持角色类别管理，新建、修改和删除角色，给角色分配用户等；新增用户密码重置机制，通过后台重置的用户密码，重新登陆后，将强制要求用户自行修改密码。</w:t>
            </w:r>
          </w:p>
        </w:tc>
      </w:tr>
      <w:tr w14:paraId="432B56B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EE3058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C43544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54C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组织机构管理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A0E5BFA">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对组织机构管理功能进行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改造（2012年批复，工作量0.5人·月），支持将对应的用户帐号增加到各个组织定义中，完成组织结构中领导和员工的定义。</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54D378B2">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07DC11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638CC0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181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权限管理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F1137F5">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对权限管理功能进行升级开发，支持给角色分配系统菜单、操作功能的权限，结合本次升级新增功能调整相应配置。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1ADA744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69807B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D0D756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D2E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归档与备份</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4B09263">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归档与备份功能，归档主要用于归档流程表单数据，备份指把系统产生的任务数据备份到其它表中，减少运行数据表的数据，提高系统效率；改造业务流程，由原先的合并库，改为拆分业务数据库的底层逻辑，默认采用分布式运行。同时增加业务数据库在线备份功能，可在线将指定业务库备份至服务器指定目录。</w:t>
            </w:r>
          </w:p>
        </w:tc>
      </w:tr>
      <w:tr w14:paraId="36E152B1">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281C5B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72337D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521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日志管理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8341DEF">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对日志管理功能进行升级开发及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改造，支持对系统产生的各类事件日志进行，包括：登陆日志、操作日志、异常日志等进行日志记录、日志查询、日志统计等；对本次升级新开发功能配置相应日志管理机制。</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原系统中2上模块中有这个功能，本次升级将合二为一。</w:t>
            </w:r>
          </w:p>
        </w:tc>
      </w:tr>
      <w:tr w14:paraId="4FA96DCC">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2F6DD1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446343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FBD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用户注册审核</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951319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新增用户注册审核功能，用户于前台提交的在线申请信息，通过后台人工对身份文件（如医疗执业许可证）进行预览后，确认审核并自动新建用户。</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提交注册信息后，需提交的身份证明文件（如医院及为医疗执业许可证，如公司则为营业执照）及其他各项信息（如级别、等别、类型等信息）。中心管理人员通过后台管理模块，进行人工审核。如审核通过，可自行设定用户编号，也可通过种子模式自动分配编号。 同时可追加配置配套用户参数。如用户类型等信息。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如审核不通过，可通过备注不通过原因，帮助用户修改注册信息后，以完成用户注册。</w:t>
            </w:r>
          </w:p>
        </w:tc>
      </w:tr>
      <w:tr w14:paraId="0FBB3FEB">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138607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3</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2E98E0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基础信息管理模块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F4B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重大变更审核</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2BB7F6E">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重大变更审核功能，如用户修改由中心定义为重大信息的（如：变更医院级别、变更医院类型等），需在用户进行自行信息更改的同时，提交相关的证明材料及文件。后台人员审阅后，确定修改或驳回修改。以确保用户信息中的重大信息不会随着用户的主观调整而任意变更。</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审批过程留下审批日志，审批内容、审批人、审批结论以备查验。</w:t>
            </w:r>
          </w:p>
        </w:tc>
      </w:tr>
      <w:tr w14:paraId="14B322A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41C864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33C2E7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4062">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计划申报审核</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2273A34">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对计划申报审核功能进行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改造（2012年批复，工作量2.5人·月），确认医疗机构所申请的室间质评项目和质控品费用清单。</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3E4882B9">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F808E5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BB7BAA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798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计划申报撤销</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6EA5E70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对计划申报撤销核功能进行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改造（2012年批复，工作量0.5人·月），对医疗机构申报错误的计划进行撤销操作，撤销退回后由医疗机构重新申报。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42F2AC99">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6B22C6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A1A0D7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764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质控查询统计</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13A41DC">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对质控查询统计功能进行升级开发，包括：费用统计报表、收费通知报表、财务明细报表、入库报表、出库报表、综合查询等查询统计功能。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2C990A45">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106439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04C805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B05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数据初步筛查</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6C1889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对数据初步筛查功能进行升级开发及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改造，将质控计划网上申报系统中设定的计划同步到中心已有的室内室间统计和质控程序；新增手工增加计划功能和基于EXCEL导入文件生成计划清单。</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0A69FE4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9379D8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B400AF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233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室内室间质控统计</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678F4F8F">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对室内室间质控统计功能进行升级开发及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改造，支持通过数据接口获取质控计划网上申报系统的室内室间质控统计数据；新增申报状态查询、订购数据导出为EXCEL文件、历年订购金额比对、历年订购情况比对等4个功能点。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1：申报状态查询表：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可查询所有用户的计划申请状态，已掌握用户的申请上报比例，根据实际情况可提早或延迟结束计划申请。</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2：订购数据导出为EXCEL文件表：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可支持将内容数据以指定格式批量导出，提供后续的数据处理及文档备份工作。</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3：历年订购金额比对表：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支持导出历年的各大学科下的订购金额数据变动表。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4：历年订购情况比对表：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支持导出历年的各大学科下的情况情况比对表，如订购数量、订购金额、订购单价，与前一年比较的订购浮亏情况。</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1D1E25E4">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20EC17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0D212C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3EF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物流费用管理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81CE05C">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新增物流费用管理功能，中心服务范围从上海向长三角乃至全国辐射，需要系统化的业务流程对样本的冷藏、冷冻物流费用进行管理登记。根据用户注册的地区结合申请计划的内容，向用户收取相关物流费用。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根据物流公司的物流费用标准，结合现有系统中的区域进行物流费用登记。费用含冷藏费和冷冻费两个类型。</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如登记了物流费用的医院，结合申请计划中的费用相关设置（如一年执行几次则收取几次费用）。根据医院登记的地址，自动执行物流费用计算，并计入费用总数中。</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用户可进行自提申请，自提申请不能影响已结算的物流费用，以防用户更改自提后导致的物流费用失效。</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物流费用在相关合同、确认表等文件中均需独立展示收费项目。</w:t>
            </w:r>
          </w:p>
        </w:tc>
      </w:tr>
      <w:tr w14:paraId="7F1BE160">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2E1D93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EB8A4B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ADC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合同流转登记</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E1B5F72">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新增流转登记功能，针对质控计划生成的PDF合同进行流程化管理，新增合同收到登记、合同转送登记、合同盖章登记、合同基础登记四个流程环节，在系统中登记管理。</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4个流程节点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1：中心收到合同文件后登记。</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2：核对内容无误、无漏页、无缺份后登记流转至办公室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3：办公室审阅后敲章完成、统计归档、寄回文档登记后流转至质控办公室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4：质控办公室快递寄出后登记。</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登记的流程节点，需反应在用户历史申请计划查询相关模块中，以提示用户合同流转状态。</w:t>
            </w:r>
          </w:p>
        </w:tc>
      </w:tr>
      <w:tr w14:paraId="05332B2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C64AF8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216E68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E07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库存数量管控及白名单</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621B0F5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新增库存数量管控及白名单功能，针对于质控计划中的样本新增库存数量约束，如订购量超过库存量，则提示无法继续订购；增加订购白名单，只允许白名单中的用户对质控计划进行数量增删改。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随着中心业务面不断扩展，大量非上海地区的医院及实验室用户也参与到了室间及室内质控品的申请计划中。原有的简单的订购模式，已不能满足于面向全国各地或各类型医院的申请需要，计划增加如下功能，已适应各个类型的用户的订购需求。</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1：订购量控制：可设定最大库存量，如计划下的订购量，超过的库存数量的化，则提示用户订购失败。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2：禁止订购开关：可通过后台指定用户的方式，禁止该用户订购室内质控品相关内容。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3：计划订购白名单：可通过设定白名单的方式，仅允许白名单中的用户订购该计划内的内容。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4：时效白名单：可通过设定白名单的方式，对白名单中的用户进行无时限性的计划开放订购。</w:t>
            </w:r>
          </w:p>
        </w:tc>
      </w:tr>
      <w:tr w14:paraId="5D305D9C">
        <w:tblPrEx>
          <w:tblCellMar>
            <w:top w:w="0" w:type="dxa"/>
            <w:left w:w="108" w:type="dxa"/>
            <w:bottom w:w="0" w:type="dxa"/>
            <w:right w:w="108" w:type="dxa"/>
          </w:tblCellMar>
        </w:tblPrEx>
        <w:trPr>
          <w:trHeight w:val="446"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FFB107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9B5EBD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质控计划管理模块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FB0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样品发放登记</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235F76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样品发放登记功能，为防止质控计划中的样本发放错误，新增样品发放登记模块，用于室间质控品的发放处理。所有室间质控品均登记唯一条码，并打印黏贴。当室间质控活动开始时，每个医院的样本均需通过扫描条码的方式进行发放登记，发放完成后，方法记录可与前台进行查询。</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室间样品发样是一个在室间质评工作中非常重要的活动，目前中心没有相关软件对该业务进行支持，完全是以手工模式在运行，所以每次基本都会出现漏发、少发、发错等情况。故中心急需通过软件辅助的方式、减少错误发生率。</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首先对所有的室间样本，均需实现条码化管理。条码以CODE128编码模式进行编码，系统将提供标准化的样本条码标签内容，条码内容也可由厂商遵循编码模式进行输出。确保每个发样样本上，均黏贴可识别的样本条码。</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软件根据用户申请的计划数量，自动化导入，形成初始发样登记表。发样管理员，可根据样本的到货情况，对发样登记表的某类型样本进行启用、禁用开关。也可根据自身需要，向名单中进行增加或删除名单操作。</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发样管理员确认完成发样调整后，软件需自动导出发样标签、以供分发给样品包装人员。软件生成发样标签时，需遵循自定义的顺序号码。</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自动生成发样标签格式模板参考如下：</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包装人员完成包装后，可于系统中，通过扫描条码的方式，对样本的包装情况，进行确认。系统实时提示漏发、错发、少发的情况。如存在异常，则无法执行下一步。系统应拥有强制跳过按钮。可提供异常情况下的强制跳过，并记录强制跳过人、强制跳过时间等信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如包装人员已经完成包装，并开始校验，后台管理人员将无法再对发样清单进行调整。</w:t>
            </w:r>
          </w:p>
        </w:tc>
      </w:tr>
      <w:tr w14:paraId="383D8319">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D3C080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4</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C1A6CD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质控进销存管理模块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E9D5">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质控进销存管理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F4F2AF2">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对质控进销存管理功能进行升级开发及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改造，严格按流程进行质控品的出入库管理；新增批量按计划出库、公式出库两项自动化出库模式；新增已出库、联动出库、订购量控制等出库筛选条件；新增临售出库模式，该模式独立核算与记录.</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0FD8EC73">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EE886F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A97E45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质控进销存管理模块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3F0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浓度分配管理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1769C23">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对浓度分配管理功能进行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改造（2012年批复，工作量0.5人·月），支持对各类质控品发放浓度规则进行维护和设置。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3048B2E9">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417630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FD2B82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质控进销存管理模块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C10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出入库撤销</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067B01F">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新增出入库撤销功能，按流程完整倒退至未出入库时状态，并留存日志记录操作人信息，以备查验。</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后台管理员可根据条件查询出某一物流批次下的所有出库记录，支持逐条撤回，或整批撤回。撤回遵循数据回滚机制还原数据，并留存日志记录操作人信息，以备查验。</w:t>
            </w:r>
          </w:p>
        </w:tc>
      </w:tr>
      <w:tr w14:paraId="335E168D">
        <w:tblPrEx>
          <w:tblCellMar>
            <w:top w:w="0" w:type="dxa"/>
            <w:left w:w="108" w:type="dxa"/>
            <w:bottom w:w="0" w:type="dxa"/>
            <w:right w:w="108" w:type="dxa"/>
          </w:tblCellMar>
        </w:tblPrEx>
        <w:trPr>
          <w:trHeight w:val="711"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428C39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4C9474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质控进销存管理模块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536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出库单文件</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3761688">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新增出库单文件功能，根据中心要求的格式，系统自动生成出库单，包括自领出库单和单家医院的单次出库单文件；支持EXCEL导出相关出库单文件。</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1：自领出库单</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系统将本次出库内所有的出库记录，打印为统一的出库记录单，以供医院用户进行自领出库时，签字确认留档。</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2：单家医院的出库单</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系统将根据单家医院的本次出库情况，将出库质控品名称、数量、规格、出库日期等信息输出为一份PDF报告。有后台管理员纸质打印后随快递统计基础。</w:t>
            </w:r>
          </w:p>
        </w:tc>
      </w:tr>
      <w:tr w14:paraId="719B6867">
        <w:tblPrEx>
          <w:tblCellMar>
            <w:top w:w="0" w:type="dxa"/>
            <w:left w:w="108" w:type="dxa"/>
            <w:bottom w:w="0" w:type="dxa"/>
            <w:right w:w="108" w:type="dxa"/>
          </w:tblCellMar>
        </w:tblPrEx>
        <w:trPr>
          <w:trHeight w:val="552"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999AE3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54B037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质控进销存管理模块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68A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质控品出入库台账</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7F026A4">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新增质控品出入库台账功能，根据业务审计的相关要求，按审计格式出具质控品出入库台账记录查询及数据导出。</w:t>
            </w:r>
          </w:p>
        </w:tc>
      </w:tr>
      <w:tr w14:paraId="59FE1A6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1EE519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509A6A6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财务信息管理模块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4CD6">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质控费用结算</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FDE141B">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对质控费用结算功能进行功能升级及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改造，支持中心财务根据各医疗机构的申报审核清单进行费用催缴和到账管理；新增一个月内发生费用提示、发票类型提示、隐藏已结款内容等功能点。</w:t>
            </w:r>
          </w:p>
        </w:tc>
      </w:tr>
      <w:tr w14:paraId="10C869DD">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966D59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E0FDEB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财务信息管理模块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598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财务信息修改</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0115804">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新增财务信息修改功能，支持后台财务人员对用户财务信息进行修改。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如因用户的财务信息填写不规范导致无法开票，后台财务人员有权通过指定的模块直接修改用户已经登记的财务信息。</w:t>
            </w:r>
          </w:p>
        </w:tc>
      </w:tr>
      <w:tr w14:paraId="4B537E3E">
        <w:tblPrEx>
          <w:tblCellMar>
            <w:top w:w="0" w:type="dxa"/>
            <w:left w:w="108" w:type="dxa"/>
            <w:bottom w:w="0" w:type="dxa"/>
            <w:right w:w="108" w:type="dxa"/>
          </w:tblCellMar>
        </w:tblPrEx>
        <w:trPr>
          <w:trHeight w:val="65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277550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885BE7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财务信息管理模块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BB8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发票管理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4BAB69C">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新增发票管理功能，财务人员可通过后台上传发票文件（PDF\XML\OFD），提供医院用户前台下载各类电子发票格式文档。</w:t>
            </w:r>
          </w:p>
        </w:tc>
      </w:tr>
      <w:tr w14:paraId="36847572">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A73030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B43384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样本均一性稳定性管理模块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80E0">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专业科室审核</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62821F0">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对专业科室审核功能进行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改造（2022年批复，工作量1人·月），支持通过应用支撑系统的工作流管理器和表单设计器配置专业科室审核。</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4B775DCD">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4D92EF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45599E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样本均一性稳定性管理模块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E05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自动化数据分析</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DF90AC9">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对自动化数据分析功能进行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改造（2022年批复，工作量2人·月），支持单因子方差分析（one way ANOVA）（均匀性分析） 支持S ≤0.3准则分析（均匀性分析） 支持t 检验法（稳定性分析） 支持|x-y|&lt;0.3西格玛准则分析（稳定性分析）。</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27D1AD71">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C095BC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5</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52DE33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样本均一性稳定性管理模块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284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结论报告生成</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80456B9">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对结论报告生成功能进行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改造（2012年批复，工作量1人·月），根据格式生成均一性稳定性结论报告（根据相关格式文件，文件编号：PTP-QC03-20170320）。</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313BDC79">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25E06D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F3EDA2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样本均一性稳定性管理模块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9D3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斜率计算方法</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EA19F7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新增斜率计算方法功能，正确度活动业务下，原有的稳定性计算公式不适用，新增基于斜率计算判断稳定性的统计方案。</w:t>
            </w:r>
          </w:p>
        </w:tc>
      </w:tr>
      <w:tr w14:paraId="5838603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7704AD0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7654A2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6E53">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剔除及统计模块</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7F3F70D">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对剔除及统计功能进行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改造（2017年批复，工作量1人·月），根据评审要求对提供“格拉布斯”以及“DIXON”数据剔除算法，以及更改不确定度计算公式</w:t>
            </w:r>
          </w:p>
        </w:tc>
      </w:tr>
      <w:tr w14:paraId="258A8D9A">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8D55D6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C3E9F41">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F78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检验样本不确定度评价模块</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829AD77">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对检验样本不确定度评价功能进行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改造（2017年批复，工作量2.5人·月），提供样本“不确定度”专业评审，独立的评审模块以及独立的评审方法。同时提供专用的不确定度回报报表。</w:t>
            </w:r>
          </w:p>
        </w:tc>
      </w:tr>
      <w:tr w14:paraId="0985D8A3">
        <w:tblPrEx>
          <w:tblCellMar>
            <w:top w:w="0" w:type="dxa"/>
            <w:left w:w="108" w:type="dxa"/>
            <w:bottom w:w="0" w:type="dxa"/>
            <w:right w:w="108" w:type="dxa"/>
          </w:tblCellMar>
        </w:tblPrEx>
        <w:trPr>
          <w:trHeight w:val="46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561CE5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0F8E0D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1AA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评价打分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B1287D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对评价打分功能进行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改造（2012年批复，工作量1人·月），新增单样本错误，全部项目全部错误的判分模式及逻辑 新增位点结果与位点是否允许测试两个角度联合判断的逻辑规则。</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针对于输血之类的特殊学科，不能采用统一的标准化打分逻辑来处理，任何一点的错误都可能会导致重大问题，所以需要设计一些特殊的逻辑，来实现对于这类重要业务严格要求的目的。</w:t>
            </w:r>
          </w:p>
        </w:tc>
      </w:tr>
      <w:tr w14:paraId="66CF8DFF">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62A914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B0BF73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386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数据查询导出</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D29910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对数据查询导出功能进行功能升级及</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改造，支持多条件高级查询功能。提供面向不同临床检验项目的查询、查询结果导出、下载功能；新增特殊列、评价成绩、备注、合格情况、使用的仪器试剂方法等信息的导出功能。</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该功能点所在模块已不适用目前业务流程，本次改造一并进行合理规划。</w:t>
            </w:r>
          </w:p>
        </w:tc>
      </w:tr>
      <w:tr w14:paraId="09D610B8">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32223B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E2E4EB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08A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报表生成</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CA0E5C9">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对报表生成功能进行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改造（2012年批复，工作量0.5人·月），将质控反馈的结果在后台进行报表的生成。</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对于原有的报表表现逻辑增加如下应用规范，任何环节中，对于报告的浏览，已正式发布的报告为基准，如已正式发布报告，则再本系统中的任何一个环节进行浏览时，均要求展示的是正式发布的报告，以防因各环节内基准不统一，造成的报告内容不统一。</w:t>
            </w:r>
          </w:p>
        </w:tc>
      </w:tr>
      <w:tr w14:paraId="229217CB">
        <w:tblPrEx>
          <w:tblCellMar>
            <w:top w:w="0" w:type="dxa"/>
            <w:left w:w="108" w:type="dxa"/>
            <w:bottom w:w="0" w:type="dxa"/>
            <w:right w:w="108" w:type="dxa"/>
          </w:tblCellMar>
        </w:tblPrEx>
        <w:trPr>
          <w:trHeight w:val="711"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19784B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BB14CF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CD9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统计方案选项</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3786662">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新增统计方案选项功能，根据评审要求，新增MAD取值统计方案和两位数绝对值取值统计方案，可根据情况选择。</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1：MAD方案（中位绝对离差）</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首先将数据中的数据转换为绝对离差、即单项数值与平均值之间差的绝对值。通过确定绝对离差数组中的加权中位数。确定中尉绝对离差值。</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2：|x_1-x_2 |</w:t>
            </w:r>
            <w:r>
              <w:rPr>
                <w:rFonts w:hint="eastAsia" w:ascii="微软雅黑" w:hAnsi="微软雅黑" w:eastAsia="微软雅黑" w:cs="微软雅黑"/>
                <w:color w:val="000000"/>
                <w:kern w:val="0"/>
                <w:sz w:val="22"/>
                <w:szCs w:val="22"/>
              </w:rPr>
              <w:t>⁄</w:t>
            </w:r>
            <w:r>
              <w:rPr>
                <w:rFonts w:hint="eastAsia" w:cs="宋体"/>
                <w:color w:val="000000"/>
                <w:kern w:val="0"/>
                <w:sz w:val="22"/>
                <w:szCs w:val="22"/>
              </w:rPr>
              <w:t>根号</w:t>
            </w:r>
            <w:r>
              <w:rPr>
                <w:rFonts w:hint="eastAsia" w:ascii="Tahoma" w:hAnsi="Tahoma" w:cs="Tahoma"/>
                <w:color w:val="000000"/>
                <w:kern w:val="0"/>
                <w:sz w:val="22"/>
                <w:szCs w:val="22"/>
              </w:rPr>
              <w:t>2方案</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取两个值之间差值的绝对值除以根号2得到目标值。同时不确定度去除以实验室家数为融合的前提条件。不对不确定度进行融合，同时在报告单上根据s_pt与不确定度比较之后的情况进行提示。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3：新增统计方案需嵌入现有流程内</w:t>
            </w:r>
          </w:p>
        </w:tc>
      </w:tr>
      <w:tr w14:paraId="7963E779">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56414C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C54672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3F9A">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能力验证报告合成</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1D6D8AC">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新增能力验证报告合成功能，根据能力验证报告的要求，于系统中自动生成分组合格率、项目合格率、不确定度报告、总计统计量等数据，并根据用户上传的个性化文档，自动合成为能力验证报告。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系统需支持自动生成如下报告：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1：均一性稳定性报告（该报告现已自动生成）</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2：项目合格率报告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3：分组合格率报告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4：不确定度报告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5：总计统计量报告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6：微生物结果情况报告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7：单样本合格情况报告</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自动生成的报告也需支持手工上传，如存在手工上传，优先应用手工上传文件进行合成，系统合成能力验证总体报告完成后，需支持打上页码及水印。</w:t>
            </w:r>
          </w:p>
        </w:tc>
      </w:tr>
      <w:tr w14:paraId="0E9C7A51">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46DA65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52CE44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DB1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统计汇总信息</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DCCE3D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新增统计汇总信息功能，包括分级别、分区域项目合格率统计、设备应用一览图、各项目和各分组下CV情况一览表、按学科年度总览统计、漏项情况提示、未提交医院提示等分类统计信息。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1：按学科执行年度分析。</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2：项目合格情况表（含分区合格率、分级合格率）</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3：单样本合格情况一览表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4：CV情况一览表（含分组、分级情况）</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5：应用设备情况一览表（统计数据与图形展示）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6：漏项情况一览表</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7：未提交情况一览表</w:t>
            </w:r>
          </w:p>
        </w:tc>
      </w:tr>
      <w:tr w14:paraId="2E6F84E6">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36E2CA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6</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42E8A8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D32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自动评价方案</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70AF5D5">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自动评价方案功能，将用户定义的个性化评价方案继承于软件中，用户仅需通过点击自动评价按钮，软件即可根据预先设定的标准流程进行数据统计，自动计算与原有的人工设定不冲突，如用户觉得不合适也可二次通过手工设定进行统计修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因统计方案的逐渐复杂，流程逐渐繁琐，由原先的培训后人工操作的方式，出现统计方案应用错误的情况逐渐增多。软件层面需要增加自动评价的功能。根据中心预先定义的统计方案SOP，自动的执行统计过程，并完成打分。统计流程可参考87.3中的统计流程图进行预设。</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原有的手工评价模式保留，如用户通过自动评价后，发现不符合预期，可通过手工二次修改。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自动评价应支持对于数据的自动分组，评价标准沿用上一次评价过程中的标准。如全新的评价项目，无法找到应使用的标准、则无法使用自动评价，该项目跳过，需至少手工进行过一次评价后才能执行自动评价。</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如用户已经执行了自定义分组，则自动统计跳过分组环节，针对于用户手工分组后的情况直接执行靶值设定流程。</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自动评价方案过程中、需对部分情况较为特殊的，应于软件界面上进行提示，以便统计人员针对性查验问题。</w:t>
            </w:r>
          </w:p>
        </w:tc>
      </w:tr>
      <w:tr w14:paraId="316A9E6F">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A89C03B">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D6A12A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486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特定计划评价</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BD1EAF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新增特定计划评价功能，网织红细胞与分子生物学（人乳头瘤）计划业务类型较为独特，订制化专用的评价功能，以适应特殊计划下的业务需要。同时也需要出具与现有报告格式不同的数据报告作为回报内容。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分子生物学（人乳头瘤）、需修改的部分为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1：用户填报端主体框架不变，增加二次确认，确认逻辑为：提取提交结果为阳性的测试项目内容，作为样本下的提交结果并形成表格，由用户进行二次确认提交。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2：分析过程不变，但结果报告使用完全独立的逻辑进行处理。从原先的基于测试项目的结果分析，调整为基于样本的结果分析，回报方式见如下报告样张：</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网织细胞计数需修改的部分为：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网织细胞计数的评价方法无法套用任何一种现有的统计计划，原先的统计方法为通过软件进行数据采集，采集完成后，导出EXCEL，统计人员针对EXCEL进行数据分析，并生成报告，再以手工计划的模式上传至系统内。不仅不规范，还容易产生错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根据这种情况，需重新设计一个针对于网织细胞技术的统计后台。需完整展示各样本下，网织及红细胞计数的情况。并增加合计列。同时根据中心给出的公式进行自动分析判断。统计人员可针对性剔除某一家医院的数据后自动进行重新计算。</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靶值统计公式暂定为：</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靶值=均值（网织/红细胞）</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允许范围=根号(靶值*(100-靶值)/1000)</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统计界面参考如下：</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回报单也需根据网织细胞计数的业务特点重新制作。</w:t>
            </w:r>
          </w:p>
        </w:tc>
      </w:tr>
      <w:tr w14:paraId="7638FD3A">
        <w:tblPrEx>
          <w:tblCellMar>
            <w:top w:w="0" w:type="dxa"/>
            <w:left w:w="108" w:type="dxa"/>
            <w:bottom w:w="0" w:type="dxa"/>
            <w:right w:w="108" w:type="dxa"/>
          </w:tblCellMar>
        </w:tblPrEx>
        <w:trPr>
          <w:trHeight w:val="238"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5FD08BB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C2C5B3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CA0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大数据平台数据导出</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9C0D829">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新增大数据平台数据导出功能，根据国家卫健委大数据中心相关业务要求，增加按指定格式的数据内容导出功能</w:t>
            </w:r>
          </w:p>
        </w:tc>
      </w:tr>
      <w:tr w14:paraId="2C5B3C63">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2E57BBB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A6C47D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质控数据分析模块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EB5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质控数据核对</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4B6B4A7">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新增质控数据核对功能，包括新增数据提交数量与数据入库数量比对、数据入库数量与报告发布数量比对、申请计划数量与实际提交比对等。</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系统将于界面展示三项数字之间的比对情况，如出现数据不一致的，标红展示、如数据一致，则标绿显示。同时数据结果汇总中用提示可能出现问题的计划内容。</w:t>
            </w:r>
          </w:p>
        </w:tc>
      </w:tr>
      <w:tr w14:paraId="77F91E80">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9FEA09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3</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28E1B8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自动化数据处理模块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3C6D">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自动化数据处理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3E6D970B">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新增自动化数据处理功能，根据中心的业务需要，可支持的自动化数据处理。支持质控数据、欠费情况的自动化扫描处理。</w:t>
            </w:r>
          </w:p>
        </w:tc>
      </w:tr>
      <w:tr w14:paraId="026EBB80">
        <w:tblPrEx>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3A879E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4</w:t>
            </w:r>
          </w:p>
        </w:tc>
        <w:tc>
          <w:tcPr>
            <w:tcW w:w="597" w:type="pct"/>
            <w:tcBorders>
              <w:top w:val="single" w:color="auto" w:sz="4" w:space="0"/>
              <w:left w:val="nil"/>
              <w:bottom w:val="single" w:color="auto" w:sz="4" w:space="0"/>
              <w:right w:val="single" w:color="auto" w:sz="4" w:space="0"/>
            </w:tcBorders>
            <w:shd w:val="clear" w:color="auto" w:fill="FFFFFF"/>
            <w:vAlign w:val="center"/>
          </w:tcPr>
          <w:p w14:paraId="3ABAD08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自动化数据处理模块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023C">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数据完整性分析</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2B848318">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新增数据完整性分析功能，自动化数据处理后进行验证，防止因软件BUG产生的自动化数据处理失败，新增二次校验处理，尽可能的减少数据处理层面的错误。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因中心今年业务不断扩展，软件业务层级不断扩展、ISO评申要求不断提升。业务数据的流转一致性原先由手工抽样查询作为程序功能验证，现需要将数据一致性查验作为业务流程的一个环节。</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每次中心完成业务数据采集后，程序将实时自动对用户前端提交的数据档案和后台数据库中的已入库数据进行一致性比对分析，如出现前后台不一致的情况，记录并执行补入操同时留下过程日志，以防因更新不及时、网络问题或其他技术问题导致的前后台数据不一致。</w:t>
            </w:r>
          </w:p>
        </w:tc>
      </w:tr>
      <w:tr w14:paraId="79B8ACE4">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62084FA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5</w:t>
            </w:r>
          </w:p>
        </w:tc>
        <w:tc>
          <w:tcPr>
            <w:tcW w:w="597" w:type="pct"/>
            <w:tcBorders>
              <w:top w:val="single" w:color="auto" w:sz="4" w:space="0"/>
              <w:left w:val="nil"/>
              <w:bottom w:val="single" w:color="auto" w:sz="4" w:space="0"/>
              <w:right w:val="single" w:color="auto" w:sz="4" w:space="0"/>
            </w:tcBorders>
            <w:shd w:val="clear" w:color="auto" w:fill="FFFFFF"/>
            <w:vAlign w:val="center"/>
          </w:tcPr>
          <w:p w14:paraId="71D74A1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自动化数据处理模块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5FD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数据一致性分析</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8D0A6C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新增数据一致性分析功能，根据中心业务特性订制数据一致性分析查询，判断用户是否进行数据串通的数据分析服务。</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为提高中心室间质评活动的参与质量，程序对所有用户提交的检测数据，用户可随时对已经提交的数据进行一致性扫描，当出现同一计划下所有检测项目，均提交完全一致的检测结果时。记录并提示后台管理员，用以提示可能存在结果串通或考试作弊等情况的查验判断。</w:t>
            </w:r>
          </w:p>
        </w:tc>
      </w:tr>
      <w:tr w14:paraId="3B3603BF">
        <w:tblPrEx>
          <w:tblCellMar>
            <w:top w:w="0" w:type="dxa"/>
            <w:left w:w="108" w:type="dxa"/>
            <w:bottom w:w="0" w:type="dxa"/>
            <w:right w:w="108" w:type="dxa"/>
          </w:tblCellMar>
        </w:tblPrEx>
        <w:trPr>
          <w:trHeight w:val="58"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0E893F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6</w:t>
            </w:r>
          </w:p>
        </w:tc>
        <w:tc>
          <w:tcPr>
            <w:tcW w:w="597" w:type="pct"/>
            <w:tcBorders>
              <w:top w:val="single" w:color="auto" w:sz="4" w:space="0"/>
              <w:left w:val="nil"/>
              <w:bottom w:val="single" w:color="auto" w:sz="4" w:space="0"/>
              <w:right w:val="single" w:color="auto" w:sz="4" w:space="0"/>
            </w:tcBorders>
            <w:shd w:val="clear" w:color="auto" w:fill="FFFFFF"/>
            <w:vAlign w:val="center"/>
          </w:tcPr>
          <w:p w14:paraId="12DE8524">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系统接口与数据同步模块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F5B8">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系统接口</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D31E3C1">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对部分系统接口功能进行</w:t>
            </w:r>
            <w:r>
              <w:rPr>
                <w:rFonts w:hint="eastAsia" w:ascii="Tahoma" w:hAnsi="Tahoma" w:cs="Tahoma"/>
                <w:color w:val="000000"/>
                <w:kern w:val="0"/>
                <w:sz w:val="22"/>
                <w:szCs w:val="22"/>
                <w:lang w:eastAsia="zh-CN"/>
              </w:rPr>
              <w:t>深化信息技术应用创新</w:t>
            </w:r>
            <w:r>
              <w:rPr>
                <w:rFonts w:hint="eastAsia" w:ascii="Tahoma" w:hAnsi="Tahoma" w:cs="Tahoma"/>
                <w:color w:val="000000"/>
                <w:kern w:val="0"/>
                <w:sz w:val="22"/>
                <w:szCs w:val="22"/>
              </w:rPr>
              <w:t>改造（2022年批复，工作量1人·月），包括短信服务接口、邮件服务接口；原有LIS数据接口、突发公卫临床检验分系统接口已不再使用。</w:t>
            </w:r>
          </w:p>
        </w:tc>
      </w:tr>
      <w:tr w14:paraId="53B9182C">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B384B37">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7</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125DA20">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系统接口与数据同步模块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41DD">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用户账号校验接口</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D208FB6">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新增用户账号校验接口，为中心其他小程序应用场景提供统一身份认证服务，根据收到的TOKEN值，接收、解密并返回校验的用户信息。</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TOKEN如解密失败，该接口不响应，如TOKEN内置时效性标签已超时，则报TOKEN超时。系统完成解密，格式化处理后，支持JASON格式及XML两种格式的身份结果输出标识。</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返回值内容中含有身份名称、编码、类型及唯一ID号四项信息。</w:t>
            </w:r>
          </w:p>
        </w:tc>
      </w:tr>
      <w:tr w14:paraId="56E4CBF4">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13540A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8</w:t>
            </w:r>
          </w:p>
        </w:tc>
        <w:tc>
          <w:tcPr>
            <w:tcW w:w="597" w:type="pct"/>
            <w:tcBorders>
              <w:top w:val="single" w:color="auto" w:sz="4" w:space="0"/>
              <w:left w:val="nil"/>
              <w:bottom w:val="single" w:color="auto" w:sz="4" w:space="0"/>
              <w:right w:val="single" w:color="auto" w:sz="4" w:space="0"/>
            </w:tcBorders>
            <w:shd w:val="clear" w:color="auto" w:fill="FFFFFF"/>
            <w:vAlign w:val="center"/>
          </w:tcPr>
          <w:p w14:paraId="4C72FD5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系统接口与数据同步模块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DFC5">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协议管理</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432D3AAB">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新增协议管理功能，提供第三方接口协议参数的设定与管理功能，增加密码访问，防止被随意更改。</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由后台唯一管理员进行配置管理，如发生更改，需先检测填写的参数是否有效，如填入无效参数，不允许进行更改。</w:t>
            </w:r>
          </w:p>
        </w:tc>
      </w:tr>
      <w:tr w14:paraId="3F26F715">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1D8177E6">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7</w:t>
            </w:r>
            <w:r>
              <w:rPr>
                <w:rFonts w:ascii="Tahoma" w:hAnsi="Tahoma" w:cs="Tahoma"/>
                <w:color w:val="000000"/>
                <w:kern w:val="0"/>
                <w:sz w:val="22"/>
                <w:szCs w:val="22"/>
              </w:rPr>
              <w:t>9</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0F3318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系统接口与数据同步模块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01A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用户信息同步接口</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504712D8">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新增用户信息同步接口，为配合多系统信息同步，以被动式响应触发用户（前台）信息接口。接口采用授权码授权白名单进行访问权限控制、同步业务根据密钥登记可采用指定互联网内的授权同步。</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同步的信息为医院科室等和医院相关的信息，如医院级别、医院类型等。</w:t>
            </w:r>
          </w:p>
        </w:tc>
      </w:tr>
      <w:tr w14:paraId="409697DB">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44E9FE4E">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8</w:t>
            </w:r>
            <w:r>
              <w:rPr>
                <w:rFonts w:ascii="Tahoma" w:hAnsi="Tahoma" w:cs="Tahoma"/>
                <w:color w:val="000000"/>
                <w:kern w:val="0"/>
                <w:sz w:val="22"/>
                <w:szCs w:val="22"/>
              </w:rPr>
              <w:t>0</w:t>
            </w:r>
          </w:p>
        </w:tc>
        <w:tc>
          <w:tcPr>
            <w:tcW w:w="597" w:type="pct"/>
            <w:tcBorders>
              <w:top w:val="single" w:color="auto" w:sz="4" w:space="0"/>
              <w:left w:val="nil"/>
              <w:bottom w:val="single" w:color="auto" w:sz="4" w:space="0"/>
              <w:right w:val="single" w:color="auto" w:sz="4" w:space="0"/>
            </w:tcBorders>
            <w:shd w:val="clear" w:color="auto" w:fill="FFFFFF"/>
            <w:vAlign w:val="center"/>
          </w:tcPr>
          <w:p w14:paraId="28EF57E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系统接口与数据同步模块</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0D62">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其他信息同步接口</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7960B878">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新增其他信息同步接口，支持同步用户信息以外的其他信息，中心认为必要进行信息一致化的参数信息同步，认证方式采取统一的认证方案。</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同步的信息包括仪器设备信息、检测项目信息等通用化标准化信息。中心不会后台添加属性字段。用户可进行所有数据的采集，或根据时间戳进行该时间后发生了修改的信息情况采集。</w:t>
            </w:r>
          </w:p>
        </w:tc>
      </w:tr>
      <w:tr w14:paraId="43BDA050">
        <w:tblPrEx>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0ECEDF48">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8</w:t>
            </w:r>
            <w:r>
              <w:rPr>
                <w:rFonts w:ascii="Tahoma" w:hAnsi="Tahoma" w:cs="Tahoma"/>
                <w:color w:val="000000"/>
                <w:kern w:val="0"/>
                <w:sz w:val="22"/>
                <w:szCs w:val="22"/>
              </w:rPr>
              <w:t>1</w:t>
            </w:r>
          </w:p>
        </w:tc>
        <w:tc>
          <w:tcPr>
            <w:tcW w:w="597" w:type="pct"/>
            <w:tcBorders>
              <w:top w:val="single" w:color="auto" w:sz="4" w:space="0"/>
              <w:left w:val="nil"/>
              <w:bottom w:val="single" w:color="auto" w:sz="4" w:space="0"/>
              <w:right w:val="single" w:color="auto" w:sz="4" w:space="0"/>
            </w:tcBorders>
            <w:shd w:val="clear" w:color="auto" w:fill="FFFFFF"/>
            <w:vAlign w:val="center"/>
          </w:tcPr>
          <w:p w14:paraId="69B326EF">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密码应用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4A22">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用户相关密码应用</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18A17917">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用户身份认证机制</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开发用户身份认证机制模块，调用云平台提供的安全认证网关服务接口，并在终端部署用户证书、服务端部署站点证书，绑定应用用户数字证书和应用用户ID，实现对终端和服务端身份的鉴别。</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用户访问控制信息签名验签</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开发用户访问控制信息签名验签模块，调用云平台提供的签名验签服务接口，实现应用系统登录用户的访问控制列表完整性保护。</w:t>
            </w:r>
          </w:p>
        </w:tc>
      </w:tr>
      <w:tr w14:paraId="40AD4C81">
        <w:tblPrEx>
          <w:tblCellMar>
            <w:top w:w="0" w:type="dxa"/>
            <w:left w:w="108" w:type="dxa"/>
            <w:bottom w:w="0" w:type="dxa"/>
            <w:right w:w="108" w:type="dxa"/>
          </w:tblCellMar>
        </w:tblPrEx>
        <w:trPr>
          <w:trHeight w:val="171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FFFFFF"/>
            <w:vAlign w:val="center"/>
          </w:tcPr>
          <w:p w14:paraId="3616203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8</w:t>
            </w:r>
            <w:r>
              <w:rPr>
                <w:rFonts w:ascii="Tahoma" w:hAnsi="Tahoma" w:cs="Tahoma"/>
                <w:color w:val="000000"/>
                <w:kern w:val="0"/>
                <w:sz w:val="22"/>
                <w:szCs w:val="22"/>
              </w:rPr>
              <w:t>2</w:t>
            </w:r>
          </w:p>
        </w:tc>
        <w:tc>
          <w:tcPr>
            <w:tcW w:w="597" w:type="pct"/>
            <w:tcBorders>
              <w:top w:val="single" w:color="auto" w:sz="4" w:space="0"/>
              <w:left w:val="nil"/>
              <w:bottom w:val="single" w:color="auto" w:sz="4" w:space="0"/>
              <w:right w:val="single" w:color="auto" w:sz="4" w:space="0"/>
            </w:tcBorders>
            <w:shd w:val="clear" w:color="auto" w:fill="FFFFFF"/>
            <w:vAlign w:val="center"/>
          </w:tcPr>
          <w:p w14:paraId="05B6CBB3">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密码应用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51C9">
            <w:pPr>
              <w:widowControl/>
              <w:spacing w:line="240" w:lineRule="auto"/>
              <w:ind w:firstLine="0" w:firstLineChars="0"/>
              <w:jc w:val="center"/>
              <w:rPr>
                <w:rFonts w:hint="eastAsia" w:ascii="Tahoma" w:hAnsi="Tahoma" w:cs="Tahoma"/>
                <w:color w:val="000000"/>
                <w:kern w:val="0"/>
                <w:sz w:val="22"/>
                <w:szCs w:val="22"/>
              </w:rPr>
            </w:pPr>
            <w:r>
              <w:rPr>
                <w:rFonts w:hint="eastAsia" w:ascii="Tahoma" w:hAnsi="Tahoma" w:cs="Tahoma"/>
                <w:color w:val="000000"/>
                <w:kern w:val="0"/>
                <w:sz w:val="22"/>
                <w:szCs w:val="22"/>
              </w:rPr>
              <w:t>系统相关密码应用</w:t>
            </w:r>
          </w:p>
        </w:tc>
        <w:tc>
          <w:tcPr>
            <w:tcW w:w="3419" w:type="pct"/>
            <w:tcBorders>
              <w:top w:val="single" w:color="000000" w:sz="4" w:space="0"/>
              <w:left w:val="nil"/>
              <w:bottom w:val="single" w:color="000000" w:sz="4" w:space="0"/>
              <w:right w:val="single" w:color="000000" w:sz="4" w:space="0"/>
            </w:tcBorders>
            <w:shd w:val="clear" w:color="auto" w:fill="auto"/>
            <w:vAlign w:val="center"/>
          </w:tcPr>
          <w:p w14:paraId="00EA22A8">
            <w:pPr>
              <w:widowControl/>
              <w:spacing w:line="240" w:lineRule="auto"/>
              <w:ind w:firstLine="0" w:firstLineChars="0"/>
              <w:jc w:val="left"/>
              <w:rPr>
                <w:rFonts w:hint="eastAsia" w:ascii="Tahoma" w:hAnsi="Tahoma" w:cs="Tahoma"/>
                <w:color w:val="000000"/>
                <w:kern w:val="0"/>
                <w:sz w:val="22"/>
                <w:szCs w:val="22"/>
              </w:rPr>
            </w:pPr>
            <w:r>
              <w:rPr>
                <w:rFonts w:hint="eastAsia" w:ascii="Tahoma" w:hAnsi="Tahoma" w:cs="Tahoma"/>
                <w:color w:val="000000"/>
                <w:kern w:val="0"/>
                <w:sz w:val="22"/>
                <w:szCs w:val="22"/>
              </w:rPr>
              <w:t>应用系统重要数据签名验签</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开发应用系统重要数据签名验签模块，调用云平台提供的签名验签服务接口，实现登录用户身份鉴别数据、业务日志、重要业务数据的存储完整性保护。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应用系统重要数据的数据加解密</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开发应用系统重要数据加解密模块，调用云平台提供的数据库加密服务接口，实现登录用户身份鉴别数据、重要业务数据等结构化数据的存储机密性保护。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服务器虚拟机设备日志/访问控制信息完整性</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开发服务器虚拟机设备日志/访问控制信息完整性模块，调用云平台提供的签名验签服务接口，实现应用服务器虚拟机、数据库服务器虚拟机等设备日志/访问控制信息的完整性保护。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重要数据安全传输</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开发业务重要数据安全传输模块，调用云平台提供的安全认证网关服务接口，实现应用系统通信数据的机密性和完整性保护。</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重要可执行程序签名验签</w:t>
            </w:r>
            <w:r>
              <w:rPr>
                <w:rFonts w:hint="eastAsia" w:ascii="Tahoma" w:hAnsi="Tahoma" w:cs="Tahoma"/>
                <w:color w:val="000000"/>
                <w:kern w:val="0"/>
                <w:sz w:val="22"/>
                <w:szCs w:val="22"/>
              </w:rPr>
              <w:br w:type="textWrapping"/>
            </w:r>
            <w:r>
              <w:rPr>
                <w:rFonts w:hint="eastAsia" w:ascii="Tahoma" w:hAnsi="Tahoma" w:cs="Tahoma"/>
                <w:color w:val="000000"/>
                <w:kern w:val="0"/>
                <w:sz w:val="22"/>
                <w:szCs w:val="22"/>
              </w:rPr>
              <w:t>开发重要可执行程序签名验签模块，调用云平台提供的签名验签服务接口，实现重要可执行程序的完整性、来源真实性保护。</w:t>
            </w:r>
          </w:p>
        </w:tc>
      </w:tr>
    </w:tbl>
    <w:p w14:paraId="4A0BAD2A"/>
    <w:p w14:paraId="0A65419A">
      <w:pPr>
        <w:pStyle w:val="2"/>
      </w:pPr>
      <w:bookmarkStart w:id="17" w:name="_Toc63785502"/>
      <w:r>
        <w:rPr>
          <w:rFonts w:hint="eastAsia"/>
        </w:rPr>
        <w:t>电子政务云资源需求</w:t>
      </w:r>
      <w:bookmarkEnd w:id="17"/>
    </w:p>
    <w:p w14:paraId="3F4A789E">
      <w:r>
        <w:rPr>
          <w:rFonts w:hint="eastAsia"/>
        </w:rPr>
        <w:t>根据项目当前用户数量及使用场景，本次建设根据估算拟向电子政务云申请</w:t>
      </w:r>
      <w:r>
        <w:t>6</w:t>
      </w:r>
      <w:r>
        <w:rPr>
          <w:rFonts w:hint="eastAsia"/>
        </w:rPr>
        <w:t>台服务器资源CPU</w:t>
      </w:r>
      <w:r>
        <w:t>48</w:t>
      </w:r>
      <w:r>
        <w:rPr>
          <w:rFonts w:hint="eastAsia"/>
        </w:rPr>
        <w:t>核 、内存</w:t>
      </w:r>
      <w:r>
        <w:t>128</w:t>
      </w:r>
      <w:r>
        <w:rPr>
          <w:rFonts w:hint="eastAsia"/>
        </w:rPr>
        <w:t>G、存储</w:t>
      </w:r>
      <w:r>
        <w:t>2400G</w:t>
      </w:r>
      <w:r>
        <w:rPr>
          <w:rFonts w:hint="eastAsia"/>
        </w:rPr>
        <w:t>，全部为虚拟机。</w:t>
      </w:r>
    </w:p>
    <w:p w14:paraId="2DC05339">
      <w:pPr>
        <w:pStyle w:val="2"/>
      </w:pPr>
      <w:bookmarkStart w:id="18" w:name="_Toc63785503"/>
      <w:r>
        <w:rPr>
          <w:rFonts w:hint="eastAsia"/>
        </w:rPr>
        <w:t>其他工作要求</w:t>
      </w:r>
      <w:bookmarkEnd w:id="18"/>
    </w:p>
    <w:p w14:paraId="0C9C8E7E">
      <w:pPr>
        <w:pStyle w:val="3"/>
      </w:pPr>
      <w:bookmarkStart w:id="19" w:name="_Toc63785505"/>
      <w:bookmarkStart w:id="20" w:name="_Toc68798863"/>
      <w:r>
        <w:rPr>
          <w:rFonts w:hint="eastAsia"/>
        </w:rPr>
        <w:t>售后服务要求</w:t>
      </w:r>
      <w:bookmarkEnd w:id="19"/>
    </w:p>
    <w:p w14:paraId="4D15E3CD">
      <w:pPr>
        <w:rPr>
          <w:szCs w:val="21"/>
        </w:rPr>
      </w:pPr>
      <w:r>
        <w:rPr>
          <w:rFonts w:hint="eastAsia"/>
          <w:szCs w:val="21"/>
        </w:rPr>
        <w:t>1、供应商提供的集成和开发服务需满足不少于1年的免费维护期（即质保期）。</w:t>
      </w:r>
    </w:p>
    <w:p w14:paraId="6D944B63">
      <w:pPr>
        <w:rPr>
          <w:szCs w:val="21"/>
        </w:rPr>
      </w:pPr>
      <w:r>
        <w:rPr>
          <w:rFonts w:hint="eastAsia"/>
          <w:szCs w:val="21"/>
        </w:rPr>
        <w:t>2、所有保修服务方式均为成交供应商上门保修，即由成交供应商派员到使用单位使用现场维护。由此产生的一切费用均由成交供应商承担；</w:t>
      </w:r>
    </w:p>
    <w:p w14:paraId="568FF1F2">
      <w:pPr>
        <w:rPr>
          <w:szCs w:val="21"/>
        </w:rPr>
      </w:pPr>
      <w:r>
        <w:rPr>
          <w:rFonts w:hint="eastAsia"/>
          <w:szCs w:val="21"/>
        </w:rPr>
        <w:t>3、质保期内每三个月进行一次系统安全检测；</w:t>
      </w:r>
    </w:p>
    <w:p w14:paraId="4F2F010D">
      <w:pPr>
        <w:rPr>
          <w:szCs w:val="21"/>
        </w:rPr>
      </w:pPr>
      <w:r>
        <w:rPr>
          <w:rFonts w:hint="eastAsia"/>
          <w:szCs w:val="21"/>
        </w:rPr>
        <w:t>4、供应商需提供完整的售后服务和保障方案。</w:t>
      </w:r>
    </w:p>
    <w:p w14:paraId="70ED2BB2">
      <w:pPr>
        <w:rPr>
          <w:szCs w:val="21"/>
        </w:rPr>
      </w:pPr>
      <w:r>
        <w:rPr>
          <w:rFonts w:hint="eastAsia"/>
          <w:szCs w:val="21"/>
        </w:rPr>
        <w:t>5、所有软件产品的质保期自本项目验收之日起开始计算。</w:t>
      </w:r>
    </w:p>
    <w:p w14:paraId="0A2EC6A7">
      <w:pPr>
        <w:rPr>
          <w:szCs w:val="21"/>
        </w:rPr>
      </w:pPr>
      <w:r>
        <w:rPr>
          <w:rFonts w:hint="eastAsia"/>
          <w:szCs w:val="21"/>
        </w:rPr>
        <w:t>6、工程建设期间及质保期均属于免费服务期，该期限内的所有售后服务，包括软件维护、应用软件升级、提供替代品等所产生的费用（不包含更换硬件和系统软件的费用）均由成交供应商承担。</w:t>
      </w:r>
    </w:p>
    <w:p w14:paraId="4E5AB1EC">
      <w:pPr>
        <w:rPr>
          <w:szCs w:val="21"/>
        </w:rPr>
      </w:pPr>
      <w:r>
        <w:rPr>
          <w:rFonts w:hint="eastAsia"/>
          <w:szCs w:val="21"/>
        </w:rPr>
        <w:t>7、成交供应商在质保期满后应继续向业主提供保证质量的售后服务，以维持系统正常运作，售后服务定价不得偏离市场价格规律。</w:t>
      </w:r>
    </w:p>
    <w:p w14:paraId="402280F2">
      <w:pPr>
        <w:pStyle w:val="3"/>
      </w:pPr>
      <w:bookmarkStart w:id="21" w:name="_Toc63785506"/>
      <w:r>
        <w:rPr>
          <w:rFonts w:hint="eastAsia"/>
        </w:rPr>
        <w:t>应急响应要求</w:t>
      </w:r>
      <w:bookmarkEnd w:id="21"/>
    </w:p>
    <w:p w14:paraId="7DDC8143">
      <w:pPr>
        <w:pStyle w:val="8"/>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4B2F89E6">
      <w:pPr>
        <w:pStyle w:val="8"/>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283DFEF5">
      <w:pPr>
        <w:pStyle w:val="8"/>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D41C40D">
      <w:pPr>
        <w:pStyle w:val="8"/>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92599E9">
      <w:pPr>
        <w:pStyle w:val="8"/>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49BD5F0">
      <w:pPr>
        <w:pStyle w:val="3"/>
      </w:pPr>
      <w:bookmarkStart w:id="22" w:name="_Toc63785507"/>
      <w:r>
        <w:rPr>
          <w:rFonts w:hint="eastAsia"/>
        </w:rPr>
        <w:t>培训要求</w:t>
      </w:r>
      <w:bookmarkEnd w:id="22"/>
    </w:p>
    <w:p w14:paraId="43899E55">
      <w:pPr>
        <w:rPr>
          <w:szCs w:val="21"/>
        </w:rPr>
      </w:pPr>
      <w:r>
        <w:rPr>
          <w:rFonts w:hint="eastAsia"/>
          <w:szCs w:val="21"/>
        </w:rPr>
        <w:t>1、在项目建设期间，供应商需提供三次免费的应用软件和使用操作等方面现场培训。所有培训应在项目验收前完成。供应商</w:t>
      </w:r>
      <w:r>
        <w:rPr>
          <w:rFonts w:hint="eastAsia"/>
          <w:szCs w:val="21"/>
          <w:lang w:eastAsia="zh-CN"/>
        </w:rPr>
        <w:t>需</w:t>
      </w:r>
      <w:r>
        <w:rPr>
          <w:rFonts w:hint="eastAsia"/>
          <w:szCs w:val="21"/>
        </w:rPr>
        <w:t>在响应文件中提出全面、详细的培训计划，并在双方合同签订后征得采购人同意后实施。</w:t>
      </w:r>
    </w:p>
    <w:p w14:paraId="3A358A7A">
      <w:pPr>
        <w:rPr>
          <w:strike/>
          <w:szCs w:val="21"/>
        </w:rPr>
      </w:pPr>
      <w:r>
        <w:rPr>
          <w:rFonts w:hint="eastAsia"/>
          <w:szCs w:val="21"/>
        </w:rPr>
        <w:t>2、对于所有培训，供应商应在培训前提供采购人相应的培训资料和操作手册（纸质和电子各一份），供应商应派出具有相应专业资格和实际工作、教育经验培训教员进行培训，主要培训教员应至少具有三年的教学经验，培训所使用的语言应为中文，否则供应商需要提供同声翻译。</w:t>
      </w:r>
    </w:p>
    <w:p w14:paraId="3886206F">
      <w:pPr>
        <w:pStyle w:val="3"/>
      </w:pPr>
      <w:bookmarkStart w:id="23" w:name="_Toc63785509"/>
      <w:r>
        <w:rPr>
          <w:rFonts w:hint="eastAsia"/>
        </w:rPr>
        <w:t>进度要求</w:t>
      </w:r>
      <w:bookmarkEnd w:id="23"/>
    </w:p>
    <w:p w14:paraId="4F745EA4">
      <w:r>
        <w:rPr>
          <w:rFonts w:hint="eastAsia"/>
        </w:rPr>
        <w:t>投标人应根据建设内容，分阶段制定合理的时间进度，并且应根据招标方要求进行调整和细化。</w:t>
      </w:r>
    </w:p>
    <w:p w14:paraId="5A81C29A">
      <w:r>
        <w:rPr>
          <w:rFonts w:hint="eastAsia"/>
        </w:rPr>
        <w:t>本项目需在2</w:t>
      </w:r>
      <w:r>
        <w:t>026</w:t>
      </w:r>
      <w:r>
        <w:rPr>
          <w:rFonts w:hint="eastAsia"/>
        </w:rPr>
        <w:t>年1</w:t>
      </w:r>
      <w:r>
        <w:t>2</w:t>
      </w:r>
      <w:r>
        <w:rPr>
          <w:rFonts w:hint="eastAsia"/>
        </w:rPr>
        <w:t>月1</w:t>
      </w:r>
      <w:r>
        <w:t>5</w:t>
      </w:r>
      <w:r>
        <w:rPr>
          <w:rFonts w:hint="eastAsia"/>
        </w:rPr>
        <w:t>日前完成交付及最终验收工作。</w:t>
      </w:r>
    </w:p>
    <w:p w14:paraId="4C69A945">
      <w:pPr>
        <w:pStyle w:val="3"/>
      </w:pPr>
      <w:bookmarkStart w:id="24" w:name="_Toc63785510"/>
      <w:r>
        <w:rPr>
          <w:rFonts w:hint="eastAsia"/>
        </w:rPr>
        <w:t>项目团队及驻场人员要求</w:t>
      </w:r>
      <w:bookmarkEnd w:id="24"/>
    </w:p>
    <w:p w14:paraId="1E8C772E">
      <w:r>
        <w:t>1）投标人</w:t>
      </w:r>
      <w:r>
        <w:rPr>
          <w:rFonts w:hint="eastAsia"/>
          <w:lang w:eastAsia="zh-CN"/>
        </w:rPr>
        <w:t>需</w:t>
      </w:r>
      <w:r>
        <w:t>具有稳定的在职技术保障力量，能够提供及时的技术支援或服务，应针对本项目提供不少于8人的项目服务团队（包括项目经理、技术负责人、研发等），投标单位的相关服务人员需具备相应的服务能力，需提供相关</w:t>
      </w:r>
      <w:r>
        <w:rPr>
          <w:rFonts w:hint="eastAsia"/>
          <w:lang w:eastAsia="zh-CN"/>
        </w:rPr>
        <w:t>社保</w:t>
      </w:r>
      <w:r>
        <w:t>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016"/>
        <w:gridCol w:w="1180"/>
        <w:gridCol w:w="1736"/>
        <w:gridCol w:w="1180"/>
      </w:tblGrid>
      <w:tr w14:paraId="591C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889F11F">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7601C27F">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1F2957BE">
            <w:pPr>
              <w:widowControl/>
              <w:spacing w:line="240" w:lineRule="auto"/>
              <w:ind w:firstLine="0" w:firstLineChars="0"/>
              <w:jc w:val="center"/>
              <w:rPr>
                <w:b/>
              </w:rPr>
            </w:pPr>
            <w:r>
              <w:rPr>
                <w:rFonts w:hint="eastAsia"/>
                <w:b/>
              </w:rPr>
              <w:t>人员数量</w:t>
            </w:r>
          </w:p>
        </w:tc>
        <w:tc>
          <w:tcPr>
            <w:tcW w:w="0" w:type="auto"/>
            <w:vAlign w:val="center"/>
          </w:tcPr>
          <w:p w14:paraId="12DA7DFD">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19898D14">
            <w:pPr>
              <w:widowControl/>
              <w:spacing w:line="240" w:lineRule="auto"/>
              <w:ind w:firstLine="0" w:firstLineChars="0"/>
              <w:jc w:val="center"/>
              <w:rPr>
                <w:b/>
              </w:rPr>
            </w:pPr>
            <w:r>
              <w:rPr>
                <w:rFonts w:hint="eastAsia"/>
                <w:b/>
              </w:rPr>
              <w:t>驻场要求</w:t>
            </w:r>
          </w:p>
        </w:tc>
      </w:tr>
      <w:tr w14:paraId="4CB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9049967">
            <w:pPr>
              <w:widowControl/>
              <w:spacing w:line="240" w:lineRule="auto"/>
              <w:ind w:firstLine="0" w:firstLineChars="0"/>
              <w:jc w:val="center"/>
            </w:pPr>
            <w:r>
              <w:rPr>
                <w:rFonts w:hint="eastAsia"/>
              </w:rPr>
              <w:t>项目经理</w:t>
            </w:r>
          </w:p>
        </w:tc>
        <w:tc>
          <w:tcPr>
            <w:tcW w:w="0" w:type="auto"/>
            <w:shd w:val="clear" w:color="auto" w:fill="auto"/>
            <w:vAlign w:val="center"/>
          </w:tcPr>
          <w:p w14:paraId="47EE921D">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10071706">
            <w:pPr>
              <w:widowControl/>
              <w:spacing w:line="240" w:lineRule="auto"/>
              <w:ind w:firstLine="0" w:firstLineChars="0"/>
              <w:jc w:val="center"/>
            </w:pPr>
            <w:r>
              <w:t>1</w:t>
            </w:r>
            <w:r>
              <w:rPr>
                <w:rFonts w:hint="eastAsia"/>
              </w:rPr>
              <w:t>人</w:t>
            </w:r>
          </w:p>
        </w:tc>
        <w:tc>
          <w:tcPr>
            <w:tcW w:w="0" w:type="auto"/>
            <w:vAlign w:val="center"/>
          </w:tcPr>
          <w:p w14:paraId="4A754737">
            <w:pPr>
              <w:widowControl/>
              <w:spacing w:line="240" w:lineRule="auto"/>
              <w:ind w:firstLine="0" w:firstLineChars="0"/>
              <w:jc w:val="center"/>
            </w:pPr>
            <w:r>
              <w:rPr>
                <w:rFonts w:hint="eastAsia"/>
              </w:rPr>
              <w:t>具备高级信息系统项目管理师资质证书</w:t>
            </w:r>
          </w:p>
        </w:tc>
        <w:tc>
          <w:tcPr>
            <w:tcW w:w="0" w:type="auto"/>
            <w:shd w:val="clear" w:color="auto" w:fill="auto"/>
            <w:noWrap/>
            <w:vAlign w:val="center"/>
          </w:tcPr>
          <w:p w14:paraId="769A401F">
            <w:pPr>
              <w:widowControl/>
              <w:spacing w:line="240" w:lineRule="auto"/>
              <w:ind w:firstLine="0" w:firstLineChars="0"/>
              <w:jc w:val="center"/>
            </w:pPr>
            <w:r>
              <w:rPr>
                <w:rFonts w:hint="eastAsia"/>
              </w:rPr>
              <w:t>驻场</w:t>
            </w:r>
          </w:p>
        </w:tc>
      </w:tr>
      <w:tr w14:paraId="693C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FF11526">
            <w:pPr>
              <w:widowControl/>
              <w:spacing w:line="240" w:lineRule="auto"/>
              <w:ind w:firstLine="0" w:firstLineChars="0"/>
              <w:jc w:val="center"/>
            </w:pPr>
            <w:r>
              <w:rPr>
                <w:rFonts w:hint="eastAsia"/>
              </w:rPr>
              <w:t>技术负责人</w:t>
            </w:r>
          </w:p>
        </w:tc>
        <w:tc>
          <w:tcPr>
            <w:tcW w:w="0" w:type="auto"/>
            <w:shd w:val="clear" w:color="auto" w:fill="auto"/>
            <w:vAlign w:val="center"/>
          </w:tcPr>
          <w:p w14:paraId="31AD24F4">
            <w:pPr>
              <w:widowControl/>
              <w:spacing w:line="240" w:lineRule="auto"/>
              <w:ind w:firstLine="0" w:firstLineChars="0"/>
              <w:jc w:val="center"/>
            </w:pPr>
            <w:r>
              <w:rPr>
                <w:rFonts w:hint="eastAsia"/>
              </w:rPr>
              <w:t>负责项目需求评估与架构设计</w:t>
            </w:r>
          </w:p>
        </w:tc>
        <w:tc>
          <w:tcPr>
            <w:tcW w:w="0" w:type="auto"/>
            <w:shd w:val="clear" w:color="auto" w:fill="auto"/>
            <w:noWrap/>
            <w:vAlign w:val="center"/>
          </w:tcPr>
          <w:p w14:paraId="4280917E">
            <w:pPr>
              <w:widowControl/>
              <w:spacing w:line="240" w:lineRule="auto"/>
              <w:ind w:firstLine="0" w:firstLineChars="0"/>
              <w:jc w:val="center"/>
            </w:pPr>
            <w:r>
              <w:t>1</w:t>
            </w:r>
            <w:r>
              <w:rPr>
                <w:rFonts w:hint="eastAsia"/>
              </w:rPr>
              <w:t>人</w:t>
            </w:r>
          </w:p>
        </w:tc>
        <w:tc>
          <w:tcPr>
            <w:tcW w:w="0" w:type="auto"/>
            <w:vAlign w:val="center"/>
          </w:tcPr>
          <w:p w14:paraId="04A7AB94">
            <w:pPr>
              <w:widowControl/>
              <w:spacing w:line="240" w:lineRule="auto"/>
              <w:ind w:firstLine="0" w:firstLineChars="0"/>
              <w:jc w:val="center"/>
            </w:pPr>
            <w:r>
              <w:rPr>
                <w:rFonts w:hint="eastAsia"/>
              </w:rPr>
              <w:t>具备高级工程师资质证书</w:t>
            </w:r>
          </w:p>
        </w:tc>
        <w:tc>
          <w:tcPr>
            <w:tcW w:w="0" w:type="auto"/>
            <w:shd w:val="clear" w:color="auto" w:fill="auto"/>
            <w:noWrap/>
            <w:vAlign w:val="center"/>
          </w:tcPr>
          <w:p w14:paraId="24BE6617">
            <w:pPr>
              <w:widowControl/>
              <w:spacing w:line="240" w:lineRule="auto"/>
              <w:ind w:firstLine="0" w:firstLineChars="0"/>
              <w:jc w:val="center"/>
            </w:pPr>
            <w:r>
              <w:rPr>
                <w:rFonts w:hint="eastAsia"/>
              </w:rPr>
              <w:t>驻场</w:t>
            </w:r>
          </w:p>
        </w:tc>
      </w:tr>
      <w:tr w14:paraId="4D9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2F5730A">
            <w:pPr>
              <w:widowControl/>
              <w:spacing w:line="240" w:lineRule="auto"/>
              <w:ind w:firstLine="0" w:firstLineChars="0"/>
              <w:jc w:val="center"/>
            </w:pPr>
            <w:r>
              <w:rPr>
                <w:rFonts w:hint="eastAsia"/>
              </w:rPr>
              <w:t>研发</w:t>
            </w:r>
          </w:p>
        </w:tc>
        <w:tc>
          <w:tcPr>
            <w:tcW w:w="0" w:type="auto"/>
            <w:shd w:val="clear" w:color="auto" w:fill="auto"/>
            <w:noWrap/>
            <w:vAlign w:val="center"/>
          </w:tcPr>
          <w:p w14:paraId="3458EA5E">
            <w:pPr>
              <w:widowControl/>
              <w:spacing w:line="240" w:lineRule="auto"/>
              <w:ind w:firstLine="0" w:firstLineChars="0"/>
              <w:jc w:val="center"/>
            </w:pPr>
            <w:r>
              <w:rPr>
                <w:rFonts w:hint="eastAsia"/>
              </w:rPr>
              <w:t>负责项目具体开发与实施</w:t>
            </w:r>
          </w:p>
        </w:tc>
        <w:tc>
          <w:tcPr>
            <w:tcW w:w="0" w:type="auto"/>
            <w:shd w:val="clear" w:color="auto" w:fill="auto"/>
            <w:noWrap/>
            <w:vAlign w:val="center"/>
          </w:tcPr>
          <w:p w14:paraId="39FB9070">
            <w:pPr>
              <w:widowControl/>
              <w:spacing w:line="240" w:lineRule="auto"/>
              <w:ind w:firstLine="0" w:firstLineChars="0"/>
              <w:jc w:val="center"/>
            </w:pPr>
            <w:r>
              <w:t>6</w:t>
            </w:r>
            <w:r>
              <w:rPr>
                <w:rFonts w:hint="eastAsia"/>
              </w:rPr>
              <w:t>人</w:t>
            </w:r>
          </w:p>
        </w:tc>
        <w:tc>
          <w:tcPr>
            <w:tcW w:w="0" w:type="auto"/>
            <w:vAlign w:val="center"/>
          </w:tcPr>
          <w:p w14:paraId="34137A1D">
            <w:pPr>
              <w:widowControl/>
              <w:spacing w:line="240" w:lineRule="auto"/>
              <w:ind w:firstLine="0" w:firstLineChars="0"/>
              <w:jc w:val="center"/>
            </w:pPr>
            <w:r>
              <w:rPr>
                <w:rFonts w:hint="eastAsia"/>
              </w:rPr>
              <w:t>/</w:t>
            </w:r>
          </w:p>
        </w:tc>
        <w:tc>
          <w:tcPr>
            <w:tcW w:w="0" w:type="auto"/>
            <w:shd w:val="clear" w:color="auto" w:fill="auto"/>
            <w:noWrap/>
            <w:vAlign w:val="center"/>
          </w:tcPr>
          <w:p w14:paraId="5FC81DF6">
            <w:pPr>
              <w:widowControl/>
              <w:spacing w:line="240" w:lineRule="auto"/>
              <w:ind w:firstLine="0" w:firstLineChars="0"/>
              <w:jc w:val="center"/>
            </w:pPr>
            <w:r>
              <w:rPr>
                <w:rFonts w:hint="eastAsia"/>
              </w:rPr>
              <w:t>驻场</w:t>
            </w:r>
          </w:p>
        </w:tc>
      </w:tr>
    </w:tbl>
    <w:p w14:paraId="3FED8076">
      <w:r>
        <w:t>2）投标人应针对本项目提供不少于3人的质保期间支撑团队（其中技术经理1人，产品经理1人，技术工程师</w:t>
      </w:r>
      <w:r>
        <w:rPr>
          <w:rFonts w:hint="eastAsia"/>
        </w:rPr>
        <w:t>1</w:t>
      </w:r>
      <w:r>
        <w:t>人）；投标人的相关服务人员需具备相应的服务能力，需提供相关</w:t>
      </w:r>
      <w:r>
        <w:rPr>
          <w:rFonts w:hint="eastAsia"/>
          <w:lang w:eastAsia="zh-CN"/>
        </w:rPr>
        <w:t>社保</w:t>
      </w:r>
      <w:r>
        <w:t>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650"/>
        <w:gridCol w:w="1180"/>
        <w:gridCol w:w="2102"/>
        <w:gridCol w:w="1180"/>
      </w:tblGrid>
      <w:tr w14:paraId="73E6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08BFC13">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612D56EF">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59F54866">
            <w:pPr>
              <w:widowControl/>
              <w:spacing w:line="240" w:lineRule="auto"/>
              <w:ind w:firstLine="0" w:firstLineChars="0"/>
              <w:jc w:val="center"/>
              <w:rPr>
                <w:b/>
              </w:rPr>
            </w:pPr>
            <w:r>
              <w:rPr>
                <w:rFonts w:hint="eastAsia"/>
                <w:b/>
              </w:rPr>
              <w:t>人员数量</w:t>
            </w:r>
          </w:p>
        </w:tc>
        <w:tc>
          <w:tcPr>
            <w:tcW w:w="0" w:type="auto"/>
            <w:vAlign w:val="center"/>
          </w:tcPr>
          <w:p w14:paraId="26CED7F2">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51FBD464">
            <w:pPr>
              <w:widowControl/>
              <w:spacing w:line="240" w:lineRule="auto"/>
              <w:ind w:firstLine="0" w:firstLineChars="0"/>
              <w:jc w:val="center"/>
              <w:rPr>
                <w:b/>
              </w:rPr>
            </w:pPr>
            <w:r>
              <w:rPr>
                <w:rFonts w:hint="eastAsia"/>
                <w:b/>
              </w:rPr>
              <w:t>驻场要求</w:t>
            </w:r>
          </w:p>
        </w:tc>
      </w:tr>
      <w:tr w14:paraId="5FC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1739427">
            <w:pPr>
              <w:widowControl/>
              <w:spacing w:line="240" w:lineRule="auto"/>
              <w:ind w:firstLine="0" w:firstLineChars="0"/>
              <w:jc w:val="center"/>
            </w:pPr>
            <w:r>
              <w:rPr>
                <w:rFonts w:hint="eastAsia"/>
              </w:rPr>
              <w:t>项目经理</w:t>
            </w:r>
          </w:p>
        </w:tc>
        <w:tc>
          <w:tcPr>
            <w:tcW w:w="0" w:type="auto"/>
            <w:shd w:val="clear" w:color="auto" w:fill="auto"/>
            <w:vAlign w:val="center"/>
          </w:tcPr>
          <w:p w14:paraId="7AB7707E">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36253166">
            <w:pPr>
              <w:widowControl/>
              <w:spacing w:line="240" w:lineRule="auto"/>
              <w:ind w:firstLine="0" w:firstLineChars="0"/>
              <w:jc w:val="center"/>
            </w:pPr>
            <w:r>
              <w:t>1</w:t>
            </w:r>
            <w:r>
              <w:rPr>
                <w:rFonts w:hint="eastAsia"/>
              </w:rPr>
              <w:t>人</w:t>
            </w:r>
          </w:p>
        </w:tc>
        <w:tc>
          <w:tcPr>
            <w:tcW w:w="0" w:type="auto"/>
            <w:vAlign w:val="center"/>
          </w:tcPr>
          <w:p w14:paraId="053A56AE">
            <w:pPr>
              <w:widowControl/>
              <w:spacing w:line="240" w:lineRule="auto"/>
              <w:ind w:firstLine="0" w:firstLineChars="0"/>
              <w:jc w:val="center"/>
            </w:pPr>
            <w:r>
              <w:rPr>
                <w:rFonts w:hint="eastAsia"/>
              </w:rPr>
              <w:t>具备高级信息系统项目管理师资质证书</w:t>
            </w:r>
          </w:p>
        </w:tc>
        <w:tc>
          <w:tcPr>
            <w:tcW w:w="0" w:type="auto"/>
            <w:shd w:val="clear" w:color="auto" w:fill="auto"/>
            <w:noWrap/>
            <w:vAlign w:val="center"/>
          </w:tcPr>
          <w:p w14:paraId="368A8E9D">
            <w:pPr>
              <w:widowControl/>
              <w:spacing w:line="240" w:lineRule="auto"/>
              <w:ind w:firstLine="0" w:firstLineChars="0"/>
              <w:jc w:val="center"/>
            </w:pPr>
            <w:r>
              <w:rPr>
                <w:rFonts w:hint="eastAsia"/>
              </w:rPr>
              <w:t>不驻场</w:t>
            </w:r>
          </w:p>
        </w:tc>
      </w:tr>
      <w:tr w14:paraId="6B79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3B583B12">
            <w:pPr>
              <w:widowControl/>
              <w:spacing w:line="240" w:lineRule="auto"/>
              <w:ind w:firstLine="0" w:firstLineChars="0"/>
              <w:jc w:val="center"/>
            </w:pPr>
            <w:r>
              <w:rPr>
                <w:rFonts w:hint="eastAsia"/>
              </w:rPr>
              <w:t>技术负责人</w:t>
            </w:r>
          </w:p>
        </w:tc>
        <w:tc>
          <w:tcPr>
            <w:tcW w:w="0" w:type="auto"/>
            <w:shd w:val="clear" w:color="auto" w:fill="auto"/>
            <w:vAlign w:val="center"/>
          </w:tcPr>
          <w:p w14:paraId="57197CD1">
            <w:pPr>
              <w:widowControl/>
              <w:spacing w:line="240" w:lineRule="auto"/>
              <w:ind w:firstLine="0" w:firstLineChars="0"/>
              <w:jc w:val="center"/>
            </w:pPr>
            <w:r>
              <w:rPr>
                <w:rFonts w:hint="eastAsia"/>
              </w:rPr>
              <w:t>负责项目需求评估与架构设计</w:t>
            </w:r>
          </w:p>
        </w:tc>
        <w:tc>
          <w:tcPr>
            <w:tcW w:w="0" w:type="auto"/>
            <w:shd w:val="clear" w:color="auto" w:fill="auto"/>
            <w:noWrap/>
            <w:vAlign w:val="center"/>
          </w:tcPr>
          <w:p w14:paraId="0EB731E8">
            <w:pPr>
              <w:widowControl/>
              <w:spacing w:line="240" w:lineRule="auto"/>
              <w:ind w:firstLine="0" w:firstLineChars="0"/>
              <w:jc w:val="center"/>
            </w:pPr>
            <w:r>
              <w:t>1</w:t>
            </w:r>
            <w:r>
              <w:rPr>
                <w:rFonts w:hint="eastAsia"/>
              </w:rPr>
              <w:t>人</w:t>
            </w:r>
          </w:p>
        </w:tc>
        <w:tc>
          <w:tcPr>
            <w:tcW w:w="0" w:type="auto"/>
            <w:vAlign w:val="center"/>
          </w:tcPr>
          <w:p w14:paraId="2D9BD807">
            <w:pPr>
              <w:widowControl/>
              <w:spacing w:line="240" w:lineRule="auto"/>
              <w:ind w:firstLine="0" w:firstLineChars="0"/>
              <w:jc w:val="center"/>
            </w:pPr>
            <w:r>
              <w:rPr>
                <w:rFonts w:hint="eastAsia"/>
              </w:rPr>
              <w:t>具备高级工程师资质证书</w:t>
            </w:r>
          </w:p>
        </w:tc>
        <w:tc>
          <w:tcPr>
            <w:tcW w:w="0" w:type="auto"/>
            <w:shd w:val="clear" w:color="auto" w:fill="auto"/>
            <w:noWrap/>
            <w:vAlign w:val="center"/>
          </w:tcPr>
          <w:p w14:paraId="315E7FB1">
            <w:pPr>
              <w:widowControl/>
              <w:spacing w:line="240" w:lineRule="auto"/>
              <w:ind w:firstLine="0" w:firstLineChars="0"/>
              <w:jc w:val="center"/>
            </w:pPr>
            <w:r>
              <w:rPr>
                <w:rFonts w:hint="eastAsia"/>
              </w:rPr>
              <w:t>不驻场</w:t>
            </w:r>
          </w:p>
        </w:tc>
      </w:tr>
      <w:tr w14:paraId="3C0C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C9CD6E2">
            <w:pPr>
              <w:widowControl/>
              <w:spacing w:line="240" w:lineRule="auto"/>
              <w:ind w:firstLine="0" w:firstLineChars="0"/>
              <w:jc w:val="center"/>
            </w:pPr>
            <w:r>
              <w:rPr>
                <w:rFonts w:hint="eastAsia"/>
              </w:rPr>
              <w:t>技术工程师</w:t>
            </w:r>
          </w:p>
        </w:tc>
        <w:tc>
          <w:tcPr>
            <w:tcW w:w="0" w:type="auto"/>
            <w:shd w:val="clear" w:color="auto" w:fill="auto"/>
            <w:noWrap/>
            <w:vAlign w:val="center"/>
          </w:tcPr>
          <w:p w14:paraId="3930BB94">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14:paraId="52A8922B">
            <w:pPr>
              <w:widowControl/>
              <w:spacing w:line="240" w:lineRule="auto"/>
              <w:ind w:firstLine="0" w:firstLineChars="0"/>
              <w:jc w:val="center"/>
            </w:pPr>
            <w:r>
              <w:t>1</w:t>
            </w:r>
            <w:r>
              <w:rPr>
                <w:rFonts w:hint="eastAsia"/>
              </w:rPr>
              <w:t>人</w:t>
            </w:r>
          </w:p>
        </w:tc>
        <w:tc>
          <w:tcPr>
            <w:tcW w:w="0" w:type="auto"/>
            <w:vAlign w:val="center"/>
          </w:tcPr>
          <w:p w14:paraId="2FD8127D">
            <w:pPr>
              <w:widowControl/>
              <w:spacing w:line="240" w:lineRule="auto"/>
              <w:ind w:firstLine="0" w:firstLineChars="0"/>
              <w:jc w:val="center"/>
            </w:pPr>
            <w:r>
              <w:rPr>
                <w:rFonts w:hint="eastAsia"/>
              </w:rPr>
              <w:t>/</w:t>
            </w:r>
          </w:p>
        </w:tc>
        <w:tc>
          <w:tcPr>
            <w:tcW w:w="0" w:type="auto"/>
            <w:shd w:val="clear" w:color="auto" w:fill="auto"/>
            <w:noWrap/>
            <w:vAlign w:val="center"/>
          </w:tcPr>
          <w:p w14:paraId="5F726629">
            <w:pPr>
              <w:widowControl/>
              <w:spacing w:line="240" w:lineRule="auto"/>
              <w:ind w:firstLine="0" w:firstLineChars="0"/>
              <w:jc w:val="center"/>
            </w:pPr>
            <w:r>
              <w:rPr>
                <w:rFonts w:hint="eastAsia"/>
              </w:rPr>
              <w:t>驻场</w:t>
            </w:r>
          </w:p>
        </w:tc>
      </w:tr>
    </w:tbl>
    <w:p w14:paraId="72F03172">
      <w:pPr>
        <w:pStyle w:val="3"/>
      </w:pPr>
      <w:bookmarkStart w:id="25" w:name="_Toc63785511"/>
      <w:r>
        <w:t>等级保护要求</w:t>
      </w:r>
      <w:bookmarkEnd w:id="25"/>
    </w:p>
    <w:p w14:paraId="4742870F">
      <w:r>
        <w:rPr>
          <w:rFonts w:hint="eastAsia"/>
        </w:rPr>
        <w:t>本系统按信息系统等级保护三级要求建设，内容包括但不限于系统安全、用户安全、数据安全、网络安全、应用安全、数据库安全等内容。</w:t>
      </w:r>
    </w:p>
    <w:p w14:paraId="7DD1AC43">
      <w:pPr>
        <w:pStyle w:val="3"/>
      </w:pPr>
      <w:r>
        <w:rPr>
          <w:rFonts w:hint="eastAsia"/>
        </w:rPr>
        <w:t>商业密码应用需求</w:t>
      </w:r>
    </w:p>
    <w:p w14:paraId="64A8CC2A">
      <w:r>
        <w:rPr>
          <w:rFonts w:hint="eastAsia"/>
        </w:rPr>
        <w:t>本系统在通用要求、物理和环境安全、网络和通信安全、设备和计算安全、应用和数据安全、管理制度、人员管理、建设运行和应急处置等方面应达到《密码应用基本要求》中三级指标要求。</w:t>
      </w:r>
    </w:p>
    <w:p w14:paraId="4C69132C">
      <w:pPr>
        <w:pStyle w:val="3"/>
      </w:pPr>
      <w:bookmarkStart w:id="26" w:name="_Toc63785512"/>
      <w:r>
        <w:rPr>
          <w:rFonts w:hint="eastAsia"/>
        </w:rPr>
        <w:t>技术文件要求</w:t>
      </w:r>
    </w:p>
    <w:p w14:paraId="54AD4F1C">
      <w:r>
        <w:rPr>
          <w:rFonts w:hint="eastAsia"/>
        </w:rPr>
        <w:t>投标人提供的书面技术资料应能确保系统正常运行所需的管理、运营及维护有关的全套文件。技术文件应该全面、完整、详细。投标人提供的技术文件至少应包括：</w:t>
      </w:r>
    </w:p>
    <w:p w14:paraId="51EE4C26">
      <w:pPr>
        <w:pStyle w:val="9"/>
        <w:ind w:firstLine="480"/>
        <w:rPr>
          <w:sz w:val="24"/>
          <w:szCs w:val="24"/>
        </w:rPr>
      </w:pPr>
      <w:r>
        <w:rPr>
          <w:sz w:val="24"/>
          <w:szCs w:val="24"/>
        </w:rPr>
        <w:t>1、项目实施前：施工方案、项目实施计划；</w:t>
      </w:r>
    </w:p>
    <w:p w14:paraId="4004E162">
      <w:pPr>
        <w:pStyle w:val="9"/>
        <w:ind w:firstLine="480"/>
        <w:rPr>
          <w:sz w:val="24"/>
          <w:szCs w:val="24"/>
        </w:rPr>
      </w:pPr>
      <w:r>
        <w:rPr>
          <w:sz w:val="24"/>
          <w:szCs w:val="24"/>
        </w:rPr>
        <w:t>2、项目实施期间：系统需求确认书、概要设计、详细设计、项目周报及项目实施过程中衍生的其它相关文档；</w:t>
      </w:r>
    </w:p>
    <w:p w14:paraId="1C8A395B">
      <w:pPr>
        <w:pStyle w:val="9"/>
        <w:ind w:firstLine="480"/>
        <w:rPr>
          <w:sz w:val="24"/>
          <w:szCs w:val="24"/>
        </w:rPr>
      </w:pPr>
      <w:r>
        <w:rPr>
          <w:sz w:val="24"/>
          <w:szCs w:val="24"/>
        </w:rPr>
        <w:t>3、项目实施后：系统试运行和自测报告、故障诊断与排除手册、工作总结报告；</w:t>
      </w:r>
    </w:p>
    <w:p w14:paraId="7B9CE010">
      <w:pPr>
        <w:pStyle w:val="9"/>
        <w:ind w:firstLine="480"/>
        <w:rPr>
          <w:sz w:val="24"/>
          <w:szCs w:val="24"/>
        </w:rPr>
      </w:pPr>
      <w:r>
        <w:rPr>
          <w:sz w:val="24"/>
          <w:szCs w:val="24"/>
        </w:rPr>
        <w:t>4、培训期间：培训计划、用户使用手册；</w:t>
      </w:r>
    </w:p>
    <w:p w14:paraId="47EDEE47">
      <w:pPr>
        <w:pStyle w:val="9"/>
        <w:ind w:firstLine="480"/>
        <w:rPr>
          <w:sz w:val="24"/>
          <w:szCs w:val="24"/>
        </w:rPr>
      </w:pPr>
      <w:r>
        <w:rPr>
          <w:sz w:val="24"/>
          <w:szCs w:val="24"/>
        </w:rPr>
        <w:t>5、其他需要提交的材料：第三方检测报告。</w:t>
      </w:r>
      <w:bookmarkEnd w:id="26"/>
    </w:p>
    <w:p w14:paraId="1B387487">
      <w:pPr>
        <w:pStyle w:val="3"/>
      </w:pPr>
      <w:r>
        <w:rPr>
          <w:rFonts w:hint="eastAsia"/>
        </w:rPr>
        <w:t>系统验收及交付要求</w:t>
      </w:r>
    </w:p>
    <w:p w14:paraId="322FD057">
      <w:pPr>
        <w:pStyle w:val="9"/>
        <w:ind w:firstLine="480"/>
        <w:rPr>
          <w:sz w:val="24"/>
          <w:szCs w:val="24"/>
        </w:rPr>
      </w:pPr>
      <w:r>
        <w:rPr>
          <w:sz w:val="24"/>
          <w:szCs w:val="24"/>
        </w:rPr>
        <w:t>1、按照双方签订的合同要求，供应商需要配合采购人共同完成项目验收，主要是针对云环境和开发的应用软件配置集成，软件功能，操作规范，网络和安全体系等内容进行验收。</w:t>
      </w:r>
    </w:p>
    <w:p w14:paraId="0A8F01B2">
      <w:pPr>
        <w:pStyle w:val="9"/>
        <w:ind w:firstLine="480"/>
        <w:rPr>
          <w:sz w:val="24"/>
          <w:szCs w:val="24"/>
        </w:rPr>
      </w:pPr>
      <w:r>
        <w:rPr>
          <w:sz w:val="24"/>
          <w:szCs w:val="24"/>
        </w:rPr>
        <w:t>2、验收要求系统完全实现项目建设内容，配置安装到位，集成后运行正常；系统功能实现上完全符合系统的设计文档；系统各模块性能和功能稳定、使用正常；操作规范符合用户的操作习惯；系统安全符合国家标准，能够充分保证数据安全、网络安全和应用安全。</w:t>
      </w:r>
    </w:p>
    <w:p w14:paraId="51EA4B03">
      <w:pPr>
        <w:pStyle w:val="9"/>
        <w:ind w:firstLine="480"/>
        <w:rPr>
          <w:sz w:val="24"/>
          <w:szCs w:val="24"/>
        </w:rPr>
      </w:pPr>
      <w:r>
        <w:rPr>
          <w:sz w:val="24"/>
          <w:szCs w:val="24"/>
        </w:rPr>
        <w:t>3、供应商需交付项目成果物及所有验收文档，文档要求按照上海市卫生健康委员会和上海市经济信息委员会的验收文档要求。</w:t>
      </w:r>
    </w:p>
    <w:p w14:paraId="341CFC41">
      <w:pPr>
        <w:pStyle w:val="9"/>
        <w:ind w:firstLine="480"/>
        <w:rPr>
          <w:sz w:val="24"/>
          <w:szCs w:val="24"/>
        </w:rPr>
      </w:pPr>
      <w:r>
        <w:rPr>
          <w:sz w:val="24"/>
          <w:szCs w:val="24"/>
        </w:rPr>
        <w:t>4、</w:t>
      </w:r>
      <w:r>
        <w:rPr>
          <w:rFonts w:hint="eastAsia"/>
          <w:sz w:val="24"/>
          <w:szCs w:val="24"/>
          <w:lang w:eastAsia="zh-CN"/>
        </w:rPr>
        <w:t>供应商需配合</w:t>
      </w:r>
      <w:r>
        <w:rPr>
          <w:sz w:val="24"/>
          <w:szCs w:val="24"/>
        </w:rPr>
        <w:t>由具有软件测评资质的第三方软件测评机构进行测评，出具第三方软件测评报告，软件测评符合上海市卫生健康委员会和上海市经济信息委员会的验收要求，软件测试报告中的内容应覆盖所有项目涉及的软件开发内容，项目应开展性能测试，包含负载测试、压力测试、大数据量测试及疲劳测试，软件测试报告中的各测试项应均为通过。</w:t>
      </w:r>
    </w:p>
    <w:p w14:paraId="03AAA900">
      <w:pPr>
        <w:pStyle w:val="9"/>
        <w:ind w:firstLine="480"/>
        <w:rPr>
          <w:sz w:val="24"/>
          <w:szCs w:val="24"/>
        </w:rPr>
      </w:pPr>
      <w:r>
        <w:rPr>
          <w:sz w:val="24"/>
          <w:szCs w:val="24"/>
        </w:rPr>
        <w:t>5、</w:t>
      </w:r>
      <w:r>
        <w:rPr>
          <w:rFonts w:hint="eastAsia"/>
          <w:sz w:val="24"/>
          <w:szCs w:val="24"/>
          <w:lang w:eastAsia="zh-CN"/>
        </w:rPr>
        <w:t>供应商需配合</w:t>
      </w:r>
      <w:r>
        <w:rPr>
          <w:sz w:val="24"/>
          <w:szCs w:val="24"/>
        </w:rPr>
        <w:t>由具有密码应用与安全性评估资质的第三方密码测评机构进行测评，出具第三方密码应用与安全性评估报告，评估结果符合上海市卫生健康委员会和上海市经济信息委员会的验收要求。</w:t>
      </w:r>
    </w:p>
    <w:p w14:paraId="24EDE3CE">
      <w:pPr>
        <w:pStyle w:val="9"/>
        <w:ind w:firstLine="480"/>
        <w:rPr>
          <w:sz w:val="24"/>
          <w:szCs w:val="24"/>
        </w:rPr>
      </w:pPr>
      <w:r>
        <w:rPr>
          <w:sz w:val="24"/>
          <w:szCs w:val="24"/>
        </w:rPr>
        <w:t>6、本系统按信息系统等级保护三级要求建设，供应商需要配合采购人共同完成软件开发部分的相关等级测评。</w:t>
      </w:r>
    </w:p>
    <w:p w14:paraId="41FB4A48">
      <w:pPr>
        <w:pStyle w:val="3"/>
      </w:pPr>
      <w:r>
        <w:rPr>
          <w:rFonts w:hint="eastAsia"/>
        </w:rPr>
        <w:t>供应商资质证书要求</w:t>
      </w:r>
    </w:p>
    <w:p w14:paraId="1489F025">
      <w:pPr>
        <w:pStyle w:val="9"/>
        <w:ind w:firstLine="480"/>
        <w:rPr>
          <w:sz w:val="24"/>
          <w:szCs w:val="24"/>
        </w:rPr>
      </w:pPr>
      <w:r>
        <w:rPr>
          <w:rFonts w:hint="eastAsia"/>
          <w:sz w:val="24"/>
          <w:szCs w:val="24"/>
        </w:rPr>
        <w:t>供应商应当具有类似项目建设经验，</w:t>
      </w:r>
      <w:r>
        <w:rPr>
          <w:sz w:val="24"/>
          <w:szCs w:val="24"/>
        </w:rPr>
        <w:t>具有</w:t>
      </w:r>
      <w:r>
        <w:rPr>
          <w:rFonts w:hint="eastAsia"/>
          <w:sz w:val="24"/>
          <w:szCs w:val="24"/>
        </w:rPr>
        <w:t>临床质量检测控制、医学领域质量控制</w:t>
      </w:r>
      <w:r>
        <w:rPr>
          <w:sz w:val="24"/>
          <w:szCs w:val="24"/>
        </w:rPr>
        <w:t>相关的软件著作权证书的优先</w:t>
      </w:r>
      <w:r>
        <w:rPr>
          <w:rFonts w:hint="eastAsia"/>
          <w:sz w:val="24"/>
          <w:szCs w:val="24"/>
          <w:lang w:eastAsia="zh-CN"/>
        </w:rPr>
        <w:t>考虑</w:t>
      </w:r>
      <w:bookmarkStart w:id="27" w:name="_GoBack"/>
      <w:bookmarkEnd w:id="27"/>
      <w:r>
        <w:rPr>
          <w:sz w:val="24"/>
          <w:szCs w:val="24"/>
        </w:rPr>
        <w:t>。</w:t>
      </w:r>
    </w:p>
    <w:p w14:paraId="3CCF592A">
      <w:pPr>
        <w:pStyle w:val="2"/>
      </w:pPr>
      <w:r>
        <w:rPr>
          <w:rFonts w:hint="eastAsia"/>
        </w:rPr>
        <w:t>附录</w:t>
      </w:r>
      <w:bookmarkEnd w:id="20"/>
    </w:p>
    <w:p w14:paraId="18A7596F">
      <w:r>
        <w:rPr>
          <w:rFonts w:hint="eastAsia"/>
        </w:rPr>
        <w:t>无</w:t>
      </w:r>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F7DF">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0C5B9F6"/>
  <w:p w14:paraId="73F51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F304B1"/>
    <w:rsid w:val="000935D9"/>
    <w:rsid w:val="00183354"/>
    <w:rsid w:val="002C3257"/>
    <w:rsid w:val="00347E37"/>
    <w:rsid w:val="00370FAA"/>
    <w:rsid w:val="003B69AE"/>
    <w:rsid w:val="003D15B7"/>
    <w:rsid w:val="003E45D5"/>
    <w:rsid w:val="003F5CB0"/>
    <w:rsid w:val="009B7D1D"/>
    <w:rsid w:val="00A37C41"/>
    <w:rsid w:val="00A42071"/>
    <w:rsid w:val="00C13104"/>
    <w:rsid w:val="00E26C8A"/>
    <w:rsid w:val="00F304B1"/>
    <w:rsid w:val="645D785C"/>
    <w:rsid w:val="7BB51512"/>
    <w:rsid w:val="7CF3BF67"/>
    <w:rsid w:val="7FD606E7"/>
    <w:rsid w:val="9B9E5F41"/>
    <w:rsid w:val="B7D53A2A"/>
    <w:rsid w:val="D9F78CA9"/>
    <w:rsid w:val="E57F5397"/>
    <w:rsid w:val="F77EFFE4"/>
    <w:rsid w:val="F9CF4CF1"/>
    <w:rsid w:val="FE17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8">
    <w:name w:val="正文缩进1"/>
    <w:basedOn w:val="1"/>
    <w:autoRedefine/>
    <w:qFormat/>
    <w:uiPriority w:val="0"/>
    <w:pPr>
      <w:spacing w:line="240" w:lineRule="auto"/>
      <w:ind w:firstLine="420"/>
    </w:pPr>
    <w:rPr>
      <w:rFonts w:ascii="Times New Roman" w:hAnsi="Times New Roman"/>
      <w:sz w:val="21"/>
      <w:szCs w:val="20"/>
    </w:rPr>
  </w:style>
  <w:style w:type="paragraph" w:customStyle="1" w:styleId="9">
    <w:name w:val="正文正文2"/>
    <w:basedOn w:val="1"/>
    <w:autoRedefine/>
    <w:qFormat/>
    <w:uiPriority w:val="0"/>
    <w:pPr>
      <w:ind w:firstLine="460"/>
    </w:pPr>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3345</Words>
  <Characters>19070</Characters>
  <Lines>158</Lines>
  <Paragraphs>44</Paragraphs>
  <TotalTime>7</TotalTime>
  <ScaleCrop>false</ScaleCrop>
  <LinksUpToDate>false</LinksUpToDate>
  <CharactersWithSpaces>22371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2026-03-14T18:09:00Z</dcterms:created>
  <dc:creator>user</dc:creator>
  <cp:lastModifiedBy>郭田恬</cp:lastModifiedBy>
  <dcterms:modified xsi:type="dcterms:W3CDTF">2026-04-03T10:08:41Z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AEBBD75C976680D62CBCCC69A40EFD42_43</vt:lpwstr>
  </property>
</Properties>
</file>