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80F89">
      <w:pPr>
        <w:spacing w:line="600" w:lineRule="auto"/>
        <w:jc w:val="center"/>
        <w:rPr>
          <w:rFonts w:ascii="仿宋" w:hAnsi="仿宋" w:eastAsia="仿宋" w:cs="仿宋"/>
          <w:b/>
          <w:sz w:val="36"/>
          <w:szCs w:val="36"/>
        </w:rPr>
      </w:pPr>
    </w:p>
    <w:p w14:paraId="5C7387F3">
      <w:pPr>
        <w:spacing w:line="600" w:lineRule="auto"/>
        <w:jc w:val="center"/>
        <w:rPr>
          <w:rFonts w:ascii="仿宋" w:hAnsi="仿宋" w:eastAsia="仿宋" w:cs="仿宋"/>
          <w:b/>
          <w:sz w:val="36"/>
          <w:szCs w:val="36"/>
        </w:rPr>
      </w:pPr>
      <w:bookmarkStart w:id="9" w:name="_GoBack"/>
      <w:bookmarkEnd w:id="9"/>
    </w:p>
    <w:p w14:paraId="30B3FB88">
      <w:pPr>
        <w:spacing w:line="600" w:lineRule="auto"/>
        <w:jc w:val="center"/>
        <w:rPr>
          <w:rFonts w:ascii="仿宋" w:hAnsi="仿宋" w:eastAsia="仿宋" w:cs="仿宋"/>
          <w:b/>
          <w:sz w:val="36"/>
          <w:szCs w:val="36"/>
        </w:rPr>
      </w:pPr>
    </w:p>
    <w:p w14:paraId="18CC4EDD">
      <w:pPr>
        <w:tabs>
          <w:tab w:val="left" w:pos="7030"/>
        </w:tabs>
        <w:spacing w:line="600" w:lineRule="auto"/>
        <w:jc w:val="left"/>
        <w:rPr>
          <w:rFonts w:ascii="仿宋" w:hAnsi="仿宋" w:eastAsia="仿宋" w:cs="仿宋"/>
          <w:b/>
          <w:sz w:val="36"/>
          <w:szCs w:val="36"/>
        </w:rPr>
      </w:pPr>
      <w:r>
        <w:rPr>
          <w:rFonts w:ascii="仿宋" w:hAnsi="仿宋" w:eastAsia="仿宋" w:cs="仿宋"/>
          <w:b/>
          <w:sz w:val="36"/>
          <w:szCs w:val="36"/>
        </w:rPr>
        <w:tab/>
      </w:r>
    </w:p>
    <w:p w14:paraId="1B883EA3">
      <w:pPr>
        <w:spacing w:line="360" w:lineRule="auto"/>
        <w:jc w:val="center"/>
        <w:rPr>
          <w:rFonts w:ascii="方正小标宋_GBK" w:hAnsi="仿宋" w:eastAsia="方正小标宋_GBK" w:cs="仿宋"/>
          <w:sz w:val="44"/>
          <w:szCs w:val="44"/>
        </w:rPr>
      </w:pPr>
      <w:r>
        <w:rPr>
          <w:rFonts w:hint="eastAsia" w:ascii="方正小标宋_GBK" w:hAnsi="仿宋" w:eastAsia="方正小标宋_GBK" w:cs="仿宋"/>
          <w:sz w:val="44"/>
          <w:szCs w:val="44"/>
        </w:rPr>
        <w:t>三分中心2026年商用密码应用安全性评估</w:t>
      </w:r>
    </w:p>
    <w:p w14:paraId="197A7512">
      <w:pPr>
        <w:spacing w:line="360" w:lineRule="auto"/>
        <w:jc w:val="center"/>
        <w:rPr>
          <w:rFonts w:ascii="方正小标宋_GBK" w:hAnsi="仿宋" w:eastAsia="方正小标宋_GBK" w:cs="仿宋"/>
          <w:sz w:val="44"/>
          <w:szCs w:val="44"/>
        </w:rPr>
      </w:pPr>
      <w:r>
        <w:rPr>
          <w:rFonts w:hint="eastAsia" w:ascii="方正小标宋_GBK" w:hAnsi="仿宋" w:eastAsia="方正小标宋_GBK" w:cs="仿宋"/>
          <w:sz w:val="44"/>
          <w:szCs w:val="44"/>
        </w:rPr>
        <w:t>服务项目采购需求</w:t>
      </w:r>
    </w:p>
    <w:p w14:paraId="7A77A10B">
      <w:pPr>
        <w:spacing w:line="600" w:lineRule="auto"/>
        <w:jc w:val="center"/>
        <w:rPr>
          <w:rFonts w:ascii="仿宋" w:hAnsi="仿宋" w:eastAsia="仿宋" w:cs="仿宋"/>
          <w:b/>
          <w:sz w:val="36"/>
          <w:szCs w:val="36"/>
        </w:rPr>
      </w:pPr>
    </w:p>
    <w:p w14:paraId="4805EA10">
      <w:pPr>
        <w:spacing w:line="600" w:lineRule="auto"/>
        <w:jc w:val="center"/>
        <w:rPr>
          <w:rFonts w:ascii="仿宋" w:hAnsi="仿宋" w:eastAsia="仿宋" w:cs="仿宋"/>
          <w:b/>
          <w:sz w:val="36"/>
          <w:szCs w:val="36"/>
        </w:rPr>
      </w:pPr>
    </w:p>
    <w:p w14:paraId="0E2E2AB9">
      <w:pPr>
        <w:spacing w:line="600" w:lineRule="auto"/>
        <w:jc w:val="center"/>
        <w:rPr>
          <w:rFonts w:ascii="仿宋" w:hAnsi="仿宋" w:eastAsia="仿宋" w:cs="仿宋"/>
          <w:b/>
          <w:sz w:val="36"/>
          <w:szCs w:val="36"/>
        </w:rPr>
        <w:sectPr>
          <w:pgSz w:w="11906" w:h="16838"/>
          <w:pgMar w:top="1440" w:right="1800" w:bottom="1440" w:left="1800" w:header="851" w:footer="992" w:gutter="0"/>
          <w:cols w:space="425" w:num="1"/>
          <w:docGrid w:type="lines" w:linePitch="312" w:charSpace="0"/>
        </w:sectPr>
      </w:pPr>
    </w:p>
    <w:p w14:paraId="27736227">
      <w:pPr>
        <w:pStyle w:val="2"/>
        <w:ind w:left="0"/>
        <w:rPr>
          <w:rFonts w:ascii="仿宋" w:hAnsi="仿宋" w:eastAsia="仿宋" w:cs="仿宋"/>
        </w:rPr>
      </w:pPr>
      <w:bookmarkStart w:id="0" w:name="_Toc69194644"/>
      <w:r>
        <w:rPr>
          <w:rFonts w:hint="eastAsia" w:ascii="仿宋" w:hAnsi="仿宋" w:eastAsia="仿宋" w:cs="仿宋"/>
        </w:rPr>
        <w:t>项目概述</w:t>
      </w:r>
      <w:bookmarkEnd w:id="0"/>
    </w:p>
    <w:p w14:paraId="574D9989">
      <w:pPr>
        <w:ind w:firstLine="560" w:firstLineChars="200"/>
        <w:rPr>
          <w:rFonts w:ascii="仿宋" w:hAnsi="仿宋" w:eastAsia="仿宋" w:cs="仿宋"/>
          <w:sz w:val="28"/>
          <w:szCs w:val="28"/>
        </w:rPr>
      </w:pPr>
      <w:r>
        <w:rPr>
          <w:rFonts w:hint="eastAsia" w:ascii="仿宋" w:hAnsi="仿宋" w:eastAsia="仿宋" w:cs="仿宋"/>
          <w:sz w:val="28"/>
          <w:szCs w:val="28"/>
        </w:rPr>
        <w:t>项目背景：本项目依据《中华人民共和国密码法》、《商用密码管理条例》、《关键信息基础设施安全保护条例》等相关法律法规，结合市大数据中心网络和数据安全工作要求，旨在为上海市大数据中心信息化服务第三分中心（以下简称“三分中心”）提供全面的网络和数据安全的技术支持和保障。</w:t>
      </w:r>
    </w:p>
    <w:p w14:paraId="04FE3CF5">
      <w:pPr>
        <w:ind w:firstLine="560" w:firstLineChars="200"/>
        <w:rPr>
          <w:rFonts w:ascii="仿宋" w:hAnsi="仿宋" w:eastAsia="仿宋" w:cs="仿宋"/>
          <w:sz w:val="28"/>
          <w:szCs w:val="28"/>
        </w:rPr>
      </w:pPr>
      <w:r>
        <w:rPr>
          <w:rFonts w:hint="eastAsia" w:ascii="仿宋" w:hAnsi="仿宋" w:eastAsia="仿宋" w:cs="仿宋"/>
          <w:sz w:val="28"/>
          <w:szCs w:val="28"/>
        </w:rPr>
        <w:t>三分中心以筑牢网络和数据安全屏障为目标，消除各信息系统安全风险隐患，以重要信息系统网络安全保障为重点，明确网络安全工作职责分工，提升三分中心各信息化服务团队网络与数据安全管控能力，切实推进三分中心2026年度网络安全工作有序开展，确保全年无重大网络安全事件发生。拟通过购买服务方式，选择优质的服务商提供商用密码应用安全性评估服务。</w:t>
      </w:r>
    </w:p>
    <w:p w14:paraId="6138B0B3">
      <w:pPr>
        <w:ind w:firstLine="560" w:firstLineChars="200"/>
        <w:rPr>
          <w:rFonts w:ascii="仿宋" w:hAnsi="仿宋" w:eastAsia="仿宋" w:cs="仿宋"/>
          <w:sz w:val="28"/>
          <w:szCs w:val="28"/>
        </w:rPr>
      </w:pPr>
      <w:r>
        <w:rPr>
          <w:rFonts w:hint="eastAsia" w:ascii="仿宋" w:hAnsi="仿宋" w:eastAsia="仿宋" w:cs="仿宋"/>
          <w:sz w:val="28"/>
          <w:szCs w:val="28"/>
        </w:rPr>
        <w:t>服务期限：合同签订之日起至2026年12月31日</w:t>
      </w:r>
    </w:p>
    <w:p w14:paraId="2075799C">
      <w:pPr>
        <w:ind w:firstLine="560" w:firstLineChars="200"/>
        <w:rPr>
          <w:rFonts w:ascii="仿宋" w:hAnsi="仿宋" w:eastAsia="仿宋" w:cs="仿宋"/>
          <w:sz w:val="28"/>
          <w:szCs w:val="28"/>
        </w:rPr>
      </w:pPr>
      <w:r>
        <w:rPr>
          <w:rFonts w:hint="eastAsia" w:ascii="仿宋" w:hAnsi="仿宋" w:eastAsia="仿宋" w:cs="仿宋"/>
          <w:sz w:val="28"/>
          <w:szCs w:val="28"/>
        </w:rPr>
        <w:t>服务地点：上海市大数据中心信息化服务第三分中心</w:t>
      </w:r>
    </w:p>
    <w:p w14:paraId="559A5B7D">
      <w:pPr>
        <w:ind w:firstLine="560" w:firstLineChars="200"/>
        <w:rPr>
          <w:rFonts w:ascii="仿宋" w:hAnsi="仿宋" w:eastAsia="仿宋" w:cs="仿宋"/>
          <w:sz w:val="28"/>
          <w:szCs w:val="28"/>
        </w:rPr>
      </w:pPr>
    </w:p>
    <w:p w14:paraId="58C32F09">
      <w:pPr>
        <w:pStyle w:val="2"/>
        <w:ind w:left="0"/>
        <w:rPr>
          <w:rFonts w:ascii="仿宋" w:hAnsi="仿宋" w:eastAsia="仿宋" w:cs="仿宋"/>
        </w:rPr>
      </w:pPr>
      <w:bookmarkStart w:id="1" w:name="_Toc69194645"/>
      <w:r>
        <w:rPr>
          <w:rFonts w:hint="eastAsia" w:ascii="仿宋" w:hAnsi="仿宋" w:eastAsia="仿宋" w:cs="仿宋"/>
        </w:rPr>
        <w:t>服务范围</w:t>
      </w:r>
      <w:bookmarkEnd w:id="1"/>
    </w:p>
    <w:p w14:paraId="5F6248E1">
      <w:pPr>
        <w:pStyle w:val="3"/>
        <w:rPr>
          <w:rFonts w:ascii="仿宋" w:hAnsi="仿宋" w:cs="仿宋"/>
        </w:rPr>
      </w:pPr>
      <w:r>
        <w:rPr>
          <w:rFonts w:hint="eastAsia" w:ascii="仿宋" w:hAnsi="仿宋" w:cs="仿宋"/>
          <w:bCs w:val="0"/>
          <w:szCs w:val="28"/>
        </w:rPr>
        <w:t>系统重要等级</w:t>
      </w:r>
    </w:p>
    <w:p w14:paraId="365F4FE0">
      <w:pPr>
        <w:ind w:firstLine="560" w:firstLineChars="200"/>
        <w:rPr>
          <w:rFonts w:ascii="仿宋_GB2312" w:hAnsi="仿宋" w:eastAsia="仿宋_GB2312" w:cs="仿宋"/>
          <w:iCs/>
          <w:sz w:val="28"/>
          <w:szCs w:val="28"/>
        </w:rPr>
      </w:pPr>
      <w:r>
        <w:rPr>
          <w:rFonts w:hint="eastAsia" w:ascii="仿宋_GB2312" w:hAnsi="仿宋" w:eastAsia="仿宋_GB2312" w:cs="仿宋"/>
          <w:iCs/>
          <w:sz w:val="28"/>
          <w:szCs w:val="28"/>
        </w:rPr>
        <w:t>本项目重要信息系统清单为：基层治理数字化平台、上海市社区事务受理信息系统、上海市社会救助和社会组织系统、上海市社会福利和社会服务系统、上海市民政局综合服务系统（外部）、上海市劳动保障管理信息系统、上海市退役军人事务局政务协同办公系统、上海市退役军人综合管理系统、上海退役军人互联网+云服务平台子系统、上海市退役军人事务局政务协同办公大系统资金监管平台子系统、上海市退役军人事务局安置与就业创业管理系统、上海市军人退役“一件事”综合管理平台系统、上海市退役军人事务局支撑管理系统、上海市退役军人事务局互联网应用系统、上海市国内人才引进管理系统、上海市海外人才管理系统、上海市人才工作统筹管理系统。</w:t>
      </w:r>
    </w:p>
    <w:p w14:paraId="50BD2726">
      <w:pPr>
        <w:ind w:firstLine="560" w:firstLineChars="200"/>
      </w:pPr>
      <w:r>
        <w:rPr>
          <w:rFonts w:hint="eastAsia" w:ascii="仿宋_GB2312" w:hAnsi="仿宋" w:eastAsia="仿宋_GB2312" w:cs="仿宋"/>
          <w:iCs/>
          <w:sz w:val="28"/>
          <w:szCs w:val="28"/>
        </w:rPr>
        <w:t>本项目一般信息系统清单为：上海市人社局内控管理系统、上海市民政局综合服务系统（内部）、上海市医疗保障局门户网站、上海市医疗保障局财务内控管理系统。</w:t>
      </w:r>
    </w:p>
    <w:p w14:paraId="08D4690F">
      <w:pPr>
        <w:pStyle w:val="3"/>
        <w:ind w:left="420" w:firstLine="562" w:firstLineChars="200"/>
        <w:rPr>
          <w:rFonts w:ascii="仿宋" w:hAnsi="仿宋" w:cs="仿宋"/>
          <w:szCs w:val="28"/>
        </w:rPr>
      </w:pPr>
      <w:r>
        <w:rPr>
          <w:rFonts w:hint="eastAsia" w:ascii="仿宋" w:hAnsi="仿宋" w:cs="仿宋"/>
          <w:szCs w:val="28"/>
        </w:rPr>
        <w:t>维护清单</w:t>
      </w:r>
    </w:p>
    <w:tbl>
      <w:tblPr>
        <w:tblStyle w:val="24"/>
        <w:tblW w:w="8833"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4"/>
        <w:gridCol w:w="1200"/>
        <w:gridCol w:w="4555"/>
        <w:gridCol w:w="2364"/>
      </w:tblGrid>
      <w:tr w14:paraId="7331C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714" w:type="dxa"/>
            <w:shd w:val="clear" w:color="auto" w:fill="auto"/>
            <w:vAlign w:val="center"/>
          </w:tcPr>
          <w:p w14:paraId="0FE6DF6D">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1200" w:type="dxa"/>
            <w:shd w:val="clear" w:color="auto" w:fill="auto"/>
            <w:vAlign w:val="center"/>
          </w:tcPr>
          <w:p w14:paraId="278C5132">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服务对象</w:t>
            </w:r>
          </w:p>
        </w:tc>
        <w:tc>
          <w:tcPr>
            <w:tcW w:w="4555" w:type="dxa"/>
            <w:shd w:val="clear" w:color="auto" w:fill="auto"/>
            <w:vAlign w:val="center"/>
          </w:tcPr>
          <w:p w14:paraId="7EF89163">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系统名称</w:t>
            </w:r>
          </w:p>
        </w:tc>
        <w:tc>
          <w:tcPr>
            <w:tcW w:w="2364" w:type="dxa"/>
            <w:shd w:val="clear" w:color="auto" w:fill="auto"/>
            <w:vAlign w:val="center"/>
          </w:tcPr>
          <w:p w14:paraId="0FB6AA8D">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服务标准</w:t>
            </w:r>
          </w:p>
        </w:tc>
      </w:tr>
      <w:tr w14:paraId="75D64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714" w:type="dxa"/>
            <w:vMerge w:val="restart"/>
            <w:shd w:val="clear" w:color="auto" w:fill="auto"/>
            <w:vAlign w:val="center"/>
          </w:tcPr>
          <w:p w14:paraId="5E85E9FD">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200" w:type="dxa"/>
            <w:vMerge w:val="restart"/>
            <w:shd w:val="clear" w:color="auto" w:fill="auto"/>
            <w:vAlign w:val="center"/>
          </w:tcPr>
          <w:p w14:paraId="3009CE8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密码应用安全性评估</w:t>
            </w:r>
          </w:p>
        </w:tc>
        <w:tc>
          <w:tcPr>
            <w:tcW w:w="4555" w:type="dxa"/>
            <w:shd w:val="clear" w:color="auto" w:fill="auto"/>
            <w:vAlign w:val="center"/>
          </w:tcPr>
          <w:p w14:paraId="06A54A25">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基层治理数字化平台</w:t>
            </w:r>
          </w:p>
        </w:tc>
        <w:tc>
          <w:tcPr>
            <w:tcW w:w="2364" w:type="dxa"/>
            <w:vMerge w:val="restart"/>
            <w:shd w:val="clear" w:color="auto" w:fill="auto"/>
            <w:vAlign w:val="center"/>
          </w:tcPr>
          <w:p w14:paraId="01F66AB8">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应在项目验收前顺利通过密码应用安全性评估，并获取密码应用安全性评估报告</w:t>
            </w:r>
          </w:p>
        </w:tc>
      </w:tr>
      <w:tr w14:paraId="064F2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714" w:type="dxa"/>
            <w:vMerge w:val="continue"/>
            <w:shd w:val="clear" w:color="auto" w:fill="auto"/>
            <w:vAlign w:val="center"/>
          </w:tcPr>
          <w:p w14:paraId="7B3E20D0">
            <w:pPr>
              <w:widowControl/>
              <w:jc w:val="left"/>
              <w:rPr>
                <w:rFonts w:ascii="仿宋" w:hAnsi="仿宋" w:eastAsia="仿宋" w:cs="宋体"/>
                <w:color w:val="000000"/>
                <w:kern w:val="0"/>
                <w:sz w:val="24"/>
                <w:szCs w:val="24"/>
              </w:rPr>
            </w:pPr>
          </w:p>
        </w:tc>
        <w:tc>
          <w:tcPr>
            <w:tcW w:w="1200" w:type="dxa"/>
            <w:vMerge w:val="continue"/>
            <w:shd w:val="clear" w:color="auto" w:fill="auto"/>
            <w:vAlign w:val="center"/>
          </w:tcPr>
          <w:p w14:paraId="79ED3A6A">
            <w:pPr>
              <w:widowControl/>
              <w:jc w:val="left"/>
              <w:rPr>
                <w:rFonts w:ascii="仿宋" w:hAnsi="仿宋" w:eastAsia="仿宋" w:cs="宋体"/>
                <w:color w:val="000000"/>
                <w:kern w:val="0"/>
                <w:sz w:val="24"/>
                <w:szCs w:val="24"/>
              </w:rPr>
            </w:pPr>
          </w:p>
        </w:tc>
        <w:tc>
          <w:tcPr>
            <w:tcW w:w="4555" w:type="dxa"/>
            <w:shd w:val="clear" w:color="auto" w:fill="auto"/>
            <w:vAlign w:val="center"/>
          </w:tcPr>
          <w:p w14:paraId="0D36F7F9">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上海市社区事务受理信息系统</w:t>
            </w:r>
          </w:p>
        </w:tc>
        <w:tc>
          <w:tcPr>
            <w:tcW w:w="2364" w:type="dxa"/>
            <w:vMerge w:val="continue"/>
            <w:shd w:val="clear" w:color="auto" w:fill="auto"/>
            <w:vAlign w:val="center"/>
          </w:tcPr>
          <w:p w14:paraId="1D393135">
            <w:pPr>
              <w:widowControl/>
              <w:jc w:val="left"/>
              <w:rPr>
                <w:rFonts w:ascii="仿宋" w:hAnsi="仿宋" w:eastAsia="仿宋" w:cs="宋体"/>
                <w:color w:val="000000"/>
                <w:kern w:val="0"/>
                <w:sz w:val="24"/>
                <w:szCs w:val="24"/>
              </w:rPr>
            </w:pPr>
          </w:p>
        </w:tc>
      </w:tr>
      <w:tr w14:paraId="71809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714" w:type="dxa"/>
            <w:vMerge w:val="continue"/>
            <w:shd w:val="clear" w:color="auto" w:fill="auto"/>
            <w:vAlign w:val="center"/>
          </w:tcPr>
          <w:p w14:paraId="4760ECF2">
            <w:pPr>
              <w:widowControl/>
            </w:pPr>
          </w:p>
        </w:tc>
        <w:tc>
          <w:tcPr>
            <w:tcW w:w="1200" w:type="dxa"/>
            <w:vMerge w:val="continue"/>
            <w:shd w:val="clear" w:color="auto" w:fill="auto"/>
            <w:vAlign w:val="center"/>
          </w:tcPr>
          <w:p w14:paraId="1967E545">
            <w:pPr>
              <w:widowControl/>
            </w:pPr>
          </w:p>
        </w:tc>
        <w:tc>
          <w:tcPr>
            <w:tcW w:w="4555" w:type="dxa"/>
            <w:shd w:val="clear" w:color="auto" w:fill="auto"/>
            <w:vAlign w:val="center"/>
          </w:tcPr>
          <w:p w14:paraId="12D38989">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上海市社会救助和社会组织系统</w:t>
            </w:r>
          </w:p>
        </w:tc>
        <w:tc>
          <w:tcPr>
            <w:tcW w:w="2364" w:type="dxa"/>
            <w:vMerge w:val="continue"/>
            <w:shd w:val="clear" w:color="auto" w:fill="auto"/>
            <w:vAlign w:val="center"/>
          </w:tcPr>
          <w:p w14:paraId="1FF277FE">
            <w:pPr>
              <w:widowControl/>
              <w:rPr>
                <w:rFonts w:ascii="仿宋" w:hAnsi="仿宋" w:eastAsia="仿宋" w:cs="宋体"/>
                <w:color w:val="000000"/>
                <w:kern w:val="0"/>
                <w:sz w:val="24"/>
                <w:szCs w:val="24"/>
              </w:rPr>
            </w:pPr>
          </w:p>
        </w:tc>
      </w:tr>
      <w:tr w14:paraId="42B01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714" w:type="dxa"/>
            <w:vMerge w:val="continue"/>
            <w:shd w:val="clear" w:color="auto" w:fill="auto"/>
            <w:vAlign w:val="center"/>
          </w:tcPr>
          <w:p w14:paraId="2EF22AF6">
            <w:pPr>
              <w:widowControl/>
              <w:rPr>
                <w:rFonts w:ascii="仿宋" w:hAnsi="仿宋" w:eastAsia="仿宋" w:cs="宋体"/>
                <w:color w:val="000000"/>
                <w:kern w:val="0"/>
                <w:sz w:val="24"/>
                <w:szCs w:val="24"/>
              </w:rPr>
            </w:pPr>
          </w:p>
        </w:tc>
        <w:tc>
          <w:tcPr>
            <w:tcW w:w="1200" w:type="dxa"/>
            <w:vMerge w:val="continue"/>
            <w:shd w:val="clear" w:color="auto" w:fill="auto"/>
            <w:vAlign w:val="center"/>
          </w:tcPr>
          <w:p w14:paraId="1917CF6E">
            <w:pPr>
              <w:widowControl/>
              <w:rPr>
                <w:rFonts w:ascii="仿宋" w:hAnsi="仿宋" w:eastAsia="仿宋" w:cs="宋体"/>
                <w:color w:val="000000"/>
                <w:kern w:val="0"/>
                <w:sz w:val="24"/>
                <w:szCs w:val="24"/>
              </w:rPr>
            </w:pPr>
          </w:p>
        </w:tc>
        <w:tc>
          <w:tcPr>
            <w:tcW w:w="4555" w:type="dxa"/>
            <w:shd w:val="clear" w:color="auto" w:fill="auto"/>
            <w:vAlign w:val="center"/>
          </w:tcPr>
          <w:p w14:paraId="65A010DD">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上海市社会福利和社会服务系统</w:t>
            </w:r>
          </w:p>
        </w:tc>
        <w:tc>
          <w:tcPr>
            <w:tcW w:w="2364" w:type="dxa"/>
            <w:vMerge w:val="continue"/>
            <w:shd w:val="clear" w:color="auto" w:fill="auto"/>
            <w:vAlign w:val="center"/>
          </w:tcPr>
          <w:p w14:paraId="7E0705EF">
            <w:pPr>
              <w:widowControl/>
              <w:rPr>
                <w:rFonts w:ascii="仿宋" w:hAnsi="仿宋" w:eastAsia="仿宋" w:cs="宋体"/>
                <w:color w:val="000000"/>
                <w:kern w:val="0"/>
                <w:sz w:val="24"/>
                <w:szCs w:val="24"/>
              </w:rPr>
            </w:pPr>
          </w:p>
        </w:tc>
      </w:tr>
      <w:tr w14:paraId="1ECE1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714" w:type="dxa"/>
            <w:vMerge w:val="continue"/>
            <w:shd w:val="clear" w:color="auto" w:fill="auto"/>
            <w:vAlign w:val="center"/>
          </w:tcPr>
          <w:p w14:paraId="594A245C">
            <w:pPr>
              <w:widowControl/>
              <w:rPr>
                <w:rFonts w:ascii="仿宋" w:hAnsi="仿宋" w:eastAsia="仿宋" w:cs="宋体"/>
                <w:color w:val="000000"/>
                <w:kern w:val="0"/>
                <w:sz w:val="24"/>
                <w:szCs w:val="24"/>
              </w:rPr>
            </w:pPr>
          </w:p>
        </w:tc>
        <w:tc>
          <w:tcPr>
            <w:tcW w:w="1200" w:type="dxa"/>
            <w:vMerge w:val="continue"/>
            <w:shd w:val="clear" w:color="auto" w:fill="auto"/>
            <w:vAlign w:val="center"/>
          </w:tcPr>
          <w:p w14:paraId="14DC68AF">
            <w:pPr>
              <w:widowControl/>
              <w:rPr>
                <w:rFonts w:ascii="仿宋" w:hAnsi="仿宋" w:eastAsia="仿宋" w:cs="宋体"/>
                <w:color w:val="000000"/>
                <w:kern w:val="0"/>
                <w:sz w:val="24"/>
                <w:szCs w:val="24"/>
              </w:rPr>
            </w:pPr>
          </w:p>
        </w:tc>
        <w:tc>
          <w:tcPr>
            <w:tcW w:w="4555" w:type="dxa"/>
            <w:shd w:val="clear" w:color="auto" w:fill="auto"/>
            <w:vAlign w:val="center"/>
          </w:tcPr>
          <w:p w14:paraId="2595B984">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上海市民政局综合服务系统（外部）</w:t>
            </w:r>
          </w:p>
        </w:tc>
        <w:tc>
          <w:tcPr>
            <w:tcW w:w="2364" w:type="dxa"/>
            <w:vMerge w:val="continue"/>
            <w:shd w:val="clear" w:color="auto" w:fill="auto"/>
            <w:vAlign w:val="center"/>
          </w:tcPr>
          <w:p w14:paraId="460A253E">
            <w:pPr>
              <w:widowControl/>
              <w:rPr>
                <w:rFonts w:ascii="仿宋" w:hAnsi="仿宋" w:eastAsia="仿宋" w:cs="宋体"/>
                <w:color w:val="000000"/>
                <w:kern w:val="0"/>
                <w:sz w:val="24"/>
                <w:szCs w:val="24"/>
              </w:rPr>
            </w:pPr>
          </w:p>
        </w:tc>
      </w:tr>
      <w:tr w14:paraId="287F0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714" w:type="dxa"/>
            <w:vMerge w:val="continue"/>
            <w:shd w:val="clear" w:color="auto" w:fill="auto"/>
            <w:vAlign w:val="center"/>
          </w:tcPr>
          <w:p w14:paraId="095E16A4">
            <w:pPr>
              <w:widowControl/>
              <w:rPr>
                <w:rFonts w:ascii="仿宋" w:hAnsi="仿宋" w:eastAsia="仿宋" w:cs="宋体"/>
                <w:color w:val="000000"/>
                <w:kern w:val="0"/>
                <w:sz w:val="24"/>
                <w:szCs w:val="24"/>
              </w:rPr>
            </w:pPr>
          </w:p>
        </w:tc>
        <w:tc>
          <w:tcPr>
            <w:tcW w:w="1200" w:type="dxa"/>
            <w:vMerge w:val="continue"/>
            <w:shd w:val="clear" w:color="auto" w:fill="auto"/>
            <w:vAlign w:val="center"/>
          </w:tcPr>
          <w:p w14:paraId="5A576F0E">
            <w:pPr>
              <w:widowControl/>
              <w:rPr>
                <w:rFonts w:ascii="仿宋" w:hAnsi="仿宋" w:eastAsia="仿宋" w:cs="宋体"/>
                <w:color w:val="000000"/>
                <w:kern w:val="0"/>
                <w:sz w:val="24"/>
                <w:szCs w:val="24"/>
              </w:rPr>
            </w:pPr>
          </w:p>
        </w:tc>
        <w:tc>
          <w:tcPr>
            <w:tcW w:w="4555" w:type="dxa"/>
            <w:shd w:val="clear" w:color="auto" w:fill="auto"/>
            <w:vAlign w:val="center"/>
          </w:tcPr>
          <w:p w14:paraId="0E4724D9">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上海市民政局综合服务系统（内部）</w:t>
            </w:r>
          </w:p>
        </w:tc>
        <w:tc>
          <w:tcPr>
            <w:tcW w:w="2364" w:type="dxa"/>
            <w:vMerge w:val="continue"/>
            <w:shd w:val="clear" w:color="auto" w:fill="auto"/>
            <w:vAlign w:val="center"/>
          </w:tcPr>
          <w:p w14:paraId="511E3973">
            <w:pPr>
              <w:widowControl/>
              <w:rPr>
                <w:rFonts w:ascii="仿宋" w:hAnsi="仿宋" w:eastAsia="仿宋" w:cs="宋体"/>
                <w:color w:val="000000"/>
                <w:kern w:val="0"/>
                <w:sz w:val="24"/>
                <w:szCs w:val="24"/>
              </w:rPr>
            </w:pPr>
          </w:p>
        </w:tc>
      </w:tr>
      <w:tr w14:paraId="64AFD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714" w:type="dxa"/>
            <w:vMerge w:val="continue"/>
            <w:shd w:val="clear" w:color="auto" w:fill="auto"/>
            <w:vAlign w:val="center"/>
          </w:tcPr>
          <w:p w14:paraId="2833E350">
            <w:pPr>
              <w:widowControl/>
              <w:rPr>
                <w:rFonts w:ascii="仿宋" w:hAnsi="仿宋" w:eastAsia="仿宋" w:cs="宋体"/>
                <w:color w:val="000000"/>
                <w:kern w:val="0"/>
                <w:sz w:val="24"/>
                <w:szCs w:val="24"/>
              </w:rPr>
            </w:pPr>
          </w:p>
        </w:tc>
        <w:tc>
          <w:tcPr>
            <w:tcW w:w="1200" w:type="dxa"/>
            <w:vMerge w:val="continue"/>
            <w:shd w:val="clear" w:color="auto" w:fill="auto"/>
            <w:vAlign w:val="center"/>
          </w:tcPr>
          <w:p w14:paraId="4A8895C5">
            <w:pPr>
              <w:widowControl/>
              <w:rPr>
                <w:rFonts w:ascii="仿宋" w:hAnsi="仿宋" w:eastAsia="仿宋" w:cs="宋体"/>
                <w:color w:val="000000"/>
                <w:kern w:val="0"/>
                <w:sz w:val="24"/>
                <w:szCs w:val="24"/>
              </w:rPr>
            </w:pPr>
          </w:p>
        </w:tc>
        <w:tc>
          <w:tcPr>
            <w:tcW w:w="4555" w:type="dxa"/>
            <w:shd w:val="clear" w:color="auto" w:fill="auto"/>
            <w:vAlign w:val="center"/>
          </w:tcPr>
          <w:p w14:paraId="73866609">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上海市劳动保障管理信息系统</w:t>
            </w:r>
          </w:p>
        </w:tc>
        <w:tc>
          <w:tcPr>
            <w:tcW w:w="2364" w:type="dxa"/>
            <w:vMerge w:val="continue"/>
            <w:shd w:val="clear" w:color="auto" w:fill="auto"/>
            <w:vAlign w:val="center"/>
          </w:tcPr>
          <w:p w14:paraId="5B6B8F5D">
            <w:pPr>
              <w:widowControl/>
              <w:rPr>
                <w:rFonts w:ascii="仿宋" w:hAnsi="仿宋" w:eastAsia="仿宋" w:cs="宋体"/>
                <w:color w:val="000000"/>
                <w:kern w:val="0"/>
                <w:sz w:val="24"/>
                <w:szCs w:val="24"/>
              </w:rPr>
            </w:pPr>
          </w:p>
        </w:tc>
      </w:tr>
      <w:tr w14:paraId="3F3FE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714" w:type="dxa"/>
            <w:vMerge w:val="continue"/>
            <w:shd w:val="clear" w:color="auto" w:fill="auto"/>
            <w:vAlign w:val="center"/>
          </w:tcPr>
          <w:p w14:paraId="3D5A9639">
            <w:pPr>
              <w:widowControl/>
              <w:rPr>
                <w:rFonts w:ascii="仿宋" w:hAnsi="仿宋" w:eastAsia="仿宋" w:cs="宋体"/>
                <w:color w:val="000000"/>
                <w:kern w:val="0"/>
                <w:sz w:val="24"/>
                <w:szCs w:val="24"/>
              </w:rPr>
            </w:pPr>
          </w:p>
        </w:tc>
        <w:tc>
          <w:tcPr>
            <w:tcW w:w="1200" w:type="dxa"/>
            <w:vMerge w:val="continue"/>
            <w:shd w:val="clear" w:color="auto" w:fill="auto"/>
            <w:vAlign w:val="center"/>
          </w:tcPr>
          <w:p w14:paraId="263B7133">
            <w:pPr>
              <w:widowControl/>
              <w:rPr>
                <w:rFonts w:ascii="仿宋" w:hAnsi="仿宋" w:eastAsia="仿宋" w:cs="宋体"/>
                <w:color w:val="000000"/>
                <w:kern w:val="0"/>
                <w:sz w:val="24"/>
                <w:szCs w:val="24"/>
              </w:rPr>
            </w:pPr>
          </w:p>
        </w:tc>
        <w:tc>
          <w:tcPr>
            <w:tcW w:w="4555" w:type="dxa"/>
            <w:shd w:val="clear" w:color="auto" w:fill="auto"/>
            <w:vAlign w:val="center"/>
          </w:tcPr>
          <w:p w14:paraId="4059CF8C">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上海市人社局内控管理系统</w:t>
            </w:r>
          </w:p>
        </w:tc>
        <w:tc>
          <w:tcPr>
            <w:tcW w:w="2364" w:type="dxa"/>
            <w:vMerge w:val="continue"/>
            <w:shd w:val="clear" w:color="auto" w:fill="auto"/>
            <w:vAlign w:val="center"/>
          </w:tcPr>
          <w:p w14:paraId="0CBC2681">
            <w:pPr>
              <w:widowControl/>
              <w:rPr>
                <w:rFonts w:ascii="仿宋" w:hAnsi="仿宋" w:eastAsia="仿宋" w:cs="宋体"/>
                <w:color w:val="000000"/>
                <w:kern w:val="0"/>
                <w:sz w:val="24"/>
                <w:szCs w:val="24"/>
              </w:rPr>
            </w:pPr>
          </w:p>
        </w:tc>
      </w:tr>
      <w:tr w14:paraId="5F711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714" w:type="dxa"/>
            <w:vMerge w:val="continue"/>
            <w:shd w:val="clear" w:color="auto" w:fill="auto"/>
            <w:vAlign w:val="center"/>
          </w:tcPr>
          <w:p w14:paraId="5571B3F0">
            <w:pPr>
              <w:widowControl/>
              <w:rPr>
                <w:rFonts w:ascii="仿宋" w:hAnsi="仿宋" w:eastAsia="仿宋" w:cs="宋体"/>
                <w:color w:val="000000"/>
                <w:kern w:val="0"/>
                <w:sz w:val="24"/>
                <w:szCs w:val="24"/>
              </w:rPr>
            </w:pPr>
          </w:p>
        </w:tc>
        <w:tc>
          <w:tcPr>
            <w:tcW w:w="1200" w:type="dxa"/>
            <w:vMerge w:val="continue"/>
            <w:shd w:val="clear" w:color="auto" w:fill="auto"/>
            <w:vAlign w:val="center"/>
          </w:tcPr>
          <w:p w14:paraId="67BF90B9">
            <w:pPr>
              <w:widowControl/>
              <w:rPr>
                <w:rFonts w:ascii="仿宋" w:hAnsi="仿宋" w:eastAsia="仿宋" w:cs="宋体"/>
                <w:color w:val="000000"/>
                <w:kern w:val="0"/>
                <w:sz w:val="24"/>
                <w:szCs w:val="24"/>
              </w:rPr>
            </w:pPr>
          </w:p>
        </w:tc>
        <w:tc>
          <w:tcPr>
            <w:tcW w:w="4555" w:type="dxa"/>
            <w:shd w:val="clear" w:color="auto" w:fill="auto"/>
            <w:vAlign w:val="center"/>
          </w:tcPr>
          <w:p w14:paraId="1D7C1CF3">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上海市退役军人事务局政务协同办公系统</w:t>
            </w:r>
          </w:p>
        </w:tc>
        <w:tc>
          <w:tcPr>
            <w:tcW w:w="2364" w:type="dxa"/>
            <w:vMerge w:val="continue"/>
            <w:shd w:val="clear" w:color="auto" w:fill="auto"/>
            <w:vAlign w:val="center"/>
          </w:tcPr>
          <w:p w14:paraId="674CAFBF">
            <w:pPr>
              <w:widowControl/>
              <w:rPr>
                <w:rFonts w:ascii="仿宋" w:hAnsi="仿宋" w:eastAsia="仿宋" w:cs="宋体"/>
                <w:color w:val="000000"/>
                <w:kern w:val="0"/>
                <w:sz w:val="24"/>
                <w:szCs w:val="24"/>
              </w:rPr>
            </w:pPr>
          </w:p>
        </w:tc>
      </w:tr>
      <w:tr w14:paraId="5D0AF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714" w:type="dxa"/>
            <w:vMerge w:val="continue"/>
            <w:shd w:val="clear" w:color="auto" w:fill="auto"/>
            <w:vAlign w:val="center"/>
          </w:tcPr>
          <w:p w14:paraId="134FA533">
            <w:pPr>
              <w:widowControl/>
              <w:rPr>
                <w:rFonts w:ascii="仿宋" w:hAnsi="仿宋" w:eastAsia="仿宋" w:cs="宋体"/>
                <w:color w:val="000000"/>
                <w:kern w:val="0"/>
                <w:sz w:val="24"/>
                <w:szCs w:val="24"/>
              </w:rPr>
            </w:pPr>
          </w:p>
        </w:tc>
        <w:tc>
          <w:tcPr>
            <w:tcW w:w="1200" w:type="dxa"/>
            <w:vMerge w:val="continue"/>
            <w:shd w:val="clear" w:color="auto" w:fill="auto"/>
            <w:vAlign w:val="center"/>
          </w:tcPr>
          <w:p w14:paraId="75DF746C">
            <w:pPr>
              <w:widowControl/>
              <w:rPr>
                <w:rFonts w:ascii="仿宋" w:hAnsi="仿宋" w:eastAsia="仿宋" w:cs="宋体"/>
                <w:color w:val="000000"/>
                <w:kern w:val="0"/>
                <w:sz w:val="24"/>
                <w:szCs w:val="24"/>
              </w:rPr>
            </w:pPr>
          </w:p>
        </w:tc>
        <w:tc>
          <w:tcPr>
            <w:tcW w:w="4555" w:type="dxa"/>
            <w:shd w:val="clear" w:color="auto" w:fill="auto"/>
            <w:vAlign w:val="center"/>
          </w:tcPr>
          <w:p w14:paraId="2B162D60">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上海市退役军人综合管理系统</w:t>
            </w:r>
          </w:p>
        </w:tc>
        <w:tc>
          <w:tcPr>
            <w:tcW w:w="2364" w:type="dxa"/>
            <w:vMerge w:val="continue"/>
            <w:shd w:val="clear" w:color="auto" w:fill="auto"/>
            <w:vAlign w:val="center"/>
          </w:tcPr>
          <w:p w14:paraId="6EEC61AD">
            <w:pPr>
              <w:widowControl/>
              <w:rPr>
                <w:rFonts w:ascii="仿宋" w:hAnsi="仿宋" w:eastAsia="仿宋" w:cs="宋体"/>
                <w:color w:val="000000"/>
                <w:kern w:val="0"/>
                <w:sz w:val="24"/>
                <w:szCs w:val="24"/>
              </w:rPr>
            </w:pPr>
          </w:p>
        </w:tc>
      </w:tr>
      <w:tr w14:paraId="73636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714" w:type="dxa"/>
            <w:vMerge w:val="continue"/>
            <w:shd w:val="clear" w:color="auto" w:fill="auto"/>
            <w:vAlign w:val="center"/>
          </w:tcPr>
          <w:p w14:paraId="502E323A">
            <w:pPr>
              <w:widowControl/>
              <w:rPr>
                <w:rFonts w:ascii="仿宋" w:hAnsi="仿宋" w:eastAsia="仿宋" w:cs="宋体"/>
                <w:color w:val="000000"/>
                <w:kern w:val="0"/>
                <w:sz w:val="24"/>
                <w:szCs w:val="24"/>
              </w:rPr>
            </w:pPr>
          </w:p>
        </w:tc>
        <w:tc>
          <w:tcPr>
            <w:tcW w:w="1200" w:type="dxa"/>
            <w:vMerge w:val="continue"/>
            <w:shd w:val="clear" w:color="auto" w:fill="auto"/>
            <w:vAlign w:val="center"/>
          </w:tcPr>
          <w:p w14:paraId="1EEAEBB4">
            <w:pPr>
              <w:widowControl/>
              <w:rPr>
                <w:rFonts w:ascii="仿宋" w:hAnsi="仿宋" w:eastAsia="仿宋" w:cs="宋体"/>
                <w:color w:val="000000"/>
                <w:kern w:val="0"/>
                <w:sz w:val="24"/>
                <w:szCs w:val="24"/>
              </w:rPr>
            </w:pPr>
          </w:p>
        </w:tc>
        <w:tc>
          <w:tcPr>
            <w:tcW w:w="4555" w:type="dxa"/>
            <w:shd w:val="clear" w:color="auto" w:fill="auto"/>
            <w:vAlign w:val="center"/>
          </w:tcPr>
          <w:p w14:paraId="42528DA1">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上海退役军人互联网+云服务平台子系统</w:t>
            </w:r>
          </w:p>
        </w:tc>
        <w:tc>
          <w:tcPr>
            <w:tcW w:w="2364" w:type="dxa"/>
            <w:vMerge w:val="continue"/>
            <w:shd w:val="clear" w:color="auto" w:fill="auto"/>
            <w:vAlign w:val="center"/>
          </w:tcPr>
          <w:p w14:paraId="41329128">
            <w:pPr>
              <w:widowControl/>
              <w:rPr>
                <w:rFonts w:ascii="仿宋" w:hAnsi="仿宋" w:eastAsia="仿宋" w:cs="宋体"/>
                <w:color w:val="000000"/>
                <w:kern w:val="0"/>
                <w:sz w:val="24"/>
                <w:szCs w:val="24"/>
              </w:rPr>
            </w:pPr>
          </w:p>
        </w:tc>
      </w:tr>
      <w:tr w14:paraId="03A45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714" w:type="dxa"/>
            <w:vMerge w:val="continue"/>
            <w:shd w:val="clear" w:color="auto" w:fill="auto"/>
            <w:vAlign w:val="center"/>
          </w:tcPr>
          <w:p w14:paraId="26FA1F74">
            <w:pPr>
              <w:widowControl/>
              <w:rPr>
                <w:rFonts w:ascii="仿宋" w:hAnsi="仿宋" w:eastAsia="仿宋" w:cs="宋体"/>
                <w:color w:val="000000"/>
                <w:kern w:val="0"/>
                <w:sz w:val="24"/>
                <w:szCs w:val="24"/>
              </w:rPr>
            </w:pPr>
          </w:p>
        </w:tc>
        <w:tc>
          <w:tcPr>
            <w:tcW w:w="1200" w:type="dxa"/>
            <w:vMerge w:val="continue"/>
            <w:shd w:val="clear" w:color="auto" w:fill="auto"/>
            <w:vAlign w:val="center"/>
          </w:tcPr>
          <w:p w14:paraId="46798050">
            <w:pPr>
              <w:widowControl/>
              <w:rPr>
                <w:rFonts w:ascii="仿宋" w:hAnsi="仿宋" w:eastAsia="仿宋" w:cs="宋体"/>
                <w:color w:val="000000"/>
                <w:kern w:val="0"/>
                <w:sz w:val="24"/>
                <w:szCs w:val="24"/>
              </w:rPr>
            </w:pPr>
          </w:p>
        </w:tc>
        <w:tc>
          <w:tcPr>
            <w:tcW w:w="4555" w:type="dxa"/>
            <w:shd w:val="clear" w:color="auto" w:fill="auto"/>
            <w:vAlign w:val="center"/>
          </w:tcPr>
          <w:p w14:paraId="3B9FE256">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上海市退役军人事务局政务协同办公大系统资金监管平台子系统</w:t>
            </w:r>
          </w:p>
        </w:tc>
        <w:tc>
          <w:tcPr>
            <w:tcW w:w="2364" w:type="dxa"/>
            <w:vMerge w:val="continue"/>
            <w:shd w:val="clear" w:color="auto" w:fill="auto"/>
            <w:vAlign w:val="center"/>
          </w:tcPr>
          <w:p w14:paraId="4D77DC04">
            <w:pPr>
              <w:widowControl/>
              <w:rPr>
                <w:rFonts w:ascii="仿宋" w:hAnsi="仿宋" w:eastAsia="仿宋" w:cs="宋体"/>
                <w:color w:val="000000"/>
                <w:kern w:val="0"/>
                <w:sz w:val="24"/>
                <w:szCs w:val="24"/>
              </w:rPr>
            </w:pPr>
          </w:p>
        </w:tc>
      </w:tr>
      <w:tr w14:paraId="10D89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 w:hRule="atLeast"/>
        </w:trPr>
        <w:tc>
          <w:tcPr>
            <w:tcW w:w="714" w:type="dxa"/>
            <w:vMerge w:val="continue"/>
            <w:shd w:val="clear" w:color="auto" w:fill="auto"/>
            <w:vAlign w:val="center"/>
          </w:tcPr>
          <w:p w14:paraId="2FCC703A">
            <w:pPr>
              <w:widowControl/>
              <w:jc w:val="left"/>
              <w:rPr>
                <w:rFonts w:ascii="仿宋" w:hAnsi="仿宋" w:eastAsia="仿宋" w:cs="宋体"/>
                <w:color w:val="000000"/>
                <w:kern w:val="0"/>
                <w:sz w:val="24"/>
                <w:szCs w:val="24"/>
              </w:rPr>
            </w:pPr>
          </w:p>
        </w:tc>
        <w:tc>
          <w:tcPr>
            <w:tcW w:w="1200" w:type="dxa"/>
            <w:vMerge w:val="continue"/>
            <w:shd w:val="clear" w:color="auto" w:fill="auto"/>
            <w:vAlign w:val="center"/>
          </w:tcPr>
          <w:p w14:paraId="5A12FA53">
            <w:pPr>
              <w:widowControl/>
              <w:jc w:val="left"/>
              <w:rPr>
                <w:rFonts w:ascii="仿宋" w:hAnsi="仿宋" w:eastAsia="仿宋" w:cs="宋体"/>
                <w:color w:val="000000"/>
                <w:kern w:val="0"/>
                <w:sz w:val="24"/>
                <w:szCs w:val="24"/>
              </w:rPr>
            </w:pPr>
          </w:p>
        </w:tc>
        <w:tc>
          <w:tcPr>
            <w:tcW w:w="4555" w:type="dxa"/>
            <w:shd w:val="clear" w:color="auto" w:fill="auto"/>
            <w:vAlign w:val="center"/>
          </w:tcPr>
          <w:p w14:paraId="2A6E715C">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上海市退役军人事务局安置与就业创业管理系统</w:t>
            </w:r>
          </w:p>
        </w:tc>
        <w:tc>
          <w:tcPr>
            <w:tcW w:w="2364" w:type="dxa"/>
            <w:vMerge w:val="continue"/>
            <w:shd w:val="clear" w:color="auto" w:fill="auto"/>
            <w:vAlign w:val="center"/>
          </w:tcPr>
          <w:p w14:paraId="01003805">
            <w:pPr>
              <w:widowControl/>
              <w:jc w:val="left"/>
              <w:rPr>
                <w:rFonts w:ascii="仿宋" w:hAnsi="仿宋" w:eastAsia="仿宋" w:cs="宋体"/>
                <w:color w:val="000000"/>
                <w:kern w:val="0"/>
                <w:sz w:val="24"/>
                <w:szCs w:val="24"/>
              </w:rPr>
            </w:pPr>
          </w:p>
        </w:tc>
      </w:tr>
      <w:tr w14:paraId="0E88D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 w:hRule="atLeast"/>
        </w:trPr>
        <w:tc>
          <w:tcPr>
            <w:tcW w:w="714" w:type="dxa"/>
            <w:vMerge w:val="continue"/>
            <w:shd w:val="clear" w:color="auto" w:fill="auto"/>
            <w:vAlign w:val="center"/>
          </w:tcPr>
          <w:p w14:paraId="36B1154B">
            <w:pPr>
              <w:widowControl/>
            </w:pPr>
          </w:p>
        </w:tc>
        <w:tc>
          <w:tcPr>
            <w:tcW w:w="1200" w:type="dxa"/>
            <w:vMerge w:val="continue"/>
            <w:shd w:val="clear" w:color="auto" w:fill="auto"/>
            <w:vAlign w:val="center"/>
          </w:tcPr>
          <w:p w14:paraId="4A375530">
            <w:pPr>
              <w:widowControl/>
            </w:pPr>
          </w:p>
        </w:tc>
        <w:tc>
          <w:tcPr>
            <w:tcW w:w="4555" w:type="dxa"/>
            <w:shd w:val="clear" w:color="auto" w:fill="auto"/>
            <w:vAlign w:val="center"/>
          </w:tcPr>
          <w:p w14:paraId="3B821119">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上海市军人退役“一件事”综合管理平台系统</w:t>
            </w:r>
          </w:p>
        </w:tc>
        <w:tc>
          <w:tcPr>
            <w:tcW w:w="2364" w:type="dxa"/>
            <w:vMerge w:val="continue"/>
            <w:shd w:val="clear" w:color="auto" w:fill="auto"/>
            <w:vAlign w:val="center"/>
          </w:tcPr>
          <w:p w14:paraId="7277AB00">
            <w:pPr>
              <w:widowControl/>
              <w:rPr>
                <w:rFonts w:ascii="仿宋" w:hAnsi="仿宋" w:eastAsia="仿宋" w:cs="宋体"/>
                <w:color w:val="000000"/>
                <w:kern w:val="0"/>
                <w:sz w:val="24"/>
                <w:szCs w:val="24"/>
              </w:rPr>
            </w:pPr>
          </w:p>
        </w:tc>
      </w:tr>
      <w:tr w14:paraId="3491F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 w:hRule="atLeast"/>
        </w:trPr>
        <w:tc>
          <w:tcPr>
            <w:tcW w:w="714" w:type="dxa"/>
            <w:vMerge w:val="continue"/>
            <w:shd w:val="clear" w:color="auto" w:fill="auto"/>
            <w:vAlign w:val="center"/>
          </w:tcPr>
          <w:p w14:paraId="1B743243">
            <w:pPr>
              <w:widowControl/>
              <w:rPr>
                <w:rFonts w:ascii="仿宋" w:hAnsi="仿宋" w:eastAsia="仿宋" w:cs="宋体"/>
                <w:color w:val="000000"/>
                <w:kern w:val="0"/>
                <w:sz w:val="24"/>
                <w:szCs w:val="24"/>
              </w:rPr>
            </w:pPr>
          </w:p>
        </w:tc>
        <w:tc>
          <w:tcPr>
            <w:tcW w:w="1200" w:type="dxa"/>
            <w:vMerge w:val="continue"/>
            <w:shd w:val="clear" w:color="auto" w:fill="auto"/>
            <w:vAlign w:val="center"/>
          </w:tcPr>
          <w:p w14:paraId="6C874FBF">
            <w:pPr>
              <w:widowControl/>
              <w:rPr>
                <w:rFonts w:ascii="仿宋" w:hAnsi="仿宋" w:eastAsia="仿宋" w:cs="宋体"/>
                <w:color w:val="000000"/>
                <w:kern w:val="0"/>
                <w:sz w:val="24"/>
                <w:szCs w:val="24"/>
              </w:rPr>
            </w:pPr>
          </w:p>
        </w:tc>
        <w:tc>
          <w:tcPr>
            <w:tcW w:w="4555" w:type="dxa"/>
            <w:shd w:val="clear" w:color="auto" w:fill="auto"/>
            <w:vAlign w:val="center"/>
          </w:tcPr>
          <w:p w14:paraId="680A3B4F">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上海市退役军人事务局支撑管理系统</w:t>
            </w:r>
          </w:p>
        </w:tc>
        <w:tc>
          <w:tcPr>
            <w:tcW w:w="2364" w:type="dxa"/>
            <w:vMerge w:val="continue"/>
            <w:shd w:val="clear" w:color="auto" w:fill="auto"/>
            <w:vAlign w:val="center"/>
          </w:tcPr>
          <w:p w14:paraId="2F0FD203">
            <w:pPr>
              <w:widowControl/>
              <w:rPr>
                <w:rFonts w:ascii="仿宋" w:hAnsi="仿宋" w:eastAsia="仿宋" w:cs="宋体"/>
                <w:color w:val="000000"/>
                <w:kern w:val="0"/>
                <w:sz w:val="24"/>
                <w:szCs w:val="24"/>
              </w:rPr>
            </w:pPr>
          </w:p>
        </w:tc>
      </w:tr>
      <w:tr w14:paraId="2D9BB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 w:hRule="atLeast"/>
        </w:trPr>
        <w:tc>
          <w:tcPr>
            <w:tcW w:w="714" w:type="dxa"/>
            <w:vMerge w:val="continue"/>
            <w:shd w:val="clear" w:color="auto" w:fill="auto"/>
            <w:vAlign w:val="center"/>
          </w:tcPr>
          <w:p w14:paraId="7C82776C">
            <w:pPr>
              <w:widowControl/>
              <w:rPr>
                <w:rFonts w:ascii="仿宋" w:hAnsi="仿宋" w:eastAsia="仿宋" w:cs="宋体"/>
                <w:color w:val="000000"/>
                <w:kern w:val="0"/>
                <w:sz w:val="24"/>
                <w:szCs w:val="24"/>
              </w:rPr>
            </w:pPr>
          </w:p>
        </w:tc>
        <w:tc>
          <w:tcPr>
            <w:tcW w:w="1200" w:type="dxa"/>
            <w:vMerge w:val="continue"/>
            <w:shd w:val="clear" w:color="auto" w:fill="auto"/>
            <w:vAlign w:val="center"/>
          </w:tcPr>
          <w:p w14:paraId="34369526">
            <w:pPr>
              <w:widowControl/>
              <w:rPr>
                <w:rFonts w:ascii="仿宋" w:hAnsi="仿宋" w:eastAsia="仿宋" w:cs="宋体"/>
                <w:color w:val="000000"/>
                <w:kern w:val="0"/>
                <w:sz w:val="24"/>
                <w:szCs w:val="24"/>
              </w:rPr>
            </w:pPr>
          </w:p>
        </w:tc>
        <w:tc>
          <w:tcPr>
            <w:tcW w:w="4555" w:type="dxa"/>
            <w:shd w:val="clear" w:color="auto" w:fill="auto"/>
            <w:vAlign w:val="center"/>
          </w:tcPr>
          <w:p w14:paraId="01578A3B">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上海市退役军人事务局互联网应用系统</w:t>
            </w:r>
          </w:p>
        </w:tc>
        <w:tc>
          <w:tcPr>
            <w:tcW w:w="2364" w:type="dxa"/>
            <w:vMerge w:val="continue"/>
            <w:shd w:val="clear" w:color="auto" w:fill="auto"/>
            <w:vAlign w:val="center"/>
          </w:tcPr>
          <w:p w14:paraId="311A19D9">
            <w:pPr>
              <w:widowControl/>
              <w:rPr>
                <w:rFonts w:ascii="仿宋" w:hAnsi="仿宋" w:eastAsia="仿宋" w:cs="宋体"/>
                <w:color w:val="000000"/>
                <w:kern w:val="0"/>
                <w:sz w:val="24"/>
                <w:szCs w:val="24"/>
              </w:rPr>
            </w:pPr>
          </w:p>
        </w:tc>
      </w:tr>
      <w:tr w14:paraId="3A788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 w:hRule="atLeast"/>
        </w:trPr>
        <w:tc>
          <w:tcPr>
            <w:tcW w:w="714" w:type="dxa"/>
            <w:vMerge w:val="continue"/>
            <w:shd w:val="clear" w:color="auto" w:fill="auto"/>
            <w:vAlign w:val="center"/>
          </w:tcPr>
          <w:p w14:paraId="47926E64">
            <w:pPr>
              <w:widowControl/>
              <w:rPr>
                <w:rFonts w:ascii="仿宋" w:hAnsi="仿宋" w:eastAsia="仿宋" w:cs="宋体"/>
                <w:color w:val="000000"/>
                <w:kern w:val="0"/>
                <w:sz w:val="24"/>
                <w:szCs w:val="24"/>
              </w:rPr>
            </w:pPr>
          </w:p>
        </w:tc>
        <w:tc>
          <w:tcPr>
            <w:tcW w:w="1200" w:type="dxa"/>
            <w:vMerge w:val="continue"/>
            <w:shd w:val="clear" w:color="auto" w:fill="auto"/>
            <w:vAlign w:val="center"/>
          </w:tcPr>
          <w:p w14:paraId="013BE35F">
            <w:pPr>
              <w:widowControl/>
              <w:rPr>
                <w:rFonts w:ascii="仿宋" w:hAnsi="仿宋" w:eastAsia="仿宋" w:cs="宋体"/>
                <w:color w:val="000000"/>
                <w:kern w:val="0"/>
                <w:sz w:val="24"/>
                <w:szCs w:val="24"/>
              </w:rPr>
            </w:pPr>
          </w:p>
        </w:tc>
        <w:tc>
          <w:tcPr>
            <w:tcW w:w="4555" w:type="dxa"/>
            <w:shd w:val="clear" w:color="auto" w:fill="auto"/>
            <w:vAlign w:val="center"/>
          </w:tcPr>
          <w:p w14:paraId="1179F27C">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上海市医疗保障局门户网站</w:t>
            </w:r>
          </w:p>
        </w:tc>
        <w:tc>
          <w:tcPr>
            <w:tcW w:w="2364" w:type="dxa"/>
            <w:vMerge w:val="continue"/>
            <w:shd w:val="clear" w:color="auto" w:fill="auto"/>
            <w:vAlign w:val="center"/>
          </w:tcPr>
          <w:p w14:paraId="0A31106E">
            <w:pPr>
              <w:widowControl/>
              <w:rPr>
                <w:rFonts w:ascii="仿宋" w:hAnsi="仿宋" w:eastAsia="仿宋" w:cs="宋体"/>
                <w:color w:val="000000"/>
                <w:kern w:val="0"/>
                <w:sz w:val="24"/>
                <w:szCs w:val="24"/>
              </w:rPr>
            </w:pPr>
          </w:p>
        </w:tc>
      </w:tr>
      <w:tr w14:paraId="02367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 w:hRule="atLeast"/>
        </w:trPr>
        <w:tc>
          <w:tcPr>
            <w:tcW w:w="714" w:type="dxa"/>
            <w:vMerge w:val="continue"/>
            <w:shd w:val="clear" w:color="auto" w:fill="auto"/>
            <w:vAlign w:val="center"/>
          </w:tcPr>
          <w:p w14:paraId="568DA87E">
            <w:pPr>
              <w:widowControl/>
              <w:rPr>
                <w:rFonts w:ascii="仿宋" w:hAnsi="仿宋" w:eastAsia="仿宋" w:cs="宋体"/>
                <w:color w:val="000000"/>
                <w:kern w:val="0"/>
                <w:sz w:val="24"/>
                <w:szCs w:val="24"/>
              </w:rPr>
            </w:pPr>
          </w:p>
        </w:tc>
        <w:tc>
          <w:tcPr>
            <w:tcW w:w="1200" w:type="dxa"/>
            <w:vMerge w:val="continue"/>
            <w:shd w:val="clear" w:color="auto" w:fill="auto"/>
            <w:vAlign w:val="center"/>
          </w:tcPr>
          <w:p w14:paraId="36C1E16B">
            <w:pPr>
              <w:widowControl/>
              <w:rPr>
                <w:rFonts w:ascii="仿宋" w:hAnsi="仿宋" w:eastAsia="仿宋" w:cs="宋体"/>
                <w:color w:val="000000"/>
                <w:kern w:val="0"/>
                <w:sz w:val="24"/>
                <w:szCs w:val="24"/>
              </w:rPr>
            </w:pPr>
          </w:p>
        </w:tc>
        <w:tc>
          <w:tcPr>
            <w:tcW w:w="4555" w:type="dxa"/>
            <w:shd w:val="clear" w:color="auto" w:fill="auto"/>
            <w:vAlign w:val="center"/>
          </w:tcPr>
          <w:p w14:paraId="7E838910">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上海市医疗保障局财务内控管理系统</w:t>
            </w:r>
          </w:p>
        </w:tc>
        <w:tc>
          <w:tcPr>
            <w:tcW w:w="2364" w:type="dxa"/>
            <w:vMerge w:val="continue"/>
            <w:shd w:val="clear" w:color="auto" w:fill="auto"/>
            <w:vAlign w:val="center"/>
          </w:tcPr>
          <w:p w14:paraId="101AB2CE">
            <w:pPr>
              <w:widowControl/>
              <w:rPr>
                <w:rFonts w:ascii="仿宋" w:hAnsi="仿宋" w:eastAsia="仿宋" w:cs="宋体"/>
                <w:color w:val="000000"/>
                <w:kern w:val="0"/>
                <w:sz w:val="24"/>
                <w:szCs w:val="24"/>
              </w:rPr>
            </w:pPr>
          </w:p>
        </w:tc>
      </w:tr>
      <w:tr w14:paraId="41B03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 w:hRule="atLeast"/>
        </w:trPr>
        <w:tc>
          <w:tcPr>
            <w:tcW w:w="714" w:type="dxa"/>
            <w:vMerge w:val="continue"/>
            <w:shd w:val="clear" w:color="auto" w:fill="auto"/>
            <w:vAlign w:val="center"/>
          </w:tcPr>
          <w:p w14:paraId="31906C07">
            <w:pPr>
              <w:widowControl/>
              <w:rPr>
                <w:rFonts w:ascii="仿宋" w:hAnsi="仿宋" w:eastAsia="仿宋" w:cs="宋体"/>
                <w:color w:val="000000"/>
                <w:kern w:val="0"/>
                <w:sz w:val="24"/>
                <w:szCs w:val="24"/>
              </w:rPr>
            </w:pPr>
          </w:p>
        </w:tc>
        <w:tc>
          <w:tcPr>
            <w:tcW w:w="1200" w:type="dxa"/>
            <w:vMerge w:val="continue"/>
            <w:shd w:val="clear" w:color="auto" w:fill="auto"/>
            <w:vAlign w:val="center"/>
          </w:tcPr>
          <w:p w14:paraId="32B3D087">
            <w:pPr>
              <w:widowControl/>
              <w:rPr>
                <w:rFonts w:ascii="仿宋" w:hAnsi="仿宋" w:eastAsia="仿宋" w:cs="宋体"/>
                <w:color w:val="000000"/>
                <w:kern w:val="0"/>
                <w:sz w:val="24"/>
                <w:szCs w:val="24"/>
              </w:rPr>
            </w:pPr>
          </w:p>
        </w:tc>
        <w:tc>
          <w:tcPr>
            <w:tcW w:w="4555" w:type="dxa"/>
            <w:shd w:val="clear" w:color="auto" w:fill="auto"/>
            <w:vAlign w:val="center"/>
          </w:tcPr>
          <w:p w14:paraId="45DA6CC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上海市国内人才引进管理系统</w:t>
            </w:r>
          </w:p>
        </w:tc>
        <w:tc>
          <w:tcPr>
            <w:tcW w:w="2364" w:type="dxa"/>
            <w:vMerge w:val="continue"/>
            <w:shd w:val="clear" w:color="auto" w:fill="auto"/>
            <w:vAlign w:val="center"/>
          </w:tcPr>
          <w:p w14:paraId="3631F4B2">
            <w:pPr>
              <w:widowControl/>
              <w:rPr>
                <w:rFonts w:ascii="仿宋" w:hAnsi="仿宋" w:eastAsia="仿宋" w:cs="宋体"/>
                <w:color w:val="000000"/>
                <w:kern w:val="0"/>
                <w:sz w:val="24"/>
                <w:szCs w:val="24"/>
              </w:rPr>
            </w:pPr>
          </w:p>
        </w:tc>
      </w:tr>
      <w:tr w14:paraId="49A7B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 w:hRule="atLeast"/>
        </w:trPr>
        <w:tc>
          <w:tcPr>
            <w:tcW w:w="714" w:type="dxa"/>
            <w:vMerge w:val="continue"/>
            <w:shd w:val="clear" w:color="auto" w:fill="auto"/>
            <w:vAlign w:val="center"/>
          </w:tcPr>
          <w:p w14:paraId="4F9376E5">
            <w:pPr>
              <w:widowControl/>
              <w:rPr>
                <w:rFonts w:ascii="仿宋" w:hAnsi="仿宋" w:eastAsia="仿宋" w:cs="宋体"/>
                <w:color w:val="000000"/>
                <w:kern w:val="0"/>
                <w:sz w:val="24"/>
                <w:szCs w:val="24"/>
              </w:rPr>
            </w:pPr>
          </w:p>
        </w:tc>
        <w:tc>
          <w:tcPr>
            <w:tcW w:w="1200" w:type="dxa"/>
            <w:vMerge w:val="continue"/>
            <w:shd w:val="clear" w:color="auto" w:fill="auto"/>
            <w:vAlign w:val="center"/>
          </w:tcPr>
          <w:p w14:paraId="2A77B8C6">
            <w:pPr>
              <w:widowControl/>
              <w:rPr>
                <w:rFonts w:ascii="仿宋" w:hAnsi="仿宋" w:eastAsia="仿宋" w:cs="宋体"/>
                <w:color w:val="000000"/>
                <w:kern w:val="0"/>
                <w:sz w:val="24"/>
                <w:szCs w:val="24"/>
              </w:rPr>
            </w:pPr>
          </w:p>
        </w:tc>
        <w:tc>
          <w:tcPr>
            <w:tcW w:w="4555" w:type="dxa"/>
            <w:shd w:val="clear" w:color="auto" w:fill="auto"/>
            <w:vAlign w:val="center"/>
          </w:tcPr>
          <w:p w14:paraId="4E0821CC">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上海市海外人才管理系统</w:t>
            </w:r>
          </w:p>
        </w:tc>
        <w:tc>
          <w:tcPr>
            <w:tcW w:w="2364" w:type="dxa"/>
            <w:vMerge w:val="continue"/>
            <w:shd w:val="clear" w:color="auto" w:fill="auto"/>
            <w:vAlign w:val="center"/>
          </w:tcPr>
          <w:p w14:paraId="5396A70E">
            <w:pPr>
              <w:widowControl/>
              <w:rPr>
                <w:rFonts w:ascii="仿宋" w:hAnsi="仿宋" w:eastAsia="仿宋" w:cs="宋体"/>
                <w:color w:val="000000"/>
                <w:kern w:val="0"/>
                <w:sz w:val="24"/>
                <w:szCs w:val="24"/>
              </w:rPr>
            </w:pPr>
          </w:p>
        </w:tc>
      </w:tr>
      <w:tr w14:paraId="4BDBB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 w:hRule="atLeast"/>
        </w:trPr>
        <w:tc>
          <w:tcPr>
            <w:tcW w:w="714" w:type="dxa"/>
            <w:vMerge w:val="continue"/>
            <w:shd w:val="clear" w:color="auto" w:fill="auto"/>
            <w:vAlign w:val="center"/>
          </w:tcPr>
          <w:p w14:paraId="633ED163">
            <w:pPr>
              <w:widowControl/>
              <w:rPr>
                <w:rFonts w:ascii="仿宋" w:hAnsi="仿宋" w:eastAsia="仿宋" w:cs="宋体"/>
                <w:color w:val="000000"/>
                <w:kern w:val="0"/>
                <w:sz w:val="24"/>
                <w:szCs w:val="24"/>
              </w:rPr>
            </w:pPr>
          </w:p>
        </w:tc>
        <w:tc>
          <w:tcPr>
            <w:tcW w:w="1200" w:type="dxa"/>
            <w:vMerge w:val="continue"/>
            <w:shd w:val="clear" w:color="auto" w:fill="auto"/>
            <w:vAlign w:val="center"/>
          </w:tcPr>
          <w:p w14:paraId="58918F76">
            <w:pPr>
              <w:widowControl/>
              <w:rPr>
                <w:rFonts w:ascii="仿宋" w:hAnsi="仿宋" w:eastAsia="仿宋" w:cs="宋体"/>
                <w:color w:val="000000"/>
                <w:kern w:val="0"/>
                <w:sz w:val="24"/>
                <w:szCs w:val="24"/>
              </w:rPr>
            </w:pPr>
          </w:p>
        </w:tc>
        <w:tc>
          <w:tcPr>
            <w:tcW w:w="4555" w:type="dxa"/>
            <w:shd w:val="clear" w:color="auto" w:fill="auto"/>
            <w:vAlign w:val="center"/>
          </w:tcPr>
          <w:p w14:paraId="24F6CC42">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上海市人才工作统筹管理系统</w:t>
            </w:r>
          </w:p>
        </w:tc>
        <w:tc>
          <w:tcPr>
            <w:tcW w:w="2364" w:type="dxa"/>
            <w:vMerge w:val="continue"/>
            <w:shd w:val="clear" w:color="auto" w:fill="auto"/>
            <w:vAlign w:val="center"/>
          </w:tcPr>
          <w:p w14:paraId="50AC35D9">
            <w:pPr>
              <w:widowControl/>
              <w:rPr>
                <w:rFonts w:ascii="仿宋" w:hAnsi="仿宋" w:eastAsia="仿宋" w:cs="宋体"/>
                <w:color w:val="000000"/>
                <w:kern w:val="0"/>
                <w:sz w:val="24"/>
                <w:szCs w:val="24"/>
              </w:rPr>
            </w:pPr>
          </w:p>
        </w:tc>
      </w:tr>
      <w:tr w14:paraId="62684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8833" w:type="dxa"/>
            <w:gridSpan w:val="4"/>
            <w:shd w:val="clear" w:color="auto" w:fill="auto"/>
            <w:vAlign w:val="center"/>
          </w:tcPr>
          <w:p w14:paraId="1E7D7E60">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备注：</w:t>
            </w:r>
          </w:p>
          <w:p w14:paraId="7FE9091C">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包括但不仅限于清单内的系统，以上系统清单将结合三分中心2026年度系统整合和停用情况，以实际清单为准。</w:t>
            </w:r>
          </w:p>
        </w:tc>
      </w:tr>
    </w:tbl>
    <w:p w14:paraId="563E0571">
      <w:pPr>
        <w:pStyle w:val="2"/>
        <w:ind w:left="0"/>
        <w:rPr>
          <w:rFonts w:ascii="仿宋" w:hAnsi="仿宋" w:eastAsia="仿宋" w:cs="仿宋"/>
        </w:rPr>
      </w:pPr>
      <w:bookmarkStart w:id="2" w:name="_Toc69194682"/>
      <w:r>
        <w:rPr>
          <w:rFonts w:hint="eastAsia" w:ascii="仿宋" w:hAnsi="仿宋" w:eastAsia="仿宋" w:cs="仿宋"/>
        </w:rPr>
        <w:t>服务需求</w:t>
      </w:r>
    </w:p>
    <w:p w14:paraId="07E08110">
      <w:pPr>
        <w:ind w:firstLine="560" w:firstLineChars="200"/>
        <w:rPr>
          <w:rFonts w:ascii="仿宋" w:hAnsi="仿宋" w:eastAsia="仿宋" w:cs="仿宋"/>
          <w:sz w:val="28"/>
          <w:szCs w:val="28"/>
        </w:rPr>
      </w:pPr>
      <w:r>
        <w:rPr>
          <w:rFonts w:hint="eastAsia" w:ascii="仿宋" w:hAnsi="仿宋" w:eastAsia="仿宋" w:cs="仿宋"/>
          <w:sz w:val="28"/>
          <w:szCs w:val="28"/>
        </w:rPr>
        <w:t>按照三分中心2026年商用密码应用安全性评估工作要求，按照实施范围完成信息系统密码应用安全性评估服务，出具符合规范的《密码应用安全性评估报告》，提供密码应用技术支撑并协助三分中心各信息化服务团队开展密码应用安全整改工作。具体信息系统清单以实际需求为准，由采购方确认。</w:t>
      </w:r>
    </w:p>
    <w:p w14:paraId="31483290">
      <w:pPr>
        <w:numPr>
          <w:ilvl w:val="0"/>
          <w:numId w:val="2"/>
        </w:numPr>
        <w:spacing w:line="560" w:lineRule="exact"/>
        <w:rPr>
          <w:rFonts w:ascii="Times New Roman" w:hAnsi="仿宋" w:eastAsia="仿宋_GB2312" w:cs="仿宋_GB2312"/>
          <w:sz w:val="28"/>
          <w:szCs w:val="28"/>
        </w:rPr>
      </w:pPr>
      <w:r>
        <w:rPr>
          <w:rFonts w:hint="eastAsia" w:ascii="Times New Roman" w:hAnsi="仿宋" w:eastAsia="仿宋_GB2312" w:cs="仿宋_GB2312"/>
          <w:sz w:val="28"/>
          <w:szCs w:val="28"/>
        </w:rPr>
        <w:t>服务内容</w:t>
      </w:r>
    </w:p>
    <w:p w14:paraId="7E246CD9">
      <w:pPr>
        <w:wordWrap w:val="0"/>
        <w:ind w:firstLine="560" w:firstLineChars="200"/>
        <w:rPr>
          <w:rFonts w:ascii="仿宋" w:hAnsi="仿宋" w:eastAsia="仿宋" w:cs="仿宋"/>
          <w:sz w:val="28"/>
          <w:szCs w:val="28"/>
        </w:rPr>
      </w:pPr>
      <w:r>
        <w:rPr>
          <w:rFonts w:hint="eastAsia" w:ascii="仿宋" w:hAnsi="仿宋" w:eastAsia="仿宋" w:cs="仿宋"/>
          <w:sz w:val="28"/>
          <w:szCs w:val="28"/>
        </w:rPr>
        <w:t xml:space="preserve">依据《信息安全技术 </w:t>
      </w:r>
      <w:r>
        <w:rPr>
          <w:rFonts w:ascii="仿宋" w:hAnsi="仿宋" w:eastAsia="仿宋" w:cs="仿宋"/>
          <w:sz w:val="28"/>
          <w:szCs w:val="28"/>
        </w:rPr>
        <w:t>信息系统密码应用基本要求》</w:t>
      </w:r>
      <w:r>
        <w:rPr>
          <w:rFonts w:hint="eastAsia" w:ascii="仿宋" w:hAnsi="仿宋" w:eastAsia="仿宋" w:cs="仿宋"/>
          <w:sz w:val="28"/>
          <w:szCs w:val="28"/>
        </w:rPr>
        <w:t>、《信息系统密码测评要求》、《信息系统密码应用测评过程指南》、《信息系统密码应用高风险判定指引》、《商用密码应用安全性评估量化评估规则》等技术</w:t>
      </w:r>
      <w:r>
        <w:rPr>
          <w:rFonts w:ascii="仿宋" w:hAnsi="仿宋" w:eastAsia="仿宋" w:cs="仿宋"/>
          <w:sz w:val="28"/>
          <w:szCs w:val="28"/>
        </w:rPr>
        <w:t>要</w:t>
      </w:r>
      <w:r>
        <w:rPr>
          <w:rFonts w:hint="eastAsia" w:ascii="仿宋" w:hAnsi="仿宋" w:eastAsia="仿宋" w:cs="仿宋"/>
          <w:sz w:val="28"/>
          <w:szCs w:val="28"/>
        </w:rPr>
        <w:t>求，</w:t>
      </w:r>
      <w:r>
        <w:rPr>
          <w:rFonts w:ascii="仿宋" w:hAnsi="仿宋" w:eastAsia="仿宋" w:cs="仿宋"/>
          <w:sz w:val="28"/>
          <w:szCs w:val="28"/>
        </w:rPr>
        <w:t>逐一对信息系统进行密码应用的合规性、正确性、有效性进行安全性评估</w:t>
      </w:r>
      <w:r>
        <w:rPr>
          <w:rFonts w:hint="eastAsia" w:ascii="仿宋" w:hAnsi="仿宋" w:eastAsia="仿宋" w:cs="仿宋"/>
          <w:sz w:val="28"/>
          <w:szCs w:val="28"/>
        </w:rPr>
        <w:t>，</w:t>
      </w:r>
      <w:r>
        <w:rPr>
          <w:rFonts w:ascii="仿宋" w:hAnsi="仿宋" w:eastAsia="仿宋" w:cs="仿宋"/>
          <w:sz w:val="28"/>
          <w:szCs w:val="28"/>
        </w:rPr>
        <w:t>通过商用密码应用安全性评估深入查找密码应用的薄弱环节和安全隐患，分析面临的风险，为提升信息系统安全奠定基础。</w:t>
      </w:r>
    </w:p>
    <w:p w14:paraId="5527059D">
      <w:pPr>
        <w:ind w:firstLine="560" w:firstLineChars="200"/>
        <w:rPr>
          <w:rFonts w:ascii="仿宋" w:hAnsi="仿宋" w:eastAsia="仿宋" w:cs="仿宋"/>
          <w:sz w:val="28"/>
          <w:szCs w:val="28"/>
        </w:rPr>
      </w:pPr>
      <w:r>
        <w:rPr>
          <w:rFonts w:ascii="仿宋" w:hAnsi="仿宋" w:eastAsia="仿宋" w:cs="仿宋"/>
          <w:sz w:val="28"/>
          <w:szCs w:val="28"/>
        </w:rPr>
        <w:t>测评的内容包括但不限于以下内容：</w:t>
      </w:r>
    </w:p>
    <w:p w14:paraId="66432EA5">
      <w:pPr>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安全技术测评：包括物理和环境安全、网络和通信安全、设备和计算安全、应用和数据安</w:t>
      </w:r>
      <w:r>
        <w:rPr>
          <w:rFonts w:hint="eastAsia" w:ascii="仿宋" w:hAnsi="仿宋" w:eastAsia="仿宋" w:cs="仿宋"/>
          <w:sz w:val="28"/>
          <w:szCs w:val="28"/>
        </w:rPr>
        <w:t>全等四个方面的安全测评。</w:t>
      </w:r>
    </w:p>
    <w:p w14:paraId="1C82B1DF">
      <w:pPr>
        <w:ind w:firstLine="560" w:firstLineChars="200"/>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安全管理测评：包括安全管理（分为制度、人员、建设和应急四个子模块）</w:t>
      </w:r>
      <w:r>
        <w:rPr>
          <w:rFonts w:hint="eastAsia" w:ascii="仿宋" w:hAnsi="仿宋" w:eastAsia="仿宋" w:cs="仿宋"/>
          <w:sz w:val="28"/>
          <w:szCs w:val="28"/>
        </w:rPr>
        <w:t>的安全测评。</w:t>
      </w:r>
    </w:p>
    <w:p w14:paraId="3B3A46BC">
      <w:pPr>
        <w:ind w:firstLine="560" w:firstLineChars="200"/>
        <w:rPr>
          <w:rFonts w:ascii="仿宋" w:hAnsi="仿宋" w:eastAsia="仿宋" w:cs="仿宋"/>
          <w:sz w:val="28"/>
          <w:szCs w:val="28"/>
        </w:rPr>
      </w:pPr>
      <w:r>
        <w:rPr>
          <w:rFonts w:hint="eastAsia" w:ascii="仿宋" w:hAnsi="仿宋" w:eastAsia="仿宋" w:cs="仿宋"/>
          <w:sz w:val="28"/>
          <w:szCs w:val="28"/>
        </w:rPr>
        <w:t>测评各阶段详细的服务内容如下表：</w:t>
      </w:r>
    </w:p>
    <w:tbl>
      <w:tblPr>
        <w:tblStyle w:val="24"/>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19"/>
        <w:gridCol w:w="1457"/>
        <w:gridCol w:w="1750"/>
        <w:gridCol w:w="4596"/>
      </w:tblGrid>
      <w:tr w14:paraId="096578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 w:hRule="atLeast"/>
        </w:trPr>
        <w:tc>
          <w:tcPr>
            <w:tcW w:w="422" w:type="pct"/>
            <w:shd w:val="clear" w:color="000000" w:fill="FFFFFF"/>
            <w:vAlign w:val="center"/>
          </w:tcPr>
          <w:p w14:paraId="51AB88A8">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855" w:type="pct"/>
            <w:shd w:val="clear" w:color="000000" w:fill="FFFFFF"/>
            <w:vAlign w:val="center"/>
          </w:tcPr>
          <w:p w14:paraId="54D0469E">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测评阶段</w:t>
            </w:r>
          </w:p>
        </w:tc>
        <w:tc>
          <w:tcPr>
            <w:tcW w:w="1027" w:type="pct"/>
            <w:shd w:val="clear" w:color="000000" w:fill="FFFFFF"/>
            <w:vAlign w:val="center"/>
          </w:tcPr>
          <w:p w14:paraId="139F5E58">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测评类</w:t>
            </w:r>
          </w:p>
        </w:tc>
        <w:tc>
          <w:tcPr>
            <w:tcW w:w="2696" w:type="pct"/>
            <w:shd w:val="clear" w:color="000000" w:fill="FFFFFF"/>
            <w:vAlign w:val="center"/>
          </w:tcPr>
          <w:p w14:paraId="430B1FBA">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服务说明</w:t>
            </w:r>
          </w:p>
        </w:tc>
      </w:tr>
      <w:tr w14:paraId="0DB080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 w:hRule="atLeast"/>
        </w:trPr>
        <w:tc>
          <w:tcPr>
            <w:tcW w:w="422" w:type="pct"/>
            <w:shd w:val="clear" w:color="000000" w:fill="FFFFFF"/>
            <w:vAlign w:val="center"/>
          </w:tcPr>
          <w:p w14:paraId="3FFE2D2F">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1</w:t>
            </w:r>
          </w:p>
        </w:tc>
        <w:tc>
          <w:tcPr>
            <w:tcW w:w="855" w:type="pct"/>
            <w:shd w:val="clear" w:color="000000" w:fill="FFFFFF"/>
            <w:vAlign w:val="center"/>
          </w:tcPr>
          <w:p w14:paraId="35473A7B">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评估准备</w:t>
            </w:r>
          </w:p>
        </w:tc>
        <w:tc>
          <w:tcPr>
            <w:tcW w:w="1027" w:type="pct"/>
            <w:shd w:val="clear" w:color="000000" w:fill="FFFFFF"/>
            <w:vAlign w:val="center"/>
          </w:tcPr>
          <w:p w14:paraId="52295CDE">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准备阶段</w:t>
            </w:r>
          </w:p>
        </w:tc>
        <w:tc>
          <w:tcPr>
            <w:tcW w:w="2696" w:type="pct"/>
            <w:shd w:val="clear" w:color="000000" w:fill="FFFFFF"/>
            <w:vAlign w:val="center"/>
          </w:tcPr>
          <w:p w14:paraId="5375F580">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编制项目计划书、收集被测系统基本资料并完成调查表格，分析调查结果，准备工具和评估表单</w:t>
            </w:r>
          </w:p>
        </w:tc>
      </w:tr>
      <w:tr w14:paraId="0E57E3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10" w:hRule="atLeast"/>
        </w:trPr>
        <w:tc>
          <w:tcPr>
            <w:tcW w:w="422" w:type="pct"/>
            <w:shd w:val="clear" w:color="000000" w:fill="FFFFFF"/>
            <w:vAlign w:val="center"/>
          </w:tcPr>
          <w:p w14:paraId="26EF372A">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2</w:t>
            </w:r>
          </w:p>
        </w:tc>
        <w:tc>
          <w:tcPr>
            <w:tcW w:w="855" w:type="pct"/>
            <w:shd w:val="clear" w:color="000000" w:fill="FFFFFF"/>
            <w:vAlign w:val="center"/>
          </w:tcPr>
          <w:p w14:paraId="54848188">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方案编制</w:t>
            </w:r>
          </w:p>
        </w:tc>
        <w:tc>
          <w:tcPr>
            <w:tcW w:w="1027" w:type="pct"/>
            <w:shd w:val="clear" w:color="000000" w:fill="FFFFFF"/>
            <w:vAlign w:val="center"/>
          </w:tcPr>
          <w:p w14:paraId="3E0AA1B4">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评估方案编制</w:t>
            </w:r>
          </w:p>
        </w:tc>
        <w:tc>
          <w:tcPr>
            <w:tcW w:w="2696" w:type="pct"/>
            <w:shd w:val="clear" w:color="000000" w:fill="FFFFFF"/>
            <w:vAlign w:val="center"/>
          </w:tcPr>
          <w:p w14:paraId="440D9570">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识别并描述被测系统基本情况、确定测评对象、资产和威胁评估、系统定级结果和测评指标、确定检查点和检查方法、确定单元测评内容</w:t>
            </w:r>
          </w:p>
        </w:tc>
      </w:tr>
      <w:tr w14:paraId="1DCA09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50" w:hRule="atLeast"/>
        </w:trPr>
        <w:tc>
          <w:tcPr>
            <w:tcW w:w="422" w:type="pct"/>
            <w:shd w:val="clear" w:color="000000" w:fill="FFFFFF"/>
            <w:vAlign w:val="center"/>
          </w:tcPr>
          <w:p w14:paraId="6A3D7CDB">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3</w:t>
            </w:r>
          </w:p>
        </w:tc>
        <w:tc>
          <w:tcPr>
            <w:tcW w:w="855" w:type="pct"/>
            <w:shd w:val="clear" w:color="000000" w:fill="FFFFFF"/>
            <w:vAlign w:val="center"/>
          </w:tcPr>
          <w:p w14:paraId="54A0D824">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总体测评</w:t>
            </w:r>
          </w:p>
        </w:tc>
        <w:tc>
          <w:tcPr>
            <w:tcW w:w="1027" w:type="pct"/>
            <w:shd w:val="clear" w:color="000000" w:fill="FFFFFF"/>
            <w:vAlign w:val="center"/>
          </w:tcPr>
          <w:p w14:paraId="5A1FAEB1">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总体要求</w:t>
            </w:r>
          </w:p>
        </w:tc>
        <w:tc>
          <w:tcPr>
            <w:tcW w:w="2696" w:type="pct"/>
            <w:shd w:val="clear" w:color="000000" w:fill="FFFFFF"/>
            <w:vAlign w:val="center"/>
          </w:tcPr>
          <w:p w14:paraId="0039464F">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通过访谈、配置检查和工具测试的方式评估信息系统的密码算法、密码技术、密码产品和密码服务的合规性</w:t>
            </w:r>
          </w:p>
        </w:tc>
      </w:tr>
      <w:tr w14:paraId="5C023D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70" w:hRule="atLeast"/>
        </w:trPr>
        <w:tc>
          <w:tcPr>
            <w:tcW w:w="422" w:type="pct"/>
            <w:vMerge w:val="restart"/>
            <w:shd w:val="clear" w:color="auto" w:fill="auto"/>
            <w:vAlign w:val="center"/>
          </w:tcPr>
          <w:p w14:paraId="168129DD">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4</w:t>
            </w:r>
          </w:p>
        </w:tc>
        <w:tc>
          <w:tcPr>
            <w:tcW w:w="855" w:type="pct"/>
            <w:vMerge w:val="restart"/>
            <w:shd w:val="clear" w:color="auto" w:fill="auto"/>
            <w:vAlign w:val="center"/>
          </w:tcPr>
          <w:p w14:paraId="4CC82BA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安全技术测评</w:t>
            </w:r>
          </w:p>
        </w:tc>
        <w:tc>
          <w:tcPr>
            <w:tcW w:w="1027" w:type="pct"/>
            <w:shd w:val="clear" w:color="auto" w:fill="auto"/>
            <w:vAlign w:val="center"/>
          </w:tcPr>
          <w:p w14:paraId="1E06A8DF">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物理和环境安全</w:t>
            </w:r>
          </w:p>
        </w:tc>
        <w:tc>
          <w:tcPr>
            <w:tcW w:w="2696" w:type="pct"/>
            <w:shd w:val="clear" w:color="auto" w:fill="auto"/>
            <w:vAlign w:val="center"/>
          </w:tcPr>
          <w:p w14:paraId="49548711">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通过访谈、配置检查和工具测试的方式测评信息系统机房环境的安全情况。主要涉及对象为机房环境的电子门禁系统。本次评测包括电子门禁的身份鉴别和电子门禁记录的完整性保护。</w:t>
            </w:r>
          </w:p>
        </w:tc>
      </w:tr>
      <w:tr w14:paraId="10B889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70" w:hRule="atLeast"/>
        </w:trPr>
        <w:tc>
          <w:tcPr>
            <w:tcW w:w="422" w:type="pct"/>
            <w:vMerge w:val="continue"/>
            <w:vAlign w:val="center"/>
          </w:tcPr>
          <w:p w14:paraId="4F0F2DDF">
            <w:pPr>
              <w:widowControl/>
              <w:jc w:val="left"/>
              <w:rPr>
                <w:rFonts w:ascii="仿宋" w:hAnsi="仿宋" w:eastAsia="仿宋" w:cs="宋体"/>
                <w:color w:val="000000"/>
                <w:kern w:val="0"/>
                <w:sz w:val="24"/>
                <w:szCs w:val="24"/>
              </w:rPr>
            </w:pPr>
          </w:p>
        </w:tc>
        <w:tc>
          <w:tcPr>
            <w:tcW w:w="855" w:type="pct"/>
            <w:vMerge w:val="continue"/>
            <w:vAlign w:val="center"/>
          </w:tcPr>
          <w:p w14:paraId="31C32C8D">
            <w:pPr>
              <w:widowControl/>
              <w:jc w:val="left"/>
              <w:rPr>
                <w:rFonts w:ascii="仿宋" w:hAnsi="仿宋" w:eastAsia="仿宋" w:cs="宋体"/>
                <w:color w:val="000000"/>
                <w:kern w:val="0"/>
                <w:sz w:val="24"/>
                <w:szCs w:val="24"/>
              </w:rPr>
            </w:pPr>
          </w:p>
        </w:tc>
        <w:tc>
          <w:tcPr>
            <w:tcW w:w="1027" w:type="pct"/>
            <w:shd w:val="clear" w:color="auto" w:fill="auto"/>
            <w:vAlign w:val="center"/>
          </w:tcPr>
          <w:p w14:paraId="1563C200">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网络和通信安全</w:t>
            </w:r>
          </w:p>
        </w:tc>
        <w:tc>
          <w:tcPr>
            <w:tcW w:w="2696" w:type="pct"/>
            <w:shd w:val="clear" w:color="auto" w:fill="auto"/>
            <w:vAlign w:val="center"/>
          </w:tcPr>
          <w:p w14:paraId="5529F956">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通过访谈、配置检查和工具测试的方式测评信息系统的网络和通信安全保障情况。本次重点测评包括通信对象的身份鉴别、访问控制信息完整性、通信数据完整性和通信数据机密性等</w:t>
            </w:r>
          </w:p>
        </w:tc>
      </w:tr>
      <w:tr w14:paraId="41A579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90" w:hRule="atLeast"/>
        </w:trPr>
        <w:tc>
          <w:tcPr>
            <w:tcW w:w="422" w:type="pct"/>
            <w:vMerge w:val="continue"/>
            <w:vAlign w:val="center"/>
          </w:tcPr>
          <w:p w14:paraId="384A97B2">
            <w:pPr>
              <w:widowControl/>
              <w:jc w:val="left"/>
              <w:rPr>
                <w:rFonts w:ascii="仿宋" w:hAnsi="仿宋" w:eastAsia="仿宋" w:cs="宋体"/>
                <w:color w:val="000000"/>
                <w:kern w:val="0"/>
                <w:sz w:val="24"/>
                <w:szCs w:val="24"/>
              </w:rPr>
            </w:pPr>
          </w:p>
        </w:tc>
        <w:tc>
          <w:tcPr>
            <w:tcW w:w="855" w:type="pct"/>
            <w:vMerge w:val="continue"/>
            <w:vAlign w:val="center"/>
          </w:tcPr>
          <w:p w14:paraId="3B9B7A17">
            <w:pPr>
              <w:widowControl/>
              <w:jc w:val="left"/>
              <w:rPr>
                <w:rFonts w:ascii="仿宋" w:hAnsi="仿宋" w:eastAsia="仿宋" w:cs="宋体"/>
                <w:color w:val="000000"/>
                <w:kern w:val="0"/>
                <w:sz w:val="24"/>
                <w:szCs w:val="24"/>
              </w:rPr>
            </w:pPr>
          </w:p>
        </w:tc>
        <w:tc>
          <w:tcPr>
            <w:tcW w:w="1027" w:type="pct"/>
            <w:shd w:val="clear" w:color="auto" w:fill="auto"/>
            <w:vAlign w:val="center"/>
          </w:tcPr>
          <w:p w14:paraId="10F8DECF">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设备和计算安全</w:t>
            </w:r>
          </w:p>
        </w:tc>
        <w:tc>
          <w:tcPr>
            <w:tcW w:w="2696" w:type="pct"/>
            <w:shd w:val="clear" w:color="auto" w:fill="auto"/>
            <w:vAlign w:val="center"/>
          </w:tcPr>
          <w:p w14:paraId="421BB5C8">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通过访谈、配置检查和工具测试的方式测评信息系统的主机安全保障情况，本次重点测评包括本地主机和数据库服务器身份鉴别、远程管理身份鉴别身份信息机密性、访问控制信息完整性、敏感标记完整性、日志记录完整性等</w:t>
            </w:r>
          </w:p>
        </w:tc>
      </w:tr>
      <w:tr w14:paraId="6D8B80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85" w:hRule="atLeast"/>
        </w:trPr>
        <w:tc>
          <w:tcPr>
            <w:tcW w:w="422" w:type="pct"/>
            <w:vMerge w:val="continue"/>
            <w:vAlign w:val="center"/>
          </w:tcPr>
          <w:p w14:paraId="51D75437">
            <w:pPr>
              <w:widowControl/>
              <w:jc w:val="left"/>
              <w:rPr>
                <w:rFonts w:ascii="仿宋" w:hAnsi="仿宋" w:eastAsia="仿宋" w:cs="宋体"/>
                <w:color w:val="000000"/>
                <w:kern w:val="0"/>
                <w:sz w:val="24"/>
                <w:szCs w:val="24"/>
              </w:rPr>
            </w:pPr>
          </w:p>
        </w:tc>
        <w:tc>
          <w:tcPr>
            <w:tcW w:w="855" w:type="pct"/>
            <w:vMerge w:val="continue"/>
            <w:vAlign w:val="center"/>
          </w:tcPr>
          <w:p w14:paraId="503B7AC3">
            <w:pPr>
              <w:widowControl/>
              <w:jc w:val="left"/>
              <w:rPr>
                <w:rFonts w:ascii="仿宋" w:hAnsi="仿宋" w:eastAsia="仿宋" w:cs="宋体"/>
                <w:color w:val="000000"/>
                <w:kern w:val="0"/>
                <w:sz w:val="24"/>
                <w:szCs w:val="24"/>
              </w:rPr>
            </w:pPr>
          </w:p>
        </w:tc>
        <w:tc>
          <w:tcPr>
            <w:tcW w:w="1027" w:type="pct"/>
            <w:shd w:val="clear" w:color="auto" w:fill="auto"/>
            <w:vAlign w:val="center"/>
          </w:tcPr>
          <w:p w14:paraId="5DDA638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应用和数据安全</w:t>
            </w:r>
          </w:p>
        </w:tc>
        <w:tc>
          <w:tcPr>
            <w:tcW w:w="2696" w:type="pct"/>
            <w:shd w:val="clear" w:color="auto" w:fill="auto"/>
            <w:vAlign w:val="center"/>
          </w:tcPr>
          <w:p w14:paraId="70224497">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将通过访谈、配置检查的方式测评信息系统的数据安全保障情况，主要涉及对象为信息系统的管理数据及业务数据等</w:t>
            </w:r>
            <w:r>
              <w:rPr>
                <w:rFonts w:ascii="仿宋" w:hAnsi="仿宋" w:eastAsia="仿宋" w:cs="宋体"/>
                <w:color w:val="000000"/>
                <w:kern w:val="0"/>
                <w:sz w:val="24"/>
                <w:szCs w:val="24"/>
              </w:rPr>
              <w:t>,本次重点测评包括信息系统身份鉴别、访问控制信息完整性、数据传输机密性、数据存储机密性、数据传输完整性、数据存储完整性、日志记录完整性等</w:t>
            </w:r>
          </w:p>
        </w:tc>
      </w:tr>
      <w:tr w14:paraId="0BC861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5" w:hRule="atLeast"/>
        </w:trPr>
        <w:tc>
          <w:tcPr>
            <w:tcW w:w="422" w:type="pct"/>
            <w:shd w:val="clear" w:color="auto" w:fill="auto"/>
            <w:vAlign w:val="center"/>
          </w:tcPr>
          <w:p w14:paraId="332304A0">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5</w:t>
            </w:r>
          </w:p>
        </w:tc>
        <w:tc>
          <w:tcPr>
            <w:tcW w:w="855" w:type="pct"/>
            <w:shd w:val="clear" w:color="auto" w:fill="auto"/>
            <w:vAlign w:val="center"/>
          </w:tcPr>
          <w:p w14:paraId="7A0BF47D">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安全管理测评</w:t>
            </w:r>
          </w:p>
        </w:tc>
        <w:tc>
          <w:tcPr>
            <w:tcW w:w="1027" w:type="pct"/>
            <w:shd w:val="clear" w:color="auto" w:fill="auto"/>
            <w:vAlign w:val="center"/>
          </w:tcPr>
          <w:p w14:paraId="50C652B7">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安全管理</w:t>
            </w:r>
          </w:p>
        </w:tc>
        <w:tc>
          <w:tcPr>
            <w:tcW w:w="2696" w:type="pct"/>
            <w:shd w:val="clear" w:color="auto" w:fill="auto"/>
            <w:vAlign w:val="center"/>
          </w:tcPr>
          <w:p w14:paraId="3A6E6601">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安全管理部分为全局性问题，涉及密码安全管理制度、密码安全管理人员、系统实施和系统应急管理等四个方面。</w:t>
            </w:r>
          </w:p>
        </w:tc>
      </w:tr>
      <w:tr w14:paraId="70BC1C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43" w:hRule="atLeast"/>
        </w:trPr>
        <w:tc>
          <w:tcPr>
            <w:tcW w:w="422" w:type="pct"/>
            <w:shd w:val="clear" w:color="auto" w:fill="auto"/>
            <w:vAlign w:val="center"/>
          </w:tcPr>
          <w:p w14:paraId="39E7B936">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6</w:t>
            </w:r>
          </w:p>
        </w:tc>
        <w:tc>
          <w:tcPr>
            <w:tcW w:w="855" w:type="pct"/>
            <w:shd w:val="clear" w:color="auto" w:fill="auto"/>
            <w:vAlign w:val="center"/>
          </w:tcPr>
          <w:p w14:paraId="7E20851D">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分析报告阶段</w:t>
            </w:r>
          </w:p>
        </w:tc>
        <w:tc>
          <w:tcPr>
            <w:tcW w:w="1027" w:type="pct"/>
            <w:shd w:val="clear" w:color="auto" w:fill="auto"/>
            <w:vAlign w:val="center"/>
          </w:tcPr>
          <w:p w14:paraId="05E5F60C">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报告编制</w:t>
            </w:r>
          </w:p>
        </w:tc>
        <w:tc>
          <w:tcPr>
            <w:tcW w:w="2696" w:type="pct"/>
            <w:shd w:val="clear" w:color="auto" w:fill="auto"/>
            <w:vAlign w:val="center"/>
          </w:tcPr>
          <w:p w14:paraId="0B621C3B">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根据测评编制《信息系统商用密码应用安全性评估报告》，包括：概述、被测系统描述、测评对象说明、测评指标说明、测评内容和方法说明、单元测评的结果记录及结果汇总、整体测评、测评结果汇总、风险分析、评估结论等内容。</w:t>
            </w:r>
          </w:p>
        </w:tc>
      </w:tr>
    </w:tbl>
    <w:p w14:paraId="5410AD47">
      <w:pPr>
        <w:numPr>
          <w:ilvl w:val="0"/>
          <w:numId w:val="2"/>
        </w:numPr>
        <w:spacing w:line="560" w:lineRule="exact"/>
        <w:rPr>
          <w:rFonts w:ascii="Times New Roman" w:hAnsi="仿宋" w:eastAsia="仿宋_GB2312" w:cs="仿宋_GB2312"/>
          <w:sz w:val="28"/>
          <w:szCs w:val="28"/>
        </w:rPr>
      </w:pPr>
      <w:r>
        <w:rPr>
          <w:rFonts w:hint="eastAsia" w:ascii="Times New Roman" w:hAnsi="仿宋" w:eastAsia="仿宋_GB2312" w:cs="仿宋_GB2312"/>
          <w:sz w:val="28"/>
          <w:szCs w:val="28"/>
        </w:rPr>
        <w:t>服务要求</w:t>
      </w:r>
    </w:p>
    <w:p w14:paraId="2754D8C9">
      <w:pPr>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lang w:val="en-GB"/>
        </w:rPr>
        <w:t>服务提供方</w:t>
      </w:r>
      <w:r>
        <w:rPr>
          <w:rFonts w:ascii="仿宋" w:hAnsi="仿宋" w:eastAsia="仿宋" w:cs="仿宋"/>
          <w:sz w:val="28"/>
          <w:szCs w:val="28"/>
        </w:rPr>
        <w:t>应详细描述本次项目的整体实施方案，包括项目概述、密评方案、测试过程中需使</w:t>
      </w:r>
      <w:r>
        <w:rPr>
          <w:rFonts w:hint="eastAsia" w:ascii="仿宋" w:hAnsi="仿宋" w:eastAsia="仿宋" w:cs="仿宋"/>
          <w:sz w:val="28"/>
          <w:szCs w:val="28"/>
        </w:rPr>
        <w:t>用测试设备清单、</w:t>
      </w:r>
      <w:r>
        <w:rPr>
          <w:rFonts w:ascii="仿宋" w:hAnsi="仿宋" w:eastAsia="仿宋" w:cs="仿宋"/>
          <w:sz w:val="28"/>
          <w:szCs w:val="28"/>
        </w:rPr>
        <w:t>时间安排</w:t>
      </w:r>
      <w:r>
        <w:rPr>
          <w:rFonts w:hint="eastAsia" w:ascii="仿宋" w:hAnsi="仿宋" w:eastAsia="仿宋" w:cs="仿宋"/>
          <w:sz w:val="28"/>
          <w:szCs w:val="28"/>
        </w:rPr>
        <w:t>、</w:t>
      </w:r>
      <w:r>
        <w:rPr>
          <w:rFonts w:ascii="仿宋" w:hAnsi="仿宋" w:eastAsia="仿宋" w:cs="仿宋"/>
          <w:sz w:val="28"/>
          <w:szCs w:val="28"/>
        </w:rPr>
        <w:t>阶段性文档提交和验收标准等。</w:t>
      </w:r>
    </w:p>
    <w:p w14:paraId="12E176EF">
      <w:pPr>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lang w:val="en-GB"/>
        </w:rPr>
        <w:t>服务提供方</w:t>
      </w:r>
      <w:r>
        <w:rPr>
          <w:rFonts w:ascii="仿宋" w:hAnsi="仿宋" w:eastAsia="仿宋" w:cs="仿宋"/>
          <w:sz w:val="28"/>
          <w:szCs w:val="28"/>
        </w:rPr>
        <w:t>应详细描述实施人员的组成、资质及各自职责的划分。</w:t>
      </w:r>
      <w:r>
        <w:rPr>
          <w:rFonts w:hint="eastAsia" w:ascii="仿宋" w:hAnsi="仿宋" w:eastAsia="仿宋" w:cs="仿宋"/>
          <w:sz w:val="28"/>
          <w:szCs w:val="28"/>
          <w:lang w:val="en-GB"/>
        </w:rPr>
        <w:t>服务提供方</w:t>
      </w:r>
      <w:r>
        <w:rPr>
          <w:rFonts w:ascii="仿宋" w:hAnsi="仿宋" w:eastAsia="仿宋" w:cs="仿宋"/>
          <w:sz w:val="28"/>
          <w:szCs w:val="28"/>
        </w:rPr>
        <w:t>应配置有经验的技术</w:t>
      </w:r>
      <w:r>
        <w:rPr>
          <w:rFonts w:hint="eastAsia" w:ascii="仿宋" w:hAnsi="仿宋" w:eastAsia="仿宋" w:cs="仿宋"/>
          <w:sz w:val="28"/>
          <w:szCs w:val="28"/>
        </w:rPr>
        <w:t>人员进行本次项目</w:t>
      </w:r>
      <w:r>
        <w:rPr>
          <w:rFonts w:ascii="仿宋" w:hAnsi="仿宋" w:eastAsia="仿宋" w:cs="仿宋"/>
          <w:sz w:val="28"/>
          <w:szCs w:val="28"/>
        </w:rPr>
        <w:t>实施。</w:t>
      </w:r>
    </w:p>
    <w:p w14:paraId="6B6E4402">
      <w:pPr>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3）本次项目实施过程中所使用到的各种工具软件由服务提供方推荐</w:t>
      </w:r>
      <w:r>
        <w:rPr>
          <w:rFonts w:hint="eastAsia" w:ascii="仿宋" w:hAnsi="仿宋" w:eastAsia="仿宋" w:cs="仿宋"/>
          <w:sz w:val="28"/>
          <w:szCs w:val="28"/>
        </w:rPr>
        <w:t>，</w:t>
      </w:r>
      <w:r>
        <w:rPr>
          <w:rFonts w:ascii="仿宋" w:hAnsi="仿宋" w:eastAsia="仿宋" w:cs="仿宋"/>
          <w:sz w:val="28"/>
          <w:szCs w:val="28"/>
        </w:rPr>
        <w:t>经采购人确认后由服务提供方提</w:t>
      </w:r>
      <w:r>
        <w:rPr>
          <w:rFonts w:hint="eastAsia" w:ascii="仿宋" w:hAnsi="仿宋" w:eastAsia="仿宋" w:cs="仿宋"/>
          <w:sz w:val="28"/>
          <w:szCs w:val="28"/>
        </w:rPr>
        <w:t>供并在项目中使用。</w:t>
      </w:r>
      <w:r>
        <w:rPr>
          <w:rFonts w:ascii="仿宋" w:hAnsi="仿宋" w:eastAsia="仿宋" w:cs="仿宋"/>
          <w:sz w:val="28"/>
          <w:szCs w:val="28"/>
        </w:rPr>
        <w:t>在响应文件中应详细描述所使用的安全技术工具（软硬件型号、功能和性能描述）、</w:t>
      </w:r>
      <w:r>
        <w:rPr>
          <w:rFonts w:hint="eastAsia" w:ascii="仿宋" w:hAnsi="仿宋" w:eastAsia="仿宋" w:cs="仿宋"/>
          <w:sz w:val="28"/>
          <w:szCs w:val="28"/>
        </w:rPr>
        <w:t>使用的方式和时间、</w:t>
      </w:r>
      <w:r>
        <w:rPr>
          <w:rFonts w:ascii="仿宋" w:hAnsi="仿宋" w:eastAsia="仿宋" w:cs="仿宋"/>
          <w:sz w:val="28"/>
          <w:szCs w:val="28"/>
        </w:rPr>
        <w:t>对环境和平台的要求以及使用可能对系统造成的风险等。</w:t>
      </w:r>
    </w:p>
    <w:p w14:paraId="7247B449">
      <w:pPr>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4</w:t>
      </w:r>
      <w:r>
        <w:rPr>
          <w:rFonts w:hint="eastAsia" w:ascii="仿宋" w:hAnsi="仿宋" w:eastAsia="仿宋" w:cs="仿宋"/>
          <w:sz w:val="28"/>
          <w:szCs w:val="28"/>
        </w:rPr>
        <w:t>）</w:t>
      </w:r>
      <w:r>
        <w:rPr>
          <w:rFonts w:ascii="仿宋" w:hAnsi="仿宋" w:eastAsia="仿宋" w:cs="仿宋"/>
          <w:sz w:val="28"/>
          <w:szCs w:val="28"/>
        </w:rPr>
        <w:t>本次项目实施过程中所使用到的测评工具，应包括</w:t>
      </w:r>
      <w:r>
        <w:rPr>
          <w:rFonts w:hint="eastAsia" w:ascii="仿宋" w:hAnsi="仿宋" w:eastAsia="仿宋" w:cs="仿宋"/>
          <w:sz w:val="28"/>
          <w:szCs w:val="28"/>
        </w:rPr>
        <w:t>自主</w:t>
      </w:r>
      <w:r>
        <w:rPr>
          <w:rFonts w:ascii="仿宋" w:hAnsi="仿宋" w:eastAsia="仿宋" w:cs="仿宋"/>
          <w:sz w:val="28"/>
          <w:szCs w:val="28"/>
        </w:rPr>
        <w:t>密码专用检测工具、 漏洞</w:t>
      </w:r>
      <w:r>
        <w:rPr>
          <w:rFonts w:hint="eastAsia" w:ascii="仿宋" w:hAnsi="仿宋" w:eastAsia="仿宋" w:cs="仿宋"/>
          <w:sz w:val="28"/>
          <w:szCs w:val="28"/>
        </w:rPr>
        <w:t>扫描工具等获得许可的检测工具，</w:t>
      </w:r>
      <w:r>
        <w:rPr>
          <w:rFonts w:ascii="仿宋" w:hAnsi="仿宋" w:eastAsia="仿宋" w:cs="仿宋"/>
          <w:sz w:val="28"/>
          <w:szCs w:val="28"/>
        </w:rPr>
        <w:t>对系统数据进行分析，并以分析结果辅证评估报告。</w:t>
      </w:r>
    </w:p>
    <w:p w14:paraId="2E32CBB2">
      <w:pPr>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5）安全技术工具软件运行可能需要的硬件平台（如笔记本电脑、PC等）和操作系统</w:t>
      </w:r>
      <w:r>
        <w:rPr>
          <w:rFonts w:hint="eastAsia" w:ascii="仿宋" w:hAnsi="仿宋" w:eastAsia="仿宋" w:cs="仿宋"/>
          <w:sz w:val="28"/>
          <w:szCs w:val="28"/>
        </w:rPr>
        <w:t>软件等由服务提供方推荐，</w:t>
      </w:r>
      <w:r>
        <w:rPr>
          <w:rFonts w:ascii="仿宋" w:hAnsi="仿宋" w:eastAsia="仿宋" w:cs="仿宋"/>
          <w:sz w:val="28"/>
          <w:szCs w:val="28"/>
        </w:rPr>
        <w:t>经采购人确认后由服务提供方提供并在项目中使用。</w:t>
      </w:r>
    </w:p>
    <w:p w14:paraId="53A47769">
      <w:pPr>
        <w:numPr>
          <w:ilvl w:val="255"/>
          <w:numId w:val="0"/>
        </w:numPr>
        <w:spacing w:line="240" w:lineRule="auto"/>
        <w:ind w:left="0" w:firstLine="560" w:firstLineChars="200"/>
        <w:rPr>
          <w:rFonts w:ascii="Times New Roman" w:hAnsi="仿宋" w:eastAsia="仿宋_GB2312" w:cs="仿宋_GB2312"/>
          <w:sz w:val="28"/>
          <w:szCs w:val="28"/>
        </w:rPr>
      </w:pPr>
      <w:r>
        <w:rPr>
          <w:rFonts w:hint="eastAsia" w:ascii="仿宋" w:hAnsi="仿宋" w:eastAsia="仿宋" w:cs="仿宋"/>
          <w:sz w:val="28"/>
          <w:szCs w:val="28"/>
        </w:rPr>
        <w:t>（</w:t>
      </w:r>
      <w:r>
        <w:rPr>
          <w:rFonts w:ascii="仿宋" w:hAnsi="仿宋" w:eastAsia="仿宋" w:cs="仿宋"/>
          <w:sz w:val="28"/>
          <w:szCs w:val="28"/>
        </w:rPr>
        <w:t>6）项目实施需要的运行环境（如场地</w:t>
      </w:r>
      <w:r>
        <w:rPr>
          <w:rFonts w:hint="eastAsia" w:ascii="仿宋" w:hAnsi="仿宋" w:eastAsia="仿宋" w:cs="仿宋"/>
          <w:sz w:val="28"/>
          <w:szCs w:val="28"/>
        </w:rPr>
        <w:t>、</w:t>
      </w:r>
      <w:r>
        <w:rPr>
          <w:rFonts w:ascii="仿宋" w:hAnsi="仿宋" w:eastAsia="仿宋" w:cs="仿宋"/>
          <w:sz w:val="28"/>
          <w:szCs w:val="28"/>
        </w:rPr>
        <w:t>网络环境等）由采购人提供，服务提供方应详细描述需要</w:t>
      </w:r>
      <w:r>
        <w:rPr>
          <w:rFonts w:hint="eastAsia" w:ascii="仿宋" w:hAnsi="仿宋" w:eastAsia="仿宋" w:cs="仿宋"/>
          <w:sz w:val="28"/>
          <w:szCs w:val="28"/>
        </w:rPr>
        <w:t>的运行环境的具体要求。</w:t>
      </w:r>
    </w:p>
    <w:p w14:paraId="2561BCFC">
      <w:pPr>
        <w:numPr>
          <w:ilvl w:val="0"/>
          <w:numId w:val="2"/>
        </w:numPr>
        <w:spacing w:line="560" w:lineRule="exact"/>
        <w:rPr>
          <w:rFonts w:ascii="Times New Roman" w:hAnsi="仿宋" w:eastAsia="仿宋_GB2312" w:cs="Times New Roman"/>
          <w:szCs w:val="28"/>
        </w:rPr>
      </w:pPr>
      <w:r>
        <w:rPr>
          <w:rFonts w:hint="eastAsia" w:ascii="Times New Roman" w:hAnsi="仿宋" w:eastAsia="仿宋_GB2312" w:cs="仿宋_GB2312"/>
          <w:sz w:val="28"/>
          <w:szCs w:val="28"/>
        </w:rPr>
        <w:t>服务方式</w:t>
      </w:r>
    </w:p>
    <w:p w14:paraId="5D51D94D">
      <w:pPr>
        <w:ind w:firstLine="560" w:firstLineChars="200"/>
        <w:rPr>
          <w:rFonts w:ascii="仿宋" w:hAnsi="仿宋" w:eastAsia="仿宋" w:cs="仿宋"/>
          <w:sz w:val="28"/>
          <w:szCs w:val="28"/>
        </w:rPr>
      </w:pPr>
      <w:r>
        <w:rPr>
          <w:rFonts w:hint="eastAsia" w:ascii="仿宋" w:hAnsi="仿宋" w:eastAsia="仿宋" w:cs="仿宋"/>
          <w:sz w:val="28"/>
          <w:szCs w:val="28"/>
        </w:rPr>
        <w:t>现场服务。</w:t>
      </w:r>
    </w:p>
    <w:p w14:paraId="3D42BA61">
      <w:pPr>
        <w:numPr>
          <w:ilvl w:val="0"/>
          <w:numId w:val="3"/>
        </w:numPr>
        <w:spacing w:line="560" w:lineRule="exact"/>
        <w:rPr>
          <w:rFonts w:ascii="Times New Roman" w:hAnsi="仿宋" w:eastAsia="仿宋_GB2312" w:cs="Times New Roman"/>
          <w:b/>
          <w:bCs/>
          <w:szCs w:val="28"/>
        </w:rPr>
      </w:pPr>
      <w:r>
        <w:rPr>
          <w:rFonts w:hint="eastAsia" w:ascii="Times New Roman" w:hAnsi="仿宋" w:eastAsia="仿宋_GB2312" w:cs="仿宋_GB2312"/>
          <w:sz w:val="28"/>
          <w:szCs w:val="28"/>
        </w:rPr>
        <w:t>服务交付物</w:t>
      </w:r>
    </w:p>
    <w:p w14:paraId="1D9070B6">
      <w:pPr>
        <w:ind w:firstLine="560" w:firstLineChars="200"/>
      </w:pPr>
      <w:r>
        <w:rPr>
          <w:rFonts w:hint="eastAsia" w:ascii="仿宋" w:hAnsi="仿宋" w:eastAsia="仿宋" w:cs="仿宋"/>
          <w:sz w:val="28"/>
          <w:szCs w:val="28"/>
        </w:rPr>
        <w:t>《商用密码应用安全性评估报告》。</w:t>
      </w:r>
    </w:p>
    <w:p w14:paraId="1484AA92">
      <w:pPr>
        <w:pStyle w:val="2"/>
        <w:ind w:left="0"/>
        <w:rPr>
          <w:rFonts w:ascii="仿宋" w:hAnsi="仿宋" w:eastAsia="仿宋" w:cs="仿宋"/>
        </w:rPr>
      </w:pPr>
      <w:r>
        <w:rPr>
          <w:rFonts w:hint="eastAsia" w:ascii="仿宋" w:hAnsi="仿宋" w:eastAsia="仿宋" w:cs="仿宋"/>
        </w:rPr>
        <w:t>服务质量考核</w:t>
      </w:r>
      <w:bookmarkEnd w:id="2"/>
      <w:r>
        <w:rPr>
          <w:rFonts w:hint="eastAsia" w:ascii="仿宋" w:hAnsi="仿宋" w:eastAsia="仿宋" w:cs="仿宋"/>
        </w:rPr>
        <w:t>要求</w:t>
      </w:r>
    </w:p>
    <w:p w14:paraId="3C73B7FC">
      <w:pPr>
        <w:ind w:firstLine="560" w:firstLineChars="200"/>
        <w:rPr>
          <w:rFonts w:ascii="仿宋" w:hAnsi="仿宋" w:eastAsia="仿宋" w:cs="仿宋"/>
          <w:sz w:val="28"/>
          <w:szCs w:val="28"/>
        </w:rPr>
      </w:pPr>
      <w:r>
        <w:rPr>
          <w:rFonts w:hint="eastAsia" w:ascii="仿宋" w:hAnsi="仿宋" w:eastAsia="仿宋" w:cs="仿宋"/>
          <w:sz w:val="28"/>
          <w:szCs w:val="28"/>
        </w:rPr>
        <w:t>服务质量的考核结果将作为支付合同费用的依据之一。服务质量考核结果为优秀或</w:t>
      </w:r>
      <w:r>
        <w:rPr>
          <w:rFonts w:ascii="仿宋" w:hAnsi="仿宋" w:eastAsia="仿宋" w:cs="仿宋"/>
          <w:sz w:val="28"/>
          <w:szCs w:val="28"/>
        </w:rPr>
        <w:t>良好</w:t>
      </w:r>
      <w:r>
        <w:rPr>
          <w:rFonts w:hint="eastAsia" w:ascii="仿宋" w:hAnsi="仿宋" w:eastAsia="仿宋" w:cs="仿宋"/>
          <w:sz w:val="28"/>
          <w:szCs w:val="28"/>
        </w:rPr>
        <w:t>的按合同金额</w:t>
      </w:r>
      <w:r>
        <w:rPr>
          <w:rFonts w:ascii="仿宋" w:hAnsi="仿宋" w:eastAsia="仿宋" w:cs="仿宋"/>
          <w:sz w:val="28"/>
          <w:szCs w:val="28"/>
        </w:rPr>
        <w:t>100%支付，服务质量考核结果为一般的按合同金额97%为上限支付。</w:t>
      </w:r>
    </w:p>
    <w:p w14:paraId="2BAC0DD1">
      <w:pPr>
        <w:ind w:firstLine="560" w:firstLineChars="200"/>
        <w:rPr>
          <w:rFonts w:ascii="仿宋" w:hAnsi="仿宋" w:eastAsia="仿宋" w:cs="仿宋"/>
          <w:sz w:val="28"/>
          <w:szCs w:val="28"/>
        </w:rPr>
      </w:pPr>
      <w:r>
        <w:rPr>
          <w:rFonts w:hint="eastAsia" w:ascii="仿宋" w:hAnsi="仿宋" w:eastAsia="仿宋" w:cs="仿宋"/>
          <w:sz w:val="28"/>
          <w:szCs w:val="28"/>
        </w:rPr>
        <w:t>1、根据项目要求在项目验收前完成相关商用密码应用安全性评估服务工作。</w:t>
      </w:r>
    </w:p>
    <w:p w14:paraId="7672232D">
      <w:pPr>
        <w:ind w:firstLine="560" w:firstLineChars="200"/>
        <w:rPr>
          <w:rFonts w:ascii="仿宋" w:hAnsi="仿宋" w:eastAsia="仿宋" w:cs="仿宋"/>
          <w:sz w:val="28"/>
          <w:szCs w:val="28"/>
        </w:rPr>
      </w:pPr>
      <w:r>
        <w:rPr>
          <w:rFonts w:hint="eastAsia" w:ascii="仿宋" w:hAnsi="仿宋" w:eastAsia="仿宋" w:cs="仿宋"/>
          <w:sz w:val="28"/>
          <w:szCs w:val="28"/>
        </w:rPr>
        <w:t>2、服务提供方应根据三分中心商用密码应用安全性评估项目需求，制定详细商用密码应用安全性评估工作计划和方案。</w:t>
      </w:r>
    </w:p>
    <w:p w14:paraId="64303280">
      <w:pPr>
        <w:ind w:firstLine="560" w:firstLineChars="200"/>
        <w:rPr>
          <w:rFonts w:ascii="仿宋" w:hAnsi="仿宋" w:eastAsia="仿宋" w:cs="仿宋"/>
          <w:sz w:val="28"/>
          <w:szCs w:val="28"/>
        </w:rPr>
      </w:pPr>
      <w:r>
        <w:rPr>
          <w:rFonts w:hint="eastAsia" w:ascii="仿宋" w:hAnsi="仿宋" w:eastAsia="仿宋" w:cs="仿宋"/>
          <w:sz w:val="28"/>
          <w:szCs w:val="28"/>
        </w:rPr>
        <w:t>3、商用密码应用安全性评估项目服务响应率=100%。</w:t>
      </w:r>
    </w:p>
    <w:p w14:paraId="00464954">
      <w:pPr>
        <w:ind w:firstLine="560" w:firstLineChars="200"/>
        <w:rPr>
          <w:rFonts w:ascii="仿宋" w:hAnsi="仿宋" w:eastAsia="仿宋" w:cs="仿宋"/>
          <w:sz w:val="28"/>
          <w:szCs w:val="28"/>
        </w:rPr>
      </w:pPr>
      <w:r>
        <w:rPr>
          <w:rFonts w:hint="eastAsia" w:ascii="仿宋" w:hAnsi="仿宋" w:eastAsia="仿宋" w:cs="仿宋"/>
          <w:sz w:val="28"/>
          <w:szCs w:val="28"/>
        </w:rPr>
        <w:t>4、文档完整度和准确率大于95%。</w:t>
      </w:r>
    </w:p>
    <w:p w14:paraId="7D3DAFA3">
      <w:pPr>
        <w:ind w:firstLine="560" w:firstLineChars="200"/>
        <w:rPr>
          <w:rFonts w:ascii="仿宋" w:hAnsi="仿宋" w:eastAsia="仿宋" w:cs="仿宋"/>
          <w:sz w:val="28"/>
          <w:szCs w:val="28"/>
        </w:rPr>
      </w:pPr>
      <w:r>
        <w:rPr>
          <w:rFonts w:hint="eastAsia" w:ascii="仿宋" w:hAnsi="仿宋" w:eastAsia="仿宋" w:cs="仿宋"/>
          <w:sz w:val="28"/>
          <w:szCs w:val="28"/>
        </w:rPr>
        <w:t>优秀：考核满足上述4条标准。</w:t>
      </w:r>
    </w:p>
    <w:p w14:paraId="3A8B6AEF">
      <w:pPr>
        <w:ind w:firstLine="560" w:firstLineChars="200"/>
        <w:rPr>
          <w:rFonts w:ascii="仿宋" w:hAnsi="仿宋" w:eastAsia="仿宋" w:cs="仿宋"/>
          <w:sz w:val="28"/>
          <w:szCs w:val="28"/>
        </w:rPr>
      </w:pPr>
      <w:r>
        <w:rPr>
          <w:rFonts w:hint="eastAsia" w:ascii="仿宋" w:hAnsi="仿宋" w:eastAsia="仿宋" w:cs="仿宋"/>
          <w:sz w:val="28"/>
          <w:szCs w:val="28"/>
        </w:rPr>
        <w:t>良好：考核满足上述3条标准。</w:t>
      </w:r>
    </w:p>
    <w:p w14:paraId="32FBC911">
      <w:pPr>
        <w:ind w:firstLine="560" w:firstLineChars="200"/>
        <w:rPr>
          <w:rFonts w:ascii="仿宋" w:hAnsi="仿宋" w:eastAsia="仿宋" w:cs="仿宋"/>
          <w:sz w:val="28"/>
          <w:szCs w:val="28"/>
        </w:rPr>
      </w:pPr>
      <w:r>
        <w:rPr>
          <w:rFonts w:hint="eastAsia" w:ascii="仿宋" w:hAnsi="仿宋" w:eastAsia="仿宋" w:cs="仿宋"/>
          <w:sz w:val="28"/>
          <w:szCs w:val="28"/>
        </w:rPr>
        <w:t>一般：考核满足上述2条标准。</w:t>
      </w:r>
    </w:p>
    <w:p w14:paraId="01A22377">
      <w:pPr>
        <w:pStyle w:val="2"/>
        <w:ind w:left="0"/>
        <w:rPr>
          <w:rFonts w:ascii="仿宋" w:hAnsi="仿宋" w:eastAsia="仿宋" w:cs="仿宋"/>
        </w:rPr>
      </w:pPr>
      <w:bookmarkStart w:id="3" w:name="_Toc69194684"/>
      <w:r>
        <w:rPr>
          <w:rFonts w:hint="eastAsia" w:ascii="仿宋" w:hAnsi="仿宋" w:eastAsia="仿宋" w:cs="仿宋"/>
        </w:rPr>
        <w:t>验收</w:t>
      </w:r>
      <w:bookmarkEnd w:id="3"/>
      <w:r>
        <w:rPr>
          <w:rFonts w:hint="eastAsia" w:ascii="仿宋" w:hAnsi="仿宋" w:eastAsia="仿宋" w:cs="仿宋"/>
        </w:rPr>
        <w:t>要求</w:t>
      </w:r>
    </w:p>
    <w:p w14:paraId="62953C50">
      <w:pPr>
        <w:ind w:firstLine="560" w:firstLineChars="200"/>
        <w:rPr>
          <w:rFonts w:ascii="仿宋" w:hAnsi="仿宋" w:eastAsia="仿宋" w:cs="仿宋"/>
          <w:sz w:val="28"/>
          <w:szCs w:val="28"/>
        </w:rPr>
      </w:pPr>
      <w:r>
        <w:rPr>
          <w:rFonts w:hint="eastAsia" w:ascii="仿宋" w:hAnsi="仿宋" w:eastAsia="仿宋" w:cs="仿宋"/>
          <w:sz w:val="28"/>
          <w:szCs w:val="28"/>
        </w:rPr>
        <w:t>信息系统密码应用安全性评估服务期限结束两个月前，服务提供方应当以书面形式向用户方提交《商用密码应用安全性评估报告》及相关材料。用户方在收到服务提供方提交的密码应用安全性评估资料（服务周期内的服务过程文档和服务总结报告等）后10个工作日内，对服务提供方的工作进行验收。如属于服务提供方原因致使商用密码应用安全性评估服务未能通过验收的，服务提供方应当在10个工作日内进行整改，并自行承担相关商用密码应用安全性评估相关费用，再次接受用户方的验收，直至符合约定要求。</w:t>
      </w:r>
    </w:p>
    <w:p w14:paraId="7661F077">
      <w:pPr>
        <w:pStyle w:val="2"/>
        <w:ind w:left="0"/>
        <w:rPr>
          <w:rFonts w:ascii="仿宋" w:hAnsi="仿宋" w:eastAsia="仿宋" w:cs="仿宋"/>
        </w:rPr>
      </w:pPr>
      <w:bookmarkStart w:id="4" w:name="_Toc69194685"/>
      <w:r>
        <w:rPr>
          <w:rFonts w:hint="eastAsia" w:ascii="仿宋" w:hAnsi="仿宋" w:eastAsia="仿宋" w:cs="仿宋"/>
        </w:rPr>
        <w:t>服务组织和人员</w:t>
      </w:r>
      <w:bookmarkEnd w:id="4"/>
      <w:r>
        <w:rPr>
          <w:rFonts w:hint="eastAsia" w:ascii="仿宋" w:hAnsi="仿宋" w:eastAsia="仿宋" w:cs="仿宋"/>
        </w:rPr>
        <w:t>要求</w:t>
      </w:r>
    </w:p>
    <w:p w14:paraId="172C268D">
      <w:pPr>
        <w:ind w:firstLine="560" w:firstLineChars="200"/>
        <w:rPr>
          <w:rFonts w:ascii="仿宋" w:hAnsi="仿宋" w:eastAsia="仿宋" w:cs="仿宋"/>
          <w:sz w:val="28"/>
          <w:szCs w:val="28"/>
        </w:rPr>
      </w:pPr>
      <w:r>
        <w:rPr>
          <w:rFonts w:hint="eastAsia" w:ascii="仿宋" w:hAnsi="仿宋" w:eastAsia="仿宋" w:cs="仿宋"/>
          <w:sz w:val="28"/>
          <w:szCs w:val="28"/>
        </w:rPr>
        <w:t>选派在项目服务方面富有经验的团队人员负责项目的运行维护，项目团队应配置对应的人员，团队应至少配备8人，具体人员要求如下表所示：</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2731"/>
        <w:gridCol w:w="744"/>
        <w:gridCol w:w="2662"/>
        <w:gridCol w:w="965"/>
      </w:tblGrid>
      <w:tr w14:paraId="2112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420" w:type="dxa"/>
            <w:vAlign w:val="center"/>
          </w:tcPr>
          <w:p w14:paraId="38BEF92B">
            <w:pPr>
              <w:pStyle w:val="23"/>
              <w:ind w:left="0" w:leftChars="0" w:firstLine="0" w:firstLineChars="0"/>
              <w:jc w:val="center"/>
              <w:rPr>
                <w:rFonts w:ascii="仿宋" w:hAnsi="仿宋" w:eastAsia="仿宋" w:cs="仿宋"/>
                <w:b/>
                <w:kern w:val="0"/>
                <w:lang w:val="en-US"/>
              </w:rPr>
            </w:pPr>
            <w:r>
              <w:rPr>
                <w:rFonts w:hint="eastAsia" w:ascii="仿宋" w:hAnsi="仿宋" w:eastAsia="仿宋" w:cs="仿宋"/>
                <w:b/>
                <w:kern w:val="0"/>
                <w:lang w:val="en-US"/>
              </w:rPr>
              <w:t>角色</w:t>
            </w:r>
          </w:p>
        </w:tc>
        <w:tc>
          <w:tcPr>
            <w:tcW w:w="2731" w:type="dxa"/>
            <w:vAlign w:val="center"/>
          </w:tcPr>
          <w:p w14:paraId="200EAEC9">
            <w:pPr>
              <w:pStyle w:val="23"/>
              <w:ind w:left="0" w:leftChars="0" w:firstLine="0" w:firstLineChars="0"/>
              <w:jc w:val="center"/>
              <w:rPr>
                <w:rFonts w:ascii="仿宋" w:hAnsi="仿宋" w:eastAsia="仿宋" w:cs="仿宋"/>
                <w:b/>
                <w:kern w:val="0"/>
                <w:lang w:val="en-US"/>
              </w:rPr>
            </w:pPr>
            <w:r>
              <w:rPr>
                <w:rFonts w:hint="eastAsia" w:ascii="仿宋" w:hAnsi="仿宋" w:eastAsia="仿宋" w:cs="仿宋"/>
                <w:b/>
                <w:kern w:val="0"/>
                <w:lang w:val="en-US"/>
              </w:rPr>
              <w:t>主要职责</w:t>
            </w:r>
          </w:p>
        </w:tc>
        <w:tc>
          <w:tcPr>
            <w:tcW w:w="744" w:type="dxa"/>
            <w:vAlign w:val="center"/>
          </w:tcPr>
          <w:p w14:paraId="335366A1">
            <w:pPr>
              <w:pStyle w:val="23"/>
              <w:ind w:left="0" w:leftChars="0" w:firstLine="0" w:firstLineChars="0"/>
              <w:jc w:val="center"/>
              <w:rPr>
                <w:rFonts w:ascii="仿宋" w:hAnsi="仿宋" w:eastAsia="仿宋" w:cs="仿宋"/>
                <w:b/>
                <w:kern w:val="0"/>
                <w:lang w:val="en-US"/>
              </w:rPr>
            </w:pPr>
            <w:r>
              <w:rPr>
                <w:rFonts w:hint="eastAsia" w:ascii="仿宋" w:hAnsi="仿宋" w:eastAsia="仿宋" w:cs="仿宋"/>
                <w:b/>
                <w:kern w:val="0"/>
                <w:lang w:val="en-US"/>
              </w:rPr>
              <w:t>人数</w:t>
            </w:r>
          </w:p>
        </w:tc>
        <w:tc>
          <w:tcPr>
            <w:tcW w:w="2662" w:type="dxa"/>
            <w:vAlign w:val="center"/>
          </w:tcPr>
          <w:p w14:paraId="27154A8B">
            <w:pPr>
              <w:pStyle w:val="23"/>
              <w:ind w:left="0" w:leftChars="0" w:firstLine="0" w:firstLineChars="0"/>
              <w:jc w:val="center"/>
              <w:rPr>
                <w:rFonts w:ascii="仿宋" w:hAnsi="仿宋" w:eastAsia="仿宋" w:cs="仿宋"/>
                <w:b/>
                <w:kern w:val="0"/>
                <w:lang w:val="en-US"/>
              </w:rPr>
            </w:pPr>
            <w:r>
              <w:rPr>
                <w:rFonts w:hint="eastAsia" w:ascii="仿宋" w:hAnsi="仿宋" w:eastAsia="仿宋" w:cs="仿宋"/>
                <w:b/>
                <w:kern w:val="0"/>
                <w:lang w:val="en-US"/>
              </w:rPr>
              <w:t>人员要求</w:t>
            </w:r>
          </w:p>
        </w:tc>
        <w:tc>
          <w:tcPr>
            <w:tcW w:w="965" w:type="dxa"/>
            <w:vAlign w:val="center"/>
          </w:tcPr>
          <w:p w14:paraId="6C343578">
            <w:pPr>
              <w:pStyle w:val="23"/>
              <w:ind w:left="0" w:leftChars="0" w:firstLine="0" w:firstLineChars="0"/>
              <w:jc w:val="center"/>
              <w:rPr>
                <w:rFonts w:ascii="仿宋" w:hAnsi="仿宋" w:eastAsia="仿宋" w:cs="仿宋"/>
                <w:b/>
                <w:kern w:val="0"/>
                <w:lang w:val="en-US"/>
              </w:rPr>
            </w:pPr>
            <w:r>
              <w:rPr>
                <w:rFonts w:hint="eastAsia" w:ascii="仿宋" w:hAnsi="仿宋" w:eastAsia="仿宋" w:cs="仿宋"/>
                <w:b/>
                <w:kern w:val="0"/>
                <w:lang w:val="en-US"/>
              </w:rPr>
              <w:t>驻场要求</w:t>
            </w:r>
          </w:p>
        </w:tc>
      </w:tr>
      <w:tr w14:paraId="3C65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420" w:type="dxa"/>
            <w:vAlign w:val="center"/>
          </w:tcPr>
          <w:p w14:paraId="0A01AB86">
            <w:pPr>
              <w:pStyle w:val="23"/>
              <w:ind w:left="0" w:leftChars="0" w:firstLine="0" w:firstLineChars="0"/>
              <w:jc w:val="center"/>
              <w:rPr>
                <w:rFonts w:ascii="仿宋" w:hAnsi="仿宋" w:eastAsia="仿宋" w:cs="仿宋"/>
                <w:kern w:val="0"/>
                <w:lang w:val="en-US"/>
              </w:rPr>
            </w:pPr>
            <w:r>
              <w:rPr>
                <w:rFonts w:hint="eastAsia" w:ascii="仿宋" w:hAnsi="仿宋" w:eastAsia="仿宋" w:cs="仿宋"/>
                <w:kern w:val="0"/>
                <w:lang w:val="en-US"/>
              </w:rPr>
              <w:t>项目经理</w:t>
            </w:r>
          </w:p>
        </w:tc>
        <w:tc>
          <w:tcPr>
            <w:tcW w:w="2731" w:type="dxa"/>
            <w:vAlign w:val="center"/>
          </w:tcPr>
          <w:p w14:paraId="5DA1D87D">
            <w:pPr>
              <w:pStyle w:val="23"/>
              <w:ind w:left="0" w:leftChars="0" w:firstLine="0" w:firstLineChars="0"/>
              <w:jc w:val="center"/>
              <w:rPr>
                <w:rFonts w:ascii="仿宋" w:hAnsi="仿宋" w:eastAsia="仿宋" w:cs="仿宋"/>
                <w:kern w:val="0"/>
                <w:lang w:val="en-US"/>
              </w:rPr>
            </w:pPr>
            <w:r>
              <w:rPr>
                <w:rFonts w:hint="eastAsia" w:ascii="仿宋" w:hAnsi="仿宋" w:eastAsia="仿宋" w:cs="仿宋"/>
                <w:kern w:val="0"/>
                <w:lang w:val="en-US"/>
              </w:rPr>
              <w:t>负责制定项目计划方案，管控项目实施进度、团队人员日常管理，协调处理项目过程中遇到的各类问题。</w:t>
            </w:r>
          </w:p>
        </w:tc>
        <w:tc>
          <w:tcPr>
            <w:tcW w:w="744" w:type="dxa"/>
            <w:vAlign w:val="center"/>
          </w:tcPr>
          <w:p w14:paraId="4191E22C">
            <w:pPr>
              <w:pStyle w:val="23"/>
              <w:ind w:left="0" w:leftChars="0" w:firstLine="0" w:firstLineChars="0"/>
              <w:jc w:val="center"/>
              <w:rPr>
                <w:rFonts w:ascii="仿宋" w:hAnsi="仿宋" w:eastAsia="仿宋" w:cs="仿宋"/>
                <w:kern w:val="0"/>
                <w:lang w:val="en-US"/>
              </w:rPr>
            </w:pPr>
            <w:r>
              <w:rPr>
                <w:rFonts w:hint="eastAsia" w:ascii="仿宋" w:hAnsi="仿宋" w:eastAsia="仿宋" w:cs="仿宋"/>
                <w:kern w:val="0"/>
                <w:lang w:val="en-US"/>
              </w:rPr>
              <w:t>1人</w:t>
            </w:r>
          </w:p>
        </w:tc>
        <w:tc>
          <w:tcPr>
            <w:tcW w:w="2662" w:type="dxa"/>
            <w:vAlign w:val="center"/>
          </w:tcPr>
          <w:p w14:paraId="6604D87F">
            <w:pPr>
              <w:pStyle w:val="23"/>
              <w:ind w:left="0" w:leftChars="0" w:firstLine="0" w:firstLineChars="0"/>
              <w:jc w:val="center"/>
              <w:rPr>
                <w:rFonts w:ascii="仿宋" w:hAnsi="仿宋" w:eastAsia="仿宋" w:cs="仿宋"/>
                <w:kern w:val="0"/>
                <w:lang w:val="en-US"/>
              </w:rPr>
            </w:pPr>
            <w:r>
              <w:rPr>
                <w:rFonts w:hint="eastAsia" w:ascii="仿宋" w:hAnsi="仿宋" w:eastAsia="仿宋" w:cs="仿宋"/>
                <w:kern w:val="0"/>
                <w:lang w:val="en-US"/>
              </w:rPr>
              <w:t>通过商用密码应用安全性评估从业人员考核；具备5年及以上密码应用安全性评估经验；</w:t>
            </w:r>
            <w:r>
              <w:rPr>
                <w:rFonts w:hint="eastAsia" w:ascii="仿宋" w:hAnsi="仿宋" w:eastAsia="仿宋" w:cs="宋体"/>
                <w:color w:val="000000"/>
                <w:kern w:val="0"/>
                <w:szCs w:val="21"/>
              </w:rPr>
              <w:t>具有注册信息安全专业人员（CISP）资质。</w:t>
            </w:r>
          </w:p>
        </w:tc>
        <w:tc>
          <w:tcPr>
            <w:tcW w:w="965" w:type="dxa"/>
            <w:vAlign w:val="center"/>
          </w:tcPr>
          <w:p w14:paraId="7C08CFDF">
            <w:pPr>
              <w:pStyle w:val="23"/>
              <w:ind w:left="0" w:leftChars="0" w:firstLine="0" w:firstLineChars="0"/>
              <w:jc w:val="center"/>
              <w:rPr>
                <w:rFonts w:ascii="仿宋" w:hAnsi="仿宋" w:eastAsia="仿宋" w:cs="仿宋"/>
                <w:kern w:val="0"/>
                <w:lang w:val="en-US"/>
              </w:rPr>
            </w:pPr>
            <w:r>
              <w:rPr>
                <w:rFonts w:hint="eastAsia" w:ascii="仿宋" w:hAnsi="仿宋" w:eastAsia="仿宋" w:cs="仿宋"/>
                <w:kern w:val="0"/>
                <w:lang w:val="en-US"/>
              </w:rPr>
              <w:t>不驻场</w:t>
            </w:r>
          </w:p>
        </w:tc>
      </w:tr>
      <w:tr w14:paraId="4A59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420" w:type="dxa"/>
            <w:vAlign w:val="center"/>
          </w:tcPr>
          <w:p w14:paraId="597A1072">
            <w:pPr>
              <w:pStyle w:val="23"/>
              <w:ind w:left="0" w:leftChars="0" w:firstLine="0" w:firstLineChars="0"/>
              <w:jc w:val="center"/>
              <w:rPr>
                <w:rFonts w:ascii="仿宋" w:hAnsi="仿宋" w:eastAsia="仿宋" w:cs="仿宋"/>
                <w:kern w:val="0"/>
                <w:lang w:val="en-US"/>
              </w:rPr>
            </w:pPr>
            <w:r>
              <w:rPr>
                <w:rFonts w:hint="eastAsia" w:ascii="仿宋" w:hAnsi="仿宋" w:eastAsia="仿宋" w:cs="仿宋"/>
                <w:kern w:val="0"/>
                <w:lang w:val="en-US"/>
              </w:rPr>
              <w:t>测评工程师</w:t>
            </w:r>
          </w:p>
        </w:tc>
        <w:tc>
          <w:tcPr>
            <w:tcW w:w="2731" w:type="dxa"/>
            <w:vAlign w:val="center"/>
          </w:tcPr>
          <w:p w14:paraId="14506DB8">
            <w:pPr>
              <w:pStyle w:val="23"/>
              <w:ind w:left="0" w:leftChars="0" w:firstLine="0" w:firstLineChars="0"/>
              <w:jc w:val="center"/>
              <w:rPr>
                <w:rFonts w:ascii="仿宋" w:hAnsi="仿宋" w:eastAsia="仿宋" w:cs="仿宋"/>
                <w:kern w:val="0"/>
                <w:lang w:val="en-US"/>
              </w:rPr>
            </w:pPr>
            <w:r>
              <w:rPr>
                <w:rFonts w:hint="eastAsia" w:ascii="仿宋" w:hAnsi="仿宋" w:eastAsia="仿宋" w:cs="仿宋"/>
                <w:kern w:val="0"/>
                <w:lang w:val="en-US"/>
              </w:rPr>
              <w:t>负责项目实施过程中技术应用的测评工作。</w:t>
            </w:r>
          </w:p>
        </w:tc>
        <w:tc>
          <w:tcPr>
            <w:tcW w:w="744" w:type="dxa"/>
            <w:vAlign w:val="center"/>
          </w:tcPr>
          <w:p w14:paraId="17198D9A">
            <w:pPr>
              <w:pStyle w:val="23"/>
              <w:ind w:left="0" w:leftChars="0" w:firstLine="0" w:firstLineChars="0"/>
              <w:jc w:val="center"/>
              <w:rPr>
                <w:rFonts w:ascii="仿宋" w:hAnsi="仿宋" w:eastAsia="仿宋" w:cs="仿宋"/>
                <w:kern w:val="0"/>
                <w:lang w:val="en-US"/>
              </w:rPr>
            </w:pPr>
            <w:r>
              <w:rPr>
                <w:rFonts w:hint="eastAsia" w:ascii="仿宋" w:hAnsi="仿宋" w:eastAsia="仿宋" w:cs="仿宋"/>
                <w:kern w:val="0"/>
                <w:lang w:val="en-US"/>
              </w:rPr>
              <w:t>6人</w:t>
            </w:r>
          </w:p>
        </w:tc>
        <w:tc>
          <w:tcPr>
            <w:tcW w:w="2662" w:type="dxa"/>
            <w:vAlign w:val="center"/>
          </w:tcPr>
          <w:p w14:paraId="1B992FFE">
            <w:pPr>
              <w:pStyle w:val="23"/>
              <w:ind w:left="0" w:leftChars="0" w:firstLine="0" w:firstLineChars="0"/>
              <w:jc w:val="center"/>
              <w:rPr>
                <w:rFonts w:ascii="仿宋" w:hAnsi="仿宋" w:eastAsia="仿宋" w:cs="仿宋"/>
                <w:kern w:val="0"/>
                <w:lang w:val="en-US"/>
              </w:rPr>
            </w:pPr>
            <w:r>
              <w:rPr>
                <w:rFonts w:hint="eastAsia" w:ascii="仿宋" w:hAnsi="仿宋" w:eastAsia="仿宋" w:cs="仿宋"/>
                <w:kern w:val="0"/>
                <w:lang w:val="en-US"/>
              </w:rPr>
              <w:t>通过商用密码应用安全性评估从业人员考核；具备3年及以上密码应用安全性评估经验。</w:t>
            </w:r>
          </w:p>
        </w:tc>
        <w:tc>
          <w:tcPr>
            <w:tcW w:w="965" w:type="dxa"/>
            <w:vAlign w:val="center"/>
          </w:tcPr>
          <w:p w14:paraId="3F598CB1">
            <w:pPr>
              <w:pStyle w:val="23"/>
              <w:ind w:left="0" w:leftChars="0" w:firstLine="0" w:firstLineChars="0"/>
              <w:jc w:val="center"/>
              <w:rPr>
                <w:rFonts w:ascii="仿宋" w:hAnsi="仿宋" w:eastAsia="仿宋" w:cs="仿宋"/>
                <w:kern w:val="0"/>
              </w:rPr>
            </w:pPr>
            <w:r>
              <w:rPr>
                <w:rFonts w:hint="eastAsia" w:ascii="仿宋" w:hAnsi="仿宋" w:eastAsia="仿宋" w:cs="仿宋"/>
                <w:kern w:val="0"/>
                <w:lang w:val="en-US"/>
              </w:rPr>
              <w:t>不驻场</w:t>
            </w:r>
          </w:p>
        </w:tc>
      </w:tr>
      <w:tr w14:paraId="653F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420" w:type="dxa"/>
            <w:vAlign w:val="center"/>
          </w:tcPr>
          <w:p w14:paraId="561C7595">
            <w:pPr>
              <w:widowControl/>
              <w:jc w:val="center"/>
              <w:rPr>
                <w:rFonts w:ascii="仿宋" w:hAnsi="仿宋" w:eastAsia="仿宋" w:cs="仿宋"/>
                <w:kern w:val="0"/>
                <w:sz w:val="24"/>
                <w:szCs w:val="24"/>
              </w:rPr>
            </w:pPr>
            <w:r>
              <w:rPr>
                <w:rFonts w:hint="eastAsia" w:ascii="仿宋" w:hAnsi="仿宋" w:eastAsia="仿宋" w:cs="仿宋"/>
                <w:kern w:val="0"/>
                <w:sz w:val="24"/>
                <w:szCs w:val="24"/>
              </w:rPr>
              <w:t>档案管理员</w:t>
            </w:r>
          </w:p>
        </w:tc>
        <w:tc>
          <w:tcPr>
            <w:tcW w:w="2731" w:type="dxa"/>
            <w:vAlign w:val="center"/>
          </w:tcPr>
          <w:p w14:paraId="07047611">
            <w:pPr>
              <w:widowControl/>
              <w:rPr>
                <w:rFonts w:ascii="仿宋" w:hAnsi="仿宋" w:eastAsia="仿宋" w:cs="仿宋"/>
                <w:kern w:val="0"/>
                <w:sz w:val="24"/>
                <w:szCs w:val="24"/>
              </w:rPr>
            </w:pPr>
            <w:r>
              <w:rPr>
                <w:rFonts w:hint="eastAsia" w:ascii="仿宋" w:hAnsi="仿宋" w:eastAsia="仿宋" w:cs="仿宋"/>
                <w:kern w:val="0"/>
                <w:sz w:val="24"/>
                <w:szCs w:val="24"/>
              </w:rPr>
              <w:t>负责对项目档案的接收分类、编目等资料档案管理工作，协助采购人整理等保定级备案材料等工作。</w:t>
            </w:r>
          </w:p>
        </w:tc>
        <w:tc>
          <w:tcPr>
            <w:tcW w:w="744" w:type="dxa"/>
            <w:vAlign w:val="center"/>
          </w:tcPr>
          <w:p w14:paraId="3C938316">
            <w:pPr>
              <w:pStyle w:val="23"/>
              <w:ind w:left="0" w:leftChars="0" w:firstLine="0" w:firstLineChars="0"/>
              <w:jc w:val="center"/>
              <w:rPr>
                <w:rFonts w:ascii="仿宋" w:hAnsi="仿宋" w:eastAsia="仿宋" w:cs="仿宋"/>
                <w:kern w:val="0"/>
                <w:lang w:val="en-US"/>
              </w:rPr>
            </w:pPr>
            <w:r>
              <w:rPr>
                <w:rFonts w:hint="eastAsia" w:ascii="仿宋" w:hAnsi="仿宋" w:eastAsia="仿宋" w:cs="仿宋"/>
                <w:kern w:val="0"/>
                <w:lang w:val="en-US"/>
              </w:rPr>
              <w:t>1人</w:t>
            </w:r>
          </w:p>
        </w:tc>
        <w:tc>
          <w:tcPr>
            <w:tcW w:w="2662" w:type="dxa"/>
            <w:vAlign w:val="center"/>
          </w:tcPr>
          <w:p w14:paraId="2543A3F0">
            <w:pPr>
              <w:pStyle w:val="23"/>
              <w:ind w:left="0" w:leftChars="0" w:firstLine="0" w:firstLineChars="0"/>
              <w:jc w:val="center"/>
              <w:rPr>
                <w:rFonts w:ascii="仿宋" w:hAnsi="仿宋" w:eastAsia="仿宋" w:cs="仿宋"/>
                <w:kern w:val="0"/>
                <w:lang w:val="en-US"/>
              </w:rPr>
            </w:pPr>
            <w:r>
              <w:rPr>
                <w:rFonts w:hint="eastAsia" w:ascii="仿宋" w:hAnsi="仿宋" w:eastAsia="仿宋" w:cs="仿宋"/>
                <w:kern w:val="0"/>
                <w:lang w:val="en-US"/>
              </w:rPr>
              <w:t>具备相关工作经验</w:t>
            </w:r>
          </w:p>
        </w:tc>
        <w:tc>
          <w:tcPr>
            <w:tcW w:w="965" w:type="dxa"/>
            <w:vAlign w:val="center"/>
          </w:tcPr>
          <w:p w14:paraId="70F243B1">
            <w:pPr>
              <w:pStyle w:val="23"/>
              <w:ind w:left="0" w:leftChars="0" w:firstLine="0" w:firstLineChars="0"/>
              <w:jc w:val="center"/>
              <w:rPr>
                <w:rFonts w:ascii="仿宋" w:hAnsi="仿宋" w:eastAsia="仿宋" w:cs="仿宋"/>
                <w:kern w:val="0"/>
                <w:lang w:val="en-US"/>
              </w:rPr>
            </w:pPr>
            <w:r>
              <w:rPr>
                <w:rFonts w:hint="eastAsia" w:ascii="仿宋" w:hAnsi="仿宋" w:eastAsia="仿宋" w:cs="仿宋"/>
                <w:kern w:val="0"/>
                <w:lang w:val="en-US"/>
              </w:rPr>
              <w:t>不驻场</w:t>
            </w:r>
          </w:p>
        </w:tc>
      </w:tr>
    </w:tbl>
    <w:p w14:paraId="089AF9E5">
      <w:pPr>
        <w:pStyle w:val="2"/>
        <w:ind w:left="0"/>
        <w:rPr>
          <w:rFonts w:ascii="仿宋" w:hAnsi="仿宋" w:eastAsia="仿宋" w:cs="仿宋"/>
        </w:rPr>
      </w:pPr>
      <w:bookmarkStart w:id="5" w:name="_Toc69194686"/>
      <w:r>
        <w:rPr>
          <w:rFonts w:hint="eastAsia" w:ascii="仿宋" w:hAnsi="仿宋" w:eastAsia="仿宋" w:cs="仿宋"/>
        </w:rPr>
        <w:t>服务提供方</w:t>
      </w:r>
      <w:bookmarkEnd w:id="5"/>
      <w:r>
        <w:rPr>
          <w:rFonts w:hint="eastAsia" w:ascii="仿宋" w:hAnsi="仿宋" w:eastAsia="仿宋" w:cs="仿宋"/>
        </w:rPr>
        <w:t>相关要求</w:t>
      </w:r>
    </w:p>
    <w:p w14:paraId="381B2929">
      <w:pPr>
        <w:ind w:firstLine="560" w:firstLineChars="200"/>
        <w:rPr>
          <w:rFonts w:ascii="仿宋" w:hAnsi="仿宋" w:eastAsia="仿宋" w:cs="仿宋"/>
          <w:sz w:val="28"/>
          <w:szCs w:val="28"/>
        </w:rPr>
      </w:pPr>
      <w:r>
        <w:rPr>
          <w:rFonts w:hint="eastAsia" w:ascii="仿宋" w:hAnsi="仿宋" w:eastAsia="仿宋" w:cs="仿宋"/>
          <w:sz w:val="28"/>
          <w:szCs w:val="28"/>
        </w:rPr>
        <w:t>1、服务提供方拥有稳定专业的服务团队，实施过类似信息系统商用密码应用安全性评估服务项目优先考虑。</w:t>
      </w:r>
    </w:p>
    <w:p w14:paraId="6A083C95">
      <w:pPr>
        <w:ind w:firstLine="560" w:firstLineChars="200"/>
        <w:rPr>
          <w:rFonts w:ascii="仿宋" w:hAnsi="仿宋" w:eastAsia="仿宋" w:cs="仿宋"/>
          <w:sz w:val="28"/>
          <w:szCs w:val="28"/>
        </w:rPr>
      </w:pPr>
      <w:r>
        <w:rPr>
          <w:rFonts w:hint="eastAsia" w:ascii="仿宋" w:hAnsi="仿宋" w:eastAsia="仿宋" w:cs="仿宋"/>
          <w:sz w:val="28"/>
          <w:szCs w:val="28"/>
        </w:rPr>
        <w:t>2、供应商具备CCRC信息安全服务资质认证证书且方向为信息安全风险评估、信息安全管理体系认证证书的优先考虑。</w:t>
      </w:r>
    </w:p>
    <w:p w14:paraId="65B0EFF0">
      <w:pPr>
        <w:pStyle w:val="2"/>
        <w:ind w:left="0"/>
        <w:rPr>
          <w:rFonts w:ascii="仿宋" w:hAnsi="仿宋" w:eastAsia="仿宋" w:cs="仿宋"/>
          <w:bCs w:val="0"/>
          <w:szCs w:val="32"/>
        </w:rPr>
      </w:pPr>
      <w:bookmarkStart w:id="6" w:name="_Toc67249662"/>
      <w:bookmarkStart w:id="7" w:name="_Toc38354903"/>
      <w:bookmarkStart w:id="8" w:name="_Toc69194690"/>
      <w:r>
        <w:rPr>
          <w:rFonts w:hint="eastAsia" w:ascii="仿宋" w:hAnsi="仿宋" w:eastAsia="仿宋" w:cs="仿宋"/>
          <w:bCs w:val="0"/>
          <w:szCs w:val="32"/>
        </w:rPr>
        <w:t>应急服务</w:t>
      </w:r>
      <w:bookmarkEnd w:id="6"/>
    </w:p>
    <w:p w14:paraId="2B7B6EC2">
      <w:pPr>
        <w:ind w:firstLine="562" w:firstLineChars="200"/>
        <w:rPr>
          <w:rFonts w:ascii="仿宋" w:hAnsi="仿宋" w:eastAsia="仿宋" w:cs="仿宋"/>
          <w:b/>
          <w:sz w:val="28"/>
          <w:szCs w:val="28"/>
        </w:rPr>
      </w:pPr>
      <w:r>
        <w:rPr>
          <w:rFonts w:hint="eastAsia" w:ascii="仿宋" w:hAnsi="仿宋" w:eastAsia="仿宋" w:cs="仿宋"/>
          <w:b/>
          <w:sz w:val="28"/>
          <w:szCs w:val="28"/>
        </w:rPr>
        <w:t>1、服务提供方坚持主动预防、迅速高效的原则，紧密结合实际情况，配合三分中心编制并持续完善密码应用安全事件应急预案。</w:t>
      </w:r>
    </w:p>
    <w:p w14:paraId="3A350E6C">
      <w:pPr>
        <w:ind w:firstLine="562" w:firstLineChars="200"/>
        <w:rPr>
          <w:rFonts w:ascii="仿宋" w:hAnsi="仿宋" w:eastAsia="仿宋" w:cs="仿宋"/>
          <w:b/>
          <w:sz w:val="28"/>
          <w:szCs w:val="28"/>
        </w:rPr>
      </w:pPr>
      <w:r>
        <w:rPr>
          <w:rFonts w:hint="eastAsia" w:ascii="仿宋" w:hAnsi="仿宋" w:eastAsia="仿宋" w:cs="仿宋"/>
          <w:b/>
          <w:sz w:val="28"/>
          <w:szCs w:val="28"/>
        </w:rPr>
        <w:t>2、服务提供方必须提供7*24小时全天候应急响应服务。</w:t>
      </w:r>
    </w:p>
    <w:p w14:paraId="47D73797">
      <w:pPr>
        <w:ind w:firstLine="562" w:firstLineChars="200"/>
        <w:rPr>
          <w:rFonts w:ascii="仿宋" w:hAnsi="仿宋" w:eastAsia="仿宋" w:cs="仿宋"/>
          <w:b/>
          <w:sz w:val="28"/>
          <w:szCs w:val="28"/>
        </w:rPr>
      </w:pPr>
      <w:r>
        <w:rPr>
          <w:rFonts w:hint="eastAsia" w:ascii="仿宋" w:hAnsi="仿宋" w:eastAsia="仿宋" w:cs="仿宋"/>
          <w:b/>
          <w:sz w:val="28"/>
          <w:szCs w:val="28"/>
        </w:rPr>
        <w:t>3、依据故障时间及故障范围划分故障级别，故障级别分为四级，依次为Ⅰ级（紧急）、Ⅱ级（严重）、Ⅲ级（较大）和Ⅳ级（一般），分别定义如下：</w:t>
      </w:r>
    </w:p>
    <w:p w14:paraId="5F2A87E0">
      <w:pPr>
        <w:ind w:firstLine="562" w:firstLineChars="200"/>
        <w:rPr>
          <w:rFonts w:ascii="仿宋" w:hAnsi="仿宋" w:eastAsia="仿宋" w:cs="仿宋"/>
          <w:b/>
          <w:sz w:val="28"/>
          <w:szCs w:val="28"/>
        </w:rPr>
      </w:pPr>
      <w:r>
        <w:rPr>
          <w:rFonts w:hint="eastAsia" w:ascii="仿宋" w:hAnsi="仿宋" w:eastAsia="仿宋" w:cs="仿宋"/>
          <w:b/>
          <w:sz w:val="28"/>
          <w:szCs w:val="28"/>
        </w:rPr>
        <w:t>Ⅰ级（紧急）故障为工作时间段（8：30——17：30）内大范围故障；</w:t>
      </w:r>
    </w:p>
    <w:p w14:paraId="2E1F82DB">
      <w:pPr>
        <w:ind w:firstLine="562" w:firstLineChars="200"/>
        <w:rPr>
          <w:rFonts w:ascii="仿宋" w:hAnsi="仿宋" w:eastAsia="仿宋" w:cs="仿宋"/>
          <w:b/>
          <w:sz w:val="28"/>
          <w:szCs w:val="28"/>
        </w:rPr>
      </w:pPr>
      <w:r>
        <w:rPr>
          <w:rFonts w:hint="eastAsia" w:ascii="仿宋" w:hAnsi="仿宋" w:eastAsia="仿宋" w:cs="仿宋"/>
          <w:b/>
          <w:sz w:val="28"/>
          <w:szCs w:val="28"/>
        </w:rPr>
        <w:t>Ⅱ级（严重）故障为非工作时间段（17：30——次日8：30）内大范围故障；</w:t>
      </w:r>
    </w:p>
    <w:p w14:paraId="0849E5B8">
      <w:pPr>
        <w:ind w:firstLine="562" w:firstLineChars="200"/>
        <w:rPr>
          <w:rFonts w:ascii="仿宋" w:hAnsi="仿宋" w:eastAsia="仿宋" w:cs="仿宋"/>
          <w:b/>
          <w:sz w:val="28"/>
          <w:szCs w:val="28"/>
        </w:rPr>
      </w:pPr>
      <w:r>
        <w:rPr>
          <w:rFonts w:hint="eastAsia" w:ascii="仿宋" w:hAnsi="仿宋" w:eastAsia="仿宋" w:cs="仿宋"/>
          <w:b/>
          <w:sz w:val="28"/>
          <w:szCs w:val="28"/>
        </w:rPr>
        <w:t>Ⅲ级（较大）故障为工作时间段（8：30——17：30）内小范围故障；</w:t>
      </w:r>
    </w:p>
    <w:p w14:paraId="46BE1909">
      <w:pPr>
        <w:ind w:firstLine="562" w:firstLineChars="200"/>
        <w:rPr>
          <w:rFonts w:ascii="仿宋" w:hAnsi="仿宋" w:eastAsia="仿宋" w:cs="仿宋"/>
          <w:b/>
          <w:sz w:val="28"/>
          <w:szCs w:val="28"/>
        </w:rPr>
      </w:pPr>
      <w:r>
        <w:rPr>
          <w:rFonts w:hint="eastAsia" w:ascii="仿宋" w:hAnsi="仿宋" w:eastAsia="仿宋" w:cs="仿宋"/>
          <w:b/>
          <w:sz w:val="28"/>
          <w:szCs w:val="28"/>
        </w:rPr>
        <w:t>Ⅳ级（一般）故障为非工作时间段（17：30——次日8：30）内小范围故障；</w:t>
      </w:r>
    </w:p>
    <w:p w14:paraId="27C0C305">
      <w:pPr>
        <w:ind w:firstLine="562" w:firstLineChars="200"/>
        <w:rPr>
          <w:rFonts w:ascii="仿宋" w:hAnsi="仿宋" w:eastAsia="仿宋" w:cs="仿宋"/>
          <w:b/>
          <w:sz w:val="28"/>
          <w:szCs w:val="28"/>
        </w:rPr>
      </w:pPr>
      <w:r>
        <w:rPr>
          <w:rFonts w:hint="eastAsia" w:ascii="仿宋" w:hAnsi="仿宋" w:eastAsia="仿宋" w:cs="仿宋"/>
          <w:b/>
          <w:sz w:val="28"/>
          <w:szCs w:val="28"/>
        </w:rPr>
        <w:t>当：</w:t>
      </w:r>
    </w:p>
    <w:p w14:paraId="72C53424">
      <w:pPr>
        <w:ind w:firstLine="562" w:firstLineChars="200"/>
        <w:rPr>
          <w:rFonts w:ascii="仿宋" w:hAnsi="仿宋" w:eastAsia="仿宋" w:cs="仿宋"/>
          <w:b/>
          <w:sz w:val="28"/>
          <w:szCs w:val="28"/>
        </w:rPr>
      </w:pPr>
      <w:r>
        <w:rPr>
          <w:rFonts w:hint="eastAsia" w:ascii="仿宋" w:hAnsi="仿宋" w:eastAsia="仿宋" w:cs="仿宋"/>
          <w:b/>
          <w:sz w:val="28"/>
          <w:szCs w:val="28"/>
        </w:rPr>
        <w:t>a、发生Ⅰ级（紧急）故障后0.5小时内无法通过电话或远程支持服务排除故障，如采购人要求提供现场支持，服务提供方应2小时内到达用户现场；</w:t>
      </w:r>
    </w:p>
    <w:p w14:paraId="0697EF2B">
      <w:pPr>
        <w:ind w:firstLine="562" w:firstLineChars="200"/>
        <w:rPr>
          <w:rFonts w:ascii="仿宋" w:hAnsi="仿宋" w:eastAsia="仿宋" w:cs="仿宋"/>
          <w:b/>
          <w:sz w:val="28"/>
          <w:szCs w:val="28"/>
        </w:rPr>
      </w:pPr>
      <w:r>
        <w:rPr>
          <w:rFonts w:hint="eastAsia" w:ascii="仿宋" w:hAnsi="仿宋" w:eastAsia="仿宋" w:cs="仿宋"/>
          <w:b/>
          <w:sz w:val="28"/>
          <w:szCs w:val="28"/>
        </w:rPr>
        <w:t>b、发生Ⅱ级（严重）故障后0.5小时内无法通过电话或远程支持服务排除故障，如采购人要求提供现场支持，服务提供方应3小时内到达用户现场；</w:t>
      </w:r>
    </w:p>
    <w:p w14:paraId="49ACAF02">
      <w:pPr>
        <w:ind w:firstLine="562" w:firstLineChars="200"/>
        <w:rPr>
          <w:rFonts w:ascii="仿宋" w:hAnsi="仿宋" w:eastAsia="仿宋" w:cs="仿宋"/>
          <w:b/>
          <w:sz w:val="28"/>
          <w:szCs w:val="28"/>
        </w:rPr>
      </w:pPr>
      <w:r>
        <w:rPr>
          <w:rFonts w:hint="eastAsia" w:ascii="仿宋" w:hAnsi="仿宋" w:eastAsia="仿宋" w:cs="仿宋"/>
          <w:b/>
          <w:sz w:val="28"/>
          <w:szCs w:val="28"/>
        </w:rPr>
        <w:t>c、发生Ⅲ级（较大）故障后1小时内无法通过电话或远程支持服务排除故障，如采购人要求提供现场支持，服务提供方应3小时内到达用户现场；</w:t>
      </w:r>
    </w:p>
    <w:p w14:paraId="18335579">
      <w:pPr>
        <w:ind w:firstLine="562" w:firstLineChars="200"/>
        <w:rPr>
          <w:rFonts w:ascii="仿宋" w:hAnsi="仿宋" w:eastAsia="仿宋" w:cs="仿宋"/>
          <w:b/>
          <w:sz w:val="28"/>
          <w:szCs w:val="28"/>
        </w:rPr>
      </w:pPr>
      <w:r>
        <w:rPr>
          <w:rFonts w:hint="eastAsia" w:ascii="仿宋" w:hAnsi="仿宋" w:eastAsia="仿宋" w:cs="仿宋"/>
          <w:b/>
          <w:sz w:val="28"/>
          <w:szCs w:val="28"/>
        </w:rPr>
        <w:t>d、发生Ⅳ级（一般）故障后1小时内无法通过电话或远程支持服务排除故障，如采购人要求提供现场支持，服务提供方应4小时内到达用户现场。</w:t>
      </w:r>
    </w:p>
    <w:p w14:paraId="65A87B55">
      <w:pPr>
        <w:ind w:firstLine="562" w:firstLineChars="200"/>
        <w:rPr>
          <w:rFonts w:ascii="仿宋" w:hAnsi="仿宋" w:eastAsia="仿宋" w:cs="仿宋"/>
          <w:b/>
          <w:sz w:val="28"/>
          <w:szCs w:val="28"/>
        </w:rPr>
      </w:pPr>
      <w:r>
        <w:rPr>
          <w:rFonts w:hint="eastAsia" w:ascii="仿宋" w:hAnsi="仿宋" w:eastAsia="仿宋" w:cs="仿宋"/>
          <w:b/>
          <w:sz w:val="28"/>
          <w:szCs w:val="28"/>
        </w:rPr>
        <w:t>4、如发生故障，服务提供方应严格按照制定的应急预案中故障处理流程实施故障排除操作。</w:t>
      </w:r>
    </w:p>
    <w:p w14:paraId="187DAD71">
      <w:pPr>
        <w:ind w:firstLine="562" w:firstLineChars="200"/>
        <w:rPr>
          <w:rFonts w:ascii="仿宋" w:hAnsi="仿宋" w:eastAsia="仿宋" w:cs="仿宋"/>
          <w:b/>
          <w:sz w:val="28"/>
          <w:szCs w:val="28"/>
        </w:rPr>
      </w:pPr>
      <w:r>
        <w:rPr>
          <w:rFonts w:hint="eastAsia" w:ascii="仿宋" w:hAnsi="仿宋" w:eastAsia="仿宋" w:cs="仿宋"/>
          <w:b/>
          <w:sz w:val="28"/>
          <w:szCs w:val="28"/>
        </w:rPr>
        <w:t>5、当故障排除操作全部完成后，服务提供方应向采购人提交故障报告，经采购单位验证通过后签字确认并归档保存，同时组织更新相关文档。</w:t>
      </w:r>
    </w:p>
    <w:p w14:paraId="38686354">
      <w:pPr>
        <w:ind w:firstLine="562" w:firstLineChars="200"/>
        <w:rPr>
          <w:rFonts w:ascii="仿宋_GB2312" w:hAnsi="仿宋" w:eastAsia="仿宋_GB2312" w:cs="仿宋"/>
          <w:sz w:val="28"/>
          <w:szCs w:val="28"/>
        </w:rPr>
      </w:pPr>
      <w:r>
        <w:rPr>
          <w:rFonts w:hint="eastAsia" w:ascii="仿宋" w:hAnsi="仿宋" w:eastAsia="仿宋" w:cs="仿宋"/>
          <w:b/>
          <w:sz w:val="28"/>
          <w:szCs w:val="28"/>
        </w:rPr>
        <w:t>6、如遇有重大事件（包括汛期、节假日、政治军事活动等），服务提供方应科学编制安全保障方案，并根据采购人需要提供现场保障服务</w:t>
      </w:r>
      <w:r>
        <w:rPr>
          <w:rFonts w:hint="eastAsia" w:ascii="仿宋_GB2312" w:hAnsi="仿宋" w:eastAsia="仿宋_GB2312" w:cs="仿宋"/>
          <w:sz w:val="28"/>
          <w:szCs w:val="28"/>
        </w:rPr>
        <w:t>。</w:t>
      </w:r>
    </w:p>
    <w:bookmarkEnd w:id="7"/>
    <w:p w14:paraId="3DCA41BF">
      <w:pPr>
        <w:pStyle w:val="2"/>
        <w:ind w:left="0"/>
        <w:rPr>
          <w:rFonts w:ascii="仿宋" w:hAnsi="仿宋" w:eastAsia="仿宋" w:cs="仿宋"/>
        </w:rPr>
      </w:pPr>
      <w:r>
        <w:rPr>
          <w:rFonts w:ascii="仿宋" w:hAnsi="仿宋" w:eastAsia="仿宋" w:cs="仿宋"/>
        </w:rPr>
        <w:t>网络和数据安全处罚措施</w:t>
      </w:r>
    </w:p>
    <w:p w14:paraId="5DE98BDE">
      <w:pPr>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如供应商在服务周期内发生网络和数据安全工作违约情况，对中心系统造成网络安全或数据安全影响的，按照引发的安全事件等级和次数，中心将采取以下处罚措施，具体处罚措施由中心安全管理部门确定：</w:t>
      </w:r>
    </w:p>
    <w:p w14:paraId="71574B1F">
      <w:pPr>
        <w:ind w:firstLine="560" w:firstLineChars="200"/>
        <w:rPr>
          <w:rFonts w:ascii="仿宋_GB2312" w:hAnsi="仿宋" w:eastAsia="仿宋_GB2312" w:cs="仿宋"/>
          <w:sz w:val="28"/>
          <w:szCs w:val="28"/>
        </w:rPr>
      </w:pPr>
      <w:r>
        <w:rPr>
          <w:rFonts w:hint="eastAsia" w:ascii="仿宋_GB2312" w:hAnsi="仿宋" w:eastAsia="仿宋_GB2312" w:cs="仿宋"/>
          <w:sz w:val="28"/>
          <w:szCs w:val="28"/>
        </w:rPr>
        <w:t>（1）限期整改；</w:t>
      </w:r>
    </w:p>
    <w:p w14:paraId="62225FCA">
      <w:pPr>
        <w:ind w:firstLine="560" w:firstLineChars="200"/>
        <w:rPr>
          <w:rFonts w:ascii="仿宋_GB2312" w:hAnsi="仿宋" w:eastAsia="仿宋_GB2312" w:cs="仿宋"/>
          <w:sz w:val="28"/>
          <w:szCs w:val="28"/>
        </w:rPr>
      </w:pPr>
      <w:r>
        <w:rPr>
          <w:rFonts w:hint="eastAsia" w:ascii="仿宋_GB2312" w:hAnsi="仿宋" w:eastAsia="仿宋_GB2312" w:cs="仿宋"/>
          <w:sz w:val="28"/>
          <w:szCs w:val="28"/>
        </w:rPr>
        <w:t>（2）约谈企业负责人；</w:t>
      </w:r>
    </w:p>
    <w:p w14:paraId="138EAF1D">
      <w:pPr>
        <w:ind w:firstLine="560" w:firstLineChars="200"/>
        <w:rPr>
          <w:rFonts w:ascii="仿宋_GB2312" w:hAnsi="仿宋" w:eastAsia="仿宋_GB2312" w:cs="仿宋"/>
          <w:sz w:val="28"/>
          <w:szCs w:val="28"/>
        </w:rPr>
      </w:pPr>
      <w:r>
        <w:rPr>
          <w:rFonts w:hint="eastAsia" w:ascii="仿宋_GB2312" w:hAnsi="仿宋" w:eastAsia="仿宋_GB2312" w:cs="仿宋"/>
          <w:sz w:val="28"/>
          <w:szCs w:val="28"/>
        </w:rPr>
        <w:t>（3）扣除项目服务费用的1%-3%；</w:t>
      </w:r>
    </w:p>
    <w:p w14:paraId="6488FF10">
      <w:pPr>
        <w:ind w:firstLine="560" w:firstLineChars="200"/>
        <w:rPr>
          <w:rFonts w:ascii="仿宋_GB2312" w:hAnsi="仿宋" w:eastAsia="仿宋_GB2312" w:cs="仿宋"/>
          <w:sz w:val="28"/>
          <w:szCs w:val="28"/>
        </w:rPr>
      </w:pPr>
      <w:r>
        <w:rPr>
          <w:rFonts w:hint="eastAsia" w:ascii="仿宋_GB2312" w:hAnsi="仿宋" w:eastAsia="仿宋_GB2312" w:cs="仿宋"/>
          <w:sz w:val="28"/>
          <w:szCs w:val="28"/>
        </w:rPr>
        <w:t>（4）上报主管部门，必要时终止项目合同并追究相关刑事责任。</w:t>
      </w:r>
    </w:p>
    <w:p w14:paraId="5CD6EE5F">
      <w:pPr>
        <w:ind w:firstLine="560" w:firstLineChars="200"/>
        <w:rPr>
          <w:rFonts w:ascii="仿宋_GB2312" w:hAnsi="仿宋" w:eastAsia="仿宋_GB2312" w:cs="仿宋"/>
          <w:sz w:val="28"/>
          <w:szCs w:val="28"/>
        </w:rPr>
      </w:pPr>
      <w:r>
        <w:rPr>
          <w:rFonts w:hint="eastAsia" w:ascii="仿宋_GB2312" w:hAnsi="仿宋" w:eastAsia="仿宋_GB2312" w:cs="仿宋"/>
          <w:sz w:val="28"/>
          <w:szCs w:val="28"/>
        </w:rPr>
        <w:t>供应商应</w:t>
      </w:r>
      <w:r>
        <w:rPr>
          <w:rFonts w:ascii="仿宋_GB2312" w:hAnsi="仿宋" w:eastAsia="仿宋_GB2312" w:cs="仿宋"/>
          <w:sz w:val="28"/>
          <w:szCs w:val="28"/>
        </w:rPr>
        <w:t>承担服务过程中出现赔偿责任（包括但不限于直接损失、间接损失、律师费、诉讼费/仲裁费、调查费、公证费、保全保险费/担保费）。</w:t>
      </w:r>
    </w:p>
    <w:p w14:paraId="0DA8F9C0">
      <w:pPr>
        <w:ind w:firstLine="560" w:firstLineChars="200"/>
        <w:rPr>
          <w:rFonts w:ascii="仿宋_GB2312" w:hAnsi="仿宋" w:eastAsia="仿宋_GB2312" w:cs="仿宋"/>
          <w:sz w:val="28"/>
          <w:szCs w:val="28"/>
        </w:rPr>
      </w:pPr>
      <w:r>
        <w:rPr>
          <w:rFonts w:hint="eastAsia" w:ascii="仿宋_GB2312" w:hAnsi="仿宋" w:eastAsia="仿宋_GB2312" w:cs="仿宋"/>
          <w:sz w:val="28"/>
          <w:szCs w:val="28"/>
        </w:rPr>
        <w:t>事件类型与等级及与之相应的处罚措施详见附表。</w:t>
      </w:r>
    </w:p>
    <w:p w14:paraId="2875615F">
      <w:pPr>
        <w:pStyle w:val="2"/>
        <w:ind w:left="0"/>
        <w:rPr>
          <w:rFonts w:ascii="仿宋" w:hAnsi="仿宋" w:eastAsia="仿宋" w:cs="仿宋"/>
          <w:bCs w:val="0"/>
          <w:szCs w:val="32"/>
        </w:rPr>
      </w:pPr>
      <w:r>
        <w:rPr>
          <w:rFonts w:hint="eastAsia" w:ascii="仿宋" w:hAnsi="仿宋" w:eastAsia="仿宋" w:cs="仿宋"/>
          <w:bCs w:val="0"/>
          <w:szCs w:val="32"/>
        </w:rPr>
        <w:t>备份与恢复</w:t>
      </w:r>
    </w:p>
    <w:p w14:paraId="12656DE3">
      <w:pPr>
        <w:ind w:firstLine="560" w:firstLineChars="200"/>
        <w:rPr>
          <w:rFonts w:ascii="仿宋" w:hAnsi="仿宋" w:eastAsia="仿宋" w:cs="仿宋"/>
          <w:sz w:val="28"/>
          <w:szCs w:val="28"/>
        </w:rPr>
      </w:pPr>
      <w:r>
        <w:rPr>
          <w:rFonts w:hint="eastAsia" w:ascii="仿宋" w:hAnsi="仿宋" w:eastAsia="仿宋" w:cs="仿宋"/>
          <w:sz w:val="28"/>
          <w:szCs w:val="28"/>
        </w:rPr>
        <w:t>1、服务提供方评估制定数据备份策略，并定期备份关键数据的情况；</w:t>
      </w:r>
    </w:p>
    <w:p w14:paraId="21E5F0D4">
      <w:pPr>
        <w:ind w:firstLine="560" w:firstLineChars="200"/>
        <w:rPr>
          <w:rFonts w:ascii="仿宋" w:hAnsi="仿宋" w:eastAsia="仿宋" w:cs="仿宋"/>
          <w:sz w:val="28"/>
          <w:szCs w:val="28"/>
        </w:rPr>
      </w:pPr>
      <w:r>
        <w:rPr>
          <w:rFonts w:hint="eastAsia" w:ascii="仿宋" w:hAnsi="仿宋" w:eastAsia="仿宋" w:cs="仿宋"/>
          <w:sz w:val="28"/>
          <w:szCs w:val="28"/>
        </w:rPr>
        <w:t>2、服务提供方评估制定数据恢复策略的有效性，以便发生故障时快速恢复；</w:t>
      </w:r>
    </w:p>
    <w:p w14:paraId="3AC80D6B">
      <w:pPr>
        <w:ind w:firstLine="560" w:firstLineChars="200"/>
        <w:rPr>
          <w:rFonts w:ascii="仿宋" w:hAnsi="仿宋" w:eastAsia="仿宋" w:cs="仿宋"/>
          <w:sz w:val="28"/>
          <w:szCs w:val="28"/>
        </w:rPr>
      </w:pPr>
      <w:r>
        <w:rPr>
          <w:rFonts w:hint="eastAsia" w:ascii="仿宋" w:hAnsi="仿宋" w:eastAsia="仿宋" w:cs="仿宋"/>
          <w:sz w:val="28"/>
          <w:szCs w:val="28"/>
        </w:rPr>
        <w:t>3、服务提供方评估根据实际情况制定相应灾难恢复策略情况，以便发生灾难时快速恢复；</w:t>
      </w:r>
    </w:p>
    <w:bookmarkEnd w:id="8"/>
    <w:p w14:paraId="38F52624">
      <w:pPr>
        <w:spacing w:line="560" w:lineRule="exact"/>
        <w:ind w:firstLine="562" w:firstLineChars="200"/>
        <w:rPr>
          <w:rFonts w:ascii="仿宋" w:hAnsi="仿宋" w:eastAsia="仿宋" w:cs="仿宋"/>
          <w:sz w:val="28"/>
          <w:szCs w:val="28"/>
        </w:rPr>
      </w:pPr>
      <w:r>
        <w:rPr>
          <w:rFonts w:hint="eastAsia" w:ascii="仿宋_GB2312" w:hAnsi="仿宋" w:eastAsia="仿宋_GB2312" w:cs="仿宋"/>
          <w:b/>
          <w:sz w:val="28"/>
          <w:szCs w:val="28"/>
        </w:rPr>
        <w:t>附表：网络和数据安全事件处罚措施</w:t>
      </w:r>
    </w:p>
    <w:tbl>
      <w:tblPr>
        <w:tblStyle w:val="24"/>
        <w:tblW w:w="8796" w:type="dxa"/>
        <w:tblInd w:w="101" w:type="dxa"/>
        <w:tblLayout w:type="autofit"/>
        <w:tblCellMar>
          <w:top w:w="0" w:type="dxa"/>
          <w:left w:w="108" w:type="dxa"/>
          <w:bottom w:w="0" w:type="dxa"/>
          <w:right w:w="108" w:type="dxa"/>
        </w:tblCellMar>
      </w:tblPr>
      <w:tblGrid>
        <w:gridCol w:w="1080"/>
        <w:gridCol w:w="1460"/>
        <w:gridCol w:w="2429"/>
        <w:gridCol w:w="3827"/>
      </w:tblGrid>
      <w:tr w14:paraId="3CDC1FC5">
        <w:tblPrEx>
          <w:tblCellMar>
            <w:top w:w="0" w:type="dxa"/>
            <w:left w:w="108" w:type="dxa"/>
            <w:bottom w:w="0" w:type="dxa"/>
            <w:right w:w="108" w:type="dxa"/>
          </w:tblCellMar>
        </w:tblPrEx>
        <w:trPr>
          <w:trHeight w:val="280" w:hRule="atLeast"/>
        </w:trPr>
        <w:tc>
          <w:tcPr>
            <w:tcW w:w="1080" w:type="dxa"/>
            <w:tcBorders>
              <w:top w:val="single" w:color="auto" w:sz="4" w:space="0"/>
              <w:left w:val="single" w:color="auto" w:sz="4" w:space="0"/>
              <w:bottom w:val="single" w:color="auto" w:sz="4" w:space="0"/>
              <w:right w:val="single" w:color="auto" w:sz="4" w:space="0"/>
            </w:tcBorders>
            <w:vAlign w:val="center"/>
          </w:tcPr>
          <w:p w14:paraId="1A0F4000">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序号</w:t>
            </w:r>
          </w:p>
        </w:tc>
        <w:tc>
          <w:tcPr>
            <w:tcW w:w="1460" w:type="dxa"/>
            <w:tcBorders>
              <w:top w:val="single" w:color="auto" w:sz="4" w:space="0"/>
              <w:left w:val="nil"/>
              <w:bottom w:val="single" w:color="auto" w:sz="4" w:space="0"/>
              <w:right w:val="single" w:color="auto" w:sz="4" w:space="0"/>
            </w:tcBorders>
            <w:vAlign w:val="center"/>
          </w:tcPr>
          <w:p w14:paraId="3BFF76A4">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类型</w:t>
            </w:r>
          </w:p>
        </w:tc>
        <w:tc>
          <w:tcPr>
            <w:tcW w:w="2429" w:type="dxa"/>
            <w:tcBorders>
              <w:top w:val="single" w:color="auto" w:sz="4" w:space="0"/>
              <w:left w:val="nil"/>
              <w:bottom w:val="single" w:color="auto" w:sz="4" w:space="0"/>
              <w:right w:val="single" w:color="auto" w:sz="4" w:space="0"/>
            </w:tcBorders>
            <w:vAlign w:val="center"/>
          </w:tcPr>
          <w:p w14:paraId="5D34D820">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负面行为分级情况</w:t>
            </w:r>
          </w:p>
        </w:tc>
        <w:tc>
          <w:tcPr>
            <w:tcW w:w="3827" w:type="dxa"/>
            <w:tcBorders>
              <w:top w:val="single" w:color="auto" w:sz="4" w:space="0"/>
              <w:left w:val="nil"/>
              <w:bottom w:val="single" w:color="auto" w:sz="4" w:space="0"/>
              <w:right w:val="single" w:color="auto" w:sz="4" w:space="0"/>
            </w:tcBorders>
            <w:vAlign w:val="center"/>
          </w:tcPr>
          <w:p w14:paraId="21CB9856">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追究措施</w:t>
            </w:r>
          </w:p>
        </w:tc>
      </w:tr>
      <w:tr w14:paraId="01EC836B">
        <w:tblPrEx>
          <w:tblCellMar>
            <w:top w:w="0" w:type="dxa"/>
            <w:left w:w="108" w:type="dxa"/>
            <w:bottom w:w="0" w:type="dxa"/>
            <w:right w:w="108" w:type="dxa"/>
          </w:tblCellMar>
        </w:tblPrEx>
        <w:trPr>
          <w:trHeight w:val="1480" w:hRule="atLeast"/>
        </w:trPr>
        <w:tc>
          <w:tcPr>
            <w:tcW w:w="1080" w:type="dxa"/>
            <w:tcBorders>
              <w:top w:val="nil"/>
              <w:left w:val="single" w:color="auto" w:sz="4" w:space="0"/>
              <w:bottom w:val="single" w:color="auto" w:sz="4" w:space="0"/>
              <w:right w:val="single" w:color="auto" w:sz="4" w:space="0"/>
            </w:tcBorders>
            <w:vAlign w:val="center"/>
          </w:tcPr>
          <w:p w14:paraId="1D39D827">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1</w:t>
            </w:r>
          </w:p>
        </w:tc>
        <w:tc>
          <w:tcPr>
            <w:tcW w:w="1460" w:type="dxa"/>
            <w:vMerge w:val="restart"/>
            <w:tcBorders>
              <w:top w:val="nil"/>
              <w:left w:val="single" w:color="auto" w:sz="4" w:space="0"/>
              <w:bottom w:val="single" w:color="auto" w:sz="4" w:space="0"/>
              <w:right w:val="single" w:color="auto" w:sz="4" w:space="0"/>
            </w:tcBorders>
            <w:vAlign w:val="center"/>
          </w:tcPr>
          <w:p w14:paraId="4E21F814">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安全事件</w:t>
            </w:r>
          </w:p>
        </w:tc>
        <w:tc>
          <w:tcPr>
            <w:tcW w:w="2429" w:type="dxa"/>
            <w:tcBorders>
              <w:top w:val="nil"/>
              <w:left w:val="nil"/>
              <w:bottom w:val="single" w:color="auto" w:sz="4" w:space="0"/>
              <w:right w:val="single" w:color="auto" w:sz="4" w:space="0"/>
            </w:tcBorders>
            <w:vAlign w:val="center"/>
          </w:tcPr>
          <w:p w14:paraId="3AAC4A6E">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1、发生网络安全事件或数据泄露事件，每发生一起，按不同级别进行追究。</w:t>
            </w:r>
          </w:p>
        </w:tc>
        <w:tc>
          <w:tcPr>
            <w:tcW w:w="3827" w:type="dxa"/>
            <w:tcBorders>
              <w:top w:val="nil"/>
              <w:left w:val="nil"/>
              <w:bottom w:val="single" w:color="auto" w:sz="4" w:space="0"/>
              <w:right w:val="single" w:color="auto" w:sz="4" w:space="0"/>
            </w:tcBorders>
            <w:noWrap/>
          </w:tcPr>
          <w:p w14:paraId="0B2D97ED">
            <w:pPr>
              <w:widowControl/>
              <w:rPr>
                <w:rFonts w:ascii="仿宋_GB2312" w:hAnsi="等线" w:eastAsia="仿宋_GB2312" w:cs="宋体"/>
                <w:color w:val="000000"/>
                <w:kern w:val="0"/>
                <w:sz w:val="22"/>
              </w:rPr>
            </w:pPr>
            <w:r>
              <w:rPr>
                <w:rFonts w:hint="eastAsia" w:ascii="仿宋_GB2312" w:hAnsi="等线" w:eastAsia="仿宋_GB2312" w:cs="宋体"/>
                <w:color w:val="000000"/>
                <w:kern w:val="0"/>
                <w:sz w:val="22"/>
              </w:rPr>
              <w:t>　见下</w:t>
            </w:r>
          </w:p>
        </w:tc>
      </w:tr>
      <w:tr w14:paraId="78A8AC07">
        <w:tblPrEx>
          <w:tblCellMar>
            <w:top w:w="0" w:type="dxa"/>
            <w:left w:w="108" w:type="dxa"/>
            <w:bottom w:w="0" w:type="dxa"/>
            <w:right w:w="108" w:type="dxa"/>
          </w:tblCellMar>
        </w:tblPrEx>
        <w:trPr>
          <w:trHeight w:val="1580" w:hRule="atLeast"/>
        </w:trPr>
        <w:tc>
          <w:tcPr>
            <w:tcW w:w="1080" w:type="dxa"/>
            <w:tcBorders>
              <w:top w:val="nil"/>
              <w:left w:val="single" w:color="auto" w:sz="4" w:space="0"/>
              <w:bottom w:val="single" w:color="auto" w:sz="4" w:space="0"/>
              <w:right w:val="single" w:color="auto" w:sz="4" w:space="0"/>
            </w:tcBorders>
            <w:vAlign w:val="center"/>
          </w:tcPr>
          <w:p w14:paraId="0C10A8D7">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2</w:t>
            </w:r>
          </w:p>
        </w:tc>
        <w:tc>
          <w:tcPr>
            <w:tcW w:w="1460" w:type="dxa"/>
            <w:vMerge w:val="continue"/>
            <w:tcBorders>
              <w:top w:val="nil"/>
              <w:left w:val="single" w:color="auto" w:sz="4" w:space="0"/>
              <w:bottom w:val="single" w:color="auto" w:sz="4" w:space="0"/>
              <w:right w:val="single" w:color="auto" w:sz="4" w:space="0"/>
            </w:tcBorders>
            <w:vAlign w:val="center"/>
          </w:tcPr>
          <w:p w14:paraId="1B344E5C">
            <w:pPr>
              <w:widowControl/>
              <w:jc w:val="left"/>
              <w:rPr>
                <w:rFonts w:ascii="仿宋_GB2312" w:hAnsi="等线" w:eastAsia="仿宋_GB2312" w:cs="宋体"/>
                <w:color w:val="000000"/>
                <w:kern w:val="0"/>
                <w:sz w:val="22"/>
              </w:rPr>
            </w:pPr>
          </w:p>
        </w:tc>
        <w:tc>
          <w:tcPr>
            <w:tcW w:w="2429" w:type="dxa"/>
            <w:tcBorders>
              <w:top w:val="nil"/>
              <w:left w:val="nil"/>
              <w:bottom w:val="single" w:color="auto" w:sz="4" w:space="0"/>
              <w:right w:val="single" w:color="auto" w:sz="4" w:space="0"/>
            </w:tcBorders>
            <w:vAlign w:val="center"/>
          </w:tcPr>
          <w:p w14:paraId="2EC80866">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（1）发生重大（Ⅱ级）及以上网络和数据安全事件的；</w:t>
            </w:r>
          </w:p>
        </w:tc>
        <w:tc>
          <w:tcPr>
            <w:tcW w:w="3827" w:type="dxa"/>
            <w:tcBorders>
              <w:top w:val="nil"/>
              <w:left w:val="nil"/>
              <w:bottom w:val="single" w:color="auto" w:sz="4" w:space="0"/>
              <w:right w:val="single" w:color="auto" w:sz="4" w:space="0"/>
            </w:tcBorders>
            <w:vAlign w:val="center"/>
          </w:tcPr>
          <w:p w14:paraId="089005ED">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3、扣除项目服务费用的3%；</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4、上报主管部门，必要时终止项目合同并追究相关刑事责任。</w:t>
            </w:r>
          </w:p>
        </w:tc>
      </w:tr>
      <w:tr w14:paraId="5C3CE4AC">
        <w:tblPrEx>
          <w:tblCellMar>
            <w:top w:w="0" w:type="dxa"/>
            <w:left w:w="108" w:type="dxa"/>
            <w:bottom w:w="0" w:type="dxa"/>
            <w:right w:w="108" w:type="dxa"/>
          </w:tblCellMar>
        </w:tblPrEx>
        <w:trPr>
          <w:trHeight w:val="1120" w:hRule="atLeast"/>
        </w:trPr>
        <w:tc>
          <w:tcPr>
            <w:tcW w:w="1080" w:type="dxa"/>
            <w:tcBorders>
              <w:top w:val="nil"/>
              <w:left w:val="single" w:color="auto" w:sz="4" w:space="0"/>
              <w:bottom w:val="single" w:color="auto" w:sz="4" w:space="0"/>
              <w:right w:val="single" w:color="auto" w:sz="4" w:space="0"/>
            </w:tcBorders>
            <w:vAlign w:val="center"/>
          </w:tcPr>
          <w:p w14:paraId="1CEF1267">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3</w:t>
            </w:r>
          </w:p>
        </w:tc>
        <w:tc>
          <w:tcPr>
            <w:tcW w:w="1460" w:type="dxa"/>
            <w:vMerge w:val="continue"/>
            <w:tcBorders>
              <w:top w:val="nil"/>
              <w:left w:val="single" w:color="auto" w:sz="4" w:space="0"/>
              <w:bottom w:val="single" w:color="auto" w:sz="4" w:space="0"/>
              <w:right w:val="single" w:color="auto" w:sz="4" w:space="0"/>
            </w:tcBorders>
            <w:vAlign w:val="center"/>
          </w:tcPr>
          <w:p w14:paraId="581A7C62">
            <w:pPr>
              <w:widowControl/>
              <w:jc w:val="left"/>
              <w:rPr>
                <w:rFonts w:ascii="仿宋_GB2312" w:hAnsi="等线" w:eastAsia="仿宋_GB2312" w:cs="宋体"/>
                <w:color w:val="000000"/>
                <w:kern w:val="0"/>
                <w:sz w:val="22"/>
              </w:rPr>
            </w:pPr>
          </w:p>
        </w:tc>
        <w:tc>
          <w:tcPr>
            <w:tcW w:w="2429" w:type="dxa"/>
            <w:tcBorders>
              <w:top w:val="nil"/>
              <w:left w:val="nil"/>
              <w:bottom w:val="single" w:color="auto" w:sz="4" w:space="0"/>
              <w:right w:val="single" w:color="auto" w:sz="4" w:space="0"/>
            </w:tcBorders>
            <w:vAlign w:val="center"/>
          </w:tcPr>
          <w:p w14:paraId="4AB038A8">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（2）发生较大网络安全和数据事件（Ⅲ级）的；</w:t>
            </w:r>
          </w:p>
        </w:tc>
        <w:tc>
          <w:tcPr>
            <w:tcW w:w="3827" w:type="dxa"/>
            <w:tcBorders>
              <w:top w:val="nil"/>
              <w:left w:val="nil"/>
              <w:bottom w:val="single" w:color="auto" w:sz="4" w:space="0"/>
              <w:right w:val="single" w:color="auto" w:sz="4" w:space="0"/>
            </w:tcBorders>
            <w:vAlign w:val="center"/>
          </w:tcPr>
          <w:p w14:paraId="690C157D">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3、扣除项目服务费用的2%</w:t>
            </w:r>
          </w:p>
        </w:tc>
      </w:tr>
      <w:tr w14:paraId="0AC1EBCD">
        <w:tblPrEx>
          <w:tblCellMar>
            <w:top w:w="0" w:type="dxa"/>
            <w:left w:w="108" w:type="dxa"/>
            <w:bottom w:w="0" w:type="dxa"/>
            <w:right w:w="108" w:type="dxa"/>
          </w:tblCellMar>
        </w:tblPrEx>
        <w:trPr>
          <w:trHeight w:val="1190" w:hRule="atLeast"/>
        </w:trPr>
        <w:tc>
          <w:tcPr>
            <w:tcW w:w="1080" w:type="dxa"/>
            <w:tcBorders>
              <w:top w:val="nil"/>
              <w:left w:val="single" w:color="auto" w:sz="4" w:space="0"/>
              <w:bottom w:val="single" w:color="auto" w:sz="4" w:space="0"/>
              <w:right w:val="single" w:color="auto" w:sz="4" w:space="0"/>
            </w:tcBorders>
            <w:vAlign w:val="center"/>
          </w:tcPr>
          <w:p w14:paraId="4AC76EFF">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4</w:t>
            </w:r>
          </w:p>
        </w:tc>
        <w:tc>
          <w:tcPr>
            <w:tcW w:w="1460" w:type="dxa"/>
            <w:vMerge w:val="continue"/>
            <w:tcBorders>
              <w:top w:val="nil"/>
              <w:left w:val="single" w:color="auto" w:sz="4" w:space="0"/>
              <w:bottom w:val="single" w:color="auto" w:sz="4" w:space="0"/>
              <w:right w:val="single" w:color="auto" w:sz="4" w:space="0"/>
            </w:tcBorders>
            <w:vAlign w:val="center"/>
          </w:tcPr>
          <w:p w14:paraId="49626F55">
            <w:pPr>
              <w:widowControl/>
              <w:jc w:val="left"/>
              <w:rPr>
                <w:rFonts w:ascii="仿宋_GB2312" w:hAnsi="等线" w:eastAsia="仿宋_GB2312" w:cs="宋体"/>
                <w:color w:val="000000"/>
                <w:kern w:val="0"/>
                <w:sz w:val="22"/>
              </w:rPr>
            </w:pPr>
          </w:p>
        </w:tc>
        <w:tc>
          <w:tcPr>
            <w:tcW w:w="2429" w:type="dxa"/>
            <w:tcBorders>
              <w:top w:val="nil"/>
              <w:left w:val="nil"/>
              <w:bottom w:val="single" w:color="auto" w:sz="4" w:space="0"/>
              <w:right w:val="single" w:color="auto" w:sz="4" w:space="0"/>
            </w:tcBorders>
            <w:vAlign w:val="center"/>
          </w:tcPr>
          <w:p w14:paraId="6CBDA16B">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（3）发生一般网络和数据安全事件（Ⅳ级）的。</w:t>
            </w:r>
          </w:p>
        </w:tc>
        <w:tc>
          <w:tcPr>
            <w:tcW w:w="3827" w:type="dxa"/>
            <w:tcBorders>
              <w:top w:val="nil"/>
              <w:left w:val="nil"/>
              <w:bottom w:val="single" w:color="auto" w:sz="4" w:space="0"/>
              <w:right w:val="single" w:color="auto" w:sz="4" w:space="0"/>
            </w:tcBorders>
            <w:vAlign w:val="center"/>
          </w:tcPr>
          <w:p w14:paraId="6AF63115">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3、扣除项目服务费用的1%</w:t>
            </w:r>
          </w:p>
        </w:tc>
      </w:tr>
      <w:tr w14:paraId="25D99FA3">
        <w:tblPrEx>
          <w:tblCellMar>
            <w:top w:w="0" w:type="dxa"/>
            <w:left w:w="108" w:type="dxa"/>
            <w:bottom w:w="0" w:type="dxa"/>
            <w:right w:w="108" w:type="dxa"/>
          </w:tblCellMar>
        </w:tblPrEx>
        <w:trPr>
          <w:trHeight w:val="680" w:hRule="atLeast"/>
        </w:trPr>
        <w:tc>
          <w:tcPr>
            <w:tcW w:w="1080" w:type="dxa"/>
            <w:tcBorders>
              <w:top w:val="nil"/>
              <w:left w:val="single" w:color="auto" w:sz="4" w:space="0"/>
              <w:bottom w:val="single" w:color="auto" w:sz="4" w:space="0"/>
              <w:right w:val="single" w:color="auto" w:sz="4" w:space="0"/>
            </w:tcBorders>
            <w:vAlign w:val="center"/>
          </w:tcPr>
          <w:p w14:paraId="2483823C">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5</w:t>
            </w:r>
          </w:p>
        </w:tc>
        <w:tc>
          <w:tcPr>
            <w:tcW w:w="1460" w:type="dxa"/>
            <w:vMerge w:val="continue"/>
            <w:tcBorders>
              <w:top w:val="nil"/>
              <w:left w:val="single" w:color="auto" w:sz="4" w:space="0"/>
              <w:bottom w:val="single" w:color="auto" w:sz="4" w:space="0"/>
              <w:right w:val="single" w:color="auto" w:sz="4" w:space="0"/>
            </w:tcBorders>
            <w:vAlign w:val="center"/>
          </w:tcPr>
          <w:p w14:paraId="6B13E6A2">
            <w:pPr>
              <w:widowControl/>
              <w:jc w:val="left"/>
              <w:rPr>
                <w:rFonts w:ascii="仿宋_GB2312" w:hAnsi="等线" w:eastAsia="仿宋_GB2312" w:cs="宋体"/>
                <w:color w:val="000000"/>
                <w:kern w:val="0"/>
                <w:sz w:val="22"/>
              </w:rPr>
            </w:pPr>
          </w:p>
        </w:tc>
        <w:tc>
          <w:tcPr>
            <w:tcW w:w="2429" w:type="dxa"/>
            <w:tcBorders>
              <w:top w:val="nil"/>
              <w:left w:val="nil"/>
              <w:bottom w:val="single" w:color="auto" w:sz="4" w:space="0"/>
              <w:right w:val="single" w:color="auto" w:sz="4" w:space="0"/>
            </w:tcBorders>
            <w:vAlign w:val="center"/>
          </w:tcPr>
          <w:p w14:paraId="23C59384">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2、被主管部门通报安全事件，每发生一起，按不同级别进行追究。</w:t>
            </w:r>
          </w:p>
        </w:tc>
        <w:tc>
          <w:tcPr>
            <w:tcW w:w="3827" w:type="dxa"/>
            <w:tcBorders>
              <w:top w:val="nil"/>
              <w:left w:val="nil"/>
              <w:bottom w:val="single" w:color="auto" w:sz="4" w:space="0"/>
              <w:right w:val="single" w:color="auto" w:sz="4" w:space="0"/>
            </w:tcBorders>
            <w:noWrap/>
          </w:tcPr>
          <w:p w14:paraId="289EC846">
            <w:pPr>
              <w:widowControl/>
              <w:rPr>
                <w:rFonts w:ascii="仿宋_GB2312" w:hAnsi="等线" w:eastAsia="仿宋_GB2312" w:cs="宋体"/>
                <w:color w:val="000000"/>
                <w:kern w:val="0"/>
                <w:sz w:val="22"/>
              </w:rPr>
            </w:pPr>
            <w:r>
              <w:rPr>
                <w:rFonts w:hint="eastAsia" w:ascii="仿宋_GB2312" w:hAnsi="等线" w:eastAsia="仿宋_GB2312" w:cs="宋体"/>
                <w:color w:val="000000"/>
                <w:kern w:val="0"/>
                <w:sz w:val="22"/>
              </w:rPr>
              <w:t>　见下</w:t>
            </w:r>
          </w:p>
        </w:tc>
      </w:tr>
      <w:tr w14:paraId="23006F6D">
        <w:tblPrEx>
          <w:tblCellMar>
            <w:top w:w="0" w:type="dxa"/>
            <w:left w:w="108" w:type="dxa"/>
            <w:bottom w:w="0" w:type="dxa"/>
            <w:right w:w="108" w:type="dxa"/>
          </w:tblCellMar>
        </w:tblPrEx>
        <w:trPr>
          <w:trHeight w:val="1500" w:hRule="atLeast"/>
        </w:trPr>
        <w:tc>
          <w:tcPr>
            <w:tcW w:w="1080" w:type="dxa"/>
            <w:tcBorders>
              <w:top w:val="nil"/>
              <w:left w:val="single" w:color="auto" w:sz="4" w:space="0"/>
              <w:bottom w:val="single" w:color="auto" w:sz="4" w:space="0"/>
              <w:right w:val="single" w:color="auto" w:sz="4" w:space="0"/>
            </w:tcBorders>
            <w:vAlign w:val="center"/>
          </w:tcPr>
          <w:p w14:paraId="5E15C760">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6</w:t>
            </w:r>
          </w:p>
        </w:tc>
        <w:tc>
          <w:tcPr>
            <w:tcW w:w="1460" w:type="dxa"/>
            <w:vMerge w:val="continue"/>
            <w:tcBorders>
              <w:top w:val="nil"/>
              <w:left w:val="single" w:color="auto" w:sz="4" w:space="0"/>
              <w:bottom w:val="single" w:color="auto" w:sz="4" w:space="0"/>
              <w:right w:val="single" w:color="auto" w:sz="4" w:space="0"/>
            </w:tcBorders>
            <w:vAlign w:val="center"/>
          </w:tcPr>
          <w:p w14:paraId="64DA06F2">
            <w:pPr>
              <w:widowControl/>
              <w:jc w:val="left"/>
              <w:rPr>
                <w:rFonts w:ascii="仿宋_GB2312" w:hAnsi="等线" w:eastAsia="仿宋_GB2312" w:cs="宋体"/>
                <w:color w:val="000000"/>
                <w:kern w:val="0"/>
                <w:sz w:val="22"/>
              </w:rPr>
            </w:pPr>
          </w:p>
        </w:tc>
        <w:tc>
          <w:tcPr>
            <w:tcW w:w="2429" w:type="dxa"/>
            <w:tcBorders>
              <w:top w:val="nil"/>
              <w:left w:val="nil"/>
              <w:bottom w:val="single" w:color="auto" w:sz="4" w:space="0"/>
              <w:right w:val="single" w:color="auto" w:sz="4" w:space="0"/>
            </w:tcBorders>
            <w:vAlign w:val="center"/>
          </w:tcPr>
          <w:p w14:paraId="7DC37251">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（1）被中央有关部门通报，并核实的。</w:t>
            </w:r>
          </w:p>
        </w:tc>
        <w:tc>
          <w:tcPr>
            <w:tcW w:w="3827" w:type="dxa"/>
            <w:tcBorders>
              <w:top w:val="nil"/>
              <w:left w:val="nil"/>
              <w:bottom w:val="single" w:color="auto" w:sz="4" w:space="0"/>
              <w:right w:val="single" w:color="auto" w:sz="4" w:space="0"/>
            </w:tcBorders>
            <w:vAlign w:val="center"/>
          </w:tcPr>
          <w:p w14:paraId="6315F71E">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3、扣除项目服务费用的3%</w:t>
            </w:r>
          </w:p>
        </w:tc>
      </w:tr>
      <w:tr w14:paraId="21EE6292">
        <w:tblPrEx>
          <w:tblCellMar>
            <w:top w:w="0" w:type="dxa"/>
            <w:left w:w="108" w:type="dxa"/>
            <w:bottom w:w="0" w:type="dxa"/>
            <w:right w:w="108" w:type="dxa"/>
          </w:tblCellMar>
        </w:tblPrEx>
        <w:trPr>
          <w:trHeight w:val="1310" w:hRule="atLeast"/>
        </w:trPr>
        <w:tc>
          <w:tcPr>
            <w:tcW w:w="1080" w:type="dxa"/>
            <w:tcBorders>
              <w:top w:val="nil"/>
              <w:left w:val="single" w:color="auto" w:sz="4" w:space="0"/>
              <w:bottom w:val="single" w:color="auto" w:sz="4" w:space="0"/>
              <w:right w:val="single" w:color="auto" w:sz="4" w:space="0"/>
            </w:tcBorders>
            <w:vAlign w:val="center"/>
          </w:tcPr>
          <w:p w14:paraId="6AA75BB7">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7</w:t>
            </w:r>
          </w:p>
        </w:tc>
        <w:tc>
          <w:tcPr>
            <w:tcW w:w="1460" w:type="dxa"/>
            <w:vMerge w:val="continue"/>
            <w:tcBorders>
              <w:top w:val="nil"/>
              <w:left w:val="single" w:color="auto" w:sz="4" w:space="0"/>
              <w:bottom w:val="single" w:color="auto" w:sz="4" w:space="0"/>
              <w:right w:val="single" w:color="auto" w:sz="4" w:space="0"/>
            </w:tcBorders>
            <w:vAlign w:val="center"/>
          </w:tcPr>
          <w:p w14:paraId="37E97532">
            <w:pPr>
              <w:widowControl/>
              <w:jc w:val="left"/>
              <w:rPr>
                <w:rFonts w:ascii="仿宋_GB2312" w:hAnsi="等线" w:eastAsia="仿宋_GB2312" w:cs="宋体"/>
                <w:color w:val="000000"/>
                <w:kern w:val="0"/>
                <w:sz w:val="22"/>
              </w:rPr>
            </w:pPr>
          </w:p>
        </w:tc>
        <w:tc>
          <w:tcPr>
            <w:tcW w:w="2429" w:type="dxa"/>
            <w:tcBorders>
              <w:top w:val="nil"/>
              <w:left w:val="nil"/>
              <w:bottom w:val="single" w:color="auto" w:sz="4" w:space="0"/>
              <w:right w:val="single" w:color="auto" w:sz="4" w:space="0"/>
            </w:tcBorders>
            <w:vAlign w:val="center"/>
          </w:tcPr>
          <w:p w14:paraId="3E837E82">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（2）被本市有关部门通报，并核实的。</w:t>
            </w:r>
          </w:p>
        </w:tc>
        <w:tc>
          <w:tcPr>
            <w:tcW w:w="3827" w:type="dxa"/>
            <w:tcBorders>
              <w:top w:val="nil"/>
              <w:left w:val="nil"/>
              <w:bottom w:val="single" w:color="auto" w:sz="4" w:space="0"/>
              <w:right w:val="single" w:color="auto" w:sz="4" w:space="0"/>
            </w:tcBorders>
            <w:vAlign w:val="center"/>
          </w:tcPr>
          <w:p w14:paraId="404400C3">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3、扣除项目服务费用的2%</w:t>
            </w:r>
          </w:p>
        </w:tc>
      </w:tr>
      <w:tr w14:paraId="4163579A">
        <w:tblPrEx>
          <w:tblCellMar>
            <w:top w:w="0" w:type="dxa"/>
            <w:left w:w="108" w:type="dxa"/>
            <w:bottom w:w="0" w:type="dxa"/>
            <w:right w:w="108" w:type="dxa"/>
          </w:tblCellMar>
        </w:tblPrEx>
        <w:trPr>
          <w:trHeight w:val="1140" w:hRule="atLeast"/>
        </w:trPr>
        <w:tc>
          <w:tcPr>
            <w:tcW w:w="1080" w:type="dxa"/>
            <w:tcBorders>
              <w:top w:val="nil"/>
              <w:left w:val="single" w:color="auto" w:sz="4" w:space="0"/>
              <w:bottom w:val="single" w:color="auto" w:sz="4" w:space="0"/>
              <w:right w:val="single" w:color="auto" w:sz="4" w:space="0"/>
            </w:tcBorders>
            <w:vAlign w:val="center"/>
          </w:tcPr>
          <w:p w14:paraId="653C65D0">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8</w:t>
            </w:r>
          </w:p>
        </w:tc>
        <w:tc>
          <w:tcPr>
            <w:tcW w:w="1460" w:type="dxa"/>
            <w:vMerge w:val="continue"/>
            <w:tcBorders>
              <w:top w:val="nil"/>
              <w:left w:val="single" w:color="auto" w:sz="4" w:space="0"/>
              <w:bottom w:val="single" w:color="auto" w:sz="4" w:space="0"/>
              <w:right w:val="single" w:color="auto" w:sz="4" w:space="0"/>
            </w:tcBorders>
            <w:vAlign w:val="center"/>
          </w:tcPr>
          <w:p w14:paraId="0192AC86">
            <w:pPr>
              <w:widowControl/>
              <w:jc w:val="left"/>
              <w:rPr>
                <w:rFonts w:ascii="仿宋_GB2312" w:hAnsi="等线" w:eastAsia="仿宋_GB2312" w:cs="宋体"/>
                <w:color w:val="000000"/>
                <w:kern w:val="0"/>
                <w:sz w:val="22"/>
              </w:rPr>
            </w:pPr>
          </w:p>
        </w:tc>
        <w:tc>
          <w:tcPr>
            <w:tcW w:w="2429" w:type="dxa"/>
            <w:tcBorders>
              <w:top w:val="nil"/>
              <w:left w:val="nil"/>
              <w:bottom w:val="single" w:color="auto" w:sz="4" w:space="0"/>
              <w:right w:val="single" w:color="auto" w:sz="4" w:space="0"/>
            </w:tcBorders>
            <w:vAlign w:val="center"/>
          </w:tcPr>
          <w:p w14:paraId="38E0771B">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（3）被中心通报，对业务造成影响。</w:t>
            </w:r>
          </w:p>
        </w:tc>
        <w:tc>
          <w:tcPr>
            <w:tcW w:w="3827" w:type="dxa"/>
            <w:tcBorders>
              <w:top w:val="nil"/>
              <w:left w:val="nil"/>
              <w:bottom w:val="single" w:color="auto" w:sz="4" w:space="0"/>
              <w:right w:val="single" w:color="auto" w:sz="4" w:space="0"/>
            </w:tcBorders>
            <w:vAlign w:val="center"/>
          </w:tcPr>
          <w:p w14:paraId="437ADB38">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3、一个服务周期内累计发生3次及以上的，扣除项目服务费用的1%</w:t>
            </w:r>
          </w:p>
        </w:tc>
      </w:tr>
      <w:tr w14:paraId="79063C2D">
        <w:tblPrEx>
          <w:tblCellMar>
            <w:top w:w="0" w:type="dxa"/>
            <w:left w:w="108" w:type="dxa"/>
            <w:bottom w:w="0" w:type="dxa"/>
            <w:right w:w="108" w:type="dxa"/>
          </w:tblCellMar>
        </w:tblPrEx>
        <w:trPr>
          <w:trHeight w:val="1270" w:hRule="atLeast"/>
        </w:trPr>
        <w:tc>
          <w:tcPr>
            <w:tcW w:w="1080" w:type="dxa"/>
            <w:tcBorders>
              <w:top w:val="nil"/>
              <w:left w:val="single" w:color="auto" w:sz="4" w:space="0"/>
              <w:bottom w:val="single" w:color="auto" w:sz="4" w:space="0"/>
              <w:right w:val="single" w:color="auto" w:sz="4" w:space="0"/>
            </w:tcBorders>
            <w:vAlign w:val="center"/>
          </w:tcPr>
          <w:p w14:paraId="7E48B640">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9</w:t>
            </w:r>
          </w:p>
        </w:tc>
        <w:tc>
          <w:tcPr>
            <w:tcW w:w="1460" w:type="dxa"/>
            <w:vMerge w:val="continue"/>
            <w:tcBorders>
              <w:top w:val="nil"/>
              <w:left w:val="single" w:color="auto" w:sz="4" w:space="0"/>
              <w:bottom w:val="single" w:color="auto" w:sz="4" w:space="0"/>
              <w:right w:val="single" w:color="auto" w:sz="4" w:space="0"/>
            </w:tcBorders>
            <w:vAlign w:val="center"/>
          </w:tcPr>
          <w:p w14:paraId="7E149412">
            <w:pPr>
              <w:widowControl/>
              <w:jc w:val="left"/>
              <w:rPr>
                <w:rFonts w:ascii="仿宋_GB2312" w:hAnsi="等线" w:eastAsia="仿宋_GB2312" w:cs="宋体"/>
                <w:color w:val="000000"/>
                <w:kern w:val="0"/>
                <w:sz w:val="22"/>
              </w:rPr>
            </w:pPr>
          </w:p>
        </w:tc>
        <w:tc>
          <w:tcPr>
            <w:tcW w:w="2429" w:type="dxa"/>
            <w:tcBorders>
              <w:top w:val="nil"/>
              <w:left w:val="nil"/>
              <w:bottom w:val="single" w:color="auto" w:sz="4" w:space="0"/>
              <w:right w:val="single" w:color="auto" w:sz="4" w:space="0"/>
            </w:tcBorders>
            <w:vAlign w:val="center"/>
          </w:tcPr>
          <w:p w14:paraId="3B1C2BD8">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（4）被重要用户投诉，影响中心形象、声誉。</w:t>
            </w:r>
          </w:p>
        </w:tc>
        <w:tc>
          <w:tcPr>
            <w:tcW w:w="3827" w:type="dxa"/>
            <w:tcBorders>
              <w:top w:val="nil"/>
              <w:left w:val="nil"/>
              <w:bottom w:val="single" w:color="auto" w:sz="4" w:space="0"/>
              <w:right w:val="single" w:color="auto" w:sz="4" w:space="0"/>
            </w:tcBorders>
            <w:vAlign w:val="center"/>
          </w:tcPr>
          <w:p w14:paraId="2D87D2E5">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3、一个服务周期内累计发生2次及以上的，扣除项目服务费用的2%</w:t>
            </w:r>
          </w:p>
        </w:tc>
      </w:tr>
      <w:tr w14:paraId="56B81ED1">
        <w:tblPrEx>
          <w:tblCellMar>
            <w:top w:w="0" w:type="dxa"/>
            <w:left w:w="108" w:type="dxa"/>
            <w:bottom w:w="0" w:type="dxa"/>
            <w:right w:w="108" w:type="dxa"/>
          </w:tblCellMar>
        </w:tblPrEx>
        <w:trPr>
          <w:trHeight w:val="840" w:hRule="atLeast"/>
        </w:trPr>
        <w:tc>
          <w:tcPr>
            <w:tcW w:w="1080" w:type="dxa"/>
            <w:tcBorders>
              <w:top w:val="nil"/>
              <w:left w:val="single" w:color="auto" w:sz="4" w:space="0"/>
              <w:bottom w:val="single" w:color="auto" w:sz="4" w:space="0"/>
              <w:right w:val="single" w:color="auto" w:sz="4" w:space="0"/>
            </w:tcBorders>
            <w:vAlign w:val="center"/>
          </w:tcPr>
          <w:p w14:paraId="0787AA2A">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10</w:t>
            </w:r>
          </w:p>
        </w:tc>
        <w:tc>
          <w:tcPr>
            <w:tcW w:w="1460" w:type="dxa"/>
            <w:vMerge w:val="continue"/>
            <w:tcBorders>
              <w:top w:val="nil"/>
              <w:left w:val="single" w:color="auto" w:sz="4" w:space="0"/>
              <w:bottom w:val="single" w:color="auto" w:sz="4" w:space="0"/>
              <w:right w:val="single" w:color="auto" w:sz="4" w:space="0"/>
            </w:tcBorders>
            <w:vAlign w:val="center"/>
          </w:tcPr>
          <w:p w14:paraId="0348D24C">
            <w:pPr>
              <w:widowControl/>
              <w:jc w:val="left"/>
              <w:rPr>
                <w:rFonts w:ascii="仿宋_GB2312" w:hAnsi="等线" w:eastAsia="仿宋_GB2312" w:cs="宋体"/>
                <w:color w:val="000000"/>
                <w:kern w:val="0"/>
                <w:sz w:val="22"/>
              </w:rPr>
            </w:pPr>
          </w:p>
        </w:tc>
        <w:tc>
          <w:tcPr>
            <w:tcW w:w="2429" w:type="dxa"/>
            <w:tcBorders>
              <w:top w:val="nil"/>
              <w:left w:val="nil"/>
              <w:bottom w:val="single" w:color="auto" w:sz="4" w:space="0"/>
              <w:right w:val="single" w:color="auto" w:sz="4" w:space="0"/>
            </w:tcBorders>
            <w:vAlign w:val="center"/>
          </w:tcPr>
          <w:p w14:paraId="7814086E">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3、在日常安全监控和检查中，发现服务厂商建设、服务的系统被非法登陆、信息泄露或篡改、病毒或黑客攻击等安全事件。</w:t>
            </w:r>
          </w:p>
        </w:tc>
        <w:tc>
          <w:tcPr>
            <w:tcW w:w="3827" w:type="dxa"/>
            <w:tcBorders>
              <w:top w:val="nil"/>
              <w:left w:val="nil"/>
              <w:bottom w:val="single" w:color="auto" w:sz="4" w:space="0"/>
              <w:right w:val="single" w:color="auto" w:sz="4" w:space="0"/>
            </w:tcBorders>
            <w:vAlign w:val="center"/>
          </w:tcPr>
          <w:p w14:paraId="55CBF035">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3、扣除项目服务费用的2%</w:t>
            </w:r>
          </w:p>
        </w:tc>
      </w:tr>
      <w:tr w14:paraId="0D83AAAD">
        <w:tblPrEx>
          <w:tblCellMar>
            <w:top w:w="0" w:type="dxa"/>
            <w:left w:w="108" w:type="dxa"/>
            <w:bottom w:w="0" w:type="dxa"/>
            <w:right w:w="108" w:type="dxa"/>
          </w:tblCellMar>
        </w:tblPrEx>
        <w:trPr>
          <w:trHeight w:val="840" w:hRule="atLeast"/>
        </w:trPr>
        <w:tc>
          <w:tcPr>
            <w:tcW w:w="1080" w:type="dxa"/>
            <w:tcBorders>
              <w:top w:val="nil"/>
              <w:left w:val="single" w:color="auto" w:sz="4" w:space="0"/>
              <w:bottom w:val="single" w:color="auto" w:sz="4" w:space="0"/>
              <w:right w:val="single" w:color="auto" w:sz="4" w:space="0"/>
            </w:tcBorders>
            <w:vAlign w:val="center"/>
          </w:tcPr>
          <w:p w14:paraId="0E0A9E10">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11</w:t>
            </w:r>
          </w:p>
        </w:tc>
        <w:tc>
          <w:tcPr>
            <w:tcW w:w="1460" w:type="dxa"/>
            <w:vMerge w:val="continue"/>
            <w:tcBorders>
              <w:top w:val="nil"/>
              <w:left w:val="single" w:color="auto" w:sz="4" w:space="0"/>
              <w:bottom w:val="single" w:color="auto" w:sz="4" w:space="0"/>
              <w:right w:val="single" w:color="auto" w:sz="4" w:space="0"/>
            </w:tcBorders>
            <w:vAlign w:val="center"/>
          </w:tcPr>
          <w:p w14:paraId="671FC250">
            <w:pPr>
              <w:widowControl/>
              <w:jc w:val="left"/>
              <w:rPr>
                <w:rFonts w:ascii="仿宋_GB2312" w:hAnsi="等线" w:eastAsia="仿宋_GB2312" w:cs="宋体"/>
                <w:color w:val="000000"/>
                <w:kern w:val="0"/>
                <w:sz w:val="22"/>
              </w:rPr>
            </w:pPr>
          </w:p>
        </w:tc>
        <w:tc>
          <w:tcPr>
            <w:tcW w:w="2429" w:type="dxa"/>
            <w:tcBorders>
              <w:top w:val="nil"/>
              <w:left w:val="nil"/>
              <w:bottom w:val="single" w:color="auto" w:sz="4" w:space="0"/>
              <w:right w:val="single" w:color="auto" w:sz="4" w:space="0"/>
            </w:tcBorders>
            <w:vAlign w:val="center"/>
          </w:tcPr>
          <w:p w14:paraId="5E2A02E3">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4、在上级主管单位对中心进行安全检查中，发现问题的。</w:t>
            </w:r>
          </w:p>
        </w:tc>
        <w:tc>
          <w:tcPr>
            <w:tcW w:w="3827" w:type="dxa"/>
            <w:tcBorders>
              <w:top w:val="nil"/>
              <w:left w:val="nil"/>
              <w:bottom w:val="single" w:color="auto" w:sz="4" w:space="0"/>
              <w:right w:val="single" w:color="auto" w:sz="4" w:space="0"/>
            </w:tcBorders>
            <w:vAlign w:val="center"/>
          </w:tcPr>
          <w:p w14:paraId="55172C3A">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3、在一次检查中发现2个及以上高危问题的，扣除项目服务费用的2%</w:t>
            </w:r>
          </w:p>
        </w:tc>
      </w:tr>
      <w:tr w14:paraId="15FBE9C5">
        <w:tblPrEx>
          <w:tblCellMar>
            <w:top w:w="0" w:type="dxa"/>
            <w:left w:w="108" w:type="dxa"/>
            <w:bottom w:w="0" w:type="dxa"/>
            <w:right w:w="108" w:type="dxa"/>
          </w:tblCellMar>
        </w:tblPrEx>
        <w:trPr>
          <w:trHeight w:val="840" w:hRule="atLeast"/>
        </w:trPr>
        <w:tc>
          <w:tcPr>
            <w:tcW w:w="1080" w:type="dxa"/>
            <w:tcBorders>
              <w:top w:val="nil"/>
              <w:left w:val="single" w:color="auto" w:sz="4" w:space="0"/>
              <w:bottom w:val="single" w:color="auto" w:sz="4" w:space="0"/>
              <w:right w:val="single" w:color="auto" w:sz="4" w:space="0"/>
            </w:tcBorders>
            <w:vAlign w:val="center"/>
          </w:tcPr>
          <w:p w14:paraId="3BD76F82">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12</w:t>
            </w:r>
          </w:p>
        </w:tc>
        <w:tc>
          <w:tcPr>
            <w:tcW w:w="1460" w:type="dxa"/>
            <w:vMerge w:val="continue"/>
            <w:tcBorders>
              <w:top w:val="nil"/>
              <w:left w:val="single" w:color="auto" w:sz="4" w:space="0"/>
              <w:bottom w:val="single" w:color="auto" w:sz="4" w:space="0"/>
              <w:right w:val="single" w:color="auto" w:sz="4" w:space="0"/>
            </w:tcBorders>
            <w:vAlign w:val="center"/>
          </w:tcPr>
          <w:p w14:paraId="03D3DFB6">
            <w:pPr>
              <w:widowControl/>
              <w:jc w:val="left"/>
              <w:rPr>
                <w:rFonts w:ascii="仿宋_GB2312" w:hAnsi="等线" w:eastAsia="仿宋_GB2312" w:cs="宋体"/>
                <w:color w:val="000000"/>
                <w:kern w:val="0"/>
                <w:sz w:val="22"/>
              </w:rPr>
            </w:pPr>
          </w:p>
        </w:tc>
        <w:tc>
          <w:tcPr>
            <w:tcW w:w="2429" w:type="dxa"/>
            <w:tcBorders>
              <w:top w:val="nil"/>
              <w:left w:val="nil"/>
              <w:bottom w:val="single" w:color="auto" w:sz="4" w:space="0"/>
              <w:right w:val="single" w:color="auto" w:sz="4" w:space="0"/>
            </w:tcBorders>
            <w:vAlign w:val="center"/>
          </w:tcPr>
          <w:p w14:paraId="6506C599">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5、未经批准，擅自在各种媒体发表与中心有关的评论或言论。</w:t>
            </w:r>
          </w:p>
        </w:tc>
        <w:tc>
          <w:tcPr>
            <w:tcW w:w="3827" w:type="dxa"/>
            <w:tcBorders>
              <w:top w:val="nil"/>
              <w:left w:val="nil"/>
              <w:bottom w:val="single" w:color="auto" w:sz="4" w:space="0"/>
              <w:right w:val="single" w:color="auto" w:sz="4" w:space="0"/>
            </w:tcBorders>
            <w:vAlign w:val="center"/>
          </w:tcPr>
          <w:p w14:paraId="2CA10607">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3、扣除项目服务费用的2%</w:t>
            </w:r>
          </w:p>
        </w:tc>
      </w:tr>
      <w:tr w14:paraId="4A74C7A5">
        <w:tblPrEx>
          <w:tblCellMar>
            <w:top w:w="0" w:type="dxa"/>
            <w:left w:w="108" w:type="dxa"/>
            <w:bottom w:w="0" w:type="dxa"/>
            <w:right w:w="108" w:type="dxa"/>
          </w:tblCellMar>
        </w:tblPrEx>
        <w:trPr>
          <w:trHeight w:val="840" w:hRule="atLeast"/>
        </w:trPr>
        <w:tc>
          <w:tcPr>
            <w:tcW w:w="1080" w:type="dxa"/>
            <w:tcBorders>
              <w:top w:val="nil"/>
              <w:left w:val="single" w:color="auto" w:sz="4" w:space="0"/>
              <w:bottom w:val="single" w:color="auto" w:sz="4" w:space="0"/>
              <w:right w:val="single" w:color="auto" w:sz="4" w:space="0"/>
            </w:tcBorders>
            <w:vAlign w:val="center"/>
          </w:tcPr>
          <w:p w14:paraId="5A388399">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13</w:t>
            </w:r>
          </w:p>
        </w:tc>
        <w:tc>
          <w:tcPr>
            <w:tcW w:w="1460" w:type="dxa"/>
            <w:vMerge w:val="restart"/>
            <w:tcBorders>
              <w:top w:val="nil"/>
              <w:left w:val="single" w:color="auto" w:sz="4" w:space="0"/>
              <w:bottom w:val="single" w:color="000000" w:sz="4" w:space="0"/>
              <w:right w:val="single" w:color="auto" w:sz="4" w:space="0"/>
            </w:tcBorders>
            <w:vAlign w:val="center"/>
          </w:tcPr>
          <w:p w14:paraId="23C2BFAF">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故障</w:t>
            </w:r>
          </w:p>
        </w:tc>
        <w:tc>
          <w:tcPr>
            <w:tcW w:w="2429" w:type="dxa"/>
            <w:tcBorders>
              <w:top w:val="nil"/>
              <w:left w:val="nil"/>
              <w:bottom w:val="single" w:color="auto" w:sz="4" w:space="0"/>
              <w:right w:val="single" w:color="auto" w:sz="4" w:space="0"/>
            </w:tcBorders>
            <w:vAlign w:val="center"/>
          </w:tcPr>
          <w:p w14:paraId="362CF2B7">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1、发生A1、A2级故障。</w:t>
            </w:r>
          </w:p>
        </w:tc>
        <w:tc>
          <w:tcPr>
            <w:tcW w:w="3827" w:type="dxa"/>
            <w:tcBorders>
              <w:top w:val="nil"/>
              <w:left w:val="nil"/>
              <w:bottom w:val="single" w:color="auto" w:sz="4" w:space="0"/>
              <w:right w:val="single" w:color="auto" w:sz="4" w:space="0"/>
            </w:tcBorders>
            <w:vAlign w:val="center"/>
          </w:tcPr>
          <w:p w14:paraId="63E3DBD4">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3、扣除项目服务费用的3%</w:t>
            </w:r>
          </w:p>
        </w:tc>
      </w:tr>
      <w:tr w14:paraId="4425B7BB">
        <w:tblPrEx>
          <w:tblCellMar>
            <w:top w:w="0" w:type="dxa"/>
            <w:left w:w="108" w:type="dxa"/>
            <w:bottom w:w="0" w:type="dxa"/>
            <w:right w:w="108" w:type="dxa"/>
          </w:tblCellMar>
        </w:tblPrEx>
        <w:trPr>
          <w:trHeight w:val="840" w:hRule="atLeast"/>
        </w:trPr>
        <w:tc>
          <w:tcPr>
            <w:tcW w:w="1080" w:type="dxa"/>
            <w:tcBorders>
              <w:top w:val="nil"/>
              <w:left w:val="single" w:color="auto" w:sz="4" w:space="0"/>
              <w:bottom w:val="single" w:color="auto" w:sz="4" w:space="0"/>
              <w:right w:val="single" w:color="auto" w:sz="4" w:space="0"/>
            </w:tcBorders>
            <w:vAlign w:val="center"/>
          </w:tcPr>
          <w:p w14:paraId="4623563A">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14</w:t>
            </w:r>
          </w:p>
        </w:tc>
        <w:tc>
          <w:tcPr>
            <w:tcW w:w="1460" w:type="dxa"/>
            <w:vMerge w:val="continue"/>
            <w:tcBorders>
              <w:top w:val="nil"/>
              <w:left w:val="single" w:color="auto" w:sz="4" w:space="0"/>
              <w:bottom w:val="single" w:color="000000" w:sz="4" w:space="0"/>
              <w:right w:val="single" w:color="auto" w:sz="4" w:space="0"/>
            </w:tcBorders>
            <w:vAlign w:val="center"/>
          </w:tcPr>
          <w:p w14:paraId="58485B67">
            <w:pPr>
              <w:widowControl/>
              <w:jc w:val="left"/>
              <w:rPr>
                <w:rFonts w:ascii="仿宋_GB2312" w:hAnsi="等线" w:eastAsia="仿宋_GB2312" w:cs="宋体"/>
                <w:color w:val="000000"/>
                <w:kern w:val="0"/>
                <w:sz w:val="22"/>
              </w:rPr>
            </w:pPr>
          </w:p>
        </w:tc>
        <w:tc>
          <w:tcPr>
            <w:tcW w:w="2429" w:type="dxa"/>
            <w:tcBorders>
              <w:top w:val="nil"/>
              <w:left w:val="nil"/>
              <w:bottom w:val="single" w:color="auto" w:sz="4" w:space="0"/>
              <w:right w:val="single" w:color="auto" w:sz="4" w:space="0"/>
            </w:tcBorders>
            <w:vAlign w:val="center"/>
          </w:tcPr>
          <w:p w14:paraId="2EA679C1">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2、发生B1、B2级故障。</w:t>
            </w:r>
          </w:p>
        </w:tc>
        <w:tc>
          <w:tcPr>
            <w:tcW w:w="3827" w:type="dxa"/>
            <w:tcBorders>
              <w:top w:val="nil"/>
              <w:left w:val="nil"/>
              <w:bottom w:val="single" w:color="auto" w:sz="4" w:space="0"/>
              <w:right w:val="single" w:color="auto" w:sz="4" w:space="0"/>
            </w:tcBorders>
            <w:vAlign w:val="center"/>
          </w:tcPr>
          <w:p w14:paraId="2D4778B3">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3、一个服务周期内累计2次及以上的，扣除项目服务费用的2%</w:t>
            </w:r>
          </w:p>
        </w:tc>
      </w:tr>
      <w:tr w14:paraId="299BA366">
        <w:tblPrEx>
          <w:tblCellMar>
            <w:top w:w="0" w:type="dxa"/>
            <w:left w:w="108" w:type="dxa"/>
            <w:bottom w:w="0" w:type="dxa"/>
            <w:right w:w="108" w:type="dxa"/>
          </w:tblCellMar>
        </w:tblPrEx>
        <w:trPr>
          <w:trHeight w:val="840" w:hRule="atLeast"/>
        </w:trPr>
        <w:tc>
          <w:tcPr>
            <w:tcW w:w="1080" w:type="dxa"/>
            <w:tcBorders>
              <w:top w:val="nil"/>
              <w:left w:val="single" w:color="auto" w:sz="4" w:space="0"/>
              <w:bottom w:val="single" w:color="auto" w:sz="4" w:space="0"/>
              <w:right w:val="single" w:color="auto" w:sz="4" w:space="0"/>
            </w:tcBorders>
            <w:vAlign w:val="center"/>
          </w:tcPr>
          <w:p w14:paraId="657DC276">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15</w:t>
            </w:r>
          </w:p>
        </w:tc>
        <w:tc>
          <w:tcPr>
            <w:tcW w:w="1460" w:type="dxa"/>
            <w:vMerge w:val="continue"/>
            <w:tcBorders>
              <w:top w:val="nil"/>
              <w:left w:val="single" w:color="auto" w:sz="4" w:space="0"/>
              <w:bottom w:val="single" w:color="000000" w:sz="4" w:space="0"/>
              <w:right w:val="single" w:color="auto" w:sz="4" w:space="0"/>
            </w:tcBorders>
            <w:vAlign w:val="center"/>
          </w:tcPr>
          <w:p w14:paraId="5FF83C3C">
            <w:pPr>
              <w:widowControl/>
              <w:jc w:val="left"/>
              <w:rPr>
                <w:rFonts w:ascii="仿宋_GB2312" w:hAnsi="等线" w:eastAsia="仿宋_GB2312" w:cs="宋体"/>
                <w:color w:val="000000"/>
                <w:kern w:val="0"/>
                <w:sz w:val="22"/>
              </w:rPr>
            </w:pPr>
          </w:p>
        </w:tc>
        <w:tc>
          <w:tcPr>
            <w:tcW w:w="2429" w:type="dxa"/>
            <w:tcBorders>
              <w:top w:val="nil"/>
              <w:left w:val="nil"/>
              <w:bottom w:val="single" w:color="auto" w:sz="4" w:space="0"/>
              <w:right w:val="single" w:color="auto" w:sz="4" w:space="0"/>
            </w:tcBorders>
            <w:vAlign w:val="center"/>
          </w:tcPr>
          <w:p w14:paraId="23FBF14D">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3、发生C+级故障。</w:t>
            </w:r>
          </w:p>
        </w:tc>
        <w:tc>
          <w:tcPr>
            <w:tcW w:w="3827" w:type="dxa"/>
            <w:tcBorders>
              <w:top w:val="nil"/>
              <w:left w:val="nil"/>
              <w:bottom w:val="single" w:color="auto" w:sz="4" w:space="0"/>
              <w:right w:val="single" w:color="auto" w:sz="4" w:space="0"/>
            </w:tcBorders>
            <w:vAlign w:val="center"/>
          </w:tcPr>
          <w:p w14:paraId="426B5E5E">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3、一个服务周期内累计3次及以上的，扣除项目服务费用的1%</w:t>
            </w:r>
          </w:p>
        </w:tc>
      </w:tr>
      <w:tr w14:paraId="2A2E36EC">
        <w:tblPrEx>
          <w:tblCellMar>
            <w:top w:w="0" w:type="dxa"/>
            <w:left w:w="108" w:type="dxa"/>
            <w:bottom w:w="0" w:type="dxa"/>
            <w:right w:w="108" w:type="dxa"/>
          </w:tblCellMar>
        </w:tblPrEx>
        <w:trPr>
          <w:trHeight w:val="1120" w:hRule="atLeast"/>
        </w:trPr>
        <w:tc>
          <w:tcPr>
            <w:tcW w:w="1080" w:type="dxa"/>
            <w:tcBorders>
              <w:top w:val="nil"/>
              <w:left w:val="single" w:color="auto" w:sz="4" w:space="0"/>
              <w:bottom w:val="single" w:color="auto" w:sz="4" w:space="0"/>
              <w:right w:val="single" w:color="auto" w:sz="4" w:space="0"/>
            </w:tcBorders>
            <w:vAlign w:val="center"/>
          </w:tcPr>
          <w:p w14:paraId="15A02558">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16</w:t>
            </w:r>
          </w:p>
        </w:tc>
        <w:tc>
          <w:tcPr>
            <w:tcW w:w="1460" w:type="dxa"/>
            <w:vMerge w:val="restart"/>
            <w:tcBorders>
              <w:top w:val="nil"/>
              <w:left w:val="single" w:color="auto" w:sz="4" w:space="0"/>
              <w:bottom w:val="single" w:color="auto" w:sz="4" w:space="0"/>
              <w:right w:val="single" w:color="auto" w:sz="4" w:space="0"/>
            </w:tcBorders>
            <w:noWrap/>
            <w:vAlign w:val="center"/>
          </w:tcPr>
          <w:p w14:paraId="7846D85B">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漏洞</w:t>
            </w:r>
          </w:p>
        </w:tc>
        <w:tc>
          <w:tcPr>
            <w:tcW w:w="2429" w:type="dxa"/>
            <w:tcBorders>
              <w:top w:val="nil"/>
              <w:left w:val="nil"/>
              <w:bottom w:val="single" w:color="auto" w:sz="4" w:space="0"/>
              <w:right w:val="single" w:color="auto" w:sz="4" w:space="0"/>
            </w:tcBorders>
            <w:vAlign w:val="center"/>
          </w:tcPr>
          <w:p w14:paraId="2EB60438">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1、服务项目，未按要求上报产品漏洞情况，未及时更新版本</w:t>
            </w:r>
          </w:p>
        </w:tc>
        <w:tc>
          <w:tcPr>
            <w:tcW w:w="3827" w:type="dxa"/>
            <w:tcBorders>
              <w:top w:val="nil"/>
              <w:left w:val="nil"/>
              <w:bottom w:val="single" w:color="auto" w:sz="4" w:space="0"/>
              <w:right w:val="single" w:color="auto" w:sz="4" w:space="0"/>
            </w:tcBorders>
            <w:vAlign w:val="center"/>
          </w:tcPr>
          <w:p w14:paraId="68BF0D43">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3、每发现一次未上报或未及时更新且存在漏洞发生安全事件的，按事件等级进行项目金额扣除。</w:t>
            </w:r>
          </w:p>
        </w:tc>
      </w:tr>
      <w:tr w14:paraId="1FF2BACA">
        <w:tblPrEx>
          <w:tblCellMar>
            <w:top w:w="0" w:type="dxa"/>
            <w:left w:w="108" w:type="dxa"/>
            <w:bottom w:w="0" w:type="dxa"/>
            <w:right w:w="108" w:type="dxa"/>
          </w:tblCellMar>
        </w:tblPrEx>
        <w:trPr>
          <w:trHeight w:val="1680" w:hRule="atLeast"/>
        </w:trPr>
        <w:tc>
          <w:tcPr>
            <w:tcW w:w="1080" w:type="dxa"/>
            <w:tcBorders>
              <w:top w:val="nil"/>
              <w:left w:val="single" w:color="auto" w:sz="4" w:space="0"/>
              <w:bottom w:val="single" w:color="auto" w:sz="4" w:space="0"/>
              <w:right w:val="single" w:color="auto" w:sz="4" w:space="0"/>
            </w:tcBorders>
            <w:vAlign w:val="center"/>
          </w:tcPr>
          <w:p w14:paraId="28A685AA">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17</w:t>
            </w:r>
          </w:p>
        </w:tc>
        <w:tc>
          <w:tcPr>
            <w:tcW w:w="1460" w:type="dxa"/>
            <w:vMerge w:val="continue"/>
            <w:tcBorders>
              <w:top w:val="nil"/>
              <w:left w:val="single" w:color="auto" w:sz="4" w:space="0"/>
              <w:bottom w:val="single" w:color="auto" w:sz="4" w:space="0"/>
              <w:right w:val="single" w:color="auto" w:sz="4" w:space="0"/>
            </w:tcBorders>
            <w:vAlign w:val="center"/>
          </w:tcPr>
          <w:p w14:paraId="40E5D0D5">
            <w:pPr>
              <w:widowControl/>
              <w:jc w:val="left"/>
              <w:rPr>
                <w:rFonts w:ascii="仿宋_GB2312" w:hAnsi="等线" w:eastAsia="仿宋_GB2312" w:cs="宋体"/>
                <w:color w:val="000000"/>
                <w:kern w:val="0"/>
                <w:sz w:val="22"/>
              </w:rPr>
            </w:pPr>
          </w:p>
        </w:tc>
        <w:tc>
          <w:tcPr>
            <w:tcW w:w="2429" w:type="dxa"/>
            <w:tcBorders>
              <w:top w:val="nil"/>
              <w:left w:val="nil"/>
              <w:bottom w:val="single" w:color="auto" w:sz="4" w:space="0"/>
              <w:right w:val="single" w:color="auto" w:sz="4" w:space="0"/>
            </w:tcBorders>
            <w:vAlign w:val="center"/>
          </w:tcPr>
          <w:p w14:paraId="7A9A2EE2">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2、存在漏洞风险，未按要求及时修复漏洞或采取防护措施</w:t>
            </w:r>
          </w:p>
        </w:tc>
        <w:tc>
          <w:tcPr>
            <w:tcW w:w="3827" w:type="dxa"/>
            <w:tcBorders>
              <w:top w:val="nil"/>
              <w:left w:val="nil"/>
              <w:bottom w:val="single" w:color="auto" w:sz="4" w:space="0"/>
              <w:right w:val="single" w:color="auto" w:sz="4" w:space="0"/>
            </w:tcBorders>
            <w:vAlign w:val="center"/>
          </w:tcPr>
          <w:p w14:paraId="56B13ADF">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3、一个服务周期内累计3次及以上的中高危漏洞未按期整改的，扣除项目服务费用的2%；</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4、每发现一次未按时修复且发生安全事件的，按事件等级进行项目金额扣除。</w:t>
            </w:r>
          </w:p>
        </w:tc>
      </w:tr>
    </w:tbl>
    <w:p w14:paraId="38F4F2C4"/>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time">
    <w:altName w:val="思源宋体"/>
    <w:panose1 w:val="00000000000000000000"/>
    <w:charset w:val="00"/>
    <w:family w:val="auto"/>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等线">
    <w:altName w:val="Noto Sans CJK SC"/>
    <w:panose1 w:val="00000000000000000000"/>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GWZT-EN">
    <w:panose1 w:val="02020400000000000000"/>
    <w:charset w:val="86"/>
    <w:family w:val="auto"/>
    <w:pitch w:val="default"/>
    <w:sig w:usb0="A00002BF" w:usb1="38CF7CFA" w:usb2="00082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2945245"/>
    </w:sdtPr>
    <w:sdtContent>
      <w:p w14:paraId="4658C86B">
        <w:pPr>
          <w:pStyle w:val="16"/>
          <w:jc w:val="center"/>
        </w:pPr>
        <w:r>
          <w:fldChar w:fldCharType="begin"/>
        </w:r>
        <w:r>
          <w:instrText xml:space="preserve">PAGE   \* MERGEFORMAT</w:instrText>
        </w:r>
        <w:r>
          <w:fldChar w:fldCharType="separate"/>
        </w:r>
        <w:r>
          <w:rPr>
            <w:lang w:val="zh-CN"/>
          </w:rPr>
          <w:t>17</w:t>
        </w:r>
        <w:r>
          <w:rPr>
            <w:lang w:val="zh-CN"/>
          </w:rPr>
          <w:fldChar w:fldCharType="end"/>
        </w:r>
      </w:p>
    </w:sdtContent>
  </w:sdt>
  <w:p w14:paraId="4603AA92">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D7D845"/>
    <w:multiLevelType w:val="multilevel"/>
    <w:tmpl w:val="F3D7D845"/>
    <w:lvl w:ilvl="0" w:tentative="0">
      <w:start w:val="1"/>
      <w:numFmt w:val="bullet"/>
      <w:lvlText w:val=""/>
      <w:lvlJc w:val="left"/>
      <w:pPr>
        <w:ind w:left="420" w:firstLine="0"/>
      </w:pPr>
      <w:rPr>
        <w:rFonts w:hint="default" w:ascii="Wingdings" w:hAnsi="Wingdings" w:cs="Wingdings"/>
      </w:rPr>
    </w:lvl>
    <w:lvl w:ilvl="1" w:tentative="0">
      <w:start w:val="1"/>
      <w:numFmt w:val="bullet"/>
      <w:lvlText w:val=""/>
      <w:lvlJc w:val="left"/>
      <w:pPr>
        <w:ind w:left="840" w:firstLine="0"/>
      </w:pPr>
      <w:rPr>
        <w:rFonts w:hint="default" w:ascii="Wingdings" w:hAnsi="Wingdings" w:cs="Wingdings"/>
      </w:rPr>
    </w:lvl>
    <w:lvl w:ilvl="2" w:tentative="0">
      <w:start w:val="1"/>
      <w:numFmt w:val="bullet"/>
      <w:lvlText w:val=""/>
      <w:lvlJc w:val="left"/>
      <w:pPr>
        <w:ind w:left="1260" w:firstLine="0"/>
      </w:pPr>
      <w:rPr>
        <w:rFonts w:hint="default" w:ascii="Wingdings" w:hAnsi="Wingdings" w:cs="Wingdings"/>
      </w:rPr>
    </w:lvl>
    <w:lvl w:ilvl="3" w:tentative="0">
      <w:start w:val="1"/>
      <w:numFmt w:val="bullet"/>
      <w:lvlText w:val=""/>
      <w:lvlJc w:val="left"/>
      <w:pPr>
        <w:ind w:left="1680" w:firstLine="0"/>
      </w:pPr>
      <w:rPr>
        <w:rFonts w:hint="default" w:ascii="Wingdings" w:hAnsi="Wingdings" w:cs="Wingdings"/>
      </w:rPr>
    </w:lvl>
    <w:lvl w:ilvl="4" w:tentative="0">
      <w:start w:val="1"/>
      <w:numFmt w:val="bullet"/>
      <w:lvlText w:val=""/>
      <w:lvlJc w:val="left"/>
      <w:pPr>
        <w:ind w:left="2100" w:firstLine="0"/>
      </w:pPr>
      <w:rPr>
        <w:rFonts w:hint="default" w:ascii="Wingdings" w:hAnsi="Wingdings" w:cs="Wingdings"/>
      </w:rPr>
    </w:lvl>
    <w:lvl w:ilvl="5" w:tentative="0">
      <w:start w:val="1"/>
      <w:numFmt w:val="bullet"/>
      <w:lvlText w:val=""/>
      <w:lvlJc w:val="left"/>
      <w:pPr>
        <w:ind w:left="2520" w:firstLine="0"/>
      </w:pPr>
      <w:rPr>
        <w:rFonts w:hint="default" w:ascii="Wingdings" w:hAnsi="Wingdings" w:cs="Wingdings"/>
      </w:rPr>
    </w:lvl>
    <w:lvl w:ilvl="6" w:tentative="0">
      <w:start w:val="1"/>
      <w:numFmt w:val="bullet"/>
      <w:lvlText w:val=""/>
      <w:lvlJc w:val="left"/>
      <w:pPr>
        <w:ind w:left="2940" w:firstLine="0"/>
      </w:pPr>
      <w:rPr>
        <w:rFonts w:hint="default" w:ascii="Wingdings" w:hAnsi="Wingdings" w:cs="Wingdings"/>
      </w:rPr>
    </w:lvl>
    <w:lvl w:ilvl="7" w:tentative="0">
      <w:start w:val="1"/>
      <w:numFmt w:val="bullet"/>
      <w:lvlText w:val=""/>
      <w:lvlJc w:val="left"/>
      <w:pPr>
        <w:ind w:left="3360" w:firstLine="0"/>
      </w:pPr>
      <w:rPr>
        <w:rFonts w:hint="default" w:ascii="Wingdings" w:hAnsi="Wingdings" w:cs="Wingdings"/>
      </w:rPr>
    </w:lvl>
    <w:lvl w:ilvl="8" w:tentative="0">
      <w:start w:val="1"/>
      <w:numFmt w:val="bullet"/>
      <w:lvlText w:val=""/>
      <w:lvlJc w:val="left"/>
      <w:pPr>
        <w:ind w:left="3780" w:firstLine="0"/>
      </w:pPr>
      <w:rPr>
        <w:rFonts w:hint="default" w:ascii="Wingdings" w:hAnsi="Wingdings" w:cs="Wingdings"/>
      </w:rPr>
    </w:lvl>
  </w:abstractNum>
  <w:abstractNum w:abstractNumId="1">
    <w:nsid w:val="F3EF68B9"/>
    <w:multiLevelType w:val="multilevel"/>
    <w:tmpl w:val="F3EF68B9"/>
    <w:lvl w:ilvl="0" w:tentative="0">
      <w:start w:val="1"/>
      <w:numFmt w:val="bullet"/>
      <w:lvlText w:val=""/>
      <w:lvlJc w:val="left"/>
      <w:pPr>
        <w:ind w:left="420" w:firstLine="0"/>
      </w:pPr>
      <w:rPr>
        <w:rFonts w:hint="default" w:ascii="Wingdings" w:hAnsi="Wingdings" w:cs="Wingdings"/>
      </w:rPr>
    </w:lvl>
    <w:lvl w:ilvl="1" w:tentative="0">
      <w:start w:val="1"/>
      <w:numFmt w:val="bullet"/>
      <w:lvlText w:val=""/>
      <w:lvlJc w:val="left"/>
      <w:pPr>
        <w:ind w:left="840" w:firstLine="0"/>
      </w:pPr>
      <w:rPr>
        <w:rFonts w:hint="default" w:ascii="Wingdings" w:hAnsi="Wingdings" w:cs="Wingdings"/>
      </w:rPr>
    </w:lvl>
    <w:lvl w:ilvl="2" w:tentative="0">
      <w:start w:val="1"/>
      <w:numFmt w:val="bullet"/>
      <w:lvlText w:val=""/>
      <w:lvlJc w:val="left"/>
      <w:pPr>
        <w:ind w:left="1260" w:firstLine="0"/>
      </w:pPr>
      <w:rPr>
        <w:rFonts w:hint="default" w:ascii="Wingdings" w:hAnsi="Wingdings" w:cs="Wingdings"/>
      </w:rPr>
    </w:lvl>
    <w:lvl w:ilvl="3" w:tentative="0">
      <w:start w:val="1"/>
      <w:numFmt w:val="bullet"/>
      <w:lvlText w:val=""/>
      <w:lvlJc w:val="left"/>
      <w:pPr>
        <w:ind w:left="1680" w:firstLine="0"/>
      </w:pPr>
      <w:rPr>
        <w:rFonts w:hint="default" w:ascii="Wingdings" w:hAnsi="Wingdings" w:cs="Wingdings"/>
      </w:rPr>
    </w:lvl>
    <w:lvl w:ilvl="4" w:tentative="0">
      <w:start w:val="1"/>
      <w:numFmt w:val="bullet"/>
      <w:lvlText w:val=""/>
      <w:lvlJc w:val="left"/>
      <w:pPr>
        <w:ind w:left="2100" w:firstLine="0"/>
      </w:pPr>
      <w:rPr>
        <w:rFonts w:hint="default" w:ascii="Wingdings" w:hAnsi="Wingdings" w:cs="Wingdings"/>
      </w:rPr>
    </w:lvl>
    <w:lvl w:ilvl="5" w:tentative="0">
      <w:start w:val="1"/>
      <w:numFmt w:val="bullet"/>
      <w:lvlText w:val=""/>
      <w:lvlJc w:val="left"/>
      <w:pPr>
        <w:ind w:left="2520" w:firstLine="0"/>
      </w:pPr>
      <w:rPr>
        <w:rFonts w:hint="default" w:ascii="Wingdings" w:hAnsi="Wingdings" w:cs="Wingdings"/>
      </w:rPr>
    </w:lvl>
    <w:lvl w:ilvl="6" w:tentative="0">
      <w:start w:val="1"/>
      <w:numFmt w:val="bullet"/>
      <w:lvlText w:val=""/>
      <w:lvlJc w:val="left"/>
      <w:pPr>
        <w:ind w:left="2940" w:firstLine="0"/>
      </w:pPr>
      <w:rPr>
        <w:rFonts w:hint="default" w:ascii="Wingdings" w:hAnsi="Wingdings" w:cs="Wingdings"/>
      </w:rPr>
    </w:lvl>
    <w:lvl w:ilvl="7" w:tentative="0">
      <w:start w:val="1"/>
      <w:numFmt w:val="bullet"/>
      <w:lvlText w:val=""/>
      <w:lvlJc w:val="left"/>
      <w:pPr>
        <w:ind w:left="3360" w:firstLine="0"/>
      </w:pPr>
      <w:rPr>
        <w:rFonts w:hint="default" w:ascii="Wingdings" w:hAnsi="Wingdings" w:cs="Wingdings"/>
      </w:rPr>
    </w:lvl>
    <w:lvl w:ilvl="8" w:tentative="0">
      <w:start w:val="1"/>
      <w:numFmt w:val="bullet"/>
      <w:lvlText w:val=""/>
      <w:lvlJc w:val="left"/>
      <w:pPr>
        <w:ind w:left="3780" w:firstLine="0"/>
      </w:pPr>
      <w:rPr>
        <w:rFonts w:hint="default" w:ascii="Wingdings" w:hAnsi="Wingdings" w:cs="Wingdings"/>
      </w:rPr>
    </w:lvl>
  </w:abstractNum>
  <w:abstractNum w:abstractNumId="2">
    <w:nsid w:val="4B414E94"/>
    <w:multiLevelType w:val="multilevel"/>
    <w:tmpl w:val="4B414E94"/>
    <w:lvl w:ilvl="0" w:tentative="0">
      <w:start w:val="1"/>
      <w:numFmt w:val="chineseCountingThousand"/>
      <w:pStyle w:val="2"/>
      <w:suff w:val="nothing"/>
      <w:lvlText w:val="%1、"/>
      <w:lvlJc w:val="left"/>
      <w:pPr>
        <w:ind w:left="4536" w:firstLine="0"/>
      </w:pPr>
      <w:rPr>
        <w:rFonts w:hint="eastAsia" w:ascii="仿宋" w:hAnsi="仿宋" w:eastAsia="仿宋" w:cs="仿宋"/>
        <w:b/>
        <w:i w:val="0"/>
        <w:sz w:val="32"/>
        <w:szCs w:val="32"/>
        <w:lang w:val="en-US"/>
      </w:rPr>
    </w:lvl>
    <w:lvl w:ilvl="1" w:tentative="0">
      <w:start w:val="1"/>
      <w:numFmt w:val="decimal"/>
      <w:pStyle w:val="3"/>
      <w:isLgl/>
      <w:suff w:val="nothing"/>
      <w:lvlText w:val="%1.%2 "/>
      <w:lvlJc w:val="left"/>
      <w:pPr>
        <w:ind w:left="851" w:firstLine="0"/>
      </w:pPr>
      <w:rPr>
        <w:rFonts w:hint="default" w:ascii="Times New Roman" w:hAnsi="Times New Roman" w:eastAsia="宋体"/>
        <w:b/>
        <w:i w:val="0"/>
        <w:sz w:val="30"/>
      </w:rPr>
    </w:lvl>
    <w:lvl w:ilvl="2" w:tentative="0">
      <w:start w:val="1"/>
      <w:numFmt w:val="decimal"/>
      <w:pStyle w:val="4"/>
      <w:isLgl/>
      <w:suff w:val="nothing"/>
      <w:lvlText w:val="%1.%2.%3 "/>
      <w:lvlJc w:val="left"/>
      <w:pPr>
        <w:ind w:left="1135" w:firstLine="0"/>
      </w:pPr>
      <w:rPr>
        <w:rFonts w:hint="default" w:ascii="Times New Roman" w:hAnsi="Times New Roman" w:eastAsia="仿宋"/>
        <w:b/>
        <w:i w:val="0"/>
        <w:sz w:val="28"/>
      </w:rPr>
    </w:lvl>
    <w:lvl w:ilvl="3" w:tentative="0">
      <w:start w:val="1"/>
      <w:numFmt w:val="decimal"/>
      <w:pStyle w:val="5"/>
      <w:isLgl/>
      <w:suff w:val="nothing"/>
      <w:lvlText w:val="%1.%2.%3.%4、"/>
      <w:lvlJc w:val="left"/>
      <w:pPr>
        <w:ind w:left="567" w:firstLine="0"/>
      </w:pPr>
      <w:rPr>
        <w:rFonts w:hint="default" w:ascii="Times New Roman" w:hAnsi="Times New Roman" w:eastAsia="宋体"/>
        <w:b/>
        <w:i w:val="0"/>
        <w:sz w:val="24"/>
      </w:rPr>
    </w:lvl>
    <w:lvl w:ilvl="4" w:tentative="0">
      <w:start w:val="1"/>
      <w:numFmt w:val="decimal"/>
      <w:pStyle w:val="6"/>
      <w:isLgl/>
      <w:suff w:val="nothing"/>
      <w:lvlText w:val="%1.%2.%3.%4.%5、"/>
      <w:lvlJc w:val="left"/>
      <w:pPr>
        <w:ind w:left="567" w:firstLine="0"/>
      </w:pPr>
      <w:rPr>
        <w:rFonts w:hint="default" w:ascii="Times New Roman" w:hAnsi="Times New Roman" w:eastAsia="宋体"/>
        <w:b/>
        <w:i w:val="0"/>
        <w:sz w:val="21"/>
      </w:rPr>
    </w:lvl>
    <w:lvl w:ilvl="5" w:tentative="0">
      <w:start w:val="1"/>
      <w:numFmt w:val="decimal"/>
      <w:pStyle w:val="7"/>
      <w:isLgl/>
      <w:suff w:val="nothing"/>
      <w:lvlText w:val="%1.%2.%3.%4.%5.%6、"/>
      <w:lvlJc w:val="left"/>
      <w:pPr>
        <w:ind w:left="567" w:firstLine="0"/>
      </w:pPr>
      <w:rPr>
        <w:rFonts w:hint="default" w:ascii="Times New Roman" w:hAnsi="Times New Roman" w:eastAsia="宋体"/>
        <w:b/>
        <w:i w:val="0"/>
        <w:sz w:val="21"/>
      </w:rPr>
    </w:lvl>
    <w:lvl w:ilvl="6" w:tentative="0">
      <w:start w:val="1"/>
      <w:numFmt w:val="decimal"/>
      <w:pStyle w:val="8"/>
      <w:isLgl/>
      <w:suff w:val="nothing"/>
      <w:lvlText w:val="%1.%2.%3.%4.%5.%6.%7、"/>
      <w:lvlJc w:val="left"/>
      <w:pPr>
        <w:ind w:left="567" w:firstLine="0"/>
      </w:pPr>
      <w:rPr>
        <w:rFonts w:hint="default" w:ascii="Times New Roman" w:hAnsi="Times New Roman" w:eastAsia="宋体"/>
        <w:b/>
        <w:i w:val="0"/>
        <w:sz w:val="21"/>
      </w:rPr>
    </w:lvl>
    <w:lvl w:ilvl="7" w:tentative="0">
      <w:start w:val="1"/>
      <w:numFmt w:val="decimal"/>
      <w:pStyle w:val="9"/>
      <w:isLgl/>
      <w:suff w:val="nothing"/>
      <w:lvlText w:val="%1.%2.%3.%4.%5.%6.%7.%8、"/>
      <w:lvlJc w:val="left"/>
      <w:pPr>
        <w:ind w:left="567" w:firstLine="0"/>
      </w:pPr>
      <w:rPr>
        <w:rFonts w:hint="default" w:ascii="Times New Roman" w:hAnsi="Times New Roman" w:eastAsia="宋体"/>
        <w:b/>
        <w:i w:val="0"/>
        <w:sz w:val="21"/>
      </w:rPr>
    </w:lvl>
    <w:lvl w:ilvl="8" w:tentative="0">
      <w:start w:val="1"/>
      <w:numFmt w:val="decimal"/>
      <w:pStyle w:val="10"/>
      <w:isLgl/>
      <w:suff w:val="nothing"/>
      <w:lvlText w:val="%1.%2.%3.%4.%5.%6.%7.%8.%9、"/>
      <w:lvlJc w:val="left"/>
      <w:pPr>
        <w:ind w:left="567" w:firstLine="0"/>
      </w:pPr>
      <w:rPr>
        <w:rFonts w:hint="default" w:ascii="Times New Roman" w:hAnsi="Times New Roman" w:eastAsia="宋体"/>
        <w:b/>
        <w:i w:val="0"/>
        <w:sz w:val="21"/>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0MGM4NDE3YWFlMzA0MWViNTY0Yjg0OThlOTIyYjUifQ=="/>
  </w:docVars>
  <w:rsids>
    <w:rsidRoot w:val="00A65D43"/>
    <w:rsid w:val="0000190C"/>
    <w:rsid w:val="00001BEB"/>
    <w:rsid w:val="00003534"/>
    <w:rsid w:val="00010B05"/>
    <w:rsid w:val="0002058A"/>
    <w:rsid w:val="00024DCE"/>
    <w:rsid w:val="00025A0A"/>
    <w:rsid w:val="00025B47"/>
    <w:rsid w:val="00025D33"/>
    <w:rsid w:val="00031146"/>
    <w:rsid w:val="00031E82"/>
    <w:rsid w:val="0003289E"/>
    <w:rsid w:val="000337EC"/>
    <w:rsid w:val="0003480C"/>
    <w:rsid w:val="0004197E"/>
    <w:rsid w:val="00042982"/>
    <w:rsid w:val="000440DD"/>
    <w:rsid w:val="000452BC"/>
    <w:rsid w:val="00047235"/>
    <w:rsid w:val="00055746"/>
    <w:rsid w:val="00061333"/>
    <w:rsid w:val="00061D38"/>
    <w:rsid w:val="00065382"/>
    <w:rsid w:val="00065ADA"/>
    <w:rsid w:val="00067BAE"/>
    <w:rsid w:val="000713A9"/>
    <w:rsid w:val="00072DDE"/>
    <w:rsid w:val="0007524D"/>
    <w:rsid w:val="00077F67"/>
    <w:rsid w:val="00081035"/>
    <w:rsid w:val="00085F33"/>
    <w:rsid w:val="00086F1A"/>
    <w:rsid w:val="00092749"/>
    <w:rsid w:val="00093E3D"/>
    <w:rsid w:val="000945B3"/>
    <w:rsid w:val="00094EBE"/>
    <w:rsid w:val="000977A7"/>
    <w:rsid w:val="000A0130"/>
    <w:rsid w:val="000A0DA6"/>
    <w:rsid w:val="000A1FA8"/>
    <w:rsid w:val="000A267E"/>
    <w:rsid w:val="000A5186"/>
    <w:rsid w:val="000B17AA"/>
    <w:rsid w:val="000B36E1"/>
    <w:rsid w:val="000B3767"/>
    <w:rsid w:val="000B43E3"/>
    <w:rsid w:val="000B513D"/>
    <w:rsid w:val="000C0E2D"/>
    <w:rsid w:val="000C11CE"/>
    <w:rsid w:val="000C229F"/>
    <w:rsid w:val="000C39D4"/>
    <w:rsid w:val="000C40E3"/>
    <w:rsid w:val="000C6061"/>
    <w:rsid w:val="000C65E1"/>
    <w:rsid w:val="000C745E"/>
    <w:rsid w:val="000D3F43"/>
    <w:rsid w:val="000E0768"/>
    <w:rsid w:val="000E0C83"/>
    <w:rsid w:val="000E2143"/>
    <w:rsid w:val="000E619B"/>
    <w:rsid w:val="000E63B0"/>
    <w:rsid w:val="000F007B"/>
    <w:rsid w:val="000F1D58"/>
    <w:rsid w:val="000F31FD"/>
    <w:rsid w:val="000F57AB"/>
    <w:rsid w:val="00101576"/>
    <w:rsid w:val="0010311A"/>
    <w:rsid w:val="00107F82"/>
    <w:rsid w:val="0011070E"/>
    <w:rsid w:val="001136B4"/>
    <w:rsid w:val="00120E27"/>
    <w:rsid w:val="00121B5E"/>
    <w:rsid w:val="0012223B"/>
    <w:rsid w:val="0012452D"/>
    <w:rsid w:val="00125811"/>
    <w:rsid w:val="001270CE"/>
    <w:rsid w:val="0012793C"/>
    <w:rsid w:val="00130FCC"/>
    <w:rsid w:val="00137BAC"/>
    <w:rsid w:val="00137FAE"/>
    <w:rsid w:val="001406EF"/>
    <w:rsid w:val="00160956"/>
    <w:rsid w:val="00161EA9"/>
    <w:rsid w:val="00163401"/>
    <w:rsid w:val="0016607D"/>
    <w:rsid w:val="001660F1"/>
    <w:rsid w:val="00166D53"/>
    <w:rsid w:val="001672AA"/>
    <w:rsid w:val="0017051B"/>
    <w:rsid w:val="00171011"/>
    <w:rsid w:val="00172318"/>
    <w:rsid w:val="00172A39"/>
    <w:rsid w:val="001746C1"/>
    <w:rsid w:val="00175D08"/>
    <w:rsid w:val="001828C7"/>
    <w:rsid w:val="00184C81"/>
    <w:rsid w:val="00190408"/>
    <w:rsid w:val="001909B8"/>
    <w:rsid w:val="001926A6"/>
    <w:rsid w:val="00193EBA"/>
    <w:rsid w:val="00197692"/>
    <w:rsid w:val="001A177B"/>
    <w:rsid w:val="001A55FD"/>
    <w:rsid w:val="001A7FBD"/>
    <w:rsid w:val="001B1382"/>
    <w:rsid w:val="001B2EE0"/>
    <w:rsid w:val="001B477C"/>
    <w:rsid w:val="001B651B"/>
    <w:rsid w:val="001C0AE6"/>
    <w:rsid w:val="001C16CC"/>
    <w:rsid w:val="001C242D"/>
    <w:rsid w:val="001C3789"/>
    <w:rsid w:val="001C7D33"/>
    <w:rsid w:val="001D3CEF"/>
    <w:rsid w:val="001F0DF5"/>
    <w:rsid w:val="001F50E7"/>
    <w:rsid w:val="001F6740"/>
    <w:rsid w:val="00200024"/>
    <w:rsid w:val="00201CA3"/>
    <w:rsid w:val="00213AC4"/>
    <w:rsid w:val="00215406"/>
    <w:rsid w:val="00216D00"/>
    <w:rsid w:val="00224768"/>
    <w:rsid w:val="002302FD"/>
    <w:rsid w:val="00231537"/>
    <w:rsid w:val="00231A8F"/>
    <w:rsid w:val="00240237"/>
    <w:rsid w:val="00242311"/>
    <w:rsid w:val="0024409D"/>
    <w:rsid w:val="0024445C"/>
    <w:rsid w:val="002616D4"/>
    <w:rsid w:val="00264483"/>
    <w:rsid w:val="002761E0"/>
    <w:rsid w:val="00282819"/>
    <w:rsid w:val="002833A5"/>
    <w:rsid w:val="00287B81"/>
    <w:rsid w:val="0029154A"/>
    <w:rsid w:val="00291FEB"/>
    <w:rsid w:val="002A0086"/>
    <w:rsid w:val="002A0D8E"/>
    <w:rsid w:val="002A29DD"/>
    <w:rsid w:val="002A3720"/>
    <w:rsid w:val="002A4AD8"/>
    <w:rsid w:val="002B025C"/>
    <w:rsid w:val="002B70F2"/>
    <w:rsid w:val="002C343C"/>
    <w:rsid w:val="002C38D3"/>
    <w:rsid w:val="002C3C59"/>
    <w:rsid w:val="002C47DB"/>
    <w:rsid w:val="002C695B"/>
    <w:rsid w:val="002C69DE"/>
    <w:rsid w:val="002C7CE9"/>
    <w:rsid w:val="002D1F52"/>
    <w:rsid w:val="002D4BEE"/>
    <w:rsid w:val="002E4A3D"/>
    <w:rsid w:val="002E5367"/>
    <w:rsid w:val="002E54F1"/>
    <w:rsid w:val="002E5DEC"/>
    <w:rsid w:val="002F1EA4"/>
    <w:rsid w:val="002F2502"/>
    <w:rsid w:val="002F7659"/>
    <w:rsid w:val="00300628"/>
    <w:rsid w:val="00300B40"/>
    <w:rsid w:val="00302277"/>
    <w:rsid w:val="003027C1"/>
    <w:rsid w:val="00315DF0"/>
    <w:rsid w:val="0031725F"/>
    <w:rsid w:val="0031738C"/>
    <w:rsid w:val="00321EF2"/>
    <w:rsid w:val="00322118"/>
    <w:rsid w:val="003221B6"/>
    <w:rsid w:val="00326CDD"/>
    <w:rsid w:val="00335D02"/>
    <w:rsid w:val="003367F4"/>
    <w:rsid w:val="00341E6E"/>
    <w:rsid w:val="003425D4"/>
    <w:rsid w:val="00343950"/>
    <w:rsid w:val="00343C84"/>
    <w:rsid w:val="00345CCF"/>
    <w:rsid w:val="00352E81"/>
    <w:rsid w:val="00354770"/>
    <w:rsid w:val="0035514A"/>
    <w:rsid w:val="00355D5B"/>
    <w:rsid w:val="00360FF2"/>
    <w:rsid w:val="00364DA3"/>
    <w:rsid w:val="0036537E"/>
    <w:rsid w:val="003703AC"/>
    <w:rsid w:val="003716F7"/>
    <w:rsid w:val="003753E3"/>
    <w:rsid w:val="00377ED4"/>
    <w:rsid w:val="00382966"/>
    <w:rsid w:val="0038556C"/>
    <w:rsid w:val="00385A19"/>
    <w:rsid w:val="00390500"/>
    <w:rsid w:val="003940D3"/>
    <w:rsid w:val="00394958"/>
    <w:rsid w:val="00396222"/>
    <w:rsid w:val="00396860"/>
    <w:rsid w:val="003A1769"/>
    <w:rsid w:val="003A1C71"/>
    <w:rsid w:val="003C161F"/>
    <w:rsid w:val="003C76FF"/>
    <w:rsid w:val="003D4AAD"/>
    <w:rsid w:val="003D4FFA"/>
    <w:rsid w:val="003D77C8"/>
    <w:rsid w:val="003E267F"/>
    <w:rsid w:val="003E5CC7"/>
    <w:rsid w:val="003E7705"/>
    <w:rsid w:val="003E7C4E"/>
    <w:rsid w:val="003F0EAC"/>
    <w:rsid w:val="003F1C5F"/>
    <w:rsid w:val="003F2DCE"/>
    <w:rsid w:val="003F58D4"/>
    <w:rsid w:val="003F5A09"/>
    <w:rsid w:val="003F5E92"/>
    <w:rsid w:val="003F709B"/>
    <w:rsid w:val="00400947"/>
    <w:rsid w:val="00406FDA"/>
    <w:rsid w:val="004072C9"/>
    <w:rsid w:val="0041192C"/>
    <w:rsid w:val="00414FD9"/>
    <w:rsid w:val="004167D8"/>
    <w:rsid w:val="00416AC4"/>
    <w:rsid w:val="004218F4"/>
    <w:rsid w:val="00431186"/>
    <w:rsid w:val="00433C77"/>
    <w:rsid w:val="004347FE"/>
    <w:rsid w:val="00434C27"/>
    <w:rsid w:val="004360FA"/>
    <w:rsid w:val="004373E9"/>
    <w:rsid w:val="0043790C"/>
    <w:rsid w:val="00440EC4"/>
    <w:rsid w:val="00441905"/>
    <w:rsid w:val="00442891"/>
    <w:rsid w:val="00445E44"/>
    <w:rsid w:val="00450AD6"/>
    <w:rsid w:val="00460C2E"/>
    <w:rsid w:val="00461275"/>
    <w:rsid w:val="00462413"/>
    <w:rsid w:val="00462784"/>
    <w:rsid w:val="00462DA0"/>
    <w:rsid w:val="00464593"/>
    <w:rsid w:val="00466562"/>
    <w:rsid w:val="00467227"/>
    <w:rsid w:val="0046728E"/>
    <w:rsid w:val="0047122D"/>
    <w:rsid w:val="00474F1F"/>
    <w:rsid w:val="00475369"/>
    <w:rsid w:val="004769AC"/>
    <w:rsid w:val="004778BA"/>
    <w:rsid w:val="00477B6D"/>
    <w:rsid w:val="00483268"/>
    <w:rsid w:val="004842F3"/>
    <w:rsid w:val="00492544"/>
    <w:rsid w:val="00493DB3"/>
    <w:rsid w:val="0049407C"/>
    <w:rsid w:val="00496673"/>
    <w:rsid w:val="004A3D05"/>
    <w:rsid w:val="004A55D8"/>
    <w:rsid w:val="004A65FD"/>
    <w:rsid w:val="004B3662"/>
    <w:rsid w:val="004B493B"/>
    <w:rsid w:val="004B50C3"/>
    <w:rsid w:val="004C15CC"/>
    <w:rsid w:val="004C45D9"/>
    <w:rsid w:val="004C4F38"/>
    <w:rsid w:val="004C5671"/>
    <w:rsid w:val="004C6629"/>
    <w:rsid w:val="004C7655"/>
    <w:rsid w:val="004D0A39"/>
    <w:rsid w:val="004D0D52"/>
    <w:rsid w:val="004D2172"/>
    <w:rsid w:val="004D3536"/>
    <w:rsid w:val="004D4CF1"/>
    <w:rsid w:val="004D7269"/>
    <w:rsid w:val="004D72EA"/>
    <w:rsid w:val="004E15D4"/>
    <w:rsid w:val="004E7FB8"/>
    <w:rsid w:val="004F1221"/>
    <w:rsid w:val="004F2386"/>
    <w:rsid w:val="004F2E58"/>
    <w:rsid w:val="004F4912"/>
    <w:rsid w:val="004F6B2F"/>
    <w:rsid w:val="00500E99"/>
    <w:rsid w:val="00503E91"/>
    <w:rsid w:val="0050699C"/>
    <w:rsid w:val="00506BCC"/>
    <w:rsid w:val="00515DB7"/>
    <w:rsid w:val="0051604A"/>
    <w:rsid w:val="00517EB2"/>
    <w:rsid w:val="00522924"/>
    <w:rsid w:val="005234B6"/>
    <w:rsid w:val="00524EE2"/>
    <w:rsid w:val="00527A1F"/>
    <w:rsid w:val="00530ADB"/>
    <w:rsid w:val="00537389"/>
    <w:rsid w:val="00540B5F"/>
    <w:rsid w:val="005441AF"/>
    <w:rsid w:val="00544CB4"/>
    <w:rsid w:val="00551059"/>
    <w:rsid w:val="005524F5"/>
    <w:rsid w:val="0055263B"/>
    <w:rsid w:val="00557899"/>
    <w:rsid w:val="005703FC"/>
    <w:rsid w:val="005740FD"/>
    <w:rsid w:val="00581D9F"/>
    <w:rsid w:val="00582CB9"/>
    <w:rsid w:val="005835B1"/>
    <w:rsid w:val="00584094"/>
    <w:rsid w:val="005846CD"/>
    <w:rsid w:val="0059045D"/>
    <w:rsid w:val="00594679"/>
    <w:rsid w:val="005973D9"/>
    <w:rsid w:val="005A1FF7"/>
    <w:rsid w:val="005A43F1"/>
    <w:rsid w:val="005A54B0"/>
    <w:rsid w:val="005A5EDC"/>
    <w:rsid w:val="005B1543"/>
    <w:rsid w:val="005B22A3"/>
    <w:rsid w:val="005B26E9"/>
    <w:rsid w:val="005B2D3E"/>
    <w:rsid w:val="005B6881"/>
    <w:rsid w:val="005B6DD7"/>
    <w:rsid w:val="005C0222"/>
    <w:rsid w:val="005C4B5C"/>
    <w:rsid w:val="005D42F7"/>
    <w:rsid w:val="005D6DF6"/>
    <w:rsid w:val="005E2AB9"/>
    <w:rsid w:val="005E735A"/>
    <w:rsid w:val="005F2F13"/>
    <w:rsid w:val="005F546D"/>
    <w:rsid w:val="005F76CC"/>
    <w:rsid w:val="006026FE"/>
    <w:rsid w:val="006053F9"/>
    <w:rsid w:val="00610873"/>
    <w:rsid w:val="006113D2"/>
    <w:rsid w:val="006119F0"/>
    <w:rsid w:val="00611E45"/>
    <w:rsid w:val="006122D6"/>
    <w:rsid w:val="00613081"/>
    <w:rsid w:val="00613433"/>
    <w:rsid w:val="00614F12"/>
    <w:rsid w:val="00616540"/>
    <w:rsid w:val="00630599"/>
    <w:rsid w:val="006315F0"/>
    <w:rsid w:val="00637922"/>
    <w:rsid w:val="00644879"/>
    <w:rsid w:val="00646FC0"/>
    <w:rsid w:val="00655366"/>
    <w:rsid w:val="006554FA"/>
    <w:rsid w:val="00660575"/>
    <w:rsid w:val="00662ACC"/>
    <w:rsid w:val="0066422E"/>
    <w:rsid w:val="00665245"/>
    <w:rsid w:val="00667272"/>
    <w:rsid w:val="006679D9"/>
    <w:rsid w:val="00673B08"/>
    <w:rsid w:val="00681AA8"/>
    <w:rsid w:val="00685790"/>
    <w:rsid w:val="0069087D"/>
    <w:rsid w:val="00690C00"/>
    <w:rsid w:val="006930A9"/>
    <w:rsid w:val="00695AAA"/>
    <w:rsid w:val="0069674E"/>
    <w:rsid w:val="00697BD6"/>
    <w:rsid w:val="006A54CA"/>
    <w:rsid w:val="006A7076"/>
    <w:rsid w:val="006B6696"/>
    <w:rsid w:val="006B6AB5"/>
    <w:rsid w:val="006B783F"/>
    <w:rsid w:val="006C04A7"/>
    <w:rsid w:val="006C59DD"/>
    <w:rsid w:val="006C6E24"/>
    <w:rsid w:val="006C6E6C"/>
    <w:rsid w:val="006C7159"/>
    <w:rsid w:val="006D163C"/>
    <w:rsid w:val="006D1C16"/>
    <w:rsid w:val="006D6A81"/>
    <w:rsid w:val="006E77DE"/>
    <w:rsid w:val="006E7DDC"/>
    <w:rsid w:val="006F00FE"/>
    <w:rsid w:val="006F2B4A"/>
    <w:rsid w:val="006F5FBF"/>
    <w:rsid w:val="006F741F"/>
    <w:rsid w:val="006F7EF6"/>
    <w:rsid w:val="00702D65"/>
    <w:rsid w:val="00707F28"/>
    <w:rsid w:val="00712165"/>
    <w:rsid w:val="00714BCA"/>
    <w:rsid w:val="00716670"/>
    <w:rsid w:val="007211A4"/>
    <w:rsid w:val="007237DF"/>
    <w:rsid w:val="00725ED4"/>
    <w:rsid w:val="00735DA2"/>
    <w:rsid w:val="0073658D"/>
    <w:rsid w:val="00740013"/>
    <w:rsid w:val="00741457"/>
    <w:rsid w:val="00741C36"/>
    <w:rsid w:val="00746CDC"/>
    <w:rsid w:val="007473C3"/>
    <w:rsid w:val="0075027C"/>
    <w:rsid w:val="00751587"/>
    <w:rsid w:val="007602C8"/>
    <w:rsid w:val="0076132F"/>
    <w:rsid w:val="007613F1"/>
    <w:rsid w:val="00765592"/>
    <w:rsid w:val="007655E8"/>
    <w:rsid w:val="007707E5"/>
    <w:rsid w:val="0077350D"/>
    <w:rsid w:val="00774CF1"/>
    <w:rsid w:val="00781C63"/>
    <w:rsid w:val="00781FC3"/>
    <w:rsid w:val="0078744D"/>
    <w:rsid w:val="007906E3"/>
    <w:rsid w:val="007917C4"/>
    <w:rsid w:val="00791991"/>
    <w:rsid w:val="00795BB2"/>
    <w:rsid w:val="007B1FCE"/>
    <w:rsid w:val="007B35BA"/>
    <w:rsid w:val="007C63E1"/>
    <w:rsid w:val="007C7E29"/>
    <w:rsid w:val="007D352C"/>
    <w:rsid w:val="007D5DC5"/>
    <w:rsid w:val="007E62E2"/>
    <w:rsid w:val="007E7326"/>
    <w:rsid w:val="007F2F89"/>
    <w:rsid w:val="007F4004"/>
    <w:rsid w:val="007F41A9"/>
    <w:rsid w:val="007F663D"/>
    <w:rsid w:val="007F6F17"/>
    <w:rsid w:val="00803EDB"/>
    <w:rsid w:val="00804993"/>
    <w:rsid w:val="00805D30"/>
    <w:rsid w:val="0081779E"/>
    <w:rsid w:val="0082757A"/>
    <w:rsid w:val="00831F51"/>
    <w:rsid w:val="00832F81"/>
    <w:rsid w:val="00834AED"/>
    <w:rsid w:val="00836F09"/>
    <w:rsid w:val="008416DB"/>
    <w:rsid w:val="0084319B"/>
    <w:rsid w:val="00843D5A"/>
    <w:rsid w:val="0085046F"/>
    <w:rsid w:val="0085361C"/>
    <w:rsid w:val="00864D04"/>
    <w:rsid w:val="00865925"/>
    <w:rsid w:val="0086794E"/>
    <w:rsid w:val="00870CED"/>
    <w:rsid w:val="008710FA"/>
    <w:rsid w:val="00871C3B"/>
    <w:rsid w:val="0087497F"/>
    <w:rsid w:val="00881BB2"/>
    <w:rsid w:val="008828CB"/>
    <w:rsid w:val="0088470D"/>
    <w:rsid w:val="0089044D"/>
    <w:rsid w:val="0089135B"/>
    <w:rsid w:val="008A2E57"/>
    <w:rsid w:val="008A7DEE"/>
    <w:rsid w:val="008B0544"/>
    <w:rsid w:val="008B17D9"/>
    <w:rsid w:val="008B3309"/>
    <w:rsid w:val="008B3475"/>
    <w:rsid w:val="008B5CC0"/>
    <w:rsid w:val="008C0A77"/>
    <w:rsid w:val="008C4254"/>
    <w:rsid w:val="008C4521"/>
    <w:rsid w:val="008C5A95"/>
    <w:rsid w:val="008E08A9"/>
    <w:rsid w:val="008E51D6"/>
    <w:rsid w:val="008E6A7A"/>
    <w:rsid w:val="008F01BC"/>
    <w:rsid w:val="008F1228"/>
    <w:rsid w:val="008F32A5"/>
    <w:rsid w:val="008F4A83"/>
    <w:rsid w:val="009000B6"/>
    <w:rsid w:val="0090149E"/>
    <w:rsid w:val="00901765"/>
    <w:rsid w:val="009025B2"/>
    <w:rsid w:val="00906CC4"/>
    <w:rsid w:val="009110E2"/>
    <w:rsid w:val="00913AC8"/>
    <w:rsid w:val="00915569"/>
    <w:rsid w:val="009242EC"/>
    <w:rsid w:val="00924CEF"/>
    <w:rsid w:val="009307EC"/>
    <w:rsid w:val="00933201"/>
    <w:rsid w:val="00934A0D"/>
    <w:rsid w:val="00935C42"/>
    <w:rsid w:val="00944385"/>
    <w:rsid w:val="00944D0C"/>
    <w:rsid w:val="00950749"/>
    <w:rsid w:val="00955BB2"/>
    <w:rsid w:val="009659B1"/>
    <w:rsid w:val="00972B75"/>
    <w:rsid w:val="00980447"/>
    <w:rsid w:val="00982D0F"/>
    <w:rsid w:val="00982FDB"/>
    <w:rsid w:val="00984D40"/>
    <w:rsid w:val="009907DD"/>
    <w:rsid w:val="00990D75"/>
    <w:rsid w:val="00992B22"/>
    <w:rsid w:val="0099399A"/>
    <w:rsid w:val="00997821"/>
    <w:rsid w:val="009A1E77"/>
    <w:rsid w:val="009A2035"/>
    <w:rsid w:val="009A2FF3"/>
    <w:rsid w:val="009A5620"/>
    <w:rsid w:val="009A7462"/>
    <w:rsid w:val="009B1698"/>
    <w:rsid w:val="009B2FF5"/>
    <w:rsid w:val="009C0394"/>
    <w:rsid w:val="009C38B8"/>
    <w:rsid w:val="009C7103"/>
    <w:rsid w:val="009D19E4"/>
    <w:rsid w:val="009D1BF1"/>
    <w:rsid w:val="009D3177"/>
    <w:rsid w:val="009D4DA6"/>
    <w:rsid w:val="009D6B00"/>
    <w:rsid w:val="009D7951"/>
    <w:rsid w:val="009D7961"/>
    <w:rsid w:val="009E2B63"/>
    <w:rsid w:val="009E5077"/>
    <w:rsid w:val="009E54B5"/>
    <w:rsid w:val="009E676E"/>
    <w:rsid w:val="009F2729"/>
    <w:rsid w:val="009F3060"/>
    <w:rsid w:val="009F7B44"/>
    <w:rsid w:val="009F7DE0"/>
    <w:rsid w:val="00A00603"/>
    <w:rsid w:val="00A013D2"/>
    <w:rsid w:val="00A1240F"/>
    <w:rsid w:val="00A14083"/>
    <w:rsid w:val="00A142AD"/>
    <w:rsid w:val="00A15B60"/>
    <w:rsid w:val="00A255A6"/>
    <w:rsid w:val="00A30027"/>
    <w:rsid w:val="00A3391A"/>
    <w:rsid w:val="00A3474A"/>
    <w:rsid w:val="00A36137"/>
    <w:rsid w:val="00A43413"/>
    <w:rsid w:val="00A43B72"/>
    <w:rsid w:val="00A44AF6"/>
    <w:rsid w:val="00A50045"/>
    <w:rsid w:val="00A53062"/>
    <w:rsid w:val="00A54429"/>
    <w:rsid w:val="00A565AD"/>
    <w:rsid w:val="00A608F3"/>
    <w:rsid w:val="00A60B22"/>
    <w:rsid w:val="00A61026"/>
    <w:rsid w:val="00A62837"/>
    <w:rsid w:val="00A65D43"/>
    <w:rsid w:val="00A75088"/>
    <w:rsid w:val="00A75B04"/>
    <w:rsid w:val="00A76000"/>
    <w:rsid w:val="00A77AF5"/>
    <w:rsid w:val="00A80FCD"/>
    <w:rsid w:val="00A81956"/>
    <w:rsid w:val="00A86CDC"/>
    <w:rsid w:val="00A90785"/>
    <w:rsid w:val="00A91A81"/>
    <w:rsid w:val="00A920BF"/>
    <w:rsid w:val="00AA0E0A"/>
    <w:rsid w:val="00AA1648"/>
    <w:rsid w:val="00AA1CA8"/>
    <w:rsid w:val="00AA2E74"/>
    <w:rsid w:val="00AA447D"/>
    <w:rsid w:val="00AA6345"/>
    <w:rsid w:val="00AB2369"/>
    <w:rsid w:val="00AB35D7"/>
    <w:rsid w:val="00AB5544"/>
    <w:rsid w:val="00AC06EF"/>
    <w:rsid w:val="00AC32FA"/>
    <w:rsid w:val="00AC671C"/>
    <w:rsid w:val="00AD36B2"/>
    <w:rsid w:val="00AE200A"/>
    <w:rsid w:val="00AF18B9"/>
    <w:rsid w:val="00AF2BBA"/>
    <w:rsid w:val="00AF3B3F"/>
    <w:rsid w:val="00B00D01"/>
    <w:rsid w:val="00B00F70"/>
    <w:rsid w:val="00B01B41"/>
    <w:rsid w:val="00B07259"/>
    <w:rsid w:val="00B10247"/>
    <w:rsid w:val="00B11267"/>
    <w:rsid w:val="00B11610"/>
    <w:rsid w:val="00B22300"/>
    <w:rsid w:val="00B27D1C"/>
    <w:rsid w:val="00B30387"/>
    <w:rsid w:val="00B31342"/>
    <w:rsid w:val="00B31503"/>
    <w:rsid w:val="00B32C36"/>
    <w:rsid w:val="00B425B1"/>
    <w:rsid w:val="00B44A5F"/>
    <w:rsid w:val="00B525FA"/>
    <w:rsid w:val="00B54582"/>
    <w:rsid w:val="00B553CC"/>
    <w:rsid w:val="00B56CAB"/>
    <w:rsid w:val="00B6035A"/>
    <w:rsid w:val="00B6157C"/>
    <w:rsid w:val="00B65B3D"/>
    <w:rsid w:val="00B77714"/>
    <w:rsid w:val="00B842EF"/>
    <w:rsid w:val="00B9334E"/>
    <w:rsid w:val="00B95536"/>
    <w:rsid w:val="00B95A2E"/>
    <w:rsid w:val="00BB09EE"/>
    <w:rsid w:val="00BB1E2F"/>
    <w:rsid w:val="00BB7FDA"/>
    <w:rsid w:val="00BC190E"/>
    <w:rsid w:val="00BC5363"/>
    <w:rsid w:val="00BD2590"/>
    <w:rsid w:val="00BD74A2"/>
    <w:rsid w:val="00BD77B8"/>
    <w:rsid w:val="00BE2DAC"/>
    <w:rsid w:val="00BE42E4"/>
    <w:rsid w:val="00BE458C"/>
    <w:rsid w:val="00BF4C46"/>
    <w:rsid w:val="00BF5DF6"/>
    <w:rsid w:val="00BF72CF"/>
    <w:rsid w:val="00C001D2"/>
    <w:rsid w:val="00C03EF1"/>
    <w:rsid w:val="00C04953"/>
    <w:rsid w:val="00C11734"/>
    <w:rsid w:val="00C11CE7"/>
    <w:rsid w:val="00C1459C"/>
    <w:rsid w:val="00C16037"/>
    <w:rsid w:val="00C17C18"/>
    <w:rsid w:val="00C216DB"/>
    <w:rsid w:val="00C23C26"/>
    <w:rsid w:val="00C2498A"/>
    <w:rsid w:val="00C26358"/>
    <w:rsid w:val="00C2752B"/>
    <w:rsid w:val="00C31FE8"/>
    <w:rsid w:val="00C32A1D"/>
    <w:rsid w:val="00C34A9F"/>
    <w:rsid w:val="00C356D9"/>
    <w:rsid w:val="00C41415"/>
    <w:rsid w:val="00C41D55"/>
    <w:rsid w:val="00C43BA8"/>
    <w:rsid w:val="00C47F9D"/>
    <w:rsid w:val="00C5181E"/>
    <w:rsid w:val="00C52EBC"/>
    <w:rsid w:val="00C54588"/>
    <w:rsid w:val="00C5489F"/>
    <w:rsid w:val="00C56A55"/>
    <w:rsid w:val="00C60DBC"/>
    <w:rsid w:val="00C62983"/>
    <w:rsid w:val="00C650AF"/>
    <w:rsid w:val="00C7416B"/>
    <w:rsid w:val="00C77611"/>
    <w:rsid w:val="00C83A65"/>
    <w:rsid w:val="00C85173"/>
    <w:rsid w:val="00C85DF8"/>
    <w:rsid w:val="00C86993"/>
    <w:rsid w:val="00C870FF"/>
    <w:rsid w:val="00C875A5"/>
    <w:rsid w:val="00C87B0B"/>
    <w:rsid w:val="00C87C2F"/>
    <w:rsid w:val="00C87F09"/>
    <w:rsid w:val="00C926D5"/>
    <w:rsid w:val="00CA1EF7"/>
    <w:rsid w:val="00CA2985"/>
    <w:rsid w:val="00CA49D9"/>
    <w:rsid w:val="00CA6FDE"/>
    <w:rsid w:val="00CA7A9E"/>
    <w:rsid w:val="00CD1334"/>
    <w:rsid w:val="00CD2E9F"/>
    <w:rsid w:val="00CD310E"/>
    <w:rsid w:val="00CD41FE"/>
    <w:rsid w:val="00CD7C3F"/>
    <w:rsid w:val="00CE1825"/>
    <w:rsid w:val="00CE3282"/>
    <w:rsid w:val="00CE3F8F"/>
    <w:rsid w:val="00CF0FCF"/>
    <w:rsid w:val="00CF1A74"/>
    <w:rsid w:val="00CF5E7B"/>
    <w:rsid w:val="00D003D9"/>
    <w:rsid w:val="00D031E4"/>
    <w:rsid w:val="00D03CF8"/>
    <w:rsid w:val="00D053F2"/>
    <w:rsid w:val="00D110D8"/>
    <w:rsid w:val="00D24559"/>
    <w:rsid w:val="00D35570"/>
    <w:rsid w:val="00D416A2"/>
    <w:rsid w:val="00D41C60"/>
    <w:rsid w:val="00D41E0D"/>
    <w:rsid w:val="00D44901"/>
    <w:rsid w:val="00D454CF"/>
    <w:rsid w:val="00D516AA"/>
    <w:rsid w:val="00D5502A"/>
    <w:rsid w:val="00D55D5F"/>
    <w:rsid w:val="00D60716"/>
    <w:rsid w:val="00D638CC"/>
    <w:rsid w:val="00D64E83"/>
    <w:rsid w:val="00D66231"/>
    <w:rsid w:val="00D71675"/>
    <w:rsid w:val="00D76457"/>
    <w:rsid w:val="00D7653E"/>
    <w:rsid w:val="00D76EF1"/>
    <w:rsid w:val="00D80D03"/>
    <w:rsid w:val="00D822EC"/>
    <w:rsid w:val="00D823B0"/>
    <w:rsid w:val="00D82B23"/>
    <w:rsid w:val="00D837B0"/>
    <w:rsid w:val="00D83FD1"/>
    <w:rsid w:val="00D84545"/>
    <w:rsid w:val="00D9333E"/>
    <w:rsid w:val="00D93817"/>
    <w:rsid w:val="00D95563"/>
    <w:rsid w:val="00DA0E9D"/>
    <w:rsid w:val="00DA5608"/>
    <w:rsid w:val="00DB07D0"/>
    <w:rsid w:val="00DB350D"/>
    <w:rsid w:val="00DB67FF"/>
    <w:rsid w:val="00DC2D44"/>
    <w:rsid w:val="00DC7A1E"/>
    <w:rsid w:val="00DC7F53"/>
    <w:rsid w:val="00DD584D"/>
    <w:rsid w:val="00DD676C"/>
    <w:rsid w:val="00DD7137"/>
    <w:rsid w:val="00DD77F8"/>
    <w:rsid w:val="00DE3003"/>
    <w:rsid w:val="00DF3899"/>
    <w:rsid w:val="00DF532F"/>
    <w:rsid w:val="00DF6717"/>
    <w:rsid w:val="00DF6B5F"/>
    <w:rsid w:val="00DF7885"/>
    <w:rsid w:val="00E0002D"/>
    <w:rsid w:val="00E011C9"/>
    <w:rsid w:val="00E02DAD"/>
    <w:rsid w:val="00E03E68"/>
    <w:rsid w:val="00E05823"/>
    <w:rsid w:val="00E11E94"/>
    <w:rsid w:val="00E168BD"/>
    <w:rsid w:val="00E21A00"/>
    <w:rsid w:val="00E21B30"/>
    <w:rsid w:val="00E22A3F"/>
    <w:rsid w:val="00E22BCB"/>
    <w:rsid w:val="00E24FE1"/>
    <w:rsid w:val="00E30766"/>
    <w:rsid w:val="00E30CEE"/>
    <w:rsid w:val="00E34B2F"/>
    <w:rsid w:val="00E34F8C"/>
    <w:rsid w:val="00E44410"/>
    <w:rsid w:val="00E46E20"/>
    <w:rsid w:val="00E47FEF"/>
    <w:rsid w:val="00E5392E"/>
    <w:rsid w:val="00E5540E"/>
    <w:rsid w:val="00E63625"/>
    <w:rsid w:val="00E641C3"/>
    <w:rsid w:val="00E65682"/>
    <w:rsid w:val="00E67442"/>
    <w:rsid w:val="00E70FE0"/>
    <w:rsid w:val="00E75FF2"/>
    <w:rsid w:val="00E8032D"/>
    <w:rsid w:val="00E82768"/>
    <w:rsid w:val="00E82DB1"/>
    <w:rsid w:val="00E85851"/>
    <w:rsid w:val="00E92152"/>
    <w:rsid w:val="00E92A5A"/>
    <w:rsid w:val="00E95A78"/>
    <w:rsid w:val="00E96E46"/>
    <w:rsid w:val="00EA1EDC"/>
    <w:rsid w:val="00EA251E"/>
    <w:rsid w:val="00EA521C"/>
    <w:rsid w:val="00EA5BDF"/>
    <w:rsid w:val="00EA7639"/>
    <w:rsid w:val="00EC03D4"/>
    <w:rsid w:val="00EC0C8B"/>
    <w:rsid w:val="00EC2E5E"/>
    <w:rsid w:val="00EC7E35"/>
    <w:rsid w:val="00ED5518"/>
    <w:rsid w:val="00EE06C1"/>
    <w:rsid w:val="00EE0CE9"/>
    <w:rsid w:val="00EE4F10"/>
    <w:rsid w:val="00EE5FB5"/>
    <w:rsid w:val="00EF2458"/>
    <w:rsid w:val="00EF3DDF"/>
    <w:rsid w:val="00EF540F"/>
    <w:rsid w:val="00F04147"/>
    <w:rsid w:val="00F04B9F"/>
    <w:rsid w:val="00F0690F"/>
    <w:rsid w:val="00F06BB0"/>
    <w:rsid w:val="00F06DC8"/>
    <w:rsid w:val="00F0758D"/>
    <w:rsid w:val="00F10071"/>
    <w:rsid w:val="00F139EA"/>
    <w:rsid w:val="00F14449"/>
    <w:rsid w:val="00F14AF4"/>
    <w:rsid w:val="00F1559C"/>
    <w:rsid w:val="00F17F1F"/>
    <w:rsid w:val="00F279D9"/>
    <w:rsid w:val="00F3006E"/>
    <w:rsid w:val="00F339C4"/>
    <w:rsid w:val="00F344A6"/>
    <w:rsid w:val="00F40C03"/>
    <w:rsid w:val="00F43A5E"/>
    <w:rsid w:val="00F509E6"/>
    <w:rsid w:val="00F5243C"/>
    <w:rsid w:val="00F53EA1"/>
    <w:rsid w:val="00F5451B"/>
    <w:rsid w:val="00F57ECE"/>
    <w:rsid w:val="00F60086"/>
    <w:rsid w:val="00F62921"/>
    <w:rsid w:val="00F63A16"/>
    <w:rsid w:val="00F63DA3"/>
    <w:rsid w:val="00F64E76"/>
    <w:rsid w:val="00F67C6F"/>
    <w:rsid w:val="00F71BE8"/>
    <w:rsid w:val="00F74DCF"/>
    <w:rsid w:val="00F75192"/>
    <w:rsid w:val="00F75225"/>
    <w:rsid w:val="00F77529"/>
    <w:rsid w:val="00F77854"/>
    <w:rsid w:val="00F81557"/>
    <w:rsid w:val="00F81E29"/>
    <w:rsid w:val="00F8496E"/>
    <w:rsid w:val="00F926AC"/>
    <w:rsid w:val="00F93D91"/>
    <w:rsid w:val="00F9625A"/>
    <w:rsid w:val="00FA35D9"/>
    <w:rsid w:val="00FA4B1A"/>
    <w:rsid w:val="00FA68C3"/>
    <w:rsid w:val="00FB71EA"/>
    <w:rsid w:val="00FC0AF1"/>
    <w:rsid w:val="00FC49DA"/>
    <w:rsid w:val="00FC7386"/>
    <w:rsid w:val="00FD3218"/>
    <w:rsid w:val="00FD3A5C"/>
    <w:rsid w:val="00FD57D3"/>
    <w:rsid w:val="00FD71D5"/>
    <w:rsid w:val="00FE30AE"/>
    <w:rsid w:val="00FE62D1"/>
    <w:rsid w:val="00FE6F61"/>
    <w:rsid w:val="00FF0077"/>
    <w:rsid w:val="00FF27A9"/>
    <w:rsid w:val="00FF30D7"/>
    <w:rsid w:val="00FF78D3"/>
    <w:rsid w:val="073D31FE"/>
    <w:rsid w:val="08436857"/>
    <w:rsid w:val="11856B2E"/>
    <w:rsid w:val="137D0DEC"/>
    <w:rsid w:val="143F579C"/>
    <w:rsid w:val="14726477"/>
    <w:rsid w:val="15501A8D"/>
    <w:rsid w:val="1ADD03C2"/>
    <w:rsid w:val="1B3E0655"/>
    <w:rsid w:val="1BA9C687"/>
    <w:rsid w:val="1BD417C5"/>
    <w:rsid w:val="1DFBC772"/>
    <w:rsid w:val="1EE7180F"/>
    <w:rsid w:val="1F8229C3"/>
    <w:rsid w:val="233174FD"/>
    <w:rsid w:val="25DA1459"/>
    <w:rsid w:val="26B20955"/>
    <w:rsid w:val="27B0513B"/>
    <w:rsid w:val="2A807095"/>
    <w:rsid w:val="2B563FA5"/>
    <w:rsid w:val="2FE7D7FE"/>
    <w:rsid w:val="306D6F40"/>
    <w:rsid w:val="31D668B9"/>
    <w:rsid w:val="321366D4"/>
    <w:rsid w:val="33E67E90"/>
    <w:rsid w:val="372C9F94"/>
    <w:rsid w:val="3975A3F9"/>
    <w:rsid w:val="39FB24A2"/>
    <w:rsid w:val="3A9C74FA"/>
    <w:rsid w:val="3BFC3547"/>
    <w:rsid w:val="3BFFFF64"/>
    <w:rsid w:val="3F20067F"/>
    <w:rsid w:val="424662D1"/>
    <w:rsid w:val="442962A2"/>
    <w:rsid w:val="463C1B65"/>
    <w:rsid w:val="466E475B"/>
    <w:rsid w:val="473A2575"/>
    <w:rsid w:val="490557B4"/>
    <w:rsid w:val="4BE54D64"/>
    <w:rsid w:val="4CAB07AC"/>
    <w:rsid w:val="4ED70203"/>
    <w:rsid w:val="4FAB0215"/>
    <w:rsid w:val="4FEC63D6"/>
    <w:rsid w:val="51EC090F"/>
    <w:rsid w:val="5232077C"/>
    <w:rsid w:val="55BC81C9"/>
    <w:rsid w:val="55C71477"/>
    <w:rsid w:val="561A2B39"/>
    <w:rsid w:val="580249E9"/>
    <w:rsid w:val="5844554E"/>
    <w:rsid w:val="59FA3FD0"/>
    <w:rsid w:val="5AFB7B3C"/>
    <w:rsid w:val="5EAECC44"/>
    <w:rsid w:val="5EE756D6"/>
    <w:rsid w:val="5FFB4F31"/>
    <w:rsid w:val="62A87767"/>
    <w:rsid w:val="62B131DE"/>
    <w:rsid w:val="65AC7516"/>
    <w:rsid w:val="67C12384"/>
    <w:rsid w:val="67CE0712"/>
    <w:rsid w:val="67F26828"/>
    <w:rsid w:val="6A1E1EFF"/>
    <w:rsid w:val="6B6D613A"/>
    <w:rsid w:val="6F1D5F33"/>
    <w:rsid w:val="6F694A76"/>
    <w:rsid w:val="6FBA6204"/>
    <w:rsid w:val="6FD131C7"/>
    <w:rsid w:val="6FDF26D2"/>
    <w:rsid w:val="72D8187A"/>
    <w:rsid w:val="77DC57AA"/>
    <w:rsid w:val="784B788E"/>
    <w:rsid w:val="797F5A41"/>
    <w:rsid w:val="7AED10D1"/>
    <w:rsid w:val="7AF9EC86"/>
    <w:rsid w:val="7B4C77FE"/>
    <w:rsid w:val="7C2B0D47"/>
    <w:rsid w:val="7D831878"/>
    <w:rsid w:val="7DEB5D9B"/>
    <w:rsid w:val="7ED87E5C"/>
    <w:rsid w:val="7FDE3EB0"/>
    <w:rsid w:val="7FE44434"/>
    <w:rsid w:val="A7DF1B9A"/>
    <w:rsid w:val="A7FDE205"/>
    <w:rsid w:val="ABF80A4C"/>
    <w:rsid w:val="BAD7AA7E"/>
    <w:rsid w:val="CFFFD391"/>
    <w:rsid w:val="DBFE2B5C"/>
    <w:rsid w:val="F753FC27"/>
    <w:rsid w:val="F7790B65"/>
    <w:rsid w:val="FBCA44CB"/>
    <w:rsid w:val="FD38922B"/>
    <w:rsid w:val="FDF74CF4"/>
    <w:rsid w:val="FF79EC62"/>
    <w:rsid w:val="FFBF98E5"/>
    <w:rsid w:val="FFFE1FB2"/>
    <w:rsid w:val="FFFE4A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9"/>
    <w:pPr>
      <w:keepNext/>
      <w:keepLines/>
      <w:numPr>
        <w:ilvl w:val="0"/>
        <w:numId w:val="1"/>
      </w:numPr>
      <w:spacing w:before="340" w:after="330" w:line="578" w:lineRule="auto"/>
      <w:ind w:left="852"/>
      <w:outlineLvl w:val="0"/>
    </w:pPr>
    <w:rPr>
      <w:rFonts w:eastAsia="方正小标宋_GBK"/>
      <w:b/>
      <w:bCs/>
      <w:kern w:val="44"/>
      <w:sz w:val="32"/>
      <w:szCs w:val="44"/>
    </w:rPr>
  </w:style>
  <w:style w:type="paragraph" w:styleId="3">
    <w:name w:val="heading 2"/>
    <w:basedOn w:val="1"/>
    <w:next w:val="1"/>
    <w:link w:val="32"/>
    <w:unhideWhenUsed/>
    <w:qFormat/>
    <w:uiPriority w:val="9"/>
    <w:pPr>
      <w:keepNext/>
      <w:keepLines/>
      <w:numPr>
        <w:ilvl w:val="1"/>
        <w:numId w:val="1"/>
      </w:numPr>
      <w:spacing w:before="260" w:after="260" w:line="416" w:lineRule="auto"/>
      <w:outlineLvl w:val="1"/>
    </w:pPr>
    <w:rPr>
      <w:rFonts w:eastAsia="仿宋" w:asciiTheme="majorHAnsi" w:hAnsiTheme="majorHAnsi" w:cstheme="majorBidi"/>
      <w:b/>
      <w:bCs/>
      <w:sz w:val="28"/>
      <w:szCs w:val="32"/>
    </w:rPr>
  </w:style>
  <w:style w:type="paragraph" w:styleId="4">
    <w:name w:val="heading 3"/>
    <w:basedOn w:val="1"/>
    <w:next w:val="1"/>
    <w:link w:val="35"/>
    <w:unhideWhenUsed/>
    <w:qFormat/>
    <w:uiPriority w:val="9"/>
    <w:pPr>
      <w:keepNext/>
      <w:keepLines/>
      <w:numPr>
        <w:ilvl w:val="2"/>
        <w:numId w:val="1"/>
      </w:numPr>
      <w:spacing w:before="260" w:after="260" w:line="416" w:lineRule="auto"/>
      <w:outlineLvl w:val="2"/>
    </w:pPr>
    <w:rPr>
      <w:rFonts w:eastAsia="仿宋"/>
      <w:b/>
      <w:bCs/>
      <w:sz w:val="28"/>
      <w:szCs w:val="32"/>
    </w:rPr>
  </w:style>
  <w:style w:type="paragraph" w:styleId="5">
    <w:name w:val="heading 4"/>
    <w:basedOn w:val="1"/>
    <w:next w:val="1"/>
    <w:link w:val="36"/>
    <w:semiHidden/>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7"/>
    <w:semiHidden/>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8"/>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9"/>
    <w:semiHidden/>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40"/>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41"/>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0"/>
    <w:unhideWhenUsed/>
    <w:qFormat/>
    <w:uiPriority w:val="99"/>
    <w:pPr>
      <w:jc w:val="left"/>
    </w:pPr>
  </w:style>
  <w:style w:type="paragraph" w:styleId="12">
    <w:name w:val="Body Text"/>
    <w:basedOn w:val="1"/>
    <w:link w:val="55"/>
    <w:semiHidden/>
    <w:unhideWhenUsed/>
    <w:qFormat/>
    <w:uiPriority w:val="99"/>
    <w:pPr>
      <w:spacing w:after="120"/>
    </w:pPr>
  </w:style>
  <w:style w:type="paragraph" w:styleId="13">
    <w:name w:val="Body Text Indent"/>
    <w:basedOn w:val="1"/>
    <w:link w:val="44"/>
    <w:semiHidden/>
    <w:unhideWhenUsed/>
    <w:qFormat/>
    <w:uiPriority w:val="99"/>
    <w:pPr>
      <w:spacing w:after="120"/>
      <w:ind w:left="420" w:leftChars="200"/>
    </w:pPr>
  </w:style>
  <w:style w:type="paragraph" w:styleId="14">
    <w:name w:val="toc 3"/>
    <w:basedOn w:val="1"/>
    <w:next w:val="1"/>
    <w:unhideWhenUsed/>
    <w:qFormat/>
    <w:uiPriority w:val="39"/>
    <w:pPr>
      <w:ind w:left="840" w:leftChars="400"/>
    </w:pPr>
  </w:style>
  <w:style w:type="paragraph" w:styleId="15">
    <w:name w:val="Balloon Text"/>
    <w:basedOn w:val="1"/>
    <w:link w:val="43"/>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footnote text"/>
    <w:basedOn w:val="1"/>
    <w:link w:val="53"/>
    <w:unhideWhenUsed/>
    <w:qFormat/>
    <w:uiPriority w:val="99"/>
    <w:pPr>
      <w:snapToGrid w:val="0"/>
      <w:jc w:val="left"/>
    </w:pPr>
    <w:rPr>
      <w:rFonts w:ascii="Calibri" w:hAnsi="Calibri" w:eastAsia="宋体" w:cs="Times New Roman"/>
      <w:sz w:val="18"/>
      <w:szCs w:val="18"/>
    </w:rPr>
  </w:style>
  <w:style w:type="paragraph" w:styleId="20">
    <w:name w:val="toc 2"/>
    <w:basedOn w:val="1"/>
    <w:next w:val="1"/>
    <w:unhideWhenUsed/>
    <w:qFormat/>
    <w:uiPriority w:val="39"/>
    <w:pPr>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styleId="22">
    <w:name w:val="annotation subject"/>
    <w:basedOn w:val="11"/>
    <w:next w:val="11"/>
    <w:link w:val="51"/>
    <w:semiHidden/>
    <w:unhideWhenUsed/>
    <w:qFormat/>
    <w:uiPriority w:val="99"/>
    <w:rPr>
      <w:b/>
      <w:bCs/>
    </w:rPr>
  </w:style>
  <w:style w:type="paragraph" w:styleId="23">
    <w:name w:val="Body Text First Indent 2"/>
    <w:basedOn w:val="13"/>
    <w:link w:val="45"/>
    <w:qFormat/>
    <w:uiPriority w:val="0"/>
    <w:pPr>
      <w:spacing w:line="360" w:lineRule="auto"/>
      <w:ind w:firstLine="420" w:firstLineChars="200"/>
    </w:pPr>
    <w:rPr>
      <w:rFonts w:ascii="Times New Roman" w:hAnsi="Times New Roman" w:eastAsia="宋体" w:cs="Times New Roman"/>
      <w:sz w:val="24"/>
      <w:szCs w:val="24"/>
      <w:lang w:val="zh-CN"/>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unhideWhenUsed/>
    <w:qFormat/>
    <w:uiPriority w:val="99"/>
    <w:rPr>
      <w:color w:val="0000FF" w:themeColor="hyperlink"/>
      <w:u w:val="single"/>
      <w14:textFill>
        <w14:solidFill>
          <w14:schemeClr w14:val="hlink"/>
        </w14:solidFill>
      </w14:textFill>
    </w:rPr>
  </w:style>
  <w:style w:type="character" w:styleId="28">
    <w:name w:val="annotation reference"/>
    <w:basedOn w:val="26"/>
    <w:unhideWhenUsed/>
    <w:qFormat/>
    <w:uiPriority w:val="99"/>
    <w:rPr>
      <w:sz w:val="21"/>
      <w:szCs w:val="21"/>
    </w:rPr>
  </w:style>
  <w:style w:type="character" w:customStyle="1" w:styleId="29">
    <w:name w:val="页眉 Char"/>
    <w:basedOn w:val="26"/>
    <w:link w:val="17"/>
    <w:qFormat/>
    <w:uiPriority w:val="99"/>
    <w:rPr>
      <w:sz w:val="18"/>
      <w:szCs w:val="18"/>
    </w:rPr>
  </w:style>
  <w:style w:type="character" w:customStyle="1" w:styleId="30">
    <w:name w:val="页脚 Char"/>
    <w:basedOn w:val="26"/>
    <w:link w:val="16"/>
    <w:qFormat/>
    <w:uiPriority w:val="99"/>
    <w:rPr>
      <w:sz w:val="18"/>
      <w:szCs w:val="18"/>
    </w:rPr>
  </w:style>
  <w:style w:type="paragraph" w:styleId="31">
    <w:name w:val="List Paragraph"/>
    <w:basedOn w:val="1"/>
    <w:link w:val="46"/>
    <w:qFormat/>
    <w:uiPriority w:val="34"/>
    <w:pPr>
      <w:ind w:firstLine="420" w:firstLineChars="200"/>
    </w:pPr>
  </w:style>
  <w:style w:type="character" w:customStyle="1" w:styleId="32">
    <w:name w:val="标题 2 Char"/>
    <w:basedOn w:val="26"/>
    <w:link w:val="3"/>
    <w:qFormat/>
    <w:uiPriority w:val="9"/>
    <w:rPr>
      <w:rFonts w:eastAsia="仿宋" w:asciiTheme="majorHAnsi" w:hAnsiTheme="majorHAnsi" w:cstheme="majorBidi"/>
      <w:b/>
      <w:bCs/>
      <w:kern w:val="2"/>
      <w:sz w:val="28"/>
      <w:szCs w:val="32"/>
    </w:rPr>
  </w:style>
  <w:style w:type="paragraph" w:customStyle="1" w:styleId="33">
    <w:name w:val="1册标题3"/>
    <w:basedOn w:val="1"/>
    <w:next w:val="1"/>
    <w:qFormat/>
    <w:uiPriority w:val="0"/>
    <w:pPr>
      <w:spacing w:line="360" w:lineRule="exact"/>
    </w:pPr>
    <w:rPr>
      <w:rFonts w:ascii="宋体" w:hAnsi="宋体" w:eastAsia="宋体" w:cs="Times New Roman"/>
      <w:szCs w:val="21"/>
    </w:rPr>
  </w:style>
  <w:style w:type="character" w:customStyle="1" w:styleId="34">
    <w:name w:val="标题 1 Char"/>
    <w:basedOn w:val="26"/>
    <w:link w:val="2"/>
    <w:qFormat/>
    <w:uiPriority w:val="9"/>
    <w:rPr>
      <w:rFonts w:eastAsia="方正小标宋_GBK"/>
      <w:b/>
      <w:bCs/>
      <w:kern w:val="44"/>
      <w:sz w:val="32"/>
      <w:szCs w:val="44"/>
    </w:rPr>
  </w:style>
  <w:style w:type="character" w:customStyle="1" w:styleId="35">
    <w:name w:val="标题 3 Char"/>
    <w:basedOn w:val="26"/>
    <w:link w:val="4"/>
    <w:qFormat/>
    <w:uiPriority w:val="9"/>
    <w:rPr>
      <w:rFonts w:eastAsia="仿宋"/>
      <w:b/>
      <w:bCs/>
      <w:sz w:val="28"/>
      <w:szCs w:val="32"/>
    </w:rPr>
  </w:style>
  <w:style w:type="character" w:customStyle="1" w:styleId="36">
    <w:name w:val="标题 4 Char"/>
    <w:basedOn w:val="26"/>
    <w:link w:val="5"/>
    <w:semiHidden/>
    <w:qFormat/>
    <w:uiPriority w:val="9"/>
    <w:rPr>
      <w:rFonts w:asciiTheme="majorHAnsi" w:hAnsiTheme="majorHAnsi" w:eastAsiaTheme="majorEastAsia" w:cstheme="majorBidi"/>
      <w:b/>
      <w:bCs/>
      <w:sz w:val="28"/>
      <w:szCs w:val="28"/>
    </w:rPr>
  </w:style>
  <w:style w:type="character" w:customStyle="1" w:styleId="37">
    <w:name w:val="标题 5 Char"/>
    <w:basedOn w:val="26"/>
    <w:link w:val="6"/>
    <w:semiHidden/>
    <w:qFormat/>
    <w:uiPriority w:val="9"/>
    <w:rPr>
      <w:b/>
      <w:bCs/>
      <w:sz w:val="28"/>
      <w:szCs w:val="28"/>
    </w:rPr>
  </w:style>
  <w:style w:type="character" w:customStyle="1" w:styleId="38">
    <w:name w:val="标题 6 Char"/>
    <w:basedOn w:val="26"/>
    <w:link w:val="7"/>
    <w:semiHidden/>
    <w:qFormat/>
    <w:uiPriority w:val="9"/>
    <w:rPr>
      <w:rFonts w:asciiTheme="majorHAnsi" w:hAnsiTheme="majorHAnsi" w:eastAsiaTheme="majorEastAsia" w:cstheme="majorBidi"/>
      <w:b/>
      <w:bCs/>
      <w:sz w:val="24"/>
      <w:szCs w:val="24"/>
    </w:rPr>
  </w:style>
  <w:style w:type="character" w:customStyle="1" w:styleId="39">
    <w:name w:val="标题 7 Char"/>
    <w:basedOn w:val="26"/>
    <w:link w:val="8"/>
    <w:semiHidden/>
    <w:qFormat/>
    <w:uiPriority w:val="9"/>
    <w:rPr>
      <w:b/>
      <w:bCs/>
      <w:sz w:val="24"/>
      <w:szCs w:val="24"/>
    </w:rPr>
  </w:style>
  <w:style w:type="character" w:customStyle="1" w:styleId="40">
    <w:name w:val="标题 8 Char"/>
    <w:basedOn w:val="26"/>
    <w:link w:val="9"/>
    <w:semiHidden/>
    <w:qFormat/>
    <w:uiPriority w:val="9"/>
    <w:rPr>
      <w:rFonts w:asciiTheme="majorHAnsi" w:hAnsiTheme="majorHAnsi" w:eastAsiaTheme="majorEastAsia" w:cstheme="majorBidi"/>
      <w:sz w:val="24"/>
      <w:szCs w:val="24"/>
    </w:rPr>
  </w:style>
  <w:style w:type="character" w:customStyle="1" w:styleId="41">
    <w:name w:val="标题 9 Char"/>
    <w:basedOn w:val="26"/>
    <w:link w:val="10"/>
    <w:semiHidden/>
    <w:qFormat/>
    <w:uiPriority w:val="9"/>
    <w:rPr>
      <w:rFonts w:asciiTheme="majorHAnsi" w:hAnsiTheme="majorHAnsi" w:eastAsiaTheme="majorEastAsia" w:cstheme="majorBidi"/>
      <w:szCs w:val="21"/>
    </w:rPr>
  </w:style>
  <w:style w:type="paragraph" w:customStyle="1" w:styleId="42">
    <w:name w:val="TOC 标题1"/>
    <w:basedOn w:val="2"/>
    <w:next w:val="1"/>
    <w:semiHidden/>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3">
    <w:name w:val="批注框文本 Char"/>
    <w:basedOn w:val="26"/>
    <w:link w:val="15"/>
    <w:semiHidden/>
    <w:qFormat/>
    <w:uiPriority w:val="99"/>
    <w:rPr>
      <w:sz w:val="18"/>
      <w:szCs w:val="18"/>
    </w:rPr>
  </w:style>
  <w:style w:type="character" w:customStyle="1" w:styleId="44">
    <w:name w:val="正文文本缩进 Char"/>
    <w:basedOn w:val="26"/>
    <w:link w:val="13"/>
    <w:semiHidden/>
    <w:qFormat/>
    <w:uiPriority w:val="99"/>
  </w:style>
  <w:style w:type="character" w:customStyle="1" w:styleId="45">
    <w:name w:val="正文首行缩进 2 Char"/>
    <w:basedOn w:val="44"/>
    <w:link w:val="23"/>
    <w:qFormat/>
    <w:uiPriority w:val="0"/>
    <w:rPr>
      <w:rFonts w:ascii="Times New Roman" w:hAnsi="Times New Roman" w:eastAsia="宋体" w:cs="Times New Roman"/>
      <w:sz w:val="24"/>
      <w:szCs w:val="24"/>
      <w:lang w:val="zh-CN"/>
    </w:rPr>
  </w:style>
  <w:style w:type="character" w:customStyle="1" w:styleId="46">
    <w:name w:val="列出段落 Char"/>
    <w:link w:val="31"/>
    <w:qFormat/>
    <w:uiPriority w:val="34"/>
  </w:style>
  <w:style w:type="paragraph" w:customStyle="1" w:styleId="4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8">
    <w:name w:val="*正文 Char"/>
    <w:link w:val="49"/>
    <w:qFormat/>
    <w:uiPriority w:val="0"/>
    <w:rPr>
      <w:rFonts w:ascii="time" w:hAnsi="time"/>
      <w:sz w:val="24"/>
      <w:szCs w:val="24"/>
      <w:lang w:bidi="en-US"/>
    </w:rPr>
  </w:style>
  <w:style w:type="paragraph" w:customStyle="1" w:styleId="49">
    <w:name w:val="*正文"/>
    <w:basedOn w:val="1"/>
    <w:link w:val="48"/>
    <w:qFormat/>
    <w:uiPriority w:val="0"/>
    <w:pPr>
      <w:widowControl/>
      <w:spacing w:line="360" w:lineRule="auto"/>
      <w:ind w:firstLine="200" w:firstLineChars="200"/>
      <w:contextualSpacing/>
    </w:pPr>
    <w:rPr>
      <w:rFonts w:ascii="time" w:hAnsi="time"/>
      <w:sz w:val="24"/>
      <w:szCs w:val="24"/>
      <w:lang w:bidi="en-US"/>
    </w:rPr>
  </w:style>
  <w:style w:type="character" w:customStyle="1" w:styleId="50">
    <w:name w:val="批注文字 Char"/>
    <w:basedOn w:val="26"/>
    <w:link w:val="11"/>
    <w:qFormat/>
    <w:uiPriority w:val="99"/>
  </w:style>
  <w:style w:type="character" w:customStyle="1" w:styleId="51">
    <w:name w:val="批注主题 Char"/>
    <w:basedOn w:val="50"/>
    <w:link w:val="22"/>
    <w:semiHidden/>
    <w:qFormat/>
    <w:uiPriority w:val="99"/>
    <w:rPr>
      <w:b/>
      <w:bCs/>
    </w:rPr>
  </w:style>
  <w:style w:type="character" w:customStyle="1" w:styleId="52">
    <w:name w:val="批注文字 字符1"/>
    <w:qFormat/>
    <w:uiPriority w:val="99"/>
    <w:rPr>
      <w:rFonts w:eastAsia="仿宋"/>
      <w:kern w:val="2"/>
      <w:sz w:val="28"/>
      <w:szCs w:val="24"/>
    </w:rPr>
  </w:style>
  <w:style w:type="character" w:customStyle="1" w:styleId="53">
    <w:name w:val="脚注文本 Char"/>
    <w:basedOn w:val="26"/>
    <w:link w:val="19"/>
    <w:qFormat/>
    <w:uiPriority w:val="99"/>
    <w:rPr>
      <w:rFonts w:ascii="Calibri" w:hAnsi="Calibri" w:eastAsia="宋体" w:cs="Times New Roman"/>
      <w:sz w:val="18"/>
      <w:szCs w:val="18"/>
    </w:rPr>
  </w:style>
  <w:style w:type="paragraph" w:customStyle="1" w:styleId="54">
    <w:name w:val="正文文字3"/>
    <w:basedOn w:val="12"/>
    <w:qFormat/>
    <w:uiPriority w:val="0"/>
    <w:pPr>
      <w:adjustRightInd w:val="0"/>
      <w:spacing w:after="0" w:line="360" w:lineRule="atLeast"/>
      <w:ind w:left="72" w:leftChars="30" w:right="72" w:rightChars="30"/>
      <w:textAlignment w:val="baseline"/>
    </w:pPr>
    <w:rPr>
      <w:rFonts w:ascii="Times New Roman" w:hAnsi="Times New Roman" w:eastAsia="宋体" w:cs="Times New Roman"/>
      <w:kern w:val="0"/>
      <w:szCs w:val="20"/>
    </w:rPr>
  </w:style>
  <w:style w:type="character" w:customStyle="1" w:styleId="55">
    <w:name w:val="正文文本 Char"/>
    <w:basedOn w:val="26"/>
    <w:link w:val="12"/>
    <w:semiHidden/>
    <w:qFormat/>
    <w:uiPriority w:val="99"/>
  </w:style>
  <w:style w:type="paragraph" w:customStyle="1" w:styleId="56">
    <w:name w:val="正文缩进1"/>
    <w:basedOn w:val="1"/>
    <w:qFormat/>
    <w:uiPriority w:val="0"/>
    <w:pPr>
      <w:ind w:firstLine="420"/>
    </w:pPr>
    <w:rPr>
      <w:rFonts w:ascii="Times New Roman" w:hAnsi="Times New Roman"/>
      <w:szCs w:val="20"/>
    </w:rPr>
  </w:style>
  <w:style w:type="paragraph" w:customStyle="1" w:styleId="57">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8">
    <w:name w:val="正文文本1"/>
    <w:basedOn w:val="1"/>
    <w:qFormat/>
    <w:uiPriority w:val="0"/>
    <w:pPr>
      <w:spacing w:line="378" w:lineRule="exact"/>
      <w:ind w:firstLine="400" w:firstLineChars="222"/>
    </w:pPr>
    <w:rPr>
      <w:rFonts w:ascii="宋体" w:hAnsi="宋体" w:eastAsia="宋体" w:cs="宋体"/>
      <w:sz w:val="18"/>
      <w:szCs w:val="18"/>
      <w:lang w:val="zh-CN" w:bidi="zh-CN"/>
    </w:rPr>
  </w:style>
  <w:style w:type="paragraph" w:customStyle="1" w:styleId="59">
    <w:name w:val="正文文本 (2)"/>
    <w:basedOn w:val="1"/>
    <w:qFormat/>
    <w:uiPriority w:val="0"/>
    <w:pPr>
      <w:spacing w:line="381" w:lineRule="exact"/>
      <w:ind w:firstLine="380"/>
    </w:pPr>
    <w:rPr>
      <w:rFonts w:ascii="Times New Roman" w:hAnsi="Times New Roman" w:cs="Times New Roman"/>
      <w:bCs/>
      <w:sz w:val="19"/>
      <w:szCs w:val="19"/>
      <w:lang w:val="zh-CN" w:bidi="zh-CN"/>
    </w:rPr>
  </w:style>
  <w:style w:type="paragraph" w:customStyle="1" w:styleId="60">
    <w:name w:val="修订3"/>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1432</Words>
  <Characters>8168</Characters>
  <Lines>68</Lines>
  <Paragraphs>19</Paragraphs>
  <TotalTime>13</TotalTime>
  <ScaleCrop>false</ScaleCrop>
  <LinksUpToDate>false</LinksUpToDate>
  <CharactersWithSpaces>9581</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2026-01-19T09:07:00Z</dcterms:created>
  <dc:creator>ntko</dc:creator>
  <cp:lastModifiedBy>user</cp:lastModifiedBy>
  <cp:lastPrinted>2023-11-29T17:34:00Z</cp:lastPrinted>
  <dcterms:modified xsi:type="dcterms:W3CDTF">2026-01-20T18:02:35Z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0306673BB6BA31F8BB526F69D806DF47_43</vt:lpwstr>
  </property>
  <property fmtid="{D5CDD505-2E9C-101B-9397-08002B2CF9AE}" pid="4" name="KSOTemplateDocerSaveRecord">
    <vt:lpwstr>eyJoZGlkIjoiNzkzMzkxYTJiYzNiYTk0NGQ1MTY1NDc4ZDUxMDE1MzkiLCJ1c2VySWQiOiI2MTA5MzQ3OTcifQ==</vt:lpwstr>
  </property>
</Properties>
</file>