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黑体" w:hAnsi="黑体" w:eastAsia="黑体"/>
          <w:color w:val="auto"/>
          <w:sz w:val="48"/>
          <w:szCs w:val="48"/>
          <w:highlight w:val="none"/>
        </w:rPr>
      </w:pPr>
    </w:p>
    <w:p>
      <w:pPr>
        <w:ind w:firstLine="0" w:firstLineChars="0"/>
        <w:jc w:val="center"/>
        <w:rPr>
          <w:rFonts w:ascii="黑体" w:hAnsi="黑体" w:eastAsia="黑体"/>
          <w:color w:val="auto"/>
          <w:sz w:val="48"/>
          <w:szCs w:val="48"/>
          <w:highlight w:val="none"/>
        </w:rPr>
      </w:pPr>
    </w:p>
    <w:p>
      <w:pPr>
        <w:ind w:firstLine="0" w:firstLineChars="0"/>
        <w:jc w:val="center"/>
        <w:rPr>
          <w:rFonts w:ascii="黑体" w:hAnsi="黑体" w:eastAsia="黑体"/>
          <w:color w:val="auto"/>
          <w:sz w:val="52"/>
          <w:szCs w:val="52"/>
          <w:highlight w:val="none"/>
        </w:rPr>
      </w:pPr>
      <w:r>
        <w:rPr>
          <w:rFonts w:hint="eastAsia" w:ascii="黑体" w:hAnsi="黑体" w:eastAsia="黑体"/>
          <w:color w:val="auto"/>
          <w:sz w:val="52"/>
          <w:szCs w:val="52"/>
          <w:highlight w:val="none"/>
        </w:rPr>
        <w:t>上海港码头综合管理系统</w:t>
      </w:r>
    </w:p>
    <w:p>
      <w:pPr>
        <w:ind w:firstLine="0" w:firstLineChars="0"/>
        <w:jc w:val="center"/>
        <w:rPr>
          <w:rFonts w:ascii="黑体" w:hAnsi="黑体" w:eastAsia="黑体"/>
          <w:color w:val="auto"/>
          <w:sz w:val="52"/>
          <w:szCs w:val="52"/>
          <w:highlight w:val="none"/>
        </w:rPr>
      </w:pPr>
      <w:r>
        <w:rPr>
          <w:rFonts w:hint="eastAsia" w:ascii="黑体" w:hAnsi="黑体" w:eastAsia="黑体"/>
          <w:color w:val="auto"/>
          <w:sz w:val="52"/>
          <w:szCs w:val="52"/>
          <w:highlight w:val="none"/>
        </w:rPr>
        <w:t>（2026升级改造）</w:t>
      </w:r>
    </w:p>
    <w:p>
      <w:pPr>
        <w:ind w:firstLine="0" w:firstLineChars="0"/>
        <w:jc w:val="center"/>
        <w:rPr>
          <w:rFonts w:ascii="黑体" w:hAnsi="黑体" w:eastAsia="黑体"/>
          <w:color w:val="auto"/>
          <w:sz w:val="52"/>
          <w:szCs w:val="52"/>
          <w:highlight w:val="none"/>
        </w:rPr>
      </w:pPr>
      <w:r>
        <w:rPr>
          <w:rFonts w:hint="eastAsia" w:ascii="黑体" w:hAnsi="黑体" w:eastAsia="黑体"/>
          <w:color w:val="auto"/>
          <w:sz w:val="52"/>
          <w:szCs w:val="52"/>
          <w:highlight w:val="none"/>
        </w:rPr>
        <w:t>采购需求</w:t>
      </w:r>
    </w:p>
    <w:p>
      <w:pPr>
        <w:ind w:firstLine="0" w:firstLineChars="0"/>
        <w:jc w:val="center"/>
        <w:rPr>
          <w:rFonts w:ascii="黑体" w:hAnsi="黑体" w:eastAsia="黑体"/>
          <w:color w:val="auto"/>
          <w:sz w:val="72"/>
          <w:szCs w:val="72"/>
          <w:highlight w:val="none"/>
        </w:rPr>
      </w:pPr>
    </w:p>
    <w:p>
      <w:pPr>
        <w:ind w:firstLine="0" w:firstLineChars="0"/>
        <w:jc w:val="center"/>
        <w:rPr>
          <w:rFonts w:ascii="黑体" w:hAnsi="黑体" w:eastAsia="黑体"/>
          <w:color w:val="auto"/>
          <w:sz w:val="48"/>
          <w:szCs w:val="48"/>
          <w:highlight w:val="none"/>
        </w:rPr>
      </w:pPr>
    </w:p>
    <w:p>
      <w:pPr>
        <w:ind w:firstLine="0" w:firstLineChars="0"/>
        <w:jc w:val="center"/>
        <w:rPr>
          <w:rFonts w:ascii="黑体" w:hAnsi="黑体" w:eastAsia="黑体"/>
          <w:color w:val="auto"/>
          <w:sz w:val="52"/>
          <w:szCs w:val="52"/>
          <w:highlight w:val="none"/>
        </w:rPr>
      </w:pPr>
    </w:p>
    <w:p>
      <w:pPr>
        <w:ind w:firstLine="1040"/>
        <w:rPr>
          <w:rFonts w:ascii="黑体" w:hAnsi="黑体" w:eastAsia="黑体"/>
          <w:color w:val="auto"/>
          <w:sz w:val="52"/>
          <w:szCs w:val="52"/>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widowControl/>
        <w:spacing w:line="240" w:lineRule="auto"/>
        <w:ind w:firstLine="0" w:firstLineChars="0"/>
        <w:jc w:val="left"/>
        <w:rPr>
          <w:rFonts w:ascii="黑体" w:hAnsi="黑体" w:eastAsia="黑体"/>
          <w:color w:val="auto"/>
          <w:sz w:val="52"/>
          <w:szCs w:val="52"/>
          <w:highlight w:val="none"/>
        </w:rPr>
      </w:pPr>
      <w:r>
        <w:rPr>
          <w:rFonts w:ascii="黑体" w:hAnsi="黑体" w:eastAsia="黑体"/>
          <w:color w:val="auto"/>
          <w:sz w:val="52"/>
          <w:szCs w:val="52"/>
          <w:highlight w:val="none"/>
        </w:rPr>
        <w:br w:type="page"/>
      </w:r>
    </w:p>
    <w:sdt>
      <w:sdtPr>
        <w:rPr>
          <w:rFonts w:ascii="宋体" w:hAnsi="宋体" w:eastAsia="宋体" w:cs="Times New Roman"/>
          <w:color w:val="auto"/>
          <w:kern w:val="2"/>
          <w:sz w:val="24"/>
          <w:szCs w:val="24"/>
          <w:highlight w:val="none"/>
          <w:lang w:val="zh-CN"/>
        </w:rPr>
        <w:id w:val="-1"/>
        <w:docPartObj>
          <w:docPartGallery w:val="Table of Contents"/>
          <w:docPartUnique/>
        </w:docPartObj>
      </w:sdtPr>
      <w:sdtEndPr>
        <w:rPr>
          <w:rFonts w:ascii="宋体" w:hAnsi="宋体" w:eastAsia="宋体" w:cs="Times New Roman"/>
          <w:b/>
          <w:bCs/>
          <w:color w:val="auto"/>
          <w:kern w:val="2"/>
          <w:sz w:val="24"/>
          <w:szCs w:val="24"/>
          <w:highlight w:val="none"/>
          <w:lang w:val="zh-CN"/>
        </w:rPr>
      </w:sdtEndPr>
      <w:sdtContent>
        <w:p>
          <w:pPr>
            <w:pStyle w:val="138"/>
            <w:ind w:firstLine="480"/>
            <w:jc w:val="center"/>
            <w:rPr>
              <w:color w:val="auto"/>
              <w:highlight w:val="none"/>
            </w:rPr>
          </w:pPr>
          <w:r>
            <w:rPr>
              <w:color w:val="auto"/>
              <w:highlight w:val="none"/>
              <w:lang w:val="zh-CN"/>
            </w:rPr>
            <w:t>目</w:t>
          </w:r>
          <w:r>
            <w:rPr>
              <w:rFonts w:hint="eastAsia"/>
              <w:color w:val="auto"/>
              <w:highlight w:val="none"/>
              <w:lang w:val="zh-CN"/>
            </w:rPr>
            <w:t xml:space="preserve">  </w:t>
          </w:r>
          <w:r>
            <w:rPr>
              <w:color w:val="auto"/>
              <w:highlight w:val="none"/>
              <w:lang w:val="zh-CN"/>
            </w:rPr>
            <w:t>录</w:t>
          </w:r>
        </w:p>
        <w:p>
          <w:pPr>
            <w:pStyle w:val="27"/>
            <w:tabs>
              <w:tab w:val="right" w:leader="dot" w:pos="8312"/>
            </w:tabs>
            <w:rPr>
              <w:color w:val="auto"/>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HYPERLINK \l "_Toc22017" </w:instrText>
          </w:r>
          <w:r>
            <w:rPr>
              <w:color w:val="auto"/>
              <w:highlight w:val="none"/>
            </w:rPr>
            <w:fldChar w:fldCharType="separate"/>
          </w:r>
          <w:r>
            <w:rPr>
              <w:rFonts w:hint="eastAsia"/>
              <w:color w:val="auto"/>
              <w:szCs w:val="32"/>
              <w:highlight w:val="none"/>
            </w:rPr>
            <w:t xml:space="preserve">一、 </w:t>
          </w:r>
          <w:r>
            <w:rPr>
              <w:rFonts w:hint="eastAsia"/>
              <w:color w:val="auto"/>
              <w:highlight w:val="none"/>
            </w:rPr>
            <w:t>项目概况</w:t>
          </w:r>
          <w:r>
            <w:rPr>
              <w:color w:val="auto"/>
              <w:highlight w:val="none"/>
            </w:rPr>
            <w:tab/>
          </w:r>
          <w:r>
            <w:rPr>
              <w:color w:val="auto"/>
              <w:highlight w:val="none"/>
            </w:rPr>
            <w:fldChar w:fldCharType="begin"/>
          </w:r>
          <w:r>
            <w:rPr>
              <w:color w:val="auto"/>
              <w:highlight w:val="none"/>
            </w:rPr>
            <w:instrText xml:space="preserve"> PAGEREF _Toc22017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27"/>
            <w:tabs>
              <w:tab w:val="right" w:leader="dot" w:pos="8312"/>
            </w:tabs>
            <w:rPr>
              <w:color w:val="auto"/>
              <w:highlight w:val="none"/>
            </w:rPr>
          </w:pPr>
          <w:r>
            <w:rPr>
              <w:color w:val="auto"/>
              <w:highlight w:val="none"/>
            </w:rPr>
            <w:fldChar w:fldCharType="begin"/>
          </w:r>
          <w:r>
            <w:rPr>
              <w:color w:val="auto"/>
              <w:highlight w:val="none"/>
            </w:rPr>
            <w:instrText xml:space="preserve"> HYPERLINK \l "_Toc12818" </w:instrText>
          </w:r>
          <w:r>
            <w:rPr>
              <w:color w:val="auto"/>
              <w:highlight w:val="none"/>
            </w:rPr>
            <w:fldChar w:fldCharType="separate"/>
          </w:r>
          <w:r>
            <w:rPr>
              <w:rFonts w:hint="eastAsia"/>
              <w:color w:val="auto"/>
              <w:szCs w:val="32"/>
              <w:highlight w:val="none"/>
            </w:rPr>
            <w:t xml:space="preserve">二、 </w:t>
          </w:r>
          <w:r>
            <w:rPr>
              <w:rFonts w:hint="eastAsia"/>
              <w:color w:val="auto"/>
              <w:highlight w:val="none"/>
            </w:rPr>
            <w:t>建设目标</w:t>
          </w:r>
          <w:r>
            <w:rPr>
              <w:color w:val="auto"/>
              <w:highlight w:val="none"/>
            </w:rPr>
            <w:tab/>
          </w:r>
          <w:r>
            <w:rPr>
              <w:color w:val="auto"/>
              <w:highlight w:val="none"/>
            </w:rPr>
            <w:fldChar w:fldCharType="begin"/>
          </w:r>
          <w:r>
            <w:rPr>
              <w:color w:val="auto"/>
              <w:highlight w:val="none"/>
            </w:rPr>
            <w:instrText xml:space="preserve"> PAGEREF _Toc12818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27"/>
            <w:tabs>
              <w:tab w:val="right" w:leader="dot" w:pos="8312"/>
            </w:tabs>
            <w:rPr>
              <w:color w:val="auto"/>
              <w:highlight w:val="none"/>
            </w:rPr>
          </w:pPr>
          <w:r>
            <w:rPr>
              <w:color w:val="auto"/>
              <w:highlight w:val="none"/>
            </w:rPr>
            <w:fldChar w:fldCharType="begin"/>
          </w:r>
          <w:r>
            <w:rPr>
              <w:color w:val="auto"/>
              <w:highlight w:val="none"/>
            </w:rPr>
            <w:instrText xml:space="preserve"> HYPERLINK \l "_Toc22128" </w:instrText>
          </w:r>
          <w:r>
            <w:rPr>
              <w:color w:val="auto"/>
              <w:highlight w:val="none"/>
            </w:rPr>
            <w:fldChar w:fldCharType="separate"/>
          </w:r>
          <w:r>
            <w:rPr>
              <w:rFonts w:hint="eastAsia"/>
              <w:color w:val="auto"/>
              <w:szCs w:val="32"/>
              <w:highlight w:val="none"/>
            </w:rPr>
            <w:t xml:space="preserve">三、 </w:t>
          </w:r>
          <w:r>
            <w:rPr>
              <w:rFonts w:hint="eastAsia"/>
              <w:color w:val="auto"/>
              <w:highlight w:val="none"/>
            </w:rPr>
            <w:t>项目建设内容</w:t>
          </w:r>
          <w:r>
            <w:rPr>
              <w:color w:val="auto"/>
              <w:highlight w:val="none"/>
            </w:rPr>
            <w:tab/>
          </w:r>
          <w:r>
            <w:rPr>
              <w:color w:val="auto"/>
              <w:highlight w:val="none"/>
            </w:rPr>
            <w:fldChar w:fldCharType="begin"/>
          </w:r>
          <w:r>
            <w:rPr>
              <w:color w:val="auto"/>
              <w:highlight w:val="none"/>
            </w:rPr>
            <w:instrText xml:space="preserve"> PAGEREF _Toc22128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27"/>
            <w:tabs>
              <w:tab w:val="right" w:leader="dot" w:pos="8312"/>
            </w:tabs>
            <w:rPr>
              <w:color w:val="auto"/>
              <w:highlight w:val="none"/>
            </w:rPr>
          </w:pPr>
          <w:r>
            <w:rPr>
              <w:color w:val="auto"/>
              <w:highlight w:val="none"/>
            </w:rPr>
            <w:fldChar w:fldCharType="begin"/>
          </w:r>
          <w:r>
            <w:rPr>
              <w:color w:val="auto"/>
              <w:highlight w:val="none"/>
            </w:rPr>
            <w:instrText xml:space="preserve"> HYPERLINK \l "_Toc597" </w:instrText>
          </w:r>
          <w:r>
            <w:rPr>
              <w:color w:val="auto"/>
              <w:highlight w:val="none"/>
            </w:rPr>
            <w:fldChar w:fldCharType="separate"/>
          </w:r>
          <w:r>
            <w:rPr>
              <w:rFonts w:hint="eastAsia"/>
              <w:color w:val="auto"/>
              <w:szCs w:val="32"/>
              <w:highlight w:val="none"/>
            </w:rPr>
            <w:t xml:space="preserve">四、 </w:t>
          </w:r>
          <w:r>
            <w:rPr>
              <w:rFonts w:hint="eastAsia"/>
              <w:color w:val="auto"/>
              <w:highlight w:val="none"/>
            </w:rPr>
            <w:t>其他工作要求</w:t>
          </w:r>
          <w:r>
            <w:rPr>
              <w:color w:val="auto"/>
              <w:highlight w:val="none"/>
            </w:rPr>
            <w:tab/>
          </w:r>
          <w:r>
            <w:rPr>
              <w:color w:val="auto"/>
              <w:highlight w:val="none"/>
            </w:rPr>
            <w:fldChar w:fldCharType="begin"/>
          </w:r>
          <w:r>
            <w:rPr>
              <w:color w:val="auto"/>
              <w:highlight w:val="none"/>
            </w:rPr>
            <w:instrText xml:space="preserve"> PAGEREF _Toc597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31"/>
            <w:tabs>
              <w:tab w:val="right" w:leader="dot" w:pos="8312"/>
              <w:tab w:val="clear" w:pos="8302"/>
            </w:tabs>
            <w:ind w:left="480"/>
            <w:rPr>
              <w:color w:val="auto"/>
              <w:highlight w:val="none"/>
            </w:rPr>
          </w:pPr>
          <w:r>
            <w:rPr>
              <w:color w:val="auto"/>
              <w:highlight w:val="none"/>
            </w:rPr>
            <w:fldChar w:fldCharType="begin"/>
          </w:r>
          <w:r>
            <w:rPr>
              <w:color w:val="auto"/>
              <w:highlight w:val="none"/>
            </w:rPr>
            <w:instrText xml:space="preserve"> HYPERLINK \l "_Toc11165" </w:instrText>
          </w:r>
          <w:r>
            <w:rPr>
              <w:color w:val="auto"/>
              <w:highlight w:val="none"/>
            </w:rPr>
            <w:fldChar w:fldCharType="separate"/>
          </w:r>
          <w:r>
            <w:rPr>
              <w:color w:val="auto"/>
              <w:highlight w:val="none"/>
            </w:rPr>
            <w:t xml:space="preserve">4.1、 </w:t>
          </w:r>
          <w:r>
            <w:rPr>
              <w:rFonts w:hint="eastAsia"/>
              <w:color w:val="auto"/>
              <w:highlight w:val="none"/>
            </w:rPr>
            <w:t>售后服务要求</w:t>
          </w:r>
          <w:r>
            <w:rPr>
              <w:color w:val="auto"/>
              <w:highlight w:val="none"/>
            </w:rPr>
            <w:tab/>
          </w:r>
          <w:r>
            <w:rPr>
              <w:color w:val="auto"/>
              <w:highlight w:val="none"/>
            </w:rPr>
            <w:fldChar w:fldCharType="begin"/>
          </w:r>
          <w:r>
            <w:rPr>
              <w:color w:val="auto"/>
              <w:highlight w:val="none"/>
            </w:rPr>
            <w:instrText xml:space="preserve"> PAGEREF _Toc11165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31"/>
            <w:tabs>
              <w:tab w:val="right" w:leader="dot" w:pos="8312"/>
              <w:tab w:val="clear" w:pos="8302"/>
            </w:tabs>
            <w:ind w:left="480"/>
            <w:rPr>
              <w:color w:val="auto"/>
              <w:highlight w:val="none"/>
            </w:rPr>
          </w:pPr>
          <w:r>
            <w:rPr>
              <w:color w:val="auto"/>
              <w:highlight w:val="none"/>
            </w:rPr>
            <w:fldChar w:fldCharType="begin"/>
          </w:r>
          <w:r>
            <w:rPr>
              <w:color w:val="auto"/>
              <w:highlight w:val="none"/>
            </w:rPr>
            <w:instrText xml:space="preserve"> HYPERLINK \l "_Toc268" </w:instrText>
          </w:r>
          <w:r>
            <w:rPr>
              <w:color w:val="auto"/>
              <w:highlight w:val="none"/>
            </w:rPr>
            <w:fldChar w:fldCharType="separate"/>
          </w:r>
          <w:r>
            <w:rPr>
              <w:color w:val="auto"/>
              <w:highlight w:val="none"/>
            </w:rPr>
            <w:t xml:space="preserve">4.2、 </w:t>
          </w:r>
          <w:r>
            <w:rPr>
              <w:rFonts w:hint="eastAsia"/>
              <w:color w:val="auto"/>
              <w:highlight w:val="none"/>
            </w:rPr>
            <w:t>应急响应要求</w:t>
          </w:r>
          <w:r>
            <w:rPr>
              <w:color w:val="auto"/>
              <w:highlight w:val="none"/>
            </w:rPr>
            <w:tab/>
          </w:r>
          <w:r>
            <w:rPr>
              <w:color w:val="auto"/>
              <w:highlight w:val="none"/>
            </w:rPr>
            <w:fldChar w:fldCharType="begin"/>
          </w:r>
          <w:r>
            <w:rPr>
              <w:color w:val="auto"/>
              <w:highlight w:val="none"/>
            </w:rPr>
            <w:instrText xml:space="preserve"> PAGEREF _Toc268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31"/>
            <w:tabs>
              <w:tab w:val="right" w:leader="dot" w:pos="8312"/>
              <w:tab w:val="clear" w:pos="8302"/>
            </w:tabs>
            <w:ind w:left="480"/>
            <w:rPr>
              <w:color w:val="auto"/>
              <w:highlight w:val="none"/>
            </w:rPr>
          </w:pPr>
          <w:r>
            <w:rPr>
              <w:color w:val="auto"/>
              <w:highlight w:val="none"/>
            </w:rPr>
            <w:fldChar w:fldCharType="begin"/>
          </w:r>
          <w:r>
            <w:rPr>
              <w:color w:val="auto"/>
              <w:highlight w:val="none"/>
            </w:rPr>
            <w:instrText xml:space="preserve"> HYPERLINK \l "_Toc17498" </w:instrText>
          </w:r>
          <w:r>
            <w:rPr>
              <w:color w:val="auto"/>
              <w:highlight w:val="none"/>
            </w:rPr>
            <w:fldChar w:fldCharType="separate"/>
          </w:r>
          <w:r>
            <w:rPr>
              <w:color w:val="auto"/>
              <w:highlight w:val="none"/>
            </w:rPr>
            <w:t xml:space="preserve">4.3、 </w:t>
          </w:r>
          <w:r>
            <w:rPr>
              <w:rFonts w:hint="eastAsia"/>
              <w:color w:val="auto"/>
              <w:highlight w:val="none"/>
            </w:rPr>
            <w:t>培训要求</w:t>
          </w:r>
          <w:r>
            <w:rPr>
              <w:color w:val="auto"/>
              <w:highlight w:val="none"/>
            </w:rPr>
            <w:tab/>
          </w:r>
          <w:r>
            <w:rPr>
              <w:color w:val="auto"/>
              <w:highlight w:val="none"/>
            </w:rPr>
            <w:fldChar w:fldCharType="begin"/>
          </w:r>
          <w:r>
            <w:rPr>
              <w:color w:val="auto"/>
              <w:highlight w:val="none"/>
            </w:rPr>
            <w:instrText xml:space="preserve"> PAGEREF _Toc17498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31"/>
            <w:tabs>
              <w:tab w:val="right" w:leader="dot" w:pos="8312"/>
              <w:tab w:val="clear" w:pos="8302"/>
            </w:tabs>
            <w:ind w:left="480"/>
            <w:rPr>
              <w:color w:val="auto"/>
              <w:highlight w:val="none"/>
            </w:rPr>
          </w:pPr>
          <w:r>
            <w:rPr>
              <w:color w:val="auto"/>
              <w:highlight w:val="none"/>
            </w:rPr>
            <w:fldChar w:fldCharType="begin"/>
          </w:r>
          <w:r>
            <w:rPr>
              <w:color w:val="auto"/>
              <w:highlight w:val="none"/>
            </w:rPr>
            <w:instrText xml:space="preserve"> HYPERLINK \l "_Toc18768" </w:instrText>
          </w:r>
          <w:r>
            <w:rPr>
              <w:color w:val="auto"/>
              <w:highlight w:val="none"/>
            </w:rPr>
            <w:fldChar w:fldCharType="separate"/>
          </w:r>
          <w:r>
            <w:rPr>
              <w:color w:val="auto"/>
              <w:highlight w:val="none"/>
            </w:rPr>
            <w:t xml:space="preserve">4.4、 </w:t>
          </w:r>
          <w:r>
            <w:rPr>
              <w:rFonts w:hint="eastAsia"/>
              <w:color w:val="auto"/>
              <w:highlight w:val="none"/>
            </w:rPr>
            <w:t>验收要求</w:t>
          </w:r>
          <w:r>
            <w:rPr>
              <w:color w:val="auto"/>
              <w:highlight w:val="none"/>
            </w:rPr>
            <w:tab/>
          </w:r>
          <w:r>
            <w:rPr>
              <w:color w:val="auto"/>
              <w:highlight w:val="none"/>
            </w:rPr>
            <w:fldChar w:fldCharType="begin"/>
          </w:r>
          <w:r>
            <w:rPr>
              <w:color w:val="auto"/>
              <w:highlight w:val="none"/>
            </w:rPr>
            <w:instrText xml:space="preserve"> PAGEREF _Toc18768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31"/>
            <w:tabs>
              <w:tab w:val="right" w:leader="dot" w:pos="8312"/>
              <w:tab w:val="clear" w:pos="8302"/>
            </w:tabs>
            <w:ind w:left="480"/>
            <w:rPr>
              <w:color w:val="auto"/>
              <w:highlight w:val="none"/>
            </w:rPr>
          </w:pPr>
          <w:r>
            <w:rPr>
              <w:color w:val="auto"/>
              <w:highlight w:val="none"/>
            </w:rPr>
            <w:fldChar w:fldCharType="begin"/>
          </w:r>
          <w:r>
            <w:rPr>
              <w:color w:val="auto"/>
              <w:highlight w:val="none"/>
            </w:rPr>
            <w:instrText xml:space="preserve"> HYPERLINK \l "_Toc16573" </w:instrText>
          </w:r>
          <w:r>
            <w:rPr>
              <w:color w:val="auto"/>
              <w:highlight w:val="none"/>
            </w:rPr>
            <w:fldChar w:fldCharType="separate"/>
          </w:r>
          <w:r>
            <w:rPr>
              <w:color w:val="auto"/>
              <w:highlight w:val="none"/>
            </w:rPr>
            <w:t xml:space="preserve">4.5、 </w:t>
          </w:r>
          <w:r>
            <w:rPr>
              <w:rFonts w:hint="eastAsia"/>
              <w:color w:val="auto"/>
              <w:highlight w:val="none"/>
            </w:rPr>
            <w:t>进度要求</w:t>
          </w:r>
          <w:r>
            <w:rPr>
              <w:color w:val="auto"/>
              <w:highlight w:val="none"/>
            </w:rPr>
            <w:tab/>
          </w:r>
          <w:r>
            <w:rPr>
              <w:color w:val="auto"/>
              <w:highlight w:val="none"/>
            </w:rPr>
            <w:fldChar w:fldCharType="begin"/>
          </w:r>
          <w:r>
            <w:rPr>
              <w:color w:val="auto"/>
              <w:highlight w:val="none"/>
            </w:rPr>
            <w:instrText xml:space="preserve"> PAGEREF _Toc16573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31"/>
            <w:tabs>
              <w:tab w:val="right" w:leader="dot" w:pos="8312"/>
              <w:tab w:val="clear" w:pos="8302"/>
            </w:tabs>
            <w:ind w:left="480"/>
            <w:rPr>
              <w:color w:val="auto"/>
              <w:highlight w:val="none"/>
            </w:rPr>
          </w:pPr>
          <w:r>
            <w:rPr>
              <w:color w:val="auto"/>
              <w:highlight w:val="none"/>
            </w:rPr>
            <w:fldChar w:fldCharType="begin"/>
          </w:r>
          <w:r>
            <w:rPr>
              <w:color w:val="auto"/>
              <w:highlight w:val="none"/>
            </w:rPr>
            <w:instrText xml:space="preserve"> HYPERLINK \l "_Toc11958" </w:instrText>
          </w:r>
          <w:r>
            <w:rPr>
              <w:color w:val="auto"/>
              <w:highlight w:val="none"/>
            </w:rPr>
            <w:fldChar w:fldCharType="separate"/>
          </w:r>
          <w:r>
            <w:rPr>
              <w:rFonts w:hint="eastAsia"/>
              <w:color w:val="auto"/>
              <w:highlight w:val="none"/>
            </w:rPr>
            <w:t>4.6、 企业综合能力要求</w:t>
          </w:r>
          <w:r>
            <w:rPr>
              <w:color w:val="auto"/>
              <w:highlight w:val="none"/>
            </w:rPr>
            <w:tab/>
          </w:r>
          <w:r>
            <w:rPr>
              <w:color w:val="auto"/>
              <w:highlight w:val="none"/>
            </w:rPr>
            <w:fldChar w:fldCharType="begin"/>
          </w:r>
          <w:r>
            <w:rPr>
              <w:color w:val="auto"/>
              <w:highlight w:val="none"/>
            </w:rPr>
            <w:instrText xml:space="preserve"> PAGEREF _Toc11958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31"/>
            <w:tabs>
              <w:tab w:val="right" w:leader="dot" w:pos="8312"/>
              <w:tab w:val="clear" w:pos="8302"/>
            </w:tabs>
            <w:ind w:left="480"/>
            <w:rPr>
              <w:color w:val="auto"/>
              <w:highlight w:val="none"/>
            </w:rPr>
          </w:pPr>
          <w:r>
            <w:rPr>
              <w:color w:val="auto"/>
              <w:highlight w:val="none"/>
            </w:rPr>
            <w:fldChar w:fldCharType="begin"/>
          </w:r>
          <w:r>
            <w:rPr>
              <w:color w:val="auto"/>
              <w:highlight w:val="none"/>
            </w:rPr>
            <w:instrText xml:space="preserve"> HYPERLINK \l "_Toc29308" </w:instrText>
          </w:r>
          <w:r>
            <w:rPr>
              <w:color w:val="auto"/>
              <w:highlight w:val="none"/>
            </w:rPr>
            <w:fldChar w:fldCharType="separate"/>
          </w:r>
          <w:r>
            <w:rPr>
              <w:color w:val="auto"/>
              <w:highlight w:val="none"/>
            </w:rPr>
            <w:t xml:space="preserve">4.7、 </w:t>
          </w:r>
          <w:r>
            <w:rPr>
              <w:rFonts w:hint="eastAsia"/>
              <w:color w:val="auto"/>
              <w:highlight w:val="none"/>
            </w:rPr>
            <w:t>项目团队及驻场人员要求</w:t>
          </w:r>
          <w:r>
            <w:rPr>
              <w:color w:val="auto"/>
              <w:highlight w:val="none"/>
            </w:rPr>
            <w:tab/>
          </w:r>
          <w:r>
            <w:rPr>
              <w:color w:val="auto"/>
              <w:highlight w:val="none"/>
            </w:rPr>
            <w:fldChar w:fldCharType="begin"/>
          </w:r>
          <w:r>
            <w:rPr>
              <w:color w:val="auto"/>
              <w:highlight w:val="none"/>
            </w:rPr>
            <w:instrText xml:space="preserve"> PAGEREF _Toc29308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31"/>
            <w:tabs>
              <w:tab w:val="right" w:leader="dot" w:pos="8312"/>
              <w:tab w:val="clear" w:pos="8302"/>
            </w:tabs>
            <w:ind w:left="480"/>
            <w:rPr>
              <w:color w:val="auto"/>
              <w:highlight w:val="none"/>
            </w:rPr>
          </w:pPr>
          <w:r>
            <w:rPr>
              <w:color w:val="auto"/>
              <w:highlight w:val="none"/>
            </w:rPr>
            <w:fldChar w:fldCharType="begin"/>
          </w:r>
          <w:r>
            <w:rPr>
              <w:color w:val="auto"/>
              <w:highlight w:val="none"/>
            </w:rPr>
            <w:instrText xml:space="preserve"> HYPERLINK \l "_Toc7882" </w:instrText>
          </w:r>
          <w:r>
            <w:rPr>
              <w:color w:val="auto"/>
              <w:highlight w:val="none"/>
            </w:rPr>
            <w:fldChar w:fldCharType="separate"/>
          </w:r>
          <w:r>
            <w:rPr>
              <w:color w:val="auto"/>
              <w:highlight w:val="none"/>
            </w:rPr>
            <w:t>4.8、 等级保护要求</w:t>
          </w:r>
          <w:r>
            <w:rPr>
              <w:color w:val="auto"/>
              <w:highlight w:val="none"/>
            </w:rPr>
            <w:tab/>
          </w:r>
          <w:r>
            <w:rPr>
              <w:color w:val="auto"/>
              <w:highlight w:val="none"/>
            </w:rPr>
            <w:fldChar w:fldCharType="begin"/>
          </w:r>
          <w:r>
            <w:rPr>
              <w:color w:val="auto"/>
              <w:highlight w:val="none"/>
            </w:rPr>
            <w:instrText xml:space="preserve"> PAGEREF _Toc7882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31"/>
            <w:tabs>
              <w:tab w:val="right" w:leader="dot" w:pos="8312"/>
              <w:tab w:val="clear" w:pos="8302"/>
            </w:tabs>
            <w:ind w:left="480"/>
            <w:rPr>
              <w:color w:val="auto"/>
              <w:highlight w:val="none"/>
            </w:rPr>
          </w:pPr>
          <w:r>
            <w:rPr>
              <w:color w:val="auto"/>
              <w:highlight w:val="none"/>
            </w:rPr>
            <w:fldChar w:fldCharType="begin"/>
          </w:r>
          <w:r>
            <w:rPr>
              <w:color w:val="auto"/>
              <w:highlight w:val="none"/>
            </w:rPr>
            <w:instrText xml:space="preserve"> HYPERLINK \l "_Toc4339" </w:instrText>
          </w:r>
          <w:r>
            <w:rPr>
              <w:color w:val="auto"/>
              <w:highlight w:val="none"/>
            </w:rPr>
            <w:fldChar w:fldCharType="separate"/>
          </w:r>
          <w:r>
            <w:rPr>
              <w:color w:val="auto"/>
              <w:highlight w:val="none"/>
            </w:rPr>
            <w:t xml:space="preserve">4.9、 </w:t>
          </w:r>
          <w:r>
            <w:rPr>
              <w:rFonts w:hint="eastAsia"/>
              <w:color w:val="auto"/>
              <w:highlight w:val="none"/>
            </w:rPr>
            <w:t>商业密码应用需求</w:t>
          </w:r>
          <w:r>
            <w:rPr>
              <w:color w:val="auto"/>
              <w:highlight w:val="none"/>
            </w:rPr>
            <w:tab/>
          </w:r>
          <w:r>
            <w:rPr>
              <w:color w:val="auto"/>
              <w:highlight w:val="none"/>
            </w:rPr>
            <w:fldChar w:fldCharType="begin"/>
          </w:r>
          <w:r>
            <w:rPr>
              <w:color w:val="auto"/>
              <w:highlight w:val="none"/>
            </w:rPr>
            <w:instrText xml:space="preserve"> PAGEREF _Toc4339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31"/>
            <w:tabs>
              <w:tab w:val="right" w:leader="dot" w:pos="8312"/>
              <w:tab w:val="clear" w:pos="8302"/>
            </w:tabs>
            <w:ind w:left="480"/>
            <w:rPr>
              <w:color w:val="auto"/>
              <w:highlight w:val="none"/>
            </w:rPr>
          </w:pPr>
          <w:r>
            <w:rPr>
              <w:color w:val="auto"/>
              <w:highlight w:val="none"/>
            </w:rPr>
            <w:fldChar w:fldCharType="begin"/>
          </w:r>
          <w:r>
            <w:rPr>
              <w:color w:val="auto"/>
              <w:highlight w:val="none"/>
            </w:rPr>
            <w:instrText xml:space="preserve"> HYPERLINK \l "_Toc31596" </w:instrText>
          </w:r>
          <w:r>
            <w:rPr>
              <w:color w:val="auto"/>
              <w:highlight w:val="none"/>
            </w:rPr>
            <w:fldChar w:fldCharType="separate"/>
          </w:r>
          <w:r>
            <w:rPr>
              <w:color w:val="auto"/>
              <w:highlight w:val="none"/>
            </w:rPr>
            <w:t xml:space="preserve">4.10、 </w:t>
          </w:r>
          <w:r>
            <w:rPr>
              <w:rFonts w:hint="eastAsia"/>
              <w:color w:val="auto"/>
              <w:highlight w:val="none"/>
            </w:rPr>
            <w:t>技术文件要求</w:t>
          </w:r>
          <w:r>
            <w:rPr>
              <w:color w:val="auto"/>
              <w:highlight w:val="none"/>
            </w:rPr>
            <w:tab/>
          </w:r>
          <w:r>
            <w:rPr>
              <w:color w:val="auto"/>
              <w:highlight w:val="none"/>
            </w:rPr>
            <w:fldChar w:fldCharType="begin"/>
          </w:r>
          <w:r>
            <w:rPr>
              <w:color w:val="auto"/>
              <w:highlight w:val="none"/>
            </w:rPr>
            <w:instrText xml:space="preserve"> PAGEREF _Toc31596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27"/>
            <w:tabs>
              <w:tab w:val="right" w:leader="dot" w:pos="8312"/>
            </w:tabs>
            <w:rPr>
              <w:color w:val="auto"/>
              <w:highlight w:val="none"/>
            </w:rPr>
          </w:pPr>
          <w:r>
            <w:rPr>
              <w:color w:val="auto"/>
              <w:highlight w:val="none"/>
            </w:rPr>
            <w:fldChar w:fldCharType="begin"/>
          </w:r>
          <w:r>
            <w:rPr>
              <w:color w:val="auto"/>
              <w:highlight w:val="none"/>
            </w:rPr>
            <w:instrText xml:space="preserve"> HYPERLINK \l "_Toc18067" </w:instrText>
          </w:r>
          <w:r>
            <w:rPr>
              <w:color w:val="auto"/>
              <w:highlight w:val="none"/>
            </w:rPr>
            <w:fldChar w:fldCharType="separate"/>
          </w:r>
          <w:r>
            <w:rPr>
              <w:rFonts w:hint="eastAsia"/>
              <w:color w:val="auto"/>
              <w:szCs w:val="32"/>
              <w:highlight w:val="none"/>
            </w:rPr>
            <w:t xml:space="preserve">五、 </w:t>
          </w:r>
          <w:r>
            <w:rPr>
              <w:rFonts w:hint="eastAsia"/>
              <w:color w:val="auto"/>
              <w:highlight w:val="none"/>
            </w:rPr>
            <w:t>中标人资质要求</w:t>
          </w:r>
          <w:r>
            <w:rPr>
              <w:color w:val="auto"/>
              <w:highlight w:val="none"/>
            </w:rPr>
            <w:tab/>
          </w:r>
          <w:r>
            <w:rPr>
              <w:color w:val="auto"/>
              <w:highlight w:val="none"/>
            </w:rPr>
            <w:fldChar w:fldCharType="begin"/>
          </w:r>
          <w:r>
            <w:rPr>
              <w:color w:val="auto"/>
              <w:highlight w:val="none"/>
            </w:rPr>
            <w:instrText xml:space="preserve"> PAGEREF _Toc18067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27"/>
            <w:tabs>
              <w:tab w:val="right" w:leader="dot" w:pos="8312"/>
            </w:tabs>
            <w:rPr>
              <w:color w:val="auto"/>
              <w:highlight w:val="none"/>
            </w:rPr>
          </w:pPr>
          <w:r>
            <w:rPr>
              <w:color w:val="auto"/>
              <w:highlight w:val="none"/>
            </w:rPr>
            <w:fldChar w:fldCharType="begin"/>
          </w:r>
          <w:r>
            <w:rPr>
              <w:color w:val="auto"/>
              <w:highlight w:val="none"/>
            </w:rPr>
            <w:instrText xml:space="preserve"> HYPERLINK \l "_Toc7449" </w:instrText>
          </w:r>
          <w:r>
            <w:rPr>
              <w:color w:val="auto"/>
              <w:highlight w:val="none"/>
            </w:rPr>
            <w:fldChar w:fldCharType="separate"/>
          </w:r>
          <w:r>
            <w:rPr>
              <w:rFonts w:hint="eastAsia"/>
              <w:color w:val="auto"/>
              <w:szCs w:val="32"/>
              <w:highlight w:val="none"/>
            </w:rPr>
            <w:t xml:space="preserve">六、 </w:t>
          </w:r>
          <w:r>
            <w:rPr>
              <w:rFonts w:hint="eastAsia"/>
              <w:color w:val="auto"/>
              <w:highlight w:val="none"/>
            </w:rPr>
            <w:t>中标人管理要求</w:t>
          </w:r>
          <w:r>
            <w:rPr>
              <w:color w:val="auto"/>
              <w:highlight w:val="none"/>
            </w:rPr>
            <w:tab/>
          </w:r>
          <w:r>
            <w:rPr>
              <w:color w:val="auto"/>
              <w:highlight w:val="none"/>
            </w:rPr>
            <w:fldChar w:fldCharType="begin"/>
          </w:r>
          <w:r>
            <w:rPr>
              <w:color w:val="auto"/>
              <w:highlight w:val="none"/>
            </w:rPr>
            <w:instrText xml:space="preserve"> PAGEREF _Toc7449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27"/>
            <w:tabs>
              <w:tab w:val="right" w:leader="dot" w:pos="8312"/>
            </w:tabs>
            <w:rPr>
              <w:color w:val="auto"/>
              <w:highlight w:val="none"/>
            </w:rPr>
          </w:pPr>
          <w:r>
            <w:rPr>
              <w:color w:val="auto"/>
              <w:highlight w:val="none"/>
            </w:rPr>
            <w:fldChar w:fldCharType="begin"/>
          </w:r>
          <w:r>
            <w:rPr>
              <w:color w:val="auto"/>
              <w:highlight w:val="none"/>
            </w:rPr>
            <w:instrText xml:space="preserve"> HYPERLINK \l "_Toc10889" </w:instrText>
          </w:r>
          <w:r>
            <w:rPr>
              <w:color w:val="auto"/>
              <w:highlight w:val="none"/>
            </w:rPr>
            <w:fldChar w:fldCharType="separate"/>
          </w:r>
          <w:r>
            <w:rPr>
              <w:rFonts w:hint="eastAsia"/>
              <w:color w:val="auto"/>
              <w:szCs w:val="32"/>
              <w:highlight w:val="none"/>
            </w:rPr>
            <w:t xml:space="preserve">七、 </w:t>
          </w:r>
          <w:r>
            <w:rPr>
              <w:rFonts w:hint="eastAsia"/>
              <w:color w:val="auto"/>
              <w:highlight w:val="none"/>
            </w:rPr>
            <w:t>知识产权及保密要求</w:t>
          </w:r>
          <w:r>
            <w:rPr>
              <w:color w:val="auto"/>
              <w:highlight w:val="none"/>
            </w:rPr>
            <w:tab/>
          </w:r>
          <w:r>
            <w:rPr>
              <w:color w:val="auto"/>
              <w:highlight w:val="none"/>
            </w:rPr>
            <w:fldChar w:fldCharType="begin"/>
          </w:r>
          <w:r>
            <w:rPr>
              <w:color w:val="auto"/>
              <w:highlight w:val="none"/>
            </w:rPr>
            <w:instrText xml:space="preserve"> PAGEREF _Toc10889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27"/>
            <w:tabs>
              <w:tab w:val="right" w:leader="dot" w:pos="8312"/>
            </w:tabs>
            <w:rPr>
              <w:color w:val="auto"/>
              <w:highlight w:val="none"/>
            </w:rPr>
          </w:pPr>
          <w:r>
            <w:rPr>
              <w:color w:val="auto"/>
              <w:highlight w:val="none"/>
            </w:rPr>
            <w:fldChar w:fldCharType="begin"/>
          </w:r>
          <w:r>
            <w:rPr>
              <w:color w:val="auto"/>
              <w:highlight w:val="none"/>
            </w:rPr>
            <w:instrText xml:space="preserve"> HYPERLINK \l "_Toc25694" </w:instrText>
          </w:r>
          <w:r>
            <w:rPr>
              <w:color w:val="auto"/>
              <w:highlight w:val="none"/>
            </w:rPr>
            <w:fldChar w:fldCharType="separate"/>
          </w:r>
          <w:r>
            <w:rPr>
              <w:rFonts w:hint="eastAsia"/>
              <w:color w:val="auto"/>
              <w:szCs w:val="32"/>
              <w:highlight w:val="none"/>
            </w:rPr>
            <w:t xml:space="preserve">八、 </w:t>
          </w:r>
          <w:r>
            <w:rPr>
              <w:color w:val="auto"/>
              <w:highlight w:val="none"/>
            </w:rPr>
            <w:t>项目的变更、解除和终止</w:t>
          </w:r>
          <w:r>
            <w:rPr>
              <w:color w:val="auto"/>
              <w:highlight w:val="none"/>
            </w:rPr>
            <w:tab/>
          </w:r>
          <w:r>
            <w:rPr>
              <w:color w:val="auto"/>
              <w:highlight w:val="none"/>
            </w:rPr>
            <w:fldChar w:fldCharType="begin"/>
          </w:r>
          <w:r>
            <w:rPr>
              <w:color w:val="auto"/>
              <w:highlight w:val="none"/>
            </w:rPr>
            <w:instrText xml:space="preserve"> PAGEREF _Toc25694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27"/>
            <w:tabs>
              <w:tab w:val="right" w:leader="dot" w:pos="8312"/>
            </w:tabs>
            <w:rPr>
              <w:color w:val="auto"/>
              <w:highlight w:val="none"/>
            </w:rPr>
          </w:pPr>
          <w:r>
            <w:rPr>
              <w:color w:val="auto"/>
              <w:highlight w:val="none"/>
            </w:rPr>
            <w:fldChar w:fldCharType="begin"/>
          </w:r>
          <w:r>
            <w:rPr>
              <w:color w:val="auto"/>
              <w:highlight w:val="none"/>
            </w:rPr>
            <w:instrText xml:space="preserve"> HYPERLINK \l "_Toc4320" </w:instrText>
          </w:r>
          <w:r>
            <w:rPr>
              <w:color w:val="auto"/>
              <w:highlight w:val="none"/>
            </w:rPr>
            <w:fldChar w:fldCharType="separate"/>
          </w:r>
          <w:r>
            <w:rPr>
              <w:rFonts w:hint="eastAsia"/>
              <w:color w:val="auto"/>
              <w:szCs w:val="32"/>
              <w:highlight w:val="none"/>
            </w:rPr>
            <w:t xml:space="preserve">九、 </w:t>
          </w:r>
          <w:r>
            <w:rPr>
              <w:rFonts w:hint="eastAsia"/>
              <w:color w:val="auto"/>
              <w:highlight w:val="none"/>
            </w:rPr>
            <w:t>供应商要求</w:t>
          </w:r>
          <w:r>
            <w:rPr>
              <w:color w:val="auto"/>
              <w:highlight w:val="none"/>
            </w:rPr>
            <w:tab/>
          </w:r>
          <w:r>
            <w:rPr>
              <w:color w:val="auto"/>
              <w:highlight w:val="none"/>
            </w:rPr>
            <w:fldChar w:fldCharType="begin"/>
          </w:r>
          <w:r>
            <w:rPr>
              <w:color w:val="auto"/>
              <w:highlight w:val="none"/>
            </w:rPr>
            <w:instrText xml:space="preserve"> PAGEREF _Toc4320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r>
            <w:rPr>
              <w:bCs/>
              <w:color w:val="auto"/>
              <w:highlight w:val="none"/>
              <w:lang w:val="zh-CN"/>
            </w:rPr>
            <w:fldChar w:fldCharType="end"/>
          </w:r>
        </w:p>
      </w:sdtContent>
    </w:sdt>
    <w:p>
      <w:pPr>
        <w:rPr>
          <w:color w:val="auto"/>
          <w:highlight w:val="none"/>
        </w:rPr>
      </w:pPr>
    </w:p>
    <w:p>
      <w:pPr>
        <w:widowControl/>
        <w:spacing w:line="240" w:lineRule="auto"/>
        <w:ind w:firstLine="0" w:firstLineChars="0"/>
        <w:jc w:val="left"/>
        <w:rPr>
          <w:color w:val="auto"/>
          <w:highlight w:val="none"/>
        </w:rPr>
      </w:pPr>
      <w:r>
        <w:rPr>
          <w:color w:val="auto"/>
          <w:highlight w:val="none"/>
        </w:rPr>
        <w:br w:type="page"/>
      </w:r>
    </w:p>
    <w:p>
      <w:pPr>
        <w:ind w:firstLine="0" w:firstLineChars="0"/>
        <w:rPr>
          <w:color w:val="auto"/>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pPr>
        <w:pStyle w:val="2"/>
        <w:rPr>
          <w:color w:val="auto"/>
          <w:highlight w:val="none"/>
        </w:rPr>
      </w:pPr>
      <w:bookmarkStart w:id="0" w:name="_Toc22017"/>
      <w:bookmarkStart w:id="1" w:name="_Toc63785461"/>
      <w:r>
        <w:rPr>
          <w:rFonts w:hint="eastAsia"/>
          <w:color w:val="auto"/>
          <w:highlight w:val="none"/>
        </w:rPr>
        <w:t>项目概况</w:t>
      </w:r>
      <w:bookmarkEnd w:id="0"/>
      <w:bookmarkEnd w:id="1"/>
    </w:p>
    <w:p>
      <w:pPr>
        <w:spacing w:line="560" w:lineRule="exact"/>
        <w:rPr>
          <w:rFonts w:ascii="Times New Roman" w:hAnsi="Times New Roman"/>
          <w:color w:val="auto"/>
          <w:highlight w:val="none"/>
        </w:rPr>
      </w:pPr>
      <w:r>
        <w:rPr>
          <w:rFonts w:hint="eastAsia" w:ascii="Times New Roman" w:hAnsi="Times New Roman"/>
          <w:color w:val="auto"/>
          <w:highlight w:val="none"/>
        </w:rPr>
        <w:t>1、项目背景：</w:t>
      </w:r>
    </w:p>
    <w:p>
      <w:pPr>
        <w:spacing w:line="560" w:lineRule="exact"/>
        <w:rPr>
          <w:color w:val="auto"/>
          <w:highlight w:val="none"/>
        </w:rPr>
      </w:pPr>
      <w:r>
        <w:rPr>
          <w:rFonts w:hint="eastAsia" w:ascii="Times New Roman" w:hAnsi="Times New Roman"/>
          <w:color w:val="auto"/>
          <w:highlight w:val="none"/>
        </w:rPr>
        <w:t>为贯彻落实《数字中国建设整体布局规划》《上海市全面推进城市数字化转型“十四五”规划》，市港航中心按照《交通运输部关于加快智慧港口和智慧航道建设的意见》《上海市进一步推进新型基础设施建设行动方案(2023-2026年)》任务要求，加速推进港航数字化转型。按照“数据全打通、业务全整合，场景智能化、决策科学化、管理精细化”的工作目标，结合自身的信息系统现状和近年的数字化转型成果，建成了港航行业综合监管和港航信息赋能服务的“港航综合管理与服务系统”，</w:t>
      </w:r>
      <w:r>
        <w:rPr>
          <w:rFonts w:hint="eastAsia"/>
          <w:color w:val="auto"/>
          <w:highlight w:val="none"/>
        </w:rPr>
        <w:t>对内作为上海市交通委员会综合业务平台的六大二级板块之一，为交通委及委内单位提供水上数字化监管的业务应用，对外为港航管理的行政相对人提供信息报送、行业信息赋能服务。</w:t>
      </w:r>
    </w:p>
    <w:p>
      <w:pPr>
        <w:rPr>
          <w:color w:val="auto"/>
          <w:highlight w:val="none"/>
        </w:rPr>
      </w:pPr>
      <w:r>
        <w:rPr>
          <w:rFonts w:hint="eastAsia"/>
          <w:color w:val="auto"/>
          <w:highlight w:val="none"/>
        </w:rPr>
        <w:t>依据</w:t>
      </w:r>
      <w:r>
        <w:rPr>
          <w:rFonts w:hint="eastAsia" w:ascii="Times New Roman" w:hAnsi="Times New Roman"/>
          <w:color w:val="auto"/>
          <w:highlight w:val="none"/>
        </w:rPr>
        <w:t>交通运输部发布的《交通运输部关于新时代加强沿海和内河港口航道规划建设的意见》、《关于支持引导公路水路交通基础设施数字化转型升级的通知》</w:t>
      </w:r>
      <w:r>
        <w:rPr>
          <w:rFonts w:hint="eastAsia"/>
          <w:color w:val="auto"/>
          <w:highlight w:val="none"/>
        </w:rPr>
        <w:t>等相关文件要求，</w:t>
      </w:r>
      <w:r>
        <w:rPr>
          <w:rFonts w:hint="eastAsia" w:ascii="Times New Roman" w:hAnsi="Times New Roman"/>
          <w:color w:val="auto"/>
          <w:highlight w:val="none"/>
        </w:rPr>
        <w:t>本项目在原有工作成果的基础上，对“上海港码头综合管理系统”进行升级改造</w:t>
      </w:r>
      <w:r>
        <w:rPr>
          <w:rFonts w:hint="eastAsia"/>
          <w:color w:val="auto"/>
          <w:highlight w:val="none"/>
        </w:rPr>
        <w:t>。重点强化港口运营、岸线使用及泊位综合管理等环节的监管能力，拓展水运核查业务应用范围，以数字化手段完善项目审查与抽查过程管理，进一步精准掌握水运及港口企业的经营情况。同时，推动市区两级及跨部门数据共享，以数字化赋能日常监管，提升协同管理效能。</w:t>
      </w:r>
    </w:p>
    <w:p>
      <w:pPr>
        <w:spacing w:line="560" w:lineRule="exact"/>
        <w:rPr>
          <w:rFonts w:ascii="Times New Roman" w:hAnsi="Times New Roman"/>
          <w:color w:val="auto"/>
          <w:highlight w:val="none"/>
        </w:rPr>
      </w:pPr>
      <w:r>
        <w:rPr>
          <w:rFonts w:hint="eastAsia" w:ascii="Times New Roman" w:hAnsi="Times New Roman"/>
          <w:color w:val="auto"/>
          <w:highlight w:val="none"/>
        </w:rPr>
        <w:t>2、建设期限：自合同签订之日起6个月内完成，其中包括为期1个月的试运行。</w:t>
      </w:r>
    </w:p>
    <w:p>
      <w:pPr>
        <w:spacing w:line="560" w:lineRule="exact"/>
        <w:rPr>
          <w:rFonts w:ascii="Times New Roman" w:hAnsi="Times New Roman"/>
          <w:color w:val="auto"/>
          <w:highlight w:val="none"/>
        </w:rPr>
      </w:pPr>
      <w:r>
        <w:rPr>
          <w:rFonts w:hint="eastAsia" w:ascii="Times New Roman" w:hAnsi="Times New Roman"/>
          <w:color w:val="auto"/>
          <w:highlight w:val="none"/>
        </w:rPr>
        <w:t>3、建设地点：上海市虹口区武进路151号</w:t>
      </w:r>
    </w:p>
    <w:p>
      <w:pPr>
        <w:spacing w:line="560" w:lineRule="exact"/>
        <w:rPr>
          <w:rFonts w:ascii="Times New Roman" w:hAnsi="Times New Roman"/>
          <w:color w:val="auto"/>
          <w:highlight w:val="none"/>
        </w:rPr>
      </w:pPr>
      <w:r>
        <w:rPr>
          <w:rFonts w:hint="eastAsia" w:ascii="Times New Roman" w:hAnsi="Times New Roman"/>
          <w:color w:val="auto"/>
          <w:highlight w:val="none"/>
        </w:rPr>
        <w:t>4、预算金额：1,475,000元</w:t>
      </w:r>
    </w:p>
    <w:p>
      <w:pPr>
        <w:spacing w:line="560" w:lineRule="exact"/>
        <w:rPr>
          <w:rFonts w:ascii="Times New Roman" w:hAnsi="Times New Roman"/>
          <w:color w:val="auto"/>
          <w:highlight w:val="none"/>
        </w:rPr>
      </w:pPr>
      <w:r>
        <w:rPr>
          <w:rFonts w:hint="eastAsia" w:ascii="Times New Roman" w:hAnsi="Times New Roman"/>
          <w:color w:val="auto"/>
          <w:highlight w:val="none"/>
        </w:rPr>
        <w:t>5、采购金额（最高限价）：1,475,000元</w:t>
      </w:r>
    </w:p>
    <w:p>
      <w:pPr>
        <w:rPr>
          <w:rFonts w:ascii="Times New Roman" w:hAnsi="Times New Roman"/>
          <w:color w:val="auto"/>
          <w:highlight w:val="none"/>
        </w:rPr>
      </w:pPr>
      <w:r>
        <w:rPr>
          <w:rFonts w:hint="eastAsia" w:ascii="Times New Roman" w:hAnsi="Times New Roman"/>
          <w:color w:val="auto"/>
          <w:highlight w:val="none"/>
        </w:rPr>
        <w:t>6、组织形式：集中采购</w:t>
      </w:r>
    </w:p>
    <w:p>
      <w:pPr>
        <w:rPr>
          <w:rFonts w:ascii="Times New Roman" w:hAnsi="Times New Roman"/>
          <w:color w:val="auto"/>
          <w:highlight w:val="none"/>
        </w:rPr>
      </w:pPr>
      <w:r>
        <w:rPr>
          <w:rFonts w:hint="eastAsia" w:ascii="Times New Roman" w:hAnsi="Times New Roman"/>
          <w:color w:val="auto"/>
          <w:highlight w:val="none"/>
        </w:rPr>
        <w:t>7、采购方式：公开招标</w:t>
      </w:r>
    </w:p>
    <w:p>
      <w:pPr>
        <w:rPr>
          <w:rFonts w:ascii="Times New Roman" w:hAnsi="Times New Roman"/>
          <w:color w:val="auto"/>
          <w:highlight w:val="none"/>
        </w:rPr>
      </w:pPr>
      <w:r>
        <w:rPr>
          <w:rFonts w:hint="eastAsia" w:ascii="Times New Roman" w:hAnsi="Times New Roman"/>
          <w:color w:val="auto"/>
          <w:highlight w:val="none"/>
        </w:rPr>
        <w:t>8、是否接受联合体投标：否</w:t>
      </w:r>
    </w:p>
    <w:p>
      <w:pPr>
        <w:rPr>
          <w:rFonts w:ascii="Times New Roman" w:hAnsi="Times New Roman"/>
          <w:color w:val="auto"/>
          <w:highlight w:val="none"/>
        </w:rPr>
      </w:pPr>
      <w:r>
        <w:rPr>
          <w:rFonts w:hint="eastAsia" w:ascii="Times New Roman" w:hAnsi="Times New Roman"/>
          <w:color w:val="auto"/>
          <w:highlight w:val="none"/>
        </w:rPr>
        <w:t>9、</w:t>
      </w:r>
      <w:r>
        <w:rPr>
          <w:rFonts w:ascii="Times New Roman" w:hAnsi="Times New Roman"/>
          <w:color w:val="auto"/>
          <w:highlight w:val="none"/>
        </w:rPr>
        <w:t>是否按</w:t>
      </w:r>
      <w:r>
        <w:rPr>
          <w:rFonts w:hint="eastAsia" w:ascii="Times New Roman" w:hAnsi="Times New Roman"/>
          <w:color w:val="auto"/>
          <w:highlight w:val="none"/>
        </w:rPr>
        <w:t>XC</w:t>
      </w:r>
      <w:r>
        <w:rPr>
          <w:rFonts w:ascii="Times New Roman" w:hAnsi="Times New Roman"/>
          <w:color w:val="auto"/>
          <w:highlight w:val="none"/>
        </w:rPr>
        <w:t>要求建设：是</w:t>
      </w:r>
    </w:p>
    <w:p>
      <w:pPr>
        <w:rPr>
          <w:rFonts w:ascii="Times New Roman" w:hAnsi="Times New Roman"/>
          <w:color w:val="auto"/>
          <w:highlight w:val="none"/>
        </w:rPr>
      </w:pPr>
      <w:r>
        <w:rPr>
          <w:rFonts w:hint="eastAsia" w:ascii="Times New Roman" w:hAnsi="Times New Roman"/>
          <w:color w:val="auto"/>
          <w:highlight w:val="none"/>
        </w:rPr>
        <w:t>10、升级后所属大系统：港航综合管理与服务系统</w:t>
      </w:r>
    </w:p>
    <w:p>
      <w:pPr>
        <w:pStyle w:val="2"/>
        <w:rPr>
          <w:color w:val="auto"/>
          <w:highlight w:val="none"/>
        </w:rPr>
      </w:pPr>
      <w:bookmarkStart w:id="2" w:name="_Toc47532255"/>
      <w:bookmarkEnd w:id="2"/>
      <w:bookmarkStart w:id="3" w:name="_Toc47537134"/>
      <w:bookmarkEnd w:id="3"/>
      <w:bookmarkStart w:id="4" w:name="_Toc47533256"/>
      <w:bookmarkEnd w:id="4"/>
      <w:bookmarkStart w:id="5" w:name="_Toc47536644"/>
      <w:bookmarkEnd w:id="5"/>
      <w:bookmarkStart w:id="6" w:name="_Toc47539070"/>
      <w:bookmarkEnd w:id="6"/>
      <w:bookmarkStart w:id="7" w:name="_Toc47531634"/>
      <w:bookmarkEnd w:id="7"/>
      <w:bookmarkStart w:id="8" w:name="_Toc47536272"/>
      <w:bookmarkEnd w:id="8"/>
      <w:bookmarkStart w:id="9" w:name="_Toc47532891"/>
      <w:bookmarkEnd w:id="9"/>
      <w:bookmarkStart w:id="10" w:name="_Toc12818"/>
      <w:bookmarkStart w:id="11" w:name="_Toc48223882"/>
      <w:bookmarkStart w:id="12" w:name="_Toc63785463"/>
      <w:r>
        <w:rPr>
          <w:rFonts w:hint="eastAsia"/>
          <w:color w:val="auto"/>
          <w:highlight w:val="none"/>
        </w:rPr>
        <w:t>建设目标</w:t>
      </w:r>
      <w:bookmarkEnd w:id="10"/>
      <w:bookmarkEnd w:id="11"/>
      <w:bookmarkEnd w:id="12"/>
    </w:p>
    <w:p>
      <w:pPr>
        <w:spacing w:line="560" w:lineRule="exact"/>
        <w:ind w:firstLine="482"/>
        <w:rPr>
          <w:rFonts w:ascii="Times New Roman" w:hAnsi="Times New Roman"/>
          <w:b/>
          <w:color w:val="auto"/>
          <w:highlight w:val="none"/>
        </w:rPr>
      </w:pPr>
      <w:r>
        <w:rPr>
          <w:rFonts w:ascii="Times New Roman" w:hAnsi="Times New Roman"/>
          <w:b/>
          <w:color w:val="auto"/>
          <w:highlight w:val="none"/>
        </w:rPr>
        <w:t>1、项目建设目标</w:t>
      </w:r>
    </w:p>
    <w:p>
      <w:pPr>
        <w:spacing w:line="560" w:lineRule="exact"/>
        <w:rPr>
          <w:rFonts w:ascii="Times New Roman" w:hAnsi="Times New Roman"/>
          <w:color w:val="auto"/>
          <w:highlight w:val="none"/>
        </w:rPr>
      </w:pPr>
      <w:r>
        <w:rPr>
          <w:rFonts w:hint="eastAsia" w:ascii="Times New Roman" w:hAnsi="Times New Roman"/>
          <w:color w:val="auto"/>
          <w:highlight w:val="none"/>
        </w:rPr>
        <w:t>本项目拟通过智慧港口、智慧水运建设，补全和优化现有港口、水运业务功能，提升管理效能与协同能力，优化业务流程，强化安全与环境监管，推动港航业务智能化发展，助力港航中心数字化转型。</w:t>
      </w:r>
    </w:p>
    <w:p>
      <w:pPr>
        <w:spacing w:line="560" w:lineRule="exact"/>
        <w:rPr>
          <w:rFonts w:ascii="Times New Roman" w:hAnsi="Times New Roman"/>
          <w:color w:val="auto"/>
          <w:highlight w:val="none"/>
        </w:rPr>
      </w:pPr>
      <w:r>
        <w:rPr>
          <w:rFonts w:hint="eastAsia" w:ascii="Times New Roman" w:hAnsi="Times New Roman"/>
          <w:color w:val="auto"/>
          <w:highlight w:val="none"/>
        </w:rPr>
        <w:t>通过智慧泊位、港口业务移动端平台、重点企业作业协同服务、建筑垃圾中转码头综合监督、港口岸线管理等模块建设，实现泊位数据的精准管控与协同管理，提升港口泊位管理效能，助力智慧港口建设；优化港口业务流程，简化申报操作，提高数据准确性与管理效率；强化重点企业协同，确保装卸作业信息实时共享，提升整体作业效率；加强建筑垃圾码头监管，实现智能化监管，保障环境与安全，确保信息透明可访问；推进智慧岸线管理，与交通委综合业务平台对接，提升监管科学性。</w:t>
      </w:r>
    </w:p>
    <w:p>
      <w:pPr>
        <w:spacing w:line="560" w:lineRule="exact"/>
        <w:rPr>
          <w:rFonts w:ascii="Times New Roman" w:hAnsi="Times New Roman"/>
          <w:color w:val="auto"/>
          <w:highlight w:val="none"/>
        </w:rPr>
      </w:pPr>
      <w:r>
        <w:rPr>
          <w:rFonts w:hint="eastAsia" w:ascii="Times New Roman" w:hAnsi="Times New Roman"/>
          <w:color w:val="auto"/>
          <w:highlight w:val="none"/>
        </w:rPr>
        <w:t>通过集疏运结构项目综合管理、水运经营核查管理、水运企业运力信息管理等模块建设，提升集疏运结构项目管理效率，借助数字化手段实现资金全流程管理、智能抽查监管等，推动水运行业可持续发展；强化水运企业运力信息管理，全面监管企业船舶运力情况，提升决策支持能力。</w:t>
      </w:r>
    </w:p>
    <w:p>
      <w:pPr>
        <w:spacing w:line="560" w:lineRule="exact"/>
        <w:ind w:firstLine="482"/>
        <w:rPr>
          <w:rFonts w:ascii="Times New Roman" w:hAnsi="Times New Roman"/>
          <w:b/>
          <w:color w:val="auto"/>
          <w:highlight w:val="none"/>
        </w:rPr>
      </w:pPr>
      <w:r>
        <w:rPr>
          <w:rFonts w:hint="eastAsia" w:ascii="Times New Roman" w:hAnsi="Times New Roman"/>
          <w:b/>
          <w:color w:val="auto"/>
          <w:highlight w:val="none"/>
        </w:rPr>
        <w:t>2、</w:t>
      </w:r>
      <w:r>
        <w:rPr>
          <w:rFonts w:ascii="Times New Roman" w:hAnsi="Times New Roman"/>
          <w:b/>
          <w:color w:val="auto"/>
          <w:highlight w:val="none"/>
        </w:rPr>
        <w:t>软件性能及安全考核指标</w:t>
      </w:r>
    </w:p>
    <w:p>
      <w:pPr>
        <w:numPr>
          <w:ilvl w:val="0"/>
          <w:numId w:val="4"/>
        </w:numPr>
        <w:spacing w:line="560" w:lineRule="exact"/>
        <w:ind w:left="5" w:firstLine="470" w:firstLineChars="196"/>
        <w:rPr>
          <w:rFonts w:ascii="Times New Roman" w:hAnsi="Times New Roman"/>
          <w:color w:val="auto"/>
          <w:highlight w:val="none"/>
        </w:rPr>
      </w:pPr>
      <w:r>
        <w:rPr>
          <w:rFonts w:hint="eastAsia" w:ascii="Times New Roman" w:hAnsi="Times New Roman"/>
          <w:color w:val="auto"/>
          <w:highlight w:val="none"/>
        </w:rPr>
        <w:t>平台用户1000人，系统应满足200并发常规操作平均响应时间小于等于1秒；300用户并发响应时间小于3秒；全天可用时间大于99%；</w:t>
      </w:r>
    </w:p>
    <w:p>
      <w:pPr>
        <w:numPr>
          <w:ilvl w:val="0"/>
          <w:numId w:val="4"/>
        </w:numPr>
        <w:spacing w:line="560" w:lineRule="exact"/>
        <w:ind w:left="5" w:firstLine="470" w:firstLineChars="196"/>
        <w:rPr>
          <w:rFonts w:ascii="Times New Roman" w:hAnsi="Times New Roman"/>
          <w:color w:val="auto"/>
          <w:highlight w:val="none"/>
        </w:rPr>
      </w:pPr>
      <w:r>
        <w:rPr>
          <w:rFonts w:hint="eastAsia" w:ascii="Times New Roman" w:hAnsi="Times New Roman"/>
          <w:color w:val="auto"/>
          <w:highlight w:val="none"/>
        </w:rPr>
        <w:t>本项目按照等保二级要求建设，需通过软件（含性能）、安全、密码等测试/测评工作。</w:t>
      </w:r>
    </w:p>
    <w:p>
      <w:pPr>
        <w:pStyle w:val="2"/>
        <w:rPr>
          <w:color w:val="auto"/>
          <w:highlight w:val="none"/>
        </w:rPr>
      </w:pPr>
      <w:bookmarkStart w:id="13" w:name="_Toc22128"/>
      <w:r>
        <w:rPr>
          <w:rFonts w:hint="eastAsia"/>
          <w:color w:val="auto"/>
          <w:highlight w:val="none"/>
        </w:rPr>
        <w:t>项目建设内容</w:t>
      </w:r>
      <w:bookmarkEnd w:id="13"/>
    </w:p>
    <w:p>
      <w:pPr>
        <w:rPr>
          <w:color w:val="auto"/>
          <w:highlight w:val="none"/>
        </w:rPr>
      </w:pPr>
      <w:r>
        <w:rPr>
          <w:rFonts w:hint="eastAsia"/>
          <w:color w:val="auto"/>
          <w:highlight w:val="none"/>
        </w:rPr>
        <w:t>1、项目建设内容</w:t>
      </w:r>
    </w:p>
    <w:p>
      <w:pPr>
        <w:rPr>
          <w:color w:val="auto"/>
          <w:highlight w:val="none"/>
        </w:rPr>
      </w:pPr>
      <w:r>
        <w:rPr>
          <w:rFonts w:hint="eastAsia"/>
          <w:color w:val="auto"/>
          <w:highlight w:val="none"/>
        </w:rPr>
        <w:t>本项目的主要建设内容包括2部分。</w:t>
      </w:r>
    </w:p>
    <w:p>
      <w:pPr>
        <w:rPr>
          <w:color w:val="auto"/>
          <w:highlight w:val="none"/>
        </w:rPr>
      </w:pPr>
      <w:r>
        <w:rPr>
          <w:rFonts w:hint="eastAsia"/>
          <w:color w:val="auto"/>
          <w:highlight w:val="none"/>
        </w:rPr>
        <w:t>1、智慧港口建设。包括智慧泊位、港口运营管理、建筑垃圾中转码头综合监督、岸线综合管理等。</w:t>
      </w:r>
    </w:p>
    <w:p>
      <w:pPr>
        <w:rPr>
          <w:color w:val="auto"/>
          <w:highlight w:val="none"/>
        </w:rPr>
      </w:pPr>
      <w:r>
        <w:rPr>
          <w:rFonts w:hint="eastAsia"/>
          <w:color w:val="auto"/>
          <w:highlight w:val="none"/>
        </w:rPr>
        <w:t>2、智慧水运建设。集疏运结构项目综合管理、水运经营核查管理、水运企业运力信息管理等。</w:t>
      </w:r>
    </w:p>
    <w:p>
      <w:pPr>
        <w:rPr>
          <w:color w:val="auto"/>
          <w:highlight w:val="none"/>
        </w:rPr>
      </w:pPr>
      <w:r>
        <w:rPr>
          <w:rFonts w:hint="eastAsia"/>
          <w:color w:val="auto"/>
          <w:highlight w:val="none"/>
        </w:rPr>
        <w:t>3、密码应用开发。</w:t>
      </w:r>
    </w:p>
    <w:p>
      <w:pPr>
        <w:rPr>
          <w:color w:val="auto"/>
          <w:highlight w:val="none"/>
        </w:rPr>
      </w:pPr>
      <w:r>
        <w:rPr>
          <w:rFonts w:hint="eastAsia"/>
          <w:color w:val="auto"/>
          <w:highlight w:val="none"/>
        </w:rPr>
        <w:t>以下是各主要功能模块的建设内容：</w:t>
      </w:r>
    </w:p>
    <w:tbl>
      <w:tblPr>
        <w:tblStyle w:val="36"/>
        <w:tblW w:w="4984" w:type="pct"/>
        <w:tblInd w:w="0" w:type="dxa"/>
        <w:tblLayout w:type="autofit"/>
        <w:tblCellMar>
          <w:top w:w="0" w:type="dxa"/>
          <w:left w:w="108" w:type="dxa"/>
          <w:bottom w:w="0" w:type="dxa"/>
          <w:right w:w="108" w:type="dxa"/>
        </w:tblCellMar>
      </w:tblPr>
      <w:tblGrid>
        <w:gridCol w:w="467"/>
        <w:gridCol w:w="2979"/>
        <w:gridCol w:w="3887"/>
        <w:gridCol w:w="1168"/>
      </w:tblGrid>
      <w:tr>
        <w:tblPrEx>
          <w:tblCellMar>
            <w:top w:w="0" w:type="dxa"/>
            <w:left w:w="108" w:type="dxa"/>
            <w:bottom w:w="0" w:type="dxa"/>
            <w:right w:w="108" w:type="dxa"/>
          </w:tblCellMar>
        </w:tblPrEx>
        <w:trPr>
          <w:trHeight w:val="560" w:hRule="atLeast"/>
        </w:trPr>
        <w:tc>
          <w:tcPr>
            <w:tcW w:w="27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b/>
                <w:bCs/>
                <w:color w:val="auto"/>
                <w:kern w:val="0"/>
                <w:sz w:val="22"/>
                <w:szCs w:val="22"/>
                <w:highlight w:val="none"/>
              </w:rPr>
            </w:pPr>
            <w:r>
              <w:rPr>
                <w:rFonts w:hint="eastAsia" w:ascii="等线" w:hAnsi="等线" w:eastAsia="等线" w:cs="宋体"/>
                <w:b/>
                <w:bCs/>
                <w:color w:val="auto"/>
                <w:kern w:val="0"/>
                <w:sz w:val="22"/>
                <w:szCs w:val="22"/>
                <w:highlight w:val="none"/>
              </w:rPr>
              <w:t>序号</w:t>
            </w:r>
          </w:p>
        </w:tc>
        <w:tc>
          <w:tcPr>
            <w:tcW w:w="1752"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b/>
                <w:bCs/>
                <w:color w:val="auto"/>
                <w:kern w:val="0"/>
                <w:sz w:val="22"/>
                <w:szCs w:val="22"/>
                <w:highlight w:val="none"/>
              </w:rPr>
            </w:pPr>
            <w:r>
              <w:rPr>
                <w:rFonts w:hint="eastAsia" w:ascii="等线" w:hAnsi="等线" w:eastAsia="等线" w:cs="宋体"/>
                <w:b/>
                <w:bCs/>
                <w:color w:val="auto"/>
                <w:kern w:val="0"/>
                <w:sz w:val="22"/>
                <w:szCs w:val="22"/>
                <w:highlight w:val="none"/>
              </w:rPr>
              <w:t>功能名称</w:t>
            </w:r>
          </w:p>
        </w:tc>
        <w:tc>
          <w:tcPr>
            <w:tcW w:w="2286"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b/>
                <w:bCs/>
                <w:color w:val="auto"/>
                <w:kern w:val="0"/>
                <w:sz w:val="22"/>
                <w:szCs w:val="22"/>
                <w:highlight w:val="none"/>
              </w:rPr>
            </w:pPr>
            <w:r>
              <w:rPr>
                <w:rFonts w:hint="eastAsia" w:ascii="等线" w:hAnsi="等线" w:eastAsia="等线" w:cs="宋体"/>
                <w:b/>
                <w:bCs/>
                <w:color w:val="auto"/>
                <w:kern w:val="0"/>
                <w:sz w:val="22"/>
                <w:szCs w:val="22"/>
                <w:highlight w:val="none"/>
              </w:rPr>
              <w:t>功能描述</w:t>
            </w:r>
          </w:p>
        </w:tc>
        <w:tc>
          <w:tcPr>
            <w:tcW w:w="685"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b/>
                <w:bCs/>
                <w:color w:val="auto"/>
                <w:kern w:val="0"/>
                <w:sz w:val="22"/>
                <w:szCs w:val="22"/>
                <w:highlight w:val="none"/>
              </w:rPr>
            </w:pPr>
            <w:r>
              <w:rPr>
                <w:rFonts w:hint="eastAsia" w:ascii="等线" w:hAnsi="等线" w:eastAsia="等线" w:cs="宋体"/>
                <w:b/>
                <w:bCs/>
                <w:color w:val="auto"/>
                <w:kern w:val="0"/>
                <w:sz w:val="22"/>
                <w:szCs w:val="22"/>
                <w:highlight w:val="none"/>
              </w:rPr>
              <w:t>参考工作量(人月)</w:t>
            </w:r>
          </w:p>
        </w:tc>
      </w:tr>
      <w:tr>
        <w:tblPrEx>
          <w:tblCellMar>
            <w:top w:w="0" w:type="dxa"/>
            <w:left w:w="108" w:type="dxa"/>
            <w:bottom w:w="0" w:type="dxa"/>
            <w:right w:w="108" w:type="dxa"/>
          </w:tblCellMar>
        </w:tblPrEx>
        <w:trPr>
          <w:trHeight w:val="280"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1、智慧港口</w:t>
            </w:r>
          </w:p>
        </w:tc>
      </w:tr>
      <w:tr>
        <w:tblPrEx>
          <w:tblCellMar>
            <w:top w:w="0" w:type="dxa"/>
            <w:left w:w="108" w:type="dxa"/>
            <w:bottom w:w="0" w:type="dxa"/>
            <w:right w:w="108" w:type="dxa"/>
          </w:tblCellMar>
        </w:tblPrEx>
        <w:trPr>
          <w:trHeight w:val="560" w:hRule="atLeast"/>
        </w:trPr>
        <w:tc>
          <w:tcPr>
            <w:tcW w:w="275"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1</w:t>
            </w:r>
          </w:p>
        </w:tc>
        <w:tc>
          <w:tcPr>
            <w:tcW w:w="175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智慧泊位综合管理-码头泊位综合管理</w:t>
            </w:r>
          </w:p>
        </w:tc>
        <w:tc>
          <w:tcPr>
            <w:tcW w:w="228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全流程管理泊位年报数据，动态适配报表，智能校验编码与生成报表</w:t>
            </w:r>
          </w:p>
        </w:tc>
        <w:tc>
          <w:tcPr>
            <w:tcW w:w="68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2</w:t>
            </w:r>
          </w:p>
        </w:tc>
      </w:tr>
      <w:tr>
        <w:tblPrEx>
          <w:tblCellMar>
            <w:top w:w="0" w:type="dxa"/>
            <w:left w:w="108" w:type="dxa"/>
            <w:bottom w:w="0" w:type="dxa"/>
            <w:right w:w="108" w:type="dxa"/>
          </w:tblCellMar>
        </w:tblPrEx>
        <w:trPr>
          <w:trHeight w:val="560" w:hRule="atLeast"/>
        </w:trPr>
        <w:tc>
          <w:tcPr>
            <w:tcW w:w="275"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2</w:t>
            </w:r>
          </w:p>
        </w:tc>
        <w:tc>
          <w:tcPr>
            <w:tcW w:w="175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智慧泊位综合管理-码头泊位智能核验</w:t>
            </w:r>
          </w:p>
        </w:tc>
        <w:tc>
          <w:tcPr>
            <w:tcW w:w="228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比对业务与年报数据，智能核验全字段，实现内外港差异化校验</w:t>
            </w:r>
          </w:p>
        </w:tc>
        <w:tc>
          <w:tcPr>
            <w:tcW w:w="68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1.5</w:t>
            </w:r>
          </w:p>
        </w:tc>
      </w:tr>
      <w:tr>
        <w:tblPrEx>
          <w:tblCellMar>
            <w:top w:w="0" w:type="dxa"/>
            <w:left w:w="108" w:type="dxa"/>
            <w:bottom w:w="0" w:type="dxa"/>
            <w:right w:w="108" w:type="dxa"/>
          </w:tblCellMar>
        </w:tblPrEx>
        <w:trPr>
          <w:trHeight w:val="560" w:hRule="atLeast"/>
        </w:trPr>
        <w:tc>
          <w:tcPr>
            <w:tcW w:w="275"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3</w:t>
            </w:r>
          </w:p>
        </w:tc>
        <w:tc>
          <w:tcPr>
            <w:tcW w:w="175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智慧泊位综合管理-码头泊位数据智能审核管理</w:t>
            </w:r>
          </w:p>
        </w:tc>
        <w:tc>
          <w:tcPr>
            <w:tcW w:w="228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基于核验结果，全流程管理泊位信息修编、审核与档案管理</w:t>
            </w:r>
          </w:p>
        </w:tc>
        <w:tc>
          <w:tcPr>
            <w:tcW w:w="68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2</w:t>
            </w:r>
          </w:p>
        </w:tc>
      </w:tr>
      <w:tr>
        <w:tblPrEx>
          <w:tblCellMar>
            <w:top w:w="0" w:type="dxa"/>
            <w:left w:w="108" w:type="dxa"/>
            <w:bottom w:w="0" w:type="dxa"/>
            <w:right w:w="108" w:type="dxa"/>
          </w:tblCellMar>
        </w:tblPrEx>
        <w:trPr>
          <w:trHeight w:val="560" w:hRule="atLeast"/>
        </w:trPr>
        <w:tc>
          <w:tcPr>
            <w:tcW w:w="275"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4</w:t>
            </w:r>
          </w:p>
        </w:tc>
        <w:tc>
          <w:tcPr>
            <w:tcW w:w="175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智慧泊位综合管理-码头泊位审核流程权限管理</w:t>
            </w:r>
          </w:p>
        </w:tc>
        <w:tc>
          <w:tcPr>
            <w:tcW w:w="228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构建自动化审核流程与权限体系，规范内河年报审核</w:t>
            </w:r>
          </w:p>
        </w:tc>
        <w:tc>
          <w:tcPr>
            <w:tcW w:w="68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1</w:t>
            </w:r>
          </w:p>
        </w:tc>
      </w:tr>
      <w:tr>
        <w:tblPrEx>
          <w:tblCellMar>
            <w:top w:w="0" w:type="dxa"/>
            <w:left w:w="108" w:type="dxa"/>
            <w:bottom w:w="0" w:type="dxa"/>
            <w:right w:w="108" w:type="dxa"/>
          </w:tblCellMar>
        </w:tblPrEx>
        <w:trPr>
          <w:trHeight w:val="560" w:hRule="atLeast"/>
        </w:trPr>
        <w:tc>
          <w:tcPr>
            <w:tcW w:w="275"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5</w:t>
            </w:r>
          </w:p>
        </w:tc>
        <w:tc>
          <w:tcPr>
            <w:tcW w:w="175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港口运营管理-港口货物作业申报（移动端）</w:t>
            </w:r>
          </w:p>
        </w:tc>
        <w:tc>
          <w:tcPr>
            <w:tcW w:w="228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拓展移动端申报，新增水水中转与特殊货物申报监管功能</w:t>
            </w:r>
          </w:p>
        </w:tc>
        <w:tc>
          <w:tcPr>
            <w:tcW w:w="68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2.5</w:t>
            </w:r>
          </w:p>
        </w:tc>
      </w:tr>
      <w:tr>
        <w:tblPrEx>
          <w:tblCellMar>
            <w:top w:w="0" w:type="dxa"/>
            <w:left w:w="108" w:type="dxa"/>
            <w:bottom w:w="0" w:type="dxa"/>
            <w:right w:w="108" w:type="dxa"/>
          </w:tblCellMar>
        </w:tblPrEx>
        <w:trPr>
          <w:trHeight w:val="560" w:hRule="atLeast"/>
        </w:trPr>
        <w:tc>
          <w:tcPr>
            <w:tcW w:w="275"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6</w:t>
            </w:r>
          </w:p>
        </w:tc>
        <w:tc>
          <w:tcPr>
            <w:tcW w:w="175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港口运营管理-船舶服务业申报（移动端）</w:t>
            </w:r>
          </w:p>
        </w:tc>
        <w:tc>
          <w:tcPr>
            <w:tcW w:w="228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拓展移动端申报，新增船舶燃料供应专项填报功能</w:t>
            </w:r>
          </w:p>
        </w:tc>
        <w:tc>
          <w:tcPr>
            <w:tcW w:w="68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0.5</w:t>
            </w:r>
          </w:p>
        </w:tc>
      </w:tr>
      <w:tr>
        <w:tblPrEx>
          <w:tblCellMar>
            <w:top w:w="0" w:type="dxa"/>
            <w:left w:w="108" w:type="dxa"/>
            <w:bottom w:w="0" w:type="dxa"/>
            <w:right w:w="108" w:type="dxa"/>
          </w:tblCellMar>
        </w:tblPrEx>
        <w:trPr>
          <w:trHeight w:val="560" w:hRule="atLeast"/>
        </w:trPr>
        <w:tc>
          <w:tcPr>
            <w:tcW w:w="275"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7</w:t>
            </w:r>
          </w:p>
        </w:tc>
        <w:tc>
          <w:tcPr>
            <w:tcW w:w="175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港口运营管理-港口行业信息检索（移动端）</w:t>
            </w:r>
          </w:p>
        </w:tc>
        <w:tc>
          <w:tcPr>
            <w:tcW w:w="228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对接平台，实现移动端港口企业多维度许可信息检索</w:t>
            </w:r>
          </w:p>
        </w:tc>
        <w:tc>
          <w:tcPr>
            <w:tcW w:w="68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1</w:t>
            </w:r>
          </w:p>
        </w:tc>
      </w:tr>
      <w:tr>
        <w:tblPrEx>
          <w:tblCellMar>
            <w:top w:w="0" w:type="dxa"/>
            <w:left w:w="108" w:type="dxa"/>
            <w:bottom w:w="0" w:type="dxa"/>
            <w:right w:w="108" w:type="dxa"/>
          </w:tblCellMar>
        </w:tblPrEx>
        <w:trPr>
          <w:trHeight w:val="840" w:hRule="atLeast"/>
        </w:trPr>
        <w:tc>
          <w:tcPr>
            <w:tcW w:w="275"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8</w:t>
            </w:r>
          </w:p>
        </w:tc>
        <w:tc>
          <w:tcPr>
            <w:tcW w:w="175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港口运营管理-港口行业陆域范围信息检索（移动端）</w:t>
            </w:r>
          </w:p>
        </w:tc>
        <w:tc>
          <w:tcPr>
            <w:tcW w:w="228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对接平台，实现港口陆域范围码头定位、设施查询与地图联动检索</w:t>
            </w:r>
          </w:p>
        </w:tc>
        <w:tc>
          <w:tcPr>
            <w:tcW w:w="68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1</w:t>
            </w:r>
          </w:p>
        </w:tc>
      </w:tr>
      <w:tr>
        <w:tblPrEx>
          <w:tblCellMar>
            <w:top w:w="0" w:type="dxa"/>
            <w:left w:w="108" w:type="dxa"/>
            <w:bottom w:w="0" w:type="dxa"/>
            <w:right w:w="108" w:type="dxa"/>
          </w:tblCellMar>
        </w:tblPrEx>
        <w:trPr>
          <w:trHeight w:val="560" w:hRule="atLeast"/>
        </w:trPr>
        <w:tc>
          <w:tcPr>
            <w:tcW w:w="275"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9</w:t>
            </w:r>
          </w:p>
        </w:tc>
        <w:tc>
          <w:tcPr>
            <w:tcW w:w="175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港口运营管理-港口运营信息检索（移动端）</w:t>
            </w:r>
          </w:p>
        </w:tc>
        <w:tc>
          <w:tcPr>
            <w:tcW w:w="228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整合多源数据，实现港口运营信息移动端精准查询与导出</w:t>
            </w:r>
          </w:p>
        </w:tc>
        <w:tc>
          <w:tcPr>
            <w:tcW w:w="68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1</w:t>
            </w:r>
          </w:p>
        </w:tc>
      </w:tr>
      <w:tr>
        <w:tblPrEx>
          <w:tblCellMar>
            <w:top w:w="0" w:type="dxa"/>
            <w:left w:w="108" w:type="dxa"/>
            <w:bottom w:w="0" w:type="dxa"/>
            <w:right w:w="108" w:type="dxa"/>
          </w:tblCellMar>
        </w:tblPrEx>
        <w:trPr>
          <w:trHeight w:val="560" w:hRule="atLeast"/>
        </w:trPr>
        <w:tc>
          <w:tcPr>
            <w:tcW w:w="275"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10</w:t>
            </w:r>
          </w:p>
        </w:tc>
        <w:tc>
          <w:tcPr>
            <w:tcW w:w="175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港口运营管理-港口作业智能关账</w:t>
            </w:r>
          </w:p>
        </w:tc>
        <w:tc>
          <w:tcPr>
            <w:tcW w:w="228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构建市区分级关账体系，实现吞吐量自动核算与权限管理</w:t>
            </w:r>
          </w:p>
        </w:tc>
        <w:tc>
          <w:tcPr>
            <w:tcW w:w="68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1</w:t>
            </w:r>
          </w:p>
        </w:tc>
      </w:tr>
      <w:tr>
        <w:tblPrEx>
          <w:tblCellMar>
            <w:top w:w="0" w:type="dxa"/>
            <w:left w:w="108" w:type="dxa"/>
            <w:bottom w:w="0" w:type="dxa"/>
            <w:right w:w="108" w:type="dxa"/>
          </w:tblCellMar>
        </w:tblPrEx>
        <w:trPr>
          <w:trHeight w:val="560" w:hRule="atLeast"/>
        </w:trPr>
        <w:tc>
          <w:tcPr>
            <w:tcW w:w="275"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11</w:t>
            </w:r>
          </w:p>
        </w:tc>
        <w:tc>
          <w:tcPr>
            <w:tcW w:w="175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港口运营管理-重点企业装卸作业协同联动</w:t>
            </w:r>
          </w:p>
        </w:tc>
        <w:tc>
          <w:tcPr>
            <w:tcW w:w="228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适配数据格式，实现重点企业装卸作业数据协同与异常处理</w:t>
            </w:r>
          </w:p>
        </w:tc>
        <w:tc>
          <w:tcPr>
            <w:tcW w:w="68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2</w:t>
            </w:r>
          </w:p>
        </w:tc>
      </w:tr>
      <w:tr>
        <w:tblPrEx>
          <w:tblCellMar>
            <w:top w:w="0" w:type="dxa"/>
            <w:left w:w="108" w:type="dxa"/>
            <w:bottom w:w="0" w:type="dxa"/>
            <w:right w:w="108" w:type="dxa"/>
          </w:tblCellMar>
        </w:tblPrEx>
        <w:trPr>
          <w:trHeight w:val="560" w:hRule="atLeast"/>
        </w:trPr>
        <w:tc>
          <w:tcPr>
            <w:tcW w:w="275"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12</w:t>
            </w:r>
          </w:p>
        </w:tc>
        <w:tc>
          <w:tcPr>
            <w:tcW w:w="175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港口运营管理-上海港吞吐量报表管理</w:t>
            </w:r>
          </w:p>
        </w:tc>
        <w:tc>
          <w:tcPr>
            <w:tcW w:w="228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整合多源数据，智能生成全港吞吐量报表与可视化展示</w:t>
            </w:r>
          </w:p>
        </w:tc>
        <w:tc>
          <w:tcPr>
            <w:tcW w:w="68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2.5</w:t>
            </w:r>
          </w:p>
        </w:tc>
      </w:tr>
      <w:tr>
        <w:tblPrEx>
          <w:tblCellMar>
            <w:top w:w="0" w:type="dxa"/>
            <w:left w:w="108" w:type="dxa"/>
            <w:bottom w:w="0" w:type="dxa"/>
            <w:right w:w="108" w:type="dxa"/>
          </w:tblCellMar>
        </w:tblPrEx>
        <w:trPr>
          <w:trHeight w:val="840" w:hRule="atLeast"/>
        </w:trPr>
        <w:tc>
          <w:tcPr>
            <w:tcW w:w="275"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13</w:t>
            </w:r>
          </w:p>
        </w:tc>
        <w:tc>
          <w:tcPr>
            <w:tcW w:w="175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建筑垃圾中转码头综合监管-建筑垃圾中转码头业务管理</w:t>
            </w:r>
          </w:p>
        </w:tc>
        <w:tc>
          <w:tcPr>
            <w:tcW w:w="228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多形式展示垃圾中转码头信息，支持智能管理与空间定位</w:t>
            </w:r>
          </w:p>
        </w:tc>
        <w:tc>
          <w:tcPr>
            <w:tcW w:w="68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1</w:t>
            </w:r>
          </w:p>
        </w:tc>
      </w:tr>
      <w:tr>
        <w:tblPrEx>
          <w:tblCellMar>
            <w:top w:w="0" w:type="dxa"/>
            <w:left w:w="108" w:type="dxa"/>
            <w:bottom w:w="0" w:type="dxa"/>
            <w:right w:w="108" w:type="dxa"/>
          </w:tblCellMar>
        </w:tblPrEx>
        <w:trPr>
          <w:trHeight w:val="840" w:hRule="atLeast"/>
        </w:trPr>
        <w:tc>
          <w:tcPr>
            <w:tcW w:w="275"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14</w:t>
            </w:r>
          </w:p>
        </w:tc>
        <w:tc>
          <w:tcPr>
            <w:tcW w:w="175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建筑垃圾中转码头综合监管-建筑垃圾中转码头作业智能监测</w:t>
            </w:r>
          </w:p>
        </w:tc>
        <w:tc>
          <w:tcPr>
            <w:tcW w:w="228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实时监控垃圾中转码头作业，实现码头作业智能化全程监管</w:t>
            </w:r>
          </w:p>
        </w:tc>
        <w:tc>
          <w:tcPr>
            <w:tcW w:w="68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2</w:t>
            </w:r>
          </w:p>
        </w:tc>
      </w:tr>
      <w:tr>
        <w:tblPrEx>
          <w:tblCellMar>
            <w:top w:w="0" w:type="dxa"/>
            <w:left w:w="108" w:type="dxa"/>
            <w:bottom w:w="0" w:type="dxa"/>
            <w:right w:w="108" w:type="dxa"/>
          </w:tblCellMar>
        </w:tblPrEx>
        <w:trPr>
          <w:trHeight w:val="840" w:hRule="atLeast"/>
        </w:trPr>
        <w:tc>
          <w:tcPr>
            <w:tcW w:w="275"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15</w:t>
            </w:r>
          </w:p>
        </w:tc>
        <w:tc>
          <w:tcPr>
            <w:tcW w:w="175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建筑垃圾中转码头综合监管-建筑垃圾中转码头数据共享</w:t>
            </w:r>
          </w:p>
        </w:tc>
        <w:tc>
          <w:tcPr>
            <w:tcW w:w="228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归集垃圾中转码头业务许可信息至交通委，面向公众公示</w:t>
            </w:r>
          </w:p>
        </w:tc>
        <w:tc>
          <w:tcPr>
            <w:tcW w:w="68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1</w:t>
            </w:r>
          </w:p>
        </w:tc>
      </w:tr>
      <w:tr>
        <w:tblPrEx>
          <w:tblCellMar>
            <w:top w:w="0" w:type="dxa"/>
            <w:left w:w="108" w:type="dxa"/>
            <w:bottom w:w="0" w:type="dxa"/>
            <w:right w:w="108" w:type="dxa"/>
          </w:tblCellMar>
        </w:tblPrEx>
        <w:trPr>
          <w:trHeight w:val="560" w:hRule="atLeast"/>
        </w:trPr>
        <w:tc>
          <w:tcPr>
            <w:tcW w:w="275"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16</w:t>
            </w:r>
          </w:p>
        </w:tc>
        <w:tc>
          <w:tcPr>
            <w:tcW w:w="175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岸线综合管理-市、区岸线综合管理</w:t>
            </w:r>
          </w:p>
        </w:tc>
        <w:tc>
          <w:tcPr>
            <w:tcW w:w="228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对接平台获取岸线信息，监测水深，实现 GIS 智能监管</w:t>
            </w:r>
          </w:p>
        </w:tc>
        <w:tc>
          <w:tcPr>
            <w:tcW w:w="68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3</w:t>
            </w:r>
          </w:p>
        </w:tc>
      </w:tr>
      <w:tr>
        <w:tblPrEx>
          <w:tblCellMar>
            <w:top w:w="0" w:type="dxa"/>
            <w:left w:w="108" w:type="dxa"/>
            <w:bottom w:w="0" w:type="dxa"/>
            <w:right w:w="108" w:type="dxa"/>
          </w:tblCellMar>
        </w:tblPrEx>
        <w:trPr>
          <w:trHeight w:val="560" w:hRule="atLeast"/>
        </w:trPr>
        <w:tc>
          <w:tcPr>
            <w:tcW w:w="275"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17</w:t>
            </w:r>
          </w:p>
        </w:tc>
        <w:tc>
          <w:tcPr>
            <w:tcW w:w="175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岸线综合管理-岸线知识库管理</w:t>
            </w:r>
          </w:p>
        </w:tc>
        <w:tc>
          <w:tcPr>
            <w:tcW w:w="228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关联岸线与许可信息，预警到期许可，辅助经营管理</w:t>
            </w:r>
          </w:p>
        </w:tc>
        <w:tc>
          <w:tcPr>
            <w:tcW w:w="68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2</w:t>
            </w:r>
          </w:p>
        </w:tc>
      </w:tr>
      <w:tr>
        <w:tblPrEx>
          <w:tblCellMar>
            <w:top w:w="0" w:type="dxa"/>
            <w:left w:w="108" w:type="dxa"/>
            <w:bottom w:w="0" w:type="dxa"/>
            <w:right w:w="108" w:type="dxa"/>
          </w:tblCellMar>
        </w:tblPrEx>
        <w:trPr>
          <w:trHeight w:val="560" w:hRule="atLeast"/>
        </w:trPr>
        <w:tc>
          <w:tcPr>
            <w:tcW w:w="275"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18</w:t>
            </w:r>
          </w:p>
        </w:tc>
        <w:tc>
          <w:tcPr>
            <w:tcW w:w="175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岸线综合管理-岸线使用费智慧管理</w:t>
            </w:r>
          </w:p>
        </w:tc>
        <w:tc>
          <w:tcPr>
            <w:tcW w:w="228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统一管理缴费单位，智能核算费用，动态跟踪缴款</w:t>
            </w:r>
          </w:p>
        </w:tc>
        <w:tc>
          <w:tcPr>
            <w:tcW w:w="68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2</w:t>
            </w:r>
          </w:p>
        </w:tc>
      </w:tr>
      <w:tr>
        <w:tblPrEx>
          <w:tblCellMar>
            <w:top w:w="0" w:type="dxa"/>
            <w:left w:w="108" w:type="dxa"/>
            <w:bottom w:w="0" w:type="dxa"/>
            <w:right w:w="108" w:type="dxa"/>
          </w:tblCellMar>
        </w:tblPrEx>
        <w:trPr>
          <w:trHeight w:val="560" w:hRule="atLeast"/>
        </w:trPr>
        <w:tc>
          <w:tcPr>
            <w:tcW w:w="275"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19</w:t>
            </w:r>
          </w:p>
        </w:tc>
        <w:tc>
          <w:tcPr>
            <w:tcW w:w="175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岸线综合管理-外港岸线智能化监管</w:t>
            </w:r>
          </w:p>
        </w:tc>
        <w:tc>
          <w:tcPr>
            <w:tcW w:w="228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运用技术实现外港岸线智能监管，生成报表辅助决策</w:t>
            </w:r>
          </w:p>
        </w:tc>
        <w:tc>
          <w:tcPr>
            <w:tcW w:w="68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1.5</w:t>
            </w:r>
          </w:p>
        </w:tc>
      </w:tr>
      <w:tr>
        <w:tblPrEx>
          <w:tblCellMar>
            <w:top w:w="0" w:type="dxa"/>
            <w:left w:w="108" w:type="dxa"/>
            <w:bottom w:w="0" w:type="dxa"/>
            <w:right w:w="108" w:type="dxa"/>
          </w:tblCellMar>
        </w:tblPrEx>
        <w:trPr>
          <w:trHeight w:val="280"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2、智慧水运</w:t>
            </w:r>
          </w:p>
        </w:tc>
      </w:tr>
      <w:tr>
        <w:tblPrEx>
          <w:tblCellMar>
            <w:top w:w="0" w:type="dxa"/>
            <w:left w:w="108" w:type="dxa"/>
            <w:bottom w:w="0" w:type="dxa"/>
            <w:right w:w="108" w:type="dxa"/>
          </w:tblCellMar>
        </w:tblPrEx>
        <w:trPr>
          <w:trHeight w:val="1120" w:hRule="atLeast"/>
        </w:trPr>
        <w:tc>
          <w:tcPr>
            <w:tcW w:w="275"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1</w:t>
            </w:r>
          </w:p>
        </w:tc>
        <w:tc>
          <w:tcPr>
            <w:tcW w:w="175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集疏运结构项目综合管理-集疏运结构项目资金全流程管理-集疏运一网通办业务协同</w:t>
            </w:r>
          </w:p>
        </w:tc>
        <w:tc>
          <w:tcPr>
            <w:tcW w:w="228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对接 “一网通办”，同步企业资料、申报信息与审核状态</w:t>
            </w:r>
          </w:p>
        </w:tc>
        <w:tc>
          <w:tcPr>
            <w:tcW w:w="68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1</w:t>
            </w:r>
          </w:p>
        </w:tc>
      </w:tr>
      <w:tr>
        <w:tblPrEx>
          <w:tblCellMar>
            <w:top w:w="0" w:type="dxa"/>
            <w:left w:w="108" w:type="dxa"/>
            <w:bottom w:w="0" w:type="dxa"/>
            <w:right w:w="108" w:type="dxa"/>
          </w:tblCellMar>
        </w:tblPrEx>
        <w:trPr>
          <w:trHeight w:val="1120" w:hRule="atLeast"/>
        </w:trPr>
        <w:tc>
          <w:tcPr>
            <w:tcW w:w="275"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2</w:t>
            </w:r>
          </w:p>
        </w:tc>
        <w:tc>
          <w:tcPr>
            <w:tcW w:w="175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集疏运结构项目综合管理-集疏运结构项目资金全流程管理-集疏运企业申报管理</w:t>
            </w:r>
          </w:p>
        </w:tc>
        <w:tc>
          <w:tcPr>
            <w:tcW w:w="228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支持企业在线申报三类业务，自动比对校验申报数据</w:t>
            </w:r>
          </w:p>
        </w:tc>
        <w:tc>
          <w:tcPr>
            <w:tcW w:w="68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1.5</w:t>
            </w:r>
          </w:p>
        </w:tc>
      </w:tr>
      <w:tr>
        <w:tblPrEx>
          <w:tblCellMar>
            <w:top w:w="0" w:type="dxa"/>
            <w:left w:w="108" w:type="dxa"/>
            <w:bottom w:w="0" w:type="dxa"/>
            <w:right w:w="108" w:type="dxa"/>
          </w:tblCellMar>
        </w:tblPrEx>
        <w:trPr>
          <w:trHeight w:val="1120" w:hRule="atLeast"/>
        </w:trPr>
        <w:tc>
          <w:tcPr>
            <w:tcW w:w="275"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3</w:t>
            </w:r>
          </w:p>
        </w:tc>
        <w:tc>
          <w:tcPr>
            <w:tcW w:w="175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集疏运结构项目综合管理-集疏运结构项目资金全流程管理-集疏运企业审核管理</w:t>
            </w:r>
          </w:p>
        </w:tc>
        <w:tc>
          <w:tcPr>
            <w:tcW w:w="228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多层级审核企业申报，控制流程，自动生成审核材料</w:t>
            </w:r>
          </w:p>
        </w:tc>
        <w:tc>
          <w:tcPr>
            <w:tcW w:w="68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1.5</w:t>
            </w:r>
          </w:p>
        </w:tc>
      </w:tr>
      <w:tr>
        <w:tblPrEx>
          <w:tblCellMar>
            <w:top w:w="0" w:type="dxa"/>
            <w:left w:w="108" w:type="dxa"/>
            <w:bottom w:w="0" w:type="dxa"/>
            <w:right w:w="108" w:type="dxa"/>
          </w:tblCellMar>
        </w:tblPrEx>
        <w:trPr>
          <w:trHeight w:val="840" w:hRule="atLeast"/>
        </w:trPr>
        <w:tc>
          <w:tcPr>
            <w:tcW w:w="275"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4</w:t>
            </w:r>
          </w:p>
        </w:tc>
        <w:tc>
          <w:tcPr>
            <w:tcW w:w="175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集疏运结构项目综合管理-集疏运项目资金抽查管理-集疏运航次抽查核验</w:t>
            </w:r>
          </w:p>
        </w:tc>
        <w:tc>
          <w:tcPr>
            <w:tcW w:w="228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按规则随机抽选航次，支持通知生成、材料上传与结果调整</w:t>
            </w:r>
          </w:p>
        </w:tc>
        <w:tc>
          <w:tcPr>
            <w:tcW w:w="68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2</w:t>
            </w:r>
          </w:p>
        </w:tc>
      </w:tr>
      <w:tr>
        <w:tblPrEx>
          <w:tblCellMar>
            <w:top w:w="0" w:type="dxa"/>
            <w:left w:w="108" w:type="dxa"/>
            <w:bottom w:w="0" w:type="dxa"/>
            <w:right w:w="108" w:type="dxa"/>
          </w:tblCellMar>
        </w:tblPrEx>
        <w:trPr>
          <w:trHeight w:val="1120" w:hRule="atLeast"/>
        </w:trPr>
        <w:tc>
          <w:tcPr>
            <w:tcW w:w="275"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5</w:t>
            </w:r>
          </w:p>
        </w:tc>
        <w:tc>
          <w:tcPr>
            <w:tcW w:w="175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集疏运结构项目综合管理-集疏运项目资金抽查管理-集疏运航次数据智能比对</w:t>
            </w:r>
          </w:p>
        </w:tc>
        <w:tc>
          <w:tcPr>
            <w:tcW w:w="228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自动比对航次文件，协同数据，提示异常并支持审核处理</w:t>
            </w:r>
          </w:p>
        </w:tc>
        <w:tc>
          <w:tcPr>
            <w:tcW w:w="68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1.5</w:t>
            </w:r>
          </w:p>
        </w:tc>
      </w:tr>
      <w:tr>
        <w:tblPrEx>
          <w:tblCellMar>
            <w:top w:w="0" w:type="dxa"/>
            <w:left w:w="108" w:type="dxa"/>
            <w:bottom w:w="0" w:type="dxa"/>
            <w:right w:w="108" w:type="dxa"/>
          </w:tblCellMar>
        </w:tblPrEx>
        <w:trPr>
          <w:trHeight w:val="840" w:hRule="atLeast"/>
        </w:trPr>
        <w:tc>
          <w:tcPr>
            <w:tcW w:w="275"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6</w:t>
            </w:r>
          </w:p>
        </w:tc>
        <w:tc>
          <w:tcPr>
            <w:tcW w:w="175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集疏运结构项目综合管理-集疏运结构项目资金企业信息管理</w:t>
            </w:r>
          </w:p>
        </w:tc>
        <w:tc>
          <w:tcPr>
            <w:tcW w:w="228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统一管理企业信息，自动生成申报、审核与补贴计算文件</w:t>
            </w:r>
          </w:p>
        </w:tc>
        <w:tc>
          <w:tcPr>
            <w:tcW w:w="68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2</w:t>
            </w:r>
          </w:p>
        </w:tc>
      </w:tr>
      <w:tr>
        <w:tblPrEx>
          <w:tblCellMar>
            <w:top w:w="0" w:type="dxa"/>
            <w:left w:w="108" w:type="dxa"/>
            <w:bottom w:w="0" w:type="dxa"/>
            <w:right w:w="108" w:type="dxa"/>
          </w:tblCellMar>
        </w:tblPrEx>
        <w:trPr>
          <w:trHeight w:val="560" w:hRule="atLeast"/>
        </w:trPr>
        <w:tc>
          <w:tcPr>
            <w:tcW w:w="275"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7</w:t>
            </w:r>
          </w:p>
        </w:tc>
        <w:tc>
          <w:tcPr>
            <w:tcW w:w="175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水运经营核查管理-水运企业经营核查对象管理</w:t>
            </w:r>
          </w:p>
        </w:tc>
        <w:tc>
          <w:tcPr>
            <w:tcW w:w="228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对接平台填充数据，支持企业自主上报，校验清洗信息</w:t>
            </w:r>
          </w:p>
        </w:tc>
        <w:tc>
          <w:tcPr>
            <w:tcW w:w="68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3</w:t>
            </w:r>
          </w:p>
        </w:tc>
      </w:tr>
      <w:tr>
        <w:tblPrEx>
          <w:tblCellMar>
            <w:top w:w="0" w:type="dxa"/>
            <w:left w:w="108" w:type="dxa"/>
            <w:bottom w:w="0" w:type="dxa"/>
            <w:right w:w="108" w:type="dxa"/>
          </w:tblCellMar>
        </w:tblPrEx>
        <w:trPr>
          <w:trHeight w:val="840" w:hRule="atLeast"/>
        </w:trPr>
        <w:tc>
          <w:tcPr>
            <w:tcW w:w="275"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8</w:t>
            </w:r>
          </w:p>
        </w:tc>
        <w:tc>
          <w:tcPr>
            <w:tcW w:w="175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水运经营核查管理-国际船舶运输企业经营核查信息填报及校验管理</w:t>
            </w:r>
          </w:p>
        </w:tc>
        <w:tc>
          <w:tcPr>
            <w:tcW w:w="228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支持国际企业多维度信息填报，审核流程自动流转</w:t>
            </w:r>
          </w:p>
        </w:tc>
        <w:tc>
          <w:tcPr>
            <w:tcW w:w="68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4</w:t>
            </w:r>
          </w:p>
        </w:tc>
      </w:tr>
      <w:tr>
        <w:tblPrEx>
          <w:tblCellMar>
            <w:top w:w="0" w:type="dxa"/>
            <w:left w:w="108" w:type="dxa"/>
            <w:bottom w:w="0" w:type="dxa"/>
            <w:right w:w="108" w:type="dxa"/>
          </w:tblCellMar>
        </w:tblPrEx>
        <w:trPr>
          <w:trHeight w:val="560" w:hRule="atLeast"/>
        </w:trPr>
        <w:tc>
          <w:tcPr>
            <w:tcW w:w="275"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9</w:t>
            </w:r>
          </w:p>
        </w:tc>
        <w:tc>
          <w:tcPr>
            <w:tcW w:w="175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水运经营核查管理-综合核查业务配置</w:t>
            </w:r>
          </w:p>
        </w:tc>
        <w:tc>
          <w:tcPr>
            <w:tcW w:w="228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标准化校验字段，划分权限，分类管理水运业态经营范围</w:t>
            </w:r>
          </w:p>
        </w:tc>
        <w:tc>
          <w:tcPr>
            <w:tcW w:w="68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3</w:t>
            </w:r>
          </w:p>
        </w:tc>
      </w:tr>
      <w:tr>
        <w:tblPrEx>
          <w:tblCellMar>
            <w:top w:w="0" w:type="dxa"/>
            <w:left w:w="108" w:type="dxa"/>
            <w:bottom w:w="0" w:type="dxa"/>
            <w:right w:w="108" w:type="dxa"/>
          </w:tblCellMar>
        </w:tblPrEx>
        <w:trPr>
          <w:trHeight w:val="560" w:hRule="atLeast"/>
        </w:trPr>
        <w:tc>
          <w:tcPr>
            <w:tcW w:w="275"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10</w:t>
            </w:r>
          </w:p>
        </w:tc>
        <w:tc>
          <w:tcPr>
            <w:tcW w:w="175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水运经营核查管理-企业经营核查报告管理</w:t>
            </w:r>
          </w:p>
        </w:tc>
        <w:tc>
          <w:tcPr>
            <w:tcW w:w="228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提供模板，自动生成经营核查报告及附件</w:t>
            </w:r>
          </w:p>
        </w:tc>
        <w:tc>
          <w:tcPr>
            <w:tcW w:w="68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2</w:t>
            </w:r>
          </w:p>
        </w:tc>
      </w:tr>
      <w:tr>
        <w:tblPrEx>
          <w:tblCellMar>
            <w:top w:w="0" w:type="dxa"/>
            <w:left w:w="108" w:type="dxa"/>
            <w:bottom w:w="0" w:type="dxa"/>
            <w:right w:w="108" w:type="dxa"/>
          </w:tblCellMar>
        </w:tblPrEx>
        <w:trPr>
          <w:trHeight w:val="560" w:hRule="atLeast"/>
        </w:trPr>
        <w:tc>
          <w:tcPr>
            <w:tcW w:w="275"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11</w:t>
            </w:r>
          </w:p>
        </w:tc>
        <w:tc>
          <w:tcPr>
            <w:tcW w:w="175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水运经营核查管理-水运经营核查综合统计管理</w:t>
            </w:r>
          </w:p>
        </w:tc>
        <w:tc>
          <w:tcPr>
            <w:tcW w:w="228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整合数据，按业态生成多维度统计报表与分析报告</w:t>
            </w:r>
          </w:p>
        </w:tc>
        <w:tc>
          <w:tcPr>
            <w:tcW w:w="68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2</w:t>
            </w:r>
          </w:p>
        </w:tc>
      </w:tr>
      <w:tr>
        <w:tblPrEx>
          <w:tblCellMar>
            <w:top w:w="0" w:type="dxa"/>
            <w:left w:w="108" w:type="dxa"/>
            <w:bottom w:w="0" w:type="dxa"/>
            <w:right w:w="108" w:type="dxa"/>
          </w:tblCellMar>
        </w:tblPrEx>
        <w:trPr>
          <w:trHeight w:val="560" w:hRule="atLeast"/>
        </w:trPr>
        <w:tc>
          <w:tcPr>
            <w:tcW w:w="275"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12</w:t>
            </w:r>
          </w:p>
        </w:tc>
        <w:tc>
          <w:tcPr>
            <w:tcW w:w="175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水运企业运力信息管理-企业运力信息报送</w:t>
            </w:r>
          </w:p>
        </w:tc>
        <w:tc>
          <w:tcPr>
            <w:tcW w:w="228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企业便捷报送船舶运力，关联数据，智能提醒变动</w:t>
            </w:r>
          </w:p>
        </w:tc>
        <w:tc>
          <w:tcPr>
            <w:tcW w:w="68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1</w:t>
            </w:r>
          </w:p>
        </w:tc>
      </w:tr>
      <w:tr>
        <w:tblPrEx>
          <w:tblCellMar>
            <w:top w:w="0" w:type="dxa"/>
            <w:left w:w="108" w:type="dxa"/>
            <w:bottom w:w="0" w:type="dxa"/>
            <w:right w:w="108" w:type="dxa"/>
          </w:tblCellMar>
        </w:tblPrEx>
        <w:trPr>
          <w:trHeight w:val="560" w:hRule="atLeast"/>
        </w:trPr>
        <w:tc>
          <w:tcPr>
            <w:tcW w:w="275"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13</w:t>
            </w:r>
          </w:p>
        </w:tc>
        <w:tc>
          <w:tcPr>
            <w:tcW w:w="175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水运企业运力信息管理-企业运力信息综合管理</w:t>
            </w:r>
          </w:p>
        </w:tc>
        <w:tc>
          <w:tcPr>
            <w:tcW w:w="228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审核企业报送信息，核对数据，生成船舶情况报表</w:t>
            </w:r>
          </w:p>
        </w:tc>
        <w:tc>
          <w:tcPr>
            <w:tcW w:w="68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1</w:t>
            </w:r>
          </w:p>
        </w:tc>
      </w:tr>
      <w:tr>
        <w:tblPrEx>
          <w:tblCellMar>
            <w:top w:w="0" w:type="dxa"/>
            <w:left w:w="108" w:type="dxa"/>
            <w:bottom w:w="0" w:type="dxa"/>
            <w:right w:w="108" w:type="dxa"/>
          </w:tblCellMar>
        </w:tblPrEx>
        <w:trPr>
          <w:trHeight w:val="280"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3、密码应用</w:t>
            </w:r>
          </w:p>
        </w:tc>
      </w:tr>
      <w:tr>
        <w:tblPrEx>
          <w:tblCellMar>
            <w:top w:w="0" w:type="dxa"/>
            <w:left w:w="108" w:type="dxa"/>
            <w:bottom w:w="0" w:type="dxa"/>
            <w:right w:w="108" w:type="dxa"/>
          </w:tblCellMar>
        </w:tblPrEx>
        <w:trPr>
          <w:trHeight w:val="560" w:hRule="atLeast"/>
        </w:trPr>
        <w:tc>
          <w:tcPr>
            <w:tcW w:w="275"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1</w:t>
            </w:r>
          </w:p>
        </w:tc>
        <w:tc>
          <w:tcPr>
            <w:tcW w:w="175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用户身份认证机制模块</w:t>
            </w:r>
          </w:p>
        </w:tc>
        <w:tc>
          <w:tcPr>
            <w:tcW w:w="228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区分用户类型认证，采用 SM2 算法保障登录安全</w:t>
            </w:r>
          </w:p>
        </w:tc>
        <w:tc>
          <w:tcPr>
            <w:tcW w:w="68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1</w:t>
            </w:r>
          </w:p>
        </w:tc>
      </w:tr>
      <w:tr>
        <w:tblPrEx>
          <w:tblCellMar>
            <w:top w:w="0" w:type="dxa"/>
            <w:left w:w="108" w:type="dxa"/>
            <w:bottom w:w="0" w:type="dxa"/>
            <w:right w:w="108" w:type="dxa"/>
          </w:tblCellMar>
        </w:tblPrEx>
        <w:trPr>
          <w:trHeight w:val="560" w:hRule="atLeast"/>
        </w:trPr>
        <w:tc>
          <w:tcPr>
            <w:tcW w:w="275"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2</w:t>
            </w:r>
          </w:p>
        </w:tc>
        <w:tc>
          <w:tcPr>
            <w:tcW w:w="1752"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系统用户重要数据签名验签与加密解密模块</w:t>
            </w:r>
          </w:p>
        </w:tc>
        <w:tc>
          <w:tcPr>
            <w:tcW w:w="228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保护用户重要信息，实现签名验签与加密解密</w:t>
            </w:r>
          </w:p>
        </w:tc>
        <w:tc>
          <w:tcPr>
            <w:tcW w:w="68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2</w:t>
            </w:r>
          </w:p>
        </w:tc>
      </w:tr>
    </w:tbl>
    <w:p>
      <w:pPr>
        <w:pStyle w:val="2"/>
        <w:rPr>
          <w:color w:val="auto"/>
          <w:highlight w:val="none"/>
        </w:rPr>
      </w:pPr>
      <w:bookmarkStart w:id="14" w:name="_Toc597"/>
      <w:bookmarkStart w:id="15" w:name="_Toc63785503"/>
      <w:r>
        <w:rPr>
          <w:rFonts w:hint="eastAsia"/>
          <w:color w:val="auto"/>
          <w:highlight w:val="none"/>
        </w:rPr>
        <w:t>其他工作要求</w:t>
      </w:r>
      <w:bookmarkEnd w:id="14"/>
      <w:bookmarkEnd w:id="15"/>
    </w:p>
    <w:p>
      <w:pPr>
        <w:pStyle w:val="3"/>
        <w:rPr>
          <w:color w:val="auto"/>
          <w:highlight w:val="none"/>
        </w:rPr>
      </w:pPr>
      <w:bookmarkStart w:id="16" w:name="_Toc63585480"/>
      <w:bookmarkEnd w:id="16"/>
      <w:bookmarkStart w:id="17" w:name="_Toc63762370"/>
      <w:bookmarkEnd w:id="17"/>
      <w:bookmarkStart w:id="18" w:name="_Toc61968111"/>
      <w:bookmarkEnd w:id="18"/>
      <w:bookmarkStart w:id="19" w:name="_Toc62209488"/>
      <w:bookmarkEnd w:id="19"/>
      <w:bookmarkStart w:id="20" w:name="_Toc63785439"/>
      <w:bookmarkEnd w:id="20"/>
      <w:bookmarkStart w:id="21" w:name="_Toc62219358"/>
      <w:bookmarkEnd w:id="21"/>
      <w:bookmarkStart w:id="22" w:name="_Toc63785504"/>
      <w:bookmarkEnd w:id="22"/>
      <w:bookmarkStart w:id="23" w:name="_Toc63151871"/>
      <w:bookmarkEnd w:id="23"/>
      <w:bookmarkStart w:id="24" w:name="_Toc11165"/>
      <w:bookmarkStart w:id="25" w:name="_Toc63785505"/>
      <w:r>
        <w:rPr>
          <w:rFonts w:hint="eastAsia"/>
          <w:color w:val="auto"/>
          <w:highlight w:val="none"/>
        </w:rPr>
        <w:t>售后服务要求</w:t>
      </w:r>
      <w:bookmarkEnd w:id="24"/>
      <w:bookmarkEnd w:id="25"/>
    </w:p>
    <w:p>
      <w:pPr>
        <w:pStyle w:val="107"/>
        <w:snapToGrid w:val="0"/>
        <w:spacing w:line="360" w:lineRule="auto"/>
        <w:ind w:firstLine="480"/>
        <w:rPr>
          <w:color w:val="auto"/>
          <w:sz w:val="24"/>
          <w:szCs w:val="24"/>
          <w:highlight w:val="none"/>
        </w:rPr>
      </w:pPr>
      <w:r>
        <w:rPr>
          <w:color w:val="auto"/>
          <w:sz w:val="24"/>
          <w:szCs w:val="24"/>
          <w:highlight w:val="none"/>
        </w:rPr>
        <w:t>本项目从系统验收通过之日起，提供</w:t>
      </w:r>
      <w:r>
        <w:rPr>
          <w:rFonts w:hint="eastAsia"/>
          <w:color w:val="auto"/>
          <w:sz w:val="24"/>
          <w:szCs w:val="24"/>
          <w:highlight w:val="none"/>
        </w:rPr>
        <w:t>不少于</w:t>
      </w:r>
      <w:r>
        <w:rPr>
          <w:color w:val="auto"/>
          <w:sz w:val="24"/>
          <w:szCs w:val="24"/>
          <w:highlight w:val="none"/>
        </w:rPr>
        <w:t>1年的</w:t>
      </w:r>
      <w:r>
        <w:rPr>
          <w:rFonts w:hint="eastAsia"/>
          <w:color w:val="auto"/>
          <w:sz w:val="24"/>
          <w:szCs w:val="24"/>
          <w:highlight w:val="none"/>
        </w:rPr>
        <w:t>质量保证期</w:t>
      </w:r>
      <w:r>
        <w:rPr>
          <w:color w:val="auto"/>
          <w:sz w:val="24"/>
          <w:szCs w:val="24"/>
          <w:highlight w:val="none"/>
        </w:rPr>
        <w:t>，免费运维服务期满后进入有偿维护期</w:t>
      </w:r>
      <w:r>
        <w:rPr>
          <w:rFonts w:hint="eastAsia"/>
          <w:color w:val="auto"/>
          <w:sz w:val="24"/>
          <w:szCs w:val="24"/>
          <w:highlight w:val="none"/>
        </w:rPr>
        <w:t>，免维期内需提供</w:t>
      </w:r>
      <w:r>
        <w:rPr>
          <w:color w:val="auto"/>
          <w:sz w:val="24"/>
          <w:szCs w:val="24"/>
          <w:highlight w:val="none"/>
        </w:rPr>
        <w:t>7*24小时免费技术支持和售后服务</w:t>
      </w:r>
      <w:r>
        <w:rPr>
          <w:rFonts w:hint="eastAsia"/>
          <w:color w:val="auto"/>
          <w:sz w:val="24"/>
          <w:szCs w:val="24"/>
          <w:highlight w:val="none"/>
        </w:rPr>
        <w:t>。</w:t>
      </w:r>
    </w:p>
    <w:p>
      <w:pPr>
        <w:pStyle w:val="107"/>
        <w:snapToGrid w:val="0"/>
        <w:spacing w:line="360" w:lineRule="auto"/>
        <w:ind w:firstLine="480"/>
        <w:rPr>
          <w:color w:val="auto"/>
          <w:sz w:val="24"/>
          <w:szCs w:val="24"/>
          <w:highlight w:val="none"/>
        </w:rPr>
      </w:pPr>
      <w:r>
        <w:rPr>
          <w:color w:val="auto"/>
          <w:sz w:val="24"/>
          <w:szCs w:val="24"/>
          <w:highlight w:val="none"/>
        </w:rPr>
        <w:t>在质量保证期内，中标人将按照售后服务的承诺提供系统运行维护服务。免维期内，</w:t>
      </w:r>
      <w:r>
        <w:rPr>
          <w:rFonts w:hint="eastAsia"/>
          <w:color w:val="auto"/>
          <w:sz w:val="24"/>
          <w:szCs w:val="24"/>
          <w:highlight w:val="none"/>
        </w:rPr>
        <w:t>中标人应提供不少于</w:t>
      </w:r>
      <w:r>
        <w:rPr>
          <w:color w:val="auto"/>
          <w:sz w:val="24"/>
          <w:szCs w:val="24"/>
          <w:highlight w:val="none"/>
        </w:rPr>
        <w:t>8</w:t>
      </w:r>
      <w:r>
        <w:rPr>
          <w:rFonts w:hint="eastAsia"/>
          <w:color w:val="auto"/>
          <w:sz w:val="24"/>
          <w:szCs w:val="24"/>
          <w:highlight w:val="none"/>
        </w:rPr>
        <w:t>人的驻场服务团队，</w:t>
      </w:r>
      <w:r>
        <w:rPr>
          <w:color w:val="auto"/>
          <w:sz w:val="24"/>
          <w:szCs w:val="24"/>
          <w:highlight w:val="none"/>
        </w:rPr>
        <w:t>负责整个系统项目的运维，保障信息系统安全、稳定、可靠地运行。</w:t>
      </w:r>
      <w:bookmarkStart w:id="26" w:name="_Toc63785506"/>
    </w:p>
    <w:p>
      <w:pPr>
        <w:pStyle w:val="3"/>
        <w:rPr>
          <w:color w:val="auto"/>
          <w:highlight w:val="none"/>
        </w:rPr>
      </w:pPr>
      <w:bookmarkStart w:id="27" w:name="_Toc268"/>
      <w:r>
        <w:rPr>
          <w:rFonts w:hint="eastAsia"/>
          <w:color w:val="auto"/>
          <w:highlight w:val="none"/>
        </w:rPr>
        <w:t>应急响应要求</w:t>
      </w:r>
      <w:bookmarkEnd w:id="26"/>
      <w:bookmarkEnd w:id="27"/>
    </w:p>
    <w:p>
      <w:pPr>
        <w:pStyle w:val="107"/>
        <w:snapToGrid w:val="0"/>
        <w:spacing w:line="360" w:lineRule="auto"/>
        <w:ind w:firstLine="480"/>
        <w:rPr>
          <w:color w:val="auto"/>
          <w:sz w:val="24"/>
          <w:szCs w:val="24"/>
          <w:highlight w:val="none"/>
        </w:rPr>
      </w:pPr>
      <w:r>
        <w:rPr>
          <w:rFonts w:hint="eastAsia"/>
          <w:color w:val="auto"/>
          <w:sz w:val="24"/>
          <w:szCs w:val="24"/>
          <w:highlight w:val="none"/>
        </w:rPr>
        <w:t>中标人对系统故障应能够实时响应，若系统发生故障，接到故障工单后</w:t>
      </w:r>
      <w:r>
        <w:rPr>
          <w:color w:val="auto"/>
          <w:sz w:val="24"/>
          <w:szCs w:val="24"/>
          <w:highlight w:val="none"/>
        </w:rPr>
        <w:t>30分钟之内响应</w:t>
      </w:r>
      <w:r>
        <w:rPr>
          <w:rFonts w:hint="eastAsia"/>
          <w:color w:val="auto"/>
          <w:sz w:val="24"/>
          <w:szCs w:val="24"/>
          <w:highlight w:val="none"/>
        </w:rPr>
        <w:t>。特殊故障与客户沟通协商后，按照协商的方式制定解决方案并进行处理。</w:t>
      </w:r>
    </w:p>
    <w:p>
      <w:pPr>
        <w:pStyle w:val="107"/>
        <w:snapToGrid w:val="0"/>
        <w:spacing w:line="360" w:lineRule="auto"/>
        <w:ind w:firstLine="480"/>
        <w:rPr>
          <w:color w:val="auto"/>
          <w:sz w:val="24"/>
          <w:szCs w:val="24"/>
          <w:highlight w:val="none"/>
        </w:rPr>
      </w:pPr>
      <w:r>
        <w:rPr>
          <w:rFonts w:hint="eastAsia"/>
          <w:color w:val="auto"/>
          <w:sz w:val="24"/>
          <w:szCs w:val="24"/>
          <w:highlight w:val="none"/>
        </w:rPr>
        <w:t>具体故障级别及对应的应急响应要求如下：</w:t>
      </w:r>
    </w:p>
    <w:p>
      <w:pPr>
        <w:pStyle w:val="107"/>
        <w:snapToGrid w:val="0"/>
        <w:spacing w:line="360" w:lineRule="auto"/>
        <w:ind w:firstLine="480"/>
        <w:rPr>
          <w:color w:val="auto"/>
          <w:sz w:val="24"/>
          <w:szCs w:val="24"/>
          <w:highlight w:val="none"/>
        </w:rPr>
      </w:pPr>
      <w:r>
        <w:rPr>
          <w:rFonts w:hint="eastAsia"/>
          <w:color w:val="auto"/>
          <w:sz w:val="24"/>
          <w:szCs w:val="24"/>
          <w:highlight w:val="none"/>
        </w:rPr>
        <w:t>一级故障：在</w:t>
      </w:r>
      <w:r>
        <w:rPr>
          <w:color w:val="auto"/>
          <w:sz w:val="24"/>
          <w:szCs w:val="24"/>
          <w:highlight w:val="none"/>
        </w:rPr>
        <w:t>1小时内确诊，总故障解决时间不超过4小时。</w:t>
      </w:r>
    </w:p>
    <w:p>
      <w:pPr>
        <w:pStyle w:val="107"/>
        <w:snapToGrid w:val="0"/>
        <w:spacing w:line="360" w:lineRule="auto"/>
        <w:ind w:firstLine="480"/>
        <w:rPr>
          <w:color w:val="auto"/>
          <w:sz w:val="24"/>
          <w:szCs w:val="24"/>
          <w:highlight w:val="none"/>
        </w:rPr>
      </w:pPr>
      <w:r>
        <w:rPr>
          <w:rFonts w:hint="eastAsia"/>
          <w:color w:val="auto"/>
          <w:sz w:val="24"/>
          <w:szCs w:val="24"/>
          <w:highlight w:val="none"/>
        </w:rPr>
        <w:t>二级故障：在</w:t>
      </w:r>
      <w:r>
        <w:rPr>
          <w:color w:val="auto"/>
          <w:sz w:val="24"/>
          <w:szCs w:val="24"/>
          <w:highlight w:val="none"/>
        </w:rPr>
        <w:t>2小时内确诊，并在4小时内由专家到达现场确诊并解决，</w:t>
      </w:r>
      <w:bookmarkStart w:id="47" w:name="_GoBack"/>
      <w:bookmarkEnd w:id="47"/>
      <w:r>
        <w:rPr>
          <w:color w:val="auto"/>
          <w:sz w:val="24"/>
          <w:szCs w:val="24"/>
          <w:highlight w:val="none"/>
        </w:rPr>
        <w:t>总故障解决时间不超过8小时；</w:t>
      </w:r>
    </w:p>
    <w:p>
      <w:pPr>
        <w:pStyle w:val="107"/>
        <w:snapToGrid w:val="0"/>
        <w:spacing w:line="360" w:lineRule="auto"/>
        <w:ind w:firstLine="480"/>
        <w:rPr>
          <w:color w:val="auto"/>
          <w:sz w:val="24"/>
          <w:szCs w:val="24"/>
          <w:highlight w:val="none"/>
        </w:rPr>
      </w:pPr>
      <w:r>
        <w:rPr>
          <w:rFonts w:hint="eastAsia"/>
          <w:color w:val="auto"/>
          <w:sz w:val="24"/>
          <w:szCs w:val="24"/>
          <w:highlight w:val="none"/>
        </w:rPr>
        <w:t>三、四级故障：在</w:t>
      </w:r>
      <w:r>
        <w:rPr>
          <w:color w:val="auto"/>
          <w:sz w:val="24"/>
          <w:szCs w:val="24"/>
          <w:highlight w:val="none"/>
        </w:rPr>
        <w:t>4小时内确诊故障，总故障解决时间不超过16小时。</w:t>
      </w:r>
    </w:p>
    <w:p>
      <w:pPr>
        <w:pStyle w:val="3"/>
        <w:rPr>
          <w:color w:val="auto"/>
          <w:highlight w:val="none"/>
        </w:rPr>
      </w:pPr>
      <w:bookmarkStart w:id="28" w:name="_Toc63785507"/>
      <w:bookmarkStart w:id="29" w:name="_Toc17498"/>
      <w:r>
        <w:rPr>
          <w:rFonts w:hint="eastAsia"/>
          <w:color w:val="auto"/>
          <w:highlight w:val="none"/>
        </w:rPr>
        <w:t>培训要求</w:t>
      </w:r>
      <w:bookmarkEnd w:id="28"/>
      <w:bookmarkEnd w:id="29"/>
    </w:p>
    <w:p>
      <w:pPr>
        <w:pStyle w:val="107"/>
        <w:snapToGrid w:val="0"/>
        <w:spacing w:line="360" w:lineRule="auto"/>
        <w:ind w:firstLine="480"/>
        <w:rPr>
          <w:color w:val="auto"/>
          <w:sz w:val="24"/>
          <w:szCs w:val="24"/>
          <w:highlight w:val="none"/>
        </w:rPr>
      </w:pPr>
      <w:r>
        <w:rPr>
          <w:rFonts w:hint="eastAsia"/>
          <w:color w:val="auto"/>
          <w:sz w:val="24"/>
          <w:szCs w:val="24"/>
          <w:highlight w:val="none"/>
        </w:rPr>
        <w:t>对系统使用单位提供业务操作培训，应提供详细培训方案。</w:t>
      </w:r>
    </w:p>
    <w:p>
      <w:pPr>
        <w:pStyle w:val="107"/>
        <w:snapToGrid w:val="0"/>
        <w:spacing w:line="360" w:lineRule="auto"/>
        <w:ind w:firstLine="480"/>
        <w:rPr>
          <w:color w:val="auto"/>
          <w:sz w:val="24"/>
          <w:szCs w:val="24"/>
          <w:highlight w:val="none"/>
        </w:rPr>
      </w:pPr>
      <w:r>
        <w:rPr>
          <w:rFonts w:hint="eastAsia"/>
          <w:color w:val="auto"/>
          <w:sz w:val="24"/>
          <w:szCs w:val="24"/>
          <w:highlight w:val="none"/>
        </w:rPr>
        <w:t>（1）在项目试运行至项目验收期间，提供2次与项目相关的必要培训。培训时间与日期应在双方正式签订合同后由采购人和中标人共同商定。</w:t>
      </w:r>
    </w:p>
    <w:p>
      <w:pPr>
        <w:pStyle w:val="107"/>
        <w:snapToGrid w:val="0"/>
        <w:spacing w:line="360" w:lineRule="auto"/>
        <w:ind w:firstLine="480"/>
        <w:rPr>
          <w:color w:val="auto"/>
          <w:sz w:val="24"/>
          <w:szCs w:val="24"/>
          <w:highlight w:val="none"/>
        </w:rPr>
      </w:pPr>
      <w:r>
        <w:rPr>
          <w:rFonts w:hint="eastAsia"/>
          <w:color w:val="auto"/>
          <w:sz w:val="24"/>
          <w:szCs w:val="24"/>
          <w:highlight w:val="none"/>
        </w:rPr>
        <w:t>（</w:t>
      </w:r>
      <w:r>
        <w:rPr>
          <w:color w:val="auto"/>
          <w:sz w:val="24"/>
          <w:szCs w:val="24"/>
          <w:highlight w:val="none"/>
        </w:rPr>
        <w:t>2</w:t>
      </w:r>
      <w:r>
        <w:rPr>
          <w:rFonts w:hint="eastAsia"/>
          <w:color w:val="auto"/>
          <w:sz w:val="24"/>
          <w:szCs w:val="24"/>
          <w:highlight w:val="none"/>
        </w:rPr>
        <w:t>）中标人需要开展分层次的人员培训工作，每次培训后应对参加培训人员进行测试，评估培训成果。培训应具有培训教材、培训环境和高水平的培训讲师。</w:t>
      </w:r>
    </w:p>
    <w:p>
      <w:pPr>
        <w:pStyle w:val="107"/>
        <w:snapToGrid w:val="0"/>
        <w:spacing w:line="360" w:lineRule="auto"/>
        <w:ind w:firstLine="480"/>
        <w:rPr>
          <w:color w:val="auto"/>
          <w:sz w:val="24"/>
          <w:szCs w:val="24"/>
          <w:highlight w:val="none"/>
        </w:rPr>
      </w:pPr>
      <w:r>
        <w:rPr>
          <w:rFonts w:hint="eastAsia"/>
          <w:color w:val="auto"/>
          <w:sz w:val="24"/>
          <w:szCs w:val="24"/>
          <w:highlight w:val="none"/>
        </w:rPr>
        <w:t>（</w:t>
      </w:r>
      <w:r>
        <w:rPr>
          <w:color w:val="auto"/>
          <w:sz w:val="24"/>
          <w:szCs w:val="24"/>
          <w:highlight w:val="none"/>
        </w:rPr>
        <w:t>3</w:t>
      </w:r>
      <w:r>
        <w:rPr>
          <w:rFonts w:hint="eastAsia"/>
          <w:color w:val="auto"/>
          <w:sz w:val="24"/>
          <w:szCs w:val="24"/>
          <w:highlight w:val="none"/>
        </w:rPr>
        <w:t>）中标人应提供对软件使用人员和管理人员的培训，培训内容包括软件的使用及维护培训，使受训者能够独立、熟练地完成系统运行维护与操作，实现依据本合同所规定的系统运行保障的目标。</w:t>
      </w:r>
    </w:p>
    <w:p>
      <w:pPr>
        <w:pStyle w:val="3"/>
        <w:rPr>
          <w:color w:val="auto"/>
          <w:highlight w:val="none"/>
        </w:rPr>
      </w:pPr>
      <w:bookmarkStart w:id="30" w:name="_Toc18768"/>
      <w:r>
        <w:rPr>
          <w:rFonts w:hint="eastAsia"/>
          <w:color w:val="auto"/>
          <w:highlight w:val="none"/>
        </w:rPr>
        <w:t>验收要求</w:t>
      </w:r>
      <w:bookmarkEnd w:id="30"/>
    </w:p>
    <w:p>
      <w:pPr>
        <w:pStyle w:val="107"/>
        <w:snapToGrid w:val="0"/>
        <w:spacing w:line="360" w:lineRule="auto"/>
        <w:ind w:firstLine="480"/>
        <w:rPr>
          <w:color w:val="auto"/>
          <w:sz w:val="24"/>
          <w:szCs w:val="24"/>
          <w:highlight w:val="none"/>
        </w:rPr>
      </w:pPr>
      <w:r>
        <w:rPr>
          <w:rFonts w:hint="eastAsia"/>
          <w:color w:val="auto"/>
          <w:sz w:val="24"/>
          <w:szCs w:val="24"/>
          <w:highlight w:val="none"/>
        </w:rPr>
        <w:t>本项目按下述方式开展验收。</w:t>
      </w:r>
    </w:p>
    <w:p>
      <w:pPr>
        <w:pStyle w:val="107"/>
        <w:snapToGrid w:val="0"/>
        <w:spacing w:line="360" w:lineRule="auto"/>
        <w:ind w:firstLine="480"/>
        <w:rPr>
          <w:color w:val="auto"/>
          <w:sz w:val="24"/>
          <w:szCs w:val="24"/>
          <w:highlight w:val="none"/>
        </w:rPr>
      </w:pPr>
      <w:r>
        <w:rPr>
          <w:rFonts w:hint="eastAsia"/>
          <w:color w:val="auto"/>
          <w:sz w:val="24"/>
          <w:szCs w:val="24"/>
          <w:highlight w:val="none"/>
        </w:rPr>
        <w:t>（</w:t>
      </w:r>
      <w:r>
        <w:rPr>
          <w:color w:val="auto"/>
          <w:sz w:val="24"/>
          <w:szCs w:val="24"/>
          <w:highlight w:val="none"/>
        </w:rPr>
        <w:t>1）验收分初验和终验。</w:t>
      </w:r>
    </w:p>
    <w:p>
      <w:pPr>
        <w:pStyle w:val="107"/>
        <w:snapToGrid w:val="0"/>
        <w:spacing w:line="360" w:lineRule="auto"/>
        <w:ind w:firstLine="480"/>
        <w:rPr>
          <w:color w:val="auto"/>
          <w:sz w:val="24"/>
          <w:szCs w:val="24"/>
          <w:highlight w:val="none"/>
        </w:rPr>
      </w:pPr>
      <w:r>
        <w:rPr>
          <w:rFonts w:hint="eastAsia"/>
          <w:color w:val="auto"/>
          <w:sz w:val="24"/>
          <w:szCs w:val="24"/>
          <w:highlight w:val="none"/>
        </w:rPr>
        <w:t>（</w:t>
      </w:r>
      <w:r>
        <w:rPr>
          <w:color w:val="auto"/>
          <w:sz w:val="24"/>
          <w:szCs w:val="24"/>
          <w:highlight w:val="none"/>
        </w:rPr>
        <w:t>2）初验前，中标人须完成软件开发、软件安装和信息系统的调试等，并对本项目进行功能和运行检测，确保所有信息系统功能模块能够正常运行且已达到本项目约定的各类标准要求。中标人应以书面形式向</w:t>
      </w:r>
      <w:r>
        <w:rPr>
          <w:rFonts w:hint="eastAsia"/>
          <w:color w:val="auto"/>
          <w:sz w:val="24"/>
          <w:szCs w:val="24"/>
          <w:highlight w:val="none"/>
        </w:rPr>
        <w:t>采购人</w:t>
      </w:r>
      <w:r>
        <w:rPr>
          <w:color w:val="auto"/>
          <w:sz w:val="24"/>
          <w:szCs w:val="24"/>
          <w:highlight w:val="none"/>
        </w:rPr>
        <w:t>递交初验</w:t>
      </w:r>
      <w:r>
        <w:rPr>
          <w:rFonts w:hint="eastAsia"/>
          <w:color w:val="auto"/>
          <w:sz w:val="24"/>
          <w:szCs w:val="24"/>
          <w:highlight w:val="none"/>
        </w:rPr>
        <w:t>申请</w:t>
      </w:r>
      <w:r>
        <w:rPr>
          <w:color w:val="auto"/>
          <w:sz w:val="24"/>
          <w:szCs w:val="24"/>
          <w:highlight w:val="none"/>
        </w:rPr>
        <w:t>书。</w:t>
      </w:r>
      <w:r>
        <w:rPr>
          <w:rFonts w:hint="eastAsia"/>
          <w:color w:val="auto"/>
          <w:sz w:val="24"/>
          <w:szCs w:val="24"/>
          <w:highlight w:val="none"/>
        </w:rPr>
        <w:t>采购人</w:t>
      </w:r>
      <w:r>
        <w:rPr>
          <w:color w:val="auto"/>
          <w:sz w:val="24"/>
          <w:szCs w:val="24"/>
          <w:highlight w:val="none"/>
        </w:rPr>
        <w:t>应当在接到</w:t>
      </w:r>
      <w:r>
        <w:rPr>
          <w:rFonts w:hint="eastAsia"/>
          <w:color w:val="auto"/>
          <w:sz w:val="24"/>
          <w:szCs w:val="24"/>
          <w:highlight w:val="none"/>
        </w:rPr>
        <w:t>初验申请</w:t>
      </w:r>
      <w:r>
        <w:rPr>
          <w:color w:val="auto"/>
          <w:sz w:val="24"/>
          <w:szCs w:val="24"/>
          <w:highlight w:val="none"/>
        </w:rPr>
        <w:t>后的5个工作日内确定初验的具体日期，</w:t>
      </w:r>
      <w:r>
        <w:rPr>
          <w:rFonts w:hint="eastAsia"/>
          <w:color w:val="auto"/>
          <w:sz w:val="24"/>
          <w:szCs w:val="24"/>
          <w:highlight w:val="none"/>
        </w:rPr>
        <w:t>初验时间应不晚于双方签订合同之日起</w:t>
      </w:r>
      <w:r>
        <w:rPr>
          <w:color w:val="auto"/>
          <w:sz w:val="24"/>
          <w:szCs w:val="24"/>
          <w:highlight w:val="none"/>
        </w:rPr>
        <w:t>6个月</w:t>
      </w:r>
      <w:r>
        <w:rPr>
          <w:rFonts w:hint="eastAsia"/>
          <w:color w:val="auto"/>
          <w:sz w:val="24"/>
          <w:szCs w:val="24"/>
          <w:highlight w:val="none"/>
        </w:rPr>
        <w:t>，</w:t>
      </w:r>
      <w:r>
        <w:rPr>
          <w:color w:val="auto"/>
          <w:sz w:val="24"/>
          <w:szCs w:val="24"/>
          <w:highlight w:val="none"/>
        </w:rPr>
        <w:t>由双方按照本项目的约定完成本项目的初验。</w:t>
      </w:r>
    </w:p>
    <w:p>
      <w:pPr>
        <w:pStyle w:val="107"/>
        <w:snapToGrid w:val="0"/>
        <w:spacing w:line="360" w:lineRule="auto"/>
        <w:ind w:firstLine="480"/>
        <w:rPr>
          <w:color w:val="auto"/>
          <w:sz w:val="24"/>
          <w:szCs w:val="24"/>
          <w:highlight w:val="none"/>
        </w:rPr>
      </w:pPr>
      <w:r>
        <w:rPr>
          <w:rFonts w:hint="eastAsia"/>
          <w:color w:val="auto"/>
          <w:sz w:val="24"/>
          <w:szCs w:val="24"/>
          <w:highlight w:val="none"/>
        </w:rPr>
        <w:t>（</w:t>
      </w:r>
      <w:r>
        <w:rPr>
          <w:color w:val="auto"/>
          <w:sz w:val="24"/>
          <w:szCs w:val="24"/>
          <w:highlight w:val="none"/>
        </w:rPr>
        <w:t>3）初验时，中标人须提供软件文档包括《用户需求说明书》、《系统概要设计说明书》、《系统详细设计说明书》、</w:t>
      </w:r>
      <w:r>
        <w:rPr>
          <w:rFonts w:hint="eastAsia"/>
          <w:color w:val="auto"/>
          <w:sz w:val="24"/>
          <w:szCs w:val="24"/>
          <w:highlight w:val="none"/>
        </w:rPr>
        <w:t>《三方功能需求确认单》、</w:t>
      </w:r>
      <w:r>
        <w:rPr>
          <w:color w:val="auto"/>
          <w:sz w:val="24"/>
          <w:szCs w:val="24"/>
          <w:highlight w:val="none"/>
        </w:rPr>
        <w:t>《测试报告》、《用户使用手册》、《系统部署文档》等及可安装的程序运行文件。所交付的文档与文件应当是可供自然人阅读的书面和电子文档。软件文档及可安装的程序运行文件验收通过后，视为初验通过。如有缺陷，</w:t>
      </w:r>
      <w:r>
        <w:rPr>
          <w:rFonts w:hint="eastAsia"/>
          <w:color w:val="auto"/>
          <w:sz w:val="24"/>
          <w:szCs w:val="24"/>
          <w:highlight w:val="none"/>
        </w:rPr>
        <w:t>采购人</w:t>
      </w:r>
      <w:r>
        <w:rPr>
          <w:color w:val="auto"/>
          <w:sz w:val="24"/>
          <w:szCs w:val="24"/>
          <w:highlight w:val="none"/>
        </w:rPr>
        <w:t>应向中标人出具书面报告，陈述需要改进的缺陷。中标人应立即严格依照</w:t>
      </w:r>
      <w:r>
        <w:rPr>
          <w:rFonts w:hint="eastAsia"/>
          <w:color w:val="auto"/>
          <w:sz w:val="24"/>
          <w:szCs w:val="24"/>
          <w:highlight w:val="none"/>
        </w:rPr>
        <w:t>采购人</w:t>
      </w:r>
      <w:r>
        <w:rPr>
          <w:color w:val="auto"/>
          <w:sz w:val="24"/>
          <w:szCs w:val="24"/>
          <w:highlight w:val="none"/>
        </w:rPr>
        <w:t>的书面报告中的要求改进缺陷，并再次进行初验。</w:t>
      </w:r>
    </w:p>
    <w:p>
      <w:pPr>
        <w:pStyle w:val="107"/>
        <w:snapToGrid w:val="0"/>
        <w:spacing w:line="360" w:lineRule="auto"/>
        <w:ind w:firstLine="480"/>
        <w:rPr>
          <w:color w:val="auto"/>
          <w:sz w:val="24"/>
          <w:szCs w:val="24"/>
          <w:highlight w:val="none"/>
        </w:rPr>
      </w:pPr>
      <w:r>
        <w:rPr>
          <w:rFonts w:hint="eastAsia"/>
          <w:color w:val="auto"/>
          <w:sz w:val="24"/>
          <w:szCs w:val="24"/>
          <w:highlight w:val="none"/>
        </w:rPr>
        <w:t>（</w:t>
      </w:r>
      <w:r>
        <w:rPr>
          <w:color w:val="auto"/>
          <w:sz w:val="24"/>
          <w:szCs w:val="24"/>
          <w:highlight w:val="none"/>
        </w:rPr>
        <w:t>4）自初验通过之日起，</w:t>
      </w:r>
      <w:r>
        <w:rPr>
          <w:rFonts w:hint="eastAsia"/>
          <w:color w:val="auto"/>
          <w:sz w:val="24"/>
          <w:szCs w:val="24"/>
          <w:highlight w:val="none"/>
        </w:rPr>
        <w:t>采购人</w:t>
      </w:r>
      <w:r>
        <w:rPr>
          <w:color w:val="auto"/>
          <w:sz w:val="24"/>
          <w:szCs w:val="24"/>
          <w:highlight w:val="none"/>
        </w:rPr>
        <w:t>享有中标人免费提供的30天的信息系统试运行现场驻场服务期。该期间内，中标人应当按照</w:t>
      </w:r>
      <w:r>
        <w:rPr>
          <w:rFonts w:hint="eastAsia"/>
          <w:color w:val="auto"/>
          <w:sz w:val="24"/>
          <w:szCs w:val="24"/>
          <w:highlight w:val="none"/>
        </w:rPr>
        <w:t>采购人</w:t>
      </w:r>
      <w:r>
        <w:rPr>
          <w:color w:val="auto"/>
          <w:sz w:val="24"/>
          <w:szCs w:val="24"/>
          <w:highlight w:val="none"/>
        </w:rPr>
        <w:t>的要求</w:t>
      </w:r>
      <w:r>
        <w:rPr>
          <w:rFonts w:hint="eastAsia"/>
          <w:color w:val="auto"/>
          <w:sz w:val="24"/>
          <w:szCs w:val="24"/>
          <w:highlight w:val="none"/>
        </w:rPr>
        <w:t>，由开发团队技术人员</w:t>
      </w:r>
      <w:r>
        <w:rPr>
          <w:color w:val="auto"/>
          <w:sz w:val="24"/>
          <w:szCs w:val="24"/>
          <w:highlight w:val="none"/>
        </w:rPr>
        <w:t>现场技术支持服务，解决信息系统试运行期间可能出现的各类问题，或进一步提高与完善信息系统运行水平。</w:t>
      </w:r>
    </w:p>
    <w:p>
      <w:pPr>
        <w:pStyle w:val="107"/>
        <w:snapToGrid w:val="0"/>
        <w:spacing w:line="360" w:lineRule="auto"/>
        <w:ind w:firstLine="480"/>
        <w:rPr>
          <w:color w:val="auto"/>
          <w:sz w:val="24"/>
          <w:szCs w:val="24"/>
          <w:highlight w:val="none"/>
        </w:rPr>
      </w:pPr>
      <w:r>
        <w:rPr>
          <w:rFonts w:hint="eastAsia"/>
          <w:color w:val="auto"/>
          <w:sz w:val="24"/>
          <w:szCs w:val="24"/>
          <w:highlight w:val="none"/>
        </w:rPr>
        <w:t>（</w:t>
      </w:r>
      <w:r>
        <w:rPr>
          <w:color w:val="auto"/>
          <w:sz w:val="24"/>
          <w:szCs w:val="24"/>
          <w:highlight w:val="none"/>
        </w:rPr>
        <w:t>5）初验通过且信息系统试运行期已经达到本项目约定的时间，经中标人确认信息系统具备正常运行条件，且信息系统通过</w:t>
      </w:r>
      <w:r>
        <w:rPr>
          <w:rFonts w:hint="eastAsia"/>
          <w:color w:val="auto"/>
          <w:sz w:val="24"/>
          <w:szCs w:val="24"/>
          <w:highlight w:val="none"/>
        </w:rPr>
        <w:t>具有资质的第三方测评机构的安全测评、软件</w:t>
      </w:r>
      <w:r>
        <w:rPr>
          <w:color w:val="auto"/>
          <w:sz w:val="24"/>
          <w:szCs w:val="24"/>
          <w:highlight w:val="none"/>
        </w:rPr>
        <w:t>测试</w:t>
      </w:r>
      <w:r>
        <w:rPr>
          <w:rFonts w:hint="eastAsia"/>
          <w:color w:val="auto"/>
          <w:sz w:val="24"/>
          <w:szCs w:val="24"/>
          <w:highlight w:val="none"/>
        </w:rPr>
        <w:t>和密码应用测评</w:t>
      </w:r>
      <w:r>
        <w:rPr>
          <w:color w:val="auto"/>
          <w:sz w:val="24"/>
          <w:szCs w:val="24"/>
          <w:highlight w:val="none"/>
        </w:rPr>
        <w:t>，</w:t>
      </w:r>
      <w:r>
        <w:rPr>
          <w:rFonts w:hint="eastAsia"/>
          <w:color w:val="auto"/>
          <w:sz w:val="24"/>
          <w:szCs w:val="24"/>
          <w:highlight w:val="none"/>
        </w:rPr>
        <w:t>测评机构由甲方另项聘请。</w:t>
      </w:r>
      <w:r>
        <w:rPr>
          <w:color w:val="auto"/>
          <w:sz w:val="24"/>
          <w:szCs w:val="24"/>
          <w:highlight w:val="none"/>
        </w:rPr>
        <w:t>中标人应以书面形式</w:t>
      </w:r>
      <w:r>
        <w:rPr>
          <w:rFonts w:hint="eastAsia"/>
          <w:color w:val="auto"/>
          <w:sz w:val="24"/>
          <w:szCs w:val="24"/>
          <w:highlight w:val="none"/>
        </w:rPr>
        <w:t>向采购人递交</w:t>
      </w:r>
      <w:r>
        <w:rPr>
          <w:color w:val="auto"/>
          <w:sz w:val="24"/>
          <w:szCs w:val="24"/>
          <w:highlight w:val="none"/>
        </w:rPr>
        <w:t>终验</w:t>
      </w:r>
      <w:r>
        <w:rPr>
          <w:rFonts w:hint="eastAsia"/>
          <w:color w:val="auto"/>
          <w:sz w:val="24"/>
          <w:szCs w:val="24"/>
          <w:highlight w:val="none"/>
        </w:rPr>
        <w:t>申请书</w:t>
      </w:r>
      <w:r>
        <w:rPr>
          <w:color w:val="auto"/>
          <w:sz w:val="24"/>
          <w:szCs w:val="24"/>
          <w:highlight w:val="none"/>
        </w:rPr>
        <w:t>。</w:t>
      </w:r>
      <w:r>
        <w:rPr>
          <w:rFonts w:hint="eastAsia"/>
          <w:color w:val="auto"/>
          <w:sz w:val="24"/>
          <w:szCs w:val="24"/>
          <w:highlight w:val="none"/>
        </w:rPr>
        <w:t>采购人</w:t>
      </w:r>
      <w:r>
        <w:rPr>
          <w:color w:val="auto"/>
          <w:sz w:val="24"/>
          <w:szCs w:val="24"/>
          <w:highlight w:val="none"/>
        </w:rPr>
        <w:t>在收到终验通知后</w:t>
      </w:r>
      <w:r>
        <w:rPr>
          <w:rFonts w:hint="eastAsia"/>
          <w:color w:val="auto"/>
          <w:sz w:val="24"/>
          <w:szCs w:val="24"/>
          <w:highlight w:val="none"/>
        </w:rPr>
        <w:t>按照建设类项目验收程序</w:t>
      </w:r>
      <w:r>
        <w:rPr>
          <w:color w:val="auto"/>
          <w:sz w:val="24"/>
          <w:szCs w:val="24"/>
          <w:highlight w:val="none"/>
        </w:rPr>
        <w:t>组织验收。</w:t>
      </w:r>
    </w:p>
    <w:p>
      <w:pPr>
        <w:pStyle w:val="107"/>
        <w:snapToGrid w:val="0"/>
        <w:spacing w:line="360" w:lineRule="auto"/>
        <w:ind w:firstLine="480"/>
        <w:rPr>
          <w:color w:val="auto"/>
          <w:sz w:val="24"/>
          <w:szCs w:val="24"/>
          <w:highlight w:val="none"/>
        </w:rPr>
      </w:pPr>
      <w:r>
        <w:rPr>
          <w:rFonts w:hint="eastAsia"/>
          <w:color w:val="auto"/>
          <w:sz w:val="24"/>
          <w:szCs w:val="24"/>
          <w:highlight w:val="none"/>
        </w:rPr>
        <w:t>（6</w:t>
      </w:r>
      <w:r>
        <w:rPr>
          <w:color w:val="auto"/>
          <w:sz w:val="24"/>
          <w:szCs w:val="24"/>
          <w:highlight w:val="none"/>
        </w:rPr>
        <w:t>）如果属于中标人原因致使本项目未能通过</w:t>
      </w:r>
      <w:r>
        <w:rPr>
          <w:rFonts w:hint="eastAsia"/>
          <w:color w:val="auto"/>
          <w:sz w:val="24"/>
          <w:szCs w:val="24"/>
          <w:highlight w:val="none"/>
        </w:rPr>
        <w:t>验收</w:t>
      </w:r>
      <w:r>
        <w:rPr>
          <w:color w:val="auto"/>
          <w:sz w:val="24"/>
          <w:szCs w:val="24"/>
          <w:highlight w:val="none"/>
        </w:rPr>
        <w:t>，中标人应当排除缺陷，直至本项目完全符合验收标准，由上述情形而产生的相关费用应由中标人自行承担。</w:t>
      </w:r>
    </w:p>
    <w:p>
      <w:pPr>
        <w:pStyle w:val="107"/>
        <w:snapToGrid w:val="0"/>
        <w:spacing w:line="360" w:lineRule="auto"/>
        <w:ind w:firstLine="480"/>
        <w:rPr>
          <w:color w:val="auto"/>
          <w:sz w:val="24"/>
          <w:szCs w:val="24"/>
          <w:highlight w:val="none"/>
        </w:rPr>
      </w:pPr>
      <w:r>
        <w:rPr>
          <w:rFonts w:hint="eastAsia"/>
          <w:color w:val="auto"/>
          <w:sz w:val="24"/>
          <w:szCs w:val="24"/>
          <w:highlight w:val="none"/>
        </w:rPr>
        <w:t>（7</w:t>
      </w:r>
      <w:r>
        <w:rPr>
          <w:color w:val="auto"/>
          <w:sz w:val="24"/>
          <w:szCs w:val="24"/>
          <w:highlight w:val="none"/>
        </w:rPr>
        <w:t>）如果由于</w:t>
      </w:r>
      <w:r>
        <w:rPr>
          <w:rFonts w:hint="eastAsia"/>
          <w:color w:val="auto"/>
          <w:sz w:val="24"/>
          <w:szCs w:val="24"/>
          <w:highlight w:val="none"/>
        </w:rPr>
        <w:t>采购人</w:t>
      </w:r>
      <w:r>
        <w:rPr>
          <w:color w:val="auto"/>
          <w:sz w:val="24"/>
          <w:szCs w:val="24"/>
          <w:highlight w:val="none"/>
        </w:rPr>
        <w:t>原因导致本项目在终验通过前出现故障或问题，中标人应及时配合排除该方面的故障或问题。</w:t>
      </w:r>
    </w:p>
    <w:p>
      <w:pPr>
        <w:pStyle w:val="107"/>
        <w:snapToGrid w:val="0"/>
        <w:spacing w:line="360" w:lineRule="auto"/>
        <w:ind w:firstLine="480"/>
        <w:rPr>
          <w:color w:val="auto"/>
          <w:szCs w:val="21"/>
          <w:highlight w:val="none"/>
        </w:rPr>
      </w:pPr>
      <w:r>
        <w:rPr>
          <w:rFonts w:hint="eastAsia"/>
          <w:color w:val="auto"/>
          <w:sz w:val="24"/>
          <w:szCs w:val="24"/>
          <w:highlight w:val="none"/>
        </w:rPr>
        <w:t>（8</w:t>
      </w:r>
      <w:r>
        <w:rPr>
          <w:color w:val="auto"/>
          <w:sz w:val="24"/>
          <w:szCs w:val="24"/>
          <w:highlight w:val="none"/>
        </w:rPr>
        <w:t>）如本项目连续2次验收未通过（含初验未通过或终验未通过），</w:t>
      </w:r>
      <w:r>
        <w:rPr>
          <w:rFonts w:hint="eastAsia"/>
          <w:color w:val="auto"/>
          <w:sz w:val="24"/>
          <w:szCs w:val="24"/>
          <w:highlight w:val="none"/>
        </w:rPr>
        <w:t>采购人</w:t>
      </w:r>
      <w:r>
        <w:rPr>
          <w:color w:val="auto"/>
          <w:sz w:val="24"/>
          <w:szCs w:val="24"/>
          <w:highlight w:val="none"/>
        </w:rPr>
        <w:t>有权解除项目，并有权依照本项目约定的违约条款追究中标人的违约责任。</w:t>
      </w:r>
    </w:p>
    <w:p>
      <w:pPr>
        <w:pStyle w:val="3"/>
        <w:rPr>
          <w:color w:val="auto"/>
          <w:highlight w:val="none"/>
        </w:rPr>
      </w:pPr>
      <w:bookmarkStart w:id="31" w:name="_Toc16573"/>
      <w:r>
        <w:rPr>
          <w:rFonts w:hint="eastAsia"/>
          <w:color w:val="auto"/>
          <w:highlight w:val="none"/>
        </w:rPr>
        <w:t>进度要求</w:t>
      </w:r>
      <w:bookmarkEnd w:id="31"/>
    </w:p>
    <w:p>
      <w:pPr>
        <w:pStyle w:val="107"/>
        <w:snapToGrid w:val="0"/>
        <w:spacing w:line="360" w:lineRule="auto"/>
        <w:ind w:firstLine="480"/>
        <w:rPr>
          <w:color w:val="auto"/>
          <w:sz w:val="24"/>
          <w:szCs w:val="24"/>
          <w:highlight w:val="none"/>
        </w:rPr>
      </w:pPr>
      <w:r>
        <w:rPr>
          <w:rFonts w:hint="eastAsia"/>
          <w:color w:val="auto"/>
          <w:sz w:val="24"/>
          <w:szCs w:val="24"/>
          <w:highlight w:val="none"/>
        </w:rPr>
        <w:t>投标人应根据建设内容，分阶段制定合理的时间进度，并且应根据采购人要求进行调整和细化。</w:t>
      </w:r>
    </w:p>
    <w:p>
      <w:pPr>
        <w:pStyle w:val="107"/>
        <w:snapToGrid w:val="0"/>
        <w:spacing w:line="360" w:lineRule="auto"/>
        <w:ind w:firstLine="480"/>
        <w:rPr>
          <w:color w:val="auto"/>
          <w:sz w:val="24"/>
          <w:szCs w:val="24"/>
          <w:highlight w:val="none"/>
        </w:rPr>
      </w:pPr>
      <w:r>
        <w:rPr>
          <w:rFonts w:hint="eastAsia"/>
          <w:color w:val="auto"/>
          <w:sz w:val="24"/>
          <w:szCs w:val="24"/>
          <w:highlight w:val="none"/>
        </w:rPr>
        <w:t>服务期限：自合同签订之日起6个月内完成，其中包括为期1个月的试运行。</w:t>
      </w:r>
    </w:p>
    <w:p>
      <w:pPr>
        <w:pStyle w:val="3"/>
        <w:rPr>
          <w:color w:val="auto"/>
          <w:highlight w:val="none"/>
        </w:rPr>
      </w:pPr>
      <w:bookmarkStart w:id="32" w:name="_Toc11958"/>
      <w:r>
        <w:rPr>
          <w:rFonts w:hint="eastAsia"/>
          <w:color w:val="auto"/>
          <w:highlight w:val="none"/>
        </w:rPr>
        <w:t>企业综合能力要求</w:t>
      </w:r>
      <w:bookmarkEnd w:id="32"/>
    </w:p>
    <w:p>
      <w:pPr>
        <w:snapToGrid w:val="0"/>
        <w:rPr>
          <w:color w:val="auto"/>
          <w:highlight w:val="none"/>
        </w:rPr>
      </w:pPr>
      <w:r>
        <w:rPr>
          <w:rFonts w:hint="eastAsia"/>
          <w:color w:val="auto"/>
          <w:highlight w:val="none"/>
        </w:rPr>
        <w:t>供应商</w:t>
      </w:r>
      <w:r>
        <w:rPr>
          <w:color w:val="auto"/>
          <w:highlight w:val="none"/>
        </w:rPr>
        <w:t>具有软件企业证书</w:t>
      </w:r>
      <w:r>
        <w:rPr>
          <w:rFonts w:hint="eastAsia"/>
          <w:color w:val="auto"/>
          <w:highlight w:val="none"/>
        </w:rPr>
        <w:t>以及</w:t>
      </w:r>
      <w:r>
        <w:rPr>
          <w:color w:val="auto"/>
          <w:highlight w:val="none"/>
        </w:rPr>
        <w:t>具备船舶管理类、内河监管类、码头监管类等类似相关的软件著作权证书</w:t>
      </w:r>
      <w:r>
        <w:rPr>
          <w:rFonts w:hint="eastAsia"/>
          <w:color w:val="auto"/>
          <w:highlight w:val="none"/>
        </w:rPr>
        <w:t>的优先考虑。</w:t>
      </w:r>
    </w:p>
    <w:p>
      <w:pPr>
        <w:pStyle w:val="3"/>
        <w:rPr>
          <w:color w:val="auto"/>
          <w:highlight w:val="none"/>
        </w:rPr>
      </w:pPr>
      <w:bookmarkStart w:id="33" w:name="_Toc63785510"/>
      <w:bookmarkStart w:id="34" w:name="_Toc29308"/>
      <w:r>
        <w:rPr>
          <w:rFonts w:hint="eastAsia"/>
          <w:color w:val="auto"/>
          <w:highlight w:val="none"/>
        </w:rPr>
        <w:t>项目团队及驻场人员要求</w:t>
      </w:r>
      <w:bookmarkEnd w:id="33"/>
      <w:bookmarkEnd w:id="34"/>
    </w:p>
    <w:p>
      <w:pPr>
        <w:pStyle w:val="107"/>
        <w:snapToGrid w:val="0"/>
        <w:spacing w:line="360" w:lineRule="auto"/>
        <w:ind w:firstLine="480"/>
        <w:rPr>
          <w:color w:val="auto"/>
          <w:sz w:val="24"/>
          <w:szCs w:val="24"/>
          <w:highlight w:val="none"/>
        </w:rPr>
      </w:pPr>
      <w:r>
        <w:rPr>
          <w:rFonts w:hint="eastAsia"/>
          <w:color w:val="auto"/>
          <w:sz w:val="24"/>
          <w:szCs w:val="24"/>
          <w:highlight w:val="none"/>
        </w:rPr>
        <w:t>项目组人员不少于14人（包括项目</w:t>
      </w:r>
      <w:r>
        <w:rPr>
          <w:rFonts w:hint="eastAsia"/>
          <w:color w:val="auto"/>
          <w:sz w:val="24"/>
          <w:szCs w:val="24"/>
          <w:highlight w:val="none"/>
          <w:lang w:eastAsia="zh-CN"/>
        </w:rPr>
        <w:t>负责人</w:t>
      </w:r>
      <w:r>
        <w:rPr>
          <w:rFonts w:hint="eastAsia"/>
          <w:color w:val="auto"/>
          <w:sz w:val="24"/>
          <w:szCs w:val="24"/>
          <w:highlight w:val="none"/>
        </w:rPr>
        <w:t>、产品经理、研发）</w:t>
      </w:r>
      <w:r>
        <w:rPr>
          <w:color w:val="auto"/>
          <w:sz w:val="24"/>
          <w:szCs w:val="24"/>
          <w:highlight w:val="none"/>
        </w:rPr>
        <w:t>，</w:t>
      </w:r>
      <w:r>
        <w:rPr>
          <w:rFonts w:hint="eastAsia"/>
          <w:color w:val="auto"/>
          <w:sz w:val="24"/>
          <w:szCs w:val="24"/>
          <w:highlight w:val="none"/>
        </w:rPr>
        <w:t>且提供至少8人的驻场服务，</w:t>
      </w:r>
      <w:r>
        <w:rPr>
          <w:color w:val="auto"/>
          <w:sz w:val="24"/>
          <w:szCs w:val="24"/>
          <w:highlight w:val="none"/>
        </w:rPr>
        <w:t>应将项目组成员资质证明材料提交审核。应承诺可按采购人要求在指定场所内</w:t>
      </w:r>
      <w:r>
        <w:rPr>
          <w:rFonts w:hint="eastAsia"/>
          <w:color w:val="auto"/>
          <w:sz w:val="24"/>
          <w:szCs w:val="24"/>
          <w:highlight w:val="none"/>
        </w:rPr>
        <w:t>（武进路151号）</w:t>
      </w:r>
      <w:r>
        <w:rPr>
          <w:color w:val="auto"/>
          <w:sz w:val="24"/>
          <w:szCs w:val="24"/>
          <w:highlight w:val="none"/>
        </w:rPr>
        <w:t>进行实施工作（网络环境由采购人负责解决），场所办公环境内其他必要设备双方可协商解决。</w:t>
      </w:r>
    </w:p>
    <w:p>
      <w:pPr>
        <w:pStyle w:val="107"/>
        <w:snapToGrid w:val="0"/>
        <w:spacing w:line="360" w:lineRule="auto"/>
        <w:ind w:firstLine="480"/>
        <w:rPr>
          <w:color w:val="auto"/>
          <w:sz w:val="24"/>
          <w:szCs w:val="24"/>
          <w:highlight w:val="none"/>
        </w:rPr>
      </w:pPr>
      <w:r>
        <w:rPr>
          <w:rFonts w:hint="eastAsia"/>
          <w:color w:val="auto"/>
          <w:sz w:val="24"/>
          <w:szCs w:val="24"/>
          <w:highlight w:val="none"/>
        </w:rPr>
        <w:t>项目</w:t>
      </w:r>
      <w:r>
        <w:rPr>
          <w:rFonts w:hint="eastAsia"/>
          <w:color w:val="auto"/>
          <w:sz w:val="24"/>
          <w:szCs w:val="24"/>
          <w:highlight w:val="none"/>
          <w:lang w:eastAsia="zh-CN"/>
        </w:rPr>
        <w:t>负责人</w:t>
      </w:r>
      <w:r>
        <w:rPr>
          <w:rFonts w:hint="eastAsia"/>
          <w:color w:val="auto"/>
          <w:sz w:val="24"/>
          <w:szCs w:val="24"/>
          <w:highlight w:val="none"/>
        </w:rPr>
        <w:t>要求：项目</w:t>
      </w:r>
      <w:r>
        <w:rPr>
          <w:rFonts w:hint="eastAsia"/>
          <w:color w:val="auto"/>
          <w:sz w:val="24"/>
          <w:szCs w:val="24"/>
          <w:highlight w:val="none"/>
          <w:lang w:eastAsia="zh-CN"/>
        </w:rPr>
        <w:t>负责人</w:t>
      </w:r>
      <w:r>
        <w:rPr>
          <w:rFonts w:hint="eastAsia"/>
          <w:color w:val="auto"/>
          <w:sz w:val="24"/>
          <w:szCs w:val="24"/>
          <w:highlight w:val="none"/>
        </w:rPr>
        <w:t>负责项目的质量和进度控制，需配备1人且必须驻场。要求硕士或以上学历，并持有信息系统项目管理师高级证书。项目负责人若具有十年以上类似管理信息系统建设项目管理经验，需提供个人资质、职称证书及类似项目经验的案例说明。项目</w:t>
      </w:r>
      <w:r>
        <w:rPr>
          <w:rFonts w:hint="eastAsia"/>
          <w:color w:val="auto"/>
          <w:sz w:val="24"/>
          <w:szCs w:val="24"/>
          <w:highlight w:val="none"/>
          <w:lang w:eastAsia="zh-CN"/>
        </w:rPr>
        <w:t>负责人</w:t>
      </w:r>
      <w:r>
        <w:rPr>
          <w:rFonts w:hint="eastAsia"/>
          <w:color w:val="auto"/>
          <w:sz w:val="24"/>
          <w:szCs w:val="24"/>
          <w:highlight w:val="none"/>
        </w:rPr>
        <w:t>在合同期内不可随意更换，如需更换应书面提交更换人选及理由，并征得采购人同意。</w:t>
      </w:r>
    </w:p>
    <w:p>
      <w:pPr>
        <w:pStyle w:val="107"/>
        <w:snapToGrid w:val="0"/>
        <w:spacing w:line="360" w:lineRule="auto"/>
        <w:ind w:firstLine="480"/>
        <w:rPr>
          <w:color w:val="auto"/>
          <w:sz w:val="24"/>
          <w:szCs w:val="24"/>
          <w:highlight w:val="none"/>
        </w:rPr>
      </w:pPr>
      <w:r>
        <w:rPr>
          <w:rFonts w:hint="eastAsia"/>
          <w:color w:val="auto"/>
          <w:sz w:val="24"/>
          <w:szCs w:val="24"/>
          <w:highlight w:val="none"/>
        </w:rPr>
        <w:t>产品经理要求：产品经理负责项目的需求评估与产品设计，需配备2人且均须驻场。要求具有计算机技术与软件</w:t>
      </w:r>
      <w:r>
        <w:rPr>
          <w:rFonts w:hint="eastAsia"/>
          <w:color w:val="auto"/>
          <w:sz w:val="24"/>
          <w:szCs w:val="24"/>
          <w:highlight w:val="none"/>
          <w:lang w:eastAsia="zh-CN"/>
        </w:rPr>
        <w:t>相关</w:t>
      </w:r>
      <w:r>
        <w:rPr>
          <w:rFonts w:hint="eastAsia"/>
          <w:color w:val="auto"/>
          <w:sz w:val="24"/>
          <w:szCs w:val="24"/>
          <w:highlight w:val="none"/>
        </w:rPr>
        <w:t>专业技术资格中级及以上证书。</w:t>
      </w:r>
    </w:p>
    <w:p>
      <w:pPr>
        <w:pStyle w:val="107"/>
        <w:snapToGrid w:val="0"/>
        <w:spacing w:line="360" w:lineRule="auto"/>
        <w:ind w:firstLine="480"/>
        <w:rPr>
          <w:color w:val="auto"/>
          <w:sz w:val="24"/>
          <w:szCs w:val="24"/>
          <w:highlight w:val="none"/>
        </w:rPr>
      </w:pPr>
      <w:r>
        <w:rPr>
          <w:rFonts w:hint="eastAsia"/>
          <w:color w:val="auto"/>
          <w:sz w:val="24"/>
          <w:szCs w:val="24"/>
          <w:highlight w:val="none"/>
        </w:rPr>
        <w:t>研发要求：研发团队负责项目具体开发与实施，需配备11人且其中至少5人需提供驻场服务。研发人员要求计算机、工程、设计等相关专业。团队中至少至少2人具有计算机技术与软件</w:t>
      </w:r>
      <w:r>
        <w:rPr>
          <w:rFonts w:hint="eastAsia"/>
          <w:color w:val="auto"/>
          <w:sz w:val="24"/>
          <w:szCs w:val="24"/>
          <w:highlight w:val="none"/>
          <w:lang w:eastAsia="zh-CN"/>
        </w:rPr>
        <w:t>相关</w:t>
      </w:r>
      <w:r>
        <w:rPr>
          <w:rFonts w:hint="eastAsia"/>
          <w:color w:val="auto"/>
          <w:sz w:val="24"/>
          <w:szCs w:val="24"/>
          <w:highlight w:val="none"/>
        </w:rPr>
        <w:t>专业技术资格中级及以上证书。</w:t>
      </w:r>
    </w:p>
    <w:p>
      <w:pPr>
        <w:pStyle w:val="107"/>
        <w:snapToGrid w:val="0"/>
        <w:spacing w:line="360" w:lineRule="auto"/>
        <w:ind w:firstLine="480"/>
        <w:rPr>
          <w:color w:val="auto"/>
          <w:sz w:val="24"/>
          <w:szCs w:val="24"/>
          <w:highlight w:val="none"/>
        </w:rPr>
      </w:pPr>
      <w:r>
        <w:rPr>
          <w:rFonts w:hint="eastAsia"/>
          <w:color w:val="auto"/>
          <w:sz w:val="24"/>
          <w:szCs w:val="24"/>
          <w:highlight w:val="none"/>
        </w:rPr>
        <w:t>项目团队所有成员均需为中标单位正式员工，提供依法缴纳社保的有效证明。</w:t>
      </w:r>
    </w:p>
    <w:tbl>
      <w:tblPr>
        <w:tblStyle w:val="3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883"/>
        <w:gridCol w:w="1180"/>
        <w:gridCol w:w="224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pPr>
              <w:widowControl/>
              <w:spacing w:line="240" w:lineRule="auto"/>
              <w:ind w:firstLine="0" w:firstLineChars="0"/>
              <w:jc w:val="center"/>
              <w:rPr>
                <w:rFonts w:ascii="Times New Roman" w:hAnsi="Times New Roman"/>
                <w:b/>
                <w:color w:val="auto"/>
                <w:highlight w:val="none"/>
              </w:rPr>
            </w:pPr>
            <w:r>
              <w:rPr>
                <w:rFonts w:ascii="Times New Roman" w:hAnsi="Times New Roman"/>
                <w:b/>
                <w:color w:val="auto"/>
                <w:highlight w:val="none"/>
              </w:rPr>
              <w:t>角色</w:t>
            </w:r>
          </w:p>
        </w:tc>
        <w:tc>
          <w:tcPr>
            <w:tcW w:w="2883" w:type="dxa"/>
            <w:shd w:val="clear" w:color="auto" w:fill="auto"/>
            <w:noWrap/>
            <w:vAlign w:val="center"/>
          </w:tcPr>
          <w:p>
            <w:pPr>
              <w:widowControl/>
              <w:spacing w:line="240" w:lineRule="auto"/>
              <w:ind w:firstLine="0" w:firstLineChars="0"/>
              <w:jc w:val="center"/>
              <w:rPr>
                <w:rFonts w:ascii="Times New Roman" w:hAnsi="Times New Roman"/>
                <w:b/>
                <w:color w:val="auto"/>
                <w:highlight w:val="none"/>
              </w:rPr>
            </w:pPr>
            <w:r>
              <w:rPr>
                <w:rFonts w:ascii="Times New Roman" w:hAnsi="Times New Roman"/>
                <w:b/>
                <w:color w:val="auto"/>
                <w:highlight w:val="none"/>
              </w:rPr>
              <w:t>主要职责</w:t>
            </w:r>
          </w:p>
        </w:tc>
        <w:tc>
          <w:tcPr>
            <w:tcW w:w="1180" w:type="dxa"/>
            <w:shd w:val="clear" w:color="auto" w:fill="auto"/>
            <w:noWrap/>
            <w:vAlign w:val="center"/>
          </w:tcPr>
          <w:p>
            <w:pPr>
              <w:widowControl/>
              <w:spacing w:line="240" w:lineRule="auto"/>
              <w:ind w:firstLine="0" w:firstLineChars="0"/>
              <w:jc w:val="center"/>
              <w:rPr>
                <w:rFonts w:ascii="Times New Roman" w:hAnsi="Times New Roman"/>
                <w:b/>
                <w:color w:val="auto"/>
                <w:highlight w:val="none"/>
              </w:rPr>
            </w:pPr>
            <w:r>
              <w:rPr>
                <w:rFonts w:ascii="Times New Roman" w:hAnsi="Times New Roman"/>
                <w:b/>
                <w:color w:val="auto"/>
                <w:highlight w:val="none"/>
              </w:rPr>
              <w:t>人员数量</w:t>
            </w:r>
          </w:p>
        </w:tc>
        <w:tc>
          <w:tcPr>
            <w:tcW w:w="2240" w:type="dxa"/>
            <w:vAlign w:val="center"/>
          </w:tcPr>
          <w:p>
            <w:pPr>
              <w:widowControl/>
              <w:spacing w:line="240" w:lineRule="auto"/>
              <w:ind w:firstLine="0" w:firstLineChars="0"/>
              <w:jc w:val="center"/>
              <w:rPr>
                <w:rFonts w:ascii="Times New Roman" w:hAnsi="Times New Roman"/>
                <w:b/>
                <w:color w:val="auto"/>
                <w:highlight w:val="none"/>
              </w:rPr>
            </w:pPr>
            <w:r>
              <w:rPr>
                <w:rFonts w:ascii="Times New Roman" w:hAnsi="Times New Roman"/>
                <w:b/>
                <w:color w:val="auto"/>
                <w:highlight w:val="none"/>
              </w:rPr>
              <w:t>人员要求</w:t>
            </w:r>
          </w:p>
        </w:tc>
        <w:tc>
          <w:tcPr>
            <w:tcW w:w="1276" w:type="dxa"/>
            <w:shd w:val="clear" w:color="auto" w:fill="auto"/>
            <w:noWrap/>
            <w:vAlign w:val="center"/>
          </w:tcPr>
          <w:p>
            <w:pPr>
              <w:widowControl/>
              <w:spacing w:line="240" w:lineRule="auto"/>
              <w:ind w:firstLine="0" w:firstLineChars="0"/>
              <w:jc w:val="center"/>
              <w:rPr>
                <w:rFonts w:ascii="Times New Roman" w:hAnsi="Times New Roman"/>
                <w:b/>
                <w:color w:val="auto"/>
                <w:highlight w:val="none"/>
              </w:rPr>
            </w:pPr>
            <w:r>
              <w:rPr>
                <w:rFonts w:ascii="Times New Roman" w:hAnsi="Times New Roman"/>
                <w:b/>
                <w:color w:val="auto"/>
                <w:highlight w:val="none"/>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pPr>
              <w:widowControl/>
              <w:spacing w:line="240" w:lineRule="auto"/>
              <w:ind w:firstLine="0" w:firstLineChars="0"/>
              <w:jc w:val="center"/>
              <w:rPr>
                <w:rFonts w:hint="eastAsia" w:ascii="Times New Roman" w:hAnsi="Times New Roman" w:eastAsia="宋体"/>
                <w:color w:val="auto"/>
                <w:highlight w:val="none"/>
                <w:lang w:eastAsia="zh-CN"/>
              </w:rPr>
            </w:pPr>
            <w:r>
              <w:rPr>
                <w:rFonts w:ascii="Times New Roman" w:hAnsi="Times New Roman"/>
                <w:color w:val="auto"/>
                <w:highlight w:val="none"/>
              </w:rPr>
              <w:t>项目</w:t>
            </w:r>
            <w:r>
              <w:rPr>
                <w:rFonts w:hint="eastAsia" w:ascii="Times New Roman" w:hAnsi="Times New Roman"/>
                <w:color w:val="auto"/>
                <w:highlight w:val="none"/>
                <w:lang w:eastAsia="zh-CN"/>
              </w:rPr>
              <w:t>负责人</w:t>
            </w:r>
          </w:p>
        </w:tc>
        <w:tc>
          <w:tcPr>
            <w:tcW w:w="2883" w:type="dxa"/>
            <w:shd w:val="clear" w:color="auto" w:fill="auto"/>
            <w:vAlign w:val="center"/>
          </w:tcPr>
          <w:p>
            <w:pPr>
              <w:widowControl/>
              <w:spacing w:line="240" w:lineRule="auto"/>
              <w:ind w:firstLine="0" w:firstLineChars="0"/>
              <w:jc w:val="center"/>
              <w:rPr>
                <w:rFonts w:ascii="Times New Roman" w:hAnsi="Times New Roman"/>
                <w:color w:val="auto"/>
                <w:highlight w:val="none"/>
              </w:rPr>
            </w:pPr>
            <w:r>
              <w:rPr>
                <w:rFonts w:ascii="Times New Roman" w:hAnsi="Times New Roman"/>
                <w:color w:val="auto"/>
                <w:highlight w:val="none"/>
              </w:rPr>
              <w:t>负责项目质量和进度控制</w:t>
            </w:r>
          </w:p>
        </w:tc>
        <w:tc>
          <w:tcPr>
            <w:tcW w:w="1180" w:type="dxa"/>
            <w:shd w:val="clear" w:color="auto" w:fill="auto"/>
            <w:noWrap/>
            <w:vAlign w:val="center"/>
          </w:tcPr>
          <w:p>
            <w:pPr>
              <w:widowControl/>
              <w:spacing w:line="240" w:lineRule="auto"/>
              <w:ind w:firstLine="0" w:firstLineChars="0"/>
              <w:jc w:val="center"/>
              <w:rPr>
                <w:rFonts w:ascii="Times New Roman" w:hAnsi="Times New Roman"/>
                <w:color w:val="auto"/>
                <w:highlight w:val="none"/>
              </w:rPr>
            </w:pPr>
            <w:r>
              <w:rPr>
                <w:rFonts w:ascii="Times New Roman" w:hAnsi="Times New Roman"/>
                <w:color w:val="auto"/>
                <w:highlight w:val="none"/>
              </w:rPr>
              <w:t>1人</w:t>
            </w:r>
          </w:p>
        </w:tc>
        <w:tc>
          <w:tcPr>
            <w:tcW w:w="2240" w:type="dxa"/>
            <w:vAlign w:val="center"/>
          </w:tcPr>
          <w:p>
            <w:pPr>
              <w:widowControl/>
              <w:spacing w:line="240" w:lineRule="auto"/>
              <w:ind w:firstLine="0" w:firstLineChars="0"/>
              <w:jc w:val="center"/>
              <w:rPr>
                <w:rFonts w:ascii="Times New Roman" w:hAnsi="Times New Roman"/>
                <w:color w:val="auto"/>
                <w:highlight w:val="none"/>
              </w:rPr>
            </w:pPr>
            <w:r>
              <w:rPr>
                <w:rFonts w:ascii="Times New Roman" w:hAnsi="Times New Roman"/>
                <w:color w:val="auto"/>
                <w:highlight w:val="none"/>
              </w:rPr>
              <w:t>硕士或以上学历，具有</w:t>
            </w:r>
            <w:r>
              <w:rPr>
                <w:rFonts w:hint="eastAsia"/>
                <w:color w:val="auto"/>
                <w:highlight w:val="none"/>
              </w:rPr>
              <w:t>信息系统项目管理师高级证书</w:t>
            </w:r>
          </w:p>
        </w:tc>
        <w:tc>
          <w:tcPr>
            <w:tcW w:w="1276" w:type="dxa"/>
            <w:shd w:val="clear" w:color="auto" w:fill="auto"/>
            <w:noWrap/>
            <w:vAlign w:val="center"/>
          </w:tcPr>
          <w:p>
            <w:pPr>
              <w:widowControl/>
              <w:spacing w:line="240" w:lineRule="auto"/>
              <w:ind w:firstLine="0" w:firstLineChars="0"/>
              <w:jc w:val="center"/>
              <w:rPr>
                <w:rFonts w:ascii="Times New Roman" w:hAnsi="Times New Roman"/>
                <w:color w:val="auto"/>
                <w:highlight w:val="none"/>
              </w:rPr>
            </w:pPr>
            <w:r>
              <w:rPr>
                <w:rFonts w:ascii="Times New Roman" w:hAnsi="Times New Roman"/>
                <w:color w:val="auto"/>
                <w:highlight w:val="none"/>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pPr>
              <w:widowControl/>
              <w:spacing w:line="240" w:lineRule="auto"/>
              <w:ind w:firstLine="0" w:firstLineChars="0"/>
              <w:jc w:val="center"/>
              <w:rPr>
                <w:rFonts w:ascii="Times New Roman" w:hAnsi="Times New Roman"/>
                <w:color w:val="auto"/>
                <w:highlight w:val="none"/>
              </w:rPr>
            </w:pPr>
            <w:r>
              <w:rPr>
                <w:rFonts w:ascii="Times New Roman" w:hAnsi="Times New Roman"/>
                <w:color w:val="auto"/>
                <w:highlight w:val="none"/>
              </w:rPr>
              <w:t>产品经理</w:t>
            </w:r>
          </w:p>
        </w:tc>
        <w:tc>
          <w:tcPr>
            <w:tcW w:w="2883" w:type="dxa"/>
            <w:shd w:val="clear" w:color="auto" w:fill="auto"/>
            <w:vAlign w:val="center"/>
          </w:tcPr>
          <w:p>
            <w:pPr>
              <w:widowControl/>
              <w:spacing w:line="240" w:lineRule="auto"/>
              <w:ind w:firstLine="0" w:firstLineChars="0"/>
              <w:jc w:val="center"/>
              <w:rPr>
                <w:rFonts w:ascii="Times New Roman" w:hAnsi="Times New Roman"/>
                <w:color w:val="auto"/>
                <w:highlight w:val="none"/>
              </w:rPr>
            </w:pPr>
            <w:r>
              <w:rPr>
                <w:rFonts w:ascii="Times New Roman" w:hAnsi="Times New Roman"/>
                <w:color w:val="auto"/>
                <w:highlight w:val="none"/>
              </w:rPr>
              <w:t>负责项目需求评估与产品设计</w:t>
            </w:r>
          </w:p>
        </w:tc>
        <w:tc>
          <w:tcPr>
            <w:tcW w:w="1180" w:type="dxa"/>
            <w:shd w:val="clear" w:color="auto" w:fill="auto"/>
            <w:noWrap/>
            <w:vAlign w:val="center"/>
          </w:tcPr>
          <w:p>
            <w:pPr>
              <w:widowControl/>
              <w:spacing w:line="240" w:lineRule="auto"/>
              <w:ind w:firstLine="0" w:firstLineChars="0"/>
              <w:jc w:val="center"/>
              <w:rPr>
                <w:rFonts w:ascii="Times New Roman" w:hAnsi="Times New Roman"/>
                <w:color w:val="auto"/>
                <w:highlight w:val="none"/>
              </w:rPr>
            </w:pPr>
            <w:r>
              <w:rPr>
                <w:rFonts w:hint="eastAsia" w:ascii="Times New Roman" w:hAnsi="Times New Roman"/>
                <w:color w:val="auto"/>
                <w:highlight w:val="none"/>
              </w:rPr>
              <w:t>2</w:t>
            </w:r>
            <w:r>
              <w:rPr>
                <w:rFonts w:ascii="Times New Roman" w:hAnsi="Times New Roman"/>
                <w:color w:val="auto"/>
                <w:highlight w:val="none"/>
              </w:rPr>
              <w:t>人</w:t>
            </w:r>
          </w:p>
        </w:tc>
        <w:tc>
          <w:tcPr>
            <w:tcW w:w="2240" w:type="dxa"/>
            <w:vAlign w:val="center"/>
          </w:tcPr>
          <w:p>
            <w:pPr>
              <w:widowControl/>
              <w:spacing w:line="240" w:lineRule="auto"/>
              <w:ind w:firstLine="0" w:firstLineChars="0"/>
              <w:jc w:val="center"/>
              <w:rPr>
                <w:rFonts w:ascii="Times New Roman" w:hAnsi="Times New Roman"/>
                <w:color w:val="auto"/>
                <w:highlight w:val="none"/>
              </w:rPr>
            </w:pPr>
            <w:r>
              <w:rPr>
                <w:rFonts w:ascii="Times New Roman" w:hAnsi="Times New Roman"/>
                <w:color w:val="auto"/>
                <w:highlight w:val="none"/>
              </w:rPr>
              <w:t>具有</w:t>
            </w:r>
            <w:r>
              <w:rPr>
                <w:rFonts w:hint="eastAsia"/>
                <w:color w:val="auto"/>
                <w:highlight w:val="none"/>
              </w:rPr>
              <w:t>计算机技术与软件</w:t>
            </w:r>
            <w:r>
              <w:rPr>
                <w:rFonts w:hint="eastAsia"/>
                <w:color w:val="auto"/>
                <w:highlight w:val="none"/>
                <w:lang w:eastAsia="zh-CN"/>
              </w:rPr>
              <w:t>相关</w:t>
            </w:r>
            <w:r>
              <w:rPr>
                <w:rFonts w:hint="eastAsia"/>
                <w:color w:val="auto"/>
                <w:highlight w:val="none"/>
              </w:rPr>
              <w:t>专业技术资格中级及以上证书</w:t>
            </w:r>
          </w:p>
        </w:tc>
        <w:tc>
          <w:tcPr>
            <w:tcW w:w="1276" w:type="dxa"/>
            <w:shd w:val="clear" w:color="auto" w:fill="auto"/>
            <w:noWrap/>
            <w:vAlign w:val="center"/>
          </w:tcPr>
          <w:p>
            <w:pPr>
              <w:widowControl/>
              <w:spacing w:line="240" w:lineRule="auto"/>
              <w:ind w:firstLine="0" w:firstLineChars="0"/>
              <w:jc w:val="center"/>
              <w:rPr>
                <w:rFonts w:ascii="Times New Roman" w:hAnsi="Times New Roman"/>
                <w:color w:val="auto"/>
                <w:highlight w:val="none"/>
              </w:rPr>
            </w:pPr>
            <w:r>
              <w:rPr>
                <w:rFonts w:ascii="Times New Roman" w:hAnsi="Times New Roman"/>
                <w:color w:val="auto"/>
                <w:highlight w:val="none"/>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pPr>
              <w:widowControl/>
              <w:spacing w:line="240" w:lineRule="auto"/>
              <w:ind w:firstLine="0" w:firstLineChars="0"/>
              <w:jc w:val="center"/>
              <w:rPr>
                <w:rFonts w:ascii="Times New Roman" w:hAnsi="Times New Roman"/>
                <w:color w:val="auto"/>
                <w:highlight w:val="none"/>
              </w:rPr>
            </w:pPr>
            <w:r>
              <w:rPr>
                <w:rFonts w:ascii="Times New Roman" w:hAnsi="Times New Roman"/>
                <w:color w:val="auto"/>
                <w:highlight w:val="none"/>
              </w:rPr>
              <w:t>研发</w:t>
            </w:r>
          </w:p>
        </w:tc>
        <w:tc>
          <w:tcPr>
            <w:tcW w:w="2883" w:type="dxa"/>
            <w:shd w:val="clear" w:color="auto" w:fill="auto"/>
            <w:noWrap/>
            <w:vAlign w:val="center"/>
          </w:tcPr>
          <w:p>
            <w:pPr>
              <w:widowControl/>
              <w:spacing w:line="240" w:lineRule="auto"/>
              <w:ind w:firstLine="0" w:firstLineChars="0"/>
              <w:jc w:val="center"/>
              <w:rPr>
                <w:rFonts w:ascii="Times New Roman" w:hAnsi="Times New Roman"/>
                <w:color w:val="auto"/>
                <w:highlight w:val="none"/>
              </w:rPr>
            </w:pPr>
            <w:r>
              <w:rPr>
                <w:rFonts w:ascii="Times New Roman" w:hAnsi="Times New Roman"/>
                <w:color w:val="auto"/>
                <w:highlight w:val="none"/>
              </w:rPr>
              <w:t>负责项目具体开发与实施</w:t>
            </w:r>
          </w:p>
        </w:tc>
        <w:tc>
          <w:tcPr>
            <w:tcW w:w="1180" w:type="dxa"/>
            <w:shd w:val="clear" w:color="auto" w:fill="auto"/>
            <w:noWrap/>
            <w:vAlign w:val="center"/>
          </w:tcPr>
          <w:p>
            <w:pPr>
              <w:widowControl/>
              <w:spacing w:line="240" w:lineRule="auto"/>
              <w:ind w:firstLine="0" w:firstLineChars="0"/>
              <w:jc w:val="center"/>
              <w:rPr>
                <w:rFonts w:ascii="Times New Roman" w:hAnsi="Times New Roman"/>
                <w:color w:val="auto"/>
                <w:highlight w:val="none"/>
              </w:rPr>
            </w:pPr>
            <w:r>
              <w:rPr>
                <w:rFonts w:hint="eastAsia" w:ascii="Times New Roman" w:hAnsi="Times New Roman"/>
                <w:color w:val="auto"/>
                <w:highlight w:val="none"/>
              </w:rPr>
              <w:t>11</w:t>
            </w:r>
            <w:r>
              <w:rPr>
                <w:rFonts w:ascii="Times New Roman" w:hAnsi="Times New Roman"/>
                <w:color w:val="auto"/>
                <w:highlight w:val="none"/>
              </w:rPr>
              <w:t>人</w:t>
            </w:r>
          </w:p>
        </w:tc>
        <w:tc>
          <w:tcPr>
            <w:tcW w:w="2240" w:type="dxa"/>
            <w:vAlign w:val="center"/>
          </w:tcPr>
          <w:p>
            <w:pPr>
              <w:widowControl/>
              <w:spacing w:line="240" w:lineRule="auto"/>
              <w:ind w:firstLine="0" w:firstLineChars="0"/>
              <w:jc w:val="center"/>
              <w:rPr>
                <w:rFonts w:hint="default" w:ascii="Times New Roman" w:hAnsi="Times New Roman" w:eastAsia="宋体"/>
                <w:color w:val="auto"/>
                <w:highlight w:val="none"/>
                <w:lang w:val="en-US" w:eastAsia="zh-CN"/>
              </w:rPr>
            </w:pPr>
            <w:r>
              <w:rPr>
                <w:rFonts w:ascii="Times New Roman" w:hAnsi="Times New Roman"/>
                <w:color w:val="auto"/>
                <w:highlight w:val="none"/>
              </w:rPr>
              <w:t>计算机、工程、设计等相关专业</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2人</w:t>
            </w:r>
            <w:r>
              <w:rPr>
                <w:rFonts w:ascii="Times New Roman" w:hAnsi="Times New Roman"/>
                <w:color w:val="auto"/>
                <w:highlight w:val="none"/>
              </w:rPr>
              <w:t>具有</w:t>
            </w:r>
            <w:r>
              <w:rPr>
                <w:rFonts w:hint="eastAsia"/>
                <w:color w:val="auto"/>
                <w:highlight w:val="none"/>
              </w:rPr>
              <w:t>计算机技术与软件</w:t>
            </w:r>
            <w:r>
              <w:rPr>
                <w:rFonts w:hint="eastAsia"/>
                <w:color w:val="auto"/>
                <w:highlight w:val="none"/>
                <w:lang w:eastAsia="zh-CN"/>
              </w:rPr>
              <w:t>相关</w:t>
            </w:r>
            <w:r>
              <w:rPr>
                <w:rFonts w:hint="eastAsia"/>
                <w:color w:val="auto"/>
                <w:highlight w:val="none"/>
              </w:rPr>
              <w:t>专业技术资格中级及以上证书</w:t>
            </w:r>
          </w:p>
        </w:tc>
        <w:tc>
          <w:tcPr>
            <w:tcW w:w="1276" w:type="dxa"/>
            <w:shd w:val="clear" w:color="auto" w:fill="auto"/>
            <w:noWrap/>
            <w:vAlign w:val="center"/>
          </w:tcPr>
          <w:p>
            <w:pPr>
              <w:widowControl/>
              <w:spacing w:line="240" w:lineRule="auto"/>
              <w:ind w:firstLine="0" w:firstLineChars="0"/>
              <w:jc w:val="center"/>
              <w:rPr>
                <w:rFonts w:ascii="Times New Roman" w:hAnsi="Times New Roman"/>
                <w:color w:val="auto"/>
                <w:highlight w:val="none"/>
              </w:rPr>
            </w:pPr>
            <w:r>
              <w:rPr>
                <w:rFonts w:hint="eastAsia" w:ascii="Times New Roman" w:hAnsi="Times New Roman"/>
                <w:color w:val="auto"/>
                <w:highlight w:val="none"/>
              </w:rPr>
              <w:t>5</w:t>
            </w:r>
            <w:r>
              <w:rPr>
                <w:rFonts w:ascii="Times New Roman" w:hAnsi="Times New Roman"/>
                <w:color w:val="auto"/>
                <w:highlight w:val="none"/>
              </w:rPr>
              <w:t>人驻场</w:t>
            </w:r>
          </w:p>
        </w:tc>
      </w:tr>
    </w:tbl>
    <w:p>
      <w:pPr>
        <w:pStyle w:val="3"/>
        <w:rPr>
          <w:color w:val="auto"/>
          <w:highlight w:val="none"/>
        </w:rPr>
      </w:pPr>
      <w:bookmarkStart w:id="35" w:name="_Toc63785511"/>
      <w:bookmarkStart w:id="36" w:name="_Toc7882"/>
      <w:r>
        <w:rPr>
          <w:color w:val="auto"/>
          <w:highlight w:val="none"/>
        </w:rPr>
        <w:t>等级保护要求</w:t>
      </w:r>
      <w:bookmarkEnd w:id="35"/>
      <w:bookmarkEnd w:id="36"/>
    </w:p>
    <w:p>
      <w:pPr>
        <w:pStyle w:val="107"/>
        <w:snapToGrid w:val="0"/>
        <w:spacing w:line="360" w:lineRule="auto"/>
        <w:ind w:firstLine="480"/>
        <w:rPr>
          <w:color w:val="auto"/>
          <w:sz w:val="24"/>
          <w:szCs w:val="24"/>
          <w:highlight w:val="none"/>
        </w:rPr>
      </w:pPr>
      <w:r>
        <w:rPr>
          <w:rFonts w:hint="eastAsia"/>
          <w:color w:val="auto"/>
          <w:sz w:val="24"/>
          <w:szCs w:val="24"/>
          <w:highlight w:val="none"/>
        </w:rPr>
        <w:t>本项目建设后应能符合信息安全管理要求。按照积极防御、综合防范，兼顾安全与应用、兼顾安全与投入的原则，充分考虑现有安全保护基础，在合理利用上海市政务云安全设备基础上，采取管理与技术相结合的手段，配合完成第三方安全测评认证工作，建立信息安全事件响应机制，使本项目能满足信息安全等级保护二级要求。</w:t>
      </w:r>
    </w:p>
    <w:p>
      <w:pPr>
        <w:pStyle w:val="107"/>
        <w:snapToGrid w:val="0"/>
        <w:spacing w:line="360" w:lineRule="auto"/>
        <w:ind w:firstLine="480"/>
        <w:rPr>
          <w:color w:val="auto"/>
          <w:sz w:val="24"/>
          <w:szCs w:val="24"/>
          <w:highlight w:val="none"/>
        </w:rPr>
      </w:pPr>
      <w:r>
        <w:rPr>
          <w:color w:val="auto"/>
          <w:sz w:val="24"/>
          <w:szCs w:val="24"/>
          <w:highlight w:val="none"/>
        </w:rPr>
        <w:t>1、中标人应设置专人在项目建设期间对文档进行检查和管理，形成规范的文档体系，项目最终验收后全部移交给采购人。</w:t>
      </w:r>
    </w:p>
    <w:p>
      <w:pPr>
        <w:pStyle w:val="107"/>
        <w:snapToGrid w:val="0"/>
        <w:spacing w:line="360" w:lineRule="auto"/>
        <w:ind w:firstLine="480"/>
        <w:rPr>
          <w:color w:val="auto"/>
          <w:sz w:val="24"/>
          <w:szCs w:val="24"/>
          <w:highlight w:val="none"/>
        </w:rPr>
      </w:pPr>
      <w:r>
        <w:rPr>
          <w:color w:val="auto"/>
          <w:sz w:val="24"/>
          <w:szCs w:val="24"/>
          <w:highlight w:val="none"/>
        </w:rPr>
        <w:t>2、中标人所有参与项目人员应在中标后与采购人签订保密协议，承诺不将任何涉及本项目的信息向外界泄露，该保密义务在合同终止后继续有效。</w:t>
      </w:r>
    </w:p>
    <w:p>
      <w:pPr>
        <w:pStyle w:val="107"/>
        <w:snapToGrid w:val="0"/>
        <w:spacing w:line="360" w:lineRule="auto"/>
        <w:ind w:firstLine="480"/>
        <w:rPr>
          <w:color w:val="auto"/>
          <w:sz w:val="24"/>
          <w:szCs w:val="24"/>
          <w:highlight w:val="none"/>
        </w:rPr>
      </w:pPr>
      <w:r>
        <w:rPr>
          <w:color w:val="auto"/>
          <w:sz w:val="24"/>
          <w:szCs w:val="24"/>
          <w:highlight w:val="none"/>
        </w:rPr>
        <w:t>3、项目采集和生产的数据必须在保留在实施环境内，实施人员自己不许扩散或带离现场。</w:t>
      </w:r>
    </w:p>
    <w:p>
      <w:pPr>
        <w:pStyle w:val="107"/>
        <w:snapToGrid w:val="0"/>
        <w:spacing w:line="360" w:lineRule="auto"/>
        <w:ind w:firstLine="480"/>
        <w:rPr>
          <w:color w:val="auto"/>
          <w:sz w:val="24"/>
          <w:szCs w:val="24"/>
          <w:highlight w:val="none"/>
        </w:rPr>
      </w:pPr>
      <w:r>
        <w:rPr>
          <w:color w:val="auto"/>
          <w:sz w:val="24"/>
          <w:szCs w:val="24"/>
          <w:highlight w:val="none"/>
        </w:rPr>
        <w:t>4、所有数据相关工作，中标人须承诺不使用存储介质进行脱离本项目网络环境的文件拷贝，操作均要求在政务云环境内完成，应在实施过程中自行熟悉网络环境，不应以基础环境为由影响项目实施进度或质量。</w:t>
      </w:r>
    </w:p>
    <w:p>
      <w:pPr>
        <w:pStyle w:val="107"/>
        <w:snapToGrid w:val="0"/>
        <w:spacing w:line="360" w:lineRule="auto"/>
        <w:ind w:firstLine="480"/>
        <w:rPr>
          <w:color w:val="auto"/>
          <w:sz w:val="24"/>
          <w:szCs w:val="24"/>
          <w:highlight w:val="none"/>
        </w:rPr>
      </w:pPr>
      <w:r>
        <w:rPr>
          <w:color w:val="auto"/>
          <w:sz w:val="24"/>
          <w:szCs w:val="24"/>
          <w:highlight w:val="none"/>
        </w:rPr>
        <w:t>5、实施过程中，中标人使用本项目进行的服务接口开发实施数据采集，应在采购人监管下使用。</w:t>
      </w:r>
    </w:p>
    <w:p>
      <w:pPr>
        <w:pStyle w:val="3"/>
        <w:rPr>
          <w:color w:val="auto"/>
          <w:highlight w:val="none"/>
        </w:rPr>
      </w:pPr>
      <w:bookmarkStart w:id="37" w:name="_Toc4339"/>
      <w:r>
        <w:rPr>
          <w:rFonts w:hint="eastAsia"/>
          <w:color w:val="auto"/>
          <w:highlight w:val="none"/>
        </w:rPr>
        <w:t>商业密码应用需求</w:t>
      </w:r>
      <w:bookmarkEnd w:id="37"/>
    </w:p>
    <w:p>
      <w:pPr>
        <w:pStyle w:val="107"/>
        <w:snapToGrid w:val="0"/>
        <w:spacing w:line="360" w:lineRule="auto"/>
        <w:ind w:firstLine="480"/>
        <w:rPr>
          <w:color w:val="auto"/>
          <w:sz w:val="24"/>
          <w:szCs w:val="24"/>
          <w:highlight w:val="none"/>
        </w:rPr>
      </w:pPr>
      <w:r>
        <w:rPr>
          <w:rFonts w:hint="eastAsia"/>
          <w:color w:val="auto"/>
          <w:sz w:val="24"/>
          <w:szCs w:val="24"/>
          <w:highlight w:val="none"/>
        </w:rPr>
        <w:t>1、</w:t>
      </w:r>
      <w:r>
        <w:rPr>
          <w:color w:val="auto"/>
          <w:sz w:val="24"/>
          <w:szCs w:val="24"/>
          <w:highlight w:val="none"/>
        </w:rPr>
        <w:t>密码功能设计需求</w:t>
      </w:r>
    </w:p>
    <w:p>
      <w:pPr>
        <w:pStyle w:val="107"/>
        <w:snapToGrid w:val="0"/>
        <w:spacing w:line="360" w:lineRule="auto"/>
        <w:ind w:firstLine="480"/>
        <w:rPr>
          <w:color w:val="auto"/>
          <w:sz w:val="24"/>
          <w:szCs w:val="24"/>
          <w:highlight w:val="none"/>
        </w:rPr>
      </w:pPr>
      <w:r>
        <w:rPr>
          <w:rFonts w:hint="eastAsia"/>
          <w:color w:val="auto"/>
          <w:sz w:val="24"/>
          <w:szCs w:val="24"/>
          <w:highlight w:val="none"/>
        </w:rPr>
        <w:t>本系统将部署在电子政务云上，主要聚焦应用和数据层面，需从物理和环境、网络和通信、设备和计算、应用和数据等层面进行密码功能设计，同时也需充分考虑本系统的密钥管理。</w:t>
      </w:r>
    </w:p>
    <w:p>
      <w:pPr>
        <w:pStyle w:val="107"/>
        <w:snapToGrid w:val="0"/>
        <w:spacing w:line="360" w:lineRule="auto"/>
        <w:ind w:firstLine="480"/>
        <w:rPr>
          <w:color w:val="auto"/>
          <w:sz w:val="24"/>
          <w:szCs w:val="24"/>
          <w:highlight w:val="none"/>
        </w:rPr>
      </w:pPr>
      <w:r>
        <w:rPr>
          <w:color w:val="auto"/>
          <w:sz w:val="24"/>
          <w:szCs w:val="24"/>
          <w:highlight w:val="none"/>
        </w:rPr>
        <w:t>2</w:t>
      </w:r>
      <w:r>
        <w:rPr>
          <w:rFonts w:hint="eastAsia"/>
          <w:color w:val="auto"/>
          <w:sz w:val="24"/>
          <w:szCs w:val="24"/>
          <w:highlight w:val="none"/>
        </w:rPr>
        <w:t>、</w:t>
      </w:r>
      <w:r>
        <w:rPr>
          <w:color w:val="auto"/>
          <w:sz w:val="24"/>
          <w:szCs w:val="24"/>
          <w:highlight w:val="none"/>
        </w:rPr>
        <w:t>密码应用接口改造需求</w:t>
      </w:r>
    </w:p>
    <w:p>
      <w:pPr>
        <w:pStyle w:val="107"/>
        <w:snapToGrid w:val="0"/>
        <w:spacing w:line="360" w:lineRule="auto"/>
        <w:ind w:firstLine="480"/>
        <w:rPr>
          <w:color w:val="auto"/>
          <w:sz w:val="24"/>
          <w:szCs w:val="24"/>
          <w:highlight w:val="none"/>
        </w:rPr>
      </w:pPr>
      <w:r>
        <w:rPr>
          <w:rFonts w:hint="eastAsia"/>
          <w:color w:val="auto"/>
          <w:sz w:val="24"/>
          <w:szCs w:val="24"/>
          <w:highlight w:val="none"/>
        </w:rPr>
        <w:t>本项目需针对内河交通管理与应急联动系统进行密码应用改造的接口开发。</w:t>
      </w:r>
    </w:p>
    <w:p>
      <w:pPr>
        <w:pStyle w:val="107"/>
        <w:snapToGrid w:val="0"/>
        <w:spacing w:line="360" w:lineRule="auto"/>
        <w:ind w:firstLine="480"/>
        <w:rPr>
          <w:color w:val="auto"/>
          <w:sz w:val="24"/>
          <w:szCs w:val="24"/>
          <w:highlight w:val="none"/>
        </w:rPr>
      </w:pPr>
      <w:r>
        <w:rPr>
          <w:color w:val="auto"/>
          <w:sz w:val="24"/>
          <w:szCs w:val="24"/>
          <w:highlight w:val="none"/>
        </w:rPr>
        <w:t>3</w:t>
      </w:r>
      <w:r>
        <w:rPr>
          <w:rFonts w:hint="eastAsia"/>
          <w:color w:val="auto"/>
          <w:sz w:val="24"/>
          <w:szCs w:val="24"/>
          <w:highlight w:val="none"/>
        </w:rPr>
        <w:t>、</w:t>
      </w:r>
      <w:r>
        <w:rPr>
          <w:color w:val="auto"/>
          <w:sz w:val="24"/>
          <w:szCs w:val="24"/>
          <w:highlight w:val="none"/>
        </w:rPr>
        <w:t>密码设施配置需求</w:t>
      </w:r>
    </w:p>
    <w:p>
      <w:pPr>
        <w:pStyle w:val="107"/>
        <w:snapToGrid w:val="0"/>
        <w:spacing w:line="360" w:lineRule="auto"/>
        <w:ind w:firstLine="480"/>
        <w:rPr>
          <w:color w:val="auto"/>
          <w:sz w:val="24"/>
          <w:szCs w:val="24"/>
          <w:highlight w:val="none"/>
        </w:rPr>
      </w:pPr>
      <w:r>
        <w:rPr>
          <w:rFonts w:hint="eastAsia"/>
          <w:color w:val="auto"/>
          <w:sz w:val="24"/>
          <w:szCs w:val="24"/>
          <w:highlight w:val="none"/>
        </w:rPr>
        <w:t>本项目需充分的利用市电子政务云统一部署的密码设施服务，避免重复投资和浪费，合理规划密码设施配置。</w:t>
      </w:r>
    </w:p>
    <w:p>
      <w:pPr>
        <w:pStyle w:val="3"/>
        <w:rPr>
          <w:color w:val="auto"/>
          <w:highlight w:val="none"/>
        </w:rPr>
      </w:pPr>
      <w:bookmarkStart w:id="38" w:name="_Toc31596"/>
      <w:bookmarkStart w:id="39" w:name="_Toc63785512"/>
      <w:r>
        <w:rPr>
          <w:rFonts w:hint="eastAsia"/>
          <w:color w:val="auto"/>
          <w:highlight w:val="none"/>
        </w:rPr>
        <w:t>技术文件要求</w:t>
      </w:r>
      <w:bookmarkEnd w:id="38"/>
    </w:p>
    <w:p>
      <w:pPr>
        <w:pStyle w:val="107"/>
        <w:snapToGrid w:val="0"/>
        <w:spacing w:line="360" w:lineRule="auto"/>
        <w:ind w:firstLine="480"/>
        <w:rPr>
          <w:color w:val="auto"/>
          <w:sz w:val="24"/>
          <w:szCs w:val="24"/>
          <w:highlight w:val="none"/>
        </w:rPr>
      </w:pPr>
      <w:r>
        <w:rPr>
          <w:rFonts w:hint="eastAsia"/>
          <w:color w:val="auto"/>
          <w:sz w:val="24"/>
          <w:szCs w:val="24"/>
          <w:highlight w:val="none"/>
        </w:rPr>
        <w:t>投标人提供的书面技术资料应能确保系统正常运行所需的管理、运营及维护有关的全套文件。技术文件应该全面、完整、详细。投标人提供的技术文件至少应包括：</w:t>
      </w:r>
    </w:p>
    <w:p>
      <w:pPr>
        <w:pStyle w:val="107"/>
        <w:snapToGrid w:val="0"/>
        <w:spacing w:line="360" w:lineRule="auto"/>
        <w:ind w:firstLine="480"/>
        <w:rPr>
          <w:color w:val="auto"/>
          <w:sz w:val="24"/>
          <w:szCs w:val="24"/>
          <w:highlight w:val="none"/>
        </w:rPr>
      </w:pPr>
      <w:r>
        <w:rPr>
          <w:color w:val="auto"/>
          <w:sz w:val="24"/>
          <w:szCs w:val="24"/>
          <w:highlight w:val="none"/>
        </w:rPr>
        <w:t xml:space="preserve">系统说明文件； </w:t>
      </w:r>
    </w:p>
    <w:p>
      <w:pPr>
        <w:pStyle w:val="107"/>
        <w:snapToGrid w:val="0"/>
        <w:spacing w:line="360" w:lineRule="auto"/>
        <w:ind w:firstLine="480"/>
        <w:rPr>
          <w:color w:val="auto"/>
          <w:sz w:val="24"/>
          <w:szCs w:val="24"/>
          <w:highlight w:val="none"/>
        </w:rPr>
      </w:pPr>
      <w:r>
        <w:rPr>
          <w:color w:val="auto"/>
          <w:sz w:val="24"/>
          <w:szCs w:val="24"/>
          <w:highlight w:val="none"/>
        </w:rPr>
        <w:t xml:space="preserve">技术手册(安装、测试、操作、维护、故障排除等)； </w:t>
      </w:r>
    </w:p>
    <w:p>
      <w:pPr>
        <w:pStyle w:val="107"/>
        <w:snapToGrid w:val="0"/>
        <w:spacing w:line="360" w:lineRule="auto"/>
        <w:ind w:firstLine="480"/>
        <w:rPr>
          <w:color w:val="auto"/>
          <w:sz w:val="24"/>
          <w:szCs w:val="24"/>
          <w:highlight w:val="none"/>
        </w:rPr>
      </w:pPr>
      <w:r>
        <w:rPr>
          <w:color w:val="auto"/>
          <w:sz w:val="24"/>
          <w:szCs w:val="24"/>
          <w:highlight w:val="none"/>
        </w:rPr>
        <w:t>项目文档，应该包括：</w:t>
      </w:r>
    </w:p>
    <w:p>
      <w:pPr>
        <w:pStyle w:val="107"/>
        <w:snapToGrid w:val="0"/>
        <w:spacing w:line="360" w:lineRule="auto"/>
        <w:ind w:firstLine="480"/>
        <w:rPr>
          <w:color w:val="auto"/>
          <w:sz w:val="24"/>
          <w:szCs w:val="24"/>
          <w:highlight w:val="none"/>
        </w:rPr>
      </w:pPr>
      <w:r>
        <w:rPr>
          <w:rFonts w:hint="eastAsia"/>
          <w:color w:val="auto"/>
          <w:sz w:val="24"/>
          <w:szCs w:val="24"/>
          <w:highlight w:val="none"/>
        </w:rPr>
        <w:t>（1）</w:t>
      </w:r>
      <w:r>
        <w:rPr>
          <w:color w:val="auto"/>
          <w:sz w:val="24"/>
          <w:szCs w:val="24"/>
          <w:highlight w:val="none"/>
        </w:rPr>
        <w:t>软件需求说明书</w:t>
      </w:r>
    </w:p>
    <w:p>
      <w:pPr>
        <w:pStyle w:val="107"/>
        <w:snapToGrid w:val="0"/>
        <w:spacing w:line="360" w:lineRule="auto"/>
        <w:ind w:firstLine="480"/>
        <w:rPr>
          <w:color w:val="auto"/>
          <w:sz w:val="24"/>
          <w:szCs w:val="24"/>
          <w:highlight w:val="none"/>
        </w:rPr>
      </w:pPr>
      <w:r>
        <w:rPr>
          <w:rFonts w:hint="eastAsia"/>
          <w:color w:val="auto"/>
          <w:sz w:val="24"/>
          <w:szCs w:val="24"/>
          <w:highlight w:val="none"/>
        </w:rPr>
        <w:t>（2）</w:t>
      </w:r>
      <w:r>
        <w:rPr>
          <w:color w:val="auto"/>
          <w:sz w:val="24"/>
          <w:szCs w:val="24"/>
          <w:highlight w:val="none"/>
        </w:rPr>
        <w:t>系统总体设计说明书</w:t>
      </w:r>
    </w:p>
    <w:p>
      <w:pPr>
        <w:pStyle w:val="107"/>
        <w:snapToGrid w:val="0"/>
        <w:spacing w:line="360" w:lineRule="auto"/>
        <w:ind w:firstLine="480"/>
        <w:rPr>
          <w:color w:val="auto"/>
          <w:sz w:val="24"/>
          <w:szCs w:val="24"/>
          <w:highlight w:val="none"/>
        </w:rPr>
      </w:pPr>
      <w:r>
        <w:rPr>
          <w:rFonts w:hint="eastAsia"/>
          <w:color w:val="auto"/>
          <w:sz w:val="24"/>
          <w:szCs w:val="24"/>
          <w:highlight w:val="none"/>
        </w:rPr>
        <w:t>（3）</w:t>
      </w:r>
      <w:r>
        <w:rPr>
          <w:color w:val="auto"/>
          <w:sz w:val="24"/>
          <w:szCs w:val="24"/>
          <w:highlight w:val="none"/>
        </w:rPr>
        <w:t>应用软件功能清单</w:t>
      </w:r>
    </w:p>
    <w:p>
      <w:pPr>
        <w:pStyle w:val="107"/>
        <w:snapToGrid w:val="0"/>
        <w:spacing w:line="360" w:lineRule="auto"/>
        <w:ind w:firstLine="480"/>
        <w:rPr>
          <w:color w:val="auto"/>
          <w:sz w:val="24"/>
          <w:szCs w:val="24"/>
          <w:highlight w:val="none"/>
        </w:rPr>
      </w:pPr>
      <w:r>
        <w:rPr>
          <w:rFonts w:hint="eastAsia"/>
          <w:color w:val="auto"/>
          <w:sz w:val="24"/>
          <w:szCs w:val="24"/>
          <w:highlight w:val="none"/>
        </w:rPr>
        <w:t>（4）数据库设计说明书</w:t>
      </w:r>
    </w:p>
    <w:p>
      <w:pPr>
        <w:pStyle w:val="107"/>
        <w:snapToGrid w:val="0"/>
        <w:spacing w:line="360" w:lineRule="auto"/>
        <w:ind w:firstLine="480"/>
        <w:rPr>
          <w:color w:val="auto"/>
          <w:sz w:val="24"/>
          <w:szCs w:val="24"/>
          <w:highlight w:val="none"/>
        </w:rPr>
      </w:pPr>
      <w:r>
        <w:rPr>
          <w:rFonts w:hint="eastAsia"/>
          <w:color w:val="auto"/>
          <w:sz w:val="24"/>
          <w:szCs w:val="24"/>
          <w:highlight w:val="none"/>
        </w:rPr>
        <w:t>（5）系统开发源代码</w:t>
      </w:r>
    </w:p>
    <w:p>
      <w:pPr>
        <w:pStyle w:val="107"/>
        <w:snapToGrid w:val="0"/>
        <w:spacing w:line="360" w:lineRule="auto"/>
        <w:ind w:firstLine="480"/>
        <w:rPr>
          <w:color w:val="auto"/>
          <w:sz w:val="24"/>
          <w:szCs w:val="24"/>
          <w:highlight w:val="none"/>
        </w:rPr>
      </w:pPr>
      <w:r>
        <w:rPr>
          <w:rFonts w:hint="eastAsia"/>
          <w:color w:val="auto"/>
          <w:sz w:val="24"/>
          <w:szCs w:val="24"/>
          <w:highlight w:val="none"/>
        </w:rPr>
        <w:t>提供全套技术文件纸介质</w:t>
      </w:r>
      <w:r>
        <w:rPr>
          <w:color w:val="auto"/>
          <w:sz w:val="24"/>
          <w:szCs w:val="24"/>
          <w:highlight w:val="none"/>
        </w:rPr>
        <w:t>3套以及电子文件1套。</w:t>
      </w:r>
    </w:p>
    <w:p>
      <w:pPr>
        <w:pStyle w:val="2"/>
        <w:rPr>
          <w:color w:val="auto"/>
          <w:highlight w:val="none"/>
        </w:rPr>
      </w:pPr>
      <w:bookmarkStart w:id="40" w:name="_Toc18067"/>
      <w:r>
        <w:rPr>
          <w:rFonts w:hint="eastAsia"/>
          <w:color w:val="auto"/>
          <w:highlight w:val="none"/>
        </w:rPr>
        <w:t>中标人资质要求</w:t>
      </w:r>
      <w:bookmarkEnd w:id="40"/>
    </w:p>
    <w:p>
      <w:pPr>
        <w:pStyle w:val="135"/>
        <w:ind w:firstLine="480"/>
        <w:rPr>
          <w:rFonts w:ascii="Times New Roman" w:hAnsi="Times New Roman" w:eastAsia="宋体"/>
          <w:bCs w:val="0"/>
          <w:color w:val="auto"/>
          <w:highlight w:val="none"/>
          <w:lang w:val="en-US"/>
        </w:rPr>
      </w:pPr>
      <w:r>
        <w:rPr>
          <w:rFonts w:hint="eastAsia" w:ascii="Times New Roman" w:hAnsi="Times New Roman" w:eastAsia="宋体"/>
          <w:bCs w:val="0"/>
          <w:color w:val="auto"/>
          <w:highlight w:val="none"/>
          <w:lang w:val="en-US"/>
        </w:rPr>
        <w:t>1、符合《中华人民共和国政府采购法》第二十二条规定的中标人。</w:t>
      </w:r>
    </w:p>
    <w:p>
      <w:pPr>
        <w:pStyle w:val="135"/>
        <w:ind w:firstLine="480"/>
        <w:rPr>
          <w:rFonts w:ascii="Times New Roman" w:hAnsi="Times New Roman" w:eastAsia="宋体"/>
          <w:bCs w:val="0"/>
          <w:color w:val="auto"/>
          <w:highlight w:val="none"/>
          <w:lang w:val="en-US"/>
        </w:rPr>
      </w:pPr>
      <w:r>
        <w:rPr>
          <w:rFonts w:hint="eastAsia" w:ascii="Times New Roman" w:hAnsi="Times New Roman" w:eastAsia="宋体"/>
          <w:bCs w:val="0"/>
          <w:color w:val="auto"/>
          <w:highlight w:val="none"/>
          <w:lang w:val="en-US"/>
        </w:rPr>
        <w:t>2、根据《上海市政府采购中标人登记及诚信管理办法》已登记入库的中标人。</w:t>
      </w:r>
    </w:p>
    <w:p>
      <w:pPr>
        <w:pStyle w:val="135"/>
        <w:ind w:firstLine="480"/>
        <w:rPr>
          <w:rFonts w:ascii="Times New Roman" w:hAnsi="Times New Roman" w:eastAsia="宋体"/>
          <w:bCs w:val="0"/>
          <w:color w:val="auto"/>
          <w:highlight w:val="none"/>
          <w:lang w:val="en-US"/>
        </w:rPr>
      </w:pPr>
      <w:r>
        <w:rPr>
          <w:rFonts w:hint="eastAsia" w:ascii="Times New Roman" w:hAnsi="Times New Roman" w:eastAsia="宋体"/>
          <w:bCs w:val="0"/>
          <w:color w:val="auto"/>
          <w:highlight w:val="none"/>
          <w:lang w:val="en-US"/>
        </w:rPr>
        <w:t>3、其他资格要求：</w:t>
      </w:r>
    </w:p>
    <w:p>
      <w:pPr>
        <w:pStyle w:val="135"/>
        <w:ind w:firstLine="480"/>
        <w:rPr>
          <w:rFonts w:ascii="Times New Roman" w:hAnsi="Times New Roman" w:eastAsia="宋体"/>
          <w:bCs w:val="0"/>
          <w:color w:val="auto"/>
          <w:highlight w:val="none"/>
          <w:lang w:val="en-US"/>
        </w:rPr>
      </w:pPr>
      <w:r>
        <w:rPr>
          <w:rFonts w:hint="eastAsia" w:ascii="Times New Roman" w:hAnsi="Times New Roman" w:eastAsia="宋体"/>
          <w:bCs w:val="0"/>
          <w:color w:val="auto"/>
          <w:highlight w:val="none"/>
          <w:lang w:val="en-US"/>
        </w:rPr>
        <w:t>3.1本项目面向中、小型中标人采购。</w:t>
      </w:r>
    </w:p>
    <w:p>
      <w:pPr>
        <w:pStyle w:val="135"/>
        <w:ind w:firstLine="480"/>
        <w:rPr>
          <w:rFonts w:ascii="Times New Roman" w:hAnsi="Times New Roman" w:eastAsia="宋体"/>
          <w:bCs w:val="0"/>
          <w:color w:val="auto"/>
          <w:highlight w:val="none"/>
          <w:lang w:val="en-US"/>
        </w:rPr>
      </w:pPr>
      <w:r>
        <w:rPr>
          <w:rFonts w:hint="eastAsia" w:ascii="Times New Roman" w:hAnsi="Times New Roman" w:eastAsia="宋体"/>
          <w:bCs w:val="0"/>
          <w:color w:val="auto"/>
          <w:highlight w:val="none"/>
          <w:lang w:val="en-US"/>
        </w:rPr>
        <w:t>3.2未被列入“信用中国”网站(www.creditchina.gov.cn)失信被执行人名单、重大税收违法案件当事人名单和中国政府采购网(www.ccgp.gov.cn)政府采购严重违法失信行为记录名单。</w:t>
      </w:r>
    </w:p>
    <w:p>
      <w:pPr>
        <w:pStyle w:val="2"/>
        <w:rPr>
          <w:color w:val="auto"/>
          <w:highlight w:val="none"/>
        </w:rPr>
      </w:pPr>
      <w:bookmarkStart w:id="41" w:name="_Toc7449"/>
      <w:r>
        <w:rPr>
          <w:rFonts w:hint="eastAsia"/>
          <w:color w:val="auto"/>
          <w:highlight w:val="none"/>
        </w:rPr>
        <w:t>中标人管理要求</w:t>
      </w:r>
      <w:bookmarkEnd w:id="39"/>
      <w:bookmarkEnd w:id="41"/>
    </w:p>
    <w:p>
      <w:pPr>
        <w:pStyle w:val="107"/>
        <w:snapToGrid w:val="0"/>
        <w:spacing w:line="360" w:lineRule="auto"/>
        <w:ind w:firstLine="480"/>
        <w:rPr>
          <w:color w:val="auto"/>
          <w:sz w:val="24"/>
          <w:szCs w:val="24"/>
          <w:highlight w:val="none"/>
        </w:rPr>
      </w:pPr>
      <w:r>
        <w:rPr>
          <w:rFonts w:hint="eastAsia"/>
          <w:color w:val="auto"/>
          <w:sz w:val="24"/>
          <w:szCs w:val="24"/>
          <w:highlight w:val="none"/>
        </w:rPr>
        <w:t>1、在项目实施期间，中标人应严格执行国家、地方、行业有关本项目业务管理和安全作业的法律、法规和制度并按规定承担相应的费用。中标人因违反规定等原因造成的一切损失和责任由中标人自行承担。</w:t>
      </w:r>
    </w:p>
    <w:p>
      <w:pPr>
        <w:pStyle w:val="107"/>
        <w:snapToGrid w:val="0"/>
        <w:spacing w:line="360" w:lineRule="auto"/>
        <w:ind w:firstLine="480"/>
        <w:rPr>
          <w:color w:val="auto"/>
          <w:sz w:val="24"/>
          <w:szCs w:val="24"/>
          <w:highlight w:val="none"/>
        </w:rPr>
      </w:pPr>
      <w:r>
        <w:rPr>
          <w:rFonts w:hint="eastAsia"/>
          <w:color w:val="auto"/>
          <w:sz w:val="24"/>
          <w:szCs w:val="24"/>
          <w:highlight w:val="none"/>
        </w:rPr>
        <w:t>2、中标人在投标书中承诺并经招标人认定的项目负责人及专业技术人员必须是本单位职工（在本单位缴纳社会保障金）和该项目实施现场的实际操作者，应具有类似本项目的实施经验，并应在软件应用调研、安装、试运行等期间常驻项目现场。未经采购人同意，中标人不得调换或撤离上述人员。如采购人认为有必要，可要求中标人对上述人员中的部分人员作出更好的调整。</w:t>
      </w:r>
    </w:p>
    <w:p>
      <w:pPr>
        <w:pStyle w:val="107"/>
        <w:snapToGrid w:val="0"/>
        <w:spacing w:line="360" w:lineRule="auto"/>
        <w:ind w:firstLine="480"/>
        <w:rPr>
          <w:color w:val="auto"/>
          <w:sz w:val="24"/>
          <w:szCs w:val="24"/>
          <w:highlight w:val="none"/>
        </w:rPr>
      </w:pPr>
      <w:r>
        <w:rPr>
          <w:rFonts w:hint="eastAsia"/>
          <w:color w:val="auto"/>
          <w:sz w:val="24"/>
          <w:szCs w:val="24"/>
          <w:highlight w:val="none"/>
        </w:rPr>
        <w:t>3、中标人在项目实施期间，应按项目实际进度与环节落实所对应项目整体及各环节管理工作，按照规范做好项目实施期间相关管理与实施记录。</w:t>
      </w:r>
    </w:p>
    <w:p>
      <w:pPr>
        <w:pStyle w:val="107"/>
        <w:snapToGrid w:val="0"/>
        <w:spacing w:line="360" w:lineRule="auto"/>
        <w:ind w:firstLine="480"/>
        <w:rPr>
          <w:color w:val="auto"/>
          <w:sz w:val="24"/>
          <w:szCs w:val="24"/>
          <w:highlight w:val="none"/>
        </w:rPr>
      </w:pPr>
      <w:r>
        <w:rPr>
          <w:rFonts w:hint="eastAsia"/>
          <w:color w:val="auto"/>
          <w:sz w:val="24"/>
          <w:szCs w:val="24"/>
          <w:highlight w:val="none"/>
        </w:rPr>
        <w:t>4、参与本项目的工作人员应严格遵循采购人的安全制度，保障采购人资料和设备的安全。中标方如需进入采购人机房工作，只能在采购人规定的工作区域内对项目涉及的设备进行操作，严禁触动与项目无关的任何设备（包括任何操作行为），如需跨区操作必须得到采购人项目联系人确认。</w:t>
      </w:r>
    </w:p>
    <w:p>
      <w:pPr>
        <w:pStyle w:val="107"/>
        <w:snapToGrid w:val="0"/>
        <w:spacing w:line="360" w:lineRule="auto"/>
        <w:ind w:firstLine="480"/>
        <w:rPr>
          <w:color w:val="auto"/>
          <w:sz w:val="24"/>
          <w:szCs w:val="24"/>
          <w:highlight w:val="none"/>
        </w:rPr>
      </w:pPr>
      <w:r>
        <w:rPr>
          <w:rFonts w:hint="eastAsia"/>
          <w:color w:val="auto"/>
          <w:sz w:val="24"/>
          <w:szCs w:val="24"/>
          <w:highlight w:val="none"/>
        </w:rPr>
        <w:t>5、中标人在项目实施期间必须遵守采购人的规章制度并提供实施人员名单。</w:t>
      </w:r>
    </w:p>
    <w:p>
      <w:pPr>
        <w:pStyle w:val="107"/>
        <w:snapToGrid w:val="0"/>
        <w:spacing w:line="360" w:lineRule="auto"/>
        <w:ind w:firstLine="480"/>
        <w:rPr>
          <w:color w:val="auto"/>
          <w:sz w:val="24"/>
          <w:szCs w:val="24"/>
          <w:highlight w:val="none"/>
        </w:rPr>
      </w:pPr>
      <w:r>
        <w:rPr>
          <w:rFonts w:hint="eastAsia"/>
          <w:color w:val="auto"/>
          <w:sz w:val="24"/>
          <w:szCs w:val="24"/>
          <w:highlight w:val="none"/>
        </w:rPr>
        <w:t>6、各投标人在投标文件中要结合本项目的特点和采购人上述的具体要求制定相应的管理措施，并在报价中列支相应的费用清单，投标人报价中未列支上述费用清单的，上述费用视为已包含在投标人的投标总报价中。</w:t>
      </w:r>
    </w:p>
    <w:p>
      <w:pPr>
        <w:pStyle w:val="107"/>
        <w:snapToGrid w:val="0"/>
        <w:spacing w:line="360" w:lineRule="auto"/>
        <w:ind w:firstLine="480"/>
        <w:rPr>
          <w:color w:val="auto"/>
          <w:sz w:val="24"/>
          <w:szCs w:val="24"/>
          <w:highlight w:val="none"/>
        </w:rPr>
      </w:pPr>
      <w:r>
        <w:rPr>
          <w:rFonts w:hint="eastAsia"/>
          <w:color w:val="auto"/>
          <w:sz w:val="24"/>
          <w:szCs w:val="24"/>
          <w:highlight w:val="none"/>
        </w:rPr>
        <w:t>7、本项目软件开发及调试将纳入采购人的管理范围，中标人在此过程中须服从上述单位的管理协调。</w:t>
      </w:r>
    </w:p>
    <w:p>
      <w:pPr>
        <w:pStyle w:val="2"/>
        <w:rPr>
          <w:color w:val="auto"/>
          <w:highlight w:val="none"/>
        </w:rPr>
      </w:pPr>
      <w:bookmarkStart w:id="42" w:name="_Toc10889"/>
      <w:bookmarkStart w:id="43" w:name="_Toc63785513"/>
      <w:r>
        <w:rPr>
          <w:rFonts w:hint="eastAsia"/>
          <w:color w:val="auto"/>
          <w:highlight w:val="none"/>
        </w:rPr>
        <w:t>知识产权及保密要求</w:t>
      </w:r>
      <w:bookmarkEnd w:id="42"/>
      <w:bookmarkEnd w:id="43"/>
    </w:p>
    <w:p>
      <w:pPr>
        <w:pStyle w:val="107"/>
        <w:snapToGrid w:val="0"/>
        <w:spacing w:line="360" w:lineRule="auto"/>
        <w:ind w:firstLine="480"/>
        <w:rPr>
          <w:color w:val="auto"/>
          <w:sz w:val="24"/>
          <w:szCs w:val="24"/>
          <w:highlight w:val="none"/>
        </w:rPr>
      </w:pPr>
      <w:r>
        <w:rPr>
          <w:color w:val="auto"/>
          <w:sz w:val="24"/>
          <w:szCs w:val="24"/>
          <w:highlight w:val="none"/>
        </w:rPr>
        <w:t>1、中标人数据、文件、资料知识产权</w:t>
      </w:r>
    </w:p>
    <w:p>
      <w:pPr>
        <w:pStyle w:val="107"/>
        <w:snapToGrid w:val="0"/>
        <w:spacing w:line="360" w:lineRule="auto"/>
        <w:ind w:firstLine="480"/>
        <w:rPr>
          <w:color w:val="auto"/>
          <w:sz w:val="24"/>
          <w:szCs w:val="24"/>
          <w:highlight w:val="none"/>
        </w:rPr>
      </w:pPr>
      <w:r>
        <w:rPr>
          <w:rFonts w:hint="eastAsia"/>
          <w:color w:val="auto"/>
          <w:sz w:val="24"/>
          <w:szCs w:val="24"/>
          <w:highlight w:val="none"/>
        </w:rPr>
        <w:t>中标人保证其所提供的服务和交付的成果以及在履行本项目义务中使用到的所有数据、文件、信息不会引起任何第三方在专利权、著作权、商标权等知识产权方面向采购人或采购人的关联方及合作方（包括但不限于采购人的主管单位和采购人的合作单位等）发出侵权指控或提出索赔。若有，中标人应负责与第三方解决纠纷，若因此导致采购人损失的，采购人有权要求中标人赔偿采购人因此遭受的全部损失，包括但不限于直接损失、间接损失、诉讼费／仲裁费、律师费、公证费、鉴定费等。</w:t>
      </w:r>
    </w:p>
    <w:p>
      <w:pPr>
        <w:pStyle w:val="107"/>
        <w:snapToGrid w:val="0"/>
        <w:spacing w:line="360" w:lineRule="auto"/>
        <w:ind w:firstLine="480"/>
        <w:rPr>
          <w:color w:val="auto"/>
          <w:sz w:val="24"/>
          <w:szCs w:val="24"/>
          <w:highlight w:val="none"/>
        </w:rPr>
      </w:pPr>
      <w:r>
        <w:rPr>
          <w:rFonts w:hint="eastAsia"/>
          <w:color w:val="auto"/>
          <w:sz w:val="24"/>
          <w:szCs w:val="24"/>
          <w:highlight w:val="none"/>
        </w:rPr>
        <w:t>中标人因履行本项目而产生的所有成果的知识产权等权利均归采购人所有，中标人应配合采购人进行相关权利登记或申请。未经采购人书面同意，中标人不得以任何形式使用或许可他人使用本项目成果的相关内容，不得擅自对外公开发表或向任何第三方透露。</w:t>
      </w:r>
    </w:p>
    <w:p>
      <w:pPr>
        <w:pStyle w:val="107"/>
        <w:snapToGrid w:val="0"/>
        <w:spacing w:line="360" w:lineRule="auto"/>
        <w:ind w:firstLine="480"/>
        <w:rPr>
          <w:color w:val="auto"/>
          <w:sz w:val="24"/>
          <w:szCs w:val="24"/>
          <w:highlight w:val="none"/>
        </w:rPr>
      </w:pPr>
      <w:r>
        <w:rPr>
          <w:rFonts w:hint="eastAsia"/>
          <w:color w:val="auto"/>
          <w:sz w:val="24"/>
          <w:szCs w:val="24"/>
          <w:highlight w:val="none"/>
        </w:rPr>
        <w:t>在不影响上述条款规定的由采购人取得所有成果的知识产权的前提下，双方因履行本项目而被授权接触或使用对方之知识产权（包括但不限于商标、专利、著作权等），和/或任何其他相关资料、数据等涉及的任何权利，均不视为向另一方转让上述权利或在本项目范围外授权许可另一方使用上述权利，上述权利仍应属于提供方，并仅可使用于本项目，被授权接触或使用方未经提供方书面同意，不得擅自挪作他用。</w:t>
      </w:r>
    </w:p>
    <w:p>
      <w:pPr>
        <w:pStyle w:val="107"/>
        <w:snapToGrid w:val="0"/>
        <w:spacing w:line="360" w:lineRule="auto"/>
        <w:ind w:firstLine="480"/>
        <w:rPr>
          <w:color w:val="auto"/>
          <w:sz w:val="24"/>
          <w:szCs w:val="24"/>
          <w:highlight w:val="none"/>
        </w:rPr>
      </w:pPr>
      <w:r>
        <w:rPr>
          <w:color w:val="auto"/>
          <w:sz w:val="24"/>
          <w:szCs w:val="24"/>
          <w:highlight w:val="none"/>
        </w:rPr>
        <w:t>2、项目保密要求</w:t>
      </w:r>
    </w:p>
    <w:p>
      <w:pPr>
        <w:pStyle w:val="107"/>
        <w:snapToGrid w:val="0"/>
        <w:spacing w:line="360" w:lineRule="auto"/>
        <w:ind w:firstLine="480"/>
        <w:rPr>
          <w:color w:val="auto"/>
          <w:sz w:val="24"/>
          <w:szCs w:val="24"/>
          <w:highlight w:val="none"/>
        </w:rPr>
      </w:pPr>
      <w:r>
        <w:rPr>
          <w:rFonts w:hint="eastAsia"/>
          <w:color w:val="auto"/>
          <w:sz w:val="24"/>
          <w:szCs w:val="24"/>
          <w:highlight w:val="none"/>
        </w:rPr>
        <w:t>中标人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中标人不得对外泄露采购人要求保密的信息，不得用于其他用途，否则中标人需承担由此引起的法律责任和经济责任，包括但不限于直接损失、间接损失、律师费、诉讼费/仲裁费、调查费、公证费等。</w:t>
      </w:r>
    </w:p>
    <w:p>
      <w:pPr>
        <w:pStyle w:val="107"/>
        <w:snapToGrid w:val="0"/>
        <w:spacing w:line="360" w:lineRule="auto"/>
        <w:ind w:firstLine="480"/>
        <w:rPr>
          <w:color w:val="auto"/>
          <w:sz w:val="24"/>
          <w:szCs w:val="24"/>
          <w:highlight w:val="none"/>
        </w:rPr>
      </w:pPr>
      <w:r>
        <w:rPr>
          <w:rFonts w:hint="eastAsia"/>
          <w:color w:val="auto"/>
          <w:sz w:val="24"/>
          <w:szCs w:val="24"/>
          <w:highlight w:val="none"/>
        </w:rPr>
        <w:t>中标人应采取必要的有效措施保证其参与本项目的人员（包括中标人聘用的人员、借调的人员、实习的人员）无论是在职或离职后，以及中标人的合作方无论是合作中或合作终止后，都能够履行本项目约定的保密义务。若中标人人员或中标人合作方违反保密规定，中标人应承担连带责任。</w:t>
      </w:r>
    </w:p>
    <w:p>
      <w:pPr>
        <w:pStyle w:val="107"/>
        <w:snapToGrid w:val="0"/>
        <w:spacing w:line="360" w:lineRule="auto"/>
        <w:ind w:firstLine="480"/>
        <w:rPr>
          <w:color w:val="auto"/>
          <w:sz w:val="24"/>
          <w:szCs w:val="24"/>
          <w:highlight w:val="none"/>
        </w:rPr>
      </w:pPr>
      <w:r>
        <w:rPr>
          <w:rFonts w:hint="eastAsia"/>
          <w:color w:val="auto"/>
          <w:sz w:val="24"/>
          <w:szCs w:val="24"/>
          <w:highlight w:val="none"/>
        </w:rPr>
        <w:t>中标人（含中标人参与本项目的人员以及其合作方）未经采购方书面许可，不得以任何形式自行使用或以任何方式向第三方披露、转让、授权、出售与本项目有关的技术成果、计算机软件、源代码、策划文档、技术诀窍、秘密信息、技术资料和其他文件。</w:t>
      </w:r>
    </w:p>
    <w:p>
      <w:pPr>
        <w:pStyle w:val="107"/>
        <w:snapToGrid w:val="0"/>
        <w:spacing w:line="360" w:lineRule="auto"/>
        <w:ind w:firstLine="480"/>
        <w:rPr>
          <w:color w:val="auto"/>
          <w:sz w:val="24"/>
          <w:szCs w:val="24"/>
          <w:highlight w:val="none"/>
        </w:rPr>
      </w:pPr>
      <w:r>
        <w:rPr>
          <w:rFonts w:hint="eastAsia"/>
          <w:color w:val="auto"/>
          <w:sz w:val="24"/>
          <w:szCs w:val="24"/>
          <w:highlight w:val="none"/>
        </w:rPr>
        <w:t>以上内容的保密期限自中标人知悉保密信息起始至保密信息被合法公开之日止。</w:t>
      </w:r>
    </w:p>
    <w:p>
      <w:pPr>
        <w:pStyle w:val="2"/>
        <w:rPr>
          <w:color w:val="auto"/>
          <w:highlight w:val="none"/>
        </w:rPr>
      </w:pPr>
      <w:bookmarkStart w:id="44" w:name="_Toc25694"/>
      <w:bookmarkStart w:id="45" w:name="_Toc65170093"/>
      <w:r>
        <w:rPr>
          <w:color w:val="auto"/>
          <w:highlight w:val="none"/>
        </w:rPr>
        <w:t>项目的变更、解除和终止</w:t>
      </w:r>
      <w:bookmarkEnd w:id="44"/>
    </w:p>
    <w:p>
      <w:pPr>
        <w:pStyle w:val="107"/>
        <w:snapToGrid w:val="0"/>
        <w:spacing w:line="360" w:lineRule="auto"/>
        <w:ind w:firstLine="480"/>
        <w:rPr>
          <w:color w:val="auto"/>
          <w:sz w:val="24"/>
          <w:szCs w:val="24"/>
          <w:highlight w:val="none"/>
        </w:rPr>
      </w:pPr>
      <w:r>
        <w:rPr>
          <w:rFonts w:hint="eastAsia"/>
          <w:color w:val="auto"/>
          <w:sz w:val="24"/>
          <w:szCs w:val="24"/>
          <w:highlight w:val="none"/>
        </w:rPr>
        <w:t>如果中标人丧失履约能力、发生资不抵债或进入破产程序，采购人可在任何时候以书面形式通知中标人终止本项目的执行而不给予中标人补偿。该终止本项目将不损害或影响采购人已经采取或将要采取任何行动或补救措施的权利。</w:t>
      </w:r>
    </w:p>
    <w:p>
      <w:pPr>
        <w:pStyle w:val="107"/>
        <w:snapToGrid w:val="0"/>
        <w:spacing w:line="360" w:lineRule="auto"/>
        <w:ind w:firstLine="480"/>
        <w:rPr>
          <w:color w:val="auto"/>
          <w:sz w:val="24"/>
          <w:szCs w:val="24"/>
          <w:highlight w:val="none"/>
        </w:rPr>
      </w:pPr>
      <w:r>
        <w:rPr>
          <w:rFonts w:hint="eastAsia"/>
          <w:color w:val="auto"/>
          <w:sz w:val="24"/>
          <w:szCs w:val="24"/>
          <w:highlight w:val="none"/>
        </w:rPr>
        <w:t>如遇国家、行业管理部门等机构的有关标准和规定调整的，导致本项目内容须做相应调整时，双方应按照公平、合理的原则共同协商修改本项目对应的合同的相关条款。</w:t>
      </w:r>
    </w:p>
    <w:bookmarkEnd w:id="45"/>
    <w:p>
      <w:pPr>
        <w:pStyle w:val="2"/>
        <w:rPr>
          <w:color w:val="auto"/>
          <w:highlight w:val="none"/>
        </w:rPr>
      </w:pPr>
      <w:bookmarkStart w:id="46" w:name="_Toc4320"/>
      <w:r>
        <w:rPr>
          <w:rFonts w:hint="eastAsia"/>
          <w:color w:val="auto"/>
          <w:highlight w:val="none"/>
        </w:rPr>
        <w:t>供应商要求</w:t>
      </w:r>
      <w:bookmarkEnd w:id="46"/>
    </w:p>
    <w:p>
      <w:pPr>
        <w:snapToGrid w:val="0"/>
        <w:rPr>
          <w:color w:val="auto"/>
          <w:highlight w:val="none"/>
        </w:rPr>
      </w:pPr>
      <w:r>
        <w:rPr>
          <w:rFonts w:hint="eastAsia"/>
          <w:color w:val="auto"/>
          <w:highlight w:val="none"/>
        </w:rPr>
        <w:t>供应商</w:t>
      </w:r>
      <w:r>
        <w:rPr>
          <w:color w:val="auto"/>
          <w:highlight w:val="none"/>
        </w:rPr>
        <w:t>具有软件企业证书</w:t>
      </w:r>
      <w:r>
        <w:rPr>
          <w:rFonts w:hint="eastAsia"/>
          <w:color w:val="auto"/>
          <w:highlight w:val="none"/>
        </w:rPr>
        <w:t>以及</w:t>
      </w:r>
      <w:r>
        <w:rPr>
          <w:color w:val="auto"/>
          <w:highlight w:val="none"/>
        </w:rPr>
        <w:t>具备船舶管理类、内河监管类、码头监管类等类似相关的软件著作权证书</w:t>
      </w:r>
      <w:r>
        <w:rPr>
          <w:rFonts w:hint="eastAsia"/>
          <w:color w:val="auto"/>
          <w:highlight w:val="none"/>
        </w:rPr>
        <w:t>的优先考虑。</w:t>
      </w:r>
    </w:p>
    <w:p>
      <w:pPr>
        <w:pStyle w:val="107"/>
        <w:snapToGrid w:val="0"/>
        <w:spacing w:line="360" w:lineRule="auto"/>
        <w:ind w:firstLine="480"/>
        <w:rPr>
          <w:color w:val="auto"/>
          <w:sz w:val="24"/>
          <w:szCs w:val="24"/>
          <w:highlight w:val="none"/>
        </w:rPr>
      </w:pPr>
    </w:p>
    <w:sectPr>
      <w:footerReference r:id="rId11"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等线">
    <w:altName w:val="仿宋_GB2312"/>
    <w:panose1 w:val="00000000000000000000"/>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0" w:usb3="00000000" w:csb0="0000019F" w:csb1="00000000"/>
  </w:font>
  <w:font w:name="Arial Unicode MS">
    <w:altName w:val="DejaVu Sans"/>
    <w:panose1 w:val="020B0604020202020204"/>
    <w:charset w:val="86"/>
    <w:family w:val="swiss"/>
    <w:pitch w:val="default"/>
    <w:sig w:usb0="00000000" w:usb1="00000000" w:usb2="0000003F" w:usb3="00000000" w:csb0="003F01FF" w:csb1="00000000"/>
  </w:font>
  <w:font w:name="等线 Light">
    <w:altName w:val="仿宋_GB2312"/>
    <w:panose1 w:val="00000000000000000000"/>
    <w:charset w:val="86"/>
    <w:family w:val="auto"/>
    <w:pitch w:val="default"/>
    <w:sig w:usb0="00000000" w:usb1="00000000" w:usb2="00000016" w:usb3="00000000" w:csb0="0004000F" w:csb1="00000000"/>
  </w:font>
  <w:font w:name="time">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Microsoft Sans Serif">
    <w:altName w:val="Liberation Sans"/>
    <w:panose1 w:val="020B0604020202020204"/>
    <w:charset w:val="00"/>
    <w:family w:val="swiss"/>
    <w:pitch w:val="default"/>
    <w:sig w:usb0="00000000" w:usb1="00000000" w:usb2="00000008" w:usb3="00000000" w:csb0="000101FF" w:csb1="00000000"/>
  </w:font>
  <w:font w:name="Liberation Sans">
    <w:panose1 w:val="020B0604020202020204"/>
    <w:charset w:val="00"/>
    <w:family w:val="auto"/>
    <w:pitch w:val="default"/>
    <w:sig w:usb0="A00002AF" w:usb1="5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center"/>
    </w:pPr>
    <w:r>
      <w:fldChar w:fldCharType="begin"/>
    </w:r>
    <w:r>
      <w:instrText xml:space="preserve">PAGE   \* MERGEFORMAT</w:instrText>
    </w:r>
    <w:r>
      <w:fldChar w:fldCharType="separate"/>
    </w:r>
    <w:r>
      <w:rPr>
        <w:lang w:val="zh-CN"/>
      </w:rPr>
      <w:t>2</w:t>
    </w:r>
    <w:r>
      <w:rPr>
        <w:lang w:val="zh-CN"/>
      </w:rPr>
      <w:fldChar w:fldCharType="end"/>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5AC1AD"/>
    <w:multiLevelType w:val="singleLevel"/>
    <w:tmpl w:val="CF5AC1AD"/>
    <w:lvl w:ilvl="0" w:tentative="0">
      <w:start w:val="1"/>
      <w:numFmt w:val="decimal"/>
      <w:lvlText w:val="(%1)"/>
      <w:lvlJc w:val="left"/>
      <w:pPr>
        <w:ind w:left="425" w:hanging="425"/>
      </w:pPr>
      <w:rPr>
        <w:rFonts w:hint="default"/>
      </w:rPr>
    </w:lvl>
  </w:abstractNum>
  <w:abstractNum w:abstractNumId="1">
    <w:nsid w:val="1CBD85B6"/>
    <w:multiLevelType w:val="singleLevel"/>
    <w:tmpl w:val="1CBD85B6"/>
    <w:lvl w:ilvl="0" w:tentative="0">
      <w:start w:val="1"/>
      <w:numFmt w:val="bullet"/>
      <w:pStyle w:val="14"/>
      <w:lvlText w:val=""/>
      <w:lvlJc w:val="left"/>
      <w:pPr>
        <w:tabs>
          <w:tab w:val="left" w:pos="360"/>
        </w:tabs>
        <w:ind w:left="360" w:hanging="360"/>
      </w:pPr>
      <w:rPr>
        <w:rFonts w:hint="default" w:ascii="Wingdings" w:hAnsi="Wingdings"/>
      </w:rPr>
    </w:lvl>
  </w:abstractNum>
  <w:abstractNum w:abstractNumId="2">
    <w:nsid w:val="6350366A"/>
    <w:multiLevelType w:val="multilevel"/>
    <w:tmpl w:val="6350366A"/>
    <w:lvl w:ilvl="0" w:tentative="0">
      <w:start w:val="1"/>
      <w:numFmt w:val="none"/>
      <w:pStyle w:val="113"/>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pStyle w:val="4"/>
      <w:isLgl/>
      <w:suff w:val="nothing"/>
      <w:lvlText w:val="%1.%2.%3、"/>
      <w:lvlJc w:val="left"/>
      <w:pPr>
        <w:ind w:left="1069" w:hanging="1069"/>
      </w:pPr>
      <w:rPr>
        <w:rFonts w:hint="default" w:ascii="宋体" w:hAnsi="宋体" w:eastAsia="宋体" w:cs="Arial"/>
      </w:rPr>
    </w:lvl>
    <w:lvl w:ilvl="3" w:tentative="0">
      <w:start w:val="1"/>
      <w:numFmt w:val="decimal"/>
      <w:pStyle w:val="5"/>
      <w:isLgl/>
      <w:suff w:val="nothing"/>
      <w:lvlText w:val="%1.%2.%3.%4、"/>
      <w:lvlJc w:val="left"/>
      <w:pPr>
        <w:ind w:left="3403" w:hanging="851"/>
      </w:pPr>
    </w:lvl>
    <w:lvl w:ilvl="4" w:tentative="0">
      <w:start w:val="1"/>
      <w:numFmt w:val="decimal"/>
      <w:pStyle w:val="6"/>
      <w:isLgl/>
      <w:suff w:val="nothing"/>
      <w:lvlText w:val="%1.%2.%3.%4.%5、"/>
      <w:lvlJc w:val="left"/>
      <w:pPr>
        <w:ind w:left="3544" w:hanging="992"/>
      </w:pPr>
      <w:rPr>
        <w:rFonts w:hint="eastAsia"/>
      </w:rPr>
    </w:lvl>
    <w:lvl w:ilvl="5" w:tentative="0">
      <w:start w:val="1"/>
      <w:numFmt w:val="decimal"/>
      <w:pStyle w:val="7"/>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U5MDdhYjk0ZWM5MWVkMDI3NjZlMDE0ZTZjZWQ4MmIifQ=="/>
  </w:docVars>
  <w:rsids>
    <w:rsidRoot w:val="00172A27"/>
    <w:rsid w:val="0000005A"/>
    <w:rsid w:val="00000AED"/>
    <w:rsid w:val="00003516"/>
    <w:rsid w:val="0000380E"/>
    <w:rsid w:val="00005AFD"/>
    <w:rsid w:val="00006563"/>
    <w:rsid w:val="000074F1"/>
    <w:rsid w:val="00007A41"/>
    <w:rsid w:val="00007DA7"/>
    <w:rsid w:val="00012EF0"/>
    <w:rsid w:val="000156DE"/>
    <w:rsid w:val="000165AD"/>
    <w:rsid w:val="000179E9"/>
    <w:rsid w:val="00020C18"/>
    <w:rsid w:val="00021EE6"/>
    <w:rsid w:val="0002280E"/>
    <w:rsid w:val="00022C74"/>
    <w:rsid w:val="00025122"/>
    <w:rsid w:val="000252D5"/>
    <w:rsid w:val="00026997"/>
    <w:rsid w:val="00027A64"/>
    <w:rsid w:val="00030BBE"/>
    <w:rsid w:val="00032D27"/>
    <w:rsid w:val="00035325"/>
    <w:rsid w:val="00035D5B"/>
    <w:rsid w:val="000378D0"/>
    <w:rsid w:val="00037F2C"/>
    <w:rsid w:val="00042C2A"/>
    <w:rsid w:val="000430EC"/>
    <w:rsid w:val="000447CB"/>
    <w:rsid w:val="00047915"/>
    <w:rsid w:val="00047D06"/>
    <w:rsid w:val="00050FBD"/>
    <w:rsid w:val="0005107A"/>
    <w:rsid w:val="0005192C"/>
    <w:rsid w:val="00052929"/>
    <w:rsid w:val="0005299F"/>
    <w:rsid w:val="000541D7"/>
    <w:rsid w:val="000543C6"/>
    <w:rsid w:val="000545C0"/>
    <w:rsid w:val="0005586D"/>
    <w:rsid w:val="00056963"/>
    <w:rsid w:val="00056C0E"/>
    <w:rsid w:val="000574A8"/>
    <w:rsid w:val="000574F8"/>
    <w:rsid w:val="00057A49"/>
    <w:rsid w:val="0006231F"/>
    <w:rsid w:val="00062A05"/>
    <w:rsid w:val="00062EE6"/>
    <w:rsid w:val="0006344E"/>
    <w:rsid w:val="000649E6"/>
    <w:rsid w:val="00066396"/>
    <w:rsid w:val="0006794B"/>
    <w:rsid w:val="00067DCA"/>
    <w:rsid w:val="00070063"/>
    <w:rsid w:val="0007087A"/>
    <w:rsid w:val="000710EC"/>
    <w:rsid w:val="00072237"/>
    <w:rsid w:val="00072ABE"/>
    <w:rsid w:val="00080B39"/>
    <w:rsid w:val="00083950"/>
    <w:rsid w:val="0008452F"/>
    <w:rsid w:val="00084E8E"/>
    <w:rsid w:val="00085788"/>
    <w:rsid w:val="00085A68"/>
    <w:rsid w:val="00090625"/>
    <w:rsid w:val="00090948"/>
    <w:rsid w:val="00091CD1"/>
    <w:rsid w:val="0009460E"/>
    <w:rsid w:val="000951D4"/>
    <w:rsid w:val="000A2146"/>
    <w:rsid w:val="000A2930"/>
    <w:rsid w:val="000A3276"/>
    <w:rsid w:val="000A3C35"/>
    <w:rsid w:val="000A3E30"/>
    <w:rsid w:val="000A5876"/>
    <w:rsid w:val="000A61D0"/>
    <w:rsid w:val="000A6C67"/>
    <w:rsid w:val="000A6DB8"/>
    <w:rsid w:val="000A7596"/>
    <w:rsid w:val="000B11A8"/>
    <w:rsid w:val="000B1959"/>
    <w:rsid w:val="000B2E1C"/>
    <w:rsid w:val="000B4459"/>
    <w:rsid w:val="000B4B46"/>
    <w:rsid w:val="000B5363"/>
    <w:rsid w:val="000B53BA"/>
    <w:rsid w:val="000B642F"/>
    <w:rsid w:val="000B6C99"/>
    <w:rsid w:val="000C3F3C"/>
    <w:rsid w:val="000C5A75"/>
    <w:rsid w:val="000C75F7"/>
    <w:rsid w:val="000D0AB2"/>
    <w:rsid w:val="000D225C"/>
    <w:rsid w:val="000D36F2"/>
    <w:rsid w:val="000D4B26"/>
    <w:rsid w:val="000D74DB"/>
    <w:rsid w:val="000E24D6"/>
    <w:rsid w:val="000E3E6C"/>
    <w:rsid w:val="000E6072"/>
    <w:rsid w:val="000E6D61"/>
    <w:rsid w:val="000E7A23"/>
    <w:rsid w:val="000F1C29"/>
    <w:rsid w:val="000F1E9E"/>
    <w:rsid w:val="000F2B10"/>
    <w:rsid w:val="000F3F72"/>
    <w:rsid w:val="000F41F0"/>
    <w:rsid w:val="001017B7"/>
    <w:rsid w:val="001055B2"/>
    <w:rsid w:val="001068F0"/>
    <w:rsid w:val="00106AB8"/>
    <w:rsid w:val="00106C9E"/>
    <w:rsid w:val="00106E16"/>
    <w:rsid w:val="0010768B"/>
    <w:rsid w:val="00111701"/>
    <w:rsid w:val="00112A29"/>
    <w:rsid w:val="001143D4"/>
    <w:rsid w:val="001167F6"/>
    <w:rsid w:val="00116C86"/>
    <w:rsid w:val="00116D4B"/>
    <w:rsid w:val="00121ACF"/>
    <w:rsid w:val="00121D8F"/>
    <w:rsid w:val="00122037"/>
    <w:rsid w:val="0012210C"/>
    <w:rsid w:val="00122A7F"/>
    <w:rsid w:val="00123F98"/>
    <w:rsid w:val="001242A5"/>
    <w:rsid w:val="00124531"/>
    <w:rsid w:val="00126EDF"/>
    <w:rsid w:val="00127BBE"/>
    <w:rsid w:val="00127CC4"/>
    <w:rsid w:val="00131D52"/>
    <w:rsid w:val="001329C1"/>
    <w:rsid w:val="00132BF6"/>
    <w:rsid w:val="00132C16"/>
    <w:rsid w:val="00136320"/>
    <w:rsid w:val="00136FFA"/>
    <w:rsid w:val="00137AC6"/>
    <w:rsid w:val="00145512"/>
    <w:rsid w:val="001465BD"/>
    <w:rsid w:val="00147B45"/>
    <w:rsid w:val="00150803"/>
    <w:rsid w:val="00151C2C"/>
    <w:rsid w:val="00151D83"/>
    <w:rsid w:val="00153D9D"/>
    <w:rsid w:val="001546C9"/>
    <w:rsid w:val="00154FAE"/>
    <w:rsid w:val="00155E77"/>
    <w:rsid w:val="00156A70"/>
    <w:rsid w:val="00160A61"/>
    <w:rsid w:val="00160FC0"/>
    <w:rsid w:val="0016429B"/>
    <w:rsid w:val="00164525"/>
    <w:rsid w:val="00164C50"/>
    <w:rsid w:val="00165CB2"/>
    <w:rsid w:val="001665B8"/>
    <w:rsid w:val="00166767"/>
    <w:rsid w:val="001707CB"/>
    <w:rsid w:val="00170C70"/>
    <w:rsid w:val="00171477"/>
    <w:rsid w:val="00172A1A"/>
    <w:rsid w:val="00172A27"/>
    <w:rsid w:val="00173251"/>
    <w:rsid w:val="00176BED"/>
    <w:rsid w:val="0017759D"/>
    <w:rsid w:val="001804A5"/>
    <w:rsid w:val="00181C94"/>
    <w:rsid w:val="001827AC"/>
    <w:rsid w:val="00182C84"/>
    <w:rsid w:val="00187031"/>
    <w:rsid w:val="00191EA4"/>
    <w:rsid w:val="00192B6C"/>
    <w:rsid w:val="00192C30"/>
    <w:rsid w:val="0019381E"/>
    <w:rsid w:val="00194CF5"/>
    <w:rsid w:val="0019503C"/>
    <w:rsid w:val="00195D94"/>
    <w:rsid w:val="00196F7B"/>
    <w:rsid w:val="001971CB"/>
    <w:rsid w:val="0019795C"/>
    <w:rsid w:val="001A053A"/>
    <w:rsid w:val="001A22A2"/>
    <w:rsid w:val="001A2971"/>
    <w:rsid w:val="001A3D52"/>
    <w:rsid w:val="001A460A"/>
    <w:rsid w:val="001A4A4C"/>
    <w:rsid w:val="001B0230"/>
    <w:rsid w:val="001B13AB"/>
    <w:rsid w:val="001B3907"/>
    <w:rsid w:val="001B3B37"/>
    <w:rsid w:val="001B3B49"/>
    <w:rsid w:val="001B4907"/>
    <w:rsid w:val="001B4DC5"/>
    <w:rsid w:val="001B5505"/>
    <w:rsid w:val="001C2180"/>
    <w:rsid w:val="001C29CC"/>
    <w:rsid w:val="001C3217"/>
    <w:rsid w:val="001C3B98"/>
    <w:rsid w:val="001C3E40"/>
    <w:rsid w:val="001C6028"/>
    <w:rsid w:val="001C6365"/>
    <w:rsid w:val="001C7F57"/>
    <w:rsid w:val="001D0E79"/>
    <w:rsid w:val="001D370C"/>
    <w:rsid w:val="001D6049"/>
    <w:rsid w:val="001D7339"/>
    <w:rsid w:val="001E2750"/>
    <w:rsid w:val="001E4343"/>
    <w:rsid w:val="001E52BB"/>
    <w:rsid w:val="001E660A"/>
    <w:rsid w:val="001F05D6"/>
    <w:rsid w:val="001F5B0A"/>
    <w:rsid w:val="001F640F"/>
    <w:rsid w:val="001F6794"/>
    <w:rsid w:val="001F6F65"/>
    <w:rsid w:val="002002DF"/>
    <w:rsid w:val="00203A6F"/>
    <w:rsid w:val="00205646"/>
    <w:rsid w:val="002063F7"/>
    <w:rsid w:val="002129E5"/>
    <w:rsid w:val="00212AA4"/>
    <w:rsid w:val="00212E13"/>
    <w:rsid w:val="002163AA"/>
    <w:rsid w:val="002163C8"/>
    <w:rsid w:val="002179FE"/>
    <w:rsid w:val="00220BF9"/>
    <w:rsid w:val="00220CC0"/>
    <w:rsid w:val="00221A36"/>
    <w:rsid w:val="00223296"/>
    <w:rsid w:val="0022329B"/>
    <w:rsid w:val="002240F7"/>
    <w:rsid w:val="0022486F"/>
    <w:rsid w:val="00225314"/>
    <w:rsid w:val="00225DF4"/>
    <w:rsid w:val="00226C70"/>
    <w:rsid w:val="00230C8A"/>
    <w:rsid w:val="00231CF1"/>
    <w:rsid w:val="00231F98"/>
    <w:rsid w:val="002324F8"/>
    <w:rsid w:val="002348B0"/>
    <w:rsid w:val="00235CDC"/>
    <w:rsid w:val="00237E76"/>
    <w:rsid w:val="00240BBE"/>
    <w:rsid w:val="00241525"/>
    <w:rsid w:val="00241D87"/>
    <w:rsid w:val="00243C55"/>
    <w:rsid w:val="00243D5E"/>
    <w:rsid w:val="002451EC"/>
    <w:rsid w:val="00245ED4"/>
    <w:rsid w:val="00246B41"/>
    <w:rsid w:val="0025002B"/>
    <w:rsid w:val="002500DE"/>
    <w:rsid w:val="00252457"/>
    <w:rsid w:val="00252581"/>
    <w:rsid w:val="002535B5"/>
    <w:rsid w:val="002538CB"/>
    <w:rsid w:val="002542BD"/>
    <w:rsid w:val="0025774E"/>
    <w:rsid w:val="00257D64"/>
    <w:rsid w:val="00261271"/>
    <w:rsid w:val="00261D58"/>
    <w:rsid w:val="0026340A"/>
    <w:rsid w:val="002654EA"/>
    <w:rsid w:val="002704EA"/>
    <w:rsid w:val="0027061A"/>
    <w:rsid w:val="002719CC"/>
    <w:rsid w:val="002730C5"/>
    <w:rsid w:val="0027337C"/>
    <w:rsid w:val="0027602B"/>
    <w:rsid w:val="00277F5E"/>
    <w:rsid w:val="00280084"/>
    <w:rsid w:val="00280490"/>
    <w:rsid w:val="002860B8"/>
    <w:rsid w:val="00287683"/>
    <w:rsid w:val="0029206E"/>
    <w:rsid w:val="00293382"/>
    <w:rsid w:val="00293CCD"/>
    <w:rsid w:val="00294F51"/>
    <w:rsid w:val="002A20B7"/>
    <w:rsid w:val="002A2342"/>
    <w:rsid w:val="002A279E"/>
    <w:rsid w:val="002A4FA3"/>
    <w:rsid w:val="002B3606"/>
    <w:rsid w:val="002B3D80"/>
    <w:rsid w:val="002B4402"/>
    <w:rsid w:val="002B4946"/>
    <w:rsid w:val="002B4C41"/>
    <w:rsid w:val="002B588D"/>
    <w:rsid w:val="002C1839"/>
    <w:rsid w:val="002C214A"/>
    <w:rsid w:val="002C28E8"/>
    <w:rsid w:val="002C3027"/>
    <w:rsid w:val="002C674D"/>
    <w:rsid w:val="002C7648"/>
    <w:rsid w:val="002C7DC4"/>
    <w:rsid w:val="002D0821"/>
    <w:rsid w:val="002D1929"/>
    <w:rsid w:val="002D1B73"/>
    <w:rsid w:val="002D3CB0"/>
    <w:rsid w:val="002D4800"/>
    <w:rsid w:val="002D5026"/>
    <w:rsid w:val="002D5B21"/>
    <w:rsid w:val="002D6F6D"/>
    <w:rsid w:val="002E1FE6"/>
    <w:rsid w:val="002E2EA7"/>
    <w:rsid w:val="002E36D2"/>
    <w:rsid w:val="002E748B"/>
    <w:rsid w:val="002F2002"/>
    <w:rsid w:val="002F335D"/>
    <w:rsid w:val="002F4E32"/>
    <w:rsid w:val="002F503F"/>
    <w:rsid w:val="002F51DD"/>
    <w:rsid w:val="002F5D08"/>
    <w:rsid w:val="002F6895"/>
    <w:rsid w:val="002F6D13"/>
    <w:rsid w:val="003038D3"/>
    <w:rsid w:val="003049C7"/>
    <w:rsid w:val="00305F0E"/>
    <w:rsid w:val="0030667A"/>
    <w:rsid w:val="003106DE"/>
    <w:rsid w:val="00311530"/>
    <w:rsid w:val="00312D31"/>
    <w:rsid w:val="00313C22"/>
    <w:rsid w:val="00315216"/>
    <w:rsid w:val="0031691C"/>
    <w:rsid w:val="00317AEF"/>
    <w:rsid w:val="00317F49"/>
    <w:rsid w:val="0032089B"/>
    <w:rsid w:val="00323450"/>
    <w:rsid w:val="00323D93"/>
    <w:rsid w:val="0032489B"/>
    <w:rsid w:val="0032525B"/>
    <w:rsid w:val="00326A7A"/>
    <w:rsid w:val="00326FEE"/>
    <w:rsid w:val="00327138"/>
    <w:rsid w:val="0033025B"/>
    <w:rsid w:val="003315D7"/>
    <w:rsid w:val="00334DE6"/>
    <w:rsid w:val="0033536D"/>
    <w:rsid w:val="003353FF"/>
    <w:rsid w:val="003366D2"/>
    <w:rsid w:val="00337C79"/>
    <w:rsid w:val="00337FEF"/>
    <w:rsid w:val="0034084C"/>
    <w:rsid w:val="00340D5E"/>
    <w:rsid w:val="003420B5"/>
    <w:rsid w:val="00343646"/>
    <w:rsid w:val="00344CCB"/>
    <w:rsid w:val="00345897"/>
    <w:rsid w:val="00351BFC"/>
    <w:rsid w:val="00352CDC"/>
    <w:rsid w:val="0035575E"/>
    <w:rsid w:val="003565B4"/>
    <w:rsid w:val="00362E75"/>
    <w:rsid w:val="003631AA"/>
    <w:rsid w:val="003632D5"/>
    <w:rsid w:val="00363575"/>
    <w:rsid w:val="00364EF9"/>
    <w:rsid w:val="00366D81"/>
    <w:rsid w:val="00367579"/>
    <w:rsid w:val="0036795B"/>
    <w:rsid w:val="00370A29"/>
    <w:rsid w:val="003722F9"/>
    <w:rsid w:val="00372349"/>
    <w:rsid w:val="00372CBC"/>
    <w:rsid w:val="00373A61"/>
    <w:rsid w:val="00374BDE"/>
    <w:rsid w:val="00376B39"/>
    <w:rsid w:val="003772C0"/>
    <w:rsid w:val="00377BAC"/>
    <w:rsid w:val="00380142"/>
    <w:rsid w:val="00380558"/>
    <w:rsid w:val="00381D3C"/>
    <w:rsid w:val="0038223E"/>
    <w:rsid w:val="00382D92"/>
    <w:rsid w:val="00385AEF"/>
    <w:rsid w:val="003860EA"/>
    <w:rsid w:val="0038781A"/>
    <w:rsid w:val="003904C2"/>
    <w:rsid w:val="0039080B"/>
    <w:rsid w:val="0039094D"/>
    <w:rsid w:val="0039317C"/>
    <w:rsid w:val="0039326E"/>
    <w:rsid w:val="00394E22"/>
    <w:rsid w:val="003967A4"/>
    <w:rsid w:val="00397FA3"/>
    <w:rsid w:val="003A1596"/>
    <w:rsid w:val="003A317E"/>
    <w:rsid w:val="003A345B"/>
    <w:rsid w:val="003A49EE"/>
    <w:rsid w:val="003A674D"/>
    <w:rsid w:val="003A7123"/>
    <w:rsid w:val="003B102E"/>
    <w:rsid w:val="003B2167"/>
    <w:rsid w:val="003B5F5D"/>
    <w:rsid w:val="003B62C8"/>
    <w:rsid w:val="003C0C62"/>
    <w:rsid w:val="003C12DC"/>
    <w:rsid w:val="003C2CDA"/>
    <w:rsid w:val="003D000A"/>
    <w:rsid w:val="003D31E9"/>
    <w:rsid w:val="003D544E"/>
    <w:rsid w:val="003D5980"/>
    <w:rsid w:val="003E0842"/>
    <w:rsid w:val="003E13B0"/>
    <w:rsid w:val="003E2580"/>
    <w:rsid w:val="003E3DEE"/>
    <w:rsid w:val="003E3EBB"/>
    <w:rsid w:val="003E4A4C"/>
    <w:rsid w:val="003E4CBA"/>
    <w:rsid w:val="003E4D2F"/>
    <w:rsid w:val="003E4EDC"/>
    <w:rsid w:val="003E599D"/>
    <w:rsid w:val="003E5C81"/>
    <w:rsid w:val="003E6965"/>
    <w:rsid w:val="003F00E8"/>
    <w:rsid w:val="003F1873"/>
    <w:rsid w:val="003F1936"/>
    <w:rsid w:val="003F1BDD"/>
    <w:rsid w:val="003F3BA3"/>
    <w:rsid w:val="003F3BD5"/>
    <w:rsid w:val="003F400E"/>
    <w:rsid w:val="003F6F35"/>
    <w:rsid w:val="003F7768"/>
    <w:rsid w:val="00400E8C"/>
    <w:rsid w:val="004017DC"/>
    <w:rsid w:val="00401B53"/>
    <w:rsid w:val="00402668"/>
    <w:rsid w:val="00404FEC"/>
    <w:rsid w:val="0040534D"/>
    <w:rsid w:val="00405FAD"/>
    <w:rsid w:val="004117AB"/>
    <w:rsid w:val="00412B2F"/>
    <w:rsid w:val="00415281"/>
    <w:rsid w:val="00415716"/>
    <w:rsid w:val="0041604D"/>
    <w:rsid w:val="00417842"/>
    <w:rsid w:val="00417A6E"/>
    <w:rsid w:val="0042285D"/>
    <w:rsid w:val="00422AB3"/>
    <w:rsid w:val="00425861"/>
    <w:rsid w:val="00427D2B"/>
    <w:rsid w:val="00430B13"/>
    <w:rsid w:val="00430CE5"/>
    <w:rsid w:val="0043153C"/>
    <w:rsid w:val="00431D0F"/>
    <w:rsid w:val="0043481C"/>
    <w:rsid w:val="00444307"/>
    <w:rsid w:val="0044436F"/>
    <w:rsid w:val="004443EB"/>
    <w:rsid w:val="00444432"/>
    <w:rsid w:val="00444673"/>
    <w:rsid w:val="0044621E"/>
    <w:rsid w:val="00447BF1"/>
    <w:rsid w:val="00450BA4"/>
    <w:rsid w:val="004511FC"/>
    <w:rsid w:val="00456784"/>
    <w:rsid w:val="00456DCA"/>
    <w:rsid w:val="00461140"/>
    <w:rsid w:val="004611DB"/>
    <w:rsid w:val="004658B0"/>
    <w:rsid w:val="0046614B"/>
    <w:rsid w:val="00467FD7"/>
    <w:rsid w:val="00470073"/>
    <w:rsid w:val="004730F8"/>
    <w:rsid w:val="00474353"/>
    <w:rsid w:val="00474555"/>
    <w:rsid w:val="004750F4"/>
    <w:rsid w:val="00476CB1"/>
    <w:rsid w:val="00480A48"/>
    <w:rsid w:val="00482501"/>
    <w:rsid w:val="00482E7D"/>
    <w:rsid w:val="00484395"/>
    <w:rsid w:val="004865FB"/>
    <w:rsid w:val="00486C03"/>
    <w:rsid w:val="00491AB3"/>
    <w:rsid w:val="00497A33"/>
    <w:rsid w:val="004A0FB9"/>
    <w:rsid w:val="004A1112"/>
    <w:rsid w:val="004A1DA0"/>
    <w:rsid w:val="004A1F20"/>
    <w:rsid w:val="004A2393"/>
    <w:rsid w:val="004A3569"/>
    <w:rsid w:val="004A452A"/>
    <w:rsid w:val="004A5F2C"/>
    <w:rsid w:val="004A6E4F"/>
    <w:rsid w:val="004A720D"/>
    <w:rsid w:val="004B00D0"/>
    <w:rsid w:val="004B6084"/>
    <w:rsid w:val="004B7050"/>
    <w:rsid w:val="004B7AE0"/>
    <w:rsid w:val="004C0BC4"/>
    <w:rsid w:val="004C260D"/>
    <w:rsid w:val="004C2D47"/>
    <w:rsid w:val="004C4357"/>
    <w:rsid w:val="004C4477"/>
    <w:rsid w:val="004C4625"/>
    <w:rsid w:val="004C5730"/>
    <w:rsid w:val="004C6397"/>
    <w:rsid w:val="004C668F"/>
    <w:rsid w:val="004C682B"/>
    <w:rsid w:val="004D142C"/>
    <w:rsid w:val="004D29F7"/>
    <w:rsid w:val="004D36D8"/>
    <w:rsid w:val="004D4C5C"/>
    <w:rsid w:val="004D5AB0"/>
    <w:rsid w:val="004D5EAE"/>
    <w:rsid w:val="004D7A0E"/>
    <w:rsid w:val="004E06E7"/>
    <w:rsid w:val="004E0AE3"/>
    <w:rsid w:val="004E20D3"/>
    <w:rsid w:val="004E2C82"/>
    <w:rsid w:val="004E4FAE"/>
    <w:rsid w:val="004E62C7"/>
    <w:rsid w:val="004E68FF"/>
    <w:rsid w:val="004E7A1B"/>
    <w:rsid w:val="004F0B7F"/>
    <w:rsid w:val="004F1193"/>
    <w:rsid w:val="004F11DC"/>
    <w:rsid w:val="004F2124"/>
    <w:rsid w:val="004F271B"/>
    <w:rsid w:val="004F3A52"/>
    <w:rsid w:val="004F449F"/>
    <w:rsid w:val="004F4E7E"/>
    <w:rsid w:val="004F63AB"/>
    <w:rsid w:val="004F6B76"/>
    <w:rsid w:val="004F6C7C"/>
    <w:rsid w:val="004F7F1A"/>
    <w:rsid w:val="004F7FBB"/>
    <w:rsid w:val="005042B3"/>
    <w:rsid w:val="005045AB"/>
    <w:rsid w:val="00507D43"/>
    <w:rsid w:val="005103F2"/>
    <w:rsid w:val="00510E2C"/>
    <w:rsid w:val="00511FDC"/>
    <w:rsid w:val="005124C6"/>
    <w:rsid w:val="00513EBC"/>
    <w:rsid w:val="00514CE1"/>
    <w:rsid w:val="00517155"/>
    <w:rsid w:val="00517DB3"/>
    <w:rsid w:val="005200DC"/>
    <w:rsid w:val="005200F2"/>
    <w:rsid w:val="0052369D"/>
    <w:rsid w:val="005271DB"/>
    <w:rsid w:val="005303BF"/>
    <w:rsid w:val="00530D2F"/>
    <w:rsid w:val="0053487C"/>
    <w:rsid w:val="005356E1"/>
    <w:rsid w:val="00536A8B"/>
    <w:rsid w:val="00540418"/>
    <w:rsid w:val="00541A96"/>
    <w:rsid w:val="00541C6A"/>
    <w:rsid w:val="00542C54"/>
    <w:rsid w:val="00546A43"/>
    <w:rsid w:val="00546C70"/>
    <w:rsid w:val="00547258"/>
    <w:rsid w:val="00550CF0"/>
    <w:rsid w:val="005559FE"/>
    <w:rsid w:val="005560D6"/>
    <w:rsid w:val="00556D07"/>
    <w:rsid w:val="005611F2"/>
    <w:rsid w:val="00561734"/>
    <w:rsid w:val="00561952"/>
    <w:rsid w:val="00564B9A"/>
    <w:rsid w:val="0056554F"/>
    <w:rsid w:val="00565694"/>
    <w:rsid w:val="00566DD6"/>
    <w:rsid w:val="005714EF"/>
    <w:rsid w:val="00571CEC"/>
    <w:rsid w:val="00572FCE"/>
    <w:rsid w:val="005750DB"/>
    <w:rsid w:val="005759FC"/>
    <w:rsid w:val="00575A67"/>
    <w:rsid w:val="00575B85"/>
    <w:rsid w:val="00576DB9"/>
    <w:rsid w:val="0057738F"/>
    <w:rsid w:val="005805E4"/>
    <w:rsid w:val="0058202F"/>
    <w:rsid w:val="00582681"/>
    <w:rsid w:val="00584221"/>
    <w:rsid w:val="00584EB6"/>
    <w:rsid w:val="00586B68"/>
    <w:rsid w:val="0058774E"/>
    <w:rsid w:val="005878CF"/>
    <w:rsid w:val="00590CA0"/>
    <w:rsid w:val="00595B01"/>
    <w:rsid w:val="00595FE9"/>
    <w:rsid w:val="00596D98"/>
    <w:rsid w:val="005979A5"/>
    <w:rsid w:val="005A0021"/>
    <w:rsid w:val="005A017B"/>
    <w:rsid w:val="005A066F"/>
    <w:rsid w:val="005A0B3E"/>
    <w:rsid w:val="005A2AEC"/>
    <w:rsid w:val="005A412D"/>
    <w:rsid w:val="005A5212"/>
    <w:rsid w:val="005B002D"/>
    <w:rsid w:val="005B0FFF"/>
    <w:rsid w:val="005B19AF"/>
    <w:rsid w:val="005B258C"/>
    <w:rsid w:val="005B61DD"/>
    <w:rsid w:val="005B6735"/>
    <w:rsid w:val="005B7831"/>
    <w:rsid w:val="005C0CD6"/>
    <w:rsid w:val="005C12D9"/>
    <w:rsid w:val="005C2146"/>
    <w:rsid w:val="005C256C"/>
    <w:rsid w:val="005C309D"/>
    <w:rsid w:val="005C544B"/>
    <w:rsid w:val="005C5916"/>
    <w:rsid w:val="005C5AEE"/>
    <w:rsid w:val="005C774A"/>
    <w:rsid w:val="005D3734"/>
    <w:rsid w:val="005D4F16"/>
    <w:rsid w:val="005D5A53"/>
    <w:rsid w:val="005D5DA0"/>
    <w:rsid w:val="005D7FBD"/>
    <w:rsid w:val="005E19B4"/>
    <w:rsid w:val="005E1D6B"/>
    <w:rsid w:val="005E227A"/>
    <w:rsid w:val="005E2CF8"/>
    <w:rsid w:val="005E3126"/>
    <w:rsid w:val="005E7075"/>
    <w:rsid w:val="005E75A7"/>
    <w:rsid w:val="005F38E2"/>
    <w:rsid w:val="005F3EE6"/>
    <w:rsid w:val="005F6736"/>
    <w:rsid w:val="00602C10"/>
    <w:rsid w:val="00602EBD"/>
    <w:rsid w:val="0060334D"/>
    <w:rsid w:val="00604CF2"/>
    <w:rsid w:val="00606DFF"/>
    <w:rsid w:val="00606FB7"/>
    <w:rsid w:val="00610533"/>
    <w:rsid w:val="006110F6"/>
    <w:rsid w:val="00611FA1"/>
    <w:rsid w:val="00612522"/>
    <w:rsid w:val="00612DA6"/>
    <w:rsid w:val="0061365B"/>
    <w:rsid w:val="006138B6"/>
    <w:rsid w:val="00614BC6"/>
    <w:rsid w:val="00614CC2"/>
    <w:rsid w:val="00614E33"/>
    <w:rsid w:val="006158B8"/>
    <w:rsid w:val="0061706D"/>
    <w:rsid w:val="006173DA"/>
    <w:rsid w:val="00617EF9"/>
    <w:rsid w:val="00620295"/>
    <w:rsid w:val="00622F8E"/>
    <w:rsid w:val="00626AC8"/>
    <w:rsid w:val="00627912"/>
    <w:rsid w:val="00630E10"/>
    <w:rsid w:val="0063195F"/>
    <w:rsid w:val="00632389"/>
    <w:rsid w:val="00636C0A"/>
    <w:rsid w:val="00637EC6"/>
    <w:rsid w:val="006419E9"/>
    <w:rsid w:val="00641F27"/>
    <w:rsid w:val="0064240C"/>
    <w:rsid w:val="00642FF5"/>
    <w:rsid w:val="006430FB"/>
    <w:rsid w:val="00643992"/>
    <w:rsid w:val="00644DBC"/>
    <w:rsid w:val="00646FE6"/>
    <w:rsid w:val="006474CD"/>
    <w:rsid w:val="00647744"/>
    <w:rsid w:val="006479A0"/>
    <w:rsid w:val="00647DEC"/>
    <w:rsid w:val="006500D9"/>
    <w:rsid w:val="00653B54"/>
    <w:rsid w:val="006541A3"/>
    <w:rsid w:val="00654FAD"/>
    <w:rsid w:val="00655C9F"/>
    <w:rsid w:val="006567FF"/>
    <w:rsid w:val="00656867"/>
    <w:rsid w:val="0066109F"/>
    <w:rsid w:val="0066157B"/>
    <w:rsid w:val="00664B26"/>
    <w:rsid w:val="0066596B"/>
    <w:rsid w:val="00670295"/>
    <w:rsid w:val="006704F5"/>
    <w:rsid w:val="00672894"/>
    <w:rsid w:val="00674B47"/>
    <w:rsid w:val="00674F30"/>
    <w:rsid w:val="0067609E"/>
    <w:rsid w:val="00677749"/>
    <w:rsid w:val="00680E07"/>
    <w:rsid w:val="00682B9D"/>
    <w:rsid w:val="00683806"/>
    <w:rsid w:val="00686AF9"/>
    <w:rsid w:val="006910C0"/>
    <w:rsid w:val="00691954"/>
    <w:rsid w:val="0069320E"/>
    <w:rsid w:val="00693D13"/>
    <w:rsid w:val="00694F58"/>
    <w:rsid w:val="006955BC"/>
    <w:rsid w:val="006959E2"/>
    <w:rsid w:val="00696920"/>
    <w:rsid w:val="00697EB9"/>
    <w:rsid w:val="006A20D4"/>
    <w:rsid w:val="006A268D"/>
    <w:rsid w:val="006A350F"/>
    <w:rsid w:val="006A3957"/>
    <w:rsid w:val="006A39A4"/>
    <w:rsid w:val="006A41D6"/>
    <w:rsid w:val="006A57EE"/>
    <w:rsid w:val="006A669D"/>
    <w:rsid w:val="006A6E41"/>
    <w:rsid w:val="006B012F"/>
    <w:rsid w:val="006B076F"/>
    <w:rsid w:val="006B27CF"/>
    <w:rsid w:val="006B41BD"/>
    <w:rsid w:val="006B5678"/>
    <w:rsid w:val="006B62B2"/>
    <w:rsid w:val="006C1C57"/>
    <w:rsid w:val="006C5760"/>
    <w:rsid w:val="006C5871"/>
    <w:rsid w:val="006C6D57"/>
    <w:rsid w:val="006C6D6F"/>
    <w:rsid w:val="006D0D78"/>
    <w:rsid w:val="006D1128"/>
    <w:rsid w:val="006D2848"/>
    <w:rsid w:val="006D30E0"/>
    <w:rsid w:val="006D5521"/>
    <w:rsid w:val="006D5FE9"/>
    <w:rsid w:val="006D6CBB"/>
    <w:rsid w:val="006D76A9"/>
    <w:rsid w:val="006D77F4"/>
    <w:rsid w:val="006E0898"/>
    <w:rsid w:val="006E41CD"/>
    <w:rsid w:val="006E7EC7"/>
    <w:rsid w:val="006F3A54"/>
    <w:rsid w:val="006F3BEC"/>
    <w:rsid w:val="00703C00"/>
    <w:rsid w:val="007057CC"/>
    <w:rsid w:val="007066F2"/>
    <w:rsid w:val="00706AE5"/>
    <w:rsid w:val="0070740A"/>
    <w:rsid w:val="00711F93"/>
    <w:rsid w:val="00712940"/>
    <w:rsid w:val="0071428C"/>
    <w:rsid w:val="00715A16"/>
    <w:rsid w:val="007164B0"/>
    <w:rsid w:val="007166FF"/>
    <w:rsid w:val="007260CC"/>
    <w:rsid w:val="00726543"/>
    <w:rsid w:val="007276AD"/>
    <w:rsid w:val="0073353E"/>
    <w:rsid w:val="007360DF"/>
    <w:rsid w:val="00736633"/>
    <w:rsid w:val="00741EE7"/>
    <w:rsid w:val="00743A79"/>
    <w:rsid w:val="007444D4"/>
    <w:rsid w:val="0074594D"/>
    <w:rsid w:val="007459F3"/>
    <w:rsid w:val="00746E35"/>
    <w:rsid w:val="007470E2"/>
    <w:rsid w:val="00751D08"/>
    <w:rsid w:val="0075232F"/>
    <w:rsid w:val="00753132"/>
    <w:rsid w:val="007550B3"/>
    <w:rsid w:val="00760451"/>
    <w:rsid w:val="0076603C"/>
    <w:rsid w:val="00770450"/>
    <w:rsid w:val="0077182A"/>
    <w:rsid w:val="00771913"/>
    <w:rsid w:val="00772718"/>
    <w:rsid w:val="00775BCF"/>
    <w:rsid w:val="007818AA"/>
    <w:rsid w:val="00783140"/>
    <w:rsid w:val="007838B6"/>
    <w:rsid w:val="00783E77"/>
    <w:rsid w:val="007906F1"/>
    <w:rsid w:val="0079243D"/>
    <w:rsid w:val="00794A9B"/>
    <w:rsid w:val="0079583B"/>
    <w:rsid w:val="00796602"/>
    <w:rsid w:val="00797185"/>
    <w:rsid w:val="007976B7"/>
    <w:rsid w:val="00797A7E"/>
    <w:rsid w:val="00797D6F"/>
    <w:rsid w:val="007B014B"/>
    <w:rsid w:val="007B0D88"/>
    <w:rsid w:val="007B306F"/>
    <w:rsid w:val="007B4714"/>
    <w:rsid w:val="007B4E82"/>
    <w:rsid w:val="007C1996"/>
    <w:rsid w:val="007C3773"/>
    <w:rsid w:val="007C3F1F"/>
    <w:rsid w:val="007D2D0D"/>
    <w:rsid w:val="007D3325"/>
    <w:rsid w:val="007D3818"/>
    <w:rsid w:val="007D6DC5"/>
    <w:rsid w:val="007D7425"/>
    <w:rsid w:val="007E320E"/>
    <w:rsid w:val="007E3280"/>
    <w:rsid w:val="007E4A02"/>
    <w:rsid w:val="007E595C"/>
    <w:rsid w:val="007E59A5"/>
    <w:rsid w:val="007F3B8C"/>
    <w:rsid w:val="007F41D0"/>
    <w:rsid w:val="007F4B8B"/>
    <w:rsid w:val="007F5957"/>
    <w:rsid w:val="007F70B6"/>
    <w:rsid w:val="007F74CA"/>
    <w:rsid w:val="00800F1E"/>
    <w:rsid w:val="008018EE"/>
    <w:rsid w:val="0080195A"/>
    <w:rsid w:val="0080239C"/>
    <w:rsid w:val="00802841"/>
    <w:rsid w:val="008037D5"/>
    <w:rsid w:val="00805447"/>
    <w:rsid w:val="008054FA"/>
    <w:rsid w:val="0080717A"/>
    <w:rsid w:val="00807DFA"/>
    <w:rsid w:val="0081009F"/>
    <w:rsid w:val="00810152"/>
    <w:rsid w:val="008115AB"/>
    <w:rsid w:val="00812D2C"/>
    <w:rsid w:val="0081594D"/>
    <w:rsid w:val="008159F4"/>
    <w:rsid w:val="008167C1"/>
    <w:rsid w:val="008167C6"/>
    <w:rsid w:val="00816B8F"/>
    <w:rsid w:val="00820331"/>
    <w:rsid w:val="00820BF5"/>
    <w:rsid w:val="008212B1"/>
    <w:rsid w:val="0082155A"/>
    <w:rsid w:val="0082209F"/>
    <w:rsid w:val="008223C2"/>
    <w:rsid w:val="008250A2"/>
    <w:rsid w:val="00825D64"/>
    <w:rsid w:val="0082650B"/>
    <w:rsid w:val="008301CE"/>
    <w:rsid w:val="008312E3"/>
    <w:rsid w:val="00831D5B"/>
    <w:rsid w:val="00832DD6"/>
    <w:rsid w:val="00832F0C"/>
    <w:rsid w:val="008336F2"/>
    <w:rsid w:val="008345D9"/>
    <w:rsid w:val="008347CB"/>
    <w:rsid w:val="00835647"/>
    <w:rsid w:val="00837A2E"/>
    <w:rsid w:val="00840EEA"/>
    <w:rsid w:val="00841558"/>
    <w:rsid w:val="00842A68"/>
    <w:rsid w:val="008435BA"/>
    <w:rsid w:val="0084558B"/>
    <w:rsid w:val="0084654A"/>
    <w:rsid w:val="00847654"/>
    <w:rsid w:val="00851064"/>
    <w:rsid w:val="00855543"/>
    <w:rsid w:val="00855D00"/>
    <w:rsid w:val="008566B3"/>
    <w:rsid w:val="008576B7"/>
    <w:rsid w:val="00857F7B"/>
    <w:rsid w:val="00863DA1"/>
    <w:rsid w:val="008654A6"/>
    <w:rsid w:val="00865D86"/>
    <w:rsid w:val="00870495"/>
    <w:rsid w:val="00870EA1"/>
    <w:rsid w:val="008710C5"/>
    <w:rsid w:val="00874438"/>
    <w:rsid w:val="00874E75"/>
    <w:rsid w:val="008767F3"/>
    <w:rsid w:val="00876CEF"/>
    <w:rsid w:val="00877342"/>
    <w:rsid w:val="008803C3"/>
    <w:rsid w:val="00881450"/>
    <w:rsid w:val="008817C7"/>
    <w:rsid w:val="00881875"/>
    <w:rsid w:val="008848A3"/>
    <w:rsid w:val="00884AF1"/>
    <w:rsid w:val="00885F7A"/>
    <w:rsid w:val="00890712"/>
    <w:rsid w:val="00890D81"/>
    <w:rsid w:val="00892955"/>
    <w:rsid w:val="00893628"/>
    <w:rsid w:val="008941EB"/>
    <w:rsid w:val="0089545A"/>
    <w:rsid w:val="00895A02"/>
    <w:rsid w:val="008A01EE"/>
    <w:rsid w:val="008A0DAC"/>
    <w:rsid w:val="008A3B78"/>
    <w:rsid w:val="008A4166"/>
    <w:rsid w:val="008A7DBF"/>
    <w:rsid w:val="008B136C"/>
    <w:rsid w:val="008B55EF"/>
    <w:rsid w:val="008B6910"/>
    <w:rsid w:val="008C0B5C"/>
    <w:rsid w:val="008C1343"/>
    <w:rsid w:val="008C3912"/>
    <w:rsid w:val="008C543A"/>
    <w:rsid w:val="008C5598"/>
    <w:rsid w:val="008C69EA"/>
    <w:rsid w:val="008C6F8B"/>
    <w:rsid w:val="008C7AB7"/>
    <w:rsid w:val="008C7FB4"/>
    <w:rsid w:val="008D124B"/>
    <w:rsid w:val="008D2C8C"/>
    <w:rsid w:val="008D3040"/>
    <w:rsid w:val="008D3ECD"/>
    <w:rsid w:val="008D5C03"/>
    <w:rsid w:val="008D7580"/>
    <w:rsid w:val="008D7C35"/>
    <w:rsid w:val="008E5698"/>
    <w:rsid w:val="008E5733"/>
    <w:rsid w:val="008E77D2"/>
    <w:rsid w:val="008E78FD"/>
    <w:rsid w:val="008E7CD9"/>
    <w:rsid w:val="008F199D"/>
    <w:rsid w:val="008F38A0"/>
    <w:rsid w:val="008F39C9"/>
    <w:rsid w:val="008F4437"/>
    <w:rsid w:val="008F5EB5"/>
    <w:rsid w:val="008F678C"/>
    <w:rsid w:val="008F75A7"/>
    <w:rsid w:val="008F7E5A"/>
    <w:rsid w:val="00900A7F"/>
    <w:rsid w:val="009036EE"/>
    <w:rsid w:val="00905815"/>
    <w:rsid w:val="00905D1D"/>
    <w:rsid w:val="009061CF"/>
    <w:rsid w:val="0091016D"/>
    <w:rsid w:val="00910C98"/>
    <w:rsid w:val="00911910"/>
    <w:rsid w:val="00912A58"/>
    <w:rsid w:val="00913908"/>
    <w:rsid w:val="00913D26"/>
    <w:rsid w:val="0091438B"/>
    <w:rsid w:val="009147E3"/>
    <w:rsid w:val="00920FD2"/>
    <w:rsid w:val="00923A43"/>
    <w:rsid w:val="0092439C"/>
    <w:rsid w:val="0092498E"/>
    <w:rsid w:val="00925B91"/>
    <w:rsid w:val="00934461"/>
    <w:rsid w:val="00934F7E"/>
    <w:rsid w:val="00936A1C"/>
    <w:rsid w:val="00943E35"/>
    <w:rsid w:val="00945278"/>
    <w:rsid w:val="0094658D"/>
    <w:rsid w:val="00947678"/>
    <w:rsid w:val="00947878"/>
    <w:rsid w:val="009504C2"/>
    <w:rsid w:val="00950976"/>
    <w:rsid w:val="0095254A"/>
    <w:rsid w:val="0095273B"/>
    <w:rsid w:val="009559E1"/>
    <w:rsid w:val="009568D5"/>
    <w:rsid w:val="00957CD3"/>
    <w:rsid w:val="0096269B"/>
    <w:rsid w:val="00963FB0"/>
    <w:rsid w:val="00964C86"/>
    <w:rsid w:val="00965E82"/>
    <w:rsid w:val="009664BB"/>
    <w:rsid w:val="009669F8"/>
    <w:rsid w:val="00966F89"/>
    <w:rsid w:val="00973B5D"/>
    <w:rsid w:val="0097755E"/>
    <w:rsid w:val="00981467"/>
    <w:rsid w:val="00981C24"/>
    <w:rsid w:val="009852F6"/>
    <w:rsid w:val="00985DE5"/>
    <w:rsid w:val="00986254"/>
    <w:rsid w:val="0098729E"/>
    <w:rsid w:val="00990067"/>
    <w:rsid w:val="00992977"/>
    <w:rsid w:val="009937D4"/>
    <w:rsid w:val="00993C78"/>
    <w:rsid w:val="009948C7"/>
    <w:rsid w:val="00995850"/>
    <w:rsid w:val="0099592E"/>
    <w:rsid w:val="00995FD0"/>
    <w:rsid w:val="0099796C"/>
    <w:rsid w:val="009A194E"/>
    <w:rsid w:val="009A1EA2"/>
    <w:rsid w:val="009A209E"/>
    <w:rsid w:val="009A3FD7"/>
    <w:rsid w:val="009A6652"/>
    <w:rsid w:val="009A74FD"/>
    <w:rsid w:val="009A7515"/>
    <w:rsid w:val="009B25D8"/>
    <w:rsid w:val="009B42E3"/>
    <w:rsid w:val="009B5859"/>
    <w:rsid w:val="009C387C"/>
    <w:rsid w:val="009C6D07"/>
    <w:rsid w:val="009C7CEC"/>
    <w:rsid w:val="009D154D"/>
    <w:rsid w:val="009D18EF"/>
    <w:rsid w:val="009D1ECA"/>
    <w:rsid w:val="009D3BE8"/>
    <w:rsid w:val="009D44E0"/>
    <w:rsid w:val="009D573B"/>
    <w:rsid w:val="009D59A0"/>
    <w:rsid w:val="009D716A"/>
    <w:rsid w:val="009E1AC4"/>
    <w:rsid w:val="009E20B8"/>
    <w:rsid w:val="009E29A0"/>
    <w:rsid w:val="009E41B5"/>
    <w:rsid w:val="009E55D7"/>
    <w:rsid w:val="009E627C"/>
    <w:rsid w:val="009E71D0"/>
    <w:rsid w:val="009F110B"/>
    <w:rsid w:val="009F1498"/>
    <w:rsid w:val="009F170B"/>
    <w:rsid w:val="009F1E9F"/>
    <w:rsid w:val="009F3793"/>
    <w:rsid w:val="009F54F2"/>
    <w:rsid w:val="00A0056B"/>
    <w:rsid w:val="00A01657"/>
    <w:rsid w:val="00A01C65"/>
    <w:rsid w:val="00A0213D"/>
    <w:rsid w:val="00A04C73"/>
    <w:rsid w:val="00A0679A"/>
    <w:rsid w:val="00A07A2B"/>
    <w:rsid w:val="00A12375"/>
    <w:rsid w:val="00A125B8"/>
    <w:rsid w:val="00A13124"/>
    <w:rsid w:val="00A15370"/>
    <w:rsid w:val="00A156AB"/>
    <w:rsid w:val="00A16B8D"/>
    <w:rsid w:val="00A20EA2"/>
    <w:rsid w:val="00A21293"/>
    <w:rsid w:val="00A2134B"/>
    <w:rsid w:val="00A21623"/>
    <w:rsid w:val="00A220EB"/>
    <w:rsid w:val="00A22302"/>
    <w:rsid w:val="00A25F1B"/>
    <w:rsid w:val="00A325F3"/>
    <w:rsid w:val="00A32D12"/>
    <w:rsid w:val="00A33103"/>
    <w:rsid w:val="00A33294"/>
    <w:rsid w:val="00A35DCB"/>
    <w:rsid w:val="00A3690E"/>
    <w:rsid w:val="00A37751"/>
    <w:rsid w:val="00A406B1"/>
    <w:rsid w:val="00A4113E"/>
    <w:rsid w:val="00A42435"/>
    <w:rsid w:val="00A438BA"/>
    <w:rsid w:val="00A446FD"/>
    <w:rsid w:val="00A46F46"/>
    <w:rsid w:val="00A52CB6"/>
    <w:rsid w:val="00A52F99"/>
    <w:rsid w:val="00A538BB"/>
    <w:rsid w:val="00A54164"/>
    <w:rsid w:val="00A56737"/>
    <w:rsid w:val="00A60002"/>
    <w:rsid w:val="00A603D8"/>
    <w:rsid w:val="00A608BE"/>
    <w:rsid w:val="00A60AE2"/>
    <w:rsid w:val="00A61834"/>
    <w:rsid w:val="00A618B0"/>
    <w:rsid w:val="00A62790"/>
    <w:rsid w:val="00A6291F"/>
    <w:rsid w:val="00A63F53"/>
    <w:rsid w:val="00A6744D"/>
    <w:rsid w:val="00A7111E"/>
    <w:rsid w:val="00A755B6"/>
    <w:rsid w:val="00A75B1A"/>
    <w:rsid w:val="00A80ED4"/>
    <w:rsid w:val="00A816C4"/>
    <w:rsid w:val="00A82981"/>
    <w:rsid w:val="00A86F10"/>
    <w:rsid w:val="00A87AF2"/>
    <w:rsid w:val="00A90B23"/>
    <w:rsid w:val="00A93193"/>
    <w:rsid w:val="00A93C2B"/>
    <w:rsid w:val="00A94556"/>
    <w:rsid w:val="00A974CB"/>
    <w:rsid w:val="00AA1EAC"/>
    <w:rsid w:val="00AA45E2"/>
    <w:rsid w:val="00AA7AC1"/>
    <w:rsid w:val="00AB6327"/>
    <w:rsid w:val="00AB6B8F"/>
    <w:rsid w:val="00AC0C65"/>
    <w:rsid w:val="00AC0FB2"/>
    <w:rsid w:val="00AC3513"/>
    <w:rsid w:val="00AC3721"/>
    <w:rsid w:val="00AC41C6"/>
    <w:rsid w:val="00AC70C7"/>
    <w:rsid w:val="00AC76B7"/>
    <w:rsid w:val="00AD0223"/>
    <w:rsid w:val="00AD123A"/>
    <w:rsid w:val="00AD15FF"/>
    <w:rsid w:val="00AD1AA5"/>
    <w:rsid w:val="00AD2920"/>
    <w:rsid w:val="00AD2CD5"/>
    <w:rsid w:val="00AD2DFC"/>
    <w:rsid w:val="00AD38C4"/>
    <w:rsid w:val="00AD5A4A"/>
    <w:rsid w:val="00AD60EE"/>
    <w:rsid w:val="00AD6A2B"/>
    <w:rsid w:val="00AD73D4"/>
    <w:rsid w:val="00AE1EA2"/>
    <w:rsid w:val="00AE2874"/>
    <w:rsid w:val="00AE2F98"/>
    <w:rsid w:val="00AE3602"/>
    <w:rsid w:val="00AE5342"/>
    <w:rsid w:val="00AE5987"/>
    <w:rsid w:val="00AE6472"/>
    <w:rsid w:val="00AF1345"/>
    <w:rsid w:val="00AF1398"/>
    <w:rsid w:val="00AF38A8"/>
    <w:rsid w:val="00AF63EB"/>
    <w:rsid w:val="00B016D2"/>
    <w:rsid w:val="00B018EC"/>
    <w:rsid w:val="00B0294D"/>
    <w:rsid w:val="00B060C7"/>
    <w:rsid w:val="00B11AB7"/>
    <w:rsid w:val="00B12213"/>
    <w:rsid w:val="00B13710"/>
    <w:rsid w:val="00B22881"/>
    <w:rsid w:val="00B23EFC"/>
    <w:rsid w:val="00B24B72"/>
    <w:rsid w:val="00B25DB8"/>
    <w:rsid w:val="00B2656C"/>
    <w:rsid w:val="00B266E6"/>
    <w:rsid w:val="00B3094D"/>
    <w:rsid w:val="00B30B04"/>
    <w:rsid w:val="00B311BC"/>
    <w:rsid w:val="00B31810"/>
    <w:rsid w:val="00B31C10"/>
    <w:rsid w:val="00B340E6"/>
    <w:rsid w:val="00B3446D"/>
    <w:rsid w:val="00B34652"/>
    <w:rsid w:val="00B34F89"/>
    <w:rsid w:val="00B358C8"/>
    <w:rsid w:val="00B36185"/>
    <w:rsid w:val="00B3662F"/>
    <w:rsid w:val="00B373CD"/>
    <w:rsid w:val="00B377C8"/>
    <w:rsid w:val="00B400B8"/>
    <w:rsid w:val="00B404DE"/>
    <w:rsid w:val="00B40765"/>
    <w:rsid w:val="00B4232D"/>
    <w:rsid w:val="00B42682"/>
    <w:rsid w:val="00B43065"/>
    <w:rsid w:val="00B44784"/>
    <w:rsid w:val="00B449D0"/>
    <w:rsid w:val="00B456AB"/>
    <w:rsid w:val="00B46C2A"/>
    <w:rsid w:val="00B47E8B"/>
    <w:rsid w:val="00B51C67"/>
    <w:rsid w:val="00B53F86"/>
    <w:rsid w:val="00B53FDC"/>
    <w:rsid w:val="00B55431"/>
    <w:rsid w:val="00B55CAE"/>
    <w:rsid w:val="00B576C6"/>
    <w:rsid w:val="00B615F2"/>
    <w:rsid w:val="00B61A28"/>
    <w:rsid w:val="00B64DA1"/>
    <w:rsid w:val="00B65C6D"/>
    <w:rsid w:val="00B66B06"/>
    <w:rsid w:val="00B67862"/>
    <w:rsid w:val="00B70634"/>
    <w:rsid w:val="00B70BE4"/>
    <w:rsid w:val="00B73880"/>
    <w:rsid w:val="00B73CF1"/>
    <w:rsid w:val="00B745B3"/>
    <w:rsid w:val="00B7599D"/>
    <w:rsid w:val="00B7648F"/>
    <w:rsid w:val="00B76E13"/>
    <w:rsid w:val="00B771EE"/>
    <w:rsid w:val="00B7765B"/>
    <w:rsid w:val="00B77B4B"/>
    <w:rsid w:val="00B80ABC"/>
    <w:rsid w:val="00B814C2"/>
    <w:rsid w:val="00B879FC"/>
    <w:rsid w:val="00B900FE"/>
    <w:rsid w:val="00B9064C"/>
    <w:rsid w:val="00B9676B"/>
    <w:rsid w:val="00BA0A14"/>
    <w:rsid w:val="00BA228D"/>
    <w:rsid w:val="00BA398D"/>
    <w:rsid w:val="00BA39D3"/>
    <w:rsid w:val="00BA5C56"/>
    <w:rsid w:val="00BA675F"/>
    <w:rsid w:val="00BA776F"/>
    <w:rsid w:val="00BB0C0D"/>
    <w:rsid w:val="00BB0D69"/>
    <w:rsid w:val="00BB366E"/>
    <w:rsid w:val="00BB3A50"/>
    <w:rsid w:val="00BB3AF0"/>
    <w:rsid w:val="00BB4F70"/>
    <w:rsid w:val="00BB67FF"/>
    <w:rsid w:val="00BC11B9"/>
    <w:rsid w:val="00BC138C"/>
    <w:rsid w:val="00BC14CF"/>
    <w:rsid w:val="00BC1659"/>
    <w:rsid w:val="00BC2C91"/>
    <w:rsid w:val="00BC3A9C"/>
    <w:rsid w:val="00BC5288"/>
    <w:rsid w:val="00BC6A71"/>
    <w:rsid w:val="00BC6B2F"/>
    <w:rsid w:val="00BC7248"/>
    <w:rsid w:val="00BD020B"/>
    <w:rsid w:val="00BD0637"/>
    <w:rsid w:val="00BD08A8"/>
    <w:rsid w:val="00BD1BAC"/>
    <w:rsid w:val="00BD1FA8"/>
    <w:rsid w:val="00BD25A6"/>
    <w:rsid w:val="00BD4C95"/>
    <w:rsid w:val="00BD65FC"/>
    <w:rsid w:val="00BD7660"/>
    <w:rsid w:val="00BE0666"/>
    <w:rsid w:val="00BE24B9"/>
    <w:rsid w:val="00BE2AE8"/>
    <w:rsid w:val="00BE2D55"/>
    <w:rsid w:val="00BE38DD"/>
    <w:rsid w:val="00BE4AB1"/>
    <w:rsid w:val="00BE6E33"/>
    <w:rsid w:val="00BF16C3"/>
    <w:rsid w:val="00BF38E0"/>
    <w:rsid w:val="00BF44FA"/>
    <w:rsid w:val="00BF57E1"/>
    <w:rsid w:val="00C003B4"/>
    <w:rsid w:val="00C00A5F"/>
    <w:rsid w:val="00C042E0"/>
    <w:rsid w:val="00C051D9"/>
    <w:rsid w:val="00C06333"/>
    <w:rsid w:val="00C06F68"/>
    <w:rsid w:val="00C075BA"/>
    <w:rsid w:val="00C10A3A"/>
    <w:rsid w:val="00C11E20"/>
    <w:rsid w:val="00C141FF"/>
    <w:rsid w:val="00C15D16"/>
    <w:rsid w:val="00C20015"/>
    <w:rsid w:val="00C247DD"/>
    <w:rsid w:val="00C25AF0"/>
    <w:rsid w:val="00C25B43"/>
    <w:rsid w:val="00C26A54"/>
    <w:rsid w:val="00C3261C"/>
    <w:rsid w:val="00C3318B"/>
    <w:rsid w:val="00C33C20"/>
    <w:rsid w:val="00C35362"/>
    <w:rsid w:val="00C357EA"/>
    <w:rsid w:val="00C379F8"/>
    <w:rsid w:val="00C37A1C"/>
    <w:rsid w:val="00C41298"/>
    <w:rsid w:val="00C42323"/>
    <w:rsid w:val="00C4316E"/>
    <w:rsid w:val="00C453A9"/>
    <w:rsid w:val="00C465D5"/>
    <w:rsid w:val="00C4756A"/>
    <w:rsid w:val="00C47C39"/>
    <w:rsid w:val="00C50649"/>
    <w:rsid w:val="00C50E1F"/>
    <w:rsid w:val="00C51C09"/>
    <w:rsid w:val="00C52A03"/>
    <w:rsid w:val="00C52BB6"/>
    <w:rsid w:val="00C53471"/>
    <w:rsid w:val="00C55143"/>
    <w:rsid w:val="00C5611B"/>
    <w:rsid w:val="00C5695E"/>
    <w:rsid w:val="00C61528"/>
    <w:rsid w:val="00C63457"/>
    <w:rsid w:val="00C64964"/>
    <w:rsid w:val="00C6631E"/>
    <w:rsid w:val="00C67473"/>
    <w:rsid w:val="00C67AA4"/>
    <w:rsid w:val="00C7148C"/>
    <w:rsid w:val="00C72192"/>
    <w:rsid w:val="00C732E5"/>
    <w:rsid w:val="00C73D0B"/>
    <w:rsid w:val="00C75017"/>
    <w:rsid w:val="00C765B4"/>
    <w:rsid w:val="00C813EA"/>
    <w:rsid w:val="00C81496"/>
    <w:rsid w:val="00C82CE6"/>
    <w:rsid w:val="00C82E22"/>
    <w:rsid w:val="00C85144"/>
    <w:rsid w:val="00C86738"/>
    <w:rsid w:val="00C86A27"/>
    <w:rsid w:val="00C91517"/>
    <w:rsid w:val="00C918B6"/>
    <w:rsid w:val="00C929BD"/>
    <w:rsid w:val="00C931A2"/>
    <w:rsid w:val="00CA02E1"/>
    <w:rsid w:val="00CA15DA"/>
    <w:rsid w:val="00CA19AE"/>
    <w:rsid w:val="00CA1AD3"/>
    <w:rsid w:val="00CA224E"/>
    <w:rsid w:val="00CA41C5"/>
    <w:rsid w:val="00CA42B7"/>
    <w:rsid w:val="00CA4A53"/>
    <w:rsid w:val="00CA51F5"/>
    <w:rsid w:val="00CB218A"/>
    <w:rsid w:val="00CB225A"/>
    <w:rsid w:val="00CB69E6"/>
    <w:rsid w:val="00CB761B"/>
    <w:rsid w:val="00CC13DF"/>
    <w:rsid w:val="00CC1EEE"/>
    <w:rsid w:val="00CC562B"/>
    <w:rsid w:val="00CC6C15"/>
    <w:rsid w:val="00CC78DE"/>
    <w:rsid w:val="00CC7FCF"/>
    <w:rsid w:val="00CD2749"/>
    <w:rsid w:val="00CD294E"/>
    <w:rsid w:val="00CD2A60"/>
    <w:rsid w:val="00CD306F"/>
    <w:rsid w:val="00CD3971"/>
    <w:rsid w:val="00CD3DAB"/>
    <w:rsid w:val="00CE0DF1"/>
    <w:rsid w:val="00CE3786"/>
    <w:rsid w:val="00CE4027"/>
    <w:rsid w:val="00CE4399"/>
    <w:rsid w:val="00CE47CC"/>
    <w:rsid w:val="00CE68F6"/>
    <w:rsid w:val="00CE7E27"/>
    <w:rsid w:val="00CF22AC"/>
    <w:rsid w:val="00CF2F0A"/>
    <w:rsid w:val="00CF79E8"/>
    <w:rsid w:val="00D015AA"/>
    <w:rsid w:val="00D021B8"/>
    <w:rsid w:val="00D03D90"/>
    <w:rsid w:val="00D04024"/>
    <w:rsid w:val="00D043EB"/>
    <w:rsid w:val="00D06705"/>
    <w:rsid w:val="00D06A9B"/>
    <w:rsid w:val="00D0750D"/>
    <w:rsid w:val="00D07DD8"/>
    <w:rsid w:val="00D1038F"/>
    <w:rsid w:val="00D10BF7"/>
    <w:rsid w:val="00D10FEB"/>
    <w:rsid w:val="00D140A0"/>
    <w:rsid w:val="00D203D1"/>
    <w:rsid w:val="00D2057A"/>
    <w:rsid w:val="00D21D98"/>
    <w:rsid w:val="00D2317F"/>
    <w:rsid w:val="00D231A9"/>
    <w:rsid w:val="00D24391"/>
    <w:rsid w:val="00D2472B"/>
    <w:rsid w:val="00D253DD"/>
    <w:rsid w:val="00D26FFA"/>
    <w:rsid w:val="00D2732E"/>
    <w:rsid w:val="00D3215D"/>
    <w:rsid w:val="00D33352"/>
    <w:rsid w:val="00D347D9"/>
    <w:rsid w:val="00D35565"/>
    <w:rsid w:val="00D36A19"/>
    <w:rsid w:val="00D40DCF"/>
    <w:rsid w:val="00D41075"/>
    <w:rsid w:val="00D41C76"/>
    <w:rsid w:val="00D41DD8"/>
    <w:rsid w:val="00D4222C"/>
    <w:rsid w:val="00D425CE"/>
    <w:rsid w:val="00D42F40"/>
    <w:rsid w:val="00D4396C"/>
    <w:rsid w:val="00D4446F"/>
    <w:rsid w:val="00D44B55"/>
    <w:rsid w:val="00D45490"/>
    <w:rsid w:val="00D457B8"/>
    <w:rsid w:val="00D457E1"/>
    <w:rsid w:val="00D47BEB"/>
    <w:rsid w:val="00D50487"/>
    <w:rsid w:val="00D50563"/>
    <w:rsid w:val="00D50E66"/>
    <w:rsid w:val="00D50F50"/>
    <w:rsid w:val="00D5235F"/>
    <w:rsid w:val="00D52F50"/>
    <w:rsid w:val="00D55A98"/>
    <w:rsid w:val="00D56B49"/>
    <w:rsid w:val="00D6053F"/>
    <w:rsid w:val="00D6073D"/>
    <w:rsid w:val="00D618D6"/>
    <w:rsid w:val="00D62426"/>
    <w:rsid w:val="00D62804"/>
    <w:rsid w:val="00D647A9"/>
    <w:rsid w:val="00D70F55"/>
    <w:rsid w:val="00D70FA5"/>
    <w:rsid w:val="00D7414A"/>
    <w:rsid w:val="00D74171"/>
    <w:rsid w:val="00D7474C"/>
    <w:rsid w:val="00D8032C"/>
    <w:rsid w:val="00D80CE2"/>
    <w:rsid w:val="00D83080"/>
    <w:rsid w:val="00D8422C"/>
    <w:rsid w:val="00D84D5F"/>
    <w:rsid w:val="00D851E2"/>
    <w:rsid w:val="00D87FFA"/>
    <w:rsid w:val="00D91419"/>
    <w:rsid w:val="00D92A09"/>
    <w:rsid w:val="00D92D2A"/>
    <w:rsid w:val="00D92EEC"/>
    <w:rsid w:val="00D93470"/>
    <w:rsid w:val="00D9395F"/>
    <w:rsid w:val="00D93D55"/>
    <w:rsid w:val="00D941FA"/>
    <w:rsid w:val="00D94B59"/>
    <w:rsid w:val="00D95315"/>
    <w:rsid w:val="00D95EAB"/>
    <w:rsid w:val="00DA0B39"/>
    <w:rsid w:val="00DA1203"/>
    <w:rsid w:val="00DA2316"/>
    <w:rsid w:val="00DA25E0"/>
    <w:rsid w:val="00DA2700"/>
    <w:rsid w:val="00DA3001"/>
    <w:rsid w:val="00DA3C5D"/>
    <w:rsid w:val="00DA3EFF"/>
    <w:rsid w:val="00DA7769"/>
    <w:rsid w:val="00DB08C6"/>
    <w:rsid w:val="00DB18FA"/>
    <w:rsid w:val="00DB1BC2"/>
    <w:rsid w:val="00DB1CBB"/>
    <w:rsid w:val="00DB31ED"/>
    <w:rsid w:val="00DB4124"/>
    <w:rsid w:val="00DB4511"/>
    <w:rsid w:val="00DB4F0C"/>
    <w:rsid w:val="00DC0176"/>
    <w:rsid w:val="00DC01E5"/>
    <w:rsid w:val="00DC043F"/>
    <w:rsid w:val="00DC093E"/>
    <w:rsid w:val="00DC0E29"/>
    <w:rsid w:val="00DC0E7A"/>
    <w:rsid w:val="00DC2A65"/>
    <w:rsid w:val="00DC2A86"/>
    <w:rsid w:val="00DC3631"/>
    <w:rsid w:val="00DC37F7"/>
    <w:rsid w:val="00DC6F54"/>
    <w:rsid w:val="00DD0C00"/>
    <w:rsid w:val="00DD0F8C"/>
    <w:rsid w:val="00DD116C"/>
    <w:rsid w:val="00DD23D5"/>
    <w:rsid w:val="00DD2AF1"/>
    <w:rsid w:val="00DD46DA"/>
    <w:rsid w:val="00DD6072"/>
    <w:rsid w:val="00DD62BE"/>
    <w:rsid w:val="00DD77D9"/>
    <w:rsid w:val="00DD7CA4"/>
    <w:rsid w:val="00DE167C"/>
    <w:rsid w:val="00DE3B70"/>
    <w:rsid w:val="00DE5813"/>
    <w:rsid w:val="00DE6D47"/>
    <w:rsid w:val="00DF10B1"/>
    <w:rsid w:val="00DF1FDA"/>
    <w:rsid w:val="00DF3DD0"/>
    <w:rsid w:val="00DF4D50"/>
    <w:rsid w:val="00DF538C"/>
    <w:rsid w:val="00E021C2"/>
    <w:rsid w:val="00E024A3"/>
    <w:rsid w:val="00E0423D"/>
    <w:rsid w:val="00E057B5"/>
    <w:rsid w:val="00E0581E"/>
    <w:rsid w:val="00E079C5"/>
    <w:rsid w:val="00E07CBD"/>
    <w:rsid w:val="00E07F56"/>
    <w:rsid w:val="00E10A16"/>
    <w:rsid w:val="00E1112F"/>
    <w:rsid w:val="00E1318F"/>
    <w:rsid w:val="00E13B3B"/>
    <w:rsid w:val="00E13E29"/>
    <w:rsid w:val="00E16857"/>
    <w:rsid w:val="00E16C3A"/>
    <w:rsid w:val="00E20651"/>
    <w:rsid w:val="00E2107C"/>
    <w:rsid w:val="00E21E70"/>
    <w:rsid w:val="00E224DE"/>
    <w:rsid w:val="00E23DCE"/>
    <w:rsid w:val="00E26363"/>
    <w:rsid w:val="00E272A4"/>
    <w:rsid w:val="00E305F9"/>
    <w:rsid w:val="00E306AC"/>
    <w:rsid w:val="00E3264F"/>
    <w:rsid w:val="00E34446"/>
    <w:rsid w:val="00E3633B"/>
    <w:rsid w:val="00E36870"/>
    <w:rsid w:val="00E374E1"/>
    <w:rsid w:val="00E417AB"/>
    <w:rsid w:val="00E43D48"/>
    <w:rsid w:val="00E4542D"/>
    <w:rsid w:val="00E45BE0"/>
    <w:rsid w:val="00E46CAD"/>
    <w:rsid w:val="00E47521"/>
    <w:rsid w:val="00E4760C"/>
    <w:rsid w:val="00E507A6"/>
    <w:rsid w:val="00E5375C"/>
    <w:rsid w:val="00E561AD"/>
    <w:rsid w:val="00E57FAF"/>
    <w:rsid w:val="00E60BA9"/>
    <w:rsid w:val="00E63510"/>
    <w:rsid w:val="00E635EA"/>
    <w:rsid w:val="00E655E5"/>
    <w:rsid w:val="00E65F4E"/>
    <w:rsid w:val="00E662E0"/>
    <w:rsid w:val="00E67D5D"/>
    <w:rsid w:val="00E71C7A"/>
    <w:rsid w:val="00E73119"/>
    <w:rsid w:val="00E73E1E"/>
    <w:rsid w:val="00E767FF"/>
    <w:rsid w:val="00E84C91"/>
    <w:rsid w:val="00E84E60"/>
    <w:rsid w:val="00E8556E"/>
    <w:rsid w:val="00E86B2D"/>
    <w:rsid w:val="00E86F4D"/>
    <w:rsid w:val="00E87D08"/>
    <w:rsid w:val="00E90D0E"/>
    <w:rsid w:val="00E91B2D"/>
    <w:rsid w:val="00E92FCA"/>
    <w:rsid w:val="00E95CAA"/>
    <w:rsid w:val="00EA0A39"/>
    <w:rsid w:val="00EA0CEE"/>
    <w:rsid w:val="00EA0EB2"/>
    <w:rsid w:val="00EA236F"/>
    <w:rsid w:val="00EA3023"/>
    <w:rsid w:val="00EA3E49"/>
    <w:rsid w:val="00EA3FC8"/>
    <w:rsid w:val="00EA56E9"/>
    <w:rsid w:val="00EA5B8C"/>
    <w:rsid w:val="00EB0DC9"/>
    <w:rsid w:val="00EB1383"/>
    <w:rsid w:val="00EB21B7"/>
    <w:rsid w:val="00EB252D"/>
    <w:rsid w:val="00EB29FA"/>
    <w:rsid w:val="00EB2CCE"/>
    <w:rsid w:val="00EB385F"/>
    <w:rsid w:val="00EB3E49"/>
    <w:rsid w:val="00EB5FC3"/>
    <w:rsid w:val="00EB6DA9"/>
    <w:rsid w:val="00EC1561"/>
    <w:rsid w:val="00EC462E"/>
    <w:rsid w:val="00EC6CD8"/>
    <w:rsid w:val="00EC786F"/>
    <w:rsid w:val="00ED1866"/>
    <w:rsid w:val="00ED3134"/>
    <w:rsid w:val="00ED38E2"/>
    <w:rsid w:val="00ED5C44"/>
    <w:rsid w:val="00ED635B"/>
    <w:rsid w:val="00EE1422"/>
    <w:rsid w:val="00EE742D"/>
    <w:rsid w:val="00EF0A22"/>
    <w:rsid w:val="00EF1267"/>
    <w:rsid w:val="00EF180C"/>
    <w:rsid w:val="00EF3B6B"/>
    <w:rsid w:val="00EF4B43"/>
    <w:rsid w:val="00EF6750"/>
    <w:rsid w:val="00EF7023"/>
    <w:rsid w:val="00EF72C8"/>
    <w:rsid w:val="00EF770B"/>
    <w:rsid w:val="00F02836"/>
    <w:rsid w:val="00F02FB5"/>
    <w:rsid w:val="00F0534E"/>
    <w:rsid w:val="00F05C30"/>
    <w:rsid w:val="00F10F1B"/>
    <w:rsid w:val="00F14179"/>
    <w:rsid w:val="00F15786"/>
    <w:rsid w:val="00F167C5"/>
    <w:rsid w:val="00F20B5A"/>
    <w:rsid w:val="00F21F0B"/>
    <w:rsid w:val="00F236AB"/>
    <w:rsid w:val="00F24EA4"/>
    <w:rsid w:val="00F27087"/>
    <w:rsid w:val="00F2773C"/>
    <w:rsid w:val="00F300B3"/>
    <w:rsid w:val="00F30DB9"/>
    <w:rsid w:val="00F30FB8"/>
    <w:rsid w:val="00F31D68"/>
    <w:rsid w:val="00F33152"/>
    <w:rsid w:val="00F338F2"/>
    <w:rsid w:val="00F349D3"/>
    <w:rsid w:val="00F3533E"/>
    <w:rsid w:val="00F35B84"/>
    <w:rsid w:val="00F36F2B"/>
    <w:rsid w:val="00F402B5"/>
    <w:rsid w:val="00F4072F"/>
    <w:rsid w:val="00F42839"/>
    <w:rsid w:val="00F44CC0"/>
    <w:rsid w:val="00F450BA"/>
    <w:rsid w:val="00F4684B"/>
    <w:rsid w:val="00F46BE9"/>
    <w:rsid w:val="00F47C3B"/>
    <w:rsid w:val="00F506CA"/>
    <w:rsid w:val="00F53A7A"/>
    <w:rsid w:val="00F54FCD"/>
    <w:rsid w:val="00F5785C"/>
    <w:rsid w:val="00F65E3C"/>
    <w:rsid w:val="00F67076"/>
    <w:rsid w:val="00F677FA"/>
    <w:rsid w:val="00F7115A"/>
    <w:rsid w:val="00F717AA"/>
    <w:rsid w:val="00F72714"/>
    <w:rsid w:val="00F744C3"/>
    <w:rsid w:val="00F751DA"/>
    <w:rsid w:val="00F753C1"/>
    <w:rsid w:val="00F75EE2"/>
    <w:rsid w:val="00F75F69"/>
    <w:rsid w:val="00F76014"/>
    <w:rsid w:val="00F77B92"/>
    <w:rsid w:val="00F802D3"/>
    <w:rsid w:val="00F80F94"/>
    <w:rsid w:val="00F81BA2"/>
    <w:rsid w:val="00F823A4"/>
    <w:rsid w:val="00F838B0"/>
    <w:rsid w:val="00F83E40"/>
    <w:rsid w:val="00F8412F"/>
    <w:rsid w:val="00F84791"/>
    <w:rsid w:val="00F85995"/>
    <w:rsid w:val="00F85FC5"/>
    <w:rsid w:val="00F86C22"/>
    <w:rsid w:val="00F86C88"/>
    <w:rsid w:val="00F90CB3"/>
    <w:rsid w:val="00F912A2"/>
    <w:rsid w:val="00F913A3"/>
    <w:rsid w:val="00F925C3"/>
    <w:rsid w:val="00FA0109"/>
    <w:rsid w:val="00FA458B"/>
    <w:rsid w:val="00FA46CF"/>
    <w:rsid w:val="00FA5EC5"/>
    <w:rsid w:val="00FA7016"/>
    <w:rsid w:val="00FA7103"/>
    <w:rsid w:val="00FA7174"/>
    <w:rsid w:val="00FA793D"/>
    <w:rsid w:val="00FB020E"/>
    <w:rsid w:val="00FB0F17"/>
    <w:rsid w:val="00FB4B9D"/>
    <w:rsid w:val="00FB50ED"/>
    <w:rsid w:val="00FB6E18"/>
    <w:rsid w:val="00FC144B"/>
    <w:rsid w:val="00FC2169"/>
    <w:rsid w:val="00FC28E2"/>
    <w:rsid w:val="00FC3BF6"/>
    <w:rsid w:val="00FC3D22"/>
    <w:rsid w:val="00FC4C4D"/>
    <w:rsid w:val="00FC5072"/>
    <w:rsid w:val="00FC6FE1"/>
    <w:rsid w:val="00FD0C3D"/>
    <w:rsid w:val="00FD2F6B"/>
    <w:rsid w:val="00FE064A"/>
    <w:rsid w:val="00FE0B55"/>
    <w:rsid w:val="00FE1E98"/>
    <w:rsid w:val="00FE2452"/>
    <w:rsid w:val="00FE5469"/>
    <w:rsid w:val="00FE66C2"/>
    <w:rsid w:val="00FE684A"/>
    <w:rsid w:val="00FE6F23"/>
    <w:rsid w:val="00FF0F8C"/>
    <w:rsid w:val="00FF408B"/>
    <w:rsid w:val="00FF43E1"/>
    <w:rsid w:val="0126757D"/>
    <w:rsid w:val="03430854"/>
    <w:rsid w:val="039F5FA6"/>
    <w:rsid w:val="09305ADA"/>
    <w:rsid w:val="0B1F5935"/>
    <w:rsid w:val="0C0532E2"/>
    <w:rsid w:val="0D946F57"/>
    <w:rsid w:val="0E280656"/>
    <w:rsid w:val="0E8013B7"/>
    <w:rsid w:val="10C110BC"/>
    <w:rsid w:val="10D604C6"/>
    <w:rsid w:val="11B515E0"/>
    <w:rsid w:val="120F4161"/>
    <w:rsid w:val="13A53267"/>
    <w:rsid w:val="13BD568C"/>
    <w:rsid w:val="13F970D2"/>
    <w:rsid w:val="14AA4136"/>
    <w:rsid w:val="153C6A85"/>
    <w:rsid w:val="15EC044F"/>
    <w:rsid w:val="163A420B"/>
    <w:rsid w:val="19261AB7"/>
    <w:rsid w:val="19413B26"/>
    <w:rsid w:val="1C6D3688"/>
    <w:rsid w:val="1CC63D0A"/>
    <w:rsid w:val="1DAFB18D"/>
    <w:rsid w:val="1DC2081A"/>
    <w:rsid w:val="1DD94266"/>
    <w:rsid w:val="1ED63AA6"/>
    <w:rsid w:val="1F9D0947"/>
    <w:rsid w:val="1FFB29C6"/>
    <w:rsid w:val="203E2721"/>
    <w:rsid w:val="20436335"/>
    <w:rsid w:val="22AF3620"/>
    <w:rsid w:val="22D779C0"/>
    <w:rsid w:val="22E70AD4"/>
    <w:rsid w:val="24F1508D"/>
    <w:rsid w:val="266F634F"/>
    <w:rsid w:val="291059EA"/>
    <w:rsid w:val="29666DBF"/>
    <w:rsid w:val="29D1673F"/>
    <w:rsid w:val="2A503A2E"/>
    <w:rsid w:val="2A6D6BF8"/>
    <w:rsid w:val="2B695207"/>
    <w:rsid w:val="2BBF12EC"/>
    <w:rsid w:val="2BC649D9"/>
    <w:rsid w:val="2BEF31AE"/>
    <w:rsid w:val="32610AB2"/>
    <w:rsid w:val="32DB1233"/>
    <w:rsid w:val="35020CF9"/>
    <w:rsid w:val="3515160D"/>
    <w:rsid w:val="372F0F16"/>
    <w:rsid w:val="3C7D00D8"/>
    <w:rsid w:val="3CA06C0C"/>
    <w:rsid w:val="3D375B63"/>
    <w:rsid w:val="3EA25851"/>
    <w:rsid w:val="3F6C3757"/>
    <w:rsid w:val="405D6A10"/>
    <w:rsid w:val="41DA6594"/>
    <w:rsid w:val="420B64EE"/>
    <w:rsid w:val="444016B5"/>
    <w:rsid w:val="444C1A75"/>
    <w:rsid w:val="44A3526F"/>
    <w:rsid w:val="44B032F4"/>
    <w:rsid w:val="457D25F7"/>
    <w:rsid w:val="468341CD"/>
    <w:rsid w:val="46FF64E5"/>
    <w:rsid w:val="472C2589"/>
    <w:rsid w:val="483C1B05"/>
    <w:rsid w:val="48403BBB"/>
    <w:rsid w:val="48AA4755"/>
    <w:rsid w:val="4A760AEB"/>
    <w:rsid w:val="4B2422C2"/>
    <w:rsid w:val="4D75367F"/>
    <w:rsid w:val="4F3162CA"/>
    <w:rsid w:val="505330FE"/>
    <w:rsid w:val="50D95873"/>
    <w:rsid w:val="526102AF"/>
    <w:rsid w:val="526C3548"/>
    <w:rsid w:val="528444DA"/>
    <w:rsid w:val="537745D5"/>
    <w:rsid w:val="552306F6"/>
    <w:rsid w:val="56187031"/>
    <w:rsid w:val="56701463"/>
    <w:rsid w:val="56E352D5"/>
    <w:rsid w:val="57E435FE"/>
    <w:rsid w:val="582D0655"/>
    <w:rsid w:val="58B54896"/>
    <w:rsid w:val="5951205C"/>
    <w:rsid w:val="59D079E8"/>
    <w:rsid w:val="59D40847"/>
    <w:rsid w:val="5AE37F25"/>
    <w:rsid w:val="5BA069F2"/>
    <w:rsid w:val="5CB23D47"/>
    <w:rsid w:val="5FAF09C4"/>
    <w:rsid w:val="608C4642"/>
    <w:rsid w:val="62795572"/>
    <w:rsid w:val="647D1719"/>
    <w:rsid w:val="64DA7B86"/>
    <w:rsid w:val="64DD6417"/>
    <w:rsid w:val="66004745"/>
    <w:rsid w:val="691F0729"/>
    <w:rsid w:val="69845E43"/>
    <w:rsid w:val="6A567F20"/>
    <w:rsid w:val="6ADB2C52"/>
    <w:rsid w:val="6CD97953"/>
    <w:rsid w:val="6D1C7EA3"/>
    <w:rsid w:val="6ED30FD7"/>
    <w:rsid w:val="6F2E2AA0"/>
    <w:rsid w:val="6FF7602F"/>
    <w:rsid w:val="727D78FD"/>
    <w:rsid w:val="73CC655F"/>
    <w:rsid w:val="75957445"/>
    <w:rsid w:val="75D01AE1"/>
    <w:rsid w:val="761D2CD5"/>
    <w:rsid w:val="77524363"/>
    <w:rsid w:val="777B5426"/>
    <w:rsid w:val="77B917B5"/>
    <w:rsid w:val="78703975"/>
    <w:rsid w:val="78EE5C4C"/>
    <w:rsid w:val="7A5769BE"/>
    <w:rsid w:val="7A5A3D6B"/>
    <w:rsid w:val="7B6F9DBB"/>
    <w:rsid w:val="7BDB5F9A"/>
    <w:rsid w:val="7BE420FD"/>
    <w:rsid w:val="7C6313C3"/>
    <w:rsid w:val="7D0D296B"/>
    <w:rsid w:val="7D4B0582"/>
    <w:rsid w:val="7D4E0B54"/>
    <w:rsid w:val="7D503E78"/>
    <w:rsid w:val="7DDA50F0"/>
    <w:rsid w:val="7E0160D4"/>
    <w:rsid w:val="7EB22C0B"/>
    <w:rsid w:val="7FEEDA61"/>
    <w:rsid w:val="9FDFDDF3"/>
    <w:rsid w:val="BDFC8927"/>
    <w:rsid w:val="D59C6A25"/>
    <w:rsid w:val="DEB9BD14"/>
    <w:rsid w:val="DFEF06C7"/>
    <w:rsid w:val="E67D461F"/>
    <w:rsid w:val="E79DD5D1"/>
    <w:rsid w:val="FAB8635D"/>
    <w:rsid w:val="FEF35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76"/>
    <w:autoRedefine/>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link w:val="89"/>
    <w:autoRedefine/>
    <w:qFormat/>
    <w:uiPriority w:val="9"/>
    <w:pPr>
      <w:keepNext/>
      <w:keepLines/>
      <w:numPr>
        <w:ilvl w:val="1"/>
        <w:numId w:val="1"/>
      </w:numPr>
      <w:spacing w:before="120" w:after="120"/>
      <w:ind w:left="284" w:firstLine="0" w:firstLineChars="0"/>
      <w:outlineLvl w:val="1"/>
    </w:pPr>
    <w:rPr>
      <w:b/>
      <w:bCs/>
      <w:sz w:val="30"/>
      <w:szCs w:val="32"/>
    </w:rPr>
  </w:style>
  <w:style w:type="paragraph" w:styleId="4">
    <w:name w:val="heading 3"/>
    <w:basedOn w:val="1"/>
    <w:next w:val="1"/>
    <w:link w:val="82"/>
    <w:autoRedefine/>
    <w:qFormat/>
    <w:uiPriority w:val="0"/>
    <w:pPr>
      <w:keepNext/>
      <w:keepLines/>
      <w:numPr>
        <w:ilvl w:val="2"/>
        <w:numId w:val="1"/>
      </w:numPr>
      <w:spacing w:before="120" w:after="120"/>
      <w:ind w:firstLine="0" w:firstLineChars="0"/>
      <w:outlineLvl w:val="2"/>
    </w:pPr>
    <w:rPr>
      <w:b/>
      <w:bCs/>
      <w:sz w:val="28"/>
      <w:szCs w:val="28"/>
    </w:rPr>
  </w:style>
  <w:style w:type="paragraph" w:styleId="5">
    <w:name w:val="heading 4"/>
    <w:basedOn w:val="1"/>
    <w:next w:val="1"/>
    <w:link w:val="59"/>
    <w:autoRedefine/>
    <w:qFormat/>
    <w:uiPriority w:val="0"/>
    <w:pPr>
      <w:keepNext/>
      <w:keepLines/>
      <w:numPr>
        <w:ilvl w:val="3"/>
        <w:numId w:val="1"/>
      </w:numPr>
      <w:spacing w:before="120" w:after="120"/>
      <w:ind w:left="851" w:firstLine="0" w:firstLineChars="0"/>
      <w:outlineLvl w:val="3"/>
    </w:pPr>
    <w:rPr>
      <w:b/>
      <w:bCs/>
      <w:sz w:val="30"/>
      <w:szCs w:val="30"/>
    </w:rPr>
  </w:style>
  <w:style w:type="paragraph" w:styleId="6">
    <w:name w:val="heading 5"/>
    <w:basedOn w:val="1"/>
    <w:next w:val="1"/>
    <w:link w:val="87"/>
    <w:autoRedefine/>
    <w:qFormat/>
    <w:uiPriority w:val="0"/>
    <w:pPr>
      <w:keepNext/>
      <w:keepLines/>
      <w:numPr>
        <w:ilvl w:val="4"/>
        <w:numId w:val="1"/>
      </w:numPr>
      <w:spacing w:before="120" w:after="120"/>
      <w:ind w:left="0" w:firstLine="0" w:firstLineChars="0"/>
      <w:outlineLvl w:val="4"/>
    </w:pPr>
    <w:rPr>
      <w:b/>
      <w:bCs/>
      <w:szCs w:val="28"/>
    </w:rPr>
  </w:style>
  <w:style w:type="paragraph" w:styleId="7">
    <w:name w:val="heading 6"/>
    <w:basedOn w:val="1"/>
    <w:next w:val="1"/>
    <w:link w:val="100"/>
    <w:autoRedefine/>
    <w:qFormat/>
    <w:uiPriority w:val="0"/>
    <w:pPr>
      <w:keepNext/>
      <w:keepLines/>
      <w:numPr>
        <w:ilvl w:val="5"/>
        <w:numId w:val="1"/>
      </w:numPr>
      <w:spacing w:before="120" w:after="120"/>
      <w:ind w:firstLine="0" w:firstLineChars="0"/>
      <w:outlineLvl w:val="5"/>
    </w:pPr>
    <w:rPr>
      <w:rFonts w:ascii="Cambria" w:hAnsi="Cambria"/>
      <w:b/>
      <w:bCs/>
    </w:rPr>
  </w:style>
  <w:style w:type="paragraph" w:styleId="8">
    <w:name w:val="heading 7"/>
    <w:basedOn w:val="1"/>
    <w:next w:val="1"/>
    <w:link w:val="73"/>
    <w:autoRedefine/>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99"/>
    <w:autoRedefine/>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49"/>
    <w:autoRedefine/>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ind w:left="2520" w:leftChars="1200"/>
    </w:pPr>
    <w:rPr>
      <w:rFonts w:ascii="等线" w:hAnsi="等线" w:eastAsia="等线"/>
      <w:szCs w:val="22"/>
    </w:rPr>
  </w:style>
  <w:style w:type="paragraph" w:styleId="12">
    <w:name w:val="Normal Indent"/>
    <w:basedOn w:val="1"/>
    <w:autoRedefine/>
    <w:unhideWhenUsed/>
    <w:qFormat/>
    <w:uiPriority w:val="99"/>
    <w:pPr>
      <w:spacing w:line="240" w:lineRule="auto"/>
      <w:ind w:firstLine="420"/>
    </w:pPr>
    <w:rPr>
      <w:rFonts w:ascii="Calibri" w:hAnsi="Calibri"/>
      <w:sz w:val="21"/>
    </w:rPr>
  </w:style>
  <w:style w:type="paragraph" w:styleId="13">
    <w:name w:val="caption"/>
    <w:basedOn w:val="1"/>
    <w:next w:val="1"/>
    <w:link w:val="55"/>
    <w:autoRedefine/>
    <w:qFormat/>
    <w:uiPriority w:val="0"/>
    <w:pPr>
      <w:spacing w:afterLines="50"/>
      <w:ind w:firstLine="200"/>
    </w:pPr>
    <w:rPr>
      <w:rFonts w:ascii="Arial" w:hAnsi="Arial" w:eastAsia="黑体"/>
      <w:sz w:val="20"/>
      <w:szCs w:val="20"/>
    </w:rPr>
  </w:style>
  <w:style w:type="paragraph" w:styleId="14">
    <w:name w:val="List Bullet"/>
    <w:basedOn w:val="1"/>
    <w:qFormat/>
    <w:uiPriority w:val="0"/>
    <w:pPr>
      <w:numPr>
        <w:ilvl w:val="0"/>
        <w:numId w:val="2"/>
      </w:numPr>
    </w:pPr>
  </w:style>
  <w:style w:type="paragraph" w:styleId="15">
    <w:name w:val="Document Map"/>
    <w:basedOn w:val="1"/>
    <w:link w:val="92"/>
    <w:autoRedefine/>
    <w:qFormat/>
    <w:uiPriority w:val="0"/>
    <w:rPr>
      <w:rFonts w:hAnsi="Times New Roman"/>
      <w:sz w:val="18"/>
      <w:szCs w:val="18"/>
    </w:rPr>
  </w:style>
  <w:style w:type="paragraph" w:styleId="16">
    <w:name w:val="annotation text"/>
    <w:basedOn w:val="1"/>
    <w:link w:val="46"/>
    <w:autoRedefine/>
    <w:qFormat/>
    <w:uiPriority w:val="99"/>
    <w:pPr>
      <w:jc w:val="left"/>
    </w:pPr>
    <w:rPr>
      <w:rFonts w:ascii="Times New Roman" w:hAnsi="Times New Roman" w:eastAsia="仿宋"/>
      <w:sz w:val="28"/>
    </w:rPr>
  </w:style>
  <w:style w:type="paragraph" w:styleId="17">
    <w:name w:val="Body Text"/>
    <w:basedOn w:val="1"/>
    <w:link w:val="60"/>
    <w:autoRedefine/>
    <w:unhideWhenUsed/>
    <w:qFormat/>
    <w:uiPriority w:val="0"/>
    <w:pPr>
      <w:spacing w:after="120" w:line="240" w:lineRule="auto"/>
      <w:ind w:firstLine="0" w:firstLineChars="0"/>
    </w:pPr>
    <w:rPr>
      <w:rFonts w:ascii="Times New Roman" w:hAnsi="Times New Roman"/>
      <w:sz w:val="21"/>
    </w:rPr>
  </w:style>
  <w:style w:type="paragraph" w:styleId="18">
    <w:name w:val="Body Text Indent"/>
    <w:basedOn w:val="1"/>
    <w:link w:val="86"/>
    <w:autoRedefine/>
    <w:qFormat/>
    <w:uiPriority w:val="0"/>
    <w:pPr>
      <w:spacing w:after="120"/>
      <w:ind w:firstLine="200"/>
    </w:pPr>
    <w:rPr>
      <w:rFonts w:ascii="Times New Roman" w:hAnsi="Times New Roman"/>
      <w:sz w:val="21"/>
      <w:szCs w:val="20"/>
    </w:rPr>
  </w:style>
  <w:style w:type="paragraph" w:styleId="19">
    <w:name w:val="toc 5"/>
    <w:basedOn w:val="1"/>
    <w:next w:val="1"/>
    <w:autoRedefine/>
    <w:unhideWhenUsed/>
    <w:qFormat/>
    <w:uiPriority w:val="39"/>
    <w:pPr>
      <w:ind w:left="1680" w:leftChars="800"/>
    </w:pPr>
    <w:rPr>
      <w:rFonts w:ascii="等线" w:hAnsi="等线" w:eastAsia="等线"/>
      <w:szCs w:val="22"/>
    </w:rPr>
  </w:style>
  <w:style w:type="paragraph" w:styleId="20">
    <w:name w:val="toc 3"/>
    <w:basedOn w:val="1"/>
    <w:next w:val="1"/>
    <w:autoRedefine/>
    <w:qFormat/>
    <w:uiPriority w:val="39"/>
    <w:pPr>
      <w:tabs>
        <w:tab w:val="right" w:leader="dot" w:pos="8302"/>
      </w:tabs>
      <w:ind w:left="840" w:leftChars="400"/>
    </w:pPr>
  </w:style>
  <w:style w:type="paragraph" w:styleId="21">
    <w:name w:val="Plain Text"/>
    <w:basedOn w:val="1"/>
    <w:link w:val="67"/>
    <w:autoRedefine/>
    <w:qFormat/>
    <w:uiPriority w:val="0"/>
    <w:pPr>
      <w:spacing w:line="240" w:lineRule="auto"/>
      <w:ind w:firstLine="0" w:firstLineChars="0"/>
    </w:pPr>
    <w:rPr>
      <w:rFonts w:hAnsi="Courier New"/>
      <w:sz w:val="21"/>
      <w:szCs w:val="20"/>
    </w:rPr>
  </w:style>
  <w:style w:type="paragraph" w:styleId="22">
    <w:name w:val="toc 8"/>
    <w:basedOn w:val="1"/>
    <w:next w:val="1"/>
    <w:autoRedefine/>
    <w:unhideWhenUsed/>
    <w:qFormat/>
    <w:uiPriority w:val="39"/>
    <w:pPr>
      <w:ind w:left="2940" w:leftChars="1400"/>
    </w:pPr>
    <w:rPr>
      <w:rFonts w:ascii="等线" w:hAnsi="等线" w:eastAsia="等线"/>
      <w:szCs w:val="22"/>
    </w:rPr>
  </w:style>
  <w:style w:type="paragraph" w:styleId="23">
    <w:name w:val="Date"/>
    <w:basedOn w:val="1"/>
    <w:next w:val="1"/>
    <w:link w:val="48"/>
    <w:autoRedefine/>
    <w:qFormat/>
    <w:uiPriority w:val="0"/>
    <w:pPr>
      <w:ind w:left="100" w:leftChars="2500"/>
    </w:pPr>
    <w:rPr>
      <w:rFonts w:ascii="Times New Roman" w:hAnsi="Times New Roman"/>
      <w:sz w:val="21"/>
    </w:rPr>
  </w:style>
  <w:style w:type="paragraph" w:styleId="24">
    <w:name w:val="Balloon Text"/>
    <w:basedOn w:val="1"/>
    <w:link w:val="97"/>
    <w:autoRedefine/>
    <w:qFormat/>
    <w:uiPriority w:val="0"/>
    <w:rPr>
      <w:rFonts w:ascii="Times New Roman" w:hAnsi="Times New Roman"/>
      <w:sz w:val="18"/>
      <w:szCs w:val="18"/>
    </w:rPr>
  </w:style>
  <w:style w:type="paragraph" w:styleId="25">
    <w:name w:val="footer"/>
    <w:basedOn w:val="1"/>
    <w:link w:val="90"/>
    <w:autoRedefine/>
    <w:qFormat/>
    <w:uiPriority w:val="99"/>
    <w:pPr>
      <w:tabs>
        <w:tab w:val="center" w:pos="4153"/>
        <w:tab w:val="right" w:pos="8306"/>
      </w:tabs>
      <w:snapToGrid w:val="0"/>
      <w:jc w:val="center"/>
    </w:pPr>
    <w:rPr>
      <w:rFonts w:ascii="Times New Roman" w:hAnsi="Times New Roman"/>
      <w:sz w:val="18"/>
      <w:szCs w:val="18"/>
    </w:rPr>
  </w:style>
  <w:style w:type="paragraph" w:styleId="26">
    <w:name w:val="header"/>
    <w:basedOn w:val="1"/>
    <w:link w:val="98"/>
    <w:autoRedefine/>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7">
    <w:name w:val="toc 1"/>
    <w:basedOn w:val="1"/>
    <w:next w:val="1"/>
    <w:autoRedefine/>
    <w:qFormat/>
    <w:uiPriority w:val="39"/>
  </w:style>
  <w:style w:type="paragraph" w:styleId="28">
    <w:name w:val="toc 4"/>
    <w:basedOn w:val="1"/>
    <w:next w:val="1"/>
    <w:autoRedefine/>
    <w:unhideWhenUsed/>
    <w:qFormat/>
    <w:uiPriority w:val="39"/>
    <w:pPr>
      <w:ind w:left="1260" w:leftChars="600"/>
    </w:pPr>
    <w:rPr>
      <w:rFonts w:ascii="等线" w:hAnsi="等线" w:eastAsia="等线"/>
      <w:szCs w:val="22"/>
    </w:rPr>
  </w:style>
  <w:style w:type="paragraph" w:styleId="29">
    <w:name w:val="Subtitle"/>
    <w:basedOn w:val="1"/>
    <w:next w:val="1"/>
    <w:link w:val="88"/>
    <w:autoRedefine/>
    <w:qFormat/>
    <w:uiPriority w:val="0"/>
    <w:pPr>
      <w:spacing w:before="240" w:after="60" w:line="312" w:lineRule="auto"/>
      <w:jc w:val="center"/>
      <w:outlineLvl w:val="1"/>
    </w:pPr>
    <w:rPr>
      <w:rFonts w:ascii="Calibri Light" w:hAnsi="Calibri Light"/>
      <w:b/>
      <w:bCs/>
      <w:kern w:val="28"/>
      <w:sz w:val="32"/>
      <w:szCs w:val="32"/>
    </w:rPr>
  </w:style>
  <w:style w:type="paragraph" w:styleId="30">
    <w:name w:val="toc 6"/>
    <w:basedOn w:val="1"/>
    <w:next w:val="1"/>
    <w:autoRedefine/>
    <w:unhideWhenUsed/>
    <w:qFormat/>
    <w:uiPriority w:val="39"/>
    <w:pPr>
      <w:ind w:left="2100" w:leftChars="1000"/>
    </w:pPr>
    <w:rPr>
      <w:rFonts w:ascii="等线" w:hAnsi="等线" w:eastAsia="等线"/>
      <w:szCs w:val="22"/>
    </w:rPr>
  </w:style>
  <w:style w:type="paragraph" w:styleId="31">
    <w:name w:val="toc 2"/>
    <w:basedOn w:val="1"/>
    <w:next w:val="1"/>
    <w:autoRedefine/>
    <w:qFormat/>
    <w:uiPriority w:val="39"/>
    <w:pPr>
      <w:tabs>
        <w:tab w:val="right" w:leader="dot" w:pos="8302"/>
      </w:tabs>
      <w:ind w:left="420" w:leftChars="200"/>
    </w:pPr>
  </w:style>
  <w:style w:type="paragraph" w:styleId="32">
    <w:name w:val="toc 9"/>
    <w:basedOn w:val="1"/>
    <w:next w:val="1"/>
    <w:autoRedefine/>
    <w:unhideWhenUsed/>
    <w:qFormat/>
    <w:uiPriority w:val="39"/>
    <w:pPr>
      <w:ind w:left="3360" w:leftChars="1600"/>
    </w:pPr>
    <w:rPr>
      <w:rFonts w:ascii="等线" w:hAnsi="等线" w:eastAsia="等线"/>
      <w:szCs w:val="22"/>
    </w:rPr>
  </w:style>
  <w:style w:type="paragraph" w:styleId="33">
    <w:name w:val="Normal (Web)"/>
    <w:basedOn w:val="1"/>
    <w:autoRedefine/>
    <w:qFormat/>
    <w:uiPriority w:val="99"/>
    <w:pPr>
      <w:widowControl/>
      <w:spacing w:before="100" w:after="100"/>
      <w:jc w:val="left"/>
    </w:pPr>
    <w:rPr>
      <w:rFonts w:hint="eastAsia" w:ascii="Arial Unicode MS" w:hAnsi="Arial Unicode MS" w:eastAsia="Arial Unicode MS"/>
      <w:kern w:val="0"/>
    </w:rPr>
  </w:style>
  <w:style w:type="paragraph" w:styleId="34">
    <w:name w:val="Title"/>
    <w:basedOn w:val="1"/>
    <w:next w:val="1"/>
    <w:link w:val="96"/>
    <w:autoRedefine/>
    <w:qFormat/>
    <w:uiPriority w:val="0"/>
    <w:pPr>
      <w:spacing w:before="240" w:after="60" w:line="960" w:lineRule="auto"/>
      <w:jc w:val="center"/>
    </w:pPr>
    <w:rPr>
      <w:rFonts w:ascii="Cambria" w:hAnsi="Cambria" w:eastAsia="黑体"/>
      <w:b/>
      <w:bCs/>
      <w:sz w:val="52"/>
      <w:szCs w:val="32"/>
    </w:rPr>
  </w:style>
  <w:style w:type="paragraph" w:styleId="35">
    <w:name w:val="annotation subject"/>
    <w:basedOn w:val="16"/>
    <w:next w:val="16"/>
    <w:link w:val="84"/>
    <w:autoRedefine/>
    <w:qFormat/>
    <w:uiPriority w:val="0"/>
    <w:rPr>
      <w:b/>
      <w:bCs/>
      <w:sz w:val="21"/>
    </w:rPr>
  </w:style>
  <w:style w:type="table" w:styleId="37">
    <w:name w:val="Table Grid"/>
    <w:basedOn w:val="36"/>
    <w:autoRedefine/>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page number"/>
    <w:basedOn w:val="38"/>
    <w:autoRedefine/>
    <w:qFormat/>
    <w:uiPriority w:val="0"/>
  </w:style>
  <w:style w:type="character" w:styleId="40">
    <w:name w:val="FollowedHyperlink"/>
    <w:autoRedefine/>
    <w:unhideWhenUsed/>
    <w:qFormat/>
    <w:uiPriority w:val="99"/>
    <w:rPr>
      <w:color w:val="954F72"/>
      <w:u w:val="single"/>
    </w:rPr>
  </w:style>
  <w:style w:type="character" w:styleId="41">
    <w:name w:val="Hyperlink"/>
    <w:autoRedefine/>
    <w:qFormat/>
    <w:uiPriority w:val="99"/>
    <w:rPr>
      <w:color w:val="0000FF"/>
      <w:u w:val="single"/>
    </w:rPr>
  </w:style>
  <w:style w:type="character" w:styleId="42">
    <w:name w:val="annotation reference"/>
    <w:autoRedefine/>
    <w:qFormat/>
    <w:uiPriority w:val="99"/>
    <w:rPr>
      <w:sz w:val="21"/>
      <w:szCs w:val="21"/>
    </w:rPr>
  </w:style>
  <w:style w:type="character" w:customStyle="1" w:styleId="43">
    <w:name w:val="标题 3 字符1"/>
    <w:autoRedefine/>
    <w:qFormat/>
    <w:uiPriority w:val="0"/>
    <w:rPr>
      <w:rFonts w:ascii="宋体" w:hAnsi="宋体"/>
      <w:b/>
      <w:bCs/>
      <w:kern w:val="2"/>
      <w:sz w:val="28"/>
      <w:szCs w:val="28"/>
    </w:rPr>
  </w:style>
  <w:style w:type="character" w:customStyle="1" w:styleId="44">
    <w:name w:val="首行缩进正文 Char"/>
    <w:link w:val="45"/>
    <w:autoRedefine/>
    <w:qFormat/>
    <w:uiPriority w:val="0"/>
    <w:rPr>
      <w:kern w:val="2"/>
      <w:sz w:val="24"/>
    </w:rPr>
  </w:style>
  <w:style w:type="paragraph" w:customStyle="1" w:styleId="45">
    <w:name w:val="首行缩进正文"/>
    <w:basedOn w:val="1"/>
    <w:link w:val="44"/>
    <w:autoRedefine/>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46">
    <w:name w:val="批注文字 Char"/>
    <w:link w:val="16"/>
    <w:autoRedefine/>
    <w:qFormat/>
    <w:uiPriority w:val="99"/>
    <w:rPr>
      <w:rFonts w:eastAsia="仿宋"/>
      <w:kern w:val="2"/>
      <w:sz w:val="28"/>
      <w:szCs w:val="24"/>
    </w:rPr>
  </w:style>
  <w:style w:type="character" w:customStyle="1" w:styleId="47">
    <w:name w:val="日期 字符"/>
    <w:autoRedefine/>
    <w:semiHidden/>
    <w:qFormat/>
    <w:uiPriority w:val="99"/>
    <w:rPr>
      <w:rFonts w:ascii="宋体" w:hAnsi="宋体"/>
      <w:kern w:val="2"/>
      <w:sz w:val="24"/>
      <w:szCs w:val="24"/>
    </w:rPr>
  </w:style>
  <w:style w:type="character" w:customStyle="1" w:styleId="48">
    <w:name w:val="日期 Char"/>
    <w:link w:val="23"/>
    <w:autoRedefine/>
    <w:qFormat/>
    <w:uiPriority w:val="0"/>
    <w:rPr>
      <w:kern w:val="2"/>
      <w:sz w:val="21"/>
      <w:szCs w:val="24"/>
    </w:rPr>
  </w:style>
  <w:style w:type="character" w:customStyle="1" w:styleId="49">
    <w:name w:val="标题 9 Char"/>
    <w:link w:val="10"/>
    <w:autoRedefine/>
    <w:qFormat/>
    <w:uiPriority w:val="9"/>
    <w:rPr>
      <w:rFonts w:ascii="Cambria" w:hAnsi="Cambria"/>
      <w:kern w:val="2"/>
      <w:sz w:val="21"/>
      <w:szCs w:val="21"/>
    </w:rPr>
  </w:style>
  <w:style w:type="character" w:customStyle="1" w:styleId="50">
    <w:name w:val="未处理的提及1"/>
    <w:autoRedefine/>
    <w:unhideWhenUsed/>
    <w:qFormat/>
    <w:uiPriority w:val="99"/>
    <w:rPr>
      <w:color w:val="605E5C"/>
      <w:shd w:val="clear" w:color="auto" w:fill="E1DFDD"/>
    </w:rPr>
  </w:style>
  <w:style w:type="character" w:customStyle="1" w:styleId="51">
    <w:name w:val="标题 1 字符"/>
    <w:autoRedefine/>
    <w:qFormat/>
    <w:uiPriority w:val="9"/>
    <w:rPr>
      <w:rFonts w:ascii="宋体" w:hAnsi="宋体"/>
      <w:b/>
      <w:bCs/>
      <w:kern w:val="44"/>
      <w:sz w:val="44"/>
      <w:szCs w:val="44"/>
    </w:rPr>
  </w:style>
  <w:style w:type="character" w:customStyle="1" w:styleId="52">
    <w:name w:val="标题 3 字符"/>
    <w:autoRedefine/>
    <w:semiHidden/>
    <w:qFormat/>
    <w:uiPriority w:val="9"/>
    <w:rPr>
      <w:rFonts w:ascii="宋体" w:hAnsi="宋体"/>
      <w:b/>
      <w:bCs/>
      <w:kern w:val="2"/>
      <w:sz w:val="32"/>
      <w:szCs w:val="32"/>
    </w:rPr>
  </w:style>
  <w:style w:type="character" w:customStyle="1" w:styleId="53">
    <w:name w:val="页脚 字符"/>
    <w:autoRedefine/>
    <w:qFormat/>
    <w:uiPriority w:val="99"/>
  </w:style>
  <w:style w:type="character" w:customStyle="1" w:styleId="54">
    <w:name w:val="标题 5 字符"/>
    <w:autoRedefine/>
    <w:semiHidden/>
    <w:qFormat/>
    <w:uiPriority w:val="9"/>
    <w:rPr>
      <w:rFonts w:ascii="宋体" w:hAnsi="宋体"/>
      <w:b/>
      <w:bCs/>
      <w:kern w:val="2"/>
      <w:sz w:val="28"/>
      <w:szCs w:val="28"/>
    </w:rPr>
  </w:style>
  <w:style w:type="character" w:customStyle="1" w:styleId="55">
    <w:name w:val="题注 Char"/>
    <w:link w:val="13"/>
    <w:autoRedefine/>
    <w:qFormat/>
    <w:locked/>
    <w:uiPriority w:val="0"/>
    <w:rPr>
      <w:rFonts w:ascii="Arial" w:hAnsi="Arial" w:eastAsia="黑体"/>
      <w:kern w:val="2"/>
    </w:rPr>
  </w:style>
  <w:style w:type="character" w:customStyle="1" w:styleId="56">
    <w:name w:val="标题 2 字符"/>
    <w:autoRedefine/>
    <w:semiHidden/>
    <w:qFormat/>
    <w:uiPriority w:val="9"/>
    <w:rPr>
      <w:rFonts w:ascii="等线 Light" w:hAnsi="等线 Light" w:eastAsia="等线 Light" w:cs="Times New Roman"/>
      <w:b/>
      <w:bCs/>
      <w:kern w:val="2"/>
      <w:sz w:val="32"/>
      <w:szCs w:val="32"/>
    </w:rPr>
  </w:style>
  <w:style w:type="character" w:customStyle="1" w:styleId="57">
    <w:name w:val="纯文本 字符"/>
    <w:autoRedefine/>
    <w:qFormat/>
    <w:uiPriority w:val="0"/>
    <w:rPr>
      <w:rFonts w:ascii="宋体" w:hAnsi="Courier New" w:cs="Courier New"/>
      <w:kern w:val="2"/>
      <w:sz w:val="21"/>
      <w:szCs w:val="21"/>
    </w:rPr>
  </w:style>
  <w:style w:type="character" w:customStyle="1" w:styleId="58">
    <w:name w:val="列表段落 字符"/>
    <w:autoRedefine/>
    <w:qFormat/>
    <w:uiPriority w:val="34"/>
    <w:rPr>
      <w:kern w:val="2"/>
      <w:sz w:val="21"/>
      <w:szCs w:val="22"/>
    </w:rPr>
  </w:style>
  <w:style w:type="character" w:customStyle="1" w:styleId="59">
    <w:name w:val="标题 4 Char"/>
    <w:link w:val="5"/>
    <w:autoRedefine/>
    <w:qFormat/>
    <w:uiPriority w:val="0"/>
    <w:rPr>
      <w:rFonts w:ascii="宋体" w:hAnsi="宋体"/>
      <w:b/>
      <w:bCs/>
      <w:kern w:val="2"/>
      <w:sz w:val="30"/>
      <w:szCs w:val="30"/>
    </w:rPr>
  </w:style>
  <w:style w:type="character" w:customStyle="1" w:styleId="60">
    <w:name w:val="正文文本 Char"/>
    <w:link w:val="17"/>
    <w:autoRedefine/>
    <w:qFormat/>
    <w:uiPriority w:val="0"/>
    <w:rPr>
      <w:kern w:val="2"/>
      <w:sz w:val="21"/>
      <w:szCs w:val="24"/>
    </w:rPr>
  </w:style>
  <w:style w:type="character" w:customStyle="1" w:styleId="61">
    <w:name w:val="列出段落 Char"/>
    <w:link w:val="62"/>
    <w:autoRedefine/>
    <w:qFormat/>
    <w:uiPriority w:val="34"/>
    <w:rPr>
      <w:kern w:val="2"/>
      <w:sz w:val="21"/>
      <w:szCs w:val="24"/>
    </w:rPr>
  </w:style>
  <w:style w:type="paragraph" w:styleId="62">
    <w:name w:val="List Paragraph"/>
    <w:basedOn w:val="1"/>
    <w:link w:val="61"/>
    <w:autoRedefine/>
    <w:qFormat/>
    <w:uiPriority w:val="34"/>
    <w:pPr>
      <w:ind w:firstLine="420"/>
    </w:pPr>
    <w:rPr>
      <w:rFonts w:ascii="Times New Roman" w:hAnsi="Times New Roman"/>
      <w:sz w:val="21"/>
    </w:rPr>
  </w:style>
  <w:style w:type="character" w:customStyle="1" w:styleId="63">
    <w:name w:val="font21"/>
    <w:autoRedefine/>
    <w:qFormat/>
    <w:uiPriority w:val="0"/>
    <w:rPr>
      <w:rFonts w:ascii="Calibri" w:hAnsi="Calibri" w:cs="Calibri"/>
      <w:color w:val="000000"/>
      <w:sz w:val="21"/>
      <w:szCs w:val="21"/>
      <w:u w:val="none"/>
    </w:rPr>
  </w:style>
  <w:style w:type="character" w:customStyle="1" w:styleId="64">
    <w:name w:val="*正文 Char"/>
    <w:link w:val="65"/>
    <w:autoRedefine/>
    <w:qFormat/>
    <w:uiPriority w:val="0"/>
    <w:rPr>
      <w:rFonts w:ascii="time" w:hAnsi="time"/>
      <w:sz w:val="24"/>
      <w:szCs w:val="24"/>
      <w:lang w:bidi="en-US"/>
    </w:rPr>
  </w:style>
  <w:style w:type="paragraph" w:customStyle="1" w:styleId="65">
    <w:name w:val="*正文"/>
    <w:basedOn w:val="1"/>
    <w:link w:val="64"/>
    <w:autoRedefine/>
    <w:qFormat/>
    <w:uiPriority w:val="0"/>
    <w:pPr>
      <w:widowControl/>
      <w:ind w:firstLine="200"/>
      <w:contextualSpacing/>
    </w:pPr>
    <w:rPr>
      <w:rFonts w:ascii="time" w:hAnsi="time"/>
      <w:kern w:val="0"/>
      <w:lang w:bidi="en-US"/>
    </w:rPr>
  </w:style>
  <w:style w:type="character" w:customStyle="1" w:styleId="66">
    <w:name w:val="正文文本缩进 字符"/>
    <w:autoRedefine/>
    <w:semiHidden/>
    <w:qFormat/>
    <w:uiPriority w:val="99"/>
    <w:rPr>
      <w:rFonts w:ascii="宋体" w:hAnsi="宋体"/>
      <w:kern w:val="2"/>
      <w:sz w:val="24"/>
      <w:szCs w:val="24"/>
    </w:rPr>
  </w:style>
  <w:style w:type="character" w:customStyle="1" w:styleId="67">
    <w:name w:val="纯文本 Char"/>
    <w:link w:val="21"/>
    <w:autoRedefine/>
    <w:qFormat/>
    <w:locked/>
    <w:uiPriority w:val="0"/>
    <w:rPr>
      <w:rFonts w:ascii="宋体" w:hAnsi="Courier New"/>
      <w:kern w:val="2"/>
      <w:sz w:val="21"/>
    </w:rPr>
  </w:style>
  <w:style w:type="character" w:customStyle="1" w:styleId="68">
    <w:name w:val="my正文 Char"/>
    <w:link w:val="69"/>
    <w:autoRedefine/>
    <w:qFormat/>
    <w:uiPriority w:val="0"/>
    <w:rPr>
      <w:kern w:val="2"/>
      <w:sz w:val="21"/>
      <w:szCs w:val="24"/>
    </w:rPr>
  </w:style>
  <w:style w:type="paragraph" w:customStyle="1" w:styleId="69">
    <w:name w:val="my正文"/>
    <w:basedOn w:val="1"/>
    <w:link w:val="68"/>
    <w:autoRedefine/>
    <w:qFormat/>
    <w:uiPriority w:val="0"/>
    <w:pPr>
      <w:spacing w:line="240" w:lineRule="auto"/>
      <w:ind w:firstLine="0" w:firstLineChars="0"/>
    </w:pPr>
    <w:rPr>
      <w:rFonts w:ascii="Times New Roman" w:hAnsi="Times New Roman"/>
      <w:sz w:val="21"/>
    </w:rPr>
  </w:style>
  <w:style w:type="character" w:customStyle="1" w:styleId="70">
    <w:name w:val="正文2 字符"/>
    <w:link w:val="71"/>
    <w:autoRedefine/>
    <w:qFormat/>
    <w:uiPriority w:val="0"/>
    <w:rPr>
      <w:kern w:val="2"/>
      <w:sz w:val="21"/>
      <w:szCs w:val="24"/>
    </w:rPr>
  </w:style>
  <w:style w:type="paragraph" w:customStyle="1" w:styleId="71">
    <w:name w:val="正文2"/>
    <w:basedOn w:val="1"/>
    <w:link w:val="70"/>
    <w:autoRedefine/>
    <w:qFormat/>
    <w:uiPriority w:val="0"/>
    <w:pPr>
      <w:ind w:firstLine="420"/>
    </w:pPr>
    <w:rPr>
      <w:rFonts w:ascii="Times New Roman" w:hAnsi="Times New Roman"/>
      <w:sz w:val="21"/>
    </w:rPr>
  </w:style>
  <w:style w:type="character" w:customStyle="1" w:styleId="72">
    <w:name w:val="font41"/>
    <w:autoRedefine/>
    <w:qFormat/>
    <w:uiPriority w:val="0"/>
    <w:rPr>
      <w:rFonts w:hint="eastAsia" w:ascii="宋体" w:hAnsi="宋体" w:eastAsia="宋体" w:cs="宋体"/>
      <w:color w:val="000000"/>
      <w:sz w:val="21"/>
      <w:szCs w:val="21"/>
      <w:u w:val="none"/>
    </w:rPr>
  </w:style>
  <w:style w:type="character" w:customStyle="1" w:styleId="73">
    <w:name w:val="标题 7 Char"/>
    <w:link w:val="8"/>
    <w:autoRedefine/>
    <w:qFormat/>
    <w:uiPriority w:val="9"/>
    <w:rPr>
      <w:b/>
      <w:bCs/>
      <w:kern w:val="2"/>
      <w:sz w:val="21"/>
      <w:szCs w:val="24"/>
    </w:rPr>
  </w:style>
  <w:style w:type="character" w:customStyle="1" w:styleId="74">
    <w:name w:val="批注框文本 字符"/>
    <w:autoRedefine/>
    <w:semiHidden/>
    <w:qFormat/>
    <w:uiPriority w:val="99"/>
    <w:rPr>
      <w:rFonts w:ascii="宋体" w:hAnsi="宋体"/>
      <w:kern w:val="2"/>
      <w:sz w:val="18"/>
      <w:szCs w:val="18"/>
    </w:rPr>
  </w:style>
  <w:style w:type="character" w:customStyle="1" w:styleId="75">
    <w:name w:val="副标题 Char1"/>
    <w:autoRedefine/>
    <w:qFormat/>
    <w:uiPriority w:val="0"/>
    <w:rPr>
      <w:rFonts w:ascii="Calibri Light" w:hAnsi="Calibri Light" w:cs="Times New Roman"/>
      <w:b/>
      <w:bCs/>
      <w:kern w:val="28"/>
      <w:sz w:val="32"/>
      <w:szCs w:val="32"/>
    </w:rPr>
  </w:style>
  <w:style w:type="character" w:customStyle="1" w:styleId="76">
    <w:name w:val="标题 1 Char1"/>
    <w:link w:val="2"/>
    <w:autoRedefine/>
    <w:qFormat/>
    <w:uiPriority w:val="0"/>
    <w:rPr>
      <w:rFonts w:ascii="宋体" w:hAnsi="宋体" w:eastAsia="黑体"/>
      <w:b/>
      <w:bCs/>
      <w:kern w:val="44"/>
      <w:sz w:val="32"/>
      <w:szCs w:val="28"/>
    </w:rPr>
  </w:style>
  <w:style w:type="character" w:customStyle="1" w:styleId="77">
    <w:name w:val="批注文字 字符"/>
    <w:autoRedefine/>
    <w:qFormat/>
    <w:uiPriority w:val="99"/>
    <w:rPr>
      <w:rFonts w:ascii="宋体" w:hAnsi="宋体"/>
      <w:kern w:val="2"/>
      <w:sz w:val="24"/>
      <w:szCs w:val="24"/>
    </w:rPr>
  </w:style>
  <w:style w:type="character" w:customStyle="1" w:styleId="78">
    <w:name w:val="文档结构图 字符"/>
    <w:autoRedefine/>
    <w:semiHidden/>
    <w:qFormat/>
    <w:uiPriority w:val="99"/>
    <w:rPr>
      <w:rFonts w:ascii="Microsoft YaHei UI" w:hAnsi="宋体" w:eastAsia="Microsoft YaHei UI"/>
      <w:kern w:val="2"/>
      <w:sz w:val="18"/>
      <w:szCs w:val="18"/>
    </w:rPr>
  </w:style>
  <w:style w:type="character" w:customStyle="1" w:styleId="79">
    <w:name w:val="标题 6 字符"/>
    <w:autoRedefine/>
    <w:semiHidden/>
    <w:qFormat/>
    <w:uiPriority w:val="9"/>
    <w:rPr>
      <w:rFonts w:ascii="等线 Light" w:hAnsi="等线 Light" w:eastAsia="等线 Light" w:cs="Times New Roman"/>
      <w:b/>
      <w:bCs/>
      <w:kern w:val="2"/>
      <w:sz w:val="24"/>
      <w:szCs w:val="24"/>
    </w:rPr>
  </w:style>
  <w:style w:type="character" w:customStyle="1" w:styleId="80">
    <w:name w:val="正文正文2 Char"/>
    <w:link w:val="81"/>
    <w:autoRedefine/>
    <w:qFormat/>
    <w:uiPriority w:val="0"/>
    <w:rPr>
      <w:rFonts w:ascii="宋体" w:hAnsi="宋体"/>
      <w:kern w:val="2"/>
      <w:sz w:val="21"/>
      <w:szCs w:val="21"/>
    </w:rPr>
  </w:style>
  <w:style w:type="paragraph" w:customStyle="1" w:styleId="81">
    <w:name w:val="正文正文2"/>
    <w:basedOn w:val="1"/>
    <w:link w:val="80"/>
    <w:autoRedefine/>
    <w:qFormat/>
    <w:uiPriority w:val="0"/>
    <w:pPr>
      <w:ind w:firstLine="460"/>
    </w:pPr>
    <w:rPr>
      <w:sz w:val="21"/>
      <w:szCs w:val="21"/>
    </w:rPr>
  </w:style>
  <w:style w:type="character" w:customStyle="1" w:styleId="82">
    <w:name w:val="标题 3 Char"/>
    <w:link w:val="4"/>
    <w:autoRedefine/>
    <w:qFormat/>
    <w:uiPriority w:val="0"/>
    <w:rPr>
      <w:rFonts w:ascii="宋体" w:hAnsi="宋体"/>
      <w:b/>
      <w:bCs/>
      <w:kern w:val="2"/>
      <w:sz w:val="28"/>
      <w:szCs w:val="28"/>
    </w:rPr>
  </w:style>
  <w:style w:type="character" w:customStyle="1" w:styleId="83">
    <w:name w:val="标题 4 字符"/>
    <w:autoRedefine/>
    <w:semiHidden/>
    <w:qFormat/>
    <w:uiPriority w:val="9"/>
    <w:rPr>
      <w:rFonts w:ascii="等线 Light" w:hAnsi="等线 Light" w:eastAsia="等线 Light" w:cs="Times New Roman"/>
      <w:b/>
      <w:bCs/>
      <w:kern w:val="2"/>
      <w:sz w:val="28"/>
      <w:szCs w:val="28"/>
    </w:rPr>
  </w:style>
  <w:style w:type="character" w:customStyle="1" w:styleId="84">
    <w:name w:val="批注主题 Char"/>
    <w:link w:val="35"/>
    <w:autoRedefine/>
    <w:qFormat/>
    <w:uiPriority w:val="0"/>
    <w:rPr>
      <w:rFonts w:eastAsia="仿宋"/>
      <w:b/>
      <w:bCs/>
      <w:kern w:val="2"/>
      <w:sz w:val="21"/>
      <w:szCs w:val="24"/>
    </w:rPr>
  </w:style>
  <w:style w:type="character" w:customStyle="1" w:styleId="85">
    <w:name w:val="页眉 字符"/>
    <w:autoRedefine/>
    <w:semiHidden/>
    <w:qFormat/>
    <w:uiPriority w:val="99"/>
    <w:rPr>
      <w:rFonts w:ascii="宋体" w:hAnsi="宋体"/>
      <w:kern w:val="2"/>
      <w:sz w:val="18"/>
      <w:szCs w:val="18"/>
    </w:rPr>
  </w:style>
  <w:style w:type="character" w:customStyle="1" w:styleId="86">
    <w:name w:val="正文文本缩进 Char"/>
    <w:link w:val="18"/>
    <w:autoRedefine/>
    <w:qFormat/>
    <w:uiPriority w:val="0"/>
    <w:rPr>
      <w:kern w:val="2"/>
      <w:sz w:val="21"/>
    </w:rPr>
  </w:style>
  <w:style w:type="character" w:customStyle="1" w:styleId="87">
    <w:name w:val="标题 5 Char"/>
    <w:link w:val="6"/>
    <w:autoRedefine/>
    <w:qFormat/>
    <w:uiPriority w:val="0"/>
    <w:rPr>
      <w:rFonts w:ascii="宋体" w:hAnsi="宋体"/>
      <w:b/>
      <w:bCs/>
      <w:kern w:val="2"/>
      <w:sz w:val="24"/>
      <w:szCs w:val="28"/>
    </w:rPr>
  </w:style>
  <w:style w:type="character" w:customStyle="1" w:styleId="88">
    <w:name w:val="副标题 Char"/>
    <w:link w:val="29"/>
    <w:autoRedefine/>
    <w:qFormat/>
    <w:uiPriority w:val="0"/>
    <w:rPr>
      <w:rFonts w:ascii="Calibri Light" w:hAnsi="Calibri Light"/>
      <w:b/>
      <w:bCs/>
      <w:kern w:val="28"/>
      <w:sz w:val="32"/>
      <w:szCs w:val="32"/>
    </w:rPr>
  </w:style>
  <w:style w:type="character" w:customStyle="1" w:styleId="89">
    <w:name w:val="标题 2 Char"/>
    <w:link w:val="3"/>
    <w:autoRedefine/>
    <w:qFormat/>
    <w:uiPriority w:val="9"/>
    <w:rPr>
      <w:rFonts w:ascii="宋体" w:hAnsi="宋体"/>
      <w:b/>
      <w:bCs/>
      <w:kern w:val="2"/>
      <w:sz w:val="30"/>
      <w:szCs w:val="32"/>
    </w:rPr>
  </w:style>
  <w:style w:type="character" w:customStyle="1" w:styleId="90">
    <w:name w:val="页脚 Char"/>
    <w:link w:val="25"/>
    <w:autoRedefine/>
    <w:qFormat/>
    <w:uiPriority w:val="99"/>
    <w:rPr>
      <w:kern w:val="2"/>
      <w:sz w:val="18"/>
      <w:szCs w:val="18"/>
    </w:rPr>
  </w:style>
  <w:style w:type="character" w:customStyle="1" w:styleId="91">
    <w:name w:val="批注主题 字符"/>
    <w:autoRedefine/>
    <w:semiHidden/>
    <w:qFormat/>
    <w:uiPriority w:val="99"/>
    <w:rPr>
      <w:rFonts w:ascii="宋体" w:hAnsi="宋体"/>
      <w:b/>
      <w:bCs/>
      <w:kern w:val="2"/>
      <w:sz w:val="24"/>
      <w:szCs w:val="24"/>
    </w:rPr>
  </w:style>
  <w:style w:type="character" w:customStyle="1" w:styleId="92">
    <w:name w:val="文档结构图 Char"/>
    <w:link w:val="15"/>
    <w:autoRedefine/>
    <w:qFormat/>
    <w:uiPriority w:val="0"/>
    <w:rPr>
      <w:rFonts w:ascii="宋体"/>
      <w:kern w:val="2"/>
      <w:sz w:val="18"/>
      <w:szCs w:val="18"/>
    </w:rPr>
  </w:style>
  <w:style w:type="character" w:customStyle="1" w:styleId="93">
    <w:name w:val="font31"/>
    <w:autoRedefine/>
    <w:qFormat/>
    <w:uiPriority w:val="0"/>
    <w:rPr>
      <w:rFonts w:hint="eastAsia" w:ascii="宋体" w:hAnsi="宋体" w:eastAsia="宋体" w:cs="宋体"/>
      <w:color w:val="000000"/>
      <w:sz w:val="21"/>
      <w:szCs w:val="21"/>
      <w:u w:val="none"/>
    </w:rPr>
  </w:style>
  <w:style w:type="character" w:customStyle="1" w:styleId="94">
    <w:name w:val="标准正文 Char"/>
    <w:link w:val="95"/>
    <w:autoRedefine/>
    <w:qFormat/>
    <w:uiPriority w:val="0"/>
    <w:rPr>
      <w:rFonts w:ascii="Arial" w:hAnsi="Arial"/>
      <w:kern w:val="2"/>
      <w:sz w:val="24"/>
    </w:rPr>
  </w:style>
  <w:style w:type="paragraph" w:customStyle="1" w:styleId="95">
    <w:name w:val="标准正文"/>
    <w:basedOn w:val="18"/>
    <w:link w:val="94"/>
    <w:autoRedefine/>
    <w:qFormat/>
    <w:uiPriority w:val="0"/>
    <w:pPr>
      <w:spacing w:before="60" w:after="60"/>
      <w:ind w:firstLine="482" w:firstLineChars="0"/>
    </w:pPr>
    <w:rPr>
      <w:rFonts w:ascii="Arial" w:hAnsi="Arial"/>
      <w:sz w:val="24"/>
    </w:rPr>
  </w:style>
  <w:style w:type="character" w:customStyle="1" w:styleId="96">
    <w:name w:val="标题 Char"/>
    <w:link w:val="34"/>
    <w:autoRedefine/>
    <w:qFormat/>
    <w:uiPriority w:val="0"/>
    <w:rPr>
      <w:rFonts w:ascii="Cambria" w:hAnsi="Cambria" w:eastAsia="黑体"/>
      <w:b/>
      <w:bCs/>
      <w:kern w:val="2"/>
      <w:sz w:val="52"/>
      <w:szCs w:val="32"/>
    </w:rPr>
  </w:style>
  <w:style w:type="character" w:customStyle="1" w:styleId="97">
    <w:name w:val="批注框文本 Char"/>
    <w:link w:val="24"/>
    <w:autoRedefine/>
    <w:qFormat/>
    <w:uiPriority w:val="0"/>
    <w:rPr>
      <w:kern w:val="2"/>
      <w:sz w:val="18"/>
      <w:szCs w:val="18"/>
    </w:rPr>
  </w:style>
  <w:style w:type="character" w:customStyle="1" w:styleId="98">
    <w:name w:val="页眉 Char"/>
    <w:link w:val="26"/>
    <w:autoRedefine/>
    <w:qFormat/>
    <w:uiPriority w:val="99"/>
    <w:rPr>
      <w:kern w:val="2"/>
      <w:sz w:val="18"/>
      <w:szCs w:val="18"/>
    </w:rPr>
  </w:style>
  <w:style w:type="character" w:customStyle="1" w:styleId="99">
    <w:name w:val="标题 8 Char"/>
    <w:link w:val="9"/>
    <w:autoRedefine/>
    <w:qFormat/>
    <w:uiPriority w:val="9"/>
    <w:rPr>
      <w:rFonts w:ascii="Cambria" w:hAnsi="Cambria"/>
      <w:kern w:val="2"/>
      <w:sz w:val="21"/>
      <w:szCs w:val="24"/>
    </w:rPr>
  </w:style>
  <w:style w:type="character" w:customStyle="1" w:styleId="100">
    <w:name w:val="标题 6 Char"/>
    <w:link w:val="7"/>
    <w:autoRedefine/>
    <w:qFormat/>
    <w:uiPriority w:val="0"/>
    <w:rPr>
      <w:rFonts w:ascii="Cambria" w:hAnsi="Cambria"/>
      <w:b/>
      <w:bCs/>
      <w:kern w:val="2"/>
      <w:sz w:val="24"/>
      <w:szCs w:val="24"/>
    </w:rPr>
  </w:style>
  <w:style w:type="character" w:customStyle="1" w:styleId="101">
    <w:name w:val="标题 字符"/>
    <w:autoRedefine/>
    <w:qFormat/>
    <w:uiPriority w:val="10"/>
    <w:rPr>
      <w:rFonts w:ascii="等线 Light" w:hAnsi="等线 Light" w:eastAsia="等线 Light" w:cs="Times New Roman"/>
      <w:b/>
      <w:bCs/>
      <w:kern w:val="2"/>
      <w:sz w:val="32"/>
      <w:szCs w:val="32"/>
    </w:rPr>
  </w:style>
  <w:style w:type="character" w:customStyle="1" w:styleId="102">
    <w:name w:val="副标题 字符"/>
    <w:autoRedefine/>
    <w:qFormat/>
    <w:uiPriority w:val="11"/>
    <w:rPr>
      <w:rFonts w:ascii="等线" w:hAnsi="等线" w:eastAsia="等线" w:cs="Times New Roman"/>
      <w:b/>
      <w:bCs/>
      <w:kern w:val="28"/>
      <w:sz w:val="32"/>
      <w:szCs w:val="32"/>
    </w:rPr>
  </w:style>
  <w:style w:type="paragraph" w:customStyle="1" w:styleId="103">
    <w:name w:val="xl72"/>
    <w:basedOn w:val="1"/>
    <w:autoRedefine/>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4">
    <w:name w:val="正文（深信服）"/>
    <w:autoRedefine/>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5">
    <w:name w:val="xl70"/>
    <w:basedOn w:val="1"/>
    <w:autoRedefine/>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6">
    <w:name w:val="_Style 2"/>
    <w:basedOn w:val="2"/>
    <w:next w:val="1"/>
    <w:autoRedefine/>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07">
    <w:name w:val="正文缩进1"/>
    <w:basedOn w:val="1"/>
    <w:autoRedefine/>
    <w:qFormat/>
    <w:uiPriority w:val="0"/>
    <w:pPr>
      <w:spacing w:line="240" w:lineRule="auto"/>
      <w:ind w:firstLine="420"/>
    </w:pPr>
    <w:rPr>
      <w:rFonts w:ascii="Times New Roman" w:hAnsi="Times New Roman"/>
      <w:sz w:val="21"/>
      <w:szCs w:val="20"/>
    </w:rPr>
  </w:style>
  <w:style w:type="paragraph" w:customStyle="1" w:styleId="108">
    <w:name w:val="xl68"/>
    <w:basedOn w:val="1"/>
    <w:autoRedefine/>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09">
    <w:name w:val="前言、引言标题"/>
    <w:next w:val="1"/>
    <w:autoRedefine/>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10">
    <w:name w:val="Indent Normal"/>
    <w:basedOn w:val="1"/>
    <w:autoRedefine/>
    <w:qFormat/>
    <w:uiPriority w:val="0"/>
    <w:pPr>
      <w:ind w:firstLine="150" w:firstLineChars="150"/>
    </w:pPr>
  </w:style>
  <w:style w:type="paragraph" w:customStyle="1" w:styleId="111">
    <w:name w:val="msonormal"/>
    <w:basedOn w:val="1"/>
    <w:autoRedefine/>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2">
    <w:name w:val="正文 缩进2字符"/>
    <w:basedOn w:val="1"/>
    <w:autoRedefine/>
    <w:qFormat/>
    <w:uiPriority w:val="0"/>
    <w:pPr>
      <w:spacing w:afterLines="50" w:line="240" w:lineRule="auto"/>
      <w:ind w:firstLine="0" w:firstLineChars="0"/>
    </w:pPr>
    <w:rPr>
      <w:rFonts w:ascii="Times New Roman" w:hAnsi="Times New Roman" w:cs="宋体"/>
      <w:sz w:val="21"/>
      <w:szCs w:val="20"/>
    </w:rPr>
  </w:style>
  <w:style w:type="paragraph" w:customStyle="1" w:styleId="113">
    <w:name w:val="列项●（二级）"/>
    <w:autoRedefine/>
    <w:qFormat/>
    <w:uiPriority w:val="0"/>
    <w:pPr>
      <w:numPr>
        <w:ilvl w:val="0"/>
        <w:numId w:val="3"/>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4">
    <w:name w:val="助手文本"/>
    <w:basedOn w:val="1"/>
    <w:autoRedefine/>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5">
    <w:name w:val="xl6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6">
    <w:name w:val="段"/>
    <w:autoRedefine/>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7">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18">
    <w:name w:val="Char Char Char Char Char Char1 Char"/>
    <w:basedOn w:val="1"/>
    <w:autoRedefine/>
    <w:qFormat/>
    <w:uiPriority w:val="0"/>
    <w:pPr>
      <w:widowControl/>
      <w:spacing w:after="160" w:line="240" w:lineRule="exact"/>
      <w:jc w:val="left"/>
    </w:pPr>
  </w:style>
  <w:style w:type="paragraph" w:customStyle="1" w:styleId="119">
    <w:name w:val="PM_Body"/>
    <w:basedOn w:val="1"/>
    <w:autoRedefine/>
    <w:qFormat/>
    <w:locked/>
    <w:uiPriority w:val="0"/>
    <w:rPr>
      <w:szCs w:val="21"/>
    </w:rPr>
  </w:style>
  <w:style w:type="paragraph" w:customStyle="1" w:styleId="120">
    <w:name w:val="Char Char1"/>
    <w:basedOn w:val="1"/>
    <w:autoRedefine/>
    <w:qFormat/>
    <w:uiPriority w:val="0"/>
    <w:pPr>
      <w:widowControl/>
      <w:spacing w:before="120" w:after="120"/>
    </w:pPr>
    <w:rPr>
      <w:rFonts w:ascii="Times New Roman" w:hAnsi="Times New Roman" w:cs="宋体"/>
    </w:rPr>
  </w:style>
  <w:style w:type="paragraph" w:customStyle="1" w:styleId="121">
    <w:name w:val="xl71"/>
    <w:basedOn w:val="1"/>
    <w:autoRedefine/>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2">
    <w:name w:val="修订1"/>
    <w:autoRedefine/>
    <w:unhideWhenUsed/>
    <w:qFormat/>
    <w:uiPriority w:val="99"/>
    <w:rPr>
      <w:rFonts w:ascii="宋体" w:hAnsi="宋体" w:eastAsia="宋体" w:cs="Times New Roman"/>
      <w:kern w:val="2"/>
      <w:sz w:val="24"/>
      <w:szCs w:val="24"/>
      <w:lang w:val="en-US" w:eastAsia="zh-CN" w:bidi="ar-SA"/>
    </w:rPr>
  </w:style>
  <w:style w:type="paragraph" w:customStyle="1" w:styleId="123">
    <w:name w:val="列出段落2"/>
    <w:basedOn w:val="1"/>
    <w:autoRedefine/>
    <w:qFormat/>
    <w:uiPriority w:val="0"/>
    <w:pPr>
      <w:spacing w:line="240" w:lineRule="auto"/>
      <w:ind w:firstLine="420"/>
    </w:pPr>
    <w:rPr>
      <w:rFonts w:ascii="等线" w:hAnsi="等线" w:eastAsia="等线" w:cs="等线"/>
      <w:sz w:val="21"/>
      <w:szCs w:val="21"/>
    </w:rPr>
  </w:style>
  <w:style w:type="paragraph" w:customStyle="1" w:styleId="124">
    <w:name w:val="xl69"/>
    <w:basedOn w:val="1"/>
    <w:autoRedefine/>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5">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6">
    <w:name w:val="文档正文文本（中安网脉）"/>
    <w:basedOn w:val="1"/>
    <w:autoRedefine/>
    <w:qFormat/>
    <w:uiPriority w:val="0"/>
    <w:pPr>
      <w:ind w:firstLine="200"/>
    </w:pPr>
    <w:rPr>
      <w:rFonts w:ascii="Times New Roman" w:hAnsi="Times New Roman" w:eastAsia="仿宋_GB2312"/>
      <w:color w:val="000000"/>
      <w:szCs w:val="28"/>
    </w:rPr>
  </w:style>
  <w:style w:type="paragraph" w:customStyle="1" w:styleId="127">
    <w:name w:val="xl6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8">
    <w:name w:val="正文样式"/>
    <w:autoRedefine/>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29">
    <w:name w:val="样式 行距: 1.5 倍行距 首行缩进:  2 字符"/>
    <w:basedOn w:val="1"/>
    <w:autoRedefine/>
    <w:qFormat/>
    <w:uiPriority w:val="0"/>
    <w:pPr>
      <w:ind w:firstLine="560"/>
      <w:jc w:val="left"/>
    </w:pPr>
    <w:rPr>
      <w:rFonts w:ascii="仿宋" w:hAnsi="仿宋" w:eastAsia="仿宋" w:cs="宋体"/>
      <w:sz w:val="28"/>
      <w:szCs w:val="20"/>
    </w:rPr>
  </w:style>
  <w:style w:type="paragraph" w:customStyle="1" w:styleId="130">
    <w:name w:val="TOC 标题1"/>
    <w:basedOn w:val="2"/>
    <w:next w:val="1"/>
    <w:autoRedefine/>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1">
    <w:name w:val="!我的表格1"/>
    <w:basedOn w:val="36"/>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2">
    <w:name w:val="网格型1"/>
    <w:basedOn w:val="36"/>
    <w:autoRedefine/>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3">
    <w:name w:val="标题 1 Char"/>
    <w:autoRedefine/>
    <w:qFormat/>
    <w:uiPriority w:val="0"/>
    <w:rPr>
      <w:rFonts w:ascii="宋体" w:hAnsi="宋体" w:eastAsia="黑体"/>
      <w:b/>
      <w:bCs/>
      <w:kern w:val="44"/>
      <w:sz w:val="32"/>
      <w:szCs w:val="28"/>
    </w:rPr>
  </w:style>
  <w:style w:type="character" w:customStyle="1" w:styleId="134">
    <w:name w:val="纯文本 Char2"/>
    <w:autoRedefine/>
    <w:qFormat/>
    <w:uiPriority w:val="0"/>
    <w:rPr>
      <w:rFonts w:ascii="宋体" w:hAnsi="宋体" w:eastAsia="宋体" w:cs="Times New Roman"/>
      <w:color w:val="000000"/>
      <w:kern w:val="0"/>
      <w:sz w:val="24"/>
      <w:szCs w:val="24"/>
    </w:rPr>
  </w:style>
  <w:style w:type="paragraph" w:customStyle="1" w:styleId="135">
    <w:name w:val="方案_正文"/>
    <w:basedOn w:val="1"/>
    <w:autoRedefine/>
    <w:qFormat/>
    <w:uiPriority w:val="0"/>
    <w:pPr>
      <w:tabs>
        <w:tab w:val="left" w:pos="987"/>
      </w:tabs>
      <w:ind w:firstLine="560"/>
    </w:pPr>
    <w:rPr>
      <w:rFonts w:eastAsia="等线"/>
      <w:bCs/>
      <w:lang w:val="zh-CN"/>
    </w:rPr>
  </w:style>
  <w:style w:type="character" w:customStyle="1" w:styleId="136">
    <w:name w:val="font51"/>
    <w:basedOn w:val="38"/>
    <w:qFormat/>
    <w:uiPriority w:val="0"/>
    <w:rPr>
      <w:rFonts w:hint="eastAsia" w:ascii="仿宋" w:hAnsi="仿宋" w:eastAsia="仿宋" w:cs="仿宋"/>
      <w:color w:val="FF0000"/>
      <w:sz w:val="24"/>
      <w:szCs w:val="24"/>
      <w:u w:val="none"/>
    </w:rPr>
  </w:style>
  <w:style w:type="character" w:customStyle="1" w:styleId="137">
    <w:name w:val="font61"/>
    <w:basedOn w:val="38"/>
    <w:qFormat/>
    <w:uiPriority w:val="0"/>
    <w:rPr>
      <w:rFonts w:hint="eastAsia" w:ascii="仿宋" w:hAnsi="仿宋" w:eastAsia="仿宋" w:cs="仿宋"/>
      <w:color w:val="FF0000"/>
      <w:sz w:val="20"/>
      <w:szCs w:val="20"/>
      <w:u w:val="none"/>
    </w:rPr>
  </w:style>
  <w:style w:type="paragraph" w:customStyle="1" w:styleId="138">
    <w:name w:val="TOC 标题2"/>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366091" w:themeColor="accent1" w:themeShade="BF"/>
      <w:kern w:val="0"/>
      <w:szCs w:val="32"/>
    </w:rPr>
  </w:style>
  <w:style w:type="paragraph" w:customStyle="1" w:styleId="139">
    <w:name w:val="样式2"/>
    <w:basedOn w:val="1"/>
    <w:qFormat/>
    <w:uiPriority w:val="0"/>
    <w:pPr>
      <w:widowControl/>
      <w:adjustRightInd w:val="0"/>
    </w:pPr>
    <w:rPr>
      <w:kern w:val="0"/>
      <w:lang w:eastAsia="en-US"/>
    </w:rPr>
  </w:style>
  <w:style w:type="paragraph" w:customStyle="1" w:styleId="140">
    <w:name w:val="B-表正文"/>
    <w:qFormat/>
    <w:uiPriority w:val="0"/>
    <w:rPr>
      <w:rFonts w:ascii="Times New Roman" w:hAnsi="Times New Roman" w:eastAsia="仿宋"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6CDE8F8C-E17F-40DF-8EE2-ED8D1B0172F5}">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15</Pages>
  <Words>1506</Words>
  <Characters>8586</Characters>
  <Lines>71</Lines>
  <Paragraphs>20</Paragraphs>
  <TotalTime>41</TotalTime>
  <ScaleCrop>false</ScaleCrop>
  <LinksUpToDate>false</LinksUpToDate>
  <CharactersWithSpaces>10072</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2025-03-27T18:01:00Z</dcterms:created>
  <dc:creator>gtig_tzb</dc:creator>
  <cp:lastModifiedBy>user</cp:lastModifiedBy>
  <cp:lastPrinted>2020-08-08T12:08:00Z</cp:lastPrinted>
  <dcterms:modified xsi:type="dcterms:W3CDTF">2026-04-22T16:13:59Z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C469BFB765D9438D9CF4BA17CAD92533_13</vt:lpwstr>
  </property>
  <property fmtid="{D5CDD505-2E9C-101B-9397-08002B2CF9AE}" pid="4" name="KSOTemplateDocerSaveRecord">
    <vt:lpwstr>eyJoZGlkIjoiZmY5ZDJiYzlkMjlhOGMzYWUzODI0ZjM4Mzk5N2ViMzkiLCJ1c2VySWQiOiI5NDM2NjM0MTQifQ==</vt:lpwstr>
  </property>
</Properties>
</file>