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tabs>
          <w:tab w:val="left" w:pos="7030"/>
        </w:tabs>
        <w:spacing w:line="600" w:lineRule="auto"/>
        <w:jc w:val="center"/>
        <w:rPr>
          <w:rFonts w:hint="eastAsia" w:ascii="仿宋" w:hAnsi="仿宋" w:eastAsia="仿宋" w:cs="仿宋"/>
          <w:b/>
          <w:sz w:val="36"/>
          <w:szCs w:val="36"/>
        </w:rPr>
      </w:pPr>
    </w:p>
    <w:p>
      <w:pPr>
        <w:jc w:val="center"/>
        <w:rPr>
          <w:rFonts w:hint="eastAsia" w:ascii="仿宋" w:hAnsi="仿宋" w:eastAsia="仿宋" w:cs="仿宋"/>
          <w:sz w:val="44"/>
          <w:szCs w:val="44"/>
        </w:rPr>
      </w:pPr>
      <w:r>
        <w:rPr>
          <w:rFonts w:hint="eastAsia" w:ascii="仿宋" w:hAnsi="仿宋" w:eastAsia="仿宋" w:cs="仿宋"/>
          <w:sz w:val="44"/>
          <w:szCs w:val="44"/>
        </w:rPr>
        <w:t>二分中心2026年密码应用安全性评估服务评估服务采购需求</w:t>
      </w: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pStyle w:val="2"/>
        <w:ind w:left="0"/>
        <w:rPr>
          <w:rFonts w:hint="eastAsia" w:ascii="仿宋" w:hAnsi="仿宋" w:eastAsia="仿宋" w:cs="仿宋"/>
        </w:rPr>
      </w:pPr>
      <w:bookmarkStart w:id="0" w:name="_Toc69194644"/>
      <w:r>
        <w:rPr>
          <w:rFonts w:hint="eastAsia" w:ascii="仿宋" w:hAnsi="仿宋" w:eastAsia="仿宋" w:cs="仿宋"/>
        </w:rPr>
        <w:t>项目概述</w:t>
      </w:r>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背景：近年来，网络和数据安全对国家安全和发展的重要性日益凸显，特别是在当前复杂多变的安全形势下，加强网络和数据安全保障工作已成为迫切需求。本项目依据《中华人民共和国密码法》、《商用密码管理条例》、《关键信息基础设施安全保护条例》等相关法律法规，结合市大数据中心网络和数据安全工作要求，旨在为上海市大数据中心信息化服务第二分中心（以下简称“二分中心”）提供全面的网络和数据安全的技术支持和保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分中心以筑牢网络和数据安全屏障为目标，消除各信息系统安全风险隐患，以重要信息系统网络安全保障为重点，明确网络安全工作职责分工，提升二分中心各信息化服务团队网络与数据安全管控能力，切实推进二分中心2026年度网络安全工作有序开展，确保全年无重大网络安全事件发生。依据《信息安全技术信息系统密码应用基本要求》（GB/T39786-2021）、《信息安全技术信息系统密码应用测评要求》（GB/T 43206-2023）、《信息系统密码应用测评过程指南》（GM/T 0116-2021）、《信息系统密码应用高风险判定指引》、《商用密码应用安全性评估量化评估规则》等测评要求，结合上海市大数据中心密码应用安全性评估实际工作需求，二分中心为满足所服务领域各委办局密码应用安全性评估需求，组织开展信息系统密码应用安全性评估工作，深入查找密码应用的薄弱环节和安全隐患，确保第二分中心管辖内的信息系统和数据安全、可靠、稳定运行。拟通过公开采购方式，选择优质的服务商提供密码应用安全性评估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运维期限：自合同签订之日起至2026年10月31日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运维地点：上海市黄浦区威海路48号4楼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预算总金额：</w:t>
      </w:r>
      <w:bookmarkStart w:id="1" w:name="OLE_LINK22"/>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612</w:t>
      </w:r>
      <w:r>
        <w:rPr>
          <w:rFonts w:hint="eastAsia" w:ascii="仿宋" w:hAnsi="仿宋" w:eastAsia="仿宋" w:cs="仿宋"/>
          <w:sz w:val="28"/>
          <w:szCs w:val="28"/>
        </w:rPr>
        <w:t>,</w:t>
      </w:r>
      <w:r>
        <w:rPr>
          <w:rFonts w:ascii="仿宋" w:hAnsi="仿宋" w:eastAsia="仿宋" w:cs="仿宋"/>
          <w:sz w:val="28"/>
          <w:szCs w:val="28"/>
        </w:rPr>
        <w:t>554</w:t>
      </w:r>
      <w:r>
        <w:rPr>
          <w:rFonts w:hint="eastAsia" w:ascii="仿宋" w:hAnsi="仿宋" w:eastAsia="仿宋" w:cs="仿宋"/>
          <w:sz w:val="28"/>
          <w:szCs w:val="28"/>
        </w:rPr>
        <w:t>元</w:t>
      </w:r>
      <w:bookmarkEnd w:id="1"/>
    </w:p>
    <w:p>
      <w:pPr>
        <w:ind w:firstLine="560" w:firstLineChars="200"/>
        <w:rPr>
          <w:rFonts w:hint="eastAsia" w:ascii="仿宋" w:hAnsi="仿宋" w:eastAsia="仿宋" w:cs="仿宋"/>
          <w:sz w:val="28"/>
          <w:szCs w:val="28"/>
        </w:rPr>
      </w:pPr>
      <w:r>
        <w:rPr>
          <w:rFonts w:hint="eastAsia" w:ascii="仿宋" w:hAnsi="仿宋" w:eastAsia="仿宋" w:cs="仿宋"/>
          <w:sz w:val="28"/>
          <w:szCs w:val="28"/>
        </w:rPr>
        <w:t>当年度预算金额：1,612,554元</w:t>
      </w:r>
    </w:p>
    <w:p>
      <w:pPr>
        <w:ind w:firstLine="560" w:firstLineChars="200"/>
        <w:rPr>
          <w:rFonts w:hint="eastAsia" w:ascii="仿宋" w:hAnsi="仿宋" w:eastAsia="仿宋" w:cs="仿宋"/>
          <w:color w:val="FF0000"/>
          <w:sz w:val="28"/>
        </w:rPr>
      </w:pPr>
      <w:r>
        <w:rPr>
          <w:rFonts w:hint="eastAsia" w:ascii="仿宋" w:hAnsi="仿宋" w:eastAsia="仿宋" w:cs="仿宋"/>
          <w:sz w:val="28"/>
          <w:szCs w:val="28"/>
        </w:rPr>
        <w:t>采购金额（最高限价）：</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612</w:t>
      </w:r>
      <w:r>
        <w:rPr>
          <w:rFonts w:hint="eastAsia" w:ascii="仿宋" w:hAnsi="仿宋" w:eastAsia="仿宋" w:cs="仿宋"/>
          <w:sz w:val="28"/>
          <w:szCs w:val="28"/>
        </w:rPr>
        <w:t>,</w:t>
      </w:r>
      <w:r>
        <w:rPr>
          <w:rFonts w:ascii="仿宋" w:hAnsi="仿宋" w:eastAsia="仿宋" w:cs="仿宋"/>
          <w:sz w:val="28"/>
          <w:szCs w:val="28"/>
        </w:rPr>
        <w:t>554</w:t>
      </w:r>
      <w:r>
        <w:rPr>
          <w:rFonts w:hint="eastAsia" w:ascii="仿宋" w:hAnsi="仿宋" w:eastAsia="仿宋" w:cs="仿宋"/>
          <w:sz w:val="28"/>
          <w:szCs w:val="28"/>
        </w:rPr>
        <w:t>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组织形式：集中采购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采购方式：竞争性磋商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面向企业类型：中小微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是否接受联合体投标：否</w:t>
      </w:r>
    </w:p>
    <w:p>
      <w:pPr>
        <w:pStyle w:val="2"/>
        <w:ind w:left="0"/>
        <w:rPr>
          <w:rFonts w:hint="eastAsia" w:ascii="仿宋" w:hAnsi="仿宋" w:eastAsia="仿宋" w:cs="仿宋"/>
        </w:rPr>
      </w:pPr>
      <w:bookmarkStart w:id="2" w:name="_Toc69194645"/>
      <w:r>
        <w:rPr>
          <w:rFonts w:hint="eastAsia" w:ascii="仿宋" w:hAnsi="仿宋" w:eastAsia="仿宋" w:cs="仿宋"/>
        </w:rPr>
        <w:t>服务范围</w:t>
      </w:r>
      <w:bookmarkEnd w:id="2"/>
    </w:p>
    <w:p>
      <w:pPr>
        <w:ind w:firstLine="560" w:firstLineChars="200"/>
        <w:rPr>
          <w:rFonts w:hint="eastAsia" w:ascii="仿宋" w:hAnsi="仿宋" w:eastAsia="仿宋" w:cs="仿宋"/>
          <w:sz w:val="28"/>
          <w:szCs w:val="28"/>
        </w:rPr>
      </w:pPr>
      <w:r>
        <w:rPr>
          <w:rFonts w:hint="eastAsia" w:ascii="仿宋" w:hAnsi="仿宋" w:eastAsia="仿宋" w:cs="仿宋"/>
          <w:sz w:val="28"/>
          <w:szCs w:val="28"/>
        </w:rPr>
        <w:t>开展密码应用安全性评估工作是完善信息系统密码应用安全防护能力的一个重要环节，也是信息系统密码应用安全建设和管理的重要组成部分。通过测评可以发现信息系统密码应用的安全现状与需要达到的安全等级或目标的差异，进行全面有效的密码应用安全整改建设，使系统密码应用在技术和管理方面有针对性地加强和完善，以确保网络和信息系统的安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二分中心2026年密码应用安全性评估范围覆盖分中心下属4个信息化服务团队（卫健委和民族宗教局团队、文旅局和体育局团队、农委团队、</w:t>
      </w:r>
      <w:bookmarkStart w:id="3" w:name="OLE_LINK9"/>
      <w:r>
        <w:rPr>
          <w:rFonts w:hint="eastAsia" w:ascii="仿宋" w:hAnsi="仿宋" w:eastAsia="仿宋" w:cs="仿宋"/>
          <w:sz w:val="28"/>
          <w:szCs w:val="28"/>
        </w:rPr>
        <w:t>教委团队</w:t>
      </w:r>
      <w:bookmarkEnd w:id="3"/>
      <w:r>
        <w:rPr>
          <w:rFonts w:hint="eastAsia" w:ascii="仿宋" w:hAnsi="仿宋" w:eastAsia="仿宋" w:cs="仿宋"/>
          <w:sz w:val="28"/>
          <w:szCs w:val="28"/>
        </w:rPr>
        <w:t>）共计35个所属大系统（含58个子系统）商用密码应用安全性评估工作。</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39"/>
        <w:gridCol w:w="4964"/>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序号</w:t>
            </w:r>
          </w:p>
        </w:tc>
        <w:tc>
          <w:tcPr>
            <w:tcW w:w="1239" w:type="dxa"/>
          </w:tcPr>
          <w:p>
            <w:pPr>
              <w:adjustRightInd w:val="0"/>
              <w:snapToGrid w:val="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团队名称</w:t>
            </w:r>
          </w:p>
        </w:tc>
        <w:tc>
          <w:tcPr>
            <w:tcW w:w="4964" w:type="dxa"/>
          </w:tcPr>
          <w:p>
            <w:pPr>
              <w:adjustRightInd w:val="0"/>
              <w:snapToGrid w:val="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大系统名称</w:t>
            </w:r>
          </w:p>
        </w:tc>
        <w:tc>
          <w:tcPr>
            <w:tcW w:w="1355" w:type="dxa"/>
            <w:vAlign w:val="center"/>
          </w:tcPr>
          <w:p>
            <w:pPr>
              <w:adjustRightInd w:val="0"/>
              <w:snapToGrid w:val="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评估次数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39" w:type="dxa"/>
            <w:vMerge w:val="restart"/>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卫健委和民族宗教局团队</w:t>
            </w: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上海市民族宗教事务服务管理大系统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公共卫生综合管理系统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卫生健康行业专业管理系统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卫生健康行业基础支撑系统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上海市卫生健康委员会机关管理信息系统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239" w:type="dxa"/>
            <w:vMerge w:val="restart"/>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文旅局和体育局团队</w:t>
            </w: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数字文旅长三角一体化服务子系统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上海市宾馆旅游多媒体触摸屏系统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上海市旅游景点人流量监控系统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上海市广播电视监管系统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上海市互联网上网服务营业场所计算机经营管理系统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上海市不可移动文物保护监测预警系统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上海市文化和旅游局内部控制管理系统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上海市文化旅游局政务服务系统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上海市旅游网站及旅游信息管理系统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上海市游泳场所游泳卡系统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上海市体育局综合管理及数据分析共享系统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239" w:type="dxa"/>
            <w:vMerge w:val="restart"/>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农委团队</w:t>
            </w: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上海市涉农补贴资金管理系统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上海市农业经营主体智能管理与服务系统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上海市农业农村“一张图”系统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上海市农村宅基地管理信息系统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上海市农机物联网管理系统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上海市乡村振兴目标管理系统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上海市来沪农业从业人员灵活就业登记信息系统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上海市农产品质量安全移动监管及数据分析系统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上海市种植业生产经济运行监测与服务系统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上海农业网</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上海市农业农村委员会政务服务系统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上海市数字农业农村云平台</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上海市农业农村委员会数据中台</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上海市农业生产辅助决策系统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上海市种业信息化管理系统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239" w:type="dxa"/>
            <w:vMerge w:val="restart"/>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教委团队</w:t>
            </w:r>
          </w:p>
        </w:tc>
        <w:tc>
          <w:tcPr>
            <w:tcW w:w="4964" w:type="dxa"/>
            <w:tcBorders>
              <w:top w:val="single" w:color="auto" w:sz="4" w:space="0"/>
              <w:left w:val="single" w:color="auto" w:sz="4" w:space="0"/>
              <w:bottom w:val="single" w:color="auto" w:sz="4" w:space="0"/>
              <w:right w:val="single" w:color="auto" w:sz="4" w:space="0"/>
            </w:tcBorders>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市教委基础设施</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tcBorders>
              <w:top w:val="nil"/>
              <w:left w:val="single" w:color="auto" w:sz="4" w:space="0"/>
              <w:bottom w:val="single" w:color="auto" w:sz="4" w:space="0"/>
              <w:right w:val="single" w:color="auto" w:sz="4" w:space="0"/>
            </w:tcBorders>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市教育管理服务大系统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tcBorders>
              <w:top w:val="nil"/>
              <w:left w:val="single" w:color="auto" w:sz="4" w:space="0"/>
              <w:bottom w:val="single" w:color="auto" w:sz="4" w:space="0"/>
              <w:right w:val="single" w:color="auto" w:sz="4" w:space="0"/>
            </w:tcBorders>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市教委综合管理决策大系统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adjustRightInd w:val="0"/>
              <w:snapToGrid w:val="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239" w:type="dxa"/>
            <w:vMerge w:val="continue"/>
            <w:vAlign w:val="center"/>
          </w:tcPr>
          <w:p>
            <w:pPr>
              <w:widowControl/>
              <w:adjustRightInd w:val="0"/>
              <w:snapToGrid w:val="0"/>
              <w:jc w:val="center"/>
              <w:rPr>
                <w:rFonts w:hint="eastAsia" w:ascii="仿宋" w:hAnsi="仿宋" w:eastAsia="仿宋" w:cs="仿宋"/>
                <w:color w:val="000000"/>
                <w:kern w:val="0"/>
                <w:sz w:val="24"/>
                <w:szCs w:val="24"/>
              </w:rPr>
            </w:pPr>
          </w:p>
        </w:tc>
        <w:tc>
          <w:tcPr>
            <w:tcW w:w="4964" w:type="dxa"/>
            <w:tcBorders>
              <w:top w:val="nil"/>
              <w:left w:val="single" w:color="auto" w:sz="4" w:space="0"/>
              <w:bottom w:val="single" w:color="auto" w:sz="4" w:space="0"/>
              <w:right w:val="single" w:color="auto" w:sz="4" w:space="0"/>
            </w:tcBorders>
            <w:vAlign w:val="bottom"/>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市教育办事服务大系统</w:t>
            </w:r>
          </w:p>
        </w:tc>
        <w:tc>
          <w:tcPr>
            <w:tcW w:w="1355" w:type="dxa"/>
            <w:vAlign w:val="center"/>
          </w:tcPr>
          <w:p>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bl>
    <w:p>
      <w:pPr>
        <w:rPr>
          <w:rFonts w:hint="eastAsia" w:ascii="仿宋" w:hAnsi="仿宋" w:eastAsia="仿宋" w:cs="仿宋"/>
          <w:b/>
          <w:sz w:val="28"/>
          <w:szCs w:val="28"/>
        </w:rPr>
      </w:pPr>
    </w:p>
    <w:p>
      <w:pPr>
        <w:pStyle w:val="2"/>
        <w:ind w:left="0"/>
        <w:rPr>
          <w:rFonts w:hint="eastAsia" w:ascii="仿宋" w:hAnsi="仿宋" w:eastAsia="仿宋" w:cs="仿宋"/>
          <w:bCs w:val="0"/>
          <w:szCs w:val="32"/>
        </w:rPr>
      </w:pPr>
      <w:bookmarkStart w:id="4" w:name="_Toc69194682"/>
      <w:r>
        <w:rPr>
          <w:rFonts w:hint="eastAsia" w:ascii="仿宋" w:hAnsi="仿宋" w:eastAsia="仿宋" w:cs="仿宋"/>
          <w:bCs w:val="0"/>
          <w:szCs w:val="32"/>
        </w:rPr>
        <w:t>服务内容</w:t>
      </w:r>
    </w:p>
    <w:p>
      <w:pPr>
        <w:pStyle w:val="3"/>
        <w:ind w:left="0"/>
        <w:rPr>
          <w:rFonts w:hint="eastAsia" w:ascii="仿宋" w:hAnsi="仿宋" w:cs="仿宋"/>
        </w:rPr>
      </w:pPr>
      <w:r>
        <w:rPr>
          <w:rFonts w:hint="eastAsia" w:ascii="仿宋" w:hAnsi="仿宋" w:cs="仿宋"/>
        </w:rPr>
        <w:t>服务内容</w:t>
      </w:r>
    </w:p>
    <w:p>
      <w:pPr>
        <w:ind w:firstLine="560" w:firstLineChars="200"/>
      </w:pPr>
      <w:r>
        <w:rPr>
          <w:rFonts w:hint="eastAsia" w:ascii="仿宋" w:hAnsi="仿宋" w:eastAsia="仿宋" w:cs="仿宋"/>
          <w:sz w:val="28"/>
          <w:szCs w:val="28"/>
        </w:rPr>
        <w:t>开展二分中心35个系统（含58个子系统）的密码应用测评，出具符合规范的《密码应用安全性评估报告》，并协助落实密码应用安全整改工作</w:t>
      </w:r>
    </w:p>
    <w:p>
      <w:pPr>
        <w:pStyle w:val="3"/>
        <w:ind w:left="0"/>
        <w:rPr>
          <w:rFonts w:hint="eastAsia" w:ascii="仿宋" w:hAnsi="仿宋" w:cs="仿宋"/>
        </w:rPr>
      </w:pPr>
      <w:r>
        <w:rPr>
          <w:rFonts w:hint="eastAsia" w:ascii="仿宋" w:hAnsi="仿宋" w:cs="仿宋"/>
        </w:rPr>
        <w:t>测评依据</w:t>
      </w:r>
    </w:p>
    <w:p>
      <w:pPr>
        <w:numPr>
          <w:ilvl w:val="0"/>
          <w:numId w:val="2"/>
        </w:numPr>
        <w:rPr>
          <w:rFonts w:hint="eastAsia" w:ascii="仿宋" w:hAnsi="仿宋" w:eastAsia="仿宋"/>
          <w:sz w:val="22"/>
          <w:szCs w:val="24"/>
        </w:rPr>
      </w:pPr>
      <w:r>
        <w:rPr>
          <w:rFonts w:hint="eastAsia" w:ascii="仿宋" w:hAnsi="仿宋" w:eastAsia="仿宋" w:cs="仿宋"/>
          <w:color w:val="000000"/>
          <w:kern w:val="0"/>
          <w:sz w:val="28"/>
          <w:szCs w:val="32"/>
        </w:rPr>
        <w:t>《中华人民共和国密码法》；</w:t>
      </w:r>
    </w:p>
    <w:p>
      <w:pPr>
        <w:numPr>
          <w:ilvl w:val="0"/>
          <w:numId w:val="2"/>
        </w:numPr>
        <w:rPr>
          <w:rFonts w:hint="eastAsia" w:ascii="仿宋" w:hAnsi="仿宋" w:eastAsia="仿宋"/>
          <w:sz w:val="22"/>
          <w:szCs w:val="24"/>
        </w:rPr>
      </w:pPr>
      <w:r>
        <w:rPr>
          <w:rFonts w:hint="eastAsia" w:ascii="仿宋" w:hAnsi="仿宋" w:eastAsia="仿宋" w:cs="仿宋"/>
          <w:color w:val="000000"/>
          <w:kern w:val="0"/>
          <w:sz w:val="28"/>
          <w:szCs w:val="32"/>
        </w:rPr>
        <w:t>《信息安全技术 信息系统密码应用基本要求》（GB/T 39786-2021）；</w:t>
      </w:r>
    </w:p>
    <w:p>
      <w:pPr>
        <w:numPr>
          <w:ilvl w:val="0"/>
          <w:numId w:val="2"/>
        </w:numPr>
        <w:rPr>
          <w:rFonts w:hint="eastAsia" w:ascii="仿宋" w:hAnsi="仿宋" w:eastAsia="仿宋" w:cs="仿宋"/>
          <w:color w:val="000000"/>
          <w:kern w:val="0"/>
          <w:sz w:val="28"/>
          <w:szCs w:val="32"/>
        </w:rPr>
      </w:pPr>
      <w:r>
        <w:rPr>
          <w:rFonts w:ascii="仿宋" w:hAnsi="仿宋" w:eastAsia="仿宋" w:cs="仿宋"/>
          <w:color w:val="000000"/>
          <w:kern w:val="0"/>
          <w:sz w:val="28"/>
          <w:szCs w:val="32"/>
        </w:rPr>
        <w:t>《信息安全技术 信息系统密码应用测评要求》（GB/T 43206-2023）</w:t>
      </w:r>
      <w:r>
        <w:rPr>
          <w:rFonts w:hint="eastAsia" w:ascii="仿宋" w:hAnsi="仿宋" w:eastAsia="仿宋" w:cs="仿宋"/>
          <w:color w:val="000000"/>
          <w:kern w:val="0"/>
          <w:sz w:val="28"/>
          <w:szCs w:val="32"/>
        </w:rPr>
        <w:t>；</w:t>
      </w:r>
    </w:p>
    <w:p>
      <w:pPr>
        <w:pStyle w:val="31"/>
        <w:numPr>
          <w:ilvl w:val="0"/>
          <w:numId w:val="2"/>
        </w:numPr>
        <w:ind w:firstLineChars="0"/>
        <w:rPr>
          <w:rFonts w:hint="eastAsia" w:ascii="仿宋" w:hAnsi="仿宋" w:eastAsia="仿宋" w:cs="仿宋"/>
          <w:color w:val="000000"/>
          <w:kern w:val="0"/>
          <w:sz w:val="28"/>
          <w:szCs w:val="32"/>
        </w:rPr>
      </w:pPr>
      <w:r>
        <w:rPr>
          <w:rFonts w:hint="eastAsia" w:ascii="仿宋" w:hAnsi="仿宋" w:eastAsia="仿宋" w:cs="仿宋"/>
          <w:color w:val="000000"/>
          <w:kern w:val="0"/>
          <w:sz w:val="28"/>
          <w:szCs w:val="32"/>
        </w:rPr>
        <w:t>《信息系统密码应用测评过程指南》（GM/T 0116-2021）；</w:t>
      </w:r>
    </w:p>
    <w:p>
      <w:pPr>
        <w:numPr>
          <w:ilvl w:val="0"/>
          <w:numId w:val="2"/>
        </w:numPr>
        <w:rPr>
          <w:rFonts w:hint="eastAsia" w:ascii="仿宋" w:hAnsi="仿宋" w:eastAsia="仿宋"/>
          <w:sz w:val="22"/>
          <w:szCs w:val="24"/>
        </w:rPr>
      </w:pPr>
      <w:r>
        <w:rPr>
          <w:rFonts w:hint="eastAsia" w:ascii="仿宋" w:hAnsi="仿宋" w:eastAsia="仿宋" w:cs="仿宋"/>
          <w:color w:val="000000"/>
          <w:kern w:val="0"/>
          <w:sz w:val="28"/>
          <w:szCs w:val="32"/>
        </w:rPr>
        <w:t>《信息系统密码应用高风险判定指引》；</w:t>
      </w:r>
    </w:p>
    <w:p>
      <w:pPr>
        <w:numPr>
          <w:ilvl w:val="0"/>
          <w:numId w:val="2"/>
        </w:numPr>
        <w:rPr>
          <w:rFonts w:hint="eastAsia" w:ascii="仿宋" w:hAnsi="仿宋" w:eastAsia="仿宋"/>
          <w:sz w:val="22"/>
          <w:szCs w:val="24"/>
        </w:rPr>
      </w:pPr>
      <w:r>
        <w:rPr>
          <w:rFonts w:hint="eastAsia" w:ascii="仿宋" w:hAnsi="仿宋" w:eastAsia="仿宋" w:cs="仿宋"/>
          <w:color w:val="000000"/>
          <w:kern w:val="0"/>
          <w:sz w:val="28"/>
          <w:szCs w:val="32"/>
        </w:rPr>
        <w:t>《商用密码应用安全性评估量化评估规则》。</w:t>
      </w:r>
    </w:p>
    <w:p>
      <w:pPr>
        <w:pStyle w:val="3"/>
        <w:ind w:left="0"/>
        <w:rPr>
          <w:rFonts w:hint="eastAsia" w:ascii="仿宋" w:hAnsi="仿宋" w:cs="仿宋"/>
        </w:rPr>
      </w:pPr>
      <w:r>
        <w:rPr>
          <w:rFonts w:hint="eastAsia" w:ascii="仿宋" w:hAnsi="仿宋" w:cs="仿宋"/>
        </w:rPr>
        <w:t>测评内容</w:t>
      </w:r>
    </w:p>
    <w:p>
      <w:pPr>
        <w:wordWrap w:val="0"/>
        <w:ind w:firstLine="560" w:firstLineChars="200"/>
        <w:rPr>
          <w:rFonts w:hint="eastAsia" w:ascii="仿宋" w:hAnsi="仿宋" w:eastAsia="仿宋" w:cs="仿宋"/>
          <w:sz w:val="28"/>
          <w:szCs w:val="28"/>
        </w:rPr>
      </w:pPr>
      <w:r>
        <w:rPr>
          <w:rFonts w:hint="eastAsia" w:ascii="仿宋" w:hAnsi="仿宋" w:eastAsia="仿宋" w:cs="仿宋"/>
          <w:sz w:val="28"/>
          <w:szCs w:val="28"/>
        </w:rPr>
        <w:t>《信息安全技术 信息系统密码应用基本要求》（GB/T39786-202《信息安全技术 信息系统密码应用测评要求》（GB/T 43206-2023）、《信息系统密码应用测评过程指南》（GM/T 0116-2021）、《信息系统密码应用高风险判定指引》、《商用密码应用安全性评估量化评估规则》等技术</w:t>
      </w:r>
      <w:r>
        <w:rPr>
          <w:rFonts w:ascii="仿宋" w:hAnsi="仿宋" w:eastAsia="仿宋" w:cs="仿宋"/>
          <w:sz w:val="28"/>
          <w:szCs w:val="28"/>
        </w:rPr>
        <w:t>要</w:t>
      </w:r>
      <w:r>
        <w:rPr>
          <w:rFonts w:hint="eastAsia" w:ascii="仿宋" w:hAnsi="仿宋" w:eastAsia="仿宋" w:cs="仿宋"/>
          <w:sz w:val="28"/>
          <w:szCs w:val="28"/>
        </w:rPr>
        <w:t>求，</w:t>
      </w:r>
      <w:r>
        <w:rPr>
          <w:rFonts w:ascii="仿宋" w:hAnsi="仿宋" w:eastAsia="仿宋" w:cs="仿宋"/>
          <w:sz w:val="28"/>
          <w:szCs w:val="28"/>
        </w:rPr>
        <w:t>逐一对信息系统进行密码应用的合规性、正确性、有效性进行安全性评估</w:t>
      </w:r>
      <w:r>
        <w:rPr>
          <w:rFonts w:hint="eastAsia" w:ascii="仿宋" w:hAnsi="仿宋" w:eastAsia="仿宋" w:cs="仿宋"/>
          <w:sz w:val="28"/>
          <w:szCs w:val="28"/>
        </w:rPr>
        <w:t>，</w:t>
      </w:r>
      <w:r>
        <w:rPr>
          <w:rFonts w:ascii="仿宋" w:hAnsi="仿宋" w:eastAsia="仿宋" w:cs="仿宋"/>
          <w:sz w:val="28"/>
          <w:szCs w:val="28"/>
        </w:rPr>
        <w:t>通过商用密码应用安全性评估深入查找密码应用的薄弱环节和安全隐患，分析面临的风险，为提升信息系统安全奠定基础。</w:t>
      </w:r>
    </w:p>
    <w:p>
      <w:pPr>
        <w:ind w:firstLine="560" w:firstLineChars="200"/>
        <w:rPr>
          <w:rFonts w:hint="eastAsia" w:ascii="仿宋" w:hAnsi="仿宋" w:eastAsia="仿宋" w:cs="仿宋"/>
          <w:sz w:val="28"/>
          <w:szCs w:val="28"/>
        </w:rPr>
      </w:pPr>
      <w:r>
        <w:rPr>
          <w:rFonts w:ascii="仿宋" w:hAnsi="仿宋" w:eastAsia="仿宋" w:cs="仿宋"/>
          <w:sz w:val="28"/>
          <w:szCs w:val="28"/>
        </w:rPr>
        <w:t>测评的内容包括但不限于以下内容：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安全技术测评：包括物理和环境安全、网络和通信安全、设备和计算安全、应用和数据安</w:t>
      </w:r>
      <w:r>
        <w:rPr>
          <w:rFonts w:hint="eastAsia" w:ascii="仿宋" w:hAnsi="仿宋" w:eastAsia="仿宋" w:cs="仿宋"/>
          <w:sz w:val="28"/>
          <w:szCs w:val="28"/>
        </w:rPr>
        <w:t>全等四个方面的安全测评。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安全管理测评：包括安全管理（分为制度、人员、建设和应急四个子模块）</w:t>
      </w:r>
      <w:r>
        <w:rPr>
          <w:rFonts w:hint="eastAsia" w:ascii="仿宋" w:hAnsi="仿宋" w:eastAsia="仿宋" w:cs="仿宋"/>
          <w:sz w:val="28"/>
          <w:szCs w:val="28"/>
        </w:rPr>
        <w:t>的安全测评。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测评各阶段详细的服务内容如下表：</w:t>
      </w:r>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459"/>
        <w:gridCol w:w="1752"/>
        <w:gridCol w:w="45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719" w:type="dxa"/>
            <w:shd w:val="clear" w:color="000000" w:fill="FFFFFF"/>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457" w:type="dxa"/>
            <w:shd w:val="clear" w:color="000000" w:fill="FFFFFF"/>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测评阶段</w:t>
            </w:r>
          </w:p>
        </w:tc>
        <w:tc>
          <w:tcPr>
            <w:tcW w:w="1750" w:type="dxa"/>
            <w:shd w:val="clear" w:color="000000" w:fill="FFFFFF"/>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测评类</w:t>
            </w:r>
          </w:p>
        </w:tc>
        <w:tc>
          <w:tcPr>
            <w:tcW w:w="4596" w:type="dxa"/>
            <w:shd w:val="clear" w:color="000000" w:fill="FFFFFF"/>
            <w:vAlign w:val="center"/>
          </w:tcPr>
          <w:p>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 w:hRule="atLeast"/>
        </w:trPr>
        <w:tc>
          <w:tcPr>
            <w:tcW w:w="719" w:type="dxa"/>
            <w:shd w:val="clear" w:color="000000" w:fill="FFFFFF"/>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57"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评估准备</w:t>
            </w:r>
          </w:p>
        </w:tc>
        <w:tc>
          <w:tcPr>
            <w:tcW w:w="1750" w:type="dxa"/>
            <w:shd w:val="clear" w:color="000000" w:fill="FFFFFF"/>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准备阶段</w:t>
            </w:r>
          </w:p>
        </w:tc>
        <w:tc>
          <w:tcPr>
            <w:tcW w:w="4596"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编制项目计划书、收集被测系统基本资料并完成调查表格，分析调查结果，准备工具和评估表单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0" w:hRule="atLeast"/>
        </w:trPr>
        <w:tc>
          <w:tcPr>
            <w:tcW w:w="719" w:type="dxa"/>
            <w:shd w:val="clear" w:color="000000" w:fill="FFFFFF"/>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57"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方案编制</w:t>
            </w:r>
          </w:p>
        </w:tc>
        <w:tc>
          <w:tcPr>
            <w:tcW w:w="1750" w:type="dxa"/>
            <w:shd w:val="clear" w:color="000000" w:fill="FFFFFF"/>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评估方案编制</w:t>
            </w:r>
          </w:p>
        </w:tc>
        <w:tc>
          <w:tcPr>
            <w:tcW w:w="4596"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识别并描述被测系统基本情况、确定测评对象、资产和威胁评估、系统定级结果和测评指标、确定检查点和检查方法、确定单元测评内容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0" w:hRule="atLeast"/>
        </w:trPr>
        <w:tc>
          <w:tcPr>
            <w:tcW w:w="719" w:type="dxa"/>
            <w:shd w:val="clear" w:color="000000" w:fill="FFFFFF"/>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w:t>
            </w:r>
          </w:p>
        </w:tc>
        <w:tc>
          <w:tcPr>
            <w:tcW w:w="1457"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总体测评</w:t>
            </w:r>
          </w:p>
        </w:tc>
        <w:tc>
          <w:tcPr>
            <w:tcW w:w="1750" w:type="dxa"/>
            <w:shd w:val="clear" w:color="000000" w:fill="FFFFFF"/>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总体要求</w:t>
            </w:r>
          </w:p>
        </w:tc>
        <w:tc>
          <w:tcPr>
            <w:tcW w:w="4596" w:type="dxa"/>
            <w:shd w:val="clear" w:color="000000" w:fill="FFFFFF"/>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通过访谈、配置检查和工具测试的方式评估信息系统的密码算法、密码技术、密码产品和密码服务的合规性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719" w:type="dxa"/>
            <w:vMerge w:val="restart"/>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w:t>
            </w:r>
          </w:p>
        </w:tc>
        <w:tc>
          <w:tcPr>
            <w:tcW w:w="1457" w:type="dxa"/>
            <w:vMerge w:val="restart"/>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安全技术测评</w:t>
            </w: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物理和环境安全</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通过访谈、配置检查和工具测试的方式测评信息系统机房环境的安全情况。主要涉及对象为机房环境的电子门禁系统。本次评测包括电子门禁的身份鉴别和电子门禁记录的完整性保护。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0" w:hRule="atLeast"/>
        </w:trPr>
        <w:tc>
          <w:tcPr>
            <w:tcW w:w="719" w:type="dxa"/>
            <w:vMerge w:val="continue"/>
            <w:vAlign w:val="center"/>
          </w:tcPr>
          <w:p>
            <w:pPr>
              <w:widowControl/>
              <w:jc w:val="left"/>
              <w:rPr>
                <w:rFonts w:hint="eastAsia" w:ascii="仿宋" w:hAnsi="仿宋" w:eastAsia="仿宋" w:cs="宋体"/>
                <w:color w:val="000000"/>
                <w:kern w:val="0"/>
                <w:sz w:val="24"/>
                <w:szCs w:val="24"/>
              </w:rPr>
            </w:pPr>
          </w:p>
        </w:tc>
        <w:tc>
          <w:tcPr>
            <w:tcW w:w="1457" w:type="dxa"/>
            <w:vMerge w:val="continue"/>
            <w:vAlign w:val="center"/>
          </w:tcPr>
          <w:p>
            <w:pPr>
              <w:widowControl/>
              <w:jc w:val="left"/>
              <w:rPr>
                <w:rFonts w:hint="eastAsia" w:ascii="仿宋" w:hAnsi="仿宋" w:eastAsia="仿宋" w:cs="宋体"/>
                <w:color w:val="000000"/>
                <w:kern w:val="0"/>
                <w:sz w:val="24"/>
                <w:szCs w:val="24"/>
              </w:rPr>
            </w:pP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网络和通信安全</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通过访谈、配置检查和工具测试的方式测评信息系统的网络和通信安全保障情况。本次重点测评包括通信对象的身份鉴别、访问控制信息完整性、通信数据完整性和通信数据机密性等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0" w:hRule="atLeast"/>
        </w:trPr>
        <w:tc>
          <w:tcPr>
            <w:tcW w:w="719" w:type="dxa"/>
            <w:vMerge w:val="continue"/>
            <w:vAlign w:val="center"/>
          </w:tcPr>
          <w:p>
            <w:pPr>
              <w:widowControl/>
              <w:jc w:val="left"/>
              <w:rPr>
                <w:rFonts w:hint="eastAsia" w:ascii="仿宋" w:hAnsi="仿宋" w:eastAsia="仿宋" w:cs="宋体"/>
                <w:color w:val="000000"/>
                <w:kern w:val="0"/>
                <w:sz w:val="24"/>
                <w:szCs w:val="24"/>
              </w:rPr>
            </w:pPr>
          </w:p>
        </w:tc>
        <w:tc>
          <w:tcPr>
            <w:tcW w:w="1457" w:type="dxa"/>
            <w:vMerge w:val="continue"/>
            <w:vAlign w:val="center"/>
          </w:tcPr>
          <w:p>
            <w:pPr>
              <w:widowControl/>
              <w:jc w:val="left"/>
              <w:rPr>
                <w:rFonts w:hint="eastAsia" w:ascii="仿宋" w:hAnsi="仿宋" w:eastAsia="仿宋" w:cs="宋体"/>
                <w:color w:val="000000"/>
                <w:kern w:val="0"/>
                <w:sz w:val="24"/>
                <w:szCs w:val="24"/>
              </w:rPr>
            </w:pP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设备和计算安全</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5" w:hRule="atLeast"/>
        </w:trPr>
        <w:tc>
          <w:tcPr>
            <w:tcW w:w="719" w:type="dxa"/>
            <w:vMerge w:val="continue"/>
            <w:vAlign w:val="center"/>
          </w:tcPr>
          <w:p>
            <w:pPr>
              <w:widowControl/>
              <w:jc w:val="left"/>
              <w:rPr>
                <w:rFonts w:hint="eastAsia" w:ascii="仿宋" w:hAnsi="仿宋" w:eastAsia="仿宋" w:cs="宋体"/>
                <w:color w:val="000000"/>
                <w:kern w:val="0"/>
                <w:sz w:val="24"/>
                <w:szCs w:val="24"/>
              </w:rPr>
            </w:pPr>
          </w:p>
        </w:tc>
        <w:tc>
          <w:tcPr>
            <w:tcW w:w="1457" w:type="dxa"/>
            <w:vMerge w:val="continue"/>
            <w:vAlign w:val="center"/>
          </w:tcPr>
          <w:p>
            <w:pPr>
              <w:widowControl/>
              <w:jc w:val="left"/>
              <w:rPr>
                <w:rFonts w:hint="eastAsia" w:ascii="仿宋" w:hAnsi="仿宋" w:eastAsia="仿宋" w:cs="宋体"/>
                <w:color w:val="000000"/>
                <w:kern w:val="0"/>
                <w:sz w:val="24"/>
                <w:szCs w:val="24"/>
              </w:rPr>
            </w:pP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应用和数据安全</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将通过访谈、配置检查的方式测评信息系统的数据安全保障情况，主要涉及对象为信息系统的管理数据及业务数据等</w:t>
            </w:r>
            <w:r>
              <w:rPr>
                <w:rFonts w:ascii="仿宋" w:hAnsi="仿宋" w:eastAsia="仿宋" w:cs="宋体"/>
                <w:color w:val="000000"/>
                <w:kern w:val="0"/>
                <w:sz w:val="24"/>
                <w:szCs w:val="24"/>
              </w:rPr>
              <w:t>,本次重点测评包括信息系统身份鉴别、访问控制信息完整性、数据传输机密性、数据存储机密性、数据传输完整性、数据存储完整性、日志记录完整性等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719" w:type="dxa"/>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w:t>
            </w:r>
          </w:p>
        </w:tc>
        <w:tc>
          <w:tcPr>
            <w:tcW w:w="1457"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安全管理测评</w:t>
            </w: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安全管理</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安全管理部分为全局性问题，涉及密码安全管理制度、密码安全管理人员、系统实施和系统应急管理等四个方面。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3" w:hRule="atLeast"/>
        </w:trPr>
        <w:tc>
          <w:tcPr>
            <w:tcW w:w="719" w:type="dxa"/>
            <w:vAlign w:val="center"/>
          </w:tcPr>
          <w:p>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w:t>
            </w:r>
          </w:p>
        </w:tc>
        <w:tc>
          <w:tcPr>
            <w:tcW w:w="1457"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分析报告阶段</w:t>
            </w:r>
          </w:p>
        </w:tc>
        <w:tc>
          <w:tcPr>
            <w:tcW w:w="1750" w:type="dxa"/>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报告编制</w:t>
            </w:r>
          </w:p>
        </w:tc>
        <w:tc>
          <w:tcPr>
            <w:tcW w:w="4596" w:type="dxa"/>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根据测评编制《信息系统商用密码应用安全性评估报告》，包括：概述、被测系统描述、测评对象说明、测评指标说明、测评内容和方法说明、单元测评的结果记录及结果汇总、整体测评、测评结果汇总、风险分析、评估结论等内容。</w:t>
            </w:r>
          </w:p>
        </w:tc>
      </w:tr>
    </w:tbl>
    <w:p>
      <w:pPr>
        <w:ind w:firstLine="560" w:firstLineChars="200"/>
        <w:rPr>
          <w:rFonts w:hint="eastAsia" w:ascii="仿宋" w:hAnsi="仿宋" w:eastAsia="仿宋" w:cs="仿宋"/>
          <w:sz w:val="28"/>
          <w:szCs w:val="28"/>
        </w:rPr>
      </w:pPr>
    </w:p>
    <w:p>
      <w:pPr>
        <w:pStyle w:val="3"/>
        <w:ind w:left="0"/>
        <w:rPr>
          <w:rFonts w:hint="eastAsia" w:ascii="仿宋" w:hAnsi="仿宋" w:cs="仿宋"/>
        </w:rPr>
      </w:pPr>
      <w:r>
        <w:rPr>
          <w:rFonts w:hint="eastAsia" w:ascii="仿宋" w:hAnsi="仿宋" w:cs="仿宋"/>
        </w:rPr>
        <w:t>服务要求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lang w:val="en-GB"/>
        </w:rPr>
        <w:t>服务提供方</w:t>
      </w:r>
      <w:r>
        <w:rPr>
          <w:rFonts w:ascii="仿宋" w:hAnsi="仿宋" w:eastAsia="仿宋" w:cs="仿宋"/>
          <w:sz w:val="28"/>
          <w:szCs w:val="28"/>
        </w:rPr>
        <w:t>应详细描述本次项目的整体实施方案，包括项目概述、密评方案、测试过程中需使</w:t>
      </w:r>
      <w:r>
        <w:rPr>
          <w:rFonts w:hint="eastAsia" w:ascii="仿宋" w:hAnsi="仿宋" w:eastAsia="仿宋" w:cs="仿宋"/>
          <w:sz w:val="28"/>
          <w:szCs w:val="28"/>
        </w:rPr>
        <w:t>用测试设备清单、</w:t>
      </w:r>
      <w:r>
        <w:rPr>
          <w:rFonts w:ascii="仿宋" w:hAnsi="仿宋" w:eastAsia="仿宋" w:cs="仿宋"/>
          <w:sz w:val="28"/>
          <w:szCs w:val="28"/>
        </w:rPr>
        <w:t>时间安排</w:t>
      </w:r>
      <w:r>
        <w:rPr>
          <w:rFonts w:hint="eastAsia" w:ascii="仿宋" w:hAnsi="仿宋" w:eastAsia="仿宋" w:cs="仿宋"/>
          <w:sz w:val="28"/>
          <w:szCs w:val="28"/>
        </w:rPr>
        <w:t>、</w:t>
      </w:r>
      <w:r>
        <w:rPr>
          <w:rFonts w:ascii="仿宋" w:hAnsi="仿宋" w:eastAsia="仿宋" w:cs="仿宋"/>
          <w:sz w:val="28"/>
          <w:szCs w:val="28"/>
        </w:rPr>
        <w:t>阶段性文档提交和验收标准等。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lang w:val="en-GB"/>
        </w:rPr>
        <w:t>服务提供方</w:t>
      </w:r>
      <w:r>
        <w:rPr>
          <w:rFonts w:ascii="仿宋" w:hAnsi="仿宋" w:eastAsia="仿宋" w:cs="仿宋"/>
          <w:sz w:val="28"/>
          <w:szCs w:val="28"/>
        </w:rPr>
        <w:t>应详细描述实施人员的组成、资质及各自职责的划分。</w:t>
      </w:r>
      <w:r>
        <w:rPr>
          <w:rFonts w:hint="eastAsia" w:ascii="仿宋" w:hAnsi="仿宋" w:eastAsia="仿宋" w:cs="仿宋"/>
          <w:sz w:val="28"/>
          <w:szCs w:val="28"/>
          <w:lang w:val="en-GB"/>
        </w:rPr>
        <w:t>服务提供方</w:t>
      </w:r>
      <w:r>
        <w:rPr>
          <w:rFonts w:ascii="仿宋" w:hAnsi="仿宋" w:eastAsia="仿宋" w:cs="仿宋"/>
          <w:sz w:val="28"/>
          <w:szCs w:val="28"/>
        </w:rPr>
        <w:t>应配置有经验的技术</w:t>
      </w:r>
      <w:r>
        <w:rPr>
          <w:rFonts w:hint="eastAsia" w:ascii="仿宋" w:hAnsi="仿宋" w:eastAsia="仿宋" w:cs="仿宋"/>
          <w:sz w:val="28"/>
          <w:szCs w:val="28"/>
        </w:rPr>
        <w:t>人员进行本次项目</w:t>
      </w:r>
      <w:r>
        <w:rPr>
          <w:rFonts w:ascii="仿宋" w:hAnsi="仿宋" w:eastAsia="仿宋" w:cs="仿宋"/>
          <w:sz w:val="28"/>
          <w:szCs w:val="28"/>
        </w:rPr>
        <w:t>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3）本次项目实施过程中所使用到的各种工具软件由服务提供方推荐</w:t>
      </w:r>
      <w:r>
        <w:rPr>
          <w:rFonts w:hint="eastAsia" w:ascii="仿宋" w:hAnsi="仿宋" w:eastAsia="仿宋" w:cs="仿宋"/>
          <w:sz w:val="28"/>
          <w:szCs w:val="28"/>
        </w:rPr>
        <w:t>，</w:t>
      </w:r>
      <w:r>
        <w:rPr>
          <w:rFonts w:ascii="仿宋" w:hAnsi="仿宋" w:eastAsia="仿宋" w:cs="仿宋"/>
          <w:sz w:val="28"/>
          <w:szCs w:val="28"/>
        </w:rPr>
        <w:t>经采购人确认后由服务提供方提</w:t>
      </w:r>
      <w:r>
        <w:rPr>
          <w:rFonts w:hint="eastAsia" w:ascii="仿宋" w:hAnsi="仿宋" w:eastAsia="仿宋" w:cs="仿宋"/>
          <w:sz w:val="28"/>
          <w:szCs w:val="28"/>
        </w:rPr>
        <w:t>供并在项目中使用。</w:t>
      </w:r>
      <w:r>
        <w:rPr>
          <w:rFonts w:ascii="仿宋" w:hAnsi="仿宋" w:eastAsia="仿宋" w:cs="仿宋"/>
          <w:sz w:val="28"/>
          <w:szCs w:val="28"/>
        </w:rPr>
        <w:t>在响应文件中应详细描述所使用的安全技术工具（软硬件型号、功能和性能描述）、</w:t>
      </w:r>
      <w:r>
        <w:rPr>
          <w:rFonts w:hint="eastAsia" w:ascii="仿宋" w:hAnsi="仿宋" w:eastAsia="仿宋" w:cs="仿宋"/>
          <w:sz w:val="28"/>
          <w:szCs w:val="28"/>
        </w:rPr>
        <w:t>使用的方式和时间、</w:t>
      </w:r>
      <w:r>
        <w:rPr>
          <w:rFonts w:ascii="仿宋" w:hAnsi="仿宋" w:eastAsia="仿宋" w:cs="仿宋"/>
          <w:sz w:val="28"/>
          <w:szCs w:val="28"/>
        </w:rPr>
        <w:t>对环境和平台的要求以及使用可能对系统造成的风险等。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w:t>
      </w:r>
      <w:r>
        <w:rPr>
          <w:rFonts w:ascii="仿宋" w:hAnsi="仿宋" w:eastAsia="仿宋" w:cs="仿宋"/>
          <w:sz w:val="28"/>
          <w:szCs w:val="28"/>
        </w:rPr>
        <w:t>本次项目实施过程中所使用到的测评工具，应包括</w:t>
      </w:r>
      <w:r>
        <w:rPr>
          <w:rFonts w:hint="eastAsia" w:ascii="仿宋" w:hAnsi="仿宋" w:eastAsia="仿宋" w:cs="仿宋"/>
          <w:sz w:val="28"/>
          <w:szCs w:val="28"/>
        </w:rPr>
        <w:t>自主</w:t>
      </w:r>
      <w:r>
        <w:rPr>
          <w:rFonts w:ascii="仿宋" w:hAnsi="仿宋" w:eastAsia="仿宋" w:cs="仿宋"/>
          <w:sz w:val="28"/>
          <w:szCs w:val="28"/>
        </w:rPr>
        <w:t>密码专用检测工具、 漏洞</w:t>
      </w:r>
      <w:r>
        <w:rPr>
          <w:rFonts w:hint="eastAsia" w:ascii="仿宋" w:hAnsi="仿宋" w:eastAsia="仿宋" w:cs="仿宋"/>
          <w:sz w:val="28"/>
          <w:szCs w:val="28"/>
        </w:rPr>
        <w:t>扫描工具等获得许可的检测工具，</w:t>
      </w:r>
      <w:r>
        <w:rPr>
          <w:rFonts w:ascii="仿宋" w:hAnsi="仿宋" w:eastAsia="仿宋" w:cs="仿宋"/>
          <w:sz w:val="28"/>
          <w:szCs w:val="28"/>
        </w:rPr>
        <w:t>对系统数据进行分析，并以分析结果辅证评估报告。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5）安全技术工具软件运行可能需要的硬件平台（如笔记本电脑、PC、工作站等）和操作系统</w:t>
      </w:r>
      <w:r>
        <w:rPr>
          <w:rFonts w:hint="eastAsia" w:ascii="仿宋" w:hAnsi="仿宋" w:eastAsia="仿宋" w:cs="仿宋"/>
          <w:sz w:val="28"/>
          <w:szCs w:val="28"/>
        </w:rPr>
        <w:t>软件等由服务提供方推荐，</w:t>
      </w:r>
      <w:r>
        <w:rPr>
          <w:rFonts w:ascii="仿宋" w:hAnsi="仿宋" w:eastAsia="仿宋" w:cs="仿宋"/>
          <w:sz w:val="28"/>
          <w:szCs w:val="28"/>
        </w:rPr>
        <w:t>经采购人确认后由服务提供方提供并在项目中使用。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6）项目实施需要的运行环境（如场地</w:t>
      </w:r>
      <w:r>
        <w:rPr>
          <w:rFonts w:hint="eastAsia" w:ascii="仿宋" w:hAnsi="仿宋" w:eastAsia="仿宋" w:cs="仿宋"/>
          <w:sz w:val="28"/>
          <w:szCs w:val="28"/>
        </w:rPr>
        <w:t>、</w:t>
      </w:r>
      <w:r>
        <w:rPr>
          <w:rFonts w:ascii="仿宋" w:hAnsi="仿宋" w:eastAsia="仿宋" w:cs="仿宋"/>
          <w:sz w:val="28"/>
          <w:szCs w:val="28"/>
        </w:rPr>
        <w:t>网络环境等）由采购人提供，服务提供方应详细描述需要</w:t>
      </w:r>
      <w:r>
        <w:rPr>
          <w:rFonts w:hint="eastAsia" w:ascii="仿宋" w:hAnsi="仿宋" w:eastAsia="仿宋" w:cs="仿宋"/>
          <w:sz w:val="28"/>
          <w:szCs w:val="28"/>
        </w:rPr>
        <w:t>的运行环境的具体要求。</w:t>
      </w:r>
    </w:p>
    <w:p>
      <w:pPr>
        <w:pStyle w:val="3"/>
        <w:ind w:left="0"/>
        <w:rPr>
          <w:rFonts w:hint="eastAsia" w:ascii="仿宋" w:hAnsi="仿宋" w:cs="仿宋"/>
        </w:rPr>
      </w:pPr>
      <w:r>
        <w:rPr>
          <w:rFonts w:hint="eastAsia" w:ascii="仿宋" w:hAnsi="仿宋" w:cs="仿宋"/>
        </w:rPr>
        <w:t>服务计划</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根据测评对象性质制定项目实施计划，6月底应完成总体服务内容的60%，9月底应完成总体服务内容的90%，10月底应完成总体服务内容的100%。</w:t>
      </w:r>
    </w:p>
    <w:p/>
    <w:p>
      <w:pPr>
        <w:pStyle w:val="2"/>
        <w:ind w:left="0"/>
        <w:rPr>
          <w:rFonts w:hint="eastAsia" w:ascii="仿宋" w:hAnsi="仿宋" w:eastAsia="仿宋" w:cs="仿宋"/>
          <w:bCs w:val="0"/>
          <w:szCs w:val="32"/>
        </w:rPr>
      </w:pPr>
      <w:r>
        <w:rPr>
          <w:rFonts w:hint="eastAsia" w:ascii="仿宋" w:hAnsi="仿宋" w:eastAsia="仿宋" w:cs="仿宋"/>
          <w:bCs w:val="0"/>
          <w:szCs w:val="32"/>
        </w:rPr>
        <w:t>服务需求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按照二分中心2026年商用密码应用安全性评估工作要求，完成不少于58个子系统密码应用安全性评估服务，出具符合规范的《密码应用安全性评估报告》，提供密码应用技术支撑并协助第二分中心各信息化服务团队开展密码应用安全整改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服务方式：远程与现场相结合的方式。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服务交付物：《商用密码应用安全性评估服务总体实施方案》、《商用密码应用安全性评估报告》（按测评信息系统出具）、《密码应用安全性评估服务年度总结报告》</w:t>
      </w:r>
    </w:p>
    <w:p>
      <w:pPr>
        <w:pStyle w:val="2"/>
        <w:ind w:left="0"/>
        <w:rPr>
          <w:rFonts w:hint="eastAsia" w:ascii="仿宋" w:hAnsi="仿宋" w:eastAsia="仿宋" w:cs="仿宋"/>
        </w:rPr>
      </w:pPr>
      <w:r>
        <w:rPr>
          <w:rFonts w:hint="eastAsia" w:ascii="仿宋" w:hAnsi="仿宋" w:eastAsia="仿宋" w:cs="仿宋"/>
        </w:rPr>
        <w:t>服务质量考核</w:t>
      </w:r>
      <w:bookmarkEnd w:id="4"/>
      <w:r>
        <w:rPr>
          <w:rFonts w:hint="eastAsia" w:ascii="仿宋" w:hAnsi="仿宋" w:eastAsia="仿宋" w:cs="仿宋"/>
        </w:rPr>
        <w:t>要求</w:t>
      </w:r>
    </w:p>
    <w:p>
      <w:pPr>
        <w:ind w:firstLine="562" w:firstLineChars="200"/>
        <w:rPr>
          <w:rFonts w:hint="eastAsia" w:ascii="仿宋" w:hAnsi="仿宋" w:eastAsia="仿宋" w:cs="仿宋"/>
          <w:b/>
          <w:sz w:val="28"/>
          <w:szCs w:val="28"/>
        </w:rPr>
      </w:pPr>
      <w:r>
        <w:rPr>
          <w:rFonts w:hint="eastAsia" w:ascii="仿宋" w:hAnsi="仿宋" w:eastAsia="仿宋" w:cs="仿宋"/>
          <w:b/>
          <w:sz w:val="28"/>
          <w:szCs w:val="28"/>
        </w:rPr>
        <w:t>考核内容：</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1、合同要求的实施工作的整体完成情况（范围、进度、质量、风险等）；</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2、团队组织架构、岗位设置和人员安排情况；</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3、项目实施过程中对用户服务请求的处理和用户投诉情况；</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4、项目实施过程中对应急事件的处置情况；</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5、项目服务计划的达标情况；</w:t>
      </w:r>
    </w:p>
    <w:p>
      <w:pPr>
        <w:pStyle w:val="31"/>
        <w:ind w:left="560" w:firstLine="0" w:firstLineChars="0"/>
        <w:rPr>
          <w:rFonts w:hint="eastAsia" w:ascii="仿宋" w:hAnsi="仿宋" w:eastAsia="仿宋" w:cs="仿宋"/>
          <w:sz w:val="28"/>
          <w:szCs w:val="28"/>
        </w:rPr>
      </w:pPr>
      <w:r>
        <w:rPr>
          <w:rFonts w:hint="eastAsia" w:ascii="仿宋" w:hAnsi="仿宋" w:eastAsia="仿宋" w:cs="仿宋"/>
          <w:sz w:val="28"/>
          <w:szCs w:val="28"/>
        </w:rPr>
        <w:t>6、项目验收及过程性文档的质量情况。</w:t>
      </w:r>
    </w:p>
    <w:p>
      <w:pPr>
        <w:rPr>
          <w:rFonts w:hint="eastAsia" w:ascii="仿宋" w:hAnsi="仿宋" w:eastAsia="仿宋" w:cs="仿宋"/>
          <w:sz w:val="30"/>
          <w:szCs w:val="30"/>
        </w:rPr>
      </w:pPr>
    </w:p>
    <w:p>
      <w:pPr>
        <w:ind w:firstLine="562" w:firstLineChars="200"/>
        <w:rPr>
          <w:rFonts w:hint="eastAsia" w:ascii="仿宋" w:hAnsi="仿宋" w:eastAsia="仿宋" w:cs="仿宋"/>
          <w:b/>
          <w:sz w:val="28"/>
          <w:szCs w:val="28"/>
        </w:rPr>
      </w:pPr>
      <w:r>
        <w:rPr>
          <w:rFonts w:hint="eastAsia" w:ascii="仿宋" w:hAnsi="仿宋" w:eastAsia="仿宋" w:cs="仿宋"/>
          <w:b/>
          <w:sz w:val="28"/>
          <w:szCs w:val="28"/>
        </w:rPr>
        <w:t>考核方式：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由上海市大数据中心信息化服务第二分中心组织考核，结合项目负责人、用户方、监理方和项目管理小组的意见出具考核结果。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服务质量的考核结果将作为支付合同金额的依据之一。服务质量考核结果为优秀和良好的按合同金额100%支付，服务质量考核结果为一般的按合同金额97%为上限支付。</w:t>
      </w:r>
    </w:p>
    <w:p>
      <w:pPr>
        <w:pStyle w:val="2"/>
        <w:ind w:left="0"/>
        <w:rPr>
          <w:rFonts w:hint="eastAsia" w:ascii="仿宋" w:hAnsi="仿宋" w:eastAsia="仿宋" w:cs="仿宋"/>
        </w:rPr>
      </w:pPr>
      <w:bookmarkStart w:id="5" w:name="_Toc69194684"/>
      <w:r>
        <w:rPr>
          <w:rFonts w:hint="eastAsia" w:ascii="仿宋" w:hAnsi="仿宋" w:eastAsia="仿宋" w:cs="仿宋"/>
        </w:rPr>
        <w:t>验收</w:t>
      </w:r>
      <w:bookmarkEnd w:id="5"/>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商用密码应用安全性评估工作期限终止时，服务提供方应当以书面形式向用户方提交商用密码应用安全性评估总结报告。用户方在收到服务提供方提交的密码应用安全性评估资料（服务周期内的服务过程文档和服务总结报告等）后20个工作日内，对服务提供方的工作进行验收。如属于服务提供方原因致使商用密码应用安全性评估服务未能通过验收的，服务提供方应当在15个工作日内进行整改，并自行承担相关商用密码应用安全性评估相关费用，再次接受用户方的验收，直至符合约定要求。</w:t>
      </w:r>
    </w:p>
    <w:p>
      <w:pPr>
        <w:pStyle w:val="2"/>
        <w:ind w:left="0"/>
        <w:rPr>
          <w:rFonts w:hint="eastAsia" w:ascii="仿宋" w:hAnsi="仿宋" w:eastAsia="仿宋" w:cs="仿宋"/>
        </w:rPr>
      </w:pPr>
      <w:bookmarkStart w:id="6" w:name="_Toc69194685"/>
      <w:r>
        <w:rPr>
          <w:rFonts w:hint="eastAsia" w:ascii="仿宋" w:hAnsi="仿宋" w:eastAsia="仿宋" w:cs="仿宋"/>
        </w:rPr>
        <w:t>服务组织和人员</w:t>
      </w:r>
      <w:bookmarkEnd w:id="6"/>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密码测评服务团队至少配备8名密码测评服务人员，其中项目负责人1人，测评人员6人，保密和档案管理员1人。具体人员如下：</w:t>
      </w:r>
    </w:p>
    <w:tbl>
      <w:tblPr>
        <w:tblStyle w:val="25"/>
        <w:tblpPr w:leftFromText="180" w:rightFromText="180" w:vertAnchor="text" w:horzAnchor="page" w:tblpX="1170" w:tblpY="285"/>
        <w:tblOverlap w:val="never"/>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716"/>
        <w:gridCol w:w="840"/>
        <w:gridCol w:w="33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8" w:type="dxa"/>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角色</w:t>
            </w:r>
          </w:p>
        </w:tc>
        <w:tc>
          <w:tcPr>
            <w:tcW w:w="2716" w:type="dxa"/>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主要职责</w:t>
            </w:r>
          </w:p>
        </w:tc>
        <w:tc>
          <w:tcPr>
            <w:tcW w:w="840" w:type="dxa"/>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人数</w:t>
            </w:r>
          </w:p>
        </w:tc>
        <w:tc>
          <w:tcPr>
            <w:tcW w:w="3382" w:type="dxa"/>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人员要求</w:t>
            </w:r>
          </w:p>
        </w:tc>
        <w:tc>
          <w:tcPr>
            <w:tcW w:w="1407" w:type="dxa"/>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项目负责人</w:t>
            </w:r>
          </w:p>
        </w:tc>
        <w:tc>
          <w:tcPr>
            <w:tcW w:w="271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负责制定项目计划方案，管控项目实施进度、团队人员日常管理，协调处理项目过程中遇到的各类问题。</w:t>
            </w:r>
          </w:p>
        </w:tc>
        <w:tc>
          <w:tcPr>
            <w:tcW w:w="84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3382" w:type="dxa"/>
            <w:vAlign w:val="center"/>
          </w:tcPr>
          <w:p>
            <w:pPr>
              <w:rPr>
                <w:rFonts w:hint="eastAsia" w:ascii="仿宋" w:hAnsi="仿宋" w:eastAsia="仿宋" w:cs="仿宋"/>
                <w:sz w:val="28"/>
                <w:szCs w:val="28"/>
              </w:rPr>
            </w:pPr>
            <w:r>
              <w:rPr>
                <w:rFonts w:hint="eastAsia" w:ascii="仿宋" w:hAnsi="仿宋" w:eastAsia="仿宋" w:cs="仿宋"/>
                <w:sz w:val="28"/>
                <w:szCs w:val="28"/>
              </w:rPr>
              <w:t>通过商用密码应用测评人员测评能力考核，具备信息安全高级工程师职称证书；</w:t>
            </w:r>
            <w:bookmarkStart w:id="14" w:name="_GoBack"/>
            <w:r>
              <w:rPr>
                <w:rFonts w:hint="eastAsia" w:ascii="仿宋" w:hAnsi="仿宋" w:eastAsia="仿宋" w:cs="仿宋"/>
                <w:sz w:val="28"/>
                <w:szCs w:val="28"/>
              </w:rPr>
              <w:t>具备密码学或计算相关专业硕士以上学历</w:t>
            </w:r>
            <w:bookmarkEnd w:id="14"/>
            <w:r>
              <w:rPr>
                <w:rFonts w:hint="eastAsia" w:ascii="仿宋" w:hAnsi="仿宋" w:eastAsia="仿宋" w:cs="仿宋"/>
                <w:sz w:val="28"/>
                <w:szCs w:val="28"/>
              </w:rPr>
              <w:t>；具备5年及以上商用密码应用安全性评估经验；</w:t>
            </w:r>
          </w:p>
        </w:tc>
        <w:tc>
          <w:tcPr>
            <w:tcW w:w="1407" w:type="dxa"/>
            <w:vAlign w:val="center"/>
          </w:tcPr>
          <w:p>
            <w:pPr>
              <w:jc w:val="center"/>
              <w:rPr>
                <w:rFonts w:hint="eastAsia" w:ascii="仿宋" w:hAnsi="仿宋" w:eastAsia="仿宋" w:cs="仿宋"/>
                <w:sz w:val="28"/>
                <w:szCs w:val="28"/>
              </w:rPr>
            </w:pPr>
            <w:bookmarkStart w:id="7" w:name="OLE_LINK5"/>
            <w:r>
              <w:rPr>
                <w:rFonts w:hint="eastAsia" w:ascii="仿宋" w:hAnsi="仿宋" w:eastAsia="仿宋" w:cs="仿宋"/>
                <w:sz w:val="28"/>
                <w:szCs w:val="28"/>
              </w:rPr>
              <w:t>不驻场</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27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测评</w:t>
            </w:r>
          </w:p>
          <w:p>
            <w:pPr>
              <w:jc w:val="center"/>
              <w:rPr>
                <w:rFonts w:hint="eastAsia" w:ascii="仿宋" w:hAnsi="仿宋" w:eastAsia="仿宋" w:cs="仿宋"/>
                <w:sz w:val="28"/>
                <w:szCs w:val="28"/>
              </w:rPr>
            </w:pPr>
            <w:r>
              <w:rPr>
                <w:rFonts w:hint="eastAsia" w:ascii="仿宋" w:hAnsi="仿宋" w:eastAsia="仿宋" w:cs="仿宋"/>
                <w:sz w:val="28"/>
                <w:szCs w:val="28"/>
              </w:rPr>
              <w:t>人员</w:t>
            </w:r>
          </w:p>
        </w:tc>
        <w:tc>
          <w:tcPr>
            <w:tcW w:w="271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负责项目实施过程中技术应用的测评工作。</w:t>
            </w:r>
          </w:p>
        </w:tc>
        <w:tc>
          <w:tcPr>
            <w:tcW w:w="84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3382" w:type="dxa"/>
            <w:vAlign w:val="center"/>
          </w:tcPr>
          <w:p>
            <w:pPr>
              <w:jc w:val="left"/>
              <w:rPr>
                <w:rFonts w:hint="eastAsia" w:ascii="仿宋" w:hAnsi="仿宋" w:eastAsia="仿宋" w:cs="仿宋"/>
                <w:sz w:val="28"/>
                <w:szCs w:val="28"/>
              </w:rPr>
            </w:pPr>
            <w:r>
              <w:rPr>
                <w:rFonts w:hint="eastAsia" w:ascii="仿宋" w:hAnsi="仿宋" w:eastAsia="仿宋" w:cs="仿宋"/>
                <w:sz w:val="28"/>
                <w:szCs w:val="28"/>
              </w:rPr>
              <w:t>通过商用密码应用测评人员测评能力考核，具备人社部门颁发密码相关的中级工程师职称证书；具备4年及以上商用密码应用安全性评估及经验。</w:t>
            </w:r>
          </w:p>
        </w:tc>
        <w:tc>
          <w:tcPr>
            <w:tcW w:w="140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根据实际需求进行</w:t>
            </w:r>
            <w:bookmarkStart w:id="8" w:name="OLE_LINK2"/>
            <w:r>
              <w:rPr>
                <w:rFonts w:hint="eastAsia" w:ascii="仿宋" w:hAnsi="仿宋" w:eastAsia="仿宋" w:cs="仿宋"/>
                <w:sz w:val="28"/>
                <w:szCs w:val="28"/>
              </w:rPr>
              <w:t>驻场或者远程服务</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7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档案管理员</w:t>
            </w:r>
          </w:p>
        </w:tc>
        <w:tc>
          <w:tcPr>
            <w:tcW w:w="271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负责对项目档案的接收、分类、编目等资料档案管理工作。</w:t>
            </w:r>
          </w:p>
        </w:tc>
        <w:tc>
          <w:tcPr>
            <w:tcW w:w="84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338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通过商用密码应用测评人员测评能力考核。</w:t>
            </w:r>
          </w:p>
        </w:tc>
        <w:tc>
          <w:tcPr>
            <w:tcW w:w="140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不驻场</w:t>
            </w:r>
          </w:p>
        </w:tc>
      </w:tr>
    </w:tbl>
    <w:p>
      <w:pPr>
        <w:tabs>
          <w:tab w:val="left" w:pos="0"/>
          <w:tab w:val="left" w:pos="900"/>
        </w:tabs>
        <w:ind w:left="480"/>
        <w:rPr>
          <w:rFonts w:hint="eastAsia" w:ascii="仿宋" w:hAnsi="仿宋" w:eastAsia="仿宋" w:cs="仿宋"/>
          <w:sz w:val="24"/>
        </w:rPr>
      </w:pPr>
    </w:p>
    <w:p>
      <w:pPr>
        <w:pStyle w:val="2"/>
        <w:ind w:left="0"/>
        <w:rPr>
          <w:rFonts w:hint="eastAsia" w:ascii="仿宋" w:hAnsi="仿宋" w:eastAsia="仿宋" w:cs="仿宋"/>
          <w:kern w:val="0"/>
          <w:sz w:val="28"/>
          <w:szCs w:val="28"/>
        </w:rPr>
      </w:pPr>
      <w:bookmarkStart w:id="9" w:name="_Toc69194686"/>
      <w:r>
        <w:rPr>
          <w:rFonts w:hint="eastAsia" w:ascii="仿宋" w:hAnsi="仿宋" w:eastAsia="仿宋" w:cs="仿宋"/>
        </w:rPr>
        <w:t>服务提供方资质</w:t>
      </w:r>
      <w:bookmarkEnd w:id="9"/>
      <w:r>
        <w:rPr>
          <w:rFonts w:hint="eastAsia" w:ascii="仿宋" w:hAnsi="仿宋" w:eastAsia="仿宋" w:cs="仿宋"/>
        </w:rPr>
        <w:t>要求</w:t>
      </w:r>
    </w:p>
    <w:p>
      <w:pPr>
        <w:numPr>
          <w:ilvl w:val="0"/>
          <w:numId w:val="3"/>
        </w:num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服务提供方应须具备经国家密码管理局认定的商用密码检测机构资质证书（业务范围：商用密码应用安全性评估）；</w:t>
      </w:r>
    </w:p>
    <w:p>
      <w:pPr>
        <w:pStyle w:val="2"/>
        <w:ind w:left="0"/>
        <w:rPr>
          <w:rFonts w:hint="eastAsia" w:ascii="仿宋" w:hAnsi="仿宋" w:eastAsia="仿宋" w:cs="仿宋"/>
          <w:bCs w:val="0"/>
          <w:szCs w:val="32"/>
        </w:rPr>
      </w:pPr>
      <w:bookmarkStart w:id="10" w:name="_Toc67249662"/>
      <w:bookmarkStart w:id="11" w:name="_Toc38354903"/>
      <w:bookmarkStart w:id="12" w:name="_Toc69194690"/>
      <w:r>
        <w:rPr>
          <w:rFonts w:hint="eastAsia" w:ascii="仿宋" w:hAnsi="仿宋" w:eastAsia="仿宋" w:cs="仿宋"/>
          <w:bCs w:val="0"/>
          <w:szCs w:val="32"/>
        </w:rPr>
        <w:t>密码测评工具和模拟测评环境要求</w:t>
      </w:r>
    </w:p>
    <w:p>
      <w:pPr>
        <w:pStyle w:val="3"/>
        <w:ind w:left="0"/>
        <w:rPr>
          <w:rFonts w:hint="eastAsia" w:ascii="仿宋" w:hAnsi="仿宋" w:cs="仿宋"/>
        </w:rPr>
      </w:pPr>
      <w:r>
        <w:rPr>
          <w:rFonts w:hint="eastAsia" w:ascii="仿宋" w:hAnsi="仿宋" w:cs="仿宋"/>
        </w:rPr>
        <w:t>测评工具要求</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次项目实施过程中所使用到的测评工具，应包括具有自主知识产权或计算机软件著作权的密码检测工具（详细描述所使用工具的型号、功能、使用的方式和对环境和平台的要求以及使用可能对系统造成的风险等），对系统数据进行分析，并以分析结果辅证评估报告。</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检测工具包括但不限于以下几类：</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1、密码算法验证工具，包括国密算法SM2、SM3、SM4，常见的国际通用算法AES、DES、RSA等的验证；</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2、随机数随机性检测工具；</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3、数字证书检测工具，包括数字证书的格式的合规性验证、数字证书的证书链的检验等；</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4、网络协议分析工具；包括但不限于SSL协议、IPSec协议；包括主动协议分析工具和被动分析工具。</w:t>
      </w:r>
    </w:p>
    <w:p>
      <w:pPr>
        <w:pStyle w:val="3"/>
        <w:ind w:left="0"/>
        <w:rPr>
          <w:rFonts w:hint="eastAsia" w:ascii="仿宋" w:hAnsi="仿宋" w:cs="仿宋"/>
        </w:rPr>
      </w:pPr>
      <w:r>
        <w:rPr>
          <w:rFonts w:hint="eastAsia" w:ascii="仿宋" w:hAnsi="仿宋" w:cs="仿宋"/>
        </w:rPr>
        <w:t>模拟测评环境要求</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服务提供方具有密码测评模拟验证环境的能力及相关设备，包括但不限于以下的密码设备：</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1、SSL VPN：支持国密算法；具有商用密码产品认证证书，用于搭建SSL VPN网络，模拟SSL VPN通信信道的测评。</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2、IPSec VPN：支持国密算法；具有商用密码产品认证证书，用于搭建IPSec VPN网络，模拟IPSec VPN通信信道的测评。</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3、服务器密码机：支持国密算法；具有商用密码产品认证证书，用于实现重要数据的加解密和完整性保护，模拟重要数据加解密和完整性保护的测评。</w:t>
      </w:r>
    </w:p>
    <w:p>
      <w:pPr>
        <w:pStyle w:val="2"/>
        <w:ind w:left="0"/>
        <w:rPr>
          <w:rFonts w:hint="eastAsia" w:ascii="仿宋" w:hAnsi="仿宋" w:eastAsia="仿宋" w:cs="仿宋"/>
          <w:bCs w:val="0"/>
          <w:szCs w:val="32"/>
        </w:rPr>
      </w:pPr>
      <w:r>
        <w:rPr>
          <w:rFonts w:hint="eastAsia" w:ascii="仿宋" w:hAnsi="仿宋" w:eastAsia="仿宋" w:cs="仿宋"/>
          <w:bCs w:val="0"/>
          <w:szCs w:val="32"/>
        </w:rPr>
        <w:t>密码应用安全性评估服务管理要求</w:t>
      </w:r>
    </w:p>
    <w:p>
      <w:pPr>
        <w:pStyle w:val="3"/>
        <w:ind w:left="0"/>
        <w:rPr>
          <w:rFonts w:hint="eastAsia" w:ascii="仿宋" w:hAnsi="仿宋" w:cs="仿宋"/>
        </w:rPr>
      </w:pPr>
      <w:r>
        <w:rPr>
          <w:rFonts w:hint="eastAsia" w:ascii="仿宋" w:hAnsi="仿宋" w:cs="仿宋"/>
        </w:rPr>
        <w:t>密码应用安全性评估服务原则</w:t>
      </w:r>
    </w:p>
    <w:p>
      <w:pPr>
        <w:widowControl/>
        <w:spacing w:line="360" w:lineRule="auto"/>
        <w:ind w:firstLine="560" w:firstLineChars="200"/>
        <w:jc w:val="left"/>
        <w:textAlignment w:val="center"/>
        <w:rPr>
          <w:rFonts w:hint="eastAsia" w:ascii="仿宋" w:hAnsi="仿宋" w:eastAsia="仿宋" w:cs="仿宋"/>
        </w:rPr>
      </w:pPr>
      <w:r>
        <w:rPr>
          <w:rFonts w:hint="eastAsia" w:ascii="仿宋" w:hAnsi="仿宋" w:eastAsia="仿宋" w:cs="仿宋"/>
          <w:sz w:val="28"/>
          <w:szCs w:val="28"/>
        </w:rPr>
        <w:t>本项目商用密码应用安全性测评实施方案设计与具体实施应满足以下原则：</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1、客观公正原则：测评实施过程中测评人员应保证在最小主观判断情形下，按照测评双方认可的测评方案，基于明确定义的测评方式和解释，实施测评活动。</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2、经济性和可重用性原则：测评工作可重用已有测评结果，包括商用密码应用安全性测评结果。 所有重用结果都应以结果适用于待测评系统为前提，并能够客观反映目前系统的安全状态。</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3、可重复性和可再现性原则：依照同样的要求，使用同样的测评方法，不同的测评机构对每个测评实施过程的重复执行应得到同样的结果。可再现性和可重复性的区别在于，前者关注不同测评者测评结果的一致性， 后者则与同一测评者测评结果的一致性有关。</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4、结果完善性原则：在正确理解《GB/T39786-2021 信息安全技术信息系统密码应用基本要求》各个要求项内容的基础之上，检测所产生的结果应客观反映系统的运行状态。测评过程和结果应服从正确的测评方法，确保其满足要求。</w:t>
      </w:r>
    </w:p>
    <w:p>
      <w:pPr>
        <w:pStyle w:val="3"/>
        <w:ind w:left="0"/>
        <w:rPr>
          <w:rFonts w:hint="eastAsia" w:ascii="仿宋" w:hAnsi="仿宋" w:cs="仿宋"/>
        </w:rPr>
      </w:pPr>
      <w:r>
        <w:rPr>
          <w:rFonts w:hint="eastAsia" w:ascii="仿宋" w:hAnsi="仿宋" w:cs="仿宋"/>
        </w:rPr>
        <w:t>密码应用安全性评估服务过程及内容要求</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测评服务过程包括四项基本测评活动：测评准备活动、方案编制活动、现场测评活动、分析与报告编制活动。</w:t>
      </w:r>
      <w:bookmarkStart w:id="13" w:name="_Hlk214442345"/>
      <w:r>
        <w:rPr>
          <w:rFonts w:hint="eastAsia" w:ascii="仿宋" w:hAnsi="仿宋" w:eastAsia="仿宋" w:cs="仿宋"/>
          <w:sz w:val="28"/>
          <w:szCs w:val="28"/>
        </w:rPr>
        <w:t>包括配合网络安全上级主管部门每年的填报反馈以及上海市大数据中心的年度安全考核工作，</w:t>
      </w:r>
      <w:bookmarkEnd w:id="13"/>
      <w:r>
        <w:rPr>
          <w:rFonts w:hint="eastAsia" w:ascii="仿宋" w:hAnsi="仿宋" w:eastAsia="仿宋" w:cs="仿宋"/>
          <w:sz w:val="28"/>
          <w:szCs w:val="28"/>
        </w:rPr>
        <w:t>测评方与被测单位之间的沟通与洽谈应贯穿整个测评过程。</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1、测评准备活动 </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本活动是开展测评工作的前提和基础，主要任务是掌握被测信息系统的详细情况，准备测评工具，为编制商用密码应用安全性评估方案做好准备。 </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2、方案编制活动</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本活动是开展测评工作的关键活动，主要任务是确定与被测信息系统相适应的测评对象、测评指标、测评检查点及测评内容等，形成商用密码应用安全性评估方案，为实施现场测评提供依据。</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3、现场测评活动 </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本活动是开展测评工作的核心活动，主要任务是根据商用密码应用安全性评估方案分步实施所有测评项目，以了解被测信息系统真实的密码应用现状，获取足够的证据，发现其存在的密码应用安全性问题。 </w:t>
      </w:r>
    </w:p>
    <w:p>
      <w:pPr>
        <w:pStyle w:val="31"/>
        <w:widowControl/>
        <w:spacing w:line="360" w:lineRule="auto"/>
        <w:ind w:left="420" w:firstLine="0" w:firstLineChars="0"/>
        <w:jc w:val="left"/>
        <w:textAlignment w:val="center"/>
        <w:rPr>
          <w:rFonts w:hint="eastAsia" w:ascii="仿宋" w:hAnsi="仿宋" w:eastAsia="仿宋" w:cs="仿宋"/>
          <w:sz w:val="28"/>
          <w:szCs w:val="28"/>
        </w:rPr>
      </w:pPr>
      <w:r>
        <w:rPr>
          <w:rFonts w:hint="eastAsia" w:ascii="仿宋" w:hAnsi="仿宋" w:eastAsia="仿宋" w:cs="仿宋"/>
          <w:sz w:val="28"/>
          <w:szCs w:val="28"/>
        </w:rPr>
        <w:t>4、分析与报告编制活动</w:t>
      </w:r>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商用密码应用安全性评估报告。</w:t>
      </w:r>
    </w:p>
    <w:p>
      <w:pPr>
        <w:pStyle w:val="2"/>
        <w:ind w:left="0"/>
        <w:rPr>
          <w:rFonts w:hint="eastAsia" w:ascii="仿宋" w:hAnsi="仿宋" w:eastAsia="仿宋" w:cs="仿宋"/>
          <w:bCs w:val="0"/>
          <w:szCs w:val="32"/>
        </w:rPr>
      </w:pPr>
      <w:r>
        <w:rPr>
          <w:rFonts w:hint="eastAsia" w:ascii="仿宋" w:hAnsi="仿宋" w:eastAsia="仿宋" w:cs="仿宋"/>
          <w:bCs w:val="0"/>
          <w:szCs w:val="32"/>
        </w:rPr>
        <w:t>网络和数据安全管理要求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服务提供方在提供运维（运营）服务过程中应严格按照“同步规划、同步建设、同步使用”原则落实项目安全技术措施，将系统安全运营相关监控措施纳入方案。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若运维项目为涉密项目，服务提供方还须参考市保密部门管理要求，严格按照国家《中华人民共和国保守国家秘密法》等相关保密法律法规进行管理，并接受中心保密延伸检查。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在提供运维（运营）服务过程中，服务提供方应在中心限定的办公区域内、访问或使用中心限定的信息资产（包括但不限于场地办公设施、计算机、服务器等），并在规定的安全环境中进行数据处理、开发测试、运维监控等活动，遵守环境安全监控的要求，在开发测试工作中，不得使用真实生产数据、不得越级操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提供运维（运营）服务过程中若涉及开源软件、组件等产品的使用，服务提供方应在使用前向中心提供项目涉及产品的完整清单，并附相应产品的漏洞扫描报告、安全评估报告等证明材料，审核通过后方可使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服务提供方提供运维（运营）服务过程中须保障现有系统的网络通畅、系统可用和数据安全。严格落实网络和数据安全防护能力、密码应用、信创应用等运维、运营工作要求，配合开展系统等级保护定级、密码应用安全性评估等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服务提供方在提供运维（运营）服务过程中，被中心或第三方测评机构检测出安全漏洞、等保/密评测评未通过，服务提供方须在规定时限内完成整改并提供复测报告，逾期未整改到位的有权按中心相关管理规定作出处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5、服务提供方须提供自身的网络与数据安全管理制度、保密管理制度，并在中标后提供人员、财务及安全管理情况报告，发生造成中心及项目受影响的变动，应及时向中心报告；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6、服务提供方中标后与中心签订保密协议，同时服务提供方应对项目相关人员开展安全培训，并与该项目人员的签订保密协议，且保证用于项目实施工作的相关终端安装正版杀毒软件及防火墙；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提供运维（运营）服务过程中，服务提供方需要对收集到的所有信息严格管理，严禁在网络上传播、散布和出售，牟取商业利益；服务提供方人员不得以任何方式泄露、公开或传播项目涉及的内容及成果；不得非法篡改数据、非法入侵中心网络，不得影响数据的完整性及可用性；不得留存任何安全风险隐患；参与项目建设与质保、维修的个人，不得私自拷贝和留存上述信息副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8、指定专人负责项目实施过程中的安全工作，接受中心数据安全部门的直接管理和考核，协助开展安全检查等工作；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9、服务提供方若需互联网端功能测试，应经中心批准同意，结束后应及时关闭测试系统，删除测试数据，并将结果及时报备中心；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10、服务提供方通过项目获取到的中心数据禁止超过合同限定范围使用，以及违规转发第三方；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11、服务提供方应按中心规定申请数据服务接口，加强认证和鉴权防护，保护中心敏感数据不被泄露；</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12、服务提供方禁止将管理后台、数据库服务端口暴露在互联网；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加强对项目人员的安全管理。进入项目前，项目人员应参加安全培训并通过考核，接受背景调查，提供本人无犯罪记录证明，与中心签订保密协议。入场前，项目人员应填写入场申请，按需申请系统账号、云桌面账号和工位。入场后，项目人员应在中心规定的安全环境中进行数据处理、开发测试、运维监控等活动，遵守环境安全监控的要求，禁止共用账号、拍照等。在开发测试工作中，依据要求将生产数据脱敏使用，禁止将生产数据导入个人电脑、将中心代码或敏感数据泄露或公开。禁止个人私自搭服务端和共享网络、终端跨互联网和政务外网。禁止在互联网传输中心敏感文件。非驻场人员，按需提出入网申请，并安装终端管理工具。禁止将中心数据在个人电脑上留存使用，因需求调研或设计获取数据的，禁止将中心敏感数据外发，或存储在共有云上，数据使用后应进行销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14、服务提供方应制定并持续维护系统相关数据分类分级表，核查相关网络和数据安全防护情况，确保各项措施满足差异化安全防护要求。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15、服务提供方应配合甲方开展网络和数据安全管理制度规范制定、修订工作，并严格执行甲方安全制度要求。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16、服务提供方应在信息系统运维过程中，配合甲方开展供应链核查，根据甲方威胁情报开展供应链风险排查，及时升级、维护风险组件或软件，实时维护软件供应链物料清单及信息化资产底账。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17、服务提供方应落实业务连续性、数据流转等情况的监测工作，定期核查相关日志记录，及时发现异常访问、权限变动及数据流转异常等问题，开展应急处置，采取安全加固措施，确保网络和数据安全。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18、服务提供方应持续优化系统运行环境安全配置和安全管理策略，定期组织系统基线核查、账号及数据访问权限核查等安全自查，及时整改在安全自查、季度检查、众测等安全检查工作中发现的安全漏洞和问题隐患。乙方应配合甲方落实等保、密评、数据安全风险评估等安全测评工作，确保网络和数据安全管理工作符合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19、服务提供方应根据信息系统实际，修订网络和数据安全应急预案，建立应急响应机制，定期开展系统备份和数据备份操作，组织安全事件应急演练和数据备份恢复演练，常态化落实应急响应以及重大活动时期保障工作，确保系统安全、稳定运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20、服务提供方应按照甲方场地及人员管理制度，加强人员管理，并配合甲方落实人员背调、入离场、终端管理、网络限制、数据权限最小化等管控措施。</w:t>
      </w:r>
    </w:p>
    <w:p>
      <w:pPr>
        <w:pStyle w:val="2"/>
        <w:ind w:left="0"/>
        <w:rPr>
          <w:rFonts w:hint="eastAsia" w:ascii="仿宋" w:hAnsi="仿宋" w:eastAsia="仿宋" w:cs="仿宋"/>
        </w:rPr>
      </w:pPr>
      <w:r>
        <w:rPr>
          <w:rFonts w:hint="eastAsia" w:ascii="仿宋" w:hAnsi="仿宋" w:eastAsia="仿宋" w:cs="仿宋"/>
        </w:rPr>
        <w:t>网络和数据安全处罚措施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如服务提供方在服务周期内发生网络和数据安全工作违约情况，对中心系统造成网络安全或数据安全影响的，按照引发的安全事件等级和次数，中心将采取以下处罚措施，具体处罚措施由中心安全管理部门确定：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（1）限期整改；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（2）约谈企业负责人；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（3）扣除项目运维费用的1%-3%；</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（4）上报主管部门，必要时终止项目合同并追究相关刑事责任。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服务提供方应承担服务过程中出现赔偿责任（包括但不限于直接损失、间接损失、律师费、诉讼费/仲裁费、调查费、公证费、保全保险费/担保费）。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实施分包服务的项目，由分包商产生的安全责任问题，服务提供方应与分包商承担连带责任。</w:t>
      </w:r>
    </w:p>
    <w:bookmarkEnd w:id="10"/>
    <w:bookmarkEnd w:id="11"/>
    <w:p>
      <w:pPr>
        <w:pStyle w:val="2"/>
        <w:ind w:left="0"/>
        <w:rPr>
          <w:rFonts w:hint="eastAsia" w:ascii="仿宋" w:hAnsi="仿宋" w:eastAsia="仿宋" w:cs="仿宋"/>
          <w:bCs w:val="0"/>
          <w:szCs w:val="32"/>
        </w:rPr>
      </w:pPr>
      <w:r>
        <w:rPr>
          <w:rFonts w:hint="eastAsia" w:ascii="仿宋" w:hAnsi="仿宋" w:eastAsia="仿宋" w:cs="仿宋"/>
          <w:bCs w:val="0"/>
          <w:szCs w:val="32"/>
        </w:rPr>
        <w:t>项目的变更、解除和终止</w:t>
      </w:r>
    </w:p>
    <w:p>
      <w:pPr>
        <w:ind w:firstLine="480"/>
        <w:rPr>
          <w:rFonts w:hint="eastAsia" w:ascii="仿宋" w:hAnsi="仿宋" w:eastAsia="仿宋" w:cs="仿宋"/>
          <w:sz w:val="28"/>
          <w:szCs w:val="28"/>
        </w:rPr>
      </w:pPr>
      <w:r>
        <w:rPr>
          <w:rFonts w:hint="eastAsia" w:ascii="仿宋" w:hAnsi="仿宋" w:eastAsia="仿宋" w:cs="仿宋"/>
          <w:sz w:val="28"/>
          <w:szCs w:val="28"/>
        </w:rPr>
        <w:t>如果服务提供方丧失履约能力、发生资不抵债或进入破产程序，招标单位可在任何时候以书面形式通知服务提供方终止本项目的执行而不给予服务提供方补偿。该终止本项目将不损害或影响招标单位已经采取或将要采取任何行动或补救措施的权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如遇国家、行业管理部门等机构的有关标准和规定调整的，导致本项目内容须做相应调整时，双方应按照公平、合理的原则共同协商修改本项目对应的合同的相关条款。</w:t>
      </w:r>
    </w:p>
    <w:p>
      <w:pPr>
        <w:pStyle w:val="2"/>
        <w:ind w:left="0"/>
        <w:rPr>
          <w:rFonts w:hint="eastAsia" w:ascii="仿宋" w:hAnsi="仿宋" w:eastAsia="仿宋" w:cs="仿宋"/>
        </w:rPr>
      </w:pPr>
      <w:r>
        <w:rPr>
          <w:rFonts w:hint="eastAsia" w:ascii="仿宋" w:hAnsi="仿宋" w:eastAsia="仿宋" w:cs="仿宋"/>
        </w:rPr>
        <w:t>保密责任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中标人（含中标人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4、以上内容的保密期限自中标人知悉保密信息起始至保密信息被合法公开之日止。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中标人对采购人提供的临时使用账号要保密，不得公开，对组件开发的账号密码需进行加密，避免信息安全的泄露。未经采购人的同意不得利用采购人的网络及平台进行短信、彩信、微信、邮件等发送,造成的一切后果由中标人负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运维过程中标人如出现失、窃密事情，参照网络和数据安全事件处罚措施同等处置，具体处罚措施由中心保密管理部门确定。</w:t>
      </w:r>
    </w:p>
    <w:bookmarkEnd w:id="12"/>
    <w:p>
      <w:pPr>
        <w:spacing w:line="560" w:lineRule="exact"/>
        <w:ind w:firstLine="560" w:firstLineChars="200"/>
        <w:rPr>
          <w:rFonts w:hint="eastAsia"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pStyle w:val="16"/>
          <w:jc w:val="center"/>
        </w:pPr>
        <w:r>
          <w:fldChar w:fldCharType="begin"/>
        </w:r>
        <w:r>
          <w:instrText xml:space="preserve">PAGE   \* MERGEFORMAT</w:instrText>
        </w:r>
        <w:r>
          <w:fldChar w:fldCharType="separate"/>
        </w:r>
        <w:r>
          <w:rPr>
            <w:lang w:val="zh-CN"/>
          </w:rPr>
          <w:t>22</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E663"/>
    <w:multiLevelType w:val="singleLevel"/>
    <w:tmpl w:val="DFFEE663"/>
    <w:lvl w:ilvl="0" w:tentative="0">
      <w:start w:val="1"/>
      <w:numFmt w:val="decimal"/>
      <w:suff w:val="nothing"/>
      <w:lvlText w:val="%1、"/>
      <w:lvlJc w:val="left"/>
    </w:lvl>
  </w:abstractNum>
  <w:abstractNum w:abstractNumId="1">
    <w:nsid w:val="EFD76B19"/>
    <w:multiLevelType w:val="multilevel"/>
    <w:tmpl w:val="EFD76B19"/>
    <w:lvl w:ilvl="0" w:tentative="0">
      <w:start w:val="1"/>
      <w:numFmt w:val="decimal"/>
      <w:suff w:val="nothing"/>
      <w:lvlText w:val="（%1）"/>
      <w:lvlJc w:val="left"/>
      <w:pPr>
        <w:ind w:left="660" w:hanging="420"/>
      </w:pPr>
      <w:rPr>
        <w:rFonts w:hint="default"/>
        <w:sz w:val="28"/>
        <w:szCs w:val="28"/>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4B414E94"/>
    <w:multiLevelType w:val="multilevel"/>
    <w:tmpl w:val="4B414E94"/>
    <w:lvl w:ilvl="0" w:tentative="0">
      <w:start w:val="1"/>
      <w:numFmt w:val="chineseCountingThousand"/>
      <w:pStyle w:val="2"/>
      <w:suff w:val="nothing"/>
      <w:lvlText w:val="%1、"/>
      <w:lvlJc w:val="left"/>
      <w:pPr>
        <w:ind w:left="850"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993"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709"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127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127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127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127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127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1277" w:firstLine="0"/>
      </w:pPr>
      <w:rPr>
        <w:rFonts w:hint="default" w:ascii="Times New Roman" w:hAnsi="Times New Roman" w:eastAsia="宋体"/>
        <w:b/>
        <w:i w:val="0"/>
        <w:sz w:val="21"/>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6E"/>
    <w:rsid w:val="00753F6E"/>
    <w:rsid w:val="00B44EA9"/>
    <w:rsid w:val="00DA08DA"/>
    <w:rsid w:val="00FB2EB3"/>
    <w:rsid w:val="466A0957"/>
    <w:rsid w:val="50C14888"/>
    <w:rsid w:val="6FFEBC60"/>
    <w:rsid w:val="7E7D05DF"/>
    <w:rsid w:val="CBFF9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outlineLvl w:val="0"/>
    </w:pPr>
    <w:rPr>
      <w:rFonts w:eastAsia="方正小标宋_GBK"/>
      <w:b/>
      <w:bCs/>
      <w:kern w:val="44"/>
      <w:sz w:val="32"/>
      <w:szCs w:val="44"/>
    </w:rPr>
  </w:style>
  <w:style w:type="paragraph" w:styleId="3">
    <w:name w:val="heading 2"/>
    <w:basedOn w:val="1"/>
    <w:next w:val="1"/>
    <w:link w:val="32"/>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ody Text"/>
    <w:basedOn w:val="1"/>
    <w:link w:val="55"/>
    <w:unhideWhenUsed/>
    <w:qFormat/>
    <w:uiPriority w:val="99"/>
    <w:pPr>
      <w:spacing w:after="120"/>
    </w:pPr>
  </w:style>
  <w:style w:type="paragraph" w:styleId="13">
    <w:name w:val="Body Text Indent"/>
    <w:basedOn w:val="1"/>
    <w:link w:val="44"/>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3"/>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3"/>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unhideWhenUsed/>
    <w:qFormat/>
    <w:uiPriority w:val="99"/>
    <w:rPr>
      <w:b/>
      <w:bCs/>
    </w:rPr>
  </w:style>
  <w:style w:type="paragraph" w:styleId="23">
    <w:name w:val="Body Text First Indent 2"/>
    <w:basedOn w:val="13"/>
    <w:link w:val="45"/>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customStyle="1" w:styleId="29">
    <w:name w:val="页眉 字符"/>
    <w:basedOn w:val="26"/>
    <w:link w:val="17"/>
    <w:qFormat/>
    <w:uiPriority w:val="99"/>
    <w:rPr>
      <w:sz w:val="18"/>
      <w:szCs w:val="18"/>
    </w:rPr>
  </w:style>
  <w:style w:type="character" w:customStyle="1" w:styleId="30">
    <w:name w:val="页脚 字符"/>
    <w:basedOn w:val="26"/>
    <w:link w:val="16"/>
    <w:qFormat/>
    <w:uiPriority w:val="99"/>
    <w:rPr>
      <w:sz w:val="18"/>
      <w:szCs w:val="18"/>
    </w:rPr>
  </w:style>
  <w:style w:type="paragraph" w:customStyle="1" w:styleId="31">
    <w:name w:val="列表段落1"/>
    <w:basedOn w:val="1"/>
    <w:link w:val="46"/>
    <w:qFormat/>
    <w:uiPriority w:val="34"/>
    <w:pPr>
      <w:ind w:firstLine="420" w:firstLineChars="200"/>
    </w:pPr>
  </w:style>
  <w:style w:type="character" w:customStyle="1" w:styleId="32">
    <w:name w:val="标题 2 字符"/>
    <w:basedOn w:val="26"/>
    <w:link w:val="3"/>
    <w:qFormat/>
    <w:uiPriority w:val="9"/>
    <w:rPr>
      <w:rFonts w:eastAsia="仿宋" w:asciiTheme="majorHAnsi" w:hAnsiTheme="majorHAnsi" w:cstheme="majorBidi"/>
      <w:b/>
      <w:bCs/>
      <w:kern w:val="2"/>
      <w:sz w:val="28"/>
      <w:szCs w:val="32"/>
    </w:rPr>
  </w:style>
  <w:style w:type="paragraph" w:customStyle="1" w:styleId="33">
    <w:name w:val="1册标题3"/>
    <w:basedOn w:val="1"/>
    <w:next w:val="1"/>
    <w:qFormat/>
    <w:uiPriority w:val="0"/>
    <w:pPr>
      <w:spacing w:line="360" w:lineRule="exact"/>
    </w:pPr>
    <w:rPr>
      <w:rFonts w:ascii="宋体" w:hAnsi="宋体" w:eastAsia="宋体" w:cs="Times New Roman"/>
      <w:szCs w:val="21"/>
    </w:rPr>
  </w:style>
  <w:style w:type="character" w:customStyle="1" w:styleId="34">
    <w:name w:val="标题 1 字符"/>
    <w:basedOn w:val="26"/>
    <w:link w:val="2"/>
    <w:qFormat/>
    <w:uiPriority w:val="9"/>
    <w:rPr>
      <w:rFonts w:eastAsia="方正小标宋_GBK"/>
      <w:b/>
      <w:bCs/>
      <w:kern w:val="44"/>
      <w:sz w:val="32"/>
      <w:szCs w:val="44"/>
    </w:rPr>
  </w:style>
  <w:style w:type="character" w:customStyle="1" w:styleId="35">
    <w:name w:val="标题 3 字符"/>
    <w:basedOn w:val="26"/>
    <w:link w:val="4"/>
    <w:qFormat/>
    <w:uiPriority w:val="9"/>
    <w:rPr>
      <w:rFonts w:eastAsia="仿宋"/>
      <w:b/>
      <w:bCs/>
      <w:sz w:val="28"/>
      <w:szCs w:val="32"/>
    </w:rPr>
  </w:style>
  <w:style w:type="character" w:customStyle="1" w:styleId="36">
    <w:name w:val="标题 4 字符"/>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字符"/>
    <w:basedOn w:val="26"/>
    <w:link w:val="6"/>
    <w:semiHidden/>
    <w:qFormat/>
    <w:uiPriority w:val="9"/>
    <w:rPr>
      <w:b/>
      <w:bCs/>
      <w:sz w:val="28"/>
      <w:szCs w:val="28"/>
    </w:rPr>
  </w:style>
  <w:style w:type="character" w:customStyle="1" w:styleId="38">
    <w:name w:val="标题 6 字符"/>
    <w:basedOn w:val="26"/>
    <w:link w:val="7"/>
    <w:semiHidden/>
    <w:qFormat/>
    <w:uiPriority w:val="9"/>
    <w:rPr>
      <w:rFonts w:asciiTheme="majorHAnsi" w:hAnsiTheme="majorHAnsi" w:eastAsiaTheme="majorEastAsia" w:cstheme="majorBidi"/>
      <w:b/>
      <w:bCs/>
      <w:sz w:val="24"/>
      <w:szCs w:val="24"/>
    </w:rPr>
  </w:style>
  <w:style w:type="character" w:customStyle="1" w:styleId="39">
    <w:name w:val="标题 7 字符"/>
    <w:basedOn w:val="26"/>
    <w:link w:val="8"/>
    <w:semiHidden/>
    <w:qFormat/>
    <w:uiPriority w:val="9"/>
    <w:rPr>
      <w:b/>
      <w:bCs/>
      <w:sz w:val="24"/>
      <w:szCs w:val="24"/>
    </w:rPr>
  </w:style>
  <w:style w:type="character" w:customStyle="1" w:styleId="40">
    <w:name w:val="标题 8 字符"/>
    <w:basedOn w:val="26"/>
    <w:link w:val="9"/>
    <w:semiHidden/>
    <w:qFormat/>
    <w:uiPriority w:val="9"/>
    <w:rPr>
      <w:rFonts w:asciiTheme="majorHAnsi" w:hAnsiTheme="majorHAnsi" w:eastAsiaTheme="majorEastAsia" w:cstheme="majorBidi"/>
      <w:sz w:val="24"/>
      <w:szCs w:val="24"/>
    </w:rPr>
  </w:style>
  <w:style w:type="character" w:customStyle="1" w:styleId="41">
    <w:name w:val="标题 9 字符"/>
    <w:basedOn w:val="26"/>
    <w:link w:val="10"/>
    <w:semiHidden/>
    <w:qFormat/>
    <w:uiPriority w:val="9"/>
    <w:rPr>
      <w:rFonts w:asciiTheme="majorHAnsi" w:hAnsiTheme="majorHAnsi" w:eastAsiaTheme="majorEastAsia" w:cstheme="majorBidi"/>
      <w:szCs w:val="21"/>
    </w:rPr>
  </w:style>
  <w:style w:type="paragraph" w:customStyle="1" w:styleId="42">
    <w:name w:val="TOC 标题1"/>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26"/>
    <w:link w:val="15"/>
    <w:semiHidden/>
    <w:qFormat/>
    <w:uiPriority w:val="99"/>
    <w:rPr>
      <w:sz w:val="18"/>
      <w:szCs w:val="18"/>
    </w:rPr>
  </w:style>
  <w:style w:type="character" w:customStyle="1" w:styleId="44">
    <w:name w:val="正文文本缩进 字符"/>
    <w:basedOn w:val="26"/>
    <w:link w:val="13"/>
    <w:semiHidden/>
    <w:qFormat/>
    <w:uiPriority w:val="99"/>
  </w:style>
  <w:style w:type="character" w:customStyle="1" w:styleId="45">
    <w:name w:val="正文文本首行缩进 2 字符"/>
    <w:basedOn w:val="44"/>
    <w:link w:val="23"/>
    <w:qFormat/>
    <w:uiPriority w:val="0"/>
    <w:rPr>
      <w:rFonts w:ascii="Times New Roman" w:hAnsi="Times New Roman" w:eastAsia="宋体" w:cs="Times New Roman"/>
      <w:sz w:val="24"/>
      <w:szCs w:val="24"/>
      <w:lang w:val="zh-CN"/>
    </w:rPr>
  </w:style>
  <w:style w:type="character" w:customStyle="1" w:styleId="46">
    <w:name w:val="列表段落 字符"/>
    <w:link w:val="31"/>
    <w:qFormat/>
    <w:uiPriority w:val="34"/>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qFormat/>
    <w:uiPriority w:val="0"/>
    <w:rPr>
      <w:rFonts w:ascii="time" w:hAnsi="time"/>
      <w:sz w:val="24"/>
      <w:szCs w:val="24"/>
      <w:lang w:bidi="en-US"/>
    </w:rPr>
  </w:style>
  <w:style w:type="paragraph" w:customStyle="1" w:styleId="49">
    <w:name w:val="*正文"/>
    <w:basedOn w:val="1"/>
    <w:link w:val="48"/>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字符"/>
    <w:basedOn w:val="26"/>
    <w:link w:val="11"/>
    <w:qFormat/>
    <w:uiPriority w:val="99"/>
  </w:style>
  <w:style w:type="character" w:customStyle="1" w:styleId="51">
    <w:name w:val="批注主题 字符"/>
    <w:basedOn w:val="50"/>
    <w:link w:val="22"/>
    <w:semiHidden/>
    <w:qFormat/>
    <w:uiPriority w:val="99"/>
    <w:rPr>
      <w:b/>
      <w:bCs/>
    </w:rPr>
  </w:style>
  <w:style w:type="character" w:customStyle="1" w:styleId="52">
    <w:name w:val="批注文字 字符1"/>
    <w:qFormat/>
    <w:uiPriority w:val="99"/>
    <w:rPr>
      <w:rFonts w:eastAsia="仿宋"/>
      <w:kern w:val="2"/>
      <w:sz w:val="28"/>
      <w:szCs w:val="24"/>
    </w:rPr>
  </w:style>
  <w:style w:type="character" w:customStyle="1" w:styleId="53">
    <w:name w:val="脚注文本 字符"/>
    <w:basedOn w:val="26"/>
    <w:link w:val="19"/>
    <w:qFormat/>
    <w:uiPriority w:val="99"/>
    <w:rPr>
      <w:rFonts w:ascii="Calibri" w:hAnsi="Calibri" w:eastAsia="宋体" w:cs="Times New Roman"/>
      <w:sz w:val="18"/>
      <w:szCs w:val="18"/>
    </w:rPr>
  </w:style>
  <w:style w:type="paragraph" w:customStyle="1" w:styleId="54">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字符"/>
    <w:basedOn w:val="26"/>
    <w:link w:val="12"/>
    <w:semiHidden/>
    <w:qFormat/>
    <w:uiPriority w:val="99"/>
  </w:style>
  <w:style w:type="paragraph" w:customStyle="1" w:styleId="56">
    <w:name w:val="正文缩进1"/>
    <w:basedOn w:val="1"/>
    <w:qFormat/>
    <w:uiPriority w:val="0"/>
    <w:pPr>
      <w:ind w:firstLine="420"/>
    </w:pPr>
    <w:rPr>
      <w:rFonts w:ascii="Times New Roman" w:hAnsi="Times New Roman"/>
      <w:szCs w:val="20"/>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9">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11660</Words>
  <Characters>12022</Characters>
  <Lines>90</Lines>
  <Paragraphs>25</Paragraphs>
  <TotalTime>35</TotalTime>
  <ScaleCrop>false</ScaleCrop>
  <LinksUpToDate>false</LinksUpToDate>
  <CharactersWithSpaces>12051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2025-12-13T23:53:00Z</dcterms:created>
  <dc:creator>ntko</dc:creator>
  <cp:lastModifiedBy>user</cp:lastModifiedBy>
  <cp:lastPrinted>2023-12-02T09:34:00Z</cp:lastPrinted>
  <dcterms:modified xsi:type="dcterms:W3CDTF">2026-01-29T10:19:39Z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B8BDAFCE0EFC88F2A0727969EB7FEC88_43</vt:lpwstr>
  </property>
  <property fmtid="{D5CDD505-2E9C-101B-9397-08002B2CF9AE}" pid="4" name="KSOTemplateDocerSaveRecord">
    <vt:lpwstr>eyJoZGlkIjoiMmRhMTI3MDk2ZTc1NDkwMGQwOGEyMWUyN2ZkMjNlN2QiLCJ1c2VySWQiOiI5NTU4ODgxIn0=</vt:lpwstr>
  </property>
</Properties>
</file>