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24214">
      <w:pPr>
        <w:pStyle w:val="2"/>
        <w:widowControl/>
        <w:numPr>
          <w:ilvl w:val="0"/>
          <w:numId w:val="2"/>
        </w:numPr>
        <w:autoSpaceDE w:val="0"/>
        <w:autoSpaceDN w:val="0"/>
        <w:adjustRightInd w:val="0"/>
        <w:snapToGrid w:val="0"/>
        <w:jc w:val="left"/>
        <w:textAlignment w:val="baseline"/>
        <w:rPr>
          <w:rFonts w:hint="eastAsia" w:ascii="仿宋" w:hAnsi="仿宋" w:eastAsia="仿宋" w:cs="仿宋"/>
          <w:sz w:val="32"/>
          <w:szCs w:val="16"/>
        </w:rPr>
      </w:pPr>
      <w:r>
        <w:rPr>
          <w:rFonts w:hint="eastAsia" w:ascii="仿宋" w:hAnsi="仿宋" w:eastAsia="仿宋" w:cs="仿宋"/>
          <w:sz w:val="32"/>
          <w:szCs w:val="16"/>
        </w:rPr>
        <w:t>项目名称</w:t>
      </w:r>
    </w:p>
    <w:p w14:paraId="4F976E2A">
      <w:pPr>
        <w:ind w:firstLine="472"/>
        <w:rPr>
          <w:rFonts w:hint="eastAsia" w:ascii="仿宋" w:hAnsi="仿宋" w:eastAsia="仿宋" w:cs="仿宋"/>
          <w:snapToGrid w:val="0"/>
          <w:color w:val="000000"/>
          <w:spacing w:val="-2"/>
          <w:kern w:val="0"/>
          <w:szCs w:val="24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spacing w:val="-2"/>
          <w:kern w:val="0"/>
          <w:szCs w:val="24"/>
          <w:highlight w:val="none"/>
        </w:rPr>
        <w:t>上海铁路运输法院审判大楼数字化建设项目</w:t>
      </w:r>
      <w:r>
        <w:rPr>
          <w:rFonts w:hint="eastAsia" w:ascii="仿宋" w:hAnsi="仿宋" w:eastAsia="仿宋" w:cs="仿宋"/>
          <w:snapToGrid w:val="0"/>
          <w:color w:val="000000"/>
          <w:spacing w:val="-2"/>
          <w:kern w:val="0"/>
          <w:szCs w:val="24"/>
          <w:highlight w:val="none"/>
          <w:lang w:val="en-US" w:eastAsia="zh-CN"/>
        </w:rPr>
        <w:t>-</w:t>
      </w:r>
      <w:r>
        <w:rPr>
          <w:rFonts w:ascii="仿宋" w:hAnsi="仿宋" w:eastAsia="仿宋" w:cs="仿宋"/>
          <w:snapToGrid w:val="0"/>
          <w:color w:val="000000"/>
          <w:spacing w:val="-2"/>
          <w:kern w:val="0"/>
          <w:szCs w:val="24"/>
          <w:highlight w:val="none"/>
        </w:rPr>
        <w:t>诉讼服务系统</w:t>
      </w:r>
    </w:p>
    <w:p w14:paraId="75DA35AE">
      <w:pPr>
        <w:ind w:firstLine="472"/>
        <w:rPr>
          <w:rFonts w:hint="eastAsia" w:ascii="仿宋" w:hAnsi="仿宋" w:eastAsia="仿宋" w:cs="仿宋"/>
          <w:snapToGrid w:val="0"/>
          <w:color w:val="000000"/>
          <w:spacing w:val="-2"/>
          <w:kern w:val="0"/>
          <w:szCs w:val="24"/>
        </w:rPr>
      </w:pPr>
    </w:p>
    <w:p w14:paraId="4F4A38B0">
      <w:pPr>
        <w:pStyle w:val="2"/>
        <w:widowControl/>
        <w:numPr>
          <w:ilvl w:val="0"/>
          <w:numId w:val="2"/>
        </w:numPr>
        <w:autoSpaceDE w:val="0"/>
        <w:autoSpaceDN w:val="0"/>
        <w:adjustRightInd w:val="0"/>
        <w:snapToGrid w:val="0"/>
        <w:jc w:val="left"/>
        <w:textAlignment w:val="baseline"/>
        <w:rPr>
          <w:rFonts w:hint="eastAsia" w:ascii="仿宋" w:hAnsi="仿宋" w:eastAsia="仿宋" w:cs="仿宋"/>
          <w:sz w:val="32"/>
          <w:szCs w:val="16"/>
        </w:rPr>
      </w:pPr>
      <w:r>
        <w:rPr>
          <w:rFonts w:hint="eastAsia" w:ascii="仿宋" w:hAnsi="仿宋" w:eastAsia="仿宋" w:cs="仿宋"/>
          <w:sz w:val="32"/>
          <w:szCs w:val="16"/>
        </w:rPr>
        <w:t>项目概况</w:t>
      </w:r>
    </w:p>
    <w:p w14:paraId="6D6DA81A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本次项目是根据《人民法院诉讼服务标准化工作指引》、《FYB_T_54002-2017_诉讼服务大厅信息化建设指南》的要求建设。</w:t>
      </w:r>
    </w:p>
    <w:p w14:paraId="22D6EA6E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《人民法院诉讼服务标准化工作指引》指出，要全面推进诉讼服务标准化、规范化建设，科学优化场所功能布局，强化线上线下服务深度融合，统一服务标准与办理流程，实现诉讼服务事项“一次办好、一站通办”；结合《FYB_T_54002-2017_诉讼服务大厅信息化建设指南》要求，诉讼服务大厅信息化建设应统筹规划基础设施与应用系统，规范配置自助服务终端、排队叫号、信息发布、窗口业务办理等智能设备，建立功能完备、互联互通的诉讼服务信息化平台，全面提升诉讼服务大厅的智能化水平与协同运行效能，为人民群众提供精准、便捷的“一站式”诉讼服务体验；</w:t>
      </w:r>
    </w:p>
    <w:p w14:paraId="29EC308A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为进一步完善司法便民、利民措施，有效提升司法服务群众的能力和水平，并结合最高院及高院对诉讼服务场所标准化、规范化、智能化建设的指导要求，拟对上海铁路运输法院新楼内诉讼服务中心进行信息化建设。</w:t>
      </w:r>
    </w:p>
    <w:p w14:paraId="650EE8E9">
      <w:pPr>
        <w:ind w:firstLine="480"/>
        <w:rPr>
          <w:rFonts w:hint="eastAsia" w:ascii="仿宋" w:hAnsi="仿宋" w:eastAsia="仿宋" w:cs="仿宋"/>
        </w:rPr>
      </w:pPr>
    </w:p>
    <w:p w14:paraId="080A1721">
      <w:pPr>
        <w:pStyle w:val="2"/>
        <w:widowControl/>
        <w:numPr>
          <w:ilvl w:val="0"/>
          <w:numId w:val="2"/>
        </w:numPr>
        <w:autoSpaceDE w:val="0"/>
        <w:autoSpaceDN w:val="0"/>
        <w:adjustRightInd w:val="0"/>
        <w:snapToGrid w:val="0"/>
        <w:jc w:val="left"/>
        <w:textAlignment w:val="baseline"/>
        <w:rPr>
          <w:rFonts w:hint="eastAsia" w:ascii="仿宋" w:hAnsi="仿宋" w:eastAsia="仿宋" w:cs="仿宋"/>
          <w:sz w:val="32"/>
          <w:szCs w:val="16"/>
        </w:rPr>
      </w:pPr>
      <w:r>
        <w:rPr>
          <w:rFonts w:hint="eastAsia" w:ascii="仿宋" w:hAnsi="仿宋" w:eastAsia="仿宋" w:cs="仿宋"/>
          <w:sz w:val="32"/>
          <w:szCs w:val="16"/>
        </w:rPr>
        <w:t>建设内容</w:t>
      </w:r>
    </w:p>
    <w:p w14:paraId="0625F05C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上海铁路运输法院诉讼服务中心，本次规划设计的面积约780平方米。根据《诉讼服务大厅信息化建设指南》以及结合诉讼服务中心实际场所的情况，本次诉讼服务大厅可划分为七大功能区，分别是</w:t>
      </w:r>
      <w:r>
        <w:rPr>
          <w:rFonts w:hint="eastAsia" w:ascii="仿宋" w:hAnsi="仿宋" w:eastAsia="仿宋" w:cs="仿宋"/>
          <w:lang w:val="en-US" w:eastAsia="zh-CN"/>
        </w:rPr>
        <w:t>1.</w:t>
      </w:r>
      <w:r>
        <w:rPr>
          <w:rFonts w:hint="eastAsia" w:ascii="仿宋" w:hAnsi="仿宋" w:eastAsia="仿宋" w:cs="仿宋"/>
        </w:rPr>
        <w:t>安检接待区、</w:t>
      </w:r>
      <w:r>
        <w:rPr>
          <w:rFonts w:hint="eastAsia" w:ascii="仿宋" w:hAnsi="仿宋" w:eastAsia="仿宋" w:cs="仿宋"/>
          <w:lang w:val="en-US" w:eastAsia="zh-CN"/>
        </w:rPr>
        <w:t>2.</w:t>
      </w:r>
      <w:r>
        <w:rPr>
          <w:rFonts w:hint="eastAsia" w:ascii="仿宋" w:hAnsi="仿宋" w:eastAsia="仿宋" w:cs="仿宋"/>
        </w:rPr>
        <w:t>诉讼引导服务区、</w:t>
      </w:r>
      <w:r>
        <w:rPr>
          <w:rFonts w:hint="eastAsia" w:ascii="仿宋" w:hAnsi="仿宋" w:eastAsia="仿宋" w:cs="仿宋"/>
          <w:lang w:val="en-US" w:eastAsia="zh-CN"/>
        </w:rPr>
        <w:t>3.</w:t>
      </w:r>
      <w:r>
        <w:rPr>
          <w:rFonts w:hint="eastAsia" w:ascii="仿宋" w:hAnsi="仿宋" w:eastAsia="仿宋" w:cs="仿宋"/>
        </w:rPr>
        <w:t>自助诉讼服务区、</w:t>
      </w:r>
      <w:r>
        <w:rPr>
          <w:rFonts w:hint="eastAsia" w:ascii="仿宋" w:hAnsi="仿宋" w:eastAsia="仿宋" w:cs="仿宋"/>
          <w:lang w:val="en-US" w:eastAsia="zh-CN"/>
        </w:rPr>
        <w:t>4.</w:t>
      </w:r>
      <w:r>
        <w:rPr>
          <w:rFonts w:hint="eastAsia" w:ascii="仿宋" w:hAnsi="仿宋" w:eastAsia="仿宋" w:cs="仿宋"/>
        </w:rPr>
        <w:t>业务窗口服务区、</w:t>
      </w:r>
      <w:r>
        <w:rPr>
          <w:rFonts w:hint="eastAsia" w:ascii="仿宋" w:hAnsi="仿宋" w:eastAsia="仿宋" w:cs="仿宋"/>
          <w:lang w:val="en-US" w:eastAsia="zh-CN"/>
        </w:rPr>
        <w:t>5.</w:t>
      </w:r>
      <w:r>
        <w:rPr>
          <w:rFonts w:hint="eastAsia" w:ascii="仿宋" w:hAnsi="仿宋" w:eastAsia="仿宋" w:cs="仿宋"/>
        </w:rPr>
        <w:t>诉讼材料收转发服务区、</w:t>
      </w:r>
      <w:r>
        <w:rPr>
          <w:rFonts w:hint="eastAsia" w:ascii="仿宋" w:hAnsi="仿宋" w:eastAsia="仿宋" w:cs="仿宋"/>
          <w:lang w:val="en-US" w:eastAsia="zh-CN"/>
        </w:rPr>
        <w:t>6.</w:t>
      </w:r>
      <w:r>
        <w:rPr>
          <w:rFonts w:hint="eastAsia" w:ascii="仿宋" w:hAnsi="仿宋" w:eastAsia="仿宋" w:cs="仿宋"/>
        </w:rPr>
        <w:t>诉讼调解服务区和</w:t>
      </w:r>
      <w:r>
        <w:rPr>
          <w:rFonts w:hint="eastAsia" w:ascii="仿宋" w:hAnsi="仿宋" w:eastAsia="仿宋" w:cs="仿宋"/>
          <w:lang w:val="en-US" w:eastAsia="zh-CN"/>
        </w:rPr>
        <w:t>7.</w:t>
      </w:r>
      <w:r>
        <w:rPr>
          <w:rFonts w:hint="eastAsia" w:ascii="仿宋" w:hAnsi="仿宋" w:eastAsia="仿宋" w:cs="仿宋"/>
        </w:rPr>
        <w:t>信访接待服务区。</w:t>
      </w:r>
    </w:p>
    <w:p w14:paraId="7882A2B4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安检接待区</w:t>
      </w:r>
    </w:p>
    <w:p w14:paraId="46A8D6D1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安检接待区，配备通道闸机与访客登记管理设备等设备，安检台提供智能访客管理，通过登记采集访客人脸信息，实现诉服业务的一站式通办功能；通过闸机、人脸识别摄像机、访客证等实现对来访人员进出以及留院情况的管控。</w:t>
      </w:r>
    </w:p>
    <w:p w14:paraId="5645DA7A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诉讼引导服务区</w:t>
      </w:r>
    </w:p>
    <w:p w14:paraId="50DB7042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诉讼引导服务，实现诉讼引导、业务分流、诉讼知识普及、诉讼服务信息发布等基本功能，该区域将建设一整套智能化信息系统，内容包括排队叫号、诉讼业务引导和诉服公告显示等。</w:t>
      </w:r>
    </w:p>
    <w:p w14:paraId="0D6E6A13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自助诉讼服务区</w:t>
      </w:r>
    </w:p>
    <w:p w14:paraId="5FE80310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诉讼服务大厅设置自助诉讼服务区域，部署自助诉讼服务终端等硬件设备，方便当事人进行自助的电子档案借阅打印、业务信息查询办理等功能，提供多渠道的办理途径，提高诉讼服务效率。</w:t>
      </w:r>
    </w:p>
    <w:p w14:paraId="62CA6470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业务窗口服务区</w:t>
      </w:r>
    </w:p>
    <w:p w14:paraId="097BFE8C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上铁法院诉服中心业务办理窗口共18个，采用柜台开放式设计，配置诉服评价系统、电子签名系统和配套窗口接待终端，实现立案申请、业务办理和对接等功能。</w:t>
      </w:r>
    </w:p>
    <w:p w14:paraId="74E0FCE0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诉讼材料收转发服务区</w:t>
      </w:r>
    </w:p>
    <w:p w14:paraId="76520A2B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通过部署材料收转柜，对案件材料进行集中收转。结合智能材料柜、融合法院业务系统，对诉讼材料收转进行线上线下统一管理，实现材料流转全过程可监管、可追溯。</w:t>
      </w:r>
    </w:p>
    <w:p w14:paraId="445D09EF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诉讼调解服务区</w:t>
      </w:r>
    </w:p>
    <w:p w14:paraId="4052E878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诉讼调解服务区，由法官、专职人民调解员进行诉前调解或者立案调解，开展诉调对接工作，实现对调解过程进行同步录音录像，并进行网络集中存储供后期调阅。同时各调解室拓展了融合调解，扩宽调解渠道，方便当事人通过互联网不受地点限制，开展调解工作。</w:t>
      </w:r>
    </w:p>
    <w:p w14:paraId="47AD2AD8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信访接待服务区</w:t>
      </w:r>
    </w:p>
    <w:p w14:paraId="595185D8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信访接待服务区，实现当事人进行信访、申诉等业务的办理， 在信访接待室配置高清摄像机、拾音器和高清录播工作站等音视频采集处理系统，实现同步录音录像。</w:t>
      </w:r>
    </w:p>
    <w:p w14:paraId="2788A675">
      <w:pPr>
        <w:pStyle w:val="3"/>
        <w:numPr>
          <w:ilvl w:val="1"/>
          <w:numId w:val="0"/>
        </w:num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3.1硬件购置清单</w:t>
      </w:r>
    </w:p>
    <w:tbl>
      <w:tblPr>
        <w:tblStyle w:val="15"/>
        <w:tblW w:w="468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  <w:gridCol w:w="811"/>
        <w:gridCol w:w="6688"/>
        <w:gridCol w:w="440"/>
        <w:gridCol w:w="429"/>
      </w:tblGrid>
      <w:tr w14:paraId="17D49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69B1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序号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7965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名称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273B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配置要求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EC1C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数量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B9D0B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单位</w:t>
            </w:r>
          </w:p>
        </w:tc>
      </w:tr>
      <w:tr w14:paraId="53F5D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3F67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2FD3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智能访客人证比对一体机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E693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产品性能指标不低于以下参数：智能访客人证比对一体机:采用15.6英寸LCD显示屏，1920*1080分辨率，200万像素摄像头，集成律师证读卡器、身份证读卡器，内含访客管理系统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。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638F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4567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1773B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CFC8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2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FE07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当事人通道闸机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1811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产品性能指标不低于以下参数：当事人通道闸机:1200mm*200mm*1020mm/20-60人每分钟，受人员情况和通行模式影响/通道宽度550mm—1100mm/6对红外检测/室内/工作电压AC 100~240V，50~60HZ/工作温度范围-20℃~70℃/翻越报警/分时段管控，最多支持8个时段常开、常闭模式设定/反潜回功能，单通道反潜回，多通道跨主机反潜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2674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3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229A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250CF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FB18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3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AE54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律师通道闸机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EC58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产品性能指标不低于以下参数：律师通道闸机:1200mm*200mm*1020mm/20-60人每分钟，受人员情况和通行模式影响/通道宽度550mm—1100mm/6对红外检测/室内/工作电压AC 100~240V，50~60HZ/工作温度范围-20℃~70℃/翻越报警/分时段管控，最多支持8个时段常开、常闭模式设定/反潜回功能，单通道反潜回，多通道跨主机反潜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D38A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2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3C36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2AD60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7A61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4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C27F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人脸识别一体机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F013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产品性能指标不低于以下参数：人脸识别一体机:设备外观：采用10.1英寸LCD触摸显示屏；200万像素双目宽动态摄像头；采用星光级图像传感器，可适应夜间低照度环境；支持照片视频防假；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设备容量：支持50000张人脸白名单，1：N人脸比对时间≤0.2s/人；支持100000笔记录存储；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认证方式：支持人脸比对；支持通过RS485或wiegand外接读卡器，实现刷卡；支持通过USB口外接身份证阅读器，实现人证比对；注：设备默认不支持二维码识别，如现场需要支持二维码功能，需下ZTA订单备注：生产按二维码功能调焦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通讯方式：上行通讯为TCP/IP；支持WIFI传输；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视频对讲：支持视频语音对讲功能；可接NVR，支持视频预览；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设备接口： LAN*1；RS485*1；韦根*1；USB *1；门磁*1、开门按钮*1、报警输入*2；电锁*1、报警输出*1；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设备支持在 0.001lux 低照度无补光环境下正常实现人脸识别；人脸比对时间：＜175ms；最大人脸识别距离：＞3m；最小人脸识别距离：＜0.2m；人脸识别误识率≤0.01%的条件下，准确率应大于99.9%；支持防假体攻击功能，对视频、电子照片、打印照片中的人脸应不能进行人脸识别。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E57F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3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1BFC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1A521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DD58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5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4B0F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护照阅读机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FCC8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产品性能指标不低于以下参数：护照阅读机:配备 500 万像素，采用 TH-OCR技术，能够快速、准确读出符合国际民航组织标准 ICAO DOC 9303 设计的本式或卡式电子芯片信息，如机读电子护照、电子港奥居民来往内地通行证、电子大陆居民前往台湾通行证等多种旅行证件。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62E0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0E4B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12475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ED84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6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D38B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安装辅材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4D69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产品性能指标不低于以下参数：安装辅材:电源线、网线、线管、线槽等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98EF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D61A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批</w:t>
            </w:r>
          </w:p>
        </w:tc>
      </w:tr>
      <w:tr w14:paraId="2AB5A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5DFB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7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5644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导诉终端含系统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8D506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产品性能指标不低于以下参数：导诉终端含系统:CPU：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>国产处理器，核心规格不低于8核，主频≥2.7GHz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内存：8GB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硬盘：256GSSD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显卡：1G独显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显示器：23.8寸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含操作系统、流式、版式软件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2AB0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3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71D8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01713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736F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8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4FD0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诉服导航触摸屏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D1F9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产品性能指标不低于以下参数：诉服导航触摸屏:32寸免维护型红外线通用触摸屏，显示比例16：9（横屏），防尘，防水，防暴，防油，抗光电干扰。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113D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2AC84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块</w:t>
            </w:r>
          </w:p>
        </w:tc>
      </w:tr>
      <w:tr w14:paraId="6611C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4C46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9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F998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虚拟导诉触摸屏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23CA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产品性能指标不低于以下参数：虚拟导诉触摸屏:32寸免维护型红外线通用触摸屏，显示比例16：9（横屏），防尘，防水，防暴，防油，抗光电干扰。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CED5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AF2C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块</w:t>
            </w:r>
          </w:p>
        </w:tc>
      </w:tr>
      <w:tr w14:paraId="0F1F0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9F4E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10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4548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手写板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5B6E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产品性能指标不低于以下参数：手写板:签名板:≥10.1寸屏幕，电磁手写笔，500万以上像素摄像机，公安部二代身份证阅读器，指纹仪；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分辨率：1280*800以上；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最大握笔倾角：允许±45°（手写笔与屏幕法线夹角）；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读取速度：200点/秒以上；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压感级别：2048级以上；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指纹图像分辨率：256*360以上；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指纹分辨率：500DPI以上；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支持主流国产操作系统。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74B3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E0BF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个</w:t>
            </w:r>
          </w:p>
        </w:tc>
      </w:tr>
      <w:tr w14:paraId="13142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8ED6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11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787F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取号机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7813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产品性能指标不低于以下参数：取号机:32寸触摸显示屏，兆芯处理器,8G内存，120G固态硬盘, 统信UOS V20操作系统；可配置打印机： 热敏80mm高速打印机；其他：内置电源控制系统、散热系统和音响系统。可配置身份证读卡、二维码扫描功能，可与装修设计融合嵌入导诉台。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4183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26AB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02353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DA5E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12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358D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窗口显示屏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350E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产品性能指标不低于以下参数：窗口显示屏:21.5 液晶显示屏，主频2GHz，内存2GB DDR3，内置存储器8GB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2A12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16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C3D3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块</w:t>
            </w:r>
          </w:p>
        </w:tc>
      </w:tr>
      <w:tr w14:paraId="50C35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8225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13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A982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综合显示屏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3574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产品性能指标不低于以下参数：综合显示屏:信息发布屏 50寸信息发布一体机，安卓系统7.0，内存2GB DDR3，内置存储器 8GB，外接口含 USB 口、网口、主机开关、电源开关。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7E0C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6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850E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块</w:t>
            </w:r>
          </w:p>
        </w:tc>
      </w:tr>
      <w:tr w14:paraId="0D630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7BF9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14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D40F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显示屏配套支架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B943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产品性能指标不低于以下参数：显示屏配套支架:最大承重（kg）36.4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挂架材质 冷轧钢板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适用电视尺寸 40英寸；42英寸；43英寸；45英寸；46英寸；48英寸；49英寸；50英寸；51英寸；52英寸；55英寸；58英寸；60英寸；65英寸；70英寸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上下调节度 +3° / -5°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适用电视孔距 400x400范围内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离墙距离(mm) 52mm-380mm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产品尺寸（长x宽x高）mm 452x312x55mm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产品净重（kg） 5kg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2A1C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2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54348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套</w:t>
            </w:r>
          </w:p>
        </w:tc>
      </w:tr>
      <w:tr w14:paraId="3CEC0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C4E6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15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8F00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交换机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D37D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产品性能指标不低于以下参数：交换机:L3以太网交换机主机,支持24个10/100/1000BASE-T电口,支持4个1G BASE-X SFP Plus端口,双电源,SFP+电缆3m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3A28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FA93B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06A28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7AC6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16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D9E4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千兆模块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D108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产品性能指标不低于以下参数：千兆模块:光模块-SFP-GE-多模模块-(850nm,0.55km,LC)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0BC8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2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D4F9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个</w:t>
            </w:r>
          </w:p>
        </w:tc>
      </w:tr>
      <w:tr w14:paraId="4F031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0EBA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17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D310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天花扬声器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68F1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产品性能指标不低于以下参数：天花扬声器:天花扬声器 功率：6w（瓦）；频率响应：80Hz-16kHz(±3dB)；阻抗：内部扬声器阻抗8Ω ；持续功率处理：3-6w 连续；灵敏度：84dB-SPL,1w,1m（粉红噪声）；最大声输出：98dB-SPL, 1m（粉红噪声）辐射角度：150°(圆锥型)；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D71E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8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6818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个</w:t>
            </w:r>
          </w:p>
        </w:tc>
      </w:tr>
      <w:tr w14:paraId="12891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DD58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18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465D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功放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C0C5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产品性能指标不低于以下参数：功放:定压功放 功率：40W，话筒插口：2个，可以接2个话筒；音频输入：2路；输出方式：4-16欧定阻音箱；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188C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2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8C56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68317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BBA7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19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DEB2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安装辅材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3E1C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产品性能指标不低于以下参数：安装辅材:线缆、管材、线槽等辅材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ABD3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16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A642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批</w:t>
            </w:r>
          </w:p>
        </w:tc>
      </w:tr>
      <w:tr w14:paraId="1A04C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3B56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20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309B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液晶评价终端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B6F7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产品性能指标不低于以下参数：液晶评价终端:10寸液晶评价终端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FCD9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18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018D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79B9D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C71E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21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AA74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签名板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4B2C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产品性能指标不低于以下参数：签名板:签名板:≥10.1寸屏幕，电磁手写笔，500万以上像素摄像机，公安部二代身份证阅读器，指纹仪；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分辨率：1280*800以上；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最大握笔倾角：允许±45°（手写笔与屏幕法线夹角）；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读取速度：200点/秒以上；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压感级别：2048级以上；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指纹图像分辨率：256*360以上；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指纹分辨率：500DPI以上；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支持主流国产操作系统。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BD0D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18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8942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个</w:t>
            </w:r>
          </w:p>
        </w:tc>
      </w:tr>
      <w:tr w14:paraId="241AE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FA67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22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234D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窗口接待终端含系统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C48A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产品性能指标不低于以下参数：窗口接待终端含系统:CPU</w:t>
            </w:r>
            <w:r>
              <w:rPr>
                <w:rFonts w:hint="eastAsia" w:ascii="仿宋" w:hAnsi="仿宋" w:eastAsia="仿宋" w:cs="仿宋"/>
                <w:sz w:val="21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1"/>
                <w:lang w:val="en-US" w:eastAsia="zh-CN"/>
              </w:rPr>
              <w:t>国产处理器，核心规格不低于8核，主频≥2.7GHz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内存：8GB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硬盘：256GSSD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显卡：1G独显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显示器：23.8寸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含操作系统、流式、版式软件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C53C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18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812ED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36B31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EB1C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23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7769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交换机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AAF8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产品性能指标不低于以下参数：交换机:L3以太网交换机主机,支持24个10/100/1000BASE-T电口,支持4个1G BASE-X SFP Plus端口,双电源,SFP+电缆3m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D1CB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2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2B12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198AB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77F2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24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4DC7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千兆模块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F3E1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产品性能指标不低于以下参数：千兆模块:光模块-SFP-GE-多模模块-(850nm,0.55km,LC)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EC41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4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4785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个</w:t>
            </w:r>
          </w:p>
        </w:tc>
      </w:tr>
      <w:tr w14:paraId="6CB90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2B52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25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D928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诉讼服务多功能自助终端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271F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产品性能指标不低于以下参数：诉讼服务多功能自助终端:硬件组成：整体外形设计制作、高清触摸屏、人脸识别摄像头、身份证读卡器、A4扫描仪、A4彩色打印机、二维码扫描仪、键鼠套装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“自助诉讼服务系统”通过大数据、云计算、人工智能等新兴技术支撑，严格按照上海法院信息系统“统一门户集成、统一接入管理、统一用户管理、统一授权管理、统一资源管理、统一安全防护”的“六个统一”规范要求，提供各项办理及查询的相关诉讼服务功能。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C048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2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66E0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17B47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ACB7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26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C4F8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存储主控柜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F7F9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产品性能指标不低于以下参数：存储主控柜:功能：32寸电容触屏、4G、128SSD、集成200W像素人脸识别摄像头、IC卡读卡器、身份证读卡器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F9F3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C2AD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18D6B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0292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27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6E9F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记名副柜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B8D5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产品性能指标不低于以下参数：记名副柜:箱体结构：单层箱体，10层2列式，包括20个投递箱格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箱格说明：带智能锁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B26A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4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7279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46A8C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3FA4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28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47BD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主柜录像单元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5542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产品性能指标不低于以下参数：主柜录像单元:1、自动录制投件、取件操作过程，提供回放功能；包含监控摄像头2个；NVR（至少含6T硬盘）1台；最高分辨率可达1920×1080 @ 25fps,支持低码率、低延时、ROI感兴趣区域增强编码、SVC自适应编码技术,支持smart265编码；码流平滑设置；支持GBK字库，支持更多汉字及生僻字叠加；支持OSD颜色自选；采用高效红外灯，使用寿命长,照射距离可达20-30米；支持smart IR，防止夜间红外过曝；支持3D数字降噪, 120dB超宽动态；符合IP67级防尘防水设计。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AAC8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A2FC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套</w:t>
            </w:r>
          </w:p>
        </w:tc>
      </w:tr>
      <w:tr w14:paraId="519B7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F7A6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29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81E1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高清录播工作站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962C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详见“重要产品技术指标要求”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FD5E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4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E7FD8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40E26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75F5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30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2AB8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高清摄像机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2E9F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产品性能指标不低于以下参数：高清摄像机:高清高速球型HD-SDI摄像机，支持网络及HD-SDI双输出；1/2.8英寸高性能传感器，总像素200万像素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6ABA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12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325E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204D3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7F19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31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CBC0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摄像机支架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0A08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产品性能指标不低于以下参数：摄像机支架:与高清摄像机配套，L型或U型；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B6A0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12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E981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套</w:t>
            </w:r>
          </w:p>
        </w:tc>
      </w:tr>
      <w:tr w14:paraId="0C7D7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5F3C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32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5E1D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摄像机统一供电电源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4FFD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产品性能指标不低于以下参数：摄像机统一供电电源:摄像机统一供电电源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72C9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4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5E4F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26050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2630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33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E167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吸顶音箱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DE98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产品性能指标不低于以下参数：吸顶音箱:高音单元19mm×1(0.75×1Inch)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低频单元6.5"布边折环，低失真,准平板扬声器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频率响应65Hz-20kHz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标称阻抗8Ω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功率60W～120W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灵敏度91dB/W/m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标称覆盖角90°圆锥覆盖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类型专门定制的低失真叠片铁芯，宽频段设计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安装方式吸顶安装壁挂安装均可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安装架内置吸顶安装吊架1个，墙壁安装.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尺寸（长、宽、高）390×300×95mm,开孔尺寸（长、宽）367×280mm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3D90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28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988E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个</w:t>
            </w:r>
          </w:p>
        </w:tc>
      </w:tr>
      <w:tr w14:paraId="3DB14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B3C8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34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D4BD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融合编解码设备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8A3FC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详见“重要产品技术指标要求”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E0CB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6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A8445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1C458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6AB2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35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1B5C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音视频单向光端机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1F5B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产品性能指标不低于以下参数：音视频单向光端机:非压缩全高清HDMI视频光端机 1路视频+独立正向音频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C3BA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12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87AA4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4CEB3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7D09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36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9491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远端当事人显示屏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D872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产品性能指标不低于以下参数：远端当事人显示屏:‌屏幕尺寸‌：55英寸；带232接口；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‌屏幕比例‌：16:9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‌分辨率‌：3840×2160（4K）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‌高清格式‌：2160P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‌观看距离‌：2.5-3.0米 ‌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‌屏幕刷新频率‌：300Hz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‌色域‌：DCI-P3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硬件配置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‌内存‌：4GB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‌存储‌：64GB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‌操作系统‌：Android系统 ‌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‌扬声器‌：内置65W音响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‌音效模式‌：支持多种模式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‌接口‌：4个HDMI 2.1接口、2个USB接口，支持Wi-Fi及有线连接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6F52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6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6C68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块</w:t>
            </w:r>
          </w:p>
        </w:tc>
      </w:tr>
      <w:tr w14:paraId="3C300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8046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37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CF49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远端当事人显示屏支架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1085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产品性能指标不低于以下参数：远端当事人显示屏支架:根据法庭环境选择壁装、吊顶，可上下调节。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AE8C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6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0D09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套</w:t>
            </w:r>
          </w:p>
        </w:tc>
      </w:tr>
      <w:tr w14:paraId="65D18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F456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38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6102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互联网网络交换机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B0ED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产品性能指标不低于以下参数：互联网网络交换机:L3以太网交换机主机,支持24个10/100/1000BASE-T电口,支持4个1G/10G BASE-X SFP Plus端口,双电源,SFP+电缆3m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4B65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6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484A4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3E01A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71FE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39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0E5D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光纤模块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0A4B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产品性能指标不低于以下参数：光纤模块:光模块-SFP-GE-多模模块-(850nm,0.55km,LC)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C1AD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12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E3E1C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个</w:t>
            </w:r>
          </w:p>
        </w:tc>
      </w:tr>
      <w:tr w14:paraId="2D3D5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84DC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40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CE25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接入交换机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23F3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产品性能指标不低于以下参数：接入交换机:L3以太网交换机主机,支持24个10/100/1000BASE-T电口,支持4个1G/10G BASE-X SFP Plus端口,双电源,SFP+电缆3m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0FAE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12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721ED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6D668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E06C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41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6156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千兆光模块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4B6B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产品性能指标不低于以下参数：千兆光模块:光模块-SFP-GE-多模模块-(850nm,0.55km,LC)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159C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24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EDB7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个</w:t>
            </w:r>
          </w:p>
        </w:tc>
      </w:tr>
      <w:tr w14:paraId="04562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8DFF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42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4C03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信息公告发布屏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FF8B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产品性能指标不低于以下参数：信息公告发布屏:1.显示屏：21.5英寸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2.分辨率：1920*1200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656D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12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EF47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块</w:t>
            </w:r>
          </w:p>
        </w:tc>
      </w:tr>
      <w:tr w14:paraId="2A317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953C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43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FE41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辅材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89C2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产品性能指标不低于以下参数：辅材:完成本场所建设所需接插件等配套辅材。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B1D4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12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EB42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套</w:t>
            </w:r>
          </w:p>
        </w:tc>
      </w:tr>
      <w:tr w14:paraId="2D451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EF28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44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ADD6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高清录播工作站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EA13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产品性能指标不低于以下参数：高清录播工作站:4路SDI摄像机接入，4路HDMI输入，2路HDMI视频输出；8路Mic In、3路立体声线路输入,3路平衡输出、1路3.5mm耳机监听口，内置2T标准SATA硬盘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ABB6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4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34544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6008D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C074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45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FE35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高清摄像机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EF08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产品性能指标不低于以下参数：高清摄像机:高清高速球型HD-SDI摄像机，支持网络及HD-SDI双输出；1/2.8英寸高性能传感器，总像素200万像素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DF1C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12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19334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5043F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62B7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46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D906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摄像机支架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839B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产品性能指标不低于以下参数：摄像机支架:与高清摄像机配套，L型或U型；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BE0C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12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9FE78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套</w:t>
            </w:r>
          </w:p>
        </w:tc>
      </w:tr>
      <w:tr w14:paraId="738A6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9811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47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97E8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摄像机统一供电电源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48C3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产品性能指标不低于以下参数：摄像机统一供电电源:摄像机统一供电电源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382A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4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9143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07842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1FC8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48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1841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吸顶音箱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1E27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产品性能指标不低于以下参数：吸顶音箱:高音单元19mm×1(0.75×1Inch)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低频单元6.5"布边折环，低失真,准平板扬声器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频率响应65Hz-20kHz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标称阻抗8Ω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功率60W～120W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灵敏度91dB/W/m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标称覆盖角90°圆锥覆盖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类型专门定制的低失真叠片铁芯，宽频段设计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安装方式吸顶安装壁挂安装均可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安装架内置吸顶安装吊架1个，墙壁安装.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尺寸（长、宽、高）390×300×95mm,开孔尺寸（长、宽）367×280mm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961E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8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D5B4B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个</w:t>
            </w:r>
          </w:p>
        </w:tc>
      </w:tr>
      <w:tr w14:paraId="15E90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ED1B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49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1414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接入交换机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8760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产品性能指标不低于以下参数：接入交换机:L3以太网交换机主机,支持24个10/100/1000BASE-T电口,支持4个1G/10G BASE-X SFP Plus端口,双电源,SFP+电缆3m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5EA8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4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3F98B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71743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D9D9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50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2F36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千兆光模块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EB43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产品性能指标不低于以下参数：千兆光模块:光模块-SFP-GE-多模模块-(850nm,0.55km,LC)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4778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8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B2056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个</w:t>
            </w:r>
          </w:p>
        </w:tc>
      </w:tr>
      <w:tr w14:paraId="65C37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7DB2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51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EFAB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信息公告发布屏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B140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产品性能指标不低于以下参数：信息公告发布屏:1.显示屏：21.5英寸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2.分辨率：1920*1200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B327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4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B0F3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块</w:t>
            </w:r>
          </w:p>
        </w:tc>
      </w:tr>
      <w:tr w14:paraId="1B7D4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3F09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52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086B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辅材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50CB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产品性能指标不低于以下参数：辅材:完成本场所建设所需接插件等配套辅材。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5BAE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4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FCB0B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套</w:t>
            </w:r>
          </w:p>
        </w:tc>
      </w:tr>
      <w:tr w14:paraId="5D447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E05E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53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60BF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室内LED显示屏（P1.2）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36C5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详见“重要产品技术指标要求”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1579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21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A4F64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m²</w:t>
            </w:r>
          </w:p>
        </w:tc>
      </w:tr>
      <w:tr w14:paraId="5CC6C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F5F5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54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85E1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LED拼接控制器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2D81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产品性能指标不低于以下参数：LED拼接控制器:最大支持带载1703万像素点 ，宽度可达16384像素点 ，高度可达8192像素点。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输入接口： 1路DP 1.2、1路HDMI2.0、 1路U盘接口（可U盘播放）  、2路HDMI1.4和2路DVI。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输出接口 ：26路千兆网口和3路万兆光纤口输出 ，任选一种。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音频： 1路输入 ， 1路输出 ，支持HDMI和DP音频解析输出。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支持最多6窗口显示（注： 1个4K输入信号时 ，同时可支持4路2K高清输入 ，只支持5个窗口； 2个4K输入信号时 ，只支持2个窗口）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。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支持128个场景保存和调用。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支持3D（选配）。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A008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3A1E5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5AFFD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F428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55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8D19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LED播放控制主机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0202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产品性能指标不低于以下参数：LED播放控制主机:1、2U机箱，16GB 高速内存（DDR4），500GB高速固态硬盘；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2、支持1个DP 1.2接口、2路HDMI 2.0接口输出；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3、单机最高支持8K×2K输出带载，同时支持超大分辨率的视频解码和点对点显示；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4、支持多个输出口的拆分重组以及旋转、完成对不规则显示屏的带载，实现创意拼接显示；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5、支持8图层和1个音频图层同时播放。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E550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FE34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71CA7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F57A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56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2074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配电柜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8F39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产品性能指标不低于以下参数：配电柜:20kw，带PLC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62A8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A0690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7B10E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A338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57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7A4B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工程结构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97A4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产品性能指标不低于以下参数：工程结构:用于安装支撑屏体的钢结构体费用及安装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538D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215F3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项</w:t>
            </w:r>
          </w:p>
        </w:tc>
      </w:tr>
      <w:tr w14:paraId="7BBC4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9B67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58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92A0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线缆辅材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6C7E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产品性能指标不低于以下参数：线缆辅材:配电电源线、信号线等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0AAB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2CDC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批</w:t>
            </w:r>
          </w:p>
        </w:tc>
      </w:tr>
      <w:tr w14:paraId="2D2EA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38D2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59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AFB7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室内LED显示屏（P1.2）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8A26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产品性能指标不低于以下参数：室内LED显示屏（P1.2）:间距:1.25mm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封装方式:SMD1010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白平衡亮度:600cd/㎡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模组分辨率:120×270 pixels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模组尺寸(W×H):150mm×337.5mm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像素密度:640000pixels /m²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箱体分辨率:480×270 pixels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箱体尺寸(W×H):600mm×337.5mm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箱体重量:5kg/panel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维护方式:全前维护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箱体材质:压铸铝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AC78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21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60AF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m²</w:t>
            </w:r>
          </w:p>
        </w:tc>
      </w:tr>
      <w:tr w14:paraId="218AE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703B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60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5E9E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LED拼接控制器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53C8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产品性能指标不低于以下参数：LED拼接控制器:最大支持带载1703万像素点 ，宽度可达16384像素点 ，高度可达8192像素点。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输入接口： 1路DP 1.2、1路HDMI2.0、 1路U盘接口（可U盘播放）  、2路HDMI1.4和2路DVI。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输出接口 ：26路千兆网口和3路万兆光纤口输出 ，任选一种。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音频： 1路输入 ， 1路输出 ，支持HDMI和DP音频解析输出。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支持最多6窗口显示（注： 1个4K输入信号时 ，同时可支持4路2K高清输入 ，只支持5个窗口； 2个4K输入信号时 ，只支持2个窗口）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。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支持128个场景保存和调用。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支持3D（选配）。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F0FD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F3898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2E2A9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11A4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61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AA5B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LED播放控制主机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B6F6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产品性能指标不低于以下参数：LED播放控制主机:1、2U机箱，16GB 高速内存（DDR4），500GB高速固态硬盘；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2、支持1个DP 1.2接口、2路HDMI 2.0接口输出；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3、单机最高支持8K×2K输出带载，同时支持超大分辨率的视频解码和点对点显示；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4、支持多个输出口的拆分重组以及旋转、完成对不规则显示屏的带载，实现创意拼接显示；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5、支持8图层和1个音频图层同时播放。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CC67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772C4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46DC8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0BA0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62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E492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配电柜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2CF3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产品性能指标不低于以下参数：配电柜:20kw，带PLC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3FA6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AD6B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7CDB1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0982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63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92F3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工程结构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9911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产品性能指标不低于以下参数：工程结构:用于安装支撑屏体的钢结构体费用及安装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0341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B1F4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项</w:t>
            </w:r>
          </w:p>
        </w:tc>
      </w:tr>
      <w:tr w14:paraId="67C75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6D2D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64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36ED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线缆辅材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A843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产品性能指标不低于以下参数：线缆辅材:配电电源线、信号线等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E745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10E8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批</w:t>
            </w:r>
          </w:p>
        </w:tc>
      </w:tr>
      <w:tr w14:paraId="6603B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2567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65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C192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数字音频处理器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131B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产品性能指标不低于以下参数：数字音频处理器:1.≥12个模拟音频输入,≥8路输出通道；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2.≥12通道AEC处理器模块；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3.带有≥32×32路DANTE网络音频传输协议接口；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4.千兆以太网端口；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5.≥8个可配置USB音频；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6.信号处理通过直观的软件允许配置和控制信号路由、混合、均衡、过滤、延迟；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D244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4A53B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65AEB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B7A1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66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813E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主音箱音柱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47E5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产品性能指标不低于以下参数：主音箱音柱:1.驱动单元：≥6*80mm 长冲程聚酯薄膜驱动单元，高音驱动单元，≥2*3-元件CRE高频换能器；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2.频率范围：≤120 Hz 至 ≥20 kHz；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3.指向角度(H x V):≥ 140° x 15°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4.灵敏度 (1W/1m)：≥93dB；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5.最大输出 (1m)：≥121 dB峰值；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6.功率/阻抗：150W 额定功率，375W节目功率，8欧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0912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2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C3C35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08987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B4DD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67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6A39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主音箱功放（DSP数字功放）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E623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产品性能指标不低于以下参数：主音箱功放（DSP数字功放）:四通道数字功放，定压或定阻模式可选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系统总功率≥500W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每个通道（定压或定阻）输出功率：≥4x125W;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具有功率共享功能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UMAC™ D 类输出电路 - 具有超低失真的全带宽 PWM 调制器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频率响应：20 Hz - 20 kHz （+0/-0.25 dB （8 Ω负载，低于额定功率 3 dB）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保护电路:短路保护、直流保护、欠压保护、温度保护、过载保护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电源：UREC 通用电源开关模式电源，带功率因数校正 （PFC™） 和集成待机转换器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可外接音量控制器和远程控制开关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B8F3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2B8C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台</w:t>
            </w:r>
          </w:p>
        </w:tc>
      </w:tr>
      <w:tr w14:paraId="1FB31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68BE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68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0F88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无线接收机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990E2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产品性能指标不低于以下参数：无线接收机:四通道无线接收机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采用AES128加密确保通信数据安全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动态范围：≥120dB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可通过以太网本地连接多个系统，支持网络控制；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支持多达20 个通道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在通道设置中，提供人声均衡的特定配置选项，并采用4段图像式均衡器，优化人声表现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19D6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05614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套</w:t>
            </w:r>
          </w:p>
        </w:tc>
      </w:tr>
      <w:tr w14:paraId="4DF95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AB4D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69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9350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无线手持话筒</w:t>
            </w:r>
          </w:p>
        </w:tc>
        <w:tc>
          <w:tcPr>
            <w:tcW w:w="3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D971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产品性能指标不低于以下参数：无线手持话筒:包含无线手持发射机及话筒头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话筒单元：超心型动圈话筒</w:t>
            </w:r>
            <w:r>
              <w:rPr>
                <w:rFonts w:hint="eastAsia" w:ascii="仿宋" w:hAnsi="仿宋" w:eastAsia="仿宋" w:cs="仿宋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</w:rPr>
              <w:t>频率响应：40-16000Hz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97E6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1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23E35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>套</w:t>
            </w:r>
          </w:p>
        </w:tc>
      </w:tr>
    </w:tbl>
    <w:p w14:paraId="3FBC022C">
      <w:pPr>
        <w:pStyle w:val="2"/>
        <w:widowControl/>
        <w:numPr>
          <w:ilvl w:val="0"/>
          <w:numId w:val="2"/>
        </w:numPr>
        <w:autoSpaceDE w:val="0"/>
        <w:autoSpaceDN w:val="0"/>
        <w:adjustRightInd w:val="0"/>
        <w:snapToGrid w:val="0"/>
        <w:jc w:val="left"/>
        <w:textAlignment w:val="baseline"/>
        <w:rPr>
          <w:rFonts w:hint="eastAsia" w:ascii="仿宋" w:hAnsi="仿宋" w:eastAsia="仿宋" w:cs="仿宋"/>
          <w:sz w:val="32"/>
          <w:szCs w:val="16"/>
        </w:rPr>
      </w:pPr>
      <w:r>
        <w:rPr>
          <w:rFonts w:hint="eastAsia" w:ascii="仿宋" w:hAnsi="仿宋" w:eastAsia="仿宋" w:cs="仿宋"/>
          <w:sz w:val="32"/>
          <w:szCs w:val="16"/>
        </w:rPr>
        <w:t>重要产品技术指标要求</w:t>
      </w:r>
    </w:p>
    <w:p w14:paraId="2AAC223C">
      <w:pPr>
        <w:pStyle w:val="3"/>
        <w:numPr>
          <w:ilvl w:val="1"/>
          <w:numId w:val="0"/>
        </w:num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4.1 高清录播工作站</w:t>
      </w:r>
    </w:p>
    <w:p w14:paraId="28AA1FE1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支持不低于4 路 SDI 高清前端接入。</w:t>
      </w:r>
    </w:p>
    <w:p w14:paraId="2195CA8A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视频压缩标准应支持H.265/H.264。</w:t>
      </w:r>
    </w:p>
    <w:p w14:paraId="0A87D4C5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音频压缩标准应支持PCMA、OPUS、AAC-LC、G722。</w:t>
      </w:r>
    </w:p>
    <w:p w14:paraId="17FA4BBB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网络协议应支持TCP/IP、SIP、BFCP、UDP、RTP、RTCP、RTSP、FTP、Telnet、NTP、HTTP、HTTPS、SNMP、H.323、H.239、SSH。</w:t>
      </w:r>
    </w:p>
    <w:p w14:paraId="78380751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应支持一键开启/停止刻录、一键开关机、一键打点、一键DVD回放。</w:t>
      </w:r>
    </w:p>
    <w:p w14:paraId="187DAC15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应支持多路本地/远程音频变音处理，保护证人隐私。</w:t>
      </w:r>
    </w:p>
    <w:p w14:paraId="283F6CA2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▲内置不低于8寸触控屏，支持实时显示通道状态、刻录/录制状态、USB接入状态、视频画面、光盘/硬盘总容量及已使用容量、刻录剩余时长、异常告警信息、CPU内存占用率、网络情况等（需提供产品界面截图、产品彩页、产品说明书、产品白皮书或第三方检测机构出具的检测报告等证明材料）</w:t>
      </w:r>
    </w:p>
    <w:p w14:paraId="243755E0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▲应支持2路独立示证设备接入并编码，支持HDMI、DVI两种信号，支持两路证据编码独立录像，可同时将两路证据画面加入到合成画面中。（需提供产品界面截图、产品彩页、产品说明书、产品白皮书或第三方检测机构出具的检测报告等证明材料）</w:t>
      </w:r>
    </w:p>
    <w:p w14:paraId="79E62FBD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应支持对多种视频智能分析（证人保护、庭纪监督、区域看防、视频诊断、异常行为检测、姿态检测）的算法进行详细的参数配置，支持视频窗口绘制待检测区域。</w:t>
      </w:r>
    </w:p>
    <w:p w14:paraId="0EC25CCD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内置双 DVD 刻录光驱或双蓝光刻录光驱,支持光驱热插拔,支持便捷拆卸光驱,可实现在不拆设备机箱的情况下更换光驱。</w:t>
      </w:r>
    </w:p>
    <w:p w14:paraId="516ED0C1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支持断电续刻/续录功能,设备刻录过程中断电重启后,刻录机仍继续执行刻录任务。</w:t>
      </w:r>
    </w:p>
    <w:p w14:paraId="234B635E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支持多种画面合成风格，最大支持 9 画面合成，支持边框和拉伸模式设置，支持双流编码。</w:t>
      </w:r>
    </w:p>
    <w:p w14:paraId="1E2FCC2A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内置专业DSP音频处理器，实现啸叫抑制、自动降噪、回声抵消、自动增益处理。</w:t>
      </w:r>
    </w:p>
    <w:p w14:paraId="2AB837E2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▲应支持单画面不少于4个人脸动态马赛克处理（马赛克随人脸移动），支持自定义设置马赛克等级（薄码，中码，厚码）和区域大小。（需提供产品界面截图、产品彩页、产品说明书、产品白皮书或第三方检测机构出具的检测报告等证明材料）</w:t>
      </w:r>
    </w:p>
    <w:p w14:paraId="78449DA8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支持多画面实时视频浏览、PTZ 控制、浏览回放一键切换、报警联动与管理。</w:t>
      </w:r>
    </w:p>
    <w:p w14:paraId="7B613DF3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内置2T标准SATA硬盘。</w:t>
      </w:r>
    </w:p>
    <w:p w14:paraId="5C92804C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应支持4路SDI输入，2路VGA输入，2路HDMI输入，2路VGA输出，2路HDMI输出。</w:t>
      </w:r>
    </w:p>
    <w:p w14:paraId="7B50C889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应支持6路Mic In（幻象供电）、2路Line In、3路Line Out。</w:t>
      </w:r>
    </w:p>
    <w:p w14:paraId="652A234F">
      <w:pPr>
        <w:pStyle w:val="3"/>
        <w:numPr>
          <w:ilvl w:val="1"/>
          <w:numId w:val="0"/>
        </w:num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4.2 融合庭审编解码设备</w:t>
      </w:r>
    </w:p>
    <w:p w14:paraId="1C996B23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1.▲视频会议：支持多方高清视频会议功能，最大9画面集中显示。（需提供产品界面截图、产品彩页、产品说明书、产品白皮书或第三方检测机构出具的检测报告等证明材料）</w:t>
      </w:r>
    </w:p>
    <w:p w14:paraId="44AFE499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2.▲布局模式：支持多种Layout模式：1，2，3，4，1+5，1+7，9。（需提供产品界面截图、产品彩页、产品说明书、产品白皮书或第三方检测机构出具的检测报告等证明材料）</w:t>
      </w:r>
    </w:p>
    <w:p w14:paraId="2AE194FB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3.画面轮询：支持会场画面轮询显示功能。</w:t>
      </w:r>
    </w:p>
    <w:p w14:paraId="2B1D1B08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4.视频分辨率：支持1080p、720p多种高清视频编解码格式。</w:t>
      </w:r>
    </w:p>
    <w:p w14:paraId="16A2BE14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5.▲双流发送：支持通过高清线缆、软件客户端、无线传屏器等方式发送双流。（需提供产品界面截图、产品彩页、产品说明书、产品白皮书或第三方检测机构出具的检测报告等证明材料）</w:t>
      </w:r>
    </w:p>
    <w:p w14:paraId="7C62B345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6.视频编解码：H.263、H.263+、H.264BP、H.264HP、H.264HPSVC、H.265、H.265SVC。</w:t>
      </w:r>
    </w:p>
    <w:p w14:paraId="71844C22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7.视频处理：硬件编解码、低带宽传输、图像预处理、图像后处理、低照度降噪处理。</w:t>
      </w:r>
    </w:p>
    <w:p w14:paraId="7B69AE1B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8.画面布局：支持多画面，画廊模式，演讲者模式，语音激励模式，支持人脸识别、实现会议中电子名片&amp;电子铭牌、人脸签到等应用，支持人像优化。</w:t>
      </w:r>
    </w:p>
    <w:p w14:paraId="20494875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9.▲音频编解码：宽频语音，动态分层编码，支持Opus、G.711a、G.711u、G.722、G.7221、G.7221Annexc、G.729a,AAC等音频编码协议。（需提供产品界面截图、产品彩页、产品说明书、产品白皮书或第三方检测机构出具的检测报告等证明材料）</w:t>
      </w:r>
    </w:p>
    <w:p w14:paraId="366D73B7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10.音频处理：远场拾音、回声消除、智能降噪、自动增益控制、自动人声增强、唇音同步。</w:t>
      </w:r>
    </w:p>
    <w:p w14:paraId="1FFD0AB3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11.双流：支持会议中发送、接收功能，支持高清1080P30fps双流。</w:t>
      </w:r>
    </w:p>
    <w:p w14:paraId="499038FD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12.无线传屏：支持无线传屏配对功能。</w:t>
      </w:r>
    </w:p>
    <w:p w14:paraId="3CE71215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13.▲视频丢包率测试：采用H.264HPSVC视频分层编码技术，丢包率达50%的情况下，保证视频不卡顿不花屏。（需提供产品界面截图、产品彩页、产品说明书、产品白皮书或第三方检测机构出具的检测报告等证明材料）</w:t>
      </w:r>
    </w:p>
    <w:p w14:paraId="07AD971C">
      <w:pPr>
        <w:ind w:firstLine="480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14.音频丢包测试：支持音频Opus分层编码，具有强大的前向、后向纠错算法，在高达80%丢包的情况下，依然有良好的声音质量，清楚连贯。</w:t>
      </w:r>
    </w:p>
    <w:p w14:paraId="298ABABB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15.分享功能：采用H.264动态高清编码技术，桌面分享分辨率≥1080p，既可分享文档，也可播放音视频文件。</w:t>
      </w:r>
    </w:p>
    <w:p w14:paraId="4A2A5C31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16.音频接口：音频输入接口：XLR接口×2；TRS接口≥2；RCA接口×2；DMIC×2。音频输出接口：RCA接口×2，HDMI×1。</w:t>
      </w:r>
    </w:p>
    <w:p w14:paraId="561FAFD9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17.视频接口：视频输入接口：RJ45×2，HDMI×1。视频输出接口：HDMI×1。</w:t>
      </w:r>
    </w:p>
    <w:p w14:paraId="7D30A133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18.其他接口：USB接口×2。RS232接口：RJ45×1。</w:t>
      </w:r>
    </w:p>
    <w:p w14:paraId="6CB38CFF">
      <w:pPr>
        <w:pStyle w:val="3"/>
        <w:numPr>
          <w:ilvl w:val="1"/>
          <w:numId w:val="0"/>
        </w:num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4.</w:t>
      </w:r>
      <w:r>
        <w:rPr>
          <w:rFonts w:hint="eastAsia" w:ascii="仿宋" w:hAnsi="仿宋" w:eastAsia="仿宋" w:cs="仿宋"/>
          <w:lang w:val="en-US" w:eastAsia="zh-CN"/>
        </w:rPr>
        <w:t>3</w:t>
      </w:r>
      <w:r>
        <w:rPr>
          <w:rFonts w:hint="eastAsia" w:ascii="仿宋" w:hAnsi="仿宋" w:eastAsia="仿宋" w:cs="仿宋"/>
        </w:rPr>
        <w:t xml:space="preserve"> 室内LED显示屏</w:t>
      </w:r>
    </w:p>
    <w:p w14:paraId="3F351370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1、点间距≤1.25mm;屏体尺寸：宽度≥6米，高度≥3.375米，分辨率≥4800(宽)*2700(高),箱体尺寸：要求为主流专业显示箱体尺寸：600mm(宽)*337.5mm(高);像素密度：≥640000点/平方，采用SMD表贴封装；</w:t>
      </w:r>
    </w:p>
    <w:p w14:paraId="723792D1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2.LED显示屏应考虑本次建设需求的不同场景对于屏体可视角、亮度、均匀性等的不同要求，要求视角：垂直/水平≥175°,亮度：50-1200cd/m²可选，亮度均匀性：≥99%,发光中心点偏差：&lt;0.1%,色度均匀性：&lt;±0.001Cx,Cy;箱体平整度&lt;0.1mm,箱体间/模组间相对错位值&lt;1.0%;</w:t>
      </w:r>
    </w:p>
    <w:p w14:paraId="590841AD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3.LED显示屏应具有良好的画面显示效果，要求刷新率：≥3840Hz,最大对比度(全白/全黑环境照度0.01lux):≥18000:1,色温：1000-20000K可调，像素点失控率：≤1/1500000;支持单点亮度、颜色校正，模组带自动校正功能，带flash芯片；系统具有24bit处理深度，灰度过渡平滑，低灰情况下无马赛克、无图像细节损失；</w:t>
      </w:r>
    </w:p>
    <w:p w14:paraId="2CCC7D77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4.▲峰值功耗：≤380W/m²,平均功耗：≤135W/m²；防护等级：正面防护等级不低于IP65;PCB、主板、模组阻燃不低于V-0级要求；蓝光危害：依据GB/T 20145-2006标准符合光生物安全及蓝光危害评估检测无危害类要求，在2.8h内无视网膜蓝光危害，在1000s内无紫外辐射危害；（需提供产品界面截图、产品彩页、产品说明书、产品白皮书或第三方检测机构出具的检测报告等证明材料）</w:t>
      </w:r>
    </w:p>
    <w:p w14:paraId="3BF5FC1F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5.维护方式：支持完全前维护，模组、电源\二合一板可全部进行正面维护、更换，箱体间电源及信号采用分离式传输；</w:t>
      </w:r>
    </w:p>
    <w:p w14:paraId="66D60C73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6.▲PCB板设计：模组采用专业级高强度板材，不低于TG150强度等级，板厚不低于2.0mm,有效防止PCB变形，具有亮度、对比度、色度调节、视觉修正等图像调整功能；（需提供产品界面截图、产品彩页、产品说明书、产品白皮书或第三方检测机构出具的检测报告等证明材料）</w:t>
      </w:r>
    </w:p>
    <w:p w14:paraId="3CA873CA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7.模组设计：模组与主板采用硬接口设计，板对板设计，支持直接插拔；主板设计：接收卡、HUB卡二合一全集成设计、接收卡非插拔式：</w:t>
      </w:r>
    </w:p>
    <w:p w14:paraId="2AD366C2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8</w:t>
      </w:r>
      <w:r>
        <w:rPr>
          <w:rFonts w:hint="eastAsia" w:ascii="仿宋" w:hAnsi="仿宋" w:eastAsia="仿宋" w:cs="仿宋"/>
        </w:rPr>
        <w:t>.箱体设计：箱体为压铸铝材质，一次性整体压铸成型，自然散热，无风扇、静音设计；箱体后背自带测试按钮，支持红、绿、蓝、白纯色测试画面，支持横扫、斜扫、灰阶测试画面；箱体四边有设计过线孔，可支持信号任意方向级联，极大的方便箱体拼装。电源AC端隐藏式设计，杜绝误触电事件，提高安全系数。</w:t>
      </w:r>
    </w:p>
    <w:p w14:paraId="0B19F992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9</w:t>
      </w:r>
      <w:r>
        <w:rPr>
          <w:rFonts w:hint="eastAsia" w:ascii="仿宋" w:hAnsi="仿宋" w:eastAsia="仿宋" w:cs="仿宋"/>
        </w:rPr>
        <w:t>.防短路设计：各个模组电源输入端独立供电，互不干扰；当模组电流过大时，自动启动防短路功能，当电流恢复正常时，模组自动恢复正常工作。</w:t>
      </w:r>
    </w:p>
    <w:p w14:paraId="7E880863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</w:t>
      </w:r>
      <w:r>
        <w:rPr>
          <w:rFonts w:hint="eastAsia" w:ascii="仿宋" w:hAnsi="仿宋" w:eastAsia="仿宋" w:cs="仿宋"/>
          <w:lang w:val="en-US" w:eastAsia="zh-CN"/>
        </w:rPr>
        <w:t>0</w:t>
      </w:r>
      <w:r>
        <w:rPr>
          <w:rFonts w:hint="eastAsia" w:ascii="仿宋" w:hAnsi="仿宋" w:eastAsia="仿宋" w:cs="仿宋"/>
        </w:rPr>
        <w:t>.防呆设计：模组安装具有防呆设计，通过箱体上的定位柱和模组上的连接器实现防呆。保证安装过程中不会因安装错误而引起异常。</w:t>
      </w:r>
    </w:p>
    <w:p w14:paraId="43B6C091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</w:t>
      </w:r>
      <w:r>
        <w:rPr>
          <w:rFonts w:hint="eastAsia" w:ascii="仿宋" w:hAnsi="仿宋" w:eastAsia="仿宋" w:cs="仿宋"/>
          <w:lang w:val="en-US" w:eastAsia="zh-CN"/>
        </w:rPr>
        <w:t>1</w:t>
      </w:r>
      <w:r>
        <w:rPr>
          <w:rFonts w:hint="eastAsia" w:ascii="仿宋" w:hAnsi="仿宋" w:eastAsia="仿宋" w:cs="仿宋"/>
        </w:rPr>
        <w:t>.防透光设计：箱体四边增加凹槽设计，放置遮光棉条，有效防止箱体间透光和漏光。模组间增加凹槽设计，防止模组间透光。</w:t>
      </w:r>
    </w:p>
    <w:p w14:paraId="5506453A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</w:t>
      </w:r>
      <w:r>
        <w:rPr>
          <w:rFonts w:hint="eastAsia" w:ascii="仿宋" w:hAnsi="仿宋" w:eastAsia="仿宋" w:cs="仿宋"/>
          <w:lang w:val="en-US" w:eastAsia="zh-CN"/>
        </w:rPr>
        <w:t>2</w:t>
      </w:r>
      <w:r>
        <w:rPr>
          <w:rFonts w:hint="eastAsia" w:ascii="仿宋" w:hAnsi="仿宋" w:eastAsia="仿宋" w:cs="仿宋"/>
        </w:rPr>
        <w:t>.显示屏需具备连续工作7*24h;典型寿命时间：≥200000小时；平均无故障时间：≥200000小时；</w:t>
      </w:r>
    </w:p>
    <w:p w14:paraId="6C9AB801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14.所投屏体须通过CCC强制认证，并提供证书复印件加盖制造商公章。</w:t>
      </w:r>
    </w:p>
    <w:p w14:paraId="00D7AB10">
      <w:pPr>
        <w:pStyle w:val="2"/>
        <w:widowControl/>
        <w:numPr>
          <w:ilvl w:val="0"/>
          <w:numId w:val="2"/>
        </w:numPr>
        <w:autoSpaceDE w:val="0"/>
        <w:autoSpaceDN w:val="0"/>
        <w:adjustRightInd w:val="0"/>
        <w:snapToGrid w:val="0"/>
        <w:jc w:val="left"/>
        <w:textAlignment w:val="baseline"/>
        <w:rPr>
          <w:rFonts w:hint="eastAsia" w:ascii="仿宋" w:hAnsi="仿宋" w:eastAsia="仿宋" w:cs="仿宋"/>
          <w:sz w:val="32"/>
          <w:szCs w:val="16"/>
        </w:rPr>
      </w:pPr>
      <w:r>
        <w:rPr>
          <w:rFonts w:hint="eastAsia" w:ascii="仿宋" w:hAnsi="仿宋" w:eastAsia="仿宋" w:cs="仿宋"/>
          <w:sz w:val="32"/>
          <w:szCs w:val="16"/>
        </w:rPr>
        <w:t>系统对接要求/兼容性要求</w:t>
      </w:r>
    </w:p>
    <w:p w14:paraId="6CCA3C2F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本系统涉及上海法院现有业务系统对接进行的多种类型数据、处理、查询及应用，投标方需要自行解决相关系统对接和数据访问，招标金额包含相应的所有软件接口对接费用。需完整实现下述系统对接及数据交互：</w:t>
      </w:r>
    </w:p>
    <w:p w14:paraId="2573B9D5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上海法院诉讼服务系统服务于诉讼工作，为当事人提供一站通办、一网通办、一号通办、一次通办的诉讼服务，实现全流程依法公开、全方位智能服务。审判系统是以辅助办案为目的，服务于审判全流程，涵盖诉调、立案、分案、排期、庭审、结案、归档和上诉等相关业务，旨在实现审判工作全业务办理，提供全面的智能支持。本项目中访客人证比对一体机、取号机、通道闸机、诉讼服务多功能自助终端等专用设备（含配套）需通过http协议或API接口实现与上海法院诉服、审判、执行等业务系统无缝对接。出具诉讼服务系统与“一张网”系统详细对接方案。</w:t>
      </w:r>
    </w:p>
    <w:p w14:paraId="63ACEED4">
      <w:pPr>
        <w:pStyle w:val="2"/>
        <w:widowControl/>
        <w:numPr>
          <w:ilvl w:val="0"/>
          <w:numId w:val="2"/>
        </w:numPr>
        <w:autoSpaceDE w:val="0"/>
        <w:autoSpaceDN w:val="0"/>
        <w:adjustRightInd w:val="0"/>
        <w:snapToGrid w:val="0"/>
        <w:jc w:val="left"/>
        <w:textAlignment w:val="baseline"/>
        <w:rPr>
          <w:rFonts w:hint="eastAsia" w:ascii="仿宋" w:hAnsi="仿宋" w:eastAsia="仿宋" w:cs="仿宋"/>
          <w:sz w:val="32"/>
          <w:szCs w:val="16"/>
        </w:rPr>
      </w:pPr>
      <w:r>
        <w:rPr>
          <w:rFonts w:hint="eastAsia" w:ascii="仿宋" w:hAnsi="仿宋" w:eastAsia="仿宋" w:cs="仿宋"/>
          <w:sz w:val="32"/>
          <w:szCs w:val="16"/>
        </w:rPr>
        <w:t>实施人员要求</w:t>
      </w:r>
    </w:p>
    <w:p w14:paraId="7C531BAB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本项目技术环境复杂，且涉及多单位部门的协调，因此要求项目组成员具有很强的组织协调能力，应重复考虑本项目的复杂程度及实施要求，合理配置项目实施团队，具体要求如下：</w:t>
      </w:r>
    </w:p>
    <w:p w14:paraId="1B597B77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1.要求明确实施团队的组织架构及各成员的分工职责；</w:t>
      </w:r>
    </w:p>
    <w:p w14:paraId="52E23FF3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2.要求项目经理</w:t>
      </w:r>
      <w:r>
        <w:rPr>
          <w:rFonts w:hint="eastAsia" w:ascii="仿宋" w:hAnsi="仿宋" w:eastAsia="仿宋" w:cs="仿宋"/>
          <w:lang w:eastAsia="zh-CN"/>
        </w:rPr>
        <w:t>（</w:t>
      </w:r>
      <w:r>
        <w:rPr>
          <w:rFonts w:hint="eastAsia" w:ascii="仿宋" w:hAnsi="仿宋" w:eastAsia="仿宋" w:cs="仿宋"/>
          <w:lang w:val="en-US" w:eastAsia="zh-CN"/>
        </w:rPr>
        <w:t>1人</w:t>
      </w:r>
      <w:r>
        <w:rPr>
          <w:rFonts w:hint="eastAsia" w:ascii="仿宋" w:hAnsi="仿宋" w:eastAsia="仿宋" w:cs="仿宋"/>
          <w:lang w:eastAsia="zh-CN"/>
        </w:rPr>
        <w:t>）</w:t>
      </w:r>
      <w:r>
        <w:rPr>
          <w:rFonts w:hint="eastAsia" w:ascii="仿宋" w:hAnsi="仿宋" w:eastAsia="仿宋" w:cs="仿宋"/>
        </w:rPr>
        <w:t>、项目组成员</w:t>
      </w:r>
      <w:r>
        <w:rPr>
          <w:rFonts w:hint="eastAsia" w:ascii="仿宋" w:hAnsi="仿宋" w:eastAsia="仿宋" w:cs="仿宋"/>
          <w:lang w:eastAsia="zh-CN"/>
        </w:rPr>
        <w:t>（不少于</w:t>
      </w:r>
      <w:r>
        <w:rPr>
          <w:rFonts w:hint="eastAsia" w:ascii="仿宋" w:hAnsi="仿宋" w:eastAsia="仿宋" w:cs="仿宋"/>
          <w:lang w:val="en-US" w:eastAsia="zh-CN"/>
        </w:rPr>
        <w:t>4人</w:t>
      </w:r>
      <w:r>
        <w:rPr>
          <w:rFonts w:hint="eastAsia" w:ascii="仿宋" w:hAnsi="仿宋" w:eastAsia="仿宋" w:cs="仿宋"/>
          <w:lang w:eastAsia="zh-CN"/>
        </w:rPr>
        <w:t>）</w:t>
      </w:r>
      <w:r>
        <w:rPr>
          <w:rFonts w:hint="eastAsia" w:ascii="仿宋" w:hAnsi="仿宋" w:eastAsia="仿宋" w:cs="仿宋"/>
        </w:rPr>
        <w:t>，需要是与成交供应商签订正式劳动关系的员工，需提供项目人员</w:t>
      </w:r>
      <w:r>
        <w:rPr>
          <w:rFonts w:hint="eastAsia" w:ascii="仿宋" w:hAnsi="仿宋" w:eastAsia="仿宋" w:cs="仿宋"/>
          <w:lang w:eastAsia="zh-CN"/>
        </w:rPr>
        <w:t>有效</w:t>
      </w:r>
      <w:r>
        <w:rPr>
          <w:rFonts w:hint="eastAsia" w:ascii="仿宋" w:hAnsi="仿宋" w:eastAsia="仿宋" w:cs="仿宋"/>
        </w:rPr>
        <w:t>社保缴费证明。</w:t>
      </w:r>
    </w:p>
    <w:p w14:paraId="4CBC1E33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3.项目经理要求：成交供应商应优先选派具备以下资质或能力的人员作为项目经理，要求包括且不限于：具有本科及以上学位；具有高级工程师证书；具有 10 年以上</w:t>
      </w:r>
      <w:r>
        <w:rPr>
          <w:rFonts w:hint="eastAsia" w:ascii="仿宋" w:hAnsi="仿宋" w:eastAsia="仿宋" w:cs="仿宋"/>
          <w:lang w:val="en-US" w:eastAsia="zh-CN"/>
        </w:rPr>
        <w:t>信息系统建设或类似</w:t>
      </w:r>
      <w:r>
        <w:rPr>
          <w:rFonts w:hint="eastAsia" w:ascii="仿宋" w:hAnsi="仿宋" w:eastAsia="仿宋" w:cs="仿宋"/>
        </w:rPr>
        <w:t>从业经历；至少担任过一个类似本项目的项目经理业绩，并提供证明。</w:t>
      </w:r>
    </w:p>
    <w:p w14:paraId="67DF6AF5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4.项目组成员要求：为保证项目顺利实施，成交供应商应优先选派的人员应分别具备以下资质或能力，包括且不限于：信息系统项目管理师，系统集成项目管理工程师。</w:t>
      </w:r>
    </w:p>
    <w:p w14:paraId="01173072">
      <w:pPr>
        <w:ind w:firstLine="480"/>
        <w:rPr>
          <w:rFonts w:hint="eastAsia" w:ascii="仿宋" w:hAnsi="仿宋" w:eastAsia="仿宋" w:cs="仿宋"/>
        </w:rPr>
      </w:pPr>
    </w:p>
    <w:p w14:paraId="71AA270E">
      <w:pPr>
        <w:pStyle w:val="2"/>
        <w:widowControl/>
        <w:numPr>
          <w:ilvl w:val="0"/>
          <w:numId w:val="2"/>
        </w:numPr>
        <w:autoSpaceDE w:val="0"/>
        <w:autoSpaceDN w:val="0"/>
        <w:adjustRightInd w:val="0"/>
        <w:snapToGrid w:val="0"/>
        <w:jc w:val="left"/>
        <w:textAlignment w:val="baseline"/>
        <w:rPr>
          <w:rFonts w:hint="eastAsia" w:ascii="仿宋" w:hAnsi="仿宋" w:eastAsia="仿宋" w:cs="仿宋"/>
          <w:sz w:val="32"/>
          <w:szCs w:val="16"/>
        </w:rPr>
      </w:pPr>
      <w:r>
        <w:rPr>
          <w:rFonts w:hint="eastAsia" w:ascii="仿宋" w:hAnsi="仿宋" w:eastAsia="仿宋" w:cs="仿宋"/>
          <w:sz w:val="32"/>
          <w:szCs w:val="16"/>
        </w:rPr>
        <w:t>售后服务及质保</w:t>
      </w:r>
    </w:p>
    <w:p w14:paraId="6488A4E1">
      <w:pPr>
        <w:ind w:firstLine="48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7.1 </w:t>
      </w:r>
      <w:r>
        <w:rPr>
          <w:rFonts w:hint="eastAsia" w:ascii="仿宋" w:hAnsi="仿宋" w:eastAsia="仿宋" w:cs="仿宋"/>
        </w:rPr>
        <w:t>本项目应满足验收通过之日起3年的整体质保</w:t>
      </w:r>
      <w:r>
        <w:rPr>
          <w:rFonts w:hint="eastAsia" w:ascii="仿宋" w:hAnsi="仿宋" w:eastAsia="仿宋" w:cs="仿宋"/>
          <w:lang w:val="en-US" w:eastAsia="zh-CN"/>
        </w:rPr>
        <w:t>.</w:t>
      </w:r>
    </w:p>
    <w:p w14:paraId="27A93348">
      <w:pPr>
        <w:ind w:firstLine="48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 xml:space="preserve">7.2 </w:t>
      </w:r>
      <w:r>
        <w:rPr>
          <w:rFonts w:hint="eastAsia" w:ascii="仿宋" w:hAnsi="仿宋" w:eastAsia="仿宋" w:cs="仿宋"/>
        </w:rPr>
        <w:t xml:space="preserve">7天x24小时的电话支持服务及应急维护响应支持，在接到故障报修通知后，在2小时内响应，4小时内到达故障现场进行抢修，在24小时内修复故障。若属于硬件故障，应在48小时内修复，不能立即修复的应提供备品备件应急使用。 </w:t>
      </w:r>
    </w:p>
    <w:p w14:paraId="11D878CD">
      <w:pPr>
        <w:ind w:firstLine="480"/>
        <w:rPr>
          <w:rFonts w:hint="eastAsia" w:ascii="仿宋" w:hAnsi="仿宋" w:eastAsia="仿宋" w:cs="仿宋"/>
        </w:rPr>
      </w:pPr>
    </w:p>
    <w:p w14:paraId="5FE8A8AD">
      <w:pPr>
        <w:ind w:firstLine="0" w:firstLineChars="0"/>
        <w:rPr>
          <w:rFonts w:hint="eastAsia" w:ascii="仿宋" w:hAnsi="仿宋" w:eastAsia="仿宋" w:cs="仿宋"/>
          <w:b/>
          <w:bCs/>
          <w:kern w:val="44"/>
          <w:sz w:val="32"/>
          <w:szCs w:val="16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44"/>
          <w:sz w:val="32"/>
          <w:szCs w:val="16"/>
          <w:lang w:val="en-US" w:eastAsia="zh-CN"/>
        </w:rPr>
        <w:t>8.合法取得产品说明</w:t>
      </w:r>
    </w:p>
    <w:p w14:paraId="34FCDB23">
      <w:pPr>
        <w:numPr>
          <w:ilvl w:val="0"/>
          <w:numId w:val="0"/>
        </w:numPr>
        <w:ind w:firstLine="0" w:firstLineChars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针对本项目的所有 投标产品，供应商均需承诺其来源合法有效，针对重要产品：融合庭审编解码设备、高清录播工作站、室内LED显示屏，需提供合法来源证明材料（包括产品授权函、原厂售后服务承诺函）</w:t>
      </w: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1418" w:bottom="1418" w:left="1418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等线 Light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99B11">
    <w:pPr>
      <w:pStyle w:val="12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C2CE3">
    <w:pPr>
      <w:pStyle w:val="12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28076">
    <w:pPr>
      <w:pStyle w:val="12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12A86">
    <w:pPr>
      <w:pStyle w:val="13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937522">
    <w:pPr>
      <w:pStyle w:val="13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EBD1E4">
    <w:pPr>
      <w:pStyle w:val="13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4368AB"/>
    <w:multiLevelType w:val="multilevel"/>
    <w:tmpl w:val="B74368A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7A044BD3"/>
    <w:multiLevelType w:val="multilevel"/>
    <w:tmpl w:val="7A044BD3"/>
    <w:lvl w:ilvl="0" w:tentative="0">
      <w:start w:val="1"/>
      <w:numFmt w:val="decimal"/>
      <w:pStyle w:val="2"/>
      <w:suff w:val="space"/>
      <w:lvlText w:val="第%1章"/>
      <w:lvlJc w:val="center"/>
      <w:pPr>
        <w:ind w:left="0" w:firstLine="0"/>
      </w:pPr>
      <w:rPr>
        <w:rFonts w:hint="eastAsia" w:eastAsia="宋体"/>
      </w:rPr>
    </w:lvl>
    <w:lvl w:ilvl="1" w:tentative="0">
      <w:start w:val="1"/>
      <w:numFmt w:val="decimal"/>
      <w:pStyle w:val="3"/>
      <w:suff w:val="space"/>
      <w:lvlText w:val="%1.%2"/>
      <w:lvlJc w:val="left"/>
      <w:pPr>
        <w:ind w:left="0" w:firstLine="0"/>
      </w:pPr>
      <w:rPr>
        <w:rFonts w:hint="eastAsia" w:eastAsia="宋体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ind w:left="0" w:firstLine="0"/>
      </w:pPr>
      <w:rPr>
        <w:rFonts w:hint="default" w:eastAsia="宋体" w:asciiTheme="majorHAnsi" w:hAnsiTheme="majorHAnsi"/>
      </w:rPr>
    </w:lvl>
    <w:lvl w:ilvl="3" w:tentative="0">
      <w:start w:val="1"/>
      <w:numFmt w:val="decimal"/>
      <w:pStyle w:val="5"/>
      <w:suff w:val="space"/>
      <w:lvlText w:val="%1.%2.%3.%4"/>
      <w:lvlJc w:val="left"/>
      <w:pPr>
        <w:ind w:left="0" w:firstLine="0"/>
      </w:pPr>
      <w:rPr>
        <w:rFonts w:hint="eastAsia" w:eastAsia="宋体"/>
      </w:rPr>
    </w:lvl>
    <w:lvl w:ilvl="4" w:tentative="0">
      <w:start w:val="1"/>
      <w:numFmt w:val="decimal"/>
      <w:pStyle w:val="7"/>
      <w:suff w:val="space"/>
      <w:lvlText w:val="%1.%2.%3.%4.%5"/>
      <w:lvlJc w:val="left"/>
      <w:pPr>
        <w:ind w:left="568" w:firstLine="0"/>
      </w:pPr>
      <w:rPr>
        <w:rFonts w:hint="default" w:eastAsia="宋体" w:asciiTheme="majorHAnsi" w:hAnsiTheme="majorHAnsi"/>
      </w:rPr>
    </w:lvl>
    <w:lvl w:ilvl="5" w:tentative="0">
      <w:start w:val="1"/>
      <w:numFmt w:val="decimal"/>
      <w:pStyle w:val="8"/>
      <w:suff w:val="space"/>
      <w:lvlText w:val="%1.%2.%3.%4.%5.%6"/>
      <w:lvlJc w:val="left"/>
      <w:pPr>
        <w:ind w:left="567" w:firstLine="0"/>
      </w:pPr>
      <w:rPr>
        <w:rFonts w:hint="eastAsia" w:eastAsia="宋体"/>
      </w:rPr>
    </w:lvl>
    <w:lvl w:ilvl="6" w:tentative="0">
      <w:start w:val="1"/>
      <w:numFmt w:val="decimal"/>
      <w:pStyle w:val="9"/>
      <w:suff w:val="space"/>
      <w:lvlText w:val="%1.%2.%3.%4.%5.%6.%7"/>
      <w:lvlJc w:val="left"/>
      <w:pPr>
        <w:ind w:left="567" w:firstLine="0"/>
      </w:pPr>
      <w:rPr>
        <w:rFonts w:hint="eastAsia" w:eastAsia="宋体"/>
      </w:rPr>
    </w:lvl>
    <w:lvl w:ilvl="7" w:tentative="0">
      <w:start w:val="1"/>
      <w:numFmt w:val="decimal"/>
      <w:pStyle w:val="10"/>
      <w:suff w:val="space"/>
      <w:lvlText w:val="%1.%2.%3.%4.%5.%6.%7.%8"/>
      <w:lvlJc w:val="left"/>
      <w:pPr>
        <w:ind w:left="567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trackRevisions w:val="1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F98"/>
    <w:rsid w:val="000F3573"/>
    <w:rsid w:val="003B6627"/>
    <w:rsid w:val="0061259E"/>
    <w:rsid w:val="00706810"/>
    <w:rsid w:val="00906585"/>
    <w:rsid w:val="00A83F45"/>
    <w:rsid w:val="00A84F98"/>
    <w:rsid w:val="00A8595F"/>
    <w:rsid w:val="00AD4B83"/>
    <w:rsid w:val="00DB6ACD"/>
    <w:rsid w:val="00E30963"/>
    <w:rsid w:val="03374FA3"/>
    <w:rsid w:val="06C15889"/>
    <w:rsid w:val="09FF6A10"/>
    <w:rsid w:val="0A3B7241"/>
    <w:rsid w:val="18780E2A"/>
    <w:rsid w:val="206B6ABE"/>
    <w:rsid w:val="221348E6"/>
    <w:rsid w:val="23737D36"/>
    <w:rsid w:val="23A03F42"/>
    <w:rsid w:val="2B5D2748"/>
    <w:rsid w:val="2D79730F"/>
    <w:rsid w:val="3676530E"/>
    <w:rsid w:val="367C7CC8"/>
    <w:rsid w:val="3A5B4135"/>
    <w:rsid w:val="3FFAF0C5"/>
    <w:rsid w:val="489B2255"/>
    <w:rsid w:val="4DEE5E67"/>
    <w:rsid w:val="4E7F58C4"/>
    <w:rsid w:val="4EDFCF9C"/>
    <w:rsid w:val="54A0435F"/>
    <w:rsid w:val="56090E84"/>
    <w:rsid w:val="5696399B"/>
    <w:rsid w:val="57C40364"/>
    <w:rsid w:val="5ADF4E25"/>
    <w:rsid w:val="5C4001D5"/>
    <w:rsid w:val="5DD30262"/>
    <w:rsid w:val="5E7D5CBD"/>
    <w:rsid w:val="6B7F330B"/>
    <w:rsid w:val="6B8A1516"/>
    <w:rsid w:val="6D7D89E7"/>
    <w:rsid w:val="724B3E9E"/>
    <w:rsid w:val="74351D38"/>
    <w:rsid w:val="75B506CA"/>
    <w:rsid w:val="76FDCEE6"/>
    <w:rsid w:val="77A15E65"/>
    <w:rsid w:val="79857139"/>
    <w:rsid w:val="7AD1070A"/>
    <w:rsid w:val="7CE41D79"/>
    <w:rsid w:val="7ED7D678"/>
    <w:rsid w:val="9ABD4084"/>
    <w:rsid w:val="CEED84DF"/>
    <w:rsid w:val="CFFD239E"/>
    <w:rsid w:val="DFFFCF32"/>
    <w:rsid w:val="EB7F1B27"/>
    <w:rsid w:val="F16E0DCC"/>
    <w:rsid w:val="FFFFE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200" w:firstLineChars="200"/>
      <w:jc w:val="both"/>
    </w:pPr>
    <w:rPr>
      <w:rFonts w:eastAsia="宋体" w:asciiTheme="minorHAnsi" w:hAnsiTheme="minorHAnsi" w:cstheme="minorBidi"/>
      <w:kern w:val="2"/>
      <w:sz w:val="24"/>
      <w:szCs w:val="21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9"/>
    <w:pPr>
      <w:keepNext/>
      <w:keepLines/>
      <w:numPr>
        <w:ilvl w:val="0"/>
        <w:numId w:val="1"/>
      </w:numPr>
      <w:ind w:firstLineChars="0"/>
      <w:jc w:val="center"/>
      <w:outlineLvl w:val="0"/>
    </w:pPr>
    <w:rPr>
      <w:b/>
      <w:bCs/>
      <w:kern w:val="44"/>
      <w:sz w:val="36"/>
      <w:szCs w:val="44"/>
    </w:rPr>
  </w:style>
  <w:style w:type="paragraph" w:styleId="3">
    <w:name w:val="heading 2"/>
    <w:basedOn w:val="1"/>
    <w:link w:val="19"/>
    <w:unhideWhenUsed/>
    <w:qFormat/>
    <w:uiPriority w:val="9"/>
    <w:pPr>
      <w:keepNext/>
      <w:keepLines/>
      <w:numPr>
        <w:ilvl w:val="1"/>
        <w:numId w:val="1"/>
      </w:numPr>
      <w:ind w:firstLineChars="0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link w:val="20"/>
    <w:autoRedefine/>
    <w:unhideWhenUsed/>
    <w:qFormat/>
    <w:uiPriority w:val="9"/>
    <w:pPr>
      <w:keepNext/>
      <w:keepLines/>
      <w:numPr>
        <w:ilvl w:val="2"/>
        <w:numId w:val="1"/>
      </w:numPr>
      <w:ind w:firstLineChars="0"/>
      <w:outlineLvl w:val="2"/>
    </w:pPr>
    <w:rPr>
      <w:b/>
      <w:bCs/>
      <w:sz w:val="30"/>
      <w:szCs w:val="32"/>
    </w:rPr>
  </w:style>
  <w:style w:type="paragraph" w:styleId="5">
    <w:name w:val="heading 4"/>
    <w:basedOn w:val="1"/>
    <w:next w:val="6"/>
    <w:link w:val="21"/>
    <w:autoRedefine/>
    <w:unhideWhenUsed/>
    <w:qFormat/>
    <w:uiPriority w:val="9"/>
    <w:pPr>
      <w:keepNext/>
      <w:keepLines/>
      <w:numPr>
        <w:ilvl w:val="3"/>
        <w:numId w:val="1"/>
      </w:numPr>
      <w:ind w:firstLineChars="0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1"/>
    <w:link w:val="22"/>
    <w:autoRedefine/>
    <w:unhideWhenUsed/>
    <w:qFormat/>
    <w:uiPriority w:val="9"/>
    <w:pPr>
      <w:keepNext/>
      <w:keepLines/>
      <w:numPr>
        <w:ilvl w:val="4"/>
        <w:numId w:val="1"/>
      </w:numPr>
      <w:ind w:firstLineChars="0"/>
      <w:outlineLvl w:val="4"/>
    </w:pPr>
    <w:rPr>
      <w:b/>
      <w:bCs/>
      <w:szCs w:val="28"/>
    </w:rPr>
  </w:style>
  <w:style w:type="paragraph" w:styleId="8">
    <w:name w:val="heading 6"/>
    <w:basedOn w:val="1"/>
    <w:link w:val="23"/>
    <w:autoRedefine/>
    <w:unhideWhenUsed/>
    <w:qFormat/>
    <w:uiPriority w:val="9"/>
    <w:pPr>
      <w:keepNext/>
      <w:keepLines/>
      <w:numPr>
        <w:ilvl w:val="5"/>
        <w:numId w:val="1"/>
      </w:numPr>
      <w:ind w:firstLineChars="0"/>
      <w:outlineLvl w:val="5"/>
    </w:pPr>
    <w:rPr>
      <w:rFonts w:asciiTheme="majorHAnsi" w:hAnsiTheme="majorHAnsi" w:eastAsiaTheme="majorEastAsia" w:cstheme="majorBidi"/>
      <w:b/>
      <w:bCs/>
    </w:rPr>
  </w:style>
  <w:style w:type="paragraph" w:styleId="9">
    <w:name w:val="heading 7"/>
    <w:basedOn w:val="1"/>
    <w:next w:val="1"/>
    <w:link w:val="24"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ind w:firstLineChars="0"/>
      <w:outlineLvl w:val="6"/>
    </w:pPr>
    <w:rPr>
      <w:b/>
      <w:bCs/>
      <w:szCs w:val="24"/>
    </w:rPr>
  </w:style>
  <w:style w:type="paragraph" w:styleId="10">
    <w:name w:val="heading 8"/>
    <w:basedOn w:val="1"/>
    <w:next w:val="1"/>
    <w:link w:val="25"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  <w:szCs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可研正文"/>
    <w:basedOn w:val="1"/>
    <w:qFormat/>
    <w:uiPriority w:val="0"/>
    <w:pPr>
      <w:widowControl/>
      <w:adjustRightInd w:val="0"/>
      <w:spacing w:line="500" w:lineRule="exact"/>
      <w:ind w:firstLine="560"/>
    </w:pPr>
    <w:rPr>
      <w:rFonts w:hint="eastAsia" w:ascii="仿宋_GB2312" w:hAnsi="仿宋_GB2312" w:eastAsia="仿宋_GB2312"/>
      <w:kern w:val="0"/>
      <w:sz w:val="28"/>
      <w:szCs w:val="28"/>
    </w:rPr>
  </w:style>
  <w:style w:type="paragraph" w:styleId="11">
    <w:name w:val="annotation text"/>
    <w:basedOn w:val="1"/>
    <w:semiHidden/>
    <w:unhideWhenUsed/>
    <w:qFormat/>
    <w:uiPriority w:val="99"/>
    <w:pPr>
      <w:jc w:val="left"/>
    </w:pPr>
  </w:style>
  <w:style w:type="paragraph" w:styleId="12">
    <w:name w:val="footer"/>
    <w:basedOn w:val="1"/>
    <w:link w:val="3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3">
    <w:name w:val="head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Title"/>
    <w:basedOn w:val="1"/>
    <w:next w:val="1"/>
    <w:link w:val="17"/>
    <w:autoRedefine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17">
    <w:name w:val="标题 字符"/>
    <w:basedOn w:val="16"/>
    <w:link w:val="14"/>
    <w:autoRedefine/>
    <w:qFormat/>
    <w:uiPriority w:val="10"/>
    <w:rPr>
      <w:rFonts w:eastAsia="宋体" w:asciiTheme="majorHAnsi" w:hAnsiTheme="majorHAnsi" w:cstheme="majorBidi"/>
      <w:b/>
      <w:bCs/>
      <w:sz w:val="32"/>
      <w:szCs w:val="32"/>
      <w14:ligatures w14:val="none"/>
    </w:rPr>
  </w:style>
  <w:style w:type="character" w:customStyle="1" w:styleId="18">
    <w:name w:val="标题 1 字符"/>
    <w:basedOn w:val="16"/>
    <w:link w:val="2"/>
    <w:autoRedefine/>
    <w:qFormat/>
    <w:uiPriority w:val="9"/>
    <w:rPr>
      <w:rFonts w:eastAsia="宋体"/>
      <w:b/>
      <w:bCs/>
      <w:kern w:val="44"/>
      <w:sz w:val="36"/>
      <w:szCs w:val="44"/>
      <w14:ligatures w14:val="none"/>
    </w:rPr>
  </w:style>
  <w:style w:type="character" w:customStyle="1" w:styleId="19">
    <w:name w:val="标题 2 字符"/>
    <w:basedOn w:val="16"/>
    <w:link w:val="3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  <w14:ligatures w14:val="none"/>
    </w:rPr>
  </w:style>
  <w:style w:type="character" w:customStyle="1" w:styleId="20">
    <w:name w:val="标题 3 字符"/>
    <w:basedOn w:val="16"/>
    <w:link w:val="4"/>
    <w:autoRedefine/>
    <w:qFormat/>
    <w:uiPriority w:val="9"/>
    <w:rPr>
      <w:rFonts w:eastAsia="宋体"/>
      <w:b/>
      <w:bCs/>
      <w:sz w:val="30"/>
      <w:szCs w:val="32"/>
      <w14:ligatures w14:val="none"/>
    </w:rPr>
  </w:style>
  <w:style w:type="character" w:customStyle="1" w:styleId="21">
    <w:name w:val="标题 4 字符"/>
    <w:basedOn w:val="16"/>
    <w:link w:val="5"/>
    <w:autoRedefine/>
    <w:qFormat/>
    <w:uiPriority w:val="9"/>
    <w:rPr>
      <w:rFonts w:asciiTheme="majorHAnsi" w:hAnsiTheme="majorHAnsi" w:eastAsiaTheme="majorEastAsia" w:cstheme="majorBidi"/>
      <w:b/>
      <w:bCs/>
      <w:sz w:val="28"/>
      <w:szCs w:val="28"/>
      <w14:ligatures w14:val="none"/>
    </w:rPr>
  </w:style>
  <w:style w:type="character" w:customStyle="1" w:styleId="22">
    <w:name w:val="标题 5 字符"/>
    <w:basedOn w:val="16"/>
    <w:link w:val="7"/>
    <w:autoRedefine/>
    <w:qFormat/>
    <w:uiPriority w:val="9"/>
    <w:rPr>
      <w:rFonts w:eastAsia="宋体"/>
      <w:b/>
      <w:bCs/>
      <w:sz w:val="24"/>
      <w:szCs w:val="28"/>
      <w14:ligatures w14:val="none"/>
    </w:rPr>
  </w:style>
  <w:style w:type="character" w:customStyle="1" w:styleId="23">
    <w:name w:val="标题 6 字符"/>
    <w:basedOn w:val="16"/>
    <w:link w:val="8"/>
    <w:autoRedefine/>
    <w:qFormat/>
    <w:uiPriority w:val="9"/>
    <w:rPr>
      <w:rFonts w:asciiTheme="majorHAnsi" w:hAnsiTheme="majorHAnsi" w:eastAsiaTheme="majorEastAsia" w:cstheme="majorBidi"/>
      <w:b/>
      <w:bCs/>
      <w:sz w:val="24"/>
      <w:szCs w:val="21"/>
      <w14:ligatures w14:val="none"/>
    </w:rPr>
  </w:style>
  <w:style w:type="character" w:customStyle="1" w:styleId="24">
    <w:name w:val="标题 7 字符"/>
    <w:basedOn w:val="16"/>
    <w:link w:val="9"/>
    <w:qFormat/>
    <w:uiPriority w:val="9"/>
    <w:rPr>
      <w:rFonts w:eastAsia="宋体"/>
      <w:b/>
      <w:bCs/>
      <w:sz w:val="24"/>
      <w14:ligatures w14:val="none"/>
    </w:rPr>
  </w:style>
  <w:style w:type="character" w:customStyle="1" w:styleId="25">
    <w:name w:val="标题 8 字符"/>
    <w:basedOn w:val="16"/>
    <w:link w:val="10"/>
    <w:qFormat/>
    <w:uiPriority w:val="9"/>
    <w:rPr>
      <w:rFonts w:asciiTheme="majorHAnsi" w:hAnsiTheme="majorHAnsi" w:eastAsiaTheme="majorEastAsia" w:cstheme="majorBidi"/>
      <w:sz w:val="24"/>
      <w14:ligatures w14:val="none"/>
    </w:rPr>
  </w:style>
  <w:style w:type="paragraph" w:customStyle="1" w:styleId="26">
    <w:name w:val="正文缩进1"/>
    <w:basedOn w:val="1"/>
    <w:autoRedefine/>
    <w:qFormat/>
    <w:uiPriority w:val="0"/>
    <w:pPr>
      <w:spacing w:line="240" w:lineRule="auto"/>
      <w:ind w:firstLine="420"/>
    </w:pPr>
    <w:rPr>
      <w:rFonts w:ascii="Times New Roman" w:hAnsi="Times New Roman"/>
      <w:sz w:val="21"/>
      <w:szCs w:val="20"/>
    </w:rPr>
  </w:style>
  <w:style w:type="paragraph" w:customStyle="1" w:styleId="27">
    <w:name w:val="正文正文2"/>
    <w:basedOn w:val="1"/>
    <w:autoRedefine/>
    <w:qFormat/>
    <w:uiPriority w:val="0"/>
    <w:pPr>
      <w:ind w:firstLine="460"/>
    </w:pPr>
    <w:rPr>
      <w:sz w:val="21"/>
    </w:rPr>
  </w:style>
  <w:style w:type="paragraph" w:styleId="28">
    <w:name w:val="List Paragraph"/>
    <w:basedOn w:val="1"/>
    <w:qFormat/>
    <w:uiPriority w:val="34"/>
    <w:pPr>
      <w:ind w:firstLine="420"/>
    </w:pPr>
  </w:style>
  <w:style w:type="character" w:customStyle="1" w:styleId="29">
    <w:name w:val="font21"/>
    <w:basedOn w:val="16"/>
    <w:qFormat/>
    <w:uiPriority w:val="0"/>
    <w:rPr>
      <w:rFonts w:ascii="等线" w:hAnsi="等线" w:eastAsia="等线" w:cs="等线"/>
      <w:color w:val="000000"/>
      <w:sz w:val="24"/>
      <w:szCs w:val="24"/>
      <w:u w:val="none"/>
    </w:rPr>
  </w:style>
  <w:style w:type="character" w:customStyle="1" w:styleId="30">
    <w:name w:val="font11"/>
    <w:basedOn w:val="1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1">
    <w:name w:val="页眉 字符"/>
    <w:basedOn w:val="16"/>
    <w:link w:val="13"/>
    <w:qFormat/>
    <w:uiPriority w:val="99"/>
    <w:rPr>
      <w:rFonts w:asciiTheme="minorHAnsi" w:hAnsiTheme="minorHAnsi" w:cstheme="minorBidi"/>
      <w:kern w:val="2"/>
      <w:sz w:val="18"/>
      <w:szCs w:val="18"/>
    </w:rPr>
  </w:style>
  <w:style w:type="character" w:customStyle="1" w:styleId="32">
    <w:name w:val="页脚 字符"/>
    <w:basedOn w:val="16"/>
    <w:link w:val="12"/>
    <w:qFormat/>
    <w:uiPriority w:val="99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11300</Words>
  <Characters>13446</Characters>
  <Lines>832</Lines>
  <Paragraphs>549</Paragraphs>
  <TotalTime>239</TotalTime>
  <ScaleCrop>false</ScaleCrop>
  <LinksUpToDate>false</LinksUpToDate>
  <CharactersWithSpaces>13608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2026-05-14T22:52:00Z</dcterms:created>
  <dc:creator>唐 唐</dc:creator>
  <cp:lastModifiedBy>郭田恬</cp:lastModifiedBy>
  <dcterms:modified xsi:type="dcterms:W3CDTF">2026-08-13T15:02:28Z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eyJoZGlkIjoiMDljYzUzMWQ4OWI0YzBkYjYzMDRhZTY5ZjZkYmFmYTgiLCJ1c2VySWQiOiI0ODIyNDA4MzAifQ==</vt:lpwstr>
  </property>
  <property fmtid="{D5CDD505-2E9C-101B-9397-08002B2CF9AE}" pid="3" name="KSOProductBuildVer">
    <vt:lpwstr>2052-12.8.2.1119</vt:lpwstr>
  </property>
  <property fmtid="{D5CDD505-2E9C-101B-9397-08002B2CF9AE}" pid="4" name="ICV">
    <vt:lpwstr>EF18AF61183B4B2C8BB2CB4B7216EF56_13</vt:lpwstr>
  </property>
</Properties>
</file>